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489219">
      <w:pPr>
        <w:spacing w:line="360" w:lineRule="auto"/>
        <w:rPr>
          <w:rFonts w:hint="eastAsia" w:eastAsia="仿宋_GB2312" w:asciiTheme="minorHAnsi" w:hAnsiTheme="minorHAnsi"/>
          <w:sz w:val="44"/>
          <w:szCs w:val="44"/>
          <w:lang w:val="en-GB"/>
        </w:rPr>
      </w:pPr>
    </w:p>
    <w:p w14:paraId="01F8648E">
      <w:pPr>
        <w:spacing w:line="360" w:lineRule="auto"/>
        <w:jc w:val="center"/>
        <w:rPr>
          <w:rFonts w:hint="eastAsia" w:ascii="华文新魏" w:hAnsi="黑体" w:eastAsia="华文新魏"/>
          <w:b/>
          <w:kern w:val="15"/>
          <w:sz w:val="72"/>
          <w:szCs w:val="72"/>
        </w:rPr>
      </w:pPr>
      <w:r>
        <w:rPr>
          <w:rFonts w:hint="eastAsia" w:ascii="华文新魏" w:hAnsi="黑体" w:eastAsia="华文新魏"/>
          <w:b/>
          <w:kern w:val="15"/>
          <w:sz w:val="72"/>
          <w:szCs w:val="72"/>
        </w:rPr>
        <w:t>柳州市政府集中采购中心</w:t>
      </w:r>
    </w:p>
    <w:p w14:paraId="3C867B06">
      <w:pPr>
        <w:spacing w:line="360" w:lineRule="auto"/>
        <w:jc w:val="center"/>
        <w:rPr>
          <w:b/>
          <w:sz w:val="52"/>
          <w:szCs w:val="52"/>
        </w:rPr>
      </w:pPr>
      <w:r>
        <w:rPr>
          <w:rFonts w:hint="eastAsia" w:ascii="黑体" w:hAnsi="黑体" w:eastAsia="黑体"/>
          <w:sz w:val="72"/>
          <w:szCs w:val="72"/>
        </w:rPr>
        <mc:AlternateContent>
          <mc:Choice Requires="wps">
            <w:drawing>
              <wp:anchor distT="0" distB="0" distL="114300" distR="114300" simplePos="0" relativeHeight="251659264" behindDoc="0" locked="0" layoutInCell="1" allowOverlap="1">
                <wp:simplePos x="0" y="0"/>
                <wp:positionH relativeFrom="column">
                  <wp:posOffset>212725</wp:posOffset>
                </wp:positionH>
                <wp:positionV relativeFrom="paragraph">
                  <wp:posOffset>12700</wp:posOffset>
                </wp:positionV>
                <wp:extent cx="5306060" cy="0"/>
                <wp:effectExtent l="12700" t="18415" r="15240" b="10160"/>
                <wp:wrapNone/>
                <wp:docPr id="9"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wps:spPr>
                      <wps:bodyPr/>
                    </wps:wsp>
                  </a:graphicData>
                </a:graphic>
              </wp:anchor>
            </w:drawing>
          </mc:Choice>
          <mc:Fallback>
            <w:pict>
              <v:shape id="自选图形 14" o:spid="_x0000_s1026" o:spt="32" type="#_x0000_t32" style="position:absolute;left:0pt;margin-left:16.75pt;margin-top:1pt;height:0pt;width:417.8pt;z-index:251659264;mso-width-relative:page;mso-height-relative:page;" filled="f" stroked="t" coordsize="21600,21600" o:gfxdata="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uRd5dEA&#10;AAAGAQAADwAAAAAAAAABACAAAAAiAAAAZHJzL2Rvd25yZXYueG1sUEsBAhQAFAAAAAgAh07iQBz9&#10;KvztAQAAtwMAAA4AAAAAAAAAAQAgAAAAIAEAAGRycy9lMm9Eb2MueG1sUEsFBgAAAAAGAAYAWQEA&#10;AH8FAAAAAA==&#10;">
                <v:fill on="f" focussize="0,0"/>
                <v:stroke weight="1.5pt" color="#000000" joinstyle="round"/>
                <v:imagedata o:title=""/>
                <o:lock v:ext="edit" aspectratio="f"/>
              </v:shape>
            </w:pict>
          </mc:Fallback>
        </mc:AlternateContent>
      </w:r>
    </w:p>
    <w:p w14:paraId="6A1CD1B5">
      <w:pPr>
        <w:spacing w:line="800" w:lineRule="exact"/>
        <w:jc w:val="center"/>
        <w:rPr>
          <w:rFonts w:hint="eastAsia" w:ascii="华文中宋" w:hAnsi="华文中宋" w:eastAsia="华文中宋"/>
          <w:b/>
          <w:spacing w:val="200"/>
          <w:sz w:val="84"/>
          <w:szCs w:val="84"/>
        </w:rPr>
      </w:pPr>
    </w:p>
    <w:p w14:paraId="3278A5AC">
      <w:pPr>
        <w:jc w:val="center"/>
        <w:rPr>
          <w:rFonts w:hint="eastAsia" w:ascii="华文中宋" w:hAnsi="华文中宋" w:eastAsia="华文中宋"/>
          <w:b/>
          <w:spacing w:val="200"/>
          <w:sz w:val="144"/>
          <w:szCs w:val="144"/>
        </w:rPr>
      </w:pPr>
      <w:r>
        <w:rPr>
          <w:rFonts w:hint="eastAsia" w:ascii="华文中宋" w:hAnsi="华文中宋" w:eastAsia="华文中宋"/>
          <w:b/>
          <w:spacing w:val="200"/>
          <w:sz w:val="144"/>
          <w:szCs w:val="144"/>
        </w:rPr>
        <w:t>招标文件</w:t>
      </w:r>
    </w:p>
    <w:p w14:paraId="39E9FFD5">
      <w:pPr>
        <w:spacing w:line="600" w:lineRule="exact"/>
        <w:jc w:val="center"/>
        <w:rPr>
          <w:b/>
          <w:sz w:val="44"/>
          <w:szCs w:val="44"/>
        </w:rPr>
      </w:pPr>
    </w:p>
    <w:p w14:paraId="156EBFFD">
      <w:pPr>
        <w:spacing w:line="600" w:lineRule="exact"/>
        <w:rPr>
          <w:b/>
          <w:sz w:val="44"/>
          <w:szCs w:val="44"/>
        </w:rPr>
      </w:pPr>
    </w:p>
    <w:p w14:paraId="663C7B36">
      <w:pPr>
        <w:spacing w:line="800" w:lineRule="exact"/>
        <w:ind w:left="907" w:leftChars="432"/>
        <w:rPr>
          <w:rFonts w:hint="eastAsia" w:ascii="楷体" w:hAnsi="楷体" w:eastAsia="楷体"/>
          <w:b/>
          <w:sz w:val="44"/>
          <w:szCs w:val="44"/>
          <w:lang w:val="en-GB"/>
        </w:rPr>
      </w:pPr>
      <w:r>
        <w:rPr>
          <w:rFonts w:hint="eastAsia" w:ascii="楷体" w:hAnsi="楷体" w:eastAsia="楷体"/>
          <w:b/>
          <w:sz w:val="44"/>
          <w:szCs w:val="44"/>
        </w:rPr>
        <w:t>项目名称：</w:t>
      </w:r>
      <w:r>
        <w:rPr>
          <w:rFonts w:ascii="楷体" w:hAnsi="楷体" w:eastAsia="楷体"/>
          <w:b/>
          <w:color w:val="000000"/>
          <w:sz w:val="44"/>
          <w:szCs w:val="44"/>
        </w:rPr>
        <w:t>信息化设备基础建设采购</w:t>
      </w:r>
    </w:p>
    <w:p w14:paraId="57975B93">
      <w:pPr>
        <w:spacing w:line="800" w:lineRule="exact"/>
        <w:ind w:left="907" w:leftChars="432"/>
        <w:rPr>
          <w:rFonts w:hint="eastAsia" w:ascii="楷体" w:hAnsi="楷体" w:eastAsia="楷体"/>
          <w:b/>
          <w:sz w:val="44"/>
          <w:szCs w:val="44"/>
          <w:lang w:val="en-GB"/>
        </w:rPr>
      </w:pPr>
      <w:r>
        <w:rPr>
          <w:rFonts w:hint="eastAsia" w:ascii="楷体" w:hAnsi="楷体" w:eastAsia="楷体"/>
          <w:b/>
          <w:sz w:val="44"/>
          <w:szCs w:val="44"/>
        </w:rPr>
        <w:t>项目编号：</w:t>
      </w:r>
      <w:r>
        <w:rPr>
          <w:rFonts w:hint="eastAsia" w:ascii="楷体" w:hAnsi="楷体" w:eastAsia="楷体"/>
          <w:b/>
          <w:sz w:val="44"/>
          <w:szCs w:val="44"/>
          <w:lang w:val="en-US" w:eastAsia="zh-CN"/>
        </w:rPr>
        <w:t>LZZC2025-G1-990823-LZSZ</w:t>
      </w:r>
    </w:p>
    <w:p w14:paraId="4E3F5D27">
      <w:pPr>
        <w:spacing w:line="800" w:lineRule="exact"/>
        <w:rPr>
          <w:rFonts w:hint="eastAsia" w:ascii="楷体" w:hAnsi="楷体" w:eastAsia="楷体"/>
          <w:b/>
          <w:sz w:val="44"/>
          <w:szCs w:val="44"/>
        </w:rPr>
      </w:pPr>
    </w:p>
    <w:p w14:paraId="70BEA101">
      <w:pPr>
        <w:spacing w:line="800" w:lineRule="exact"/>
        <w:ind w:firstLine="663" w:firstLineChars="150"/>
        <w:jc w:val="center"/>
        <w:rPr>
          <w:rFonts w:hint="eastAsia" w:ascii="楷体" w:hAnsi="楷体" w:eastAsia="楷体"/>
          <w:b/>
          <w:sz w:val="44"/>
          <w:szCs w:val="44"/>
          <w:lang w:val="en-GB"/>
        </w:rPr>
      </w:pPr>
      <w:r>
        <w:rPr>
          <w:rFonts w:hint="eastAsia" w:ascii="楷体" w:hAnsi="楷体" w:eastAsia="楷体"/>
          <w:b/>
          <w:sz w:val="44"/>
          <w:szCs w:val="44"/>
        </w:rPr>
        <w:t>采购人：</w:t>
      </w:r>
      <w:r>
        <w:rPr>
          <w:rFonts w:ascii="楷体" w:hAnsi="楷体" w:eastAsia="楷体"/>
          <w:b/>
          <w:sz w:val="44"/>
          <w:szCs w:val="44"/>
        </w:rPr>
        <w:t>柳州市旅游学校</w:t>
      </w:r>
    </w:p>
    <w:p w14:paraId="70652234">
      <w:pPr>
        <w:spacing w:line="800" w:lineRule="exact"/>
        <w:ind w:firstLine="658" w:firstLineChars="149"/>
        <w:rPr>
          <w:rFonts w:hint="eastAsia" w:ascii="楷体" w:hAnsi="楷体" w:eastAsia="楷体"/>
          <w:b/>
          <w:sz w:val="44"/>
          <w:szCs w:val="44"/>
        </w:rPr>
      </w:pPr>
      <w:r>
        <w:rPr>
          <w:rFonts w:hint="eastAsia" w:ascii="楷体" w:hAnsi="楷体" w:eastAsia="楷体"/>
          <w:b/>
          <w:sz w:val="44"/>
          <w:szCs w:val="44"/>
        </w:rPr>
        <w:t>采购代理机构：柳州市政府集中采购中心</w:t>
      </w:r>
    </w:p>
    <w:p w14:paraId="4D6ABC73">
      <w:pPr>
        <w:spacing w:line="600" w:lineRule="exact"/>
        <w:jc w:val="center"/>
        <w:rPr>
          <w:rFonts w:hint="eastAsia" w:ascii="楷体" w:hAnsi="楷体" w:eastAsia="楷体"/>
          <w:b/>
          <w:sz w:val="44"/>
          <w:szCs w:val="44"/>
        </w:rPr>
      </w:pPr>
    </w:p>
    <w:p w14:paraId="30D60610">
      <w:pPr>
        <w:spacing w:line="600" w:lineRule="exact"/>
        <w:jc w:val="center"/>
        <w:rPr>
          <w:rFonts w:hint="eastAsia" w:ascii="楷体" w:hAnsi="楷体" w:eastAsia="楷体"/>
          <w:b/>
          <w:color w:val="auto"/>
          <w:sz w:val="44"/>
          <w:szCs w:val="44"/>
        </w:rPr>
      </w:pPr>
      <w:r>
        <w:rPr>
          <w:rFonts w:ascii="楷体" w:hAnsi="楷体" w:eastAsia="楷体"/>
          <w:b/>
          <w:color w:val="auto"/>
          <w:sz w:val="44"/>
          <w:szCs w:val="44"/>
        </w:rPr>
        <w:t>2025年</w:t>
      </w:r>
      <w:r>
        <w:rPr>
          <w:rFonts w:hint="eastAsia" w:ascii="楷体" w:hAnsi="楷体" w:eastAsia="楷体"/>
          <w:b/>
          <w:color w:val="auto"/>
          <w:sz w:val="44"/>
          <w:szCs w:val="44"/>
          <w:lang w:val="en-US" w:eastAsia="zh-CN"/>
        </w:rPr>
        <w:t>XX</w:t>
      </w:r>
      <w:r>
        <w:rPr>
          <w:rFonts w:ascii="楷体" w:hAnsi="楷体" w:eastAsia="楷体"/>
          <w:b/>
          <w:color w:val="auto"/>
          <w:sz w:val="44"/>
          <w:szCs w:val="44"/>
        </w:rPr>
        <w:t>月</w:t>
      </w:r>
      <w:r>
        <w:rPr>
          <w:rFonts w:hint="eastAsia" w:ascii="楷体" w:hAnsi="楷体" w:eastAsia="楷体"/>
          <w:b/>
          <w:color w:val="auto"/>
          <w:sz w:val="44"/>
          <w:szCs w:val="44"/>
          <w:lang w:val="en-US" w:eastAsia="zh-CN"/>
        </w:rPr>
        <w:t>XXX</w:t>
      </w:r>
      <w:r>
        <w:rPr>
          <w:rFonts w:ascii="楷体" w:hAnsi="楷体" w:eastAsia="楷体"/>
          <w:b/>
          <w:color w:val="auto"/>
          <w:sz w:val="44"/>
          <w:szCs w:val="44"/>
        </w:rPr>
        <w:t>日</w:t>
      </w:r>
    </w:p>
    <w:p w14:paraId="2740A498">
      <w:pPr>
        <w:widowControl/>
        <w:jc w:val="left"/>
        <w:rPr>
          <w:rFonts w:hint="eastAsia" w:ascii="楷体" w:hAnsi="楷体" w:eastAsia="楷体"/>
          <w:b/>
          <w:sz w:val="44"/>
          <w:szCs w:val="44"/>
        </w:rPr>
      </w:pPr>
      <w:r>
        <w:rPr>
          <w:rFonts w:ascii="楷体" w:hAnsi="楷体" w:eastAsia="楷体"/>
          <w:b/>
          <w:sz w:val="44"/>
          <w:szCs w:val="44"/>
        </w:rPr>
        <w:br w:type="page"/>
      </w:r>
    </w:p>
    <w:p w14:paraId="2A77FE75">
      <w:pPr>
        <w:spacing w:line="360" w:lineRule="auto"/>
        <w:rPr>
          <w:b/>
          <w:sz w:val="52"/>
          <w:szCs w:val="52"/>
        </w:rPr>
        <w:sectPr>
          <w:headerReference r:id="rId3" w:type="first"/>
          <w:footerReference r:id="rId4" w:type="even"/>
          <w:pgSz w:w="11906" w:h="16838"/>
          <w:pgMar w:top="1440" w:right="1440" w:bottom="1440" w:left="1440" w:header="851" w:footer="992" w:gutter="0"/>
          <w:cols w:space="720" w:num="1"/>
          <w:docGrid w:type="lines" w:linePitch="312" w:charSpace="0"/>
        </w:sectPr>
      </w:pPr>
    </w:p>
    <w:p w14:paraId="00ABB0F9">
      <w:pPr>
        <w:spacing w:line="360" w:lineRule="auto"/>
        <w:jc w:val="center"/>
        <w:rPr>
          <w:rFonts w:hint="eastAsia"/>
          <w:b/>
          <w:sz w:val="52"/>
          <w:szCs w:val="52"/>
        </w:rPr>
      </w:pPr>
    </w:p>
    <w:p w14:paraId="34AB7281">
      <w:pPr>
        <w:spacing w:line="360" w:lineRule="auto"/>
        <w:jc w:val="center"/>
        <w:rPr>
          <w:b/>
          <w:sz w:val="52"/>
          <w:szCs w:val="52"/>
        </w:rPr>
      </w:pPr>
      <w:r>
        <w:rPr>
          <w:rFonts w:hint="eastAsia"/>
          <w:b/>
          <w:sz w:val="52"/>
          <w:szCs w:val="52"/>
        </w:rPr>
        <w:t>目  录</w:t>
      </w:r>
    </w:p>
    <w:p w14:paraId="7776B191">
      <w:pPr>
        <w:spacing w:line="360" w:lineRule="auto"/>
        <w:jc w:val="center"/>
        <w:rPr>
          <w:b/>
          <w:sz w:val="52"/>
          <w:szCs w:val="52"/>
        </w:rPr>
      </w:pPr>
    </w:p>
    <w:p w14:paraId="2D3A3BA9">
      <w:pPr>
        <w:pStyle w:val="33"/>
        <w:keepNext w:val="0"/>
        <w:keepLines w:val="0"/>
        <w:pageBreakBefore w:val="0"/>
        <w:widowControl w:val="0"/>
        <w:tabs>
          <w:tab w:val="right" w:leader="dot" w:pos="902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TOC \o "1-1" \h \z \u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_Toc27871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第一章 公开招标公告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_Toc27871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00B9A0BB">
      <w:pPr>
        <w:pStyle w:val="33"/>
        <w:keepNext w:val="0"/>
        <w:keepLines w:val="0"/>
        <w:pageBreakBefore w:val="0"/>
        <w:widowControl w:val="0"/>
        <w:tabs>
          <w:tab w:val="right" w:leader="dot" w:pos="902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_Toc22979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第二章 采购需求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_Toc22979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3A921993">
      <w:pPr>
        <w:pStyle w:val="33"/>
        <w:keepNext w:val="0"/>
        <w:keepLines w:val="0"/>
        <w:pageBreakBefore w:val="0"/>
        <w:widowControl w:val="0"/>
        <w:tabs>
          <w:tab w:val="right" w:leader="dot" w:pos="902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_Toc9651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第三章 投标人须知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_Toc9651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678A2D0F">
      <w:pPr>
        <w:pStyle w:val="33"/>
        <w:keepNext w:val="0"/>
        <w:keepLines w:val="0"/>
        <w:pageBreakBefore w:val="0"/>
        <w:widowControl w:val="0"/>
        <w:tabs>
          <w:tab w:val="right" w:leader="dot" w:pos="902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_Toc24572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第四章 评标方法及评标标准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_Toc24572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7DE696E1">
      <w:pPr>
        <w:pStyle w:val="33"/>
        <w:keepNext w:val="0"/>
        <w:keepLines w:val="0"/>
        <w:pageBreakBefore w:val="0"/>
        <w:widowControl w:val="0"/>
        <w:tabs>
          <w:tab w:val="right" w:leader="dot" w:pos="902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_Toc5380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第五章 合同主要条款格式及广西壮族自治区政府采购项目合同验收书格式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_Toc5380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4D6D4235">
      <w:pPr>
        <w:pStyle w:val="33"/>
        <w:keepNext w:val="0"/>
        <w:keepLines w:val="0"/>
        <w:pageBreakBefore w:val="0"/>
        <w:widowControl w:val="0"/>
        <w:tabs>
          <w:tab w:val="right" w:leader="dot" w:pos="901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val="0"/>
          <w:bCs w:val="0"/>
          <w:caps w:val="0"/>
          <w:sz w:val="32"/>
          <w:szCs w:val="32"/>
        </w:rPr>
      </w:pP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 w:val="0"/>
          <w:bCs w:val="0"/>
          <w:caps w:val="0"/>
          <w:sz w:val="32"/>
          <w:szCs w:val="32"/>
        </w:rPr>
        <w:t xml:space="preserve"> </w:t>
      </w:r>
    </w:p>
    <w:p w14:paraId="1958D2DE"/>
    <w:p w14:paraId="683355FF"/>
    <w:p w14:paraId="7A950F09"/>
    <w:p w14:paraId="0BA55C89"/>
    <w:p w14:paraId="3BB0A528"/>
    <w:p w14:paraId="3DA8BE17"/>
    <w:p w14:paraId="5174886D"/>
    <w:p w14:paraId="370BB553"/>
    <w:p w14:paraId="6ADD55C3"/>
    <w:p w14:paraId="1BBE16F4"/>
    <w:p w14:paraId="4AD8814A"/>
    <w:p w14:paraId="42A723D1">
      <w:pPr>
        <w:widowControl/>
        <w:jc w:val="left"/>
      </w:pPr>
      <w:r>
        <w:br w:type="page"/>
      </w:r>
    </w:p>
    <w:p w14:paraId="51BCED3E">
      <w:pPr>
        <w:sectPr>
          <w:headerReference r:id="rId5" w:type="default"/>
          <w:footerReference r:id="rId6" w:type="default"/>
          <w:pgSz w:w="11906" w:h="16838"/>
          <w:pgMar w:top="1440" w:right="1440" w:bottom="1440" w:left="1440" w:header="851" w:footer="992" w:gutter="0"/>
          <w:cols w:space="720" w:num="1"/>
          <w:docGrid w:linePitch="312" w:charSpace="0"/>
        </w:sectPr>
      </w:pPr>
    </w:p>
    <w:p w14:paraId="5AB3B8E0">
      <w:pPr>
        <w:pStyle w:val="3"/>
        <w:spacing w:line="276" w:lineRule="auto"/>
        <w:jc w:val="center"/>
        <w:rPr>
          <w:sz w:val="32"/>
          <w:szCs w:val="32"/>
        </w:rPr>
      </w:pPr>
      <w:bookmarkStart w:id="0" w:name="_Toc27871"/>
      <w:r>
        <w:rPr>
          <w:rFonts w:hint="eastAsia"/>
          <w:sz w:val="32"/>
          <w:szCs w:val="32"/>
        </w:rPr>
        <w:t>第一章 公开招标公告</w:t>
      </w:r>
      <w:bookmarkEnd w:id="0"/>
    </w:p>
    <w:p w14:paraId="4C047E6F">
      <w:pPr>
        <w:pStyle w:val="4"/>
        <w:spacing w:line="240" w:lineRule="auto"/>
        <w:ind w:right="-21" w:rightChars="-10" w:firstLine="711" w:firstLineChars="253"/>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项目概况</w:t>
      </w:r>
    </w:p>
    <w:p w14:paraId="68BD7E75">
      <w:pPr>
        <w:spacing w:line="400" w:lineRule="exact"/>
        <w:ind w:right="-21" w:rightChars="-10" w:firstLine="555"/>
        <w:rPr>
          <w:rFonts w:ascii="仿宋_GB2312" w:eastAsia="仿宋_GB2312"/>
          <w:color w:val="auto"/>
          <w:sz w:val="28"/>
          <w:szCs w:val="28"/>
          <w:u w:val="single"/>
        </w:rPr>
      </w:pPr>
      <w:bookmarkStart w:id="1" w:name="_Hlk50568865"/>
      <w:r>
        <w:rPr>
          <w:rFonts w:ascii="仿宋_GB2312" w:eastAsia="仿宋_GB2312"/>
          <w:sz w:val="28"/>
          <w:szCs w:val="28"/>
        </w:rPr>
        <w:t>信息化设备基础建设采购</w:t>
      </w:r>
      <w:r>
        <w:rPr>
          <w:rFonts w:hint="eastAsia" w:ascii="仿宋_GB2312" w:eastAsia="仿宋_GB2312"/>
          <w:sz w:val="28"/>
          <w:szCs w:val="28"/>
        </w:rPr>
        <w:t>项目的潜在</w:t>
      </w:r>
      <w:bookmarkStart w:id="2" w:name="_Hlk93681477"/>
      <w:r>
        <w:rPr>
          <w:rFonts w:hint="eastAsia" w:ascii="仿宋_GB2312" w:eastAsia="仿宋_GB2312"/>
          <w:sz w:val="28"/>
          <w:szCs w:val="28"/>
        </w:rPr>
        <w:t>投标人应在广西政府采购云平台（https://www.gcy.zfcg.gxzf.gov.cn/）获取招标文件，并</w:t>
      </w:r>
      <w:r>
        <w:rPr>
          <w:rFonts w:hint="eastAsia" w:ascii="仿宋_GB2312" w:eastAsia="仿宋_GB2312"/>
          <w:color w:val="auto"/>
          <w:sz w:val="28"/>
          <w:szCs w:val="28"/>
        </w:rPr>
        <w:t>于</w:t>
      </w:r>
      <w:r>
        <w:rPr>
          <w:rFonts w:ascii="仿宋_GB2312" w:eastAsia="仿宋_GB2312"/>
          <w:color w:val="auto"/>
          <w:sz w:val="28"/>
          <w:szCs w:val="28"/>
        </w:rPr>
        <w:t>2025年</w:t>
      </w:r>
      <w:r>
        <w:rPr>
          <w:rFonts w:hint="eastAsia" w:ascii="仿宋_GB2312" w:eastAsia="仿宋_GB2312"/>
          <w:color w:val="auto"/>
          <w:sz w:val="28"/>
          <w:szCs w:val="28"/>
          <w:lang w:val="en-US" w:eastAsia="zh-CN"/>
        </w:rPr>
        <w:t>XXXX</w:t>
      </w:r>
      <w:r>
        <w:rPr>
          <w:rFonts w:ascii="仿宋_GB2312" w:eastAsia="仿宋_GB2312"/>
          <w:color w:val="auto"/>
          <w:sz w:val="28"/>
          <w:szCs w:val="28"/>
        </w:rPr>
        <w:t>月</w:t>
      </w:r>
      <w:r>
        <w:rPr>
          <w:rFonts w:hint="eastAsia" w:ascii="仿宋_GB2312" w:eastAsia="仿宋_GB2312"/>
          <w:color w:val="auto"/>
          <w:sz w:val="28"/>
          <w:szCs w:val="28"/>
          <w:lang w:val="en-US" w:eastAsia="zh-CN"/>
        </w:rPr>
        <w:t>XXX</w:t>
      </w:r>
      <w:r>
        <w:rPr>
          <w:rFonts w:ascii="仿宋_GB2312" w:eastAsia="仿宋_GB2312"/>
          <w:color w:val="auto"/>
          <w:sz w:val="28"/>
          <w:szCs w:val="28"/>
        </w:rPr>
        <w:t>日 09:20</w:t>
      </w:r>
      <w:r>
        <w:rPr>
          <w:rFonts w:hint="eastAsia" w:ascii="仿宋_GB2312" w:eastAsia="仿宋_GB2312"/>
          <w:color w:val="auto"/>
          <w:sz w:val="28"/>
          <w:szCs w:val="28"/>
        </w:rPr>
        <w:t>（北京时间）前</w:t>
      </w:r>
      <w:r>
        <w:rPr>
          <w:rFonts w:hint="eastAsia" w:ascii="仿宋_GB2312" w:hAnsi="仿宋_GB2312" w:eastAsia="仿宋_GB2312" w:cs="仿宋_GB2312"/>
          <w:color w:val="auto"/>
          <w:sz w:val="28"/>
          <w:szCs w:val="28"/>
        </w:rPr>
        <w:t>在线提交投标文件</w:t>
      </w:r>
      <w:r>
        <w:rPr>
          <w:rFonts w:hint="eastAsia" w:ascii="仿宋_GB2312" w:eastAsia="仿宋_GB2312"/>
          <w:color w:val="auto"/>
          <w:sz w:val="28"/>
          <w:szCs w:val="28"/>
        </w:rPr>
        <w:t>。</w:t>
      </w:r>
    </w:p>
    <w:p w14:paraId="10C45498">
      <w:pPr>
        <w:spacing w:line="400" w:lineRule="exact"/>
        <w:ind w:right="-21" w:rightChars="-10" w:firstLine="562" w:firstLineChars="200"/>
        <w:rPr>
          <w:rFonts w:hint="eastAsia" w:ascii="黑体" w:hAnsi="黑体" w:eastAsia="黑体" w:cs="黑体"/>
          <w:b/>
          <w:bCs/>
          <w:sz w:val="28"/>
          <w:szCs w:val="28"/>
        </w:rPr>
      </w:pPr>
      <w:bookmarkStart w:id="3" w:name="_Hlk53504521"/>
      <w:r>
        <w:rPr>
          <w:rFonts w:hint="eastAsia" w:ascii="黑体" w:hAnsi="黑体" w:eastAsia="黑体" w:cs="黑体"/>
          <w:b/>
          <w:bCs/>
          <w:sz w:val="28"/>
          <w:szCs w:val="28"/>
        </w:rPr>
        <w:t>一、项目基本情况</w:t>
      </w:r>
    </w:p>
    <w:p w14:paraId="688D478C">
      <w:pPr>
        <w:pStyle w:val="74"/>
        <w:spacing w:line="400" w:lineRule="exact"/>
        <w:ind w:right="-21" w:rightChars="-10" w:firstLine="560"/>
        <w:rPr>
          <w:rFonts w:hint="default" w:ascii="仿宋_GB2312" w:eastAsia="仿宋_GB2312"/>
          <w:sz w:val="28"/>
          <w:szCs w:val="28"/>
          <w:lang w:val="en-US" w:eastAsia="zh-CN"/>
        </w:rPr>
      </w:pPr>
      <w:r>
        <w:rPr>
          <w:rFonts w:hint="eastAsia" w:ascii="仿宋_GB2312" w:eastAsia="仿宋_GB2312"/>
          <w:sz w:val="28"/>
          <w:szCs w:val="28"/>
        </w:rPr>
        <w:t>项目编号：</w:t>
      </w:r>
      <w:r>
        <w:rPr>
          <w:rFonts w:hint="eastAsia" w:ascii="仿宋_GB2312" w:eastAsia="仿宋_GB2312"/>
          <w:sz w:val="28"/>
          <w:szCs w:val="28"/>
          <w:lang w:val="en-US" w:eastAsia="zh-CN"/>
        </w:rPr>
        <w:t>LZZC2025-G1-990823-LZSZ</w:t>
      </w:r>
    </w:p>
    <w:p w14:paraId="19993B6F">
      <w:pPr>
        <w:pStyle w:val="74"/>
        <w:spacing w:line="400" w:lineRule="exact"/>
        <w:ind w:right="-21" w:rightChars="-10" w:firstLine="560"/>
        <w:rPr>
          <w:rFonts w:ascii="仿宋_GB2312" w:eastAsia="仿宋_GB2312"/>
          <w:sz w:val="28"/>
          <w:szCs w:val="28"/>
        </w:rPr>
      </w:pPr>
      <w:r>
        <w:rPr>
          <w:rFonts w:hint="eastAsia" w:ascii="仿宋_GB2312" w:eastAsia="仿宋_GB2312"/>
          <w:sz w:val="28"/>
          <w:szCs w:val="28"/>
        </w:rPr>
        <w:t>项目名称：</w:t>
      </w:r>
      <w:r>
        <w:rPr>
          <w:rFonts w:ascii="仿宋_GB2312" w:eastAsia="仿宋_GB2312"/>
          <w:sz w:val="28"/>
          <w:szCs w:val="28"/>
        </w:rPr>
        <w:t>信息化设备基础建设采购</w:t>
      </w:r>
    </w:p>
    <w:p w14:paraId="06BB0709">
      <w:pPr>
        <w:pStyle w:val="74"/>
        <w:spacing w:line="400" w:lineRule="exact"/>
        <w:ind w:right="-21" w:rightChars="-10" w:firstLine="560"/>
        <w:rPr>
          <w:rFonts w:ascii="仿宋_GB2312" w:eastAsia="仿宋_GB2312"/>
          <w:sz w:val="28"/>
          <w:szCs w:val="28"/>
        </w:rPr>
      </w:pPr>
      <w:r>
        <w:rPr>
          <w:rFonts w:hint="eastAsia" w:ascii="仿宋_GB2312" w:eastAsia="仿宋_GB2312"/>
          <w:sz w:val="28"/>
          <w:szCs w:val="28"/>
        </w:rPr>
        <w:t>预算总金额</w:t>
      </w:r>
      <w:bookmarkStart w:id="4" w:name="_Hlk50568912"/>
      <w:r>
        <w:rPr>
          <w:rFonts w:hint="eastAsia" w:ascii="仿宋_GB2312" w:eastAsia="仿宋_GB2312"/>
          <w:sz w:val="28"/>
          <w:szCs w:val="28"/>
        </w:rPr>
        <w:t>（元）：</w:t>
      </w:r>
      <w:r>
        <w:rPr>
          <w:rFonts w:ascii="仿宋_GB2312" w:hAnsi="Times New Roman" w:eastAsia="仿宋_GB2312"/>
          <w:sz w:val="28"/>
          <w:szCs w:val="28"/>
        </w:rPr>
        <w:t>800000</w:t>
      </w:r>
    </w:p>
    <w:p w14:paraId="2D8D2EFB">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采购需求：</w:t>
      </w:r>
    </w:p>
    <w:p w14:paraId="42DA0D3D">
      <w:pPr>
        <w:spacing w:line="400" w:lineRule="exact"/>
        <w:ind w:right="-21" w:rightChars="-10"/>
        <w:rPr>
          <w:rFonts w:ascii="仿宋_GB2312" w:eastAsia="仿宋_GB2312"/>
          <w:b/>
          <w:sz w:val="28"/>
          <w:szCs w:val="28"/>
        </w:rPr>
      </w:pPr>
      <w:r>
        <w:rPr>
          <w:rFonts w:ascii="仿宋" w:hAnsi="仿宋" w:eastAsia="仿宋"/>
          <w:bCs/>
          <w:sz w:val="24"/>
        </w:rPr>
        <w:t>标项名称：信息化设备基础建设采购
</w:t>
      </w:r>
      <w:r>
        <w:rPr>
          <w:rFonts w:ascii="仿宋" w:hAnsi="仿宋" w:eastAsia="仿宋"/>
          <w:bCs/>
          <w:sz w:val="24"/>
        </w:rPr>
        <w:cr/>
      </w:r>
      <w:r>
        <w:rPr>
          <w:rFonts w:ascii="仿宋" w:hAnsi="仿宋" w:eastAsia="仿宋"/>
          <w:bCs/>
          <w:sz w:val="24"/>
        </w:rPr>
        <w:t>数量：1
</w:t>
      </w:r>
      <w:r>
        <w:rPr>
          <w:rFonts w:ascii="仿宋" w:hAnsi="仿宋" w:eastAsia="仿宋"/>
          <w:bCs/>
          <w:sz w:val="24"/>
        </w:rPr>
        <w:cr/>
      </w:r>
      <w:r>
        <w:rPr>
          <w:rFonts w:ascii="仿宋" w:hAnsi="仿宋" w:eastAsia="仿宋"/>
          <w:bCs/>
          <w:sz w:val="24"/>
        </w:rPr>
        <w:t>预算金额（元）：800000
</w:t>
      </w:r>
      <w:r>
        <w:rPr>
          <w:rFonts w:ascii="仿宋" w:hAnsi="仿宋" w:eastAsia="仿宋"/>
          <w:bCs/>
          <w:sz w:val="24"/>
        </w:rPr>
        <w:cr/>
      </w:r>
      <w:r>
        <w:rPr>
          <w:rFonts w:ascii="仿宋" w:hAnsi="仿宋" w:eastAsia="仿宋"/>
          <w:bCs/>
          <w:sz w:val="24"/>
        </w:rPr>
        <w:t>简要规格描述或项目基本概况介绍、用途：信息化设备基础建设采购（具体内容详见招标文件第二章《采购需求》）
</w:t>
      </w:r>
      <w:r>
        <w:rPr>
          <w:rFonts w:ascii="仿宋" w:hAnsi="仿宋" w:eastAsia="仿宋"/>
          <w:bCs/>
          <w:sz w:val="24"/>
        </w:rPr>
        <w:cr/>
      </w:r>
      <w:r>
        <w:rPr>
          <w:rFonts w:ascii="仿宋" w:hAnsi="仿宋" w:eastAsia="仿宋"/>
          <w:bCs/>
          <w:sz w:val="24"/>
        </w:rPr>
        <w:t>最高限价（如有）：800000
</w:t>
      </w:r>
      <w:r>
        <w:rPr>
          <w:rFonts w:ascii="仿宋" w:hAnsi="仿宋" w:eastAsia="仿宋"/>
          <w:bCs/>
          <w:sz w:val="24"/>
        </w:rPr>
        <w:cr/>
      </w:r>
      <w:r>
        <w:rPr>
          <w:rFonts w:ascii="仿宋" w:hAnsi="仿宋" w:eastAsia="仿宋"/>
          <w:bCs/>
          <w:sz w:val="24"/>
        </w:rPr>
        <w:t>合同履约期限：自签订合同之日起40日内安装调试完毕，验收合格并交付使用；
</w:t>
      </w:r>
      <w:r>
        <w:rPr>
          <w:rFonts w:ascii="仿宋" w:hAnsi="仿宋" w:eastAsia="仿宋"/>
          <w:bCs/>
          <w:sz w:val="24"/>
        </w:rPr>
        <w:cr/>
      </w:r>
      <w:r>
        <w:rPr>
          <w:rFonts w:ascii="仿宋" w:hAnsi="仿宋" w:eastAsia="仿宋"/>
          <w:bCs/>
          <w:sz w:val="24"/>
        </w:rPr>
        <w:t>本标项（否）接受联合体投标
</w:t>
      </w:r>
      <w:r>
        <w:rPr>
          <w:rFonts w:ascii="仿宋" w:hAnsi="仿宋" w:eastAsia="仿宋"/>
          <w:bCs/>
          <w:sz w:val="24"/>
        </w:rPr>
        <w:cr/>
      </w:r>
      <w:r>
        <w:rPr>
          <w:rFonts w:ascii="仿宋" w:hAnsi="仿宋" w:eastAsia="仿宋"/>
          <w:bCs/>
          <w:sz w:val="24"/>
        </w:rPr>
        <w:t>备注：本项目为线上电子招标项目，</w:t>
      </w:r>
      <w:r>
        <w:rPr>
          <w:rFonts w:ascii="仿宋" w:hAnsi="仿宋" w:eastAsia="仿宋"/>
          <w:b/>
          <w:bCs w:val="0"/>
          <w:sz w:val="24"/>
        </w:rPr>
        <w:t>采用远程异地评标，</w:t>
      </w:r>
      <w:r>
        <w:rPr>
          <w:rFonts w:ascii="仿宋" w:hAnsi="仿宋" w:eastAsia="仿宋"/>
          <w:bCs/>
          <w:sz w:val="24"/>
        </w:rPr>
        <w:t>有意向参与本项目的供应商应当做好参与全流程电子招投标交易的充分准备。</w:t>
      </w:r>
    </w:p>
    <w:p w14:paraId="13F886F1">
      <w:pPr>
        <w:pStyle w:val="4"/>
        <w:spacing w:line="400" w:lineRule="exact"/>
        <w:ind w:right="-21" w:rightChars="-10" w:firstLine="562" w:firstLineChars="200"/>
        <w:jc w:val="both"/>
        <w:rPr>
          <w:rFonts w:hint="eastAsia" w:ascii="黑体" w:hAnsi="黑体" w:eastAsia="黑体" w:cs="黑体"/>
          <w:bCs/>
          <w:sz w:val="28"/>
          <w:szCs w:val="28"/>
        </w:rPr>
      </w:pPr>
      <w:bookmarkStart w:id="5" w:name="_Hlk53504529"/>
      <w:r>
        <w:rPr>
          <w:rFonts w:hint="eastAsia" w:ascii="黑体" w:hAnsi="黑体" w:eastAsia="黑体" w:cs="黑体"/>
          <w:bCs/>
          <w:sz w:val="28"/>
          <w:szCs w:val="28"/>
        </w:rPr>
        <w:t>二、申请人的资格要求</w:t>
      </w:r>
    </w:p>
    <w:p w14:paraId="72DA3636">
      <w:pPr>
        <w:pStyle w:val="74"/>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1.</w:t>
      </w:r>
      <w:r>
        <w:rPr>
          <w:rFonts w:hint="eastAsia" w:ascii="仿宋_GB2312" w:eastAsia="仿宋_GB2312"/>
          <w:sz w:val="28"/>
          <w:szCs w:val="28"/>
        </w:rPr>
        <w:t>满足《中华人民共和国政府采购法》第二十二条规定；</w:t>
      </w:r>
    </w:p>
    <w:p w14:paraId="59538B51">
      <w:pPr>
        <w:pStyle w:val="74"/>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eastAsia="仿宋_GB2312"/>
          <w:sz w:val="28"/>
          <w:szCs w:val="28"/>
        </w:rPr>
        <w:t>落实政府采购政策需满足的资格要求：</w:t>
      </w:r>
      <w:r>
        <w:rPr>
          <w:rFonts w:ascii="仿宋_GB2312" w:eastAsia="仿宋_GB2312"/>
          <w:sz w:val="28"/>
          <w:szCs w:val="28"/>
        </w:rPr>
        <w:t>无；</w:t>
      </w:r>
    </w:p>
    <w:p w14:paraId="63FCE070">
      <w:pPr>
        <w:pStyle w:val="74"/>
        <w:spacing w:line="400" w:lineRule="exact"/>
        <w:ind w:right="-21" w:rightChars="-10" w:firstLine="560"/>
        <w:rPr>
          <w:rFonts w:ascii="仿宋_GB2312" w:eastAsia="仿宋_GB2312"/>
          <w:sz w:val="28"/>
          <w:szCs w:val="28"/>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本项目的特定资格要求：</w:t>
      </w:r>
      <w:r>
        <w:rPr>
          <w:rFonts w:ascii="仿宋_GB2312" w:eastAsia="仿宋_GB2312"/>
          <w:sz w:val="28"/>
          <w:szCs w:val="28"/>
        </w:rPr>
        <w:t>无；</w:t>
      </w:r>
    </w:p>
    <w:p w14:paraId="3E62F4D3">
      <w:pPr>
        <w:pStyle w:val="4"/>
        <w:spacing w:line="400" w:lineRule="exact"/>
        <w:ind w:right="-21" w:rightChars="-10" w:firstLine="562" w:firstLineChars="200"/>
        <w:jc w:val="both"/>
        <w:rPr>
          <w:rFonts w:hint="eastAsia" w:ascii="黑体" w:hAnsi="黑体" w:eastAsia="黑体" w:cs="黑体"/>
          <w:bCs/>
          <w:sz w:val="28"/>
          <w:szCs w:val="28"/>
        </w:rPr>
      </w:pPr>
      <w:bookmarkStart w:id="6" w:name="_Toc35393792"/>
      <w:bookmarkStart w:id="7" w:name="_Toc35393623"/>
      <w:r>
        <w:rPr>
          <w:rFonts w:hint="eastAsia" w:ascii="黑体" w:hAnsi="黑体" w:eastAsia="黑体" w:cs="黑体"/>
          <w:bCs/>
          <w:sz w:val="28"/>
          <w:szCs w:val="28"/>
        </w:rPr>
        <w:t>三、获取招标文件</w:t>
      </w:r>
    </w:p>
    <w:p w14:paraId="76771046">
      <w:pPr>
        <w:spacing w:line="400" w:lineRule="exact"/>
        <w:ind w:right="-21" w:rightChars="-10" w:firstLine="540"/>
        <w:rPr>
          <w:rFonts w:ascii="仿宋_GB2312" w:hAnsi="Calibri" w:eastAsia="仿宋_GB2312"/>
          <w:sz w:val="28"/>
          <w:szCs w:val="28"/>
        </w:rPr>
      </w:pPr>
      <w:r>
        <w:rPr>
          <w:rFonts w:hint="eastAsia" w:ascii="仿宋_GB2312" w:eastAsia="仿宋_GB2312"/>
          <w:sz w:val="28"/>
          <w:szCs w:val="28"/>
        </w:rPr>
        <w:t>时间</w:t>
      </w:r>
      <w:r>
        <w:rPr>
          <w:rFonts w:hint="eastAsia" w:ascii="仿宋_GB2312" w:eastAsia="仿宋_GB2312"/>
          <w:color w:val="auto"/>
          <w:sz w:val="28"/>
          <w:szCs w:val="28"/>
        </w:rPr>
        <w:t>：</w:t>
      </w:r>
      <w:r>
        <w:rPr>
          <w:rFonts w:hint="eastAsia" w:ascii="仿宋_GB2312" w:eastAsia="仿宋_GB2312"/>
          <w:color w:val="auto"/>
          <w:sz w:val="28"/>
          <w:szCs w:val="28"/>
          <w:lang w:val="en-US" w:eastAsia="zh-CN"/>
        </w:rPr>
        <w:t>2025</w:t>
      </w:r>
      <w:r>
        <w:rPr>
          <w:rFonts w:hint="eastAsia" w:ascii="仿宋_GB2312" w:hAnsi="Calibri" w:eastAsia="仿宋_GB2312"/>
          <w:color w:val="auto"/>
          <w:sz w:val="28"/>
          <w:szCs w:val="28"/>
        </w:rPr>
        <w:t>年</w:t>
      </w:r>
      <w:r>
        <w:rPr>
          <w:rFonts w:hint="eastAsia" w:ascii="仿宋_GB2312" w:hAnsi="Calibri" w:eastAsia="仿宋_GB2312"/>
          <w:color w:val="auto"/>
          <w:sz w:val="28"/>
          <w:szCs w:val="28"/>
          <w:lang w:val="en-US" w:eastAsia="zh-CN"/>
        </w:rPr>
        <w:t>XX</w:t>
      </w:r>
      <w:r>
        <w:rPr>
          <w:rFonts w:hint="eastAsia" w:ascii="仿宋_GB2312" w:hAnsi="Calibri" w:eastAsia="仿宋_GB2312"/>
          <w:color w:val="auto"/>
          <w:sz w:val="28"/>
          <w:szCs w:val="28"/>
        </w:rPr>
        <w:t>月</w:t>
      </w:r>
      <w:r>
        <w:rPr>
          <w:rFonts w:hint="eastAsia" w:ascii="仿宋_GB2312" w:hAnsi="Calibri" w:eastAsia="仿宋_GB2312"/>
          <w:color w:val="auto"/>
          <w:sz w:val="28"/>
          <w:szCs w:val="28"/>
          <w:lang w:val="en-US" w:eastAsia="zh-CN"/>
        </w:rPr>
        <w:t>XX</w:t>
      </w:r>
      <w:r>
        <w:rPr>
          <w:rFonts w:hint="eastAsia" w:ascii="仿宋_GB2312" w:hAnsi="Calibri" w:eastAsia="仿宋_GB2312"/>
          <w:color w:val="auto"/>
          <w:sz w:val="28"/>
          <w:szCs w:val="28"/>
        </w:rPr>
        <w:t>日</w:t>
      </w:r>
      <w:r>
        <w:rPr>
          <w:rFonts w:hint="eastAsia" w:ascii="仿宋_GB2312" w:eastAsia="仿宋_GB2312"/>
          <w:color w:val="auto"/>
          <w:sz w:val="28"/>
          <w:szCs w:val="28"/>
        </w:rPr>
        <w:t>至</w:t>
      </w:r>
      <w:r>
        <w:rPr>
          <w:rFonts w:hint="eastAsia" w:ascii="仿宋_GB2312" w:hAnsi="Calibri" w:eastAsia="仿宋_GB2312"/>
          <w:color w:val="auto"/>
          <w:sz w:val="28"/>
          <w:szCs w:val="28"/>
          <w:lang w:val="en-US" w:eastAsia="zh-CN"/>
        </w:rPr>
        <w:t>2025</w:t>
      </w:r>
      <w:r>
        <w:rPr>
          <w:rFonts w:ascii="仿宋_GB2312" w:hAnsi="Calibri" w:eastAsia="仿宋_GB2312"/>
          <w:color w:val="auto"/>
          <w:sz w:val="28"/>
          <w:szCs w:val="28"/>
        </w:rPr>
        <w:t>年</w:t>
      </w:r>
      <w:r>
        <w:rPr>
          <w:rFonts w:hint="eastAsia" w:ascii="仿宋_GB2312" w:hAnsi="Calibri" w:eastAsia="仿宋_GB2312"/>
          <w:color w:val="auto"/>
          <w:sz w:val="28"/>
          <w:szCs w:val="28"/>
          <w:lang w:val="en-US" w:eastAsia="zh-CN"/>
        </w:rPr>
        <w:t>XX</w:t>
      </w:r>
      <w:r>
        <w:rPr>
          <w:rFonts w:ascii="仿宋_GB2312" w:hAnsi="Calibri" w:eastAsia="仿宋_GB2312"/>
          <w:color w:val="auto"/>
          <w:sz w:val="28"/>
          <w:szCs w:val="28"/>
        </w:rPr>
        <w:t>月</w:t>
      </w:r>
      <w:r>
        <w:rPr>
          <w:rFonts w:hint="eastAsia" w:ascii="仿宋_GB2312" w:hAnsi="Calibri" w:eastAsia="仿宋_GB2312"/>
          <w:color w:val="auto"/>
          <w:sz w:val="28"/>
          <w:szCs w:val="28"/>
          <w:lang w:val="en-US" w:eastAsia="zh-CN"/>
        </w:rPr>
        <w:t>XX</w:t>
      </w:r>
      <w:r>
        <w:rPr>
          <w:rFonts w:ascii="仿宋_GB2312" w:hAnsi="Calibri" w:eastAsia="仿宋_GB2312"/>
          <w:color w:val="auto"/>
          <w:sz w:val="28"/>
          <w:szCs w:val="28"/>
        </w:rPr>
        <w:t>日</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000000"/>
          <w:sz w:val="28"/>
          <w:szCs w:val="28"/>
        </w:rPr>
        <w:t>每天上午08:00至12:00，下午12:00至</w:t>
      </w:r>
      <w:r>
        <w:rPr>
          <w:rFonts w:hint="eastAsia" w:ascii="仿宋_GB2312" w:hAnsi="仿宋_GB2312" w:eastAsia="仿宋_GB2312" w:cs="仿宋_GB2312"/>
          <w:sz w:val="28"/>
          <w:szCs w:val="28"/>
        </w:rPr>
        <w:t>21:00</w:t>
      </w:r>
      <w:r>
        <w:rPr>
          <w:rFonts w:hint="eastAsia" w:ascii="仿宋_GB2312" w:hAnsi="仿宋_GB2312" w:eastAsia="仿宋_GB2312" w:cs="仿宋_GB2312"/>
          <w:color w:val="000000"/>
          <w:sz w:val="28"/>
          <w:szCs w:val="28"/>
        </w:rPr>
        <w:t>（北京时间，法定节假日除外）</w:t>
      </w:r>
    </w:p>
    <w:p w14:paraId="074A6D89">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地点（网址）：</w:t>
      </w:r>
      <w:r>
        <w:rPr>
          <w:rFonts w:hint="eastAsia" w:ascii="仿宋_GB2312" w:hAnsi="仿宋_GB2312" w:eastAsia="仿宋_GB2312" w:cs="仿宋_GB2312"/>
          <w:sz w:val="28"/>
          <w:szCs w:val="28"/>
        </w:rPr>
        <w:t>广西政府采购云平台（https://www.gcy.zfcg.gxzf.gov.cn/）</w:t>
      </w:r>
    </w:p>
    <w:p w14:paraId="4C32A254">
      <w:pPr>
        <w:spacing w:line="480" w:lineRule="exact"/>
        <w:ind w:right="-21" w:rightChars="-10" w:firstLine="560" w:firstLineChars="200"/>
        <w:rPr>
          <w:rFonts w:hint="eastAsia"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方式：</w:t>
      </w:r>
      <w:r>
        <w:rPr>
          <w:rFonts w:hint="eastAsia" w:ascii="仿宋_GB2312" w:hAnsi="仿宋_GB2312" w:eastAsia="仿宋_GB2312" w:cs="仿宋_GB2312"/>
          <w:sz w:val="28"/>
          <w:szCs w:val="28"/>
        </w:rPr>
        <w:t>线上获取。登录广西政府采购云平台（https://www.gcy.zfcg.gxzf.gov.cn/），在“工作台”—“项目采购”—“获取采购文件”选择本项目，点击“申请获取采购文件”进行申请提交后，在已申请栏中选择下载本项目招标文件。提示：1.未注册的供应商可在广西政府采购云平台完成注册后再行获取招标文件。2.供应商只有在“广西政府采购云平台”完成获取招标文件申请并下载了招标文件后才视作依法获取招标文件（法律法规所指的供应商获取招标文件时间以供应商完成获取招标文件申请后下载招标文件的时间为准）。3.已获取招标文件的投标人不等于符合本项目的投标人资格。</w:t>
      </w:r>
    </w:p>
    <w:p w14:paraId="7EE9DA6A">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售价（元）：0</w:t>
      </w:r>
    </w:p>
    <w:p w14:paraId="0E72BD91">
      <w:pPr>
        <w:pStyle w:val="4"/>
        <w:spacing w:line="400" w:lineRule="exact"/>
        <w:ind w:right="-21" w:rightChars="-10" w:firstLine="562" w:firstLineChars="200"/>
        <w:jc w:val="both"/>
        <w:rPr>
          <w:rFonts w:hint="eastAsia" w:ascii="黑体" w:hAnsi="黑体" w:eastAsia="黑体" w:cs="黑体"/>
          <w:bCs/>
          <w:sz w:val="28"/>
          <w:szCs w:val="28"/>
        </w:rPr>
      </w:pPr>
      <w:bookmarkStart w:id="8" w:name="_Toc28359005"/>
      <w:bookmarkStart w:id="9" w:name="_Toc28359082"/>
      <w:bookmarkStart w:id="10" w:name="_Toc35393624"/>
      <w:bookmarkStart w:id="11" w:name="_Toc35393793"/>
      <w:r>
        <w:rPr>
          <w:rFonts w:hint="eastAsia" w:ascii="黑体" w:hAnsi="黑体" w:eastAsia="黑体" w:cs="黑体"/>
          <w:bCs/>
          <w:sz w:val="28"/>
          <w:szCs w:val="28"/>
        </w:rPr>
        <w:t>四、</w:t>
      </w:r>
      <w:bookmarkEnd w:id="8"/>
      <w:r>
        <w:rPr>
          <w:rFonts w:hint="eastAsia" w:ascii="黑体" w:hAnsi="黑体" w:eastAsia="黑体" w:cs="黑体"/>
          <w:bCs/>
          <w:color w:val="000000"/>
          <w:sz w:val="28"/>
          <w:szCs w:val="28"/>
        </w:rPr>
        <w:t>提交投标文件截止时间、开标时间和地点</w:t>
      </w:r>
    </w:p>
    <w:p w14:paraId="51742C19">
      <w:pPr>
        <w:spacing w:line="400" w:lineRule="exact"/>
        <w:ind w:right="-21" w:rightChars="-10" w:firstLine="560" w:firstLineChars="200"/>
        <w:rPr>
          <w:rFonts w:hint="eastAsia" w:ascii="仿宋" w:hAnsi="仿宋" w:eastAsia="仿宋"/>
          <w:bCs/>
          <w:color w:val="auto"/>
          <w:sz w:val="28"/>
          <w:szCs w:val="28"/>
          <w:u w:val="single"/>
        </w:rPr>
      </w:pPr>
      <w:r>
        <w:rPr>
          <w:rFonts w:hint="eastAsia" w:ascii="仿宋_GB2312" w:hAnsi="仿宋_GB2312" w:eastAsia="仿宋_GB2312" w:cs="仿宋_GB2312"/>
          <w:color w:val="000000"/>
          <w:sz w:val="28"/>
          <w:szCs w:val="28"/>
        </w:rPr>
        <w:t>提交投标文件截止</w:t>
      </w:r>
      <w:r>
        <w:rPr>
          <w:rFonts w:hint="eastAsia" w:ascii="仿宋_GB2312" w:hAnsi="仿宋_GB2312" w:eastAsia="仿宋_GB2312" w:cs="仿宋_GB2312"/>
          <w:color w:val="auto"/>
          <w:sz w:val="28"/>
          <w:szCs w:val="28"/>
        </w:rPr>
        <w:t>时间：</w:t>
      </w:r>
      <w:r>
        <w:rPr>
          <w:rFonts w:ascii="仿宋_GB2312" w:hAnsi="仿宋_GB2312" w:eastAsia="仿宋_GB2312" w:cs="仿宋_GB2312"/>
          <w:bCs/>
          <w:color w:val="auto"/>
          <w:sz w:val="28"/>
          <w:szCs w:val="28"/>
        </w:rPr>
        <w:t>2025年</w:t>
      </w:r>
      <w:r>
        <w:rPr>
          <w:rFonts w:hint="eastAsia" w:ascii="仿宋_GB2312" w:hAnsi="仿宋_GB2312" w:eastAsia="仿宋_GB2312" w:cs="仿宋_GB2312"/>
          <w:bCs/>
          <w:color w:val="auto"/>
          <w:sz w:val="28"/>
          <w:szCs w:val="28"/>
          <w:lang w:val="en-US" w:eastAsia="zh-CN"/>
        </w:rPr>
        <w:t>XX</w:t>
      </w:r>
      <w:r>
        <w:rPr>
          <w:rFonts w:ascii="仿宋_GB2312" w:hAnsi="仿宋_GB2312" w:eastAsia="仿宋_GB2312" w:cs="仿宋_GB2312"/>
          <w:bCs/>
          <w:color w:val="auto"/>
          <w:sz w:val="28"/>
          <w:szCs w:val="28"/>
        </w:rPr>
        <w:t>月</w:t>
      </w:r>
      <w:r>
        <w:rPr>
          <w:rFonts w:hint="eastAsia" w:ascii="仿宋_GB2312" w:hAnsi="仿宋_GB2312" w:eastAsia="仿宋_GB2312" w:cs="仿宋_GB2312"/>
          <w:bCs/>
          <w:color w:val="auto"/>
          <w:sz w:val="28"/>
          <w:szCs w:val="28"/>
          <w:lang w:val="en-US" w:eastAsia="zh-CN"/>
        </w:rPr>
        <w:t>XX</w:t>
      </w:r>
      <w:r>
        <w:rPr>
          <w:rFonts w:ascii="仿宋_GB2312" w:hAnsi="仿宋_GB2312" w:eastAsia="仿宋_GB2312" w:cs="仿宋_GB2312"/>
          <w:bCs/>
          <w:color w:val="auto"/>
          <w:sz w:val="28"/>
          <w:szCs w:val="28"/>
        </w:rPr>
        <w:t>日 09:20</w:t>
      </w:r>
      <w:r>
        <w:rPr>
          <w:rFonts w:hint="eastAsia" w:ascii="仿宋_GB2312" w:eastAsia="仿宋_GB2312"/>
          <w:color w:val="auto"/>
          <w:sz w:val="28"/>
          <w:szCs w:val="28"/>
        </w:rPr>
        <w:t>（北京时间）</w:t>
      </w:r>
    </w:p>
    <w:p w14:paraId="5EA31E16">
      <w:pPr>
        <w:spacing w:line="480" w:lineRule="exact"/>
        <w:ind w:right="-21" w:rightChars="-10" w:firstLine="560" w:firstLineChars="200"/>
        <w:rPr>
          <w:rFonts w:hint="eastAsia" w:ascii="仿宋_GB2312" w:hAnsi="仿宋_GB2312" w:eastAsia="仿宋_GB2312" w:cs="仿宋_GB2312"/>
          <w:bCs/>
          <w:color w:val="auto"/>
          <w:sz w:val="28"/>
          <w:szCs w:val="28"/>
        </w:rPr>
      </w:pPr>
      <w:r>
        <w:rPr>
          <w:rFonts w:hint="eastAsia" w:ascii="仿宋_GB2312" w:hAnsi="仿宋_GB2312" w:eastAsia="仿宋_GB2312" w:cs="仿宋_GB2312"/>
          <w:color w:val="auto"/>
          <w:sz w:val="28"/>
          <w:szCs w:val="28"/>
        </w:rPr>
        <w:t>投标地点（网址）：广西政府采购云平台（https://www.gcy.zfcg.gxzf.gov.cn/）</w:t>
      </w:r>
      <w:r>
        <w:rPr>
          <w:rFonts w:ascii="仿宋" w:hAnsi="仿宋" w:eastAsia="仿宋" w:cs="仿宋"/>
          <w:color w:val="auto"/>
          <w:sz w:val="27"/>
          <w:szCs w:val="27"/>
        </w:rPr>
        <w:t>（</w:t>
      </w:r>
      <w:r>
        <w:rPr>
          <w:rFonts w:hint="eastAsia" w:ascii="仿宋_GB2312" w:hAnsi="仿宋_GB2312" w:eastAsia="仿宋_GB2312" w:cs="仿宋_GB2312"/>
          <w:bCs/>
          <w:color w:val="auto"/>
          <w:sz w:val="28"/>
          <w:szCs w:val="28"/>
        </w:rPr>
        <w:t>投标人应当在提交投标文件截止时间前完成电子投标文件的传输提交，提交截止时间前可以补充、修改或者撤回电子投标文件。补充或者修改电子投标文件的，应当先行撤回原文件，补充、修改后重新传输提交。提交投标文件截止时间前未完成传输的，视为撤回电子投标文件。提交投标文件截止时间后提交的电子投标文件，及</w:t>
      </w:r>
      <w:r>
        <w:rPr>
          <w:rFonts w:hint="eastAsia" w:ascii="仿宋_GB2312" w:hAnsi="仿宋_GB2312" w:eastAsia="仿宋_GB2312" w:cs="仿宋_GB2312"/>
          <w:color w:val="auto"/>
          <w:sz w:val="28"/>
          <w:szCs w:val="28"/>
        </w:rPr>
        <w:t>未按规定编制并加密的电子投标文件，</w:t>
      </w:r>
      <w:r>
        <w:rPr>
          <w:rFonts w:hint="eastAsia" w:ascii="仿宋_GB2312" w:hAnsi="仿宋_GB2312" w:eastAsia="仿宋_GB2312" w:cs="仿宋_GB2312"/>
          <w:bCs/>
          <w:color w:val="auto"/>
          <w:sz w:val="28"/>
          <w:szCs w:val="28"/>
        </w:rPr>
        <w:t>将被广西政府采购云平台拒收。</w:t>
      </w:r>
      <w:r>
        <w:rPr>
          <w:rFonts w:ascii="仿宋" w:hAnsi="仿宋" w:eastAsia="仿宋" w:cs="仿宋"/>
          <w:color w:val="auto"/>
          <w:sz w:val="27"/>
          <w:szCs w:val="27"/>
        </w:rPr>
        <w:t>）</w:t>
      </w:r>
    </w:p>
    <w:p w14:paraId="49D5DBC6">
      <w:pPr>
        <w:spacing w:line="480" w:lineRule="exact"/>
        <w:ind w:right="-21" w:rightChars="-10"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开标时间：</w:t>
      </w:r>
      <w:r>
        <w:rPr>
          <w:rFonts w:ascii="仿宋_GB2312" w:eastAsia="仿宋_GB2312"/>
          <w:bCs/>
          <w:color w:val="auto"/>
          <w:sz w:val="28"/>
          <w:szCs w:val="28"/>
        </w:rPr>
        <w:t>2025年</w:t>
      </w:r>
      <w:r>
        <w:rPr>
          <w:rFonts w:hint="eastAsia" w:ascii="仿宋_GB2312" w:eastAsia="仿宋_GB2312"/>
          <w:bCs/>
          <w:color w:val="auto"/>
          <w:sz w:val="28"/>
          <w:szCs w:val="28"/>
          <w:lang w:val="en-US" w:eastAsia="zh-CN"/>
        </w:rPr>
        <w:t>XX</w:t>
      </w:r>
      <w:r>
        <w:rPr>
          <w:rFonts w:ascii="仿宋_GB2312" w:eastAsia="仿宋_GB2312"/>
          <w:bCs/>
          <w:color w:val="auto"/>
          <w:sz w:val="28"/>
          <w:szCs w:val="28"/>
        </w:rPr>
        <w:t>月</w:t>
      </w:r>
      <w:r>
        <w:rPr>
          <w:rFonts w:hint="eastAsia" w:ascii="仿宋_GB2312" w:eastAsia="仿宋_GB2312"/>
          <w:bCs/>
          <w:color w:val="auto"/>
          <w:sz w:val="28"/>
          <w:szCs w:val="28"/>
          <w:lang w:val="en-US" w:eastAsia="zh-CN"/>
        </w:rPr>
        <w:t>XX</w:t>
      </w:r>
      <w:r>
        <w:rPr>
          <w:rFonts w:ascii="仿宋_GB2312" w:eastAsia="仿宋_GB2312"/>
          <w:bCs/>
          <w:color w:val="auto"/>
          <w:sz w:val="28"/>
          <w:szCs w:val="28"/>
        </w:rPr>
        <w:t>日 09:20</w:t>
      </w:r>
    </w:p>
    <w:p w14:paraId="76F8E960">
      <w:pPr>
        <w:spacing w:line="480" w:lineRule="exact"/>
        <w:ind w:right="-21" w:rightChars="-10"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color w:val="000000"/>
          <w:sz w:val="28"/>
          <w:szCs w:val="28"/>
        </w:rPr>
        <w:t> 开标地点：</w:t>
      </w:r>
      <w:r>
        <w:rPr>
          <w:rFonts w:hint="eastAsia" w:ascii="仿宋_GB2312" w:hAnsi="仿宋_GB2312" w:eastAsia="仿宋_GB2312" w:cs="仿宋_GB2312"/>
          <w:sz w:val="28"/>
          <w:szCs w:val="28"/>
        </w:rPr>
        <w:t>广西政府采购云平台（https://www.gcy.zfcg.gxzf.gov.cn/）</w:t>
      </w:r>
    </w:p>
    <w:p w14:paraId="4094456A">
      <w:pPr>
        <w:pStyle w:val="4"/>
        <w:spacing w:line="400" w:lineRule="exact"/>
        <w:ind w:right="-21" w:rightChars="-10" w:firstLine="562" w:firstLineChars="200"/>
        <w:jc w:val="both"/>
        <w:rPr>
          <w:rFonts w:hint="eastAsia" w:ascii="黑体" w:hAnsi="黑体" w:eastAsia="黑体" w:cs="黑体"/>
          <w:bCs/>
          <w:sz w:val="28"/>
          <w:szCs w:val="28"/>
        </w:rPr>
      </w:pPr>
      <w:bookmarkStart w:id="12" w:name="_Toc35393625"/>
      <w:bookmarkStart w:id="13" w:name="_Toc28359007"/>
      <w:bookmarkStart w:id="14" w:name="_Toc28359084"/>
      <w:bookmarkStart w:id="15" w:name="_Toc35393794"/>
      <w:r>
        <w:rPr>
          <w:rFonts w:hint="eastAsia" w:ascii="黑体" w:hAnsi="黑体" w:eastAsia="黑体" w:cs="黑体"/>
          <w:bCs/>
          <w:sz w:val="28"/>
          <w:szCs w:val="28"/>
        </w:rPr>
        <w:t>五、公告期限</w:t>
      </w:r>
      <w:bookmarkEnd w:id="12"/>
      <w:bookmarkEnd w:id="13"/>
      <w:bookmarkEnd w:id="14"/>
      <w:bookmarkEnd w:id="15"/>
    </w:p>
    <w:p w14:paraId="75358DE3">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自本公告发布之日起5个工作日。</w:t>
      </w:r>
    </w:p>
    <w:p w14:paraId="42EF2787">
      <w:pPr>
        <w:pStyle w:val="4"/>
        <w:spacing w:line="400" w:lineRule="exact"/>
        <w:ind w:right="-21" w:rightChars="-10" w:firstLine="562" w:firstLineChars="200"/>
        <w:jc w:val="both"/>
        <w:rPr>
          <w:rFonts w:hint="eastAsia" w:ascii="仿宋_GB2312" w:hAnsi="仿宋_GB2312" w:eastAsia="仿宋_GB2312" w:cs="仿宋_GB2312"/>
          <w:bCs/>
          <w:sz w:val="28"/>
          <w:szCs w:val="28"/>
        </w:rPr>
      </w:pPr>
      <w:bookmarkStart w:id="16" w:name="_Toc35393626"/>
      <w:bookmarkStart w:id="17" w:name="_Toc35393795"/>
      <w:r>
        <w:rPr>
          <w:rFonts w:hint="eastAsia" w:ascii="黑体" w:hAnsi="黑体" w:eastAsia="黑体" w:cs="黑体"/>
          <w:bCs/>
          <w:sz w:val="28"/>
          <w:szCs w:val="28"/>
        </w:rPr>
        <w:t>六、其他补充事宜</w:t>
      </w:r>
      <w:bookmarkEnd w:id="16"/>
      <w:bookmarkEnd w:id="17"/>
    </w:p>
    <w:p w14:paraId="5A4C6B44">
      <w:pPr>
        <w:pStyle w:val="74"/>
        <w:spacing w:line="400" w:lineRule="exact"/>
        <w:ind w:right="-21" w:rightChars="-10"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（一）是否专门面向中小微企业采购：否</w:t>
      </w:r>
      <w:r>
        <w:rPr>
          <w:rFonts w:hint="eastAsia" w:ascii="仿宋_GB2312" w:hAnsi="仿宋_GB2312" w:eastAsia="仿宋_GB2312" w:cs="仿宋_GB2312"/>
          <w:b/>
          <w:bCs/>
          <w:sz w:val="28"/>
          <w:szCs w:val="28"/>
        </w:rPr>
        <w:cr/>
      </w:r>
      <w:r>
        <w:rPr>
          <w:rFonts w:hint="eastAsia" w:ascii="仿宋_GB2312" w:hAnsi="仿宋_GB2312" w:eastAsia="仿宋_GB2312" w:cs="仿宋_GB2312"/>
          <w:b/>
          <w:bCs/>
          <w:sz w:val="28"/>
          <w:szCs w:val="28"/>
        </w:rPr>
        <w:t xml:space="preserve">    </w:t>
      </w:r>
      <w:bookmarkStart w:id="18" w:name="_Hlk102729449"/>
      <w:r>
        <w:rPr>
          <w:rFonts w:hint="eastAsia" w:ascii="仿宋_GB2312" w:hAnsi="仿宋_GB2312" w:eastAsia="仿宋_GB2312" w:cs="仿宋_GB2312"/>
          <w:b/>
          <w:bCs/>
          <w:sz w:val="28"/>
          <w:szCs w:val="28"/>
        </w:rPr>
        <w:t>（二）</w:t>
      </w:r>
      <w:bookmarkEnd w:id="18"/>
      <w:r>
        <w:rPr>
          <w:rFonts w:hint="eastAsia" w:ascii="仿宋_GB2312" w:hAnsi="仿宋_GB2312" w:eastAsia="仿宋_GB2312" w:cs="仿宋_GB2312"/>
          <w:b/>
          <w:bCs/>
          <w:sz w:val="28"/>
          <w:szCs w:val="28"/>
        </w:rPr>
        <w:t>投标保证金：</w:t>
      </w:r>
      <w:r>
        <w:rPr>
          <w:rFonts w:hint="eastAsia" w:ascii="仿宋_GB2312" w:hAnsi="仿宋_GB2312" w:eastAsia="仿宋_GB2312" w:cs="仿宋_GB2312"/>
          <w:sz w:val="28"/>
          <w:szCs w:val="28"/>
        </w:rPr>
        <w:t>本项目无须提交投标保证金。</w:t>
      </w:r>
    </w:p>
    <w:p w14:paraId="00C66A9F">
      <w:pPr>
        <w:pStyle w:val="74"/>
        <w:spacing w:line="420" w:lineRule="exact"/>
        <w:ind w:firstLine="562"/>
        <w:rPr>
          <w:rFonts w:hint="eastAsia" w:ascii="仿宋_GB2312" w:hAnsi="仿宋_GB2312" w:eastAsia="仿宋_GB2312" w:cs="仿宋_GB2312"/>
          <w:sz w:val="28"/>
          <w:szCs w:val="28"/>
        </w:rPr>
      </w:pPr>
      <w:bookmarkStart w:id="19" w:name="_Hlk102729456"/>
      <w:r>
        <w:rPr>
          <w:rFonts w:hint="eastAsia" w:ascii="仿宋_GB2312" w:hAnsi="仿宋_GB2312" w:eastAsia="仿宋_GB2312" w:cs="仿宋_GB2312"/>
          <w:b/>
          <w:bCs/>
          <w:sz w:val="28"/>
          <w:szCs w:val="28"/>
        </w:rPr>
        <w:t>（三）</w:t>
      </w:r>
      <w:bookmarkEnd w:id="19"/>
      <w:r>
        <w:rPr>
          <w:rFonts w:hint="eastAsia" w:ascii="仿宋_GB2312" w:hAnsi="仿宋_GB2312" w:eastAsia="仿宋_GB2312" w:cs="仿宋_GB2312"/>
          <w:b/>
          <w:bCs/>
          <w:sz w:val="28"/>
          <w:szCs w:val="28"/>
        </w:rPr>
        <w:t>发布媒体：</w:t>
      </w:r>
      <w:r>
        <w:rPr>
          <w:rFonts w:hint="eastAsia" w:ascii="仿宋_GB2312" w:hAnsi="仿宋_GB2312" w:eastAsia="仿宋_GB2312" w:cs="仿宋_GB2312"/>
          <w:sz w:val="28"/>
          <w:szCs w:val="28"/>
        </w:rPr>
        <w:t>中国政府采购网（www.ccgp.gov.cn）、广西壮族自治区政府采购网（zfcg.gxzf.gov.cn）、柳州市政府采购网（zfcg.lzscz.liuzhou.gov.cn）。</w:t>
      </w:r>
    </w:p>
    <w:p w14:paraId="43FC299D">
      <w:pPr>
        <w:pStyle w:val="74"/>
        <w:spacing w:line="420" w:lineRule="exact"/>
        <w:ind w:firstLine="560"/>
        <w:rPr>
          <w:rFonts w:hint="eastAsia" w:ascii="仿宋_GB2312" w:hAnsi="仿宋_GB2312" w:eastAsia="仿宋_GB2312" w:cs="仿宋_GB2312"/>
          <w:sz w:val="28"/>
          <w:szCs w:val="28"/>
        </w:rPr>
      </w:pPr>
      <w:bookmarkStart w:id="20" w:name="_Hlk102729465"/>
      <w:bookmarkStart w:id="21" w:name="_Hlk93681467"/>
      <w:r>
        <w:rPr>
          <w:rFonts w:hint="eastAsia" w:ascii="仿宋_GB2312" w:hAnsi="仿宋_GB2312" w:eastAsia="仿宋_GB2312" w:cs="仿宋_GB2312"/>
          <w:sz w:val="28"/>
          <w:szCs w:val="28"/>
        </w:rPr>
        <w:t>（四）</w:t>
      </w:r>
      <w:bookmarkEnd w:id="20"/>
      <w:r>
        <w:rPr>
          <w:rFonts w:ascii="仿宋_GB2312" w:hAnsi="仿宋_GB2312" w:eastAsia="仿宋_GB2312" w:cs="仿宋_GB2312"/>
          <w:sz w:val="28"/>
          <w:szCs w:val="28"/>
        </w:rPr>
        <w:t>本项目需要落实的政府采购政策：</w:t>
      </w:r>
      <w:r>
        <w:rPr>
          <w:rFonts w:hint="eastAsia" w:ascii="仿宋_GB2312" w:hAnsi="仿宋_GB2312" w:eastAsia="仿宋_GB2312" w:cs="仿宋_GB2312"/>
          <w:sz w:val="28"/>
          <w:szCs w:val="28"/>
        </w:rPr>
        <w:t>落实强制采购的节能产品、鼓励节能政策、鼓励环保政策、促进中小企业发展政策、支持监狱企业发展政策、促进残疾人就业政府采购政策。如需进一步了解详细内容，详见公开招标文件第二章《采购需求》及第四章《评标方法及评标标准》。</w:t>
      </w:r>
    </w:p>
    <w:bookmarkEnd w:id="21"/>
    <w:p w14:paraId="6210B019">
      <w:pPr>
        <w:spacing w:line="420" w:lineRule="exact"/>
        <w:ind w:firstLine="560" w:firstLineChars="200"/>
        <w:rPr>
          <w:rFonts w:hint="eastAsia" w:ascii="仿宋_GB2312" w:hAnsi="仿宋_GB2312" w:eastAsia="仿宋_GB2312" w:cs="仿宋_GB2312"/>
          <w:sz w:val="28"/>
          <w:szCs w:val="28"/>
        </w:rPr>
      </w:pPr>
      <w:bookmarkStart w:id="22" w:name="_Hlk102729471"/>
      <w:r>
        <w:rPr>
          <w:rFonts w:hint="eastAsia" w:ascii="仿宋_GB2312" w:hAnsi="仿宋_GB2312" w:eastAsia="仿宋_GB2312" w:cs="仿宋_GB2312"/>
          <w:sz w:val="28"/>
          <w:szCs w:val="28"/>
        </w:rPr>
        <w:t>（五）</w:t>
      </w:r>
      <w:bookmarkEnd w:id="22"/>
      <w:r>
        <w:rPr>
          <w:rFonts w:hint="eastAsia" w:ascii="仿宋_GB2312" w:hAnsi="仿宋_GB2312" w:eastAsia="仿宋_GB2312" w:cs="仿宋_GB2312"/>
          <w:sz w:val="28"/>
          <w:szCs w:val="28"/>
        </w:rPr>
        <w:t>对在“信用中国”网站(www.creditchina.gov.cn)、中国政府采购网(www.ccgp.gov.cn)等渠道列入失信被执行人、重大税收违法案件当事人名单、政府采购严重违法失信行为记录名单的投标人，不得参与政府采购活动。</w:t>
      </w:r>
    </w:p>
    <w:p w14:paraId="410AA085">
      <w:pPr>
        <w:spacing w:line="42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（六）根据《柳州市财政局 人民银行柳州市中心支行 关于进一步做好线上“政采贷”融资工作的通知》（柳财采〔2022〕19号），供应商可凭中标通知书、政府采购合同，通过中征应收账款融资服务平台向银行在线申请“政采贷”融资。</w:t>
      </w:r>
    </w:p>
    <w:p w14:paraId="466DFD9B">
      <w:pPr>
        <w:spacing w:line="42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（七）投标人参与电子投标特别说明</w:t>
      </w:r>
    </w:p>
    <w:p w14:paraId="02CF62CA">
      <w:pPr>
        <w:pStyle w:val="74"/>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1.本项目通过广西政府采购云平台实行电子投标，投标人应按照本项目公开招标文件和广西政府采购云平台的要求，通过“广西政府采购云平台客户端”编制、加密并提交电子投标文件。</w:t>
      </w:r>
    </w:p>
    <w:p w14:paraId="690D1A37">
      <w:pPr>
        <w:pStyle w:val="74"/>
        <w:wordWrap w:val="0"/>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2.参与电子标的投标人必须为广西政府采购云平台的正式供应商且申领CA证书，</w:t>
      </w:r>
      <w:r>
        <w:rPr>
          <w:rFonts w:hint="eastAsia" w:ascii="仿宋_GB2312" w:hAnsi="仿宋_GB2312" w:eastAsia="仿宋_GB2312" w:cs="仿宋_GB2312"/>
          <w:b/>
          <w:bCs/>
          <w:sz w:val="28"/>
          <w:szCs w:val="28"/>
        </w:rPr>
        <w:t>各投标人应在开标前及时完成</w:t>
      </w:r>
      <w:r>
        <w:rPr>
          <w:rFonts w:hint="eastAsia" w:ascii="仿宋_GB2312" w:hAnsi="仿宋_GB2312" w:eastAsia="仿宋_GB2312" w:cs="仿宋_GB2312"/>
          <w:sz w:val="28"/>
          <w:szCs w:val="28"/>
        </w:rPr>
        <w:t>平台注册、CA证书申领、CA证书绑定、下载投标客户端，熟悉并掌握广西政府采购云平台电子标系统操作。</w:t>
      </w:r>
    </w:p>
    <w:p w14:paraId="5E57C15F">
      <w:pPr>
        <w:pStyle w:val="74"/>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投标人应及时熟悉掌握电子标系统操作指南（见广西政府采购云平台电子卖场首页—服务中心—帮助中心—项目采购）</w:t>
      </w:r>
    </w:p>
    <w:p w14:paraId="79344BA8">
      <w:pPr>
        <w:pStyle w:val="74"/>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w:t>
      </w:r>
      <w:r>
        <w:rPr>
          <w:rFonts w:ascii="仿宋_GB2312" w:hAnsi="仿宋_GB2312" w:eastAsia="仿宋_GB2312" w:cs="仿宋_GB2312"/>
          <w:sz w:val="28"/>
          <w:szCs w:val="28"/>
        </w:rPr>
        <w:t>应及时完成CA申领和绑定（见广西壮族自治区政府采购网—办事服务—下载专区-政采云CA证书办理操作指南）</w:t>
      </w:r>
      <w:r>
        <w:rPr>
          <w:rFonts w:hint="eastAsia" w:ascii="仿宋_GB2312" w:hAnsi="仿宋_GB2312" w:eastAsia="仿宋_GB2312" w:cs="仿宋_GB2312"/>
          <w:sz w:val="28"/>
          <w:szCs w:val="28"/>
        </w:rPr>
        <w:t>：</w:t>
      </w:r>
    </w:p>
    <w:p w14:paraId="5BB90B8E">
      <w:pPr>
        <w:pStyle w:val="74"/>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http://www.ccgp-guangxi.gov.cn/luban/detail?parentId=66479&amp;articleId=giG2hxujOLVnOuVjZr6wgQ</w:t>
      </w:r>
    </w:p>
    <w:p w14:paraId="170C4540">
      <w:pPr>
        <w:pStyle w:val="74"/>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b/>
          <w:bCs/>
          <w:sz w:val="28"/>
          <w:szCs w:val="28"/>
        </w:rPr>
        <w:t>各投标人通过新平台参与政府采购项目投标需下载使用新版客户端，广西政府采购云平台客户端</w:t>
      </w:r>
      <w:r>
        <w:rPr>
          <w:rFonts w:hint="eastAsia" w:ascii="仿宋_GB2312" w:hAnsi="仿宋_GB2312" w:eastAsia="仿宋_GB2312" w:cs="仿宋_GB2312"/>
          <w:sz w:val="28"/>
          <w:szCs w:val="28"/>
        </w:rPr>
        <w:t>软件请投标人自行前往下载并安装：</w:t>
      </w:r>
    </w:p>
    <w:p w14:paraId="3E9C6EAE">
      <w:pPr>
        <w:pStyle w:val="74"/>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http://www.ccgp-guangxi.gov.cn/site/detail?parentId=66479&amp;articleId=+06E5n62B1RzrGh0ew1OFg==&amp;utm=site.site-PC-38919.1024-pc-wsg-secondLevelPage-front.1.5057b2c0cef811ee9fd599f289f082d5</w:t>
      </w:r>
    </w:p>
    <w:p w14:paraId="32DF0DD3">
      <w:pPr>
        <w:spacing w:line="4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电子标项目不要求参与投标的投标人到现场，但投标人应派法定代表人或委托代理人准时在线出席电子开评标会议，随时关注开评标进度，如在开评标过程中有电子询标，应在规定的时间内对电子询标函进行澄清回复。</w:t>
      </w:r>
    </w:p>
    <w:p w14:paraId="5A63E73F">
      <w:pPr>
        <w:pStyle w:val="74"/>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4.因未注册广西政府采购云平台、未办理CA证书、CA证书故障、操作不当等原因造成无法投标或投标失败等后果由投标人自行承担；</w:t>
      </w:r>
    </w:p>
    <w:p w14:paraId="7C746828">
      <w:pPr>
        <w:pStyle w:val="74"/>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5.投标人在使用广西政府采购云平台参与投标过程中遇到涉及平台使用的任何问题，可致电广西政府采购云平台技术支持热线咨询，联系方式：</w:t>
      </w:r>
      <w:r>
        <w:rPr>
          <w:rFonts w:ascii="仿宋_GB2312" w:hAnsi="仿宋_GB2312" w:eastAsia="仿宋_GB2312" w:cs="仿宋_GB2312"/>
          <w:b/>
          <w:bCs/>
          <w:sz w:val="28"/>
          <w:szCs w:val="28"/>
        </w:rPr>
        <w:t>95763</w:t>
      </w:r>
      <w:r>
        <w:rPr>
          <w:rFonts w:hint="eastAsia" w:ascii="仿宋_GB2312" w:hAnsi="仿宋_GB2312" w:eastAsia="仿宋_GB2312" w:cs="仿宋_GB2312"/>
          <w:b/>
          <w:bCs/>
          <w:sz w:val="28"/>
          <w:szCs w:val="28"/>
        </w:rPr>
        <w:t>。</w:t>
      </w:r>
    </w:p>
    <w:p w14:paraId="748B228E">
      <w:pPr>
        <w:pStyle w:val="4"/>
        <w:spacing w:line="400" w:lineRule="exact"/>
        <w:ind w:right="-21" w:rightChars="-10" w:firstLine="562" w:firstLineChars="200"/>
        <w:jc w:val="both"/>
        <w:rPr>
          <w:rFonts w:hint="eastAsia" w:ascii="黑体" w:hAnsi="黑体" w:eastAsia="黑体" w:cs="黑体"/>
          <w:b w:val="0"/>
          <w:sz w:val="28"/>
          <w:szCs w:val="28"/>
        </w:rPr>
      </w:pPr>
      <w:bookmarkStart w:id="23" w:name="_Toc28359008"/>
      <w:bookmarkStart w:id="24" w:name="_Toc35393627"/>
      <w:bookmarkStart w:id="25" w:name="_Toc28359085"/>
      <w:bookmarkStart w:id="26" w:name="_Toc35393796"/>
      <w:bookmarkStart w:id="27" w:name="_Hlk50569036"/>
      <w:r>
        <w:rPr>
          <w:rFonts w:hint="eastAsia" w:ascii="黑体" w:hAnsi="黑体" w:eastAsia="黑体" w:cs="黑体"/>
          <w:bCs/>
          <w:sz w:val="28"/>
          <w:szCs w:val="28"/>
        </w:rPr>
        <w:t>七、对本次招标提出询问，请按以下方式联系</w:t>
      </w:r>
      <w:bookmarkEnd w:id="23"/>
      <w:bookmarkEnd w:id="24"/>
      <w:bookmarkEnd w:id="25"/>
      <w:bookmarkEnd w:id="26"/>
    </w:p>
    <w:p w14:paraId="341162FF">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1.采购人信息</w:t>
      </w:r>
    </w:p>
    <w:p w14:paraId="209C3AA3">
      <w:pPr>
        <w:tabs>
          <w:tab w:val="left" w:pos="851"/>
        </w:tabs>
        <w:spacing w:line="400" w:lineRule="exact"/>
        <w:ind w:right="-21" w:rightChars="-10" w:firstLine="560" w:firstLineChars="200"/>
        <w:rPr>
          <w:rFonts w:ascii="仿宋_GB2312" w:eastAsia="仿宋_GB2312"/>
          <w:color w:val="FF0000"/>
          <w:sz w:val="28"/>
          <w:szCs w:val="28"/>
        </w:rPr>
      </w:pPr>
      <w:r>
        <w:rPr>
          <w:rFonts w:hint="eastAsia" w:ascii="仿宋_GB2312" w:eastAsia="仿宋_GB2312"/>
          <w:sz w:val="28"/>
          <w:szCs w:val="28"/>
        </w:rPr>
        <w:t>名 称：</w:t>
      </w:r>
      <w:r>
        <w:rPr>
          <w:rFonts w:ascii="仿宋_GB2312" w:eastAsia="仿宋_GB2312"/>
          <w:sz w:val="28"/>
          <w:szCs w:val="28"/>
        </w:rPr>
        <w:t>柳州市旅游学校</w:t>
      </w:r>
    </w:p>
    <w:p w14:paraId="30C4EC9C">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址：柳州市柳江区兴柳路100号</w:t>
      </w:r>
    </w:p>
    <w:p w14:paraId="22F5413C">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杨钟珏</w:t>
      </w:r>
    </w:p>
    <w:p w14:paraId="10DFDE67">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0772-3718560</w:t>
      </w:r>
    </w:p>
    <w:p w14:paraId="567D38BF">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2.采购代理机构信息</w:t>
      </w:r>
    </w:p>
    <w:p w14:paraId="5C406326">
      <w:pPr>
        <w:tabs>
          <w:tab w:val="left" w:pos="851"/>
        </w:tabs>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名 称：柳州市政府集中采购中心</w:t>
      </w:r>
    </w:p>
    <w:p w14:paraId="4DB17C35">
      <w:pPr>
        <w:spacing w:line="400" w:lineRule="exact"/>
        <w:ind w:left="2100" w:right="-21" w:rightChars="-10" w:hanging="2100" w:hangingChars="750"/>
        <w:rPr>
          <w:rFonts w:ascii="仿宋_GB2312" w:eastAsia="仿宋_GB2312"/>
          <w:sz w:val="28"/>
          <w:szCs w:val="28"/>
        </w:rPr>
      </w:pPr>
      <w:r>
        <w:rPr>
          <w:rFonts w:hint="eastAsia" w:ascii="仿宋_GB2312" w:eastAsia="仿宋_GB2312"/>
          <w:sz w:val="28"/>
          <w:szCs w:val="28"/>
        </w:rPr>
        <w:t xml:space="preserve">    地 址：广西</w:t>
      </w:r>
      <w:r>
        <w:rPr>
          <w:rFonts w:ascii="仿宋_GB2312" w:eastAsia="仿宋_GB2312"/>
          <w:sz w:val="28"/>
          <w:szCs w:val="28"/>
        </w:rPr>
        <w:t>柳州市三中路6</w:t>
      </w:r>
      <w:r>
        <w:rPr>
          <w:rFonts w:hint="eastAsia" w:ascii="仿宋_GB2312" w:eastAsia="仿宋_GB2312"/>
          <w:sz w:val="28"/>
          <w:szCs w:val="28"/>
        </w:rPr>
        <w:t>4-2</w:t>
      </w:r>
      <w:r>
        <w:rPr>
          <w:rFonts w:ascii="仿宋_GB2312" w:eastAsia="仿宋_GB2312"/>
          <w:sz w:val="28"/>
          <w:szCs w:val="28"/>
        </w:rPr>
        <w:t>号</w:t>
      </w:r>
    </w:p>
    <w:p w14:paraId="02EC2382">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梁紫燕</w:t>
      </w:r>
    </w:p>
    <w:p w14:paraId="37EDFC29">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0772-2992003</w:t>
      </w:r>
      <w:bookmarkEnd w:id="27"/>
    </w:p>
    <w:p w14:paraId="4C3AA669">
      <w:pPr>
        <w:spacing w:line="400" w:lineRule="exact"/>
        <w:ind w:right="560"/>
        <w:rPr>
          <w:rFonts w:ascii="仿宋_GB2312" w:eastAsia="仿宋_GB2312"/>
          <w:sz w:val="28"/>
          <w:szCs w:val="28"/>
        </w:rPr>
        <w:sectPr>
          <w:footerReference r:id="rId7" w:type="default"/>
          <w:pgSz w:w="11906" w:h="16838"/>
          <w:pgMar w:top="1440" w:right="991" w:bottom="1440" w:left="1440" w:header="851" w:footer="992" w:gutter="0"/>
          <w:pgNumType w:start="1"/>
          <w:cols w:space="720" w:num="1"/>
          <w:docGrid w:linePitch="312" w:charSpace="0"/>
        </w:sectPr>
      </w:pPr>
    </w:p>
    <w:p w14:paraId="479C76CE">
      <w:pPr>
        <w:pStyle w:val="3"/>
        <w:spacing w:line="276" w:lineRule="auto"/>
        <w:jc w:val="center"/>
        <w:rPr>
          <w:rFonts w:hint="eastAsia" w:ascii="宋体" w:hAnsi="宋体"/>
          <w:sz w:val="32"/>
          <w:szCs w:val="32"/>
        </w:rPr>
      </w:pPr>
      <w:bookmarkStart w:id="28" w:name="_Toc22979"/>
      <w:r>
        <w:rPr>
          <w:rFonts w:hint="eastAsia" w:ascii="宋体" w:hAnsi="宋体"/>
          <w:sz w:val="32"/>
          <w:szCs w:val="32"/>
        </w:rPr>
        <w:t>第二章 采购需求</w:t>
      </w:r>
      <w:bookmarkEnd w:id="28"/>
    </w:p>
    <w:p w14:paraId="716D724D">
      <w:pPr>
        <w:spacing w:line="276" w:lineRule="auto"/>
        <w:ind w:right="-330" w:rightChars="-157" w:firstLine="482" w:firstLineChars="200"/>
        <w:rPr>
          <w:rFonts w:ascii="仿宋_GB2312" w:eastAsia="仿宋_GB2312"/>
          <w:b/>
          <w:bCs/>
          <w:sz w:val="24"/>
        </w:rPr>
      </w:pPr>
      <w:bookmarkStart w:id="29" w:name="_Hlk50569056"/>
      <w:r>
        <w:rPr>
          <w:rFonts w:hint="eastAsia" w:ascii="仿宋_GB2312" w:eastAsia="仿宋_GB2312"/>
          <w:b/>
          <w:bCs/>
          <w:sz w:val="24"/>
        </w:rPr>
        <w:t>说明：</w:t>
      </w:r>
    </w:p>
    <w:bookmarkEnd w:id="29"/>
    <w:p w14:paraId="40963352">
      <w:pPr>
        <w:spacing w:line="380" w:lineRule="exact"/>
        <w:ind w:right="-330" w:rightChars="-157" w:firstLine="482" w:firstLineChars="200"/>
        <w:rPr>
          <w:rFonts w:ascii="仿宋_GB2312" w:eastAsia="仿宋_GB2312"/>
          <w:b/>
          <w:bCs/>
          <w:color w:val="000000"/>
          <w:sz w:val="24"/>
        </w:rPr>
      </w:pPr>
      <w:bookmarkStart w:id="30" w:name="_Hlk93675025"/>
      <w:r>
        <w:rPr>
          <w:rFonts w:hint="eastAsia" w:ascii="仿宋_GB2312" w:eastAsia="仿宋_GB2312"/>
          <w:b/>
          <w:bCs/>
          <w:color w:val="000000"/>
          <w:sz w:val="24"/>
        </w:rPr>
        <w:t>（一）本一览表中的品牌、型号仅起参考作用，投标人可选用其他品牌型号替代，但这些替代的产品要实质上满足或优于参考品牌、型号及其技术参数性能（配置）要求。</w:t>
      </w:r>
    </w:p>
    <w:p w14:paraId="25D08F1B">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（二）本一览表中参考品牌、型号及技术参数性能（配置）不明确或有误的，或投标人选用其他品牌型号替代的，请说明品牌型号和详细、正确的技术参数性能（配置）同时填写投标报价明细表和技术响应表。</w:t>
      </w:r>
    </w:p>
    <w:p w14:paraId="392301F9">
      <w:pPr>
        <w:spacing w:line="380" w:lineRule="exact"/>
        <w:ind w:right="-330" w:rightChars="-157" w:firstLine="482" w:firstLineChars="200"/>
        <w:rPr>
          <w:rFonts w:ascii="仿宋_GB2312" w:eastAsia="仿宋_GB2312"/>
          <w:b/>
          <w:bCs/>
          <w:color w:val="000000"/>
          <w:sz w:val="24"/>
        </w:rPr>
      </w:pPr>
      <w:r>
        <w:rPr>
          <w:rFonts w:ascii="仿宋_GB2312" w:eastAsia="仿宋_GB2312"/>
          <w:b/>
          <w:bCs/>
          <w:color w:val="000000"/>
          <w:sz w:val="24"/>
        </w:rPr>
        <w:t>（三）标记“★”符号的为实质性响应内容，该内容仅限于“第二章 采购需求”，评审时投标人的响应内容发生负偏离一项</w:t>
      </w:r>
      <w:r>
        <w:rPr>
          <w:rFonts w:ascii="仿宋_GB2312" w:eastAsia="仿宋_GB2312"/>
          <w:b/>
          <w:bCs/>
          <w:color w:val="auto"/>
          <w:sz w:val="24"/>
        </w:rPr>
        <w:t>以上的，视为投标无效。非标记“★”符号的技术参数要求，评审时投标人的响应内容发生负偏离</w:t>
      </w:r>
      <w:r>
        <w:rPr>
          <w:rFonts w:hint="eastAsia" w:ascii="仿宋_GB2312" w:eastAsia="仿宋_GB2312"/>
          <w:b/>
          <w:bCs/>
          <w:color w:val="auto"/>
          <w:sz w:val="24"/>
          <w:lang w:eastAsia="zh-CN"/>
        </w:rPr>
        <w:t>五</w:t>
      </w:r>
      <w:r>
        <w:rPr>
          <w:rFonts w:ascii="仿宋_GB2312" w:eastAsia="仿宋_GB2312"/>
          <w:b/>
          <w:bCs/>
          <w:color w:val="auto"/>
          <w:sz w:val="24"/>
        </w:rPr>
        <w:t>项以上的，</w:t>
      </w:r>
      <w:r>
        <w:rPr>
          <w:rFonts w:ascii="仿宋_GB2312" w:eastAsia="仿宋_GB2312"/>
          <w:b/>
          <w:bCs/>
          <w:color w:val="000000"/>
          <w:sz w:val="24"/>
        </w:rPr>
        <w:t>视为投标无效。关于“项数”的规定，凡标有最低一级序号的指标项即为一项技术条款，无论是否隶属于上一级编号</w:t>
      </w:r>
      <w:r>
        <w:rPr>
          <w:rFonts w:hint="eastAsia" w:ascii="仿宋_GB2312" w:eastAsia="仿宋_GB2312"/>
          <w:b/>
          <w:bCs/>
          <w:color w:val="000000"/>
          <w:sz w:val="24"/>
          <w:lang w:eastAsia="zh-CN"/>
        </w:rPr>
        <w:t>（有特别说明的除外）</w:t>
      </w:r>
      <w:r>
        <w:rPr>
          <w:rFonts w:ascii="仿宋_GB2312" w:eastAsia="仿宋_GB2312"/>
          <w:b/>
          <w:bCs/>
          <w:color w:val="000000"/>
          <w:sz w:val="24"/>
        </w:rPr>
        <w:t>。</w:t>
      </w:r>
    </w:p>
    <w:p w14:paraId="5039DB31">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四）评审时，评审委员会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投标人提供虚假材料、串通等违法违规行为的，要及时向采购人或采购代理机构报告。</w:t>
      </w:r>
    </w:p>
    <w:p w14:paraId="238C193C">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五）提供相同品牌产品且通过资格审查、符合性审查的不同投标人参加同一合同项下的投标，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6E960E6E">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非单一产品采购项目中，多家投标人提供的核心产品品牌相同的，视为提供相同品牌产品，核心产品的名称在招标文件第二章“采购需求”用“▲”标明。</w:t>
      </w:r>
    </w:p>
    <w:p w14:paraId="6CD6118A">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（六）本项目包括以下设备，根据财办库〔2008〕248号文件有关规定，本项目不允许进口产品参加报价。</w:t>
      </w:r>
    </w:p>
    <w:p w14:paraId="2F36DA7F">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七）投标人必须为其响应产品侵犯其他投标人或专利人的专利成果承担相应法律责任；同时，具有产品专利的投标人应在其投标文件中提供与其自有产品专利相关的有效证明材料，否则，不能就其产品的专利在本项目响应过程中被侵权问题提出异议。</w:t>
      </w:r>
    </w:p>
    <w:p w14:paraId="1A1EB4E2">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（八）若采购货物属于</w:t>
      </w:r>
      <w:r>
        <w:fldChar w:fldCharType="begin"/>
      </w:r>
      <w:r>
        <w:instrText xml:space="preserve"> HYPERLINK "http://gks.mof.gov.cn/zhengfucaigouguanli/201904/P020190402638613799126.pdf" </w:instrText>
      </w:r>
      <w:r>
        <w:fldChar w:fldCharType="separate"/>
      </w:r>
      <w:r>
        <w:rPr>
          <w:rFonts w:hint="eastAsia" w:ascii="仿宋_GB2312" w:eastAsia="仿宋_GB2312"/>
          <w:b/>
          <w:bCs/>
          <w:color w:val="000000"/>
          <w:sz w:val="24"/>
        </w:rPr>
        <w:t>节能产品政府采购品目清单</w:t>
      </w:r>
      <w:r>
        <w:rPr>
          <w:rFonts w:hint="eastAsia" w:ascii="仿宋_GB2312" w:eastAsia="仿宋_GB2312"/>
          <w:b/>
          <w:bCs/>
          <w:color w:val="000000"/>
          <w:sz w:val="24"/>
        </w:rPr>
        <w:fldChar w:fldCharType="end"/>
      </w:r>
      <w:r>
        <w:rPr>
          <w:rFonts w:hint="eastAsia" w:ascii="仿宋_GB2312" w:eastAsia="仿宋_GB2312"/>
          <w:b/>
          <w:bCs/>
          <w:color w:val="000000"/>
          <w:sz w:val="24"/>
        </w:rPr>
        <w:t>范围的，投标人的投标货物必须使用政府强制采购的节能产品，品目清单请从中国政府采购网（www.ccgp.gov.cn）查询下载，有属于政府强制节能产品的，必须提供所投产品的证明材料（国家确定的认证机构出具的、处于有效期之内的节能产品认证证书材料，加盖投标人CA电子签章），否则其投标无效。</w:t>
      </w:r>
    </w:p>
    <w:p w14:paraId="22762FBE">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（九）本货物需求一览表的技术参数要求中未特别列明的技术要求参照国家相关技术标准执行，如有最新标准，按最新标准执行。</w:t>
      </w:r>
    </w:p>
    <w:bookmarkEnd w:id="1"/>
    <w:bookmarkEnd w:id="2"/>
    <w:bookmarkEnd w:id="3"/>
    <w:bookmarkEnd w:id="4"/>
    <w:bookmarkEnd w:id="5"/>
    <w:bookmarkEnd w:id="6"/>
    <w:bookmarkEnd w:id="7"/>
    <w:bookmarkEnd w:id="9"/>
    <w:bookmarkEnd w:id="10"/>
    <w:bookmarkEnd w:id="11"/>
    <w:bookmarkEnd w:id="30"/>
    <w:tbl>
      <w:tblPr>
        <w:tblStyle w:val="777"/>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9"/>
        <w:gridCol w:w="1049"/>
        <w:gridCol w:w="6929"/>
        <w:gridCol w:w="809"/>
      </w:tblGrid>
      <w:tr w14:paraId="2006A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86" w:type="dxa"/>
            <w:gridSpan w:val="4"/>
            <w:tcBorders>
              <w:top w:val="single" w:color="auto" w:sz="4" w:space="0"/>
              <w:left w:val="single" w:color="auto" w:sz="4" w:space="0"/>
              <w:bottom w:val="single" w:color="auto" w:sz="4" w:space="0"/>
              <w:right w:val="single" w:color="auto" w:sz="4" w:space="0"/>
            </w:tcBorders>
            <w:vAlign w:val="center"/>
          </w:tcPr>
          <w:p w14:paraId="6B2C5D5D">
            <w:pPr>
              <w:spacing w:line="460" w:lineRule="exact"/>
              <w:jc w:val="left"/>
              <w:rPr>
                <w:rFonts w:ascii="仿宋_GB2312" w:hAnsi="仿宋_GB2312" w:eastAsia="仿宋_GB2312" w:cs="仿宋_GB2312"/>
                <w:b/>
                <w:kern w:val="0"/>
                <w:sz w:val="24"/>
              </w:rPr>
            </w:pPr>
            <w:r>
              <w:rPr>
                <w:rFonts w:hint="eastAsia" w:ascii="仿宋_GB2312" w:hAnsi="仿宋_GB2312" w:eastAsia="仿宋_GB2312" w:cs="仿宋_GB2312"/>
                <w:b/>
                <w:kern w:val="0"/>
                <w:sz w:val="24"/>
              </w:rPr>
              <w:t>一、项目技术规格参数及要求</w:t>
            </w:r>
          </w:p>
        </w:tc>
      </w:tr>
      <w:tr w14:paraId="3038B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499" w:type="dxa"/>
            <w:tcBorders>
              <w:top w:val="single" w:color="auto" w:sz="4" w:space="0"/>
              <w:left w:val="single" w:color="auto" w:sz="4" w:space="0"/>
              <w:bottom w:val="single" w:color="auto" w:sz="4" w:space="0"/>
              <w:right w:val="single" w:color="auto" w:sz="4" w:space="0"/>
            </w:tcBorders>
            <w:vAlign w:val="center"/>
          </w:tcPr>
          <w:p w14:paraId="3AFC2E5A">
            <w:pPr>
              <w:pStyle w:val="778"/>
              <w:snapToGrid w:val="0"/>
              <w:spacing w:line="460" w:lineRule="exact"/>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序号</w:t>
            </w:r>
          </w:p>
        </w:tc>
        <w:tc>
          <w:tcPr>
            <w:tcW w:w="1049" w:type="dxa"/>
            <w:tcBorders>
              <w:top w:val="single" w:color="auto" w:sz="4" w:space="0"/>
              <w:left w:val="single" w:color="auto" w:sz="4" w:space="0"/>
              <w:bottom w:val="single" w:color="auto" w:sz="4" w:space="0"/>
              <w:right w:val="single" w:color="auto" w:sz="4" w:space="0"/>
            </w:tcBorders>
            <w:vAlign w:val="center"/>
          </w:tcPr>
          <w:p w14:paraId="778B1034">
            <w:pPr>
              <w:pStyle w:val="778"/>
              <w:snapToGrid w:val="0"/>
              <w:spacing w:line="460" w:lineRule="exact"/>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标的名称</w:t>
            </w:r>
          </w:p>
        </w:tc>
        <w:tc>
          <w:tcPr>
            <w:tcW w:w="6929" w:type="dxa"/>
            <w:tcBorders>
              <w:top w:val="single" w:color="auto" w:sz="4" w:space="0"/>
              <w:left w:val="single" w:color="auto" w:sz="4" w:space="0"/>
              <w:bottom w:val="single" w:color="auto" w:sz="4" w:space="0"/>
              <w:right w:val="single" w:color="auto" w:sz="4" w:space="0"/>
            </w:tcBorders>
            <w:vAlign w:val="center"/>
          </w:tcPr>
          <w:p w14:paraId="2CF98F1B">
            <w:pPr>
              <w:pStyle w:val="778"/>
              <w:snapToGrid w:val="0"/>
              <w:spacing w:line="460" w:lineRule="exact"/>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技术参数</w:t>
            </w:r>
          </w:p>
        </w:tc>
        <w:tc>
          <w:tcPr>
            <w:tcW w:w="809" w:type="dxa"/>
            <w:tcBorders>
              <w:top w:val="single" w:color="auto" w:sz="4" w:space="0"/>
              <w:left w:val="single" w:color="auto" w:sz="4" w:space="0"/>
              <w:bottom w:val="single" w:color="auto" w:sz="4" w:space="0"/>
              <w:right w:val="single" w:color="auto" w:sz="4" w:space="0"/>
            </w:tcBorders>
            <w:vAlign w:val="center"/>
          </w:tcPr>
          <w:p w14:paraId="7CF3CE27">
            <w:pPr>
              <w:pStyle w:val="778"/>
              <w:snapToGrid w:val="0"/>
              <w:spacing w:line="460" w:lineRule="exact"/>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数量及单位</w:t>
            </w:r>
          </w:p>
        </w:tc>
      </w:tr>
      <w:tr w14:paraId="72265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trPr>
        <w:tc>
          <w:tcPr>
            <w:tcW w:w="499" w:type="dxa"/>
            <w:tcBorders>
              <w:top w:val="single" w:color="auto" w:sz="4" w:space="0"/>
              <w:left w:val="single" w:color="auto" w:sz="4" w:space="0"/>
              <w:bottom w:val="single" w:color="auto" w:sz="4" w:space="0"/>
              <w:right w:val="single" w:color="auto" w:sz="4" w:space="0"/>
            </w:tcBorders>
            <w:vAlign w:val="center"/>
          </w:tcPr>
          <w:p w14:paraId="0B944CAC">
            <w:pPr>
              <w:pStyle w:val="778"/>
              <w:snapToGrid w:val="0"/>
              <w:spacing w:line="460" w:lineRule="exact"/>
              <w:jc w:val="center"/>
              <w:rPr>
                <w:rFonts w:ascii="仿宋_GB2312" w:hAnsi="仿宋_GB2312" w:eastAsia="仿宋_GB2312" w:cs="仿宋_GB2312"/>
                <w:b/>
                <w:bCs/>
                <w:sz w:val="24"/>
                <w:szCs w:val="24"/>
              </w:rPr>
            </w:pPr>
            <w:r>
              <w:rPr>
                <w:rFonts w:hint="eastAsia" w:ascii="仿宋_GB2312" w:hAnsi="仿宋_GB2312" w:eastAsia="仿宋_GB2312" w:cs="仿宋_GB2312"/>
                <w:sz w:val="24"/>
                <w:szCs w:val="24"/>
              </w:rPr>
              <w:t>1</w:t>
            </w:r>
          </w:p>
        </w:tc>
        <w:tc>
          <w:tcPr>
            <w:tcW w:w="1049" w:type="dxa"/>
            <w:tcBorders>
              <w:top w:val="single" w:color="auto" w:sz="4" w:space="0"/>
              <w:left w:val="single" w:color="auto" w:sz="4" w:space="0"/>
              <w:bottom w:val="single" w:color="auto" w:sz="4" w:space="0"/>
              <w:right w:val="single" w:color="auto" w:sz="4" w:space="0"/>
            </w:tcBorders>
            <w:vAlign w:val="center"/>
          </w:tcPr>
          <w:p w14:paraId="534E0A32">
            <w:pPr>
              <w:pStyle w:val="778"/>
              <w:snapToGrid w:val="0"/>
              <w:spacing w:line="4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实训室交互智能平板一体机</w:t>
            </w:r>
          </w:p>
        </w:tc>
        <w:tc>
          <w:tcPr>
            <w:tcW w:w="6929" w:type="dxa"/>
            <w:tcBorders>
              <w:top w:val="single" w:color="auto" w:sz="4" w:space="0"/>
              <w:left w:val="single" w:color="auto" w:sz="4" w:space="0"/>
              <w:bottom w:val="single" w:color="auto" w:sz="4" w:space="0"/>
              <w:right w:val="single" w:color="auto" w:sz="4" w:space="0"/>
            </w:tcBorders>
            <w:vAlign w:val="center"/>
          </w:tcPr>
          <w:p w14:paraId="73EA0457">
            <w:pPr>
              <w:pStyle w:val="47"/>
              <w:keepNext w:val="0"/>
              <w:keepLines w:val="0"/>
              <w:pageBreakBefore w:val="0"/>
              <w:widowControl w:val="0"/>
              <w:kinsoku/>
              <w:wordWrap/>
              <w:overflowPunct/>
              <w:topLinePunct w:val="0"/>
              <w:autoSpaceDE/>
              <w:autoSpaceDN/>
              <w:bidi w:val="0"/>
              <w:adjustRightInd/>
              <w:snapToGrid/>
              <w:spacing w:line="400" w:lineRule="exact"/>
              <w:ind w:firstLine="0"/>
              <w:textAlignment w:val="auto"/>
              <w:rPr>
                <w:rFonts w:ascii="仿宋_GB2312" w:hAnsi="仿宋_GB2312" w:eastAsia="仿宋_GB2312" w:cs="仿宋_GB2312"/>
                <w:szCs w:val="24"/>
              </w:rPr>
            </w:pPr>
            <w:bookmarkStart w:id="31" w:name="OLE_LINK24"/>
            <w:r>
              <w:rPr>
                <w:rFonts w:hint="eastAsia" w:ascii="仿宋_GB2312" w:hAnsi="仿宋_GB2312" w:eastAsia="仿宋_GB2312" w:cs="仿宋_GB2312"/>
                <w:szCs w:val="24"/>
              </w:rPr>
              <w:t>★</w:t>
            </w:r>
            <w:bookmarkEnd w:id="31"/>
            <w:r>
              <w:rPr>
                <w:rFonts w:hint="eastAsia" w:ascii="仿宋_GB2312" w:hAnsi="仿宋_GB2312" w:eastAsia="仿宋_GB2312" w:cs="仿宋_GB2312"/>
                <w:szCs w:val="24"/>
              </w:rPr>
              <w:t>1.</w:t>
            </w:r>
            <w:r>
              <w:rPr>
                <w:rFonts w:hint="eastAsia" w:ascii="仿宋_GB2312" w:hAnsi="仿宋_GB2312" w:eastAsia="仿宋_GB2312" w:cs="仿宋_GB2312"/>
                <w:szCs w:val="24"/>
                <w:u w:val="none"/>
              </w:rPr>
              <w:t>整机屏幕采用≥</w:t>
            </w:r>
            <w:r>
              <w:rPr>
                <w:rFonts w:ascii="仿宋_GB2312" w:hAnsi="仿宋_GB2312" w:eastAsia="仿宋_GB2312" w:cs="仿宋_GB2312"/>
                <w:szCs w:val="24"/>
                <w:u w:val="none"/>
              </w:rPr>
              <w:t>90英寸液晶显示器</w:t>
            </w:r>
            <w:r>
              <w:rPr>
                <w:rFonts w:hint="eastAsia" w:ascii="仿宋_GB2312" w:hAnsi="仿宋_GB2312" w:eastAsia="仿宋_GB2312" w:cs="仿宋_GB2312"/>
                <w:szCs w:val="24"/>
              </w:rPr>
              <w:t>。整机采用超高清LED液晶显示屏，显示比例16:9，</w:t>
            </w:r>
            <w:r>
              <w:rPr>
                <w:rFonts w:hint="eastAsia" w:ascii="仿宋_GB2312" w:hAnsi="仿宋_GB2312" w:eastAsia="仿宋_GB2312" w:cs="仿宋_GB2312"/>
                <w:szCs w:val="24"/>
                <w:u w:val="none"/>
              </w:rPr>
              <w:t>分辨率≥</w:t>
            </w:r>
            <w:r>
              <w:rPr>
                <w:rFonts w:ascii="仿宋_GB2312" w:hAnsi="仿宋_GB2312" w:eastAsia="仿宋_GB2312" w:cs="仿宋_GB2312"/>
                <w:szCs w:val="24"/>
                <w:u w:val="none"/>
              </w:rPr>
              <w:t>3840×2160</w:t>
            </w:r>
            <w:r>
              <w:rPr>
                <w:rFonts w:hint="eastAsia" w:ascii="仿宋_GB2312" w:hAnsi="仿宋_GB2312" w:eastAsia="仿宋_GB2312" w:cs="仿宋_GB2312"/>
                <w:szCs w:val="24"/>
              </w:rPr>
              <w:t>。钢化玻璃表面硬度≥9H；</w:t>
            </w:r>
          </w:p>
          <w:p w14:paraId="13D0A993">
            <w:pPr>
              <w:pStyle w:val="47"/>
              <w:keepNext w:val="0"/>
              <w:keepLines w:val="0"/>
              <w:pageBreakBefore w:val="0"/>
              <w:widowControl w:val="0"/>
              <w:kinsoku/>
              <w:wordWrap/>
              <w:overflowPunct/>
              <w:topLinePunct w:val="0"/>
              <w:autoSpaceDE/>
              <w:autoSpaceDN/>
              <w:bidi w:val="0"/>
              <w:adjustRightInd/>
              <w:snapToGrid/>
              <w:spacing w:line="400" w:lineRule="exact"/>
              <w:ind w:firstLine="0"/>
              <w:textAlignment w:val="auto"/>
              <w:rPr>
                <w:rFonts w:ascii="仿宋_GB2312" w:hAnsi="仿宋_GB2312" w:eastAsia="仿宋_GB2312" w:cs="仿宋_GB2312"/>
                <w:szCs w:val="24"/>
              </w:rPr>
            </w:pPr>
            <w:r>
              <w:rPr>
                <w:rFonts w:hint="eastAsia" w:ascii="仿宋_GB2312" w:hAnsi="仿宋_GB2312" w:eastAsia="仿宋_GB2312" w:cs="仿宋_GB2312"/>
                <w:szCs w:val="24"/>
              </w:rPr>
              <w:t>★2.</w:t>
            </w:r>
            <w:r>
              <w:rPr>
                <w:rFonts w:hint="eastAsia" w:ascii="仿宋_GB2312" w:hAnsi="仿宋_GB2312" w:eastAsia="仿宋_GB2312" w:cs="仿宋_GB2312"/>
                <w:szCs w:val="24"/>
                <w:u w:val="single"/>
              </w:rPr>
              <w:t>整机色域覆盖率（NTSC）</w:t>
            </w:r>
            <w:bookmarkStart w:id="32" w:name="OLE_LINK21"/>
            <w:bookmarkStart w:id="33" w:name="OLE_LINK20"/>
            <w:r>
              <w:rPr>
                <w:rFonts w:hint="eastAsia" w:ascii="仿宋_GB2312" w:hAnsi="仿宋_GB2312" w:eastAsia="仿宋_GB2312" w:cs="仿宋_GB2312"/>
                <w:szCs w:val="24"/>
                <w:u w:val="single"/>
              </w:rPr>
              <w:t>≥</w:t>
            </w:r>
            <w:bookmarkEnd w:id="32"/>
            <w:bookmarkEnd w:id="33"/>
            <w:r>
              <w:rPr>
                <w:rFonts w:ascii="仿宋_GB2312" w:hAnsi="仿宋_GB2312" w:eastAsia="仿宋_GB2312" w:cs="仿宋_GB2312"/>
                <w:szCs w:val="24"/>
                <w:u w:val="single"/>
              </w:rPr>
              <w:t>85</w:t>
            </w:r>
            <w:r>
              <w:rPr>
                <w:rFonts w:hint="eastAsia" w:ascii="仿宋_GB2312" w:hAnsi="仿宋_GB2312" w:eastAsia="仿宋_GB2312" w:cs="仿宋_GB2312"/>
                <w:szCs w:val="24"/>
                <w:u w:val="single"/>
              </w:rPr>
              <w:t>%</w:t>
            </w:r>
            <w:r>
              <w:rPr>
                <w:rFonts w:hint="eastAsia" w:ascii="仿宋_GB2312" w:hAnsi="仿宋_GB2312" w:eastAsia="仿宋_GB2312" w:cs="仿宋_GB2312"/>
                <w:szCs w:val="24"/>
              </w:rPr>
              <w:t>；整机背光系统支持DC调光方式，多级亮度调节，支持白颜色背景下最暗亮度≤110nit，用于提升显示对比度；</w:t>
            </w:r>
          </w:p>
          <w:p w14:paraId="470621AD">
            <w:pPr>
              <w:pStyle w:val="47"/>
              <w:keepNext w:val="0"/>
              <w:keepLines w:val="0"/>
              <w:pageBreakBefore w:val="0"/>
              <w:widowControl w:val="0"/>
              <w:kinsoku/>
              <w:wordWrap/>
              <w:overflowPunct/>
              <w:topLinePunct w:val="0"/>
              <w:autoSpaceDE/>
              <w:autoSpaceDN/>
              <w:bidi w:val="0"/>
              <w:adjustRightInd/>
              <w:snapToGrid/>
              <w:spacing w:line="400" w:lineRule="exact"/>
              <w:ind w:firstLine="0"/>
              <w:textAlignment w:val="auto"/>
              <w:rPr>
                <w:rFonts w:ascii="仿宋_GB2312" w:hAnsi="仿宋_GB2312" w:eastAsia="仿宋_GB2312" w:cs="仿宋_GB2312"/>
                <w:szCs w:val="24"/>
              </w:rPr>
            </w:pPr>
            <w:r>
              <w:rPr>
                <w:rFonts w:hint="eastAsia" w:ascii="仿宋_GB2312" w:hAnsi="仿宋_GB2312" w:eastAsia="仿宋_GB2312" w:cs="仿宋_GB2312"/>
                <w:szCs w:val="24"/>
              </w:rPr>
              <w:t>3.灰度等级≥256级。整机支持色彩空间可选，包含标准模式和sRGB模式，在sRGB模式下可做到高色准△E≤1.2；</w:t>
            </w:r>
          </w:p>
          <w:p w14:paraId="5146C94E">
            <w:pPr>
              <w:pStyle w:val="47"/>
              <w:keepNext w:val="0"/>
              <w:keepLines w:val="0"/>
              <w:pageBreakBefore w:val="0"/>
              <w:widowControl w:val="0"/>
              <w:kinsoku/>
              <w:wordWrap/>
              <w:overflowPunct/>
              <w:topLinePunct w:val="0"/>
              <w:autoSpaceDE/>
              <w:autoSpaceDN/>
              <w:bidi w:val="0"/>
              <w:adjustRightInd/>
              <w:snapToGrid/>
              <w:spacing w:line="400" w:lineRule="exact"/>
              <w:ind w:firstLine="0"/>
              <w:textAlignment w:val="auto"/>
              <w:rPr>
                <w:rFonts w:ascii="仿宋_GB2312" w:hAnsi="仿宋_GB2312" w:eastAsia="仿宋_GB2312" w:cs="仿宋_GB2312"/>
                <w:szCs w:val="24"/>
              </w:rPr>
            </w:pPr>
            <w:r>
              <w:rPr>
                <w:rFonts w:hint="eastAsia" w:ascii="仿宋_GB2312" w:hAnsi="仿宋_GB2312" w:eastAsia="仿宋_GB2312" w:cs="仿宋_GB2312"/>
                <w:szCs w:val="24"/>
              </w:rPr>
              <w:t>4.</w:t>
            </w:r>
            <w:bookmarkStart w:id="34" w:name="OLE_LINK2"/>
            <w:r>
              <w:rPr>
                <w:rFonts w:hint="eastAsia" w:ascii="仿宋_GB2312" w:hAnsi="仿宋_GB2312" w:eastAsia="仿宋_GB2312" w:cs="仿宋_GB2312"/>
                <w:szCs w:val="24"/>
              </w:rPr>
              <w:t>整机全通道支持纸质护眼模式</w:t>
            </w:r>
            <w:bookmarkEnd w:id="34"/>
            <w:r>
              <w:rPr>
                <w:rFonts w:hint="eastAsia" w:ascii="仿宋_GB2312" w:hAnsi="仿宋_GB2312" w:eastAsia="仿宋_GB2312" w:cs="仿宋_GB2312"/>
                <w:szCs w:val="24"/>
              </w:rPr>
              <w:t>，可实现画面纹理的实时调整；支持纸质纹理：牛皮纸、素描纸、宣纸水、彩纸、水纹纸；支持透明度调节；支持色温调节；纸质护眼模式下，显示画面各像素点灰度不规则，减少背景干扰；</w:t>
            </w:r>
          </w:p>
          <w:p w14:paraId="23A59EE9">
            <w:pPr>
              <w:pStyle w:val="47"/>
              <w:keepNext w:val="0"/>
              <w:keepLines w:val="0"/>
              <w:pageBreakBefore w:val="0"/>
              <w:widowControl w:val="0"/>
              <w:kinsoku/>
              <w:wordWrap/>
              <w:overflowPunct/>
              <w:topLinePunct w:val="0"/>
              <w:autoSpaceDE/>
              <w:autoSpaceDN/>
              <w:bidi w:val="0"/>
              <w:adjustRightInd/>
              <w:snapToGrid/>
              <w:spacing w:line="400" w:lineRule="exact"/>
              <w:ind w:firstLine="0"/>
              <w:textAlignment w:val="auto"/>
              <w:rPr>
                <w:rFonts w:ascii="仿宋_GB2312" w:hAnsi="仿宋_GB2312" w:eastAsia="仿宋_GB2312" w:cs="仿宋_GB2312"/>
                <w:szCs w:val="24"/>
              </w:rPr>
            </w:pPr>
            <w:r>
              <w:rPr>
                <w:rFonts w:hint="eastAsia" w:ascii="仿宋_GB2312" w:hAnsi="仿宋_GB2312" w:eastAsia="仿宋_GB2312" w:cs="仿宋_GB2312"/>
                <w:szCs w:val="24"/>
              </w:rPr>
              <w:t>5.整机内置2.2声道扬声器，位于设备上边框，顶置朝前发声，前朝向≥10W高音扬声器2个，上朝向≥20W中低音扬声器2个，额定总功率≥60W，整机内置非独立外扩展的8阵列麦克风，拾音角度≥180°，可用于对教室环境音频进行采集，拾音距离≥10m；</w:t>
            </w:r>
          </w:p>
          <w:p w14:paraId="23CE27DD">
            <w:pPr>
              <w:pStyle w:val="47"/>
              <w:keepNext w:val="0"/>
              <w:keepLines w:val="0"/>
              <w:pageBreakBefore w:val="0"/>
              <w:widowControl w:val="0"/>
              <w:kinsoku/>
              <w:wordWrap/>
              <w:overflowPunct/>
              <w:topLinePunct w:val="0"/>
              <w:autoSpaceDE/>
              <w:autoSpaceDN/>
              <w:bidi w:val="0"/>
              <w:adjustRightInd/>
              <w:snapToGrid/>
              <w:spacing w:line="400" w:lineRule="exact"/>
              <w:ind w:firstLine="0"/>
              <w:textAlignment w:val="auto"/>
              <w:rPr>
                <w:rFonts w:ascii="仿宋_GB2312" w:hAnsi="仿宋_GB2312" w:eastAsia="仿宋_GB2312" w:cs="仿宋_GB2312"/>
                <w:szCs w:val="24"/>
              </w:rPr>
            </w:pPr>
            <w:r>
              <w:rPr>
                <w:rFonts w:hint="eastAsia" w:ascii="仿宋_GB2312" w:hAnsi="仿宋_GB2312" w:eastAsia="仿宋_GB2312" w:cs="仿宋_GB2312"/>
                <w:szCs w:val="24"/>
              </w:rPr>
              <w:t>6.内置电脑设计：</w:t>
            </w:r>
          </w:p>
          <w:p w14:paraId="36DC0D3F">
            <w:pPr>
              <w:pStyle w:val="47"/>
              <w:keepNext w:val="0"/>
              <w:keepLines w:val="0"/>
              <w:pageBreakBefore w:val="0"/>
              <w:widowControl w:val="0"/>
              <w:kinsoku/>
              <w:wordWrap/>
              <w:overflowPunct/>
              <w:topLinePunct w:val="0"/>
              <w:autoSpaceDE/>
              <w:autoSpaceDN/>
              <w:bidi w:val="0"/>
              <w:adjustRightInd/>
              <w:snapToGrid/>
              <w:spacing w:line="400" w:lineRule="exact"/>
              <w:ind w:firstLine="0"/>
              <w:textAlignment w:val="auto"/>
              <w:rPr>
                <w:rFonts w:ascii="仿宋_GB2312" w:hAnsi="仿宋_GB2312" w:eastAsia="仿宋_GB2312" w:cs="仿宋_GB2312"/>
                <w:szCs w:val="24"/>
              </w:rPr>
            </w:pPr>
            <w:r>
              <w:rPr>
                <w:rFonts w:hint="eastAsia" w:ascii="仿宋_GB2312" w:hAnsi="仿宋_GB2312" w:eastAsia="仿宋_GB2312" w:cs="仿宋_GB2312"/>
                <w:szCs w:val="24"/>
              </w:rPr>
              <w:t>（1）CPU：核心数≥8核，线程数≥12，主频≥2.0GHz，三级缓存≥12M；</w:t>
            </w:r>
          </w:p>
          <w:p w14:paraId="32F4FA10">
            <w:pPr>
              <w:pStyle w:val="47"/>
              <w:keepNext w:val="0"/>
              <w:keepLines w:val="0"/>
              <w:pageBreakBefore w:val="0"/>
              <w:widowControl w:val="0"/>
              <w:kinsoku/>
              <w:wordWrap/>
              <w:overflowPunct/>
              <w:topLinePunct w:val="0"/>
              <w:autoSpaceDE/>
              <w:autoSpaceDN/>
              <w:bidi w:val="0"/>
              <w:adjustRightInd/>
              <w:snapToGrid/>
              <w:spacing w:line="400" w:lineRule="exact"/>
              <w:ind w:firstLine="0"/>
              <w:textAlignment w:val="auto"/>
              <w:rPr>
                <w:rFonts w:ascii="仿宋_GB2312" w:hAnsi="仿宋_GB2312" w:eastAsia="仿宋_GB2312" w:cs="仿宋_GB2312"/>
                <w:szCs w:val="24"/>
              </w:rPr>
            </w:pPr>
            <w:r>
              <w:rPr>
                <w:rFonts w:hint="eastAsia" w:ascii="仿宋_GB2312" w:hAnsi="仿宋_GB2312" w:eastAsia="仿宋_GB2312" w:cs="仿宋_GB2312"/>
                <w:szCs w:val="24"/>
              </w:rPr>
              <w:t>（2）内存：≥8 GBDDR4内存；</w:t>
            </w:r>
          </w:p>
          <w:p w14:paraId="7B29F8EC">
            <w:pPr>
              <w:pStyle w:val="47"/>
              <w:keepNext w:val="0"/>
              <w:keepLines w:val="0"/>
              <w:pageBreakBefore w:val="0"/>
              <w:widowControl w:val="0"/>
              <w:kinsoku/>
              <w:wordWrap/>
              <w:overflowPunct/>
              <w:topLinePunct w:val="0"/>
              <w:autoSpaceDE/>
              <w:autoSpaceDN/>
              <w:bidi w:val="0"/>
              <w:adjustRightInd/>
              <w:snapToGrid/>
              <w:spacing w:line="400" w:lineRule="exact"/>
              <w:ind w:firstLine="0"/>
              <w:textAlignment w:val="auto"/>
              <w:rPr>
                <w:rFonts w:ascii="仿宋_GB2312" w:hAnsi="仿宋_GB2312" w:eastAsia="仿宋_GB2312" w:cs="仿宋_GB2312"/>
                <w:szCs w:val="24"/>
              </w:rPr>
            </w:pPr>
            <w:r>
              <w:rPr>
                <w:rFonts w:hint="eastAsia" w:ascii="仿宋_GB2312" w:hAnsi="仿宋_GB2312" w:eastAsia="仿宋_GB2312" w:cs="仿宋_GB2312"/>
                <w:szCs w:val="24"/>
              </w:rPr>
              <w:t>（3）硬盘：≥512 GB SSD固态硬盘；</w:t>
            </w:r>
          </w:p>
          <w:p w14:paraId="143F7005">
            <w:pPr>
              <w:pStyle w:val="47"/>
              <w:keepNext w:val="0"/>
              <w:keepLines w:val="0"/>
              <w:pageBreakBefore w:val="0"/>
              <w:widowControl w:val="0"/>
              <w:kinsoku/>
              <w:wordWrap/>
              <w:overflowPunct/>
              <w:topLinePunct w:val="0"/>
              <w:autoSpaceDE/>
              <w:autoSpaceDN/>
              <w:bidi w:val="0"/>
              <w:adjustRightInd/>
              <w:snapToGrid/>
              <w:spacing w:line="400" w:lineRule="exact"/>
              <w:ind w:firstLine="0"/>
              <w:textAlignment w:val="auto"/>
              <w:rPr>
                <w:rFonts w:ascii="仿宋_GB2312" w:hAnsi="仿宋_GB2312" w:eastAsia="仿宋_GB2312" w:cs="仿宋_GB2312"/>
                <w:szCs w:val="24"/>
              </w:rPr>
            </w:pPr>
            <w:r>
              <w:rPr>
                <w:rFonts w:hint="eastAsia" w:ascii="仿宋_GB2312" w:hAnsi="仿宋_GB2312" w:eastAsia="仿宋_GB2312" w:cs="仿宋_GB2312"/>
                <w:szCs w:val="24"/>
              </w:rPr>
              <w:t>7.嵌入式系统设计：嵌入式系统版本不低于Android13，内存≥2GB，存储空间≥8GB；</w:t>
            </w:r>
          </w:p>
          <w:p w14:paraId="60B93413">
            <w:pPr>
              <w:pStyle w:val="47"/>
              <w:keepNext w:val="0"/>
              <w:keepLines w:val="0"/>
              <w:pageBreakBefore w:val="0"/>
              <w:widowControl w:val="0"/>
              <w:kinsoku/>
              <w:wordWrap/>
              <w:overflowPunct/>
              <w:topLinePunct w:val="0"/>
              <w:autoSpaceDE/>
              <w:autoSpaceDN/>
              <w:bidi w:val="0"/>
              <w:adjustRightInd/>
              <w:snapToGrid/>
              <w:spacing w:line="400" w:lineRule="exact"/>
              <w:ind w:firstLine="0"/>
              <w:textAlignment w:val="auto"/>
              <w:rPr>
                <w:rFonts w:ascii="仿宋_GB2312" w:hAnsi="仿宋_GB2312" w:eastAsia="仿宋_GB2312" w:cs="仿宋_GB2312"/>
                <w:szCs w:val="24"/>
              </w:rPr>
            </w:pPr>
            <w:r>
              <w:rPr>
                <w:rFonts w:hint="eastAsia" w:ascii="仿宋_GB2312" w:hAnsi="仿宋_GB2312" w:eastAsia="仿宋_GB2312" w:cs="仿宋_GB2312"/>
                <w:szCs w:val="24"/>
              </w:rPr>
              <w:t>8.整机支持手笔分离，通过提笔即写唤醒批注功能后，可进行手笔分离功能，使用笔正常书写，使用手指可以操作应用，进行点击操作；</w:t>
            </w:r>
          </w:p>
          <w:p w14:paraId="3C0FA8F3">
            <w:pPr>
              <w:pStyle w:val="47"/>
              <w:keepNext w:val="0"/>
              <w:keepLines w:val="0"/>
              <w:pageBreakBefore w:val="0"/>
              <w:widowControl w:val="0"/>
              <w:kinsoku/>
              <w:wordWrap/>
              <w:overflowPunct/>
              <w:topLinePunct w:val="0"/>
              <w:autoSpaceDE/>
              <w:autoSpaceDN/>
              <w:bidi w:val="0"/>
              <w:adjustRightInd/>
              <w:snapToGrid/>
              <w:spacing w:line="400" w:lineRule="exact"/>
              <w:ind w:firstLine="0"/>
              <w:textAlignment w:val="auto"/>
              <w:rPr>
                <w:rFonts w:ascii="仿宋_GB2312" w:hAnsi="仿宋_GB2312" w:eastAsia="仿宋_GB2312" w:cs="仿宋_GB2312"/>
                <w:szCs w:val="24"/>
              </w:rPr>
            </w:pPr>
            <w:r>
              <w:rPr>
                <w:rFonts w:hint="eastAsia" w:ascii="仿宋_GB2312" w:hAnsi="仿宋_GB2312" w:eastAsia="仿宋_GB2312" w:cs="仿宋_GB2312"/>
                <w:szCs w:val="24"/>
              </w:rPr>
              <w:t>9.教学摄像头设计：</w:t>
            </w:r>
          </w:p>
          <w:p w14:paraId="3FD14945">
            <w:pPr>
              <w:pStyle w:val="47"/>
              <w:keepNext w:val="0"/>
              <w:keepLines w:val="0"/>
              <w:pageBreakBefore w:val="0"/>
              <w:widowControl w:val="0"/>
              <w:kinsoku/>
              <w:wordWrap/>
              <w:overflowPunct/>
              <w:topLinePunct w:val="0"/>
              <w:autoSpaceDE/>
              <w:autoSpaceDN/>
              <w:bidi w:val="0"/>
              <w:adjustRightInd/>
              <w:snapToGrid/>
              <w:spacing w:line="400" w:lineRule="exact"/>
              <w:ind w:firstLine="0"/>
              <w:textAlignment w:val="auto"/>
              <w:rPr>
                <w:rFonts w:ascii="仿宋_GB2312" w:hAnsi="仿宋_GB2312" w:eastAsia="仿宋_GB2312" w:cs="仿宋_GB2312"/>
                <w:szCs w:val="24"/>
              </w:rPr>
            </w:pPr>
            <w:r>
              <w:rPr>
                <w:rFonts w:hint="eastAsia" w:ascii="仿宋_GB2312" w:hAnsi="仿宋_GB2312" w:eastAsia="仿宋_GB2312" w:cs="仿宋_GB2312"/>
                <w:szCs w:val="24"/>
              </w:rPr>
              <w:t>（1）整机上边框内置非独立摄像头，采用一体化集成设计，摄像头数量≥3个。整机内置至少三个摄像头像素值≥800万，其中，整机上边框内置非独立式广角高清摄像头，在清晰度为≥2592x1944分辨率下，支持≥30帧的视频输出；</w:t>
            </w:r>
          </w:p>
          <w:p w14:paraId="5AF4B17C">
            <w:pPr>
              <w:pStyle w:val="47"/>
              <w:keepNext w:val="0"/>
              <w:keepLines w:val="0"/>
              <w:pageBreakBefore w:val="0"/>
              <w:widowControl w:val="0"/>
              <w:kinsoku/>
              <w:wordWrap/>
              <w:overflowPunct/>
              <w:topLinePunct w:val="0"/>
              <w:autoSpaceDE/>
              <w:autoSpaceDN/>
              <w:bidi w:val="0"/>
              <w:adjustRightInd/>
              <w:snapToGrid/>
              <w:spacing w:line="400" w:lineRule="exact"/>
              <w:ind w:firstLine="0"/>
              <w:textAlignment w:val="auto"/>
              <w:rPr>
                <w:rFonts w:ascii="仿宋_GB2312" w:hAnsi="仿宋_GB2312" w:eastAsia="仿宋_GB2312" w:cs="仿宋_GB2312"/>
                <w:szCs w:val="24"/>
              </w:rPr>
            </w:pPr>
            <w:r>
              <w:rPr>
                <w:rFonts w:hint="eastAsia" w:ascii="仿宋_GB2312" w:hAnsi="仿宋_GB2312" w:eastAsia="仿宋_GB2312" w:cs="仿宋_GB2312"/>
                <w:szCs w:val="24"/>
              </w:rPr>
              <w:t>（2）视场角≥140度且水平视场角≥120度，可拍摄≥1600万像素的照片，支持输出≥8192×2048分辨率的照片和视频，支持画面畸变矫正功能，支持3D降噪算法和数字宽动态范围成像技术，支持输出MJPG、H.264视频格式；</w:t>
            </w:r>
          </w:p>
          <w:p w14:paraId="7849BE95">
            <w:pPr>
              <w:pStyle w:val="47"/>
              <w:keepNext w:val="0"/>
              <w:keepLines w:val="0"/>
              <w:pageBreakBefore w:val="0"/>
              <w:widowControl w:val="0"/>
              <w:kinsoku/>
              <w:wordWrap/>
              <w:overflowPunct/>
              <w:topLinePunct w:val="0"/>
              <w:autoSpaceDE/>
              <w:autoSpaceDN/>
              <w:bidi w:val="0"/>
              <w:adjustRightInd/>
              <w:snapToGrid/>
              <w:spacing w:line="400" w:lineRule="exact"/>
              <w:ind w:firstLine="0"/>
              <w:textAlignment w:val="auto"/>
              <w:rPr>
                <w:rFonts w:ascii="仿宋_GB2312" w:hAnsi="仿宋_GB2312" w:eastAsia="仿宋_GB2312" w:cs="仿宋_GB2312"/>
                <w:szCs w:val="24"/>
              </w:rPr>
            </w:pPr>
            <w:r>
              <w:rPr>
                <w:rFonts w:hint="eastAsia" w:ascii="仿宋_GB2312" w:hAnsi="仿宋_GB2312" w:eastAsia="仿宋_GB2312" w:cs="仿宋_GB2312"/>
                <w:szCs w:val="24"/>
              </w:rPr>
              <w:t>（3）整机支持距离摄像头位置≥10米距离的AI识别人脸，在距离整机1.7米情况下，且拍摄范围可以覆盖摄像头垂直法线左右距离大于等于4米，可以实现人脸识别。整机摄像头支持人脸识别、清点人数、随机抽人；识别所有学生，显示标记，然后随机抽选，同时显示标记不少于55人；</w:t>
            </w:r>
          </w:p>
          <w:p w14:paraId="4021407B">
            <w:pPr>
              <w:pStyle w:val="47"/>
              <w:keepNext w:val="0"/>
              <w:keepLines w:val="0"/>
              <w:pageBreakBefore w:val="0"/>
              <w:widowControl w:val="0"/>
              <w:kinsoku/>
              <w:wordWrap/>
              <w:overflowPunct/>
              <w:topLinePunct w:val="0"/>
              <w:autoSpaceDE/>
              <w:autoSpaceDN/>
              <w:bidi w:val="0"/>
              <w:adjustRightInd/>
              <w:snapToGrid/>
              <w:spacing w:line="400" w:lineRule="exact"/>
              <w:ind w:firstLine="0"/>
              <w:textAlignment w:val="auto"/>
              <w:rPr>
                <w:rFonts w:ascii="仿宋_GB2312" w:hAnsi="仿宋_GB2312" w:eastAsia="仿宋_GB2312" w:cs="仿宋_GB2312"/>
                <w:szCs w:val="24"/>
              </w:rPr>
            </w:pPr>
            <w:r>
              <w:rPr>
                <w:rFonts w:hint="eastAsia" w:ascii="仿宋_GB2312" w:hAnsi="仿宋_GB2312" w:eastAsia="仿宋_GB2312" w:cs="仿宋_GB2312"/>
                <w:szCs w:val="24"/>
              </w:rPr>
              <w:t>（4）整机支持上边框内置非独立摄像头模组，同时输出至少2路视频流，同时支持课堂远程巡课、课堂教学数据采集、本地画面预览（拍照或视频录制）；</w:t>
            </w:r>
          </w:p>
          <w:p w14:paraId="56B38D51">
            <w:pPr>
              <w:pStyle w:val="47"/>
              <w:keepNext w:val="0"/>
              <w:keepLines w:val="0"/>
              <w:pageBreakBefore w:val="0"/>
              <w:widowControl w:val="0"/>
              <w:kinsoku/>
              <w:wordWrap/>
              <w:overflowPunct/>
              <w:topLinePunct w:val="0"/>
              <w:autoSpaceDE/>
              <w:autoSpaceDN/>
              <w:bidi w:val="0"/>
              <w:adjustRightInd/>
              <w:snapToGrid/>
              <w:spacing w:line="400" w:lineRule="exact"/>
              <w:ind w:firstLine="0"/>
              <w:textAlignment w:val="auto"/>
              <w:rPr>
                <w:rFonts w:ascii="仿宋_GB2312" w:hAnsi="仿宋_GB2312" w:eastAsia="仿宋_GB2312" w:cs="仿宋_GB2312"/>
                <w:szCs w:val="24"/>
              </w:rPr>
            </w:pPr>
            <w:r>
              <w:rPr>
                <w:rFonts w:hint="eastAsia" w:ascii="仿宋_GB2312" w:hAnsi="仿宋_GB2312" w:eastAsia="仿宋_GB2312" w:cs="仿宋_GB2312"/>
                <w:szCs w:val="24"/>
              </w:rPr>
              <w:t>10.教学辅助功能</w:t>
            </w:r>
          </w:p>
          <w:p w14:paraId="41414613">
            <w:pPr>
              <w:pStyle w:val="47"/>
              <w:keepNext w:val="0"/>
              <w:keepLines w:val="0"/>
              <w:pageBreakBefore w:val="0"/>
              <w:widowControl w:val="0"/>
              <w:kinsoku/>
              <w:wordWrap/>
              <w:overflowPunct/>
              <w:topLinePunct w:val="0"/>
              <w:autoSpaceDE/>
              <w:autoSpaceDN/>
              <w:bidi w:val="0"/>
              <w:adjustRightInd/>
              <w:snapToGrid/>
              <w:spacing w:line="400" w:lineRule="exact"/>
              <w:ind w:firstLine="0"/>
              <w:textAlignment w:val="auto"/>
              <w:rPr>
                <w:rFonts w:ascii="仿宋_GB2312" w:hAnsi="仿宋_GB2312" w:eastAsia="仿宋_GB2312" w:cs="仿宋_GB2312"/>
                <w:szCs w:val="24"/>
              </w:rPr>
            </w:pPr>
            <w:r>
              <w:rPr>
                <w:rFonts w:hint="eastAsia" w:ascii="仿宋_GB2312" w:hAnsi="仿宋_GB2312" w:eastAsia="仿宋_GB2312" w:cs="仿宋_GB2312"/>
                <w:szCs w:val="24"/>
              </w:rPr>
              <w:t>（1）整机支持文件传输应用，支持通过扫码、wifi直联、超声三种方式与手机进行连接，实现文件传输功能；</w:t>
            </w:r>
          </w:p>
          <w:p w14:paraId="002A2517">
            <w:pPr>
              <w:pStyle w:val="47"/>
              <w:keepNext w:val="0"/>
              <w:keepLines w:val="0"/>
              <w:pageBreakBefore w:val="0"/>
              <w:widowControl w:val="0"/>
              <w:kinsoku/>
              <w:wordWrap/>
              <w:overflowPunct/>
              <w:topLinePunct w:val="0"/>
              <w:autoSpaceDE/>
              <w:autoSpaceDN/>
              <w:bidi w:val="0"/>
              <w:adjustRightInd/>
              <w:snapToGrid/>
              <w:spacing w:line="400" w:lineRule="exact"/>
              <w:ind w:firstLine="0"/>
              <w:textAlignment w:val="auto"/>
              <w:rPr>
                <w:rFonts w:ascii="仿宋_GB2312" w:hAnsi="仿宋_GB2312" w:eastAsia="仿宋_GB2312" w:cs="仿宋_GB2312"/>
                <w:szCs w:val="24"/>
              </w:rPr>
            </w:pPr>
            <w:r>
              <w:rPr>
                <w:rFonts w:hint="eastAsia" w:ascii="仿宋_GB2312" w:hAnsi="仿宋_GB2312" w:eastAsia="仿宋_GB2312" w:cs="仿宋_GB2312"/>
                <w:szCs w:val="24"/>
              </w:rPr>
              <w:t>（2）AI智能备课助手：在备课场景中支持搜索课件库课件资源，具有不少于15万份的课件资源，支持整份课件或按照课件页插入课件中。支持按照教学环节筛选对应课件页一键插入课件中，可导入新课、作者简介。支持按照元素类型思维导图、课堂活动选取需要的部分补充课件缺失的部分。支持在查看部分课件的同时查看对应整份课件，了解作者整体教学思路；</w:t>
            </w:r>
          </w:p>
          <w:p w14:paraId="6BDDA331">
            <w:pPr>
              <w:pStyle w:val="47"/>
              <w:keepNext w:val="0"/>
              <w:keepLines w:val="0"/>
              <w:pageBreakBefore w:val="0"/>
              <w:widowControl w:val="0"/>
              <w:kinsoku/>
              <w:wordWrap/>
              <w:overflowPunct/>
              <w:topLinePunct w:val="0"/>
              <w:autoSpaceDE/>
              <w:autoSpaceDN/>
              <w:bidi w:val="0"/>
              <w:adjustRightInd/>
              <w:snapToGrid/>
              <w:spacing w:line="400" w:lineRule="exact"/>
              <w:ind w:firstLine="0"/>
              <w:textAlignment w:val="auto"/>
              <w:rPr>
                <w:rFonts w:ascii="仿宋_GB2312" w:hAnsi="仿宋_GB2312" w:eastAsia="仿宋_GB2312" w:cs="仿宋_GB2312"/>
                <w:szCs w:val="24"/>
              </w:rPr>
            </w:pPr>
            <w:r>
              <w:rPr>
                <w:rFonts w:hint="eastAsia" w:ascii="仿宋_GB2312" w:hAnsi="仿宋_GB2312" w:eastAsia="仿宋_GB2312" w:cs="仿宋_GB2312"/>
                <w:szCs w:val="24"/>
              </w:rPr>
              <w:t>11.整机内置的阵列麦支持在无任何外部设备的情况下，实时录制用户朗读内容，识别用户声纹并进行统一身份登录操作，登录后自动获取个人云端教学课件列表，打开教学白板软件时可跳过软件自带登录步骤。</w:t>
            </w:r>
          </w:p>
          <w:p w14:paraId="30CA85B7">
            <w:pPr>
              <w:pStyle w:val="47"/>
              <w:keepNext w:val="0"/>
              <w:keepLines w:val="0"/>
              <w:pageBreakBefore w:val="0"/>
              <w:widowControl w:val="0"/>
              <w:kinsoku/>
              <w:wordWrap/>
              <w:overflowPunct/>
              <w:topLinePunct w:val="0"/>
              <w:autoSpaceDE/>
              <w:autoSpaceDN/>
              <w:bidi w:val="0"/>
              <w:adjustRightInd/>
              <w:snapToGrid/>
              <w:spacing w:line="400" w:lineRule="exact"/>
              <w:ind w:firstLine="0"/>
              <w:textAlignment w:val="auto"/>
              <w:rPr>
                <w:rFonts w:ascii="仿宋_GB2312" w:hAnsi="仿宋_GB2312" w:eastAsia="仿宋_GB2312" w:cs="仿宋_GB2312"/>
                <w:szCs w:val="24"/>
              </w:rPr>
            </w:pPr>
            <w:r>
              <w:rPr>
                <w:rFonts w:hint="eastAsia" w:ascii="仿宋_GB2312" w:hAnsi="仿宋_GB2312" w:eastAsia="仿宋_GB2312" w:cs="仿宋_GB2312"/>
                <w:szCs w:val="24"/>
              </w:rPr>
              <w:t>12.整机侧边栏内置朗读工具，通过整机麦克风内置音频检测算法监测教室中学生的朗读情况，以游戏化界面反馈学生朗读音量大小。</w:t>
            </w:r>
          </w:p>
          <w:p w14:paraId="64788988">
            <w:pPr>
              <w:pStyle w:val="47"/>
              <w:keepNext w:val="0"/>
              <w:keepLines w:val="0"/>
              <w:pageBreakBefore w:val="0"/>
              <w:widowControl w:val="0"/>
              <w:kinsoku/>
              <w:wordWrap/>
              <w:overflowPunct/>
              <w:topLinePunct w:val="0"/>
              <w:autoSpaceDE/>
              <w:autoSpaceDN/>
              <w:bidi w:val="0"/>
              <w:adjustRightInd/>
              <w:snapToGrid/>
              <w:spacing w:line="400" w:lineRule="exact"/>
              <w:ind w:firstLine="0"/>
              <w:textAlignment w:val="auto"/>
              <w:rPr>
                <w:rFonts w:ascii="仿宋_GB2312" w:hAnsi="仿宋_GB2312" w:eastAsia="仿宋_GB2312" w:cs="仿宋_GB2312"/>
                <w:szCs w:val="24"/>
              </w:rPr>
            </w:pPr>
            <w:r>
              <w:rPr>
                <w:rFonts w:hint="eastAsia" w:ascii="仿宋_GB2312" w:hAnsi="仿宋_GB2312" w:eastAsia="仿宋_GB2312" w:cs="仿宋_GB2312"/>
                <w:szCs w:val="24"/>
              </w:rPr>
              <w:t>13.党建微课视频：提供≥100节党建微课视频，包含革命篇、建设篇、改革篇、复兴篇4个篇章。微课内容可在线点播，下载至课件播放。微课视频支持视频关键帧打点标记，播放过程中可一键跳转至标记位置，同时支持一键对视频内容进行截图插入课件。</w:t>
            </w:r>
          </w:p>
          <w:p w14:paraId="53F4EAA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Cs w:val="24"/>
              </w:rPr>
              <w:t>14</w:t>
            </w:r>
            <w:r>
              <w:rPr>
                <w:rFonts w:hint="eastAsia" w:ascii="仿宋_GB2312" w:hAnsi="仿宋_GB2312" w:eastAsia="仿宋_GB2312" w:cs="仿宋_GB2312"/>
                <w:kern w:val="2"/>
                <w:sz w:val="24"/>
                <w:szCs w:val="24"/>
                <w:lang w:val="en-US" w:eastAsia="zh-CN" w:bidi="ar-SA"/>
              </w:rPr>
              <w:t>.整机支持发出频率≥18kHz超声波信号，智能手机通过麦克风接收后，智能手机与整机无需在同一局域网内，可实现配对，一键投屏，用户无需手动输入投屏码或扫码获取投屏码。</w:t>
            </w:r>
          </w:p>
          <w:p w14:paraId="213066C8">
            <w:pPr>
              <w:pStyle w:val="19"/>
            </w:pPr>
            <w:r>
              <w:rPr>
                <w:rFonts w:hint="eastAsia"/>
              </w:rPr>
              <w:t>1</w:t>
            </w:r>
            <w:r>
              <w:rPr>
                <w:rFonts w:hint="eastAsia" w:ascii="仿宋_GB2312" w:hAnsi="仿宋_GB2312" w:eastAsia="仿宋_GB2312" w:cs="仿宋_GB2312"/>
              </w:rPr>
              <w:t>5.含正版操作系统及提供功能至少有文字处理、电子表格、演示文稿三大应用模块的</w:t>
            </w:r>
            <w:r>
              <w:rPr>
                <w:rFonts w:hint="eastAsia" w:ascii="仿宋_GB2312" w:hAnsi="仿宋_GB2312" w:eastAsia="仿宋_GB2312" w:cs="仿宋_GB2312"/>
                <w:lang w:val="en-US" w:eastAsia="zh-CN"/>
              </w:rPr>
              <w:t>正版</w:t>
            </w:r>
            <w:r>
              <w:rPr>
                <w:rFonts w:hint="eastAsia" w:ascii="仿宋_GB2312" w:hAnsi="仿宋_GB2312" w:eastAsia="仿宋_GB2312" w:cs="仿宋_GB2312"/>
              </w:rPr>
              <w:t>办公软件，授权≥3年。</w:t>
            </w:r>
          </w:p>
        </w:tc>
        <w:tc>
          <w:tcPr>
            <w:tcW w:w="809" w:type="dxa"/>
            <w:tcBorders>
              <w:top w:val="single" w:color="auto" w:sz="4" w:space="0"/>
              <w:left w:val="single" w:color="auto" w:sz="4" w:space="0"/>
              <w:bottom w:val="single" w:color="auto" w:sz="4" w:space="0"/>
              <w:right w:val="single" w:color="auto" w:sz="4" w:space="0"/>
            </w:tcBorders>
            <w:vAlign w:val="center"/>
          </w:tcPr>
          <w:p w14:paraId="373E7549">
            <w:pPr>
              <w:pStyle w:val="778"/>
              <w:snapToGrid w:val="0"/>
              <w:spacing w:line="460" w:lineRule="exact"/>
              <w:rPr>
                <w:rFonts w:ascii="仿宋_GB2312" w:hAnsi="仿宋_GB2312" w:eastAsia="仿宋_GB2312" w:cs="仿宋_GB2312"/>
                <w:b/>
                <w:bCs/>
                <w:sz w:val="24"/>
                <w:szCs w:val="24"/>
              </w:rPr>
            </w:pPr>
            <w:r>
              <w:rPr>
                <w:rFonts w:hint="eastAsia" w:ascii="仿宋_GB2312" w:hAnsi="仿宋_GB2312" w:eastAsia="仿宋_GB2312" w:cs="仿宋_GB2312"/>
                <w:sz w:val="24"/>
                <w:szCs w:val="24"/>
              </w:rPr>
              <w:t>12套</w:t>
            </w:r>
          </w:p>
        </w:tc>
      </w:tr>
      <w:tr w14:paraId="7B704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499" w:type="dxa"/>
            <w:tcBorders>
              <w:top w:val="single" w:color="auto" w:sz="4" w:space="0"/>
              <w:left w:val="single" w:color="auto" w:sz="4" w:space="0"/>
              <w:bottom w:val="single" w:color="auto" w:sz="4" w:space="0"/>
              <w:right w:val="single" w:color="auto" w:sz="4" w:space="0"/>
            </w:tcBorders>
            <w:vAlign w:val="center"/>
          </w:tcPr>
          <w:p w14:paraId="43454D29">
            <w:pPr>
              <w:pStyle w:val="778"/>
              <w:snapToGrid w:val="0"/>
              <w:spacing w:line="460" w:lineRule="exact"/>
              <w:jc w:val="center"/>
              <w:rPr>
                <w:rFonts w:ascii="仿宋_GB2312" w:hAnsi="仿宋_GB2312" w:eastAsia="仿宋_GB2312" w:cs="仿宋_GB2312"/>
                <w:b/>
                <w:bCs/>
                <w:sz w:val="24"/>
                <w:szCs w:val="24"/>
              </w:rPr>
            </w:pPr>
            <w:r>
              <w:rPr>
                <w:rFonts w:hint="eastAsia" w:ascii="仿宋_GB2312" w:hAnsi="仿宋_GB2312" w:eastAsia="仿宋_GB2312" w:cs="仿宋_GB2312"/>
                <w:sz w:val="24"/>
                <w:szCs w:val="24"/>
              </w:rPr>
              <w:t>2</w:t>
            </w:r>
          </w:p>
        </w:tc>
        <w:tc>
          <w:tcPr>
            <w:tcW w:w="1049" w:type="dxa"/>
            <w:tcBorders>
              <w:top w:val="single" w:color="auto" w:sz="4" w:space="0"/>
              <w:left w:val="single" w:color="auto" w:sz="4" w:space="0"/>
              <w:bottom w:val="single" w:color="auto" w:sz="4" w:space="0"/>
              <w:right w:val="single" w:color="auto" w:sz="4" w:space="0"/>
            </w:tcBorders>
            <w:vAlign w:val="center"/>
          </w:tcPr>
          <w:p w14:paraId="54AE0153">
            <w:pPr>
              <w:pStyle w:val="778"/>
              <w:snapToGrid w:val="0"/>
              <w:spacing w:line="460" w:lineRule="exact"/>
              <w:jc w:val="center"/>
              <w:rPr>
                <w:rFonts w:ascii="仿宋_GB2312" w:hAnsi="仿宋_GB2312" w:eastAsia="仿宋_GB2312" w:cs="仿宋_GB2312"/>
                <w:b/>
                <w:bCs/>
                <w:sz w:val="24"/>
                <w:szCs w:val="24"/>
              </w:rPr>
            </w:pPr>
            <w:r>
              <w:rPr>
                <w:rFonts w:hint="eastAsia" w:ascii="仿宋_GB2312" w:hAnsi="仿宋_GB2312" w:eastAsia="仿宋_GB2312" w:cs="仿宋_GB2312"/>
                <w:sz w:val="24"/>
                <w:szCs w:val="24"/>
              </w:rPr>
              <w:t>推拉白板</w:t>
            </w:r>
          </w:p>
        </w:tc>
        <w:tc>
          <w:tcPr>
            <w:tcW w:w="6929" w:type="dxa"/>
            <w:tcBorders>
              <w:top w:val="single" w:color="auto" w:sz="4" w:space="0"/>
              <w:left w:val="single" w:color="auto" w:sz="4" w:space="0"/>
              <w:bottom w:val="single" w:color="auto" w:sz="4" w:space="0"/>
              <w:right w:val="single" w:color="auto" w:sz="4" w:space="0"/>
            </w:tcBorders>
            <w:vAlign w:val="center"/>
          </w:tcPr>
          <w:p w14:paraId="3275A86B">
            <w:pPr>
              <w:pStyle w:val="47"/>
              <w:spacing w:line="400" w:lineRule="exact"/>
              <w:ind w:firstLine="0"/>
              <w:rPr>
                <w:rFonts w:ascii="仿宋_GB2312" w:hAnsi="仿宋_GB2312" w:eastAsia="仿宋_GB2312" w:cs="仿宋_GB2312"/>
                <w:szCs w:val="24"/>
              </w:rPr>
            </w:pPr>
            <w:r>
              <w:rPr>
                <w:rFonts w:ascii="仿宋_GB2312" w:hAnsi="仿宋_GB2312" w:eastAsia="仿宋_GB2312" w:cs="仿宋_GB2312"/>
                <w:szCs w:val="24"/>
              </w:rPr>
              <w:t>1.结构：推拉板由四块书写板及铝合金边框组装而成，书写板分内外双层结构，内层为两块固定书写板与</w:t>
            </w:r>
            <w:r>
              <w:rPr>
                <w:rFonts w:hint="eastAsia" w:ascii="仿宋_GB2312" w:hAnsi="仿宋_GB2312" w:eastAsia="仿宋_GB2312" w:cs="仿宋_GB2312"/>
                <w:szCs w:val="24"/>
              </w:rPr>
              <w:t>交互智能平板一体机</w:t>
            </w:r>
            <w:r>
              <w:rPr>
                <w:rFonts w:ascii="仿宋_GB2312" w:hAnsi="仿宋_GB2312" w:eastAsia="仿宋_GB2312" w:cs="仿宋_GB2312"/>
                <w:szCs w:val="24"/>
              </w:rPr>
              <w:t>正面平齐，外层为两块滑动书写板，滑动板配装挂锁，开闭自如确保</w:t>
            </w:r>
            <w:r>
              <w:rPr>
                <w:rFonts w:hint="eastAsia" w:ascii="仿宋_GB2312" w:hAnsi="仿宋_GB2312" w:eastAsia="仿宋_GB2312" w:cs="仿宋_GB2312"/>
                <w:szCs w:val="24"/>
              </w:rPr>
              <w:t>交互智能平板一体机</w:t>
            </w:r>
            <w:r>
              <w:rPr>
                <w:rFonts w:ascii="仿宋_GB2312" w:hAnsi="仿宋_GB2312" w:eastAsia="仿宋_GB2312" w:cs="仿宋_GB2312"/>
                <w:szCs w:val="24"/>
              </w:rPr>
              <w:t>的安全管理。</w:t>
            </w:r>
          </w:p>
          <w:p w14:paraId="0D3A0C3B">
            <w:pPr>
              <w:pStyle w:val="47"/>
              <w:spacing w:line="400" w:lineRule="exact"/>
              <w:ind w:firstLine="0"/>
              <w:rPr>
                <w:rFonts w:ascii="仿宋_GB2312" w:hAnsi="仿宋_GB2312" w:eastAsia="仿宋_GB2312" w:cs="仿宋_GB2312"/>
                <w:szCs w:val="24"/>
              </w:rPr>
            </w:pPr>
            <w:r>
              <w:rPr>
                <w:rFonts w:ascii="仿宋_GB2312" w:hAnsi="仿宋_GB2312" w:eastAsia="仿宋_GB2312" w:cs="仿宋_GB2312"/>
                <w:szCs w:val="24"/>
              </w:rPr>
              <w:t>2.基本尺寸：≥4300mm×1380mm，</w:t>
            </w:r>
            <w:bookmarkStart w:id="35" w:name="OLE_LINK8"/>
            <w:bookmarkStart w:id="36" w:name="OLE_LINK11"/>
            <w:r>
              <w:rPr>
                <w:rFonts w:hint="eastAsia" w:ascii="仿宋_GB2312" w:hAnsi="仿宋_GB2312" w:eastAsia="仿宋_GB2312" w:cs="仿宋_GB2312"/>
                <w:szCs w:val="24"/>
              </w:rPr>
              <w:t>根据所配交互智能平板一体机适当调整，确保与实训室交互智能平板一体机有效配套</w:t>
            </w:r>
            <w:bookmarkEnd w:id="35"/>
            <w:bookmarkEnd w:id="36"/>
            <w:r>
              <w:rPr>
                <w:rFonts w:ascii="仿宋_GB2312" w:hAnsi="仿宋_GB2312" w:eastAsia="仿宋_GB2312" w:cs="仿宋_GB2312"/>
                <w:szCs w:val="24"/>
              </w:rPr>
              <w:t>。</w:t>
            </w:r>
          </w:p>
          <w:p w14:paraId="5541D213">
            <w:pPr>
              <w:pStyle w:val="47"/>
              <w:spacing w:line="400" w:lineRule="exact"/>
              <w:ind w:firstLine="0"/>
              <w:rPr>
                <w:rFonts w:ascii="仿宋_GB2312" w:hAnsi="仿宋_GB2312" w:eastAsia="仿宋_GB2312" w:cs="仿宋_GB2312"/>
                <w:szCs w:val="24"/>
              </w:rPr>
            </w:pPr>
            <w:r>
              <w:rPr>
                <w:rFonts w:ascii="仿宋_GB2312" w:hAnsi="仿宋_GB2312" w:eastAsia="仿宋_GB2312" w:cs="仿宋_GB2312"/>
                <w:szCs w:val="24"/>
              </w:rPr>
              <w:t>3.书写板面：采用烤漆板面，</w:t>
            </w:r>
            <w:r>
              <w:rPr>
                <w:rFonts w:hint="eastAsia" w:ascii="仿宋_GB2312" w:hAnsi="仿宋_GB2312" w:eastAsia="仿宋_GB2312" w:cs="仿宋_GB2312"/>
                <w:szCs w:val="24"/>
              </w:rPr>
              <w:t>白</w:t>
            </w:r>
            <w:r>
              <w:rPr>
                <w:rFonts w:ascii="仿宋_GB2312" w:hAnsi="仿宋_GB2312" w:eastAsia="仿宋_GB2312" w:cs="仿宋_GB2312"/>
                <w:szCs w:val="24"/>
              </w:rPr>
              <w:t>色、亚光，厚度≥0.3mm，粗糙度为Ra1.6-3.2 um，没有因</w:t>
            </w:r>
            <w:r>
              <w:rPr>
                <w:rFonts w:hint="eastAsia" w:ascii="仿宋_GB2312" w:hAnsi="仿宋_GB2312" w:eastAsia="仿宋_GB2312" w:cs="仿宋_GB2312"/>
                <w:szCs w:val="24"/>
              </w:rPr>
              <w:t>白板</w:t>
            </w:r>
            <w:r>
              <w:rPr>
                <w:rFonts w:ascii="仿宋_GB2312" w:hAnsi="仿宋_GB2312" w:eastAsia="仿宋_GB2312" w:cs="仿宋_GB2312"/>
                <w:szCs w:val="24"/>
              </w:rPr>
              <w:t>本身原因产生的眩光，书写流畅字迹清晰、板面表面附有一层透明保护膜，符合</w:t>
            </w:r>
            <w:bookmarkStart w:id="37" w:name="OLE_LINK3"/>
            <w:r>
              <w:rPr>
                <w:rFonts w:ascii="仿宋_GB2312" w:hAnsi="仿宋_GB2312" w:eastAsia="仿宋_GB2312" w:cs="仿宋_GB2312"/>
                <w:szCs w:val="24"/>
              </w:rPr>
              <w:t>GB 28231-2011</w:t>
            </w:r>
            <w:bookmarkEnd w:id="37"/>
            <w:r>
              <w:rPr>
                <w:rFonts w:ascii="仿宋_GB2312" w:hAnsi="仿宋_GB2312" w:eastAsia="仿宋_GB2312" w:cs="仿宋_GB2312"/>
                <w:szCs w:val="24"/>
              </w:rPr>
              <w:t>《书写板安全卫生要求》。</w:t>
            </w:r>
          </w:p>
          <w:p w14:paraId="7D7EF9FB">
            <w:pPr>
              <w:pStyle w:val="47"/>
              <w:spacing w:line="400" w:lineRule="exact"/>
              <w:ind w:firstLine="0"/>
              <w:rPr>
                <w:rFonts w:ascii="仿宋_GB2312" w:hAnsi="仿宋_GB2312" w:eastAsia="仿宋_GB2312" w:cs="仿宋_GB2312"/>
                <w:szCs w:val="24"/>
              </w:rPr>
            </w:pPr>
            <w:r>
              <w:rPr>
                <w:rFonts w:ascii="仿宋_GB2312" w:hAnsi="仿宋_GB2312" w:eastAsia="仿宋_GB2312" w:cs="仿宋_GB2312"/>
                <w:szCs w:val="24"/>
              </w:rPr>
              <w:t>4.内芯材料：高强度、吸音、聚苯乙烯泡沫板，采用国</w:t>
            </w:r>
            <w:r>
              <w:rPr>
                <w:rFonts w:hint="eastAsia" w:ascii="仿宋_GB2312" w:hAnsi="仿宋_GB2312" w:eastAsia="仿宋_GB2312" w:cs="仿宋_GB2312"/>
                <w:szCs w:val="24"/>
              </w:rPr>
              <w:t>家标准</w:t>
            </w:r>
            <w:r>
              <w:rPr>
                <w:rFonts w:ascii="仿宋_GB2312" w:hAnsi="仿宋_GB2312" w:eastAsia="仿宋_GB2312" w:cs="仿宋_GB2312"/>
                <w:szCs w:val="24"/>
              </w:rPr>
              <w:t>适用工艺，书写无吱咔声，改善书写手感。</w:t>
            </w:r>
          </w:p>
          <w:p w14:paraId="0B4917C9">
            <w:pPr>
              <w:pStyle w:val="47"/>
              <w:spacing w:line="400" w:lineRule="exact"/>
              <w:ind w:firstLine="0"/>
              <w:rPr>
                <w:rFonts w:ascii="仿宋_GB2312" w:hAnsi="仿宋_GB2312" w:eastAsia="仿宋_GB2312" w:cs="仿宋_GB2312"/>
                <w:szCs w:val="24"/>
              </w:rPr>
            </w:pPr>
            <w:r>
              <w:rPr>
                <w:rFonts w:ascii="仿宋_GB2312" w:hAnsi="仿宋_GB2312" w:eastAsia="仿宋_GB2312" w:cs="仿宋_GB2312"/>
                <w:szCs w:val="24"/>
              </w:rPr>
              <w:t>5.背板：采用防锈热镀锌钢板，厚度≥0.25mm，流水线一次成型，间隔80mm压有20mm凹槽加强筋,确保均布承压不低于635N，凹槽增加强度，更加耐用。</w:t>
            </w:r>
          </w:p>
          <w:p w14:paraId="0E222867">
            <w:pPr>
              <w:pStyle w:val="47"/>
              <w:spacing w:line="400" w:lineRule="exact"/>
              <w:ind w:firstLine="0"/>
              <w:rPr>
                <w:rFonts w:ascii="仿宋_GB2312" w:hAnsi="仿宋_GB2312" w:eastAsia="仿宋_GB2312" w:cs="仿宋_GB2312"/>
                <w:szCs w:val="24"/>
              </w:rPr>
            </w:pPr>
            <w:r>
              <w:rPr>
                <w:rFonts w:hint="eastAsia" w:ascii="仿宋_GB2312" w:hAnsi="仿宋_GB2312" w:eastAsia="仿宋_GB2312" w:cs="仿宋_GB2312"/>
                <w:szCs w:val="24"/>
              </w:rPr>
              <w:t>★</w:t>
            </w:r>
            <w:r>
              <w:rPr>
                <w:rFonts w:ascii="仿宋_GB2312" w:hAnsi="仿宋_GB2312" w:eastAsia="仿宋_GB2312" w:cs="仿宋_GB2312"/>
                <w:szCs w:val="24"/>
              </w:rPr>
              <w:t>6.覆板：采用环保型双组份聚氨酯胶水，自动化流水线覆板作业，牵引、滴胶、刷胶、压固、切割下料一次完成，确保粘接牢固板面平整，</w:t>
            </w:r>
            <w:r>
              <w:rPr>
                <w:rFonts w:ascii="仿宋_GB2312" w:hAnsi="仿宋_GB2312" w:eastAsia="仿宋_GB2312" w:cs="仿宋_GB2312"/>
                <w:szCs w:val="24"/>
                <w:u w:val="single"/>
              </w:rPr>
              <w:t>甲醛释放量≤1.5mg/L</w:t>
            </w:r>
            <w:r>
              <w:rPr>
                <w:rFonts w:ascii="仿宋_GB2312" w:hAnsi="仿宋_GB2312" w:eastAsia="仿宋_GB2312" w:cs="仿宋_GB2312"/>
                <w:szCs w:val="24"/>
              </w:rPr>
              <w:t>，符合GB 28231-2011《书写板安全卫生要求》。</w:t>
            </w:r>
          </w:p>
          <w:p w14:paraId="4C4DE806">
            <w:pPr>
              <w:pStyle w:val="47"/>
              <w:spacing w:line="400" w:lineRule="exact"/>
              <w:ind w:firstLine="0"/>
              <w:rPr>
                <w:rFonts w:ascii="仿宋_GB2312" w:hAnsi="仿宋_GB2312" w:eastAsia="仿宋_GB2312" w:cs="仿宋_GB2312"/>
                <w:szCs w:val="24"/>
              </w:rPr>
            </w:pPr>
            <w:r>
              <w:rPr>
                <w:rFonts w:ascii="仿宋_GB2312" w:hAnsi="仿宋_GB2312" w:eastAsia="仿宋_GB2312" w:cs="仿宋_GB2312"/>
                <w:szCs w:val="24"/>
              </w:rPr>
              <w:t>7.边框：采用工业用高强度铝合金型材，模具挤压一次成型，上框规格57mm×78mm，左右框规格29mm×100mm</w:t>
            </w:r>
            <w:r>
              <w:rPr>
                <w:rFonts w:hint="eastAsia" w:ascii="仿宋_GB2312" w:hAnsi="仿宋_GB2312" w:eastAsia="仿宋_GB2312" w:cs="仿宋_GB2312"/>
                <w:szCs w:val="24"/>
              </w:rPr>
              <w:t>，根据场地实地要求不超过</w:t>
            </w:r>
            <w:r>
              <w:rPr>
                <w:rFonts w:hint="eastAsia"/>
              </w:rPr>
              <w:t>±5</w:t>
            </w:r>
            <w:r>
              <w:rPr>
                <w:rFonts w:hint="eastAsia" w:ascii="仿宋_GB2312" w:hAnsi="仿宋_GB2312" w:eastAsia="仿宋_GB2312" w:cs="仿宋_GB2312"/>
              </w:rPr>
              <w:t>mm</w:t>
            </w:r>
            <w:r>
              <w:rPr>
                <w:rFonts w:hint="eastAsia" w:ascii="仿宋_GB2312" w:hAnsi="仿宋_GB2312" w:eastAsia="仿宋_GB2312" w:cs="仿宋_GB2312"/>
                <w:szCs w:val="24"/>
              </w:rPr>
              <w:t>修正偏差</w:t>
            </w:r>
            <w:r>
              <w:rPr>
                <w:rFonts w:ascii="仿宋_GB2312" w:hAnsi="仿宋_GB2312" w:eastAsia="仿宋_GB2312" w:cs="仿宋_GB2312"/>
                <w:szCs w:val="24"/>
              </w:rPr>
              <w:t>。轨道上置隐藏式平滑轮滑道，结构性解决滑轮受粉尘影响的情况，配有宽度≥30mm的粉尘槽，粉尘槽与滑动系统分离，与边框一次模具成形，防止粉尘垂直落地。</w:t>
            </w:r>
          </w:p>
          <w:p w14:paraId="7F305749">
            <w:pPr>
              <w:pStyle w:val="47"/>
              <w:spacing w:line="400" w:lineRule="exact"/>
              <w:ind w:firstLine="0"/>
              <w:rPr>
                <w:rFonts w:ascii="仿宋_GB2312" w:hAnsi="仿宋_GB2312" w:eastAsia="仿宋_GB2312" w:cs="仿宋_GB2312"/>
                <w:szCs w:val="24"/>
              </w:rPr>
            </w:pPr>
            <w:r>
              <w:rPr>
                <w:rFonts w:ascii="仿宋_GB2312" w:hAnsi="仿宋_GB2312" w:eastAsia="仿宋_GB2312" w:cs="仿宋_GB2312"/>
                <w:szCs w:val="24"/>
              </w:rPr>
              <w:t>8.包角材料：采用抗老化高强度ABS工程塑料注塑成型。规格：100mm×29mm×29mm，</w:t>
            </w:r>
            <w:r>
              <w:rPr>
                <w:rFonts w:hint="eastAsia" w:ascii="仿宋_GB2312" w:hAnsi="仿宋_GB2312" w:eastAsia="仿宋_GB2312" w:cs="仿宋_GB2312"/>
                <w:szCs w:val="24"/>
              </w:rPr>
              <w:t>根据场地实地要求不超过</w:t>
            </w:r>
            <w:r>
              <w:rPr>
                <w:rFonts w:hint="eastAsia"/>
              </w:rPr>
              <w:t>±5mm</w:t>
            </w:r>
            <w:r>
              <w:rPr>
                <w:rFonts w:hint="eastAsia" w:ascii="仿宋_GB2312" w:hAnsi="仿宋_GB2312" w:eastAsia="仿宋_GB2312" w:cs="仿宋_GB2312"/>
                <w:szCs w:val="24"/>
              </w:rPr>
              <w:t>修正偏差，</w:t>
            </w:r>
            <w:r>
              <w:rPr>
                <w:rFonts w:ascii="仿宋_GB2312" w:hAnsi="仿宋_GB2312" w:eastAsia="仿宋_GB2312" w:cs="仿宋_GB2312"/>
                <w:szCs w:val="24"/>
              </w:rPr>
              <w:t>采用双壁成腔流线型设计，≥R25mm的圆角，无尖角毛刺，符合</w:t>
            </w:r>
            <w:bookmarkStart w:id="38" w:name="OLE_LINK5"/>
            <w:r>
              <w:rPr>
                <w:rFonts w:ascii="仿宋_GB2312" w:hAnsi="仿宋_GB2312" w:eastAsia="仿宋_GB2312" w:cs="仿宋_GB2312"/>
                <w:szCs w:val="24"/>
              </w:rPr>
              <w:t>JY</w:t>
            </w:r>
            <w:r>
              <w:rPr>
                <w:rFonts w:hint="eastAsia" w:ascii="仿宋_GB2312" w:hAnsi="仿宋_GB2312" w:eastAsia="仿宋_GB2312" w:cs="仿宋_GB2312"/>
                <w:szCs w:val="24"/>
                <w:lang w:val="en-US" w:eastAsia="zh-CN"/>
              </w:rPr>
              <w:t xml:space="preserve"> </w:t>
            </w:r>
            <w:r>
              <w:rPr>
                <w:rFonts w:ascii="仿宋_GB2312" w:hAnsi="仿宋_GB2312" w:eastAsia="仿宋_GB2312" w:cs="仿宋_GB2312"/>
                <w:szCs w:val="24"/>
              </w:rPr>
              <w:t>0001-2003</w:t>
            </w:r>
            <w:bookmarkEnd w:id="38"/>
            <w:r>
              <w:rPr>
                <w:rFonts w:ascii="仿宋_GB2312" w:hAnsi="仿宋_GB2312" w:eastAsia="仿宋_GB2312" w:cs="仿宋_GB2312"/>
                <w:szCs w:val="24"/>
              </w:rPr>
              <w:t>《教学仪器设备产品一般质量要求》。</w:t>
            </w:r>
          </w:p>
          <w:p w14:paraId="77989F4B">
            <w:pPr>
              <w:pStyle w:val="47"/>
              <w:spacing w:line="400" w:lineRule="exact"/>
              <w:ind w:firstLine="0"/>
              <w:rPr>
                <w:rFonts w:ascii="仿宋_GB2312" w:hAnsi="仿宋_GB2312" w:eastAsia="仿宋_GB2312" w:cs="仿宋_GB2312"/>
                <w:szCs w:val="24"/>
              </w:rPr>
            </w:pPr>
            <w:r>
              <w:rPr>
                <w:rFonts w:ascii="仿宋_GB2312" w:hAnsi="仿宋_GB2312" w:eastAsia="仿宋_GB2312" w:cs="仿宋_GB2312"/>
                <w:szCs w:val="24"/>
              </w:rPr>
              <w:t>9.</w:t>
            </w:r>
            <w:r>
              <w:rPr>
                <w:rFonts w:hint="eastAsia" w:ascii="仿宋_GB2312" w:hAnsi="仿宋_GB2312" w:eastAsia="仿宋_GB2312" w:cs="仿宋_GB2312"/>
                <w:szCs w:val="24"/>
              </w:rPr>
              <w:t>白板</w:t>
            </w:r>
            <w:r>
              <w:rPr>
                <w:rFonts w:ascii="仿宋_GB2312" w:hAnsi="仿宋_GB2312" w:eastAsia="仿宋_GB2312" w:cs="仿宋_GB2312"/>
                <w:szCs w:val="24"/>
              </w:rPr>
              <w:t>滑轮：上轨采用减震消音双组吊轮，滑轮使用高精度轴承，下轨采用双组滑块，保证滑动流畅、噪音小、前后定位精确不晃动、滑动板前后晃动小于0.5mm，经久耐用。数目各4组，上下均匀安装，推拉顺畅自如，无卡挤现象和尖锐的摩擦声，稳定性好。</w:t>
            </w:r>
          </w:p>
          <w:p w14:paraId="3523EADF">
            <w:pPr>
              <w:pStyle w:val="47"/>
              <w:spacing w:line="400" w:lineRule="exact"/>
              <w:ind w:firstLine="0"/>
              <w:rPr>
                <w:rFonts w:ascii="仿宋_GB2312" w:hAnsi="仿宋_GB2312" w:eastAsia="仿宋_GB2312" w:cs="仿宋_GB2312"/>
                <w:b/>
                <w:bCs/>
                <w:szCs w:val="24"/>
              </w:rPr>
            </w:pPr>
            <w:r>
              <w:rPr>
                <w:rFonts w:ascii="仿宋_GB2312" w:hAnsi="仿宋_GB2312" w:eastAsia="仿宋_GB2312" w:cs="仿宋_GB2312"/>
                <w:szCs w:val="24"/>
              </w:rPr>
              <w:t>10.限位档：</w:t>
            </w:r>
            <w:r>
              <w:rPr>
                <w:rFonts w:hint="eastAsia" w:ascii="仿宋_GB2312" w:hAnsi="仿宋_GB2312" w:eastAsia="仿宋_GB2312" w:cs="仿宋_GB2312"/>
                <w:szCs w:val="24"/>
              </w:rPr>
              <w:t>白板</w:t>
            </w:r>
            <w:r>
              <w:rPr>
                <w:rFonts w:ascii="仿宋_GB2312" w:hAnsi="仿宋_GB2312" w:eastAsia="仿宋_GB2312" w:cs="仿宋_GB2312"/>
                <w:szCs w:val="24"/>
              </w:rPr>
              <w:t>边框内部两侧安装滑动板限位档，防止活动</w:t>
            </w:r>
            <w:r>
              <w:rPr>
                <w:rFonts w:hint="eastAsia" w:ascii="仿宋_GB2312" w:hAnsi="仿宋_GB2312" w:eastAsia="仿宋_GB2312" w:cs="仿宋_GB2312"/>
                <w:szCs w:val="24"/>
              </w:rPr>
              <w:t>白板</w:t>
            </w:r>
            <w:r>
              <w:rPr>
                <w:rFonts w:ascii="仿宋_GB2312" w:hAnsi="仿宋_GB2312" w:eastAsia="仿宋_GB2312" w:cs="仿宋_GB2312"/>
                <w:szCs w:val="24"/>
              </w:rPr>
              <w:t>开启时撞击立框。</w:t>
            </w:r>
          </w:p>
        </w:tc>
        <w:tc>
          <w:tcPr>
            <w:tcW w:w="809" w:type="dxa"/>
            <w:tcBorders>
              <w:top w:val="single" w:color="auto" w:sz="4" w:space="0"/>
              <w:left w:val="single" w:color="auto" w:sz="4" w:space="0"/>
              <w:bottom w:val="single" w:color="auto" w:sz="4" w:space="0"/>
              <w:right w:val="single" w:color="auto" w:sz="4" w:space="0"/>
            </w:tcBorders>
            <w:vAlign w:val="center"/>
          </w:tcPr>
          <w:p w14:paraId="3DF632C5">
            <w:pPr>
              <w:pStyle w:val="47"/>
              <w:spacing w:line="240" w:lineRule="auto"/>
              <w:ind w:firstLine="0"/>
              <w:rPr>
                <w:rFonts w:ascii="仿宋_GB2312" w:hAnsi="仿宋_GB2312" w:eastAsia="仿宋_GB2312" w:cs="仿宋_GB2312"/>
                <w:szCs w:val="24"/>
              </w:rPr>
            </w:pPr>
            <w:r>
              <w:rPr>
                <w:rFonts w:hint="eastAsia" w:ascii="仿宋_GB2312" w:hAnsi="仿宋_GB2312" w:eastAsia="仿宋_GB2312" w:cs="仿宋_GB2312"/>
                <w:szCs w:val="24"/>
              </w:rPr>
              <w:t>10套</w:t>
            </w:r>
          </w:p>
          <w:p w14:paraId="29068D87">
            <w:pPr>
              <w:pStyle w:val="778"/>
              <w:snapToGrid w:val="0"/>
              <w:spacing w:line="460" w:lineRule="exact"/>
              <w:jc w:val="center"/>
              <w:rPr>
                <w:rFonts w:ascii="仿宋_GB2312" w:hAnsi="仿宋_GB2312" w:eastAsia="仿宋_GB2312" w:cs="仿宋_GB2312"/>
                <w:b/>
                <w:bCs/>
                <w:sz w:val="24"/>
                <w:szCs w:val="24"/>
              </w:rPr>
            </w:pPr>
          </w:p>
        </w:tc>
      </w:tr>
      <w:tr w14:paraId="383EB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499" w:type="dxa"/>
            <w:tcBorders>
              <w:top w:val="single" w:color="auto" w:sz="4" w:space="0"/>
              <w:left w:val="single" w:color="auto" w:sz="4" w:space="0"/>
              <w:bottom w:val="single" w:color="auto" w:sz="4" w:space="0"/>
              <w:right w:val="single" w:color="auto" w:sz="4" w:space="0"/>
            </w:tcBorders>
            <w:vAlign w:val="center"/>
          </w:tcPr>
          <w:p w14:paraId="1D20F785">
            <w:pPr>
              <w:pStyle w:val="778"/>
              <w:snapToGrid w:val="0"/>
              <w:spacing w:line="4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1049" w:type="dxa"/>
            <w:tcBorders>
              <w:top w:val="single" w:color="auto" w:sz="4" w:space="0"/>
              <w:left w:val="single" w:color="auto" w:sz="4" w:space="0"/>
              <w:bottom w:val="single" w:color="auto" w:sz="4" w:space="0"/>
              <w:right w:val="single" w:color="auto" w:sz="4" w:space="0"/>
            </w:tcBorders>
            <w:vAlign w:val="center"/>
          </w:tcPr>
          <w:p w14:paraId="14C465C9">
            <w:pPr>
              <w:pStyle w:val="47"/>
              <w:spacing w:line="240" w:lineRule="auto"/>
              <w:ind w:firstLine="0"/>
              <w:jc w:val="center"/>
              <w:rPr>
                <w:rFonts w:ascii="仿宋_GB2312" w:hAnsi="仿宋_GB2312" w:eastAsia="仿宋_GB2312" w:cs="仿宋_GB2312"/>
                <w:b/>
                <w:bCs/>
                <w:szCs w:val="24"/>
              </w:rPr>
            </w:pPr>
            <w:r>
              <w:rPr>
                <w:rFonts w:hint="eastAsia" w:ascii="仿宋_GB2312" w:hAnsi="仿宋_GB2312" w:eastAsia="仿宋_GB2312" w:cs="仿宋_GB2312"/>
                <w:szCs w:val="24"/>
              </w:rPr>
              <w:t>移动支架</w:t>
            </w:r>
          </w:p>
        </w:tc>
        <w:tc>
          <w:tcPr>
            <w:tcW w:w="6929" w:type="dxa"/>
            <w:tcBorders>
              <w:top w:val="single" w:color="auto" w:sz="4" w:space="0"/>
              <w:left w:val="single" w:color="auto" w:sz="4" w:space="0"/>
              <w:bottom w:val="single" w:color="auto" w:sz="4" w:space="0"/>
              <w:right w:val="single" w:color="auto" w:sz="4" w:space="0"/>
            </w:tcBorders>
            <w:vAlign w:val="center"/>
          </w:tcPr>
          <w:p w14:paraId="4D8199E6">
            <w:pPr>
              <w:pStyle w:val="47"/>
              <w:spacing w:line="400" w:lineRule="exact"/>
              <w:ind w:firstLine="0"/>
              <w:rPr>
                <w:rFonts w:ascii="仿宋_GB2312" w:hAnsi="仿宋_GB2312" w:eastAsia="仿宋_GB2312" w:cs="仿宋_GB2312"/>
                <w:szCs w:val="24"/>
              </w:rPr>
            </w:pPr>
            <w:r>
              <w:rPr>
                <w:rFonts w:hint="eastAsia" w:ascii="仿宋_GB2312" w:hAnsi="仿宋_GB2312" w:eastAsia="仿宋_GB2312" w:cs="仿宋_GB2312"/>
                <w:szCs w:val="24"/>
              </w:rPr>
              <w:t>1.采用钢管、酸洗磷化、喷塑油漆黑色。</w:t>
            </w:r>
          </w:p>
          <w:p w14:paraId="7FF9EA23">
            <w:pPr>
              <w:pStyle w:val="47"/>
              <w:spacing w:line="400" w:lineRule="exact"/>
              <w:ind w:firstLine="0"/>
              <w:rPr>
                <w:rFonts w:ascii="仿宋_GB2312" w:hAnsi="仿宋_GB2312" w:eastAsia="仿宋_GB2312" w:cs="仿宋_GB2312"/>
                <w:b/>
                <w:bCs/>
                <w:szCs w:val="24"/>
              </w:rPr>
            </w:pPr>
            <w:r>
              <w:rPr>
                <w:rFonts w:hint="eastAsia" w:ascii="仿宋_GB2312" w:hAnsi="仿宋_GB2312" w:eastAsia="仿宋_GB2312" w:cs="仿宋_GB2312"/>
                <w:szCs w:val="24"/>
              </w:rPr>
              <w:t>2.支架拆装式，配4个带锁轮子，可挂84寸-90寸的设备。</w:t>
            </w:r>
          </w:p>
        </w:tc>
        <w:tc>
          <w:tcPr>
            <w:tcW w:w="809" w:type="dxa"/>
            <w:tcBorders>
              <w:top w:val="single" w:color="auto" w:sz="4" w:space="0"/>
              <w:left w:val="single" w:color="auto" w:sz="4" w:space="0"/>
              <w:bottom w:val="single" w:color="auto" w:sz="4" w:space="0"/>
              <w:right w:val="single" w:color="auto" w:sz="4" w:space="0"/>
            </w:tcBorders>
            <w:vAlign w:val="center"/>
          </w:tcPr>
          <w:p w14:paraId="31983BE6">
            <w:pPr>
              <w:pStyle w:val="778"/>
              <w:snapToGrid w:val="0"/>
              <w:spacing w:line="460" w:lineRule="exact"/>
              <w:jc w:val="center"/>
              <w:rPr>
                <w:rFonts w:ascii="仿宋_GB2312" w:hAnsi="仿宋_GB2312" w:eastAsia="仿宋_GB2312" w:cs="仿宋_GB2312"/>
                <w:b/>
                <w:bCs/>
                <w:sz w:val="24"/>
                <w:szCs w:val="24"/>
              </w:rPr>
            </w:pPr>
            <w:r>
              <w:rPr>
                <w:rFonts w:hint="eastAsia" w:ascii="仿宋_GB2312" w:hAnsi="仿宋_GB2312" w:eastAsia="仿宋_GB2312" w:cs="仿宋_GB2312"/>
                <w:sz w:val="24"/>
                <w:szCs w:val="24"/>
              </w:rPr>
              <w:t>2套</w:t>
            </w:r>
          </w:p>
        </w:tc>
      </w:tr>
      <w:tr w14:paraId="5ADBC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499" w:type="dxa"/>
            <w:tcBorders>
              <w:top w:val="single" w:color="auto" w:sz="4" w:space="0"/>
              <w:left w:val="single" w:color="auto" w:sz="4" w:space="0"/>
              <w:bottom w:val="single" w:color="auto" w:sz="4" w:space="0"/>
              <w:right w:val="single" w:color="auto" w:sz="4" w:space="0"/>
            </w:tcBorders>
            <w:vAlign w:val="center"/>
          </w:tcPr>
          <w:p w14:paraId="58344DB6">
            <w:pPr>
              <w:pStyle w:val="778"/>
              <w:snapToGrid w:val="0"/>
              <w:spacing w:line="4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1049" w:type="dxa"/>
            <w:tcBorders>
              <w:top w:val="single" w:color="auto" w:sz="4" w:space="0"/>
              <w:left w:val="single" w:color="auto" w:sz="4" w:space="0"/>
              <w:bottom w:val="single" w:color="auto" w:sz="4" w:space="0"/>
              <w:right w:val="single" w:color="auto" w:sz="4" w:space="0"/>
            </w:tcBorders>
            <w:vAlign w:val="center"/>
          </w:tcPr>
          <w:p w14:paraId="69961A9A">
            <w:pPr>
              <w:pStyle w:val="47"/>
              <w:spacing w:line="240" w:lineRule="auto"/>
              <w:ind w:firstLine="0"/>
              <w:jc w:val="center"/>
              <w:rPr>
                <w:rFonts w:ascii="仿宋_GB2312" w:hAnsi="仿宋_GB2312" w:eastAsia="仿宋_GB2312" w:cs="仿宋_GB2312"/>
                <w:b/>
                <w:bCs/>
                <w:szCs w:val="24"/>
              </w:rPr>
            </w:pPr>
            <w:r>
              <w:rPr>
                <w:rFonts w:hint="eastAsia" w:ascii="仿宋_GB2312" w:hAnsi="仿宋_GB2312" w:eastAsia="仿宋_GB2312" w:cs="仿宋_GB2312"/>
                <w:szCs w:val="24"/>
              </w:rPr>
              <w:t>移动支架白板</w:t>
            </w:r>
          </w:p>
        </w:tc>
        <w:tc>
          <w:tcPr>
            <w:tcW w:w="6929" w:type="dxa"/>
            <w:tcBorders>
              <w:top w:val="single" w:color="auto" w:sz="4" w:space="0"/>
              <w:left w:val="single" w:color="auto" w:sz="4" w:space="0"/>
              <w:bottom w:val="single" w:color="auto" w:sz="4" w:space="0"/>
              <w:right w:val="single" w:color="auto" w:sz="4" w:space="0"/>
            </w:tcBorders>
            <w:vAlign w:val="center"/>
          </w:tcPr>
          <w:p w14:paraId="3E877DD5">
            <w:pPr>
              <w:pStyle w:val="47"/>
              <w:spacing w:line="400" w:lineRule="exact"/>
              <w:ind w:firstLine="0"/>
              <w:rPr>
                <w:rFonts w:ascii="仿宋_GB2312" w:hAnsi="仿宋_GB2312" w:eastAsia="仿宋_GB2312" w:cs="仿宋_GB2312"/>
                <w:b/>
                <w:bCs/>
                <w:szCs w:val="24"/>
              </w:rPr>
            </w:pPr>
            <w:r>
              <w:rPr>
                <w:rFonts w:hint="eastAsia" w:ascii="仿宋_GB2312" w:hAnsi="仿宋_GB2312" w:eastAsia="仿宋_GB2312" w:cs="仿宋_GB2312"/>
                <w:szCs w:val="24"/>
              </w:rPr>
              <w:t>1.基本尺寸：1500mm</w:t>
            </w:r>
            <w:r>
              <w:rPr>
                <w:rFonts w:hint="eastAsia" w:ascii="仿宋_GB2312" w:hAnsi="仿宋_GB2312" w:eastAsia="仿宋_GB2312" w:cs="仿宋_GB2312"/>
                <w:szCs w:val="24"/>
                <w:lang w:eastAsia="zh-CN"/>
              </w:rPr>
              <w:t>（长）</w:t>
            </w:r>
            <w:r>
              <w:rPr>
                <w:rFonts w:hint="eastAsia" w:ascii="仿宋_GB2312" w:hAnsi="仿宋_GB2312" w:eastAsia="仿宋_GB2312" w:cs="仿宋_GB2312"/>
                <w:szCs w:val="24"/>
              </w:rPr>
              <w:t>×1200mm</w:t>
            </w:r>
            <w:r>
              <w:rPr>
                <w:rFonts w:hint="eastAsia" w:ascii="仿宋_GB2312" w:hAnsi="仿宋_GB2312" w:eastAsia="仿宋_GB2312" w:cs="仿宋_GB2312"/>
                <w:szCs w:val="24"/>
                <w:lang w:eastAsia="zh-CN"/>
              </w:rPr>
              <w:t>（宽）</w:t>
            </w:r>
            <w:r>
              <w:rPr>
                <w:rFonts w:hint="eastAsia" w:ascii="仿宋_GB2312" w:hAnsi="仿宋_GB2312" w:eastAsia="仿宋_GB2312" w:cs="仿宋_GB2312"/>
                <w:szCs w:val="24"/>
              </w:rPr>
              <w:t>，根据场地实地要求不超过</w:t>
            </w:r>
            <w:r>
              <w:rPr>
                <w:rFonts w:hint="eastAsia"/>
              </w:rPr>
              <w:t>±5mm</w:t>
            </w:r>
            <w:r>
              <w:rPr>
                <w:rFonts w:hint="eastAsia" w:ascii="仿宋_GB2312" w:hAnsi="仿宋_GB2312" w:eastAsia="仿宋_GB2312" w:cs="仿宋_GB2312"/>
                <w:szCs w:val="24"/>
              </w:rPr>
              <w:t>修正偏差，环保教学专用彩色涂层钢板，哑光白色，厚度≥0.3mm，硬度≥4H，光泽度≤10GU，板面可吸附磁针、磁片，书写面光滑、平整，颜色均匀，坚固耐用、哑光。</w:t>
            </w:r>
          </w:p>
        </w:tc>
        <w:tc>
          <w:tcPr>
            <w:tcW w:w="809" w:type="dxa"/>
            <w:tcBorders>
              <w:top w:val="single" w:color="auto" w:sz="4" w:space="0"/>
              <w:left w:val="single" w:color="auto" w:sz="4" w:space="0"/>
              <w:bottom w:val="single" w:color="auto" w:sz="4" w:space="0"/>
              <w:right w:val="single" w:color="auto" w:sz="4" w:space="0"/>
            </w:tcBorders>
            <w:vAlign w:val="center"/>
          </w:tcPr>
          <w:p w14:paraId="001904DA">
            <w:pPr>
              <w:pStyle w:val="47"/>
              <w:spacing w:line="240" w:lineRule="auto"/>
              <w:ind w:firstLine="0"/>
              <w:jc w:val="center"/>
              <w:rPr>
                <w:rFonts w:ascii="仿宋_GB2312" w:hAnsi="仿宋_GB2312" w:eastAsia="仿宋_GB2312" w:cs="仿宋_GB2312"/>
                <w:b/>
                <w:bCs/>
                <w:szCs w:val="24"/>
              </w:rPr>
            </w:pPr>
            <w:r>
              <w:rPr>
                <w:rFonts w:hint="eastAsia" w:ascii="仿宋_GB2312" w:hAnsi="仿宋_GB2312" w:eastAsia="仿宋_GB2312" w:cs="仿宋_GB2312"/>
                <w:szCs w:val="24"/>
              </w:rPr>
              <w:t>2套</w:t>
            </w:r>
          </w:p>
        </w:tc>
      </w:tr>
      <w:tr w14:paraId="33EE2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499" w:type="dxa"/>
            <w:tcBorders>
              <w:top w:val="single" w:color="auto" w:sz="4" w:space="0"/>
              <w:left w:val="single" w:color="auto" w:sz="4" w:space="0"/>
              <w:bottom w:val="single" w:color="auto" w:sz="4" w:space="0"/>
              <w:right w:val="single" w:color="auto" w:sz="4" w:space="0"/>
            </w:tcBorders>
            <w:vAlign w:val="center"/>
          </w:tcPr>
          <w:p w14:paraId="3BFA7B82">
            <w:pPr>
              <w:pStyle w:val="778"/>
              <w:snapToGrid w:val="0"/>
              <w:spacing w:line="4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1049" w:type="dxa"/>
            <w:tcBorders>
              <w:top w:val="single" w:color="auto" w:sz="4" w:space="0"/>
              <w:left w:val="single" w:color="auto" w:sz="4" w:space="0"/>
              <w:bottom w:val="single" w:color="auto" w:sz="4" w:space="0"/>
              <w:right w:val="single" w:color="auto" w:sz="4" w:space="0"/>
            </w:tcBorders>
            <w:vAlign w:val="center"/>
          </w:tcPr>
          <w:p w14:paraId="1360ECFE">
            <w:pPr>
              <w:pStyle w:val="47"/>
              <w:spacing w:line="400" w:lineRule="exact"/>
              <w:ind w:firstLine="0"/>
              <w:jc w:val="center"/>
              <w:rPr>
                <w:rFonts w:ascii="仿宋_GB2312" w:hAnsi="仿宋_GB2312" w:eastAsia="仿宋_GB2312" w:cs="仿宋_GB2312"/>
                <w:b/>
                <w:bCs/>
                <w:szCs w:val="24"/>
              </w:rPr>
            </w:pPr>
            <w:r>
              <w:rPr>
                <w:rFonts w:hint="eastAsia" w:ascii="仿宋_GB2312" w:hAnsi="仿宋_GB2312" w:eastAsia="仿宋_GB2312" w:cs="仿宋_GB2312"/>
                <w:szCs w:val="24"/>
              </w:rPr>
              <w:t>▲台式计算机</w:t>
            </w:r>
            <w:r>
              <w:rPr>
                <w:rFonts w:hint="eastAsia" w:ascii="仿宋_GB2312" w:hAnsi="宋体" w:eastAsia="仿宋_GB2312"/>
                <w:b/>
                <w:bCs/>
              </w:rPr>
              <w:t>（强制采购节能产品，详见采购需求说明第八点）</w:t>
            </w:r>
          </w:p>
        </w:tc>
        <w:tc>
          <w:tcPr>
            <w:tcW w:w="6929" w:type="dxa"/>
            <w:tcBorders>
              <w:top w:val="single" w:color="auto" w:sz="4" w:space="0"/>
              <w:left w:val="single" w:color="auto" w:sz="4" w:space="0"/>
              <w:bottom w:val="single" w:color="auto" w:sz="4" w:space="0"/>
              <w:right w:val="single" w:color="auto" w:sz="4" w:space="0"/>
            </w:tcBorders>
          </w:tcPr>
          <w:p w14:paraId="5DF8E4E5">
            <w:pPr>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w:t>
            </w:r>
            <w:r>
              <w:rPr>
                <w:rFonts w:hint="eastAsia" w:ascii="仿宋_GB2312" w:hAnsi="仿宋_GB2312" w:eastAsia="仿宋_GB2312" w:cs="仿宋_GB2312"/>
                <w:b/>
                <w:bCs/>
                <w:kern w:val="0"/>
                <w:sz w:val="24"/>
              </w:rPr>
              <w:t>一、CPU规格</w:t>
            </w:r>
          </w:p>
          <w:p w14:paraId="3072197B">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1.CPU</w:t>
            </w:r>
            <w:r>
              <w:rPr>
                <w:rFonts w:hint="eastAsia" w:ascii="仿宋_GB2312" w:hAnsi="仿宋_GB2312" w:eastAsia="仿宋_GB2312" w:cs="仿宋_GB2312"/>
                <w:spacing w:val="-15"/>
                <w:kern w:val="0"/>
                <w:sz w:val="24"/>
              </w:rPr>
              <w:t xml:space="preserve"> 信息：</w:t>
            </w:r>
            <w:r>
              <w:rPr>
                <w:rFonts w:hint="eastAsia" w:ascii="仿宋_GB2312" w:hAnsi="仿宋_GB2312" w:eastAsia="仿宋_GB2312" w:cs="仿宋_GB2312"/>
                <w:kern w:val="0"/>
                <w:sz w:val="24"/>
              </w:rPr>
              <w:t>物理核心数≥8、主频≥2.7GHz、末级缓存容量≥2MB、线程数≥8、热设计功耗≥70W、内存≥双通道DDR4-2666、位宽≥64位;</w:t>
            </w:r>
          </w:p>
          <w:p w14:paraId="244859EE">
            <w:pPr>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w:t>
            </w:r>
            <w:r>
              <w:rPr>
                <w:rFonts w:hint="eastAsia" w:ascii="仿宋_GB2312" w:hAnsi="仿宋_GB2312" w:eastAsia="仿宋_GB2312" w:cs="仿宋_GB2312"/>
                <w:b/>
                <w:bCs/>
                <w:kern w:val="0"/>
                <w:sz w:val="24"/>
              </w:rPr>
              <w:t>二、</w:t>
            </w:r>
            <w:r>
              <w:rPr>
                <w:rFonts w:hint="eastAsia" w:ascii="仿宋_GB2312" w:hAnsi="仿宋_GB2312" w:eastAsia="仿宋_GB2312" w:cs="仿宋_GB2312"/>
                <w:b/>
                <w:bCs/>
                <w:spacing w:val="-2"/>
                <w:kern w:val="0"/>
                <w:sz w:val="24"/>
              </w:rPr>
              <w:t>内存</w:t>
            </w:r>
            <w:r>
              <w:rPr>
                <w:rFonts w:hint="eastAsia" w:ascii="仿宋_GB2312" w:hAnsi="仿宋_GB2312" w:eastAsia="仿宋_GB2312" w:cs="仿宋_GB2312"/>
                <w:b/>
                <w:bCs/>
                <w:kern w:val="0"/>
                <w:sz w:val="24"/>
              </w:rPr>
              <w:t>规格</w:t>
            </w:r>
          </w:p>
          <w:p w14:paraId="06AEB590">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spacing w:val="-1"/>
                <w:kern w:val="0"/>
                <w:sz w:val="24"/>
              </w:rPr>
              <w:t>1.内存配</w:t>
            </w:r>
            <w:r>
              <w:rPr>
                <w:rFonts w:hint="eastAsia" w:ascii="仿宋_GB2312" w:hAnsi="仿宋_GB2312" w:eastAsia="仿宋_GB2312" w:cs="仿宋_GB2312"/>
                <w:kern w:val="0"/>
                <w:sz w:val="24"/>
              </w:rPr>
              <w:t>置容量：≥16GB；</w:t>
            </w:r>
          </w:p>
          <w:p w14:paraId="77780E54">
            <w:pPr>
              <w:spacing w:line="400" w:lineRule="exact"/>
              <w:jc w:val="left"/>
              <w:rPr>
                <w:rFonts w:ascii="仿宋_GB2312" w:hAnsi="仿宋_GB2312" w:eastAsia="仿宋_GB2312" w:cs="仿宋_GB2312"/>
                <w:spacing w:val="-15"/>
                <w:kern w:val="0"/>
                <w:sz w:val="24"/>
              </w:rPr>
            </w:pPr>
            <w:r>
              <w:rPr>
                <w:rFonts w:hint="eastAsia" w:ascii="仿宋_GB2312" w:hAnsi="仿宋_GB2312" w:eastAsia="仿宋_GB2312" w:cs="仿宋_GB2312"/>
                <w:kern w:val="0"/>
                <w:sz w:val="24"/>
              </w:rPr>
              <w:t>2.内存类型：</w:t>
            </w:r>
            <w:r>
              <w:rPr>
                <w:rFonts w:hint="eastAsia" w:ascii="仿宋_GB2312" w:hAnsi="仿宋_GB2312" w:eastAsia="仿宋_GB2312" w:cs="仿宋_GB2312"/>
                <w:spacing w:val="-15"/>
                <w:kern w:val="0"/>
                <w:sz w:val="24"/>
              </w:rPr>
              <w:t xml:space="preserve">支持 </w:t>
            </w:r>
            <w:r>
              <w:rPr>
                <w:rFonts w:hint="eastAsia" w:ascii="仿宋_GB2312" w:hAnsi="仿宋_GB2312" w:eastAsia="仿宋_GB2312" w:cs="仿宋_GB2312"/>
                <w:kern w:val="0"/>
                <w:sz w:val="24"/>
              </w:rPr>
              <w:t>DDR4/LPDDR4/LPDDR4X</w:t>
            </w:r>
            <w:r>
              <w:rPr>
                <w:rFonts w:hint="eastAsia" w:ascii="仿宋_GB2312" w:hAnsi="仿宋_GB2312" w:eastAsia="仿宋_GB2312" w:cs="仿宋_GB2312"/>
                <w:spacing w:val="-9"/>
                <w:kern w:val="0"/>
                <w:sz w:val="24"/>
              </w:rPr>
              <w:t xml:space="preserve"> 及以上内</w:t>
            </w:r>
            <w:r>
              <w:rPr>
                <w:rFonts w:hint="eastAsia" w:ascii="仿宋_GB2312" w:hAnsi="仿宋_GB2312" w:eastAsia="仿宋_GB2312" w:cs="仿宋_GB2312"/>
                <w:kern w:val="0"/>
                <w:sz w:val="24"/>
              </w:rPr>
              <w:t>存类型；</w:t>
            </w:r>
          </w:p>
          <w:p w14:paraId="53CAB57C">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3.内存条</w:t>
            </w:r>
            <w:r>
              <w:rPr>
                <w:rFonts w:hint="eastAsia" w:ascii="仿宋_GB2312" w:hAnsi="仿宋_GB2312" w:eastAsia="仿宋_GB2312" w:cs="仿宋_GB2312"/>
                <w:spacing w:val="-1"/>
                <w:kern w:val="0"/>
                <w:sz w:val="24"/>
              </w:rPr>
              <w:t>配置数量（板载内</w:t>
            </w:r>
            <w:r>
              <w:rPr>
                <w:rFonts w:hint="eastAsia" w:ascii="仿宋_GB2312" w:hAnsi="仿宋_GB2312" w:eastAsia="仿宋_GB2312" w:cs="仿宋_GB2312"/>
                <w:kern w:val="0"/>
                <w:sz w:val="24"/>
              </w:rPr>
              <w:t>存不涉及）：≥1；</w:t>
            </w:r>
          </w:p>
          <w:p w14:paraId="22A13163">
            <w:pPr>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w:t>
            </w:r>
            <w:r>
              <w:rPr>
                <w:rFonts w:hint="eastAsia" w:ascii="仿宋_GB2312" w:hAnsi="仿宋_GB2312" w:eastAsia="仿宋_GB2312" w:cs="仿宋_GB2312"/>
                <w:b/>
                <w:bCs/>
                <w:kern w:val="0"/>
                <w:sz w:val="24"/>
              </w:rPr>
              <w:t>三、</w:t>
            </w:r>
            <w:r>
              <w:rPr>
                <w:rFonts w:hint="eastAsia" w:ascii="仿宋_GB2312" w:hAnsi="仿宋_GB2312" w:eastAsia="仿宋_GB2312" w:cs="仿宋_GB2312"/>
                <w:b/>
                <w:bCs/>
                <w:spacing w:val="-2"/>
                <w:kern w:val="0"/>
                <w:sz w:val="24"/>
              </w:rPr>
              <w:t>主板规格</w:t>
            </w:r>
          </w:p>
          <w:p w14:paraId="1CF0668D">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1.主板集成模块：集成资源扩展模块、计算处理模块、音频扩展模块等，主板的互联拓扑可通过处理器或交换电路实现；</w:t>
            </w:r>
          </w:p>
          <w:p w14:paraId="4D9B02EB">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2.主板支持的 CPU</w:t>
            </w:r>
            <w:r>
              <w:rPr>
                <w:rFonts w:hint="eastAsia" w:ascii="仿宋_GB2312" w:hAnsi="仿宋_GB2312" w:eastAsia="仿宋_GB2312" w:cs="仿宋_GB2312"/>
                <w:spacing w:val="-87"/>
                <w:kern w:val="0"/>
                <w:sz w:val="24"/>
              </w:rPr>
              <w:t xml:space="preserve"> </w:t>
            </w:r>
            <w:r>
              <w:rPr>
                <w:rFonts w:hint="eastAsia" w:ascii="仿宋_GB2312" w:hAnsi="仿宋_GB2312" w:eastAsia="仿宋_GB2312" w:cs="仿宋_GB2312"/>
                <w:kern w:val="0"/>
                <w:sz w:val="24"/>
              </w:rPr>
              <w:t>和内存情况：≥8核8线程，主频≥2.7GHz，末级缓存≥2MB，内存≥双通道DDR4-2666，热设计功耗≥70W，位宽≥64位；内存条数量≥1；</w:t>
            </w:r>
          </w:p>
          <w:p w14:paraId="4ECBC717">
            <w:pPr>
              <w:spacing w:line="400" w:lineRule="exact"/>
              <w:jc w:val="left"/>
              <w:rPr>
                <w:rFonts w:ascii="仿宋_GB2312" w:hAnsi="仿宋_GB2312" w:eastAsia="仿宋_GB2312" w:cs="仿宋_GB2312"/>
                <w:spacing w:val="-23"/>
                <w:kern w:val="0"/>
                <w:sz w:val="24"/>
              </w:rPr>
            </w:pPr>
            <w:r>
              <w:rPr>
                <w:rFonts w:hint="eastAsia" w:ascii="仿宋_GB2312" w:hAnsi="仿宋_GB2312" w:eastAsia="仿宋_GB2312" w:cs="仿宋_GB2312"/>
                <w:kern w:val="0"/>
                <w:sz w:val="24"/>
              </w:rPr>
              <w:t>3.主板其他内置接口：PCIEX16接口≥1个（支持拓展独立显卡）；PCIEX8接口≥2个；M.2接口≥</w:t>
            </w:r>
            <w:r>
              <w:rPr>
                <w:rFonts w:hint="eastAsia" w:ascii="仿宋_GB2312" w:hAnsi="仿宋_GB2312" w:eastAsia="仿宋_GB2312" w:cs="仿宋_GB2312"/>
                <w:kern w:val="0"/>
                <w:sz w:val="24"/>
                <w:lang w:val="en-US" w:eastAsia="zh-CN"/>
              </w:rPr>
              <w:t>1</w:t>
            </w:r>
            <w:r>
              <w:rPr>
                <w:rFonts w:hint="eastAsia" w:ascii="仿宋_GB2312" w:hAnsi="仿宋_GB2312" w:eastAsia="仿宋_GB2312" w:cs="仿宋_GB2312"/>
                <w:kern w:val="0"/>
                <w:sz w:val="24"/>
              </w:rPr>
              <w:t>个；SATA接口≥4个，USB接口≥6个，固态硬盘占用M.2接口*1</w:t>
            </w:r>
            <w:r>
              <w:rPr>
                <w:rFonts w:hint="eastAsia" w:ascii="仿宋_GB2312" w:hAnsi="仿宋_GB2312" w:eastAsia="仿宋_GB2312" w:cs="仿宋_GB2312"/>
                <w:spacing w:val="-16"/>
                <w:kern w:val="0"/>
                <w:sz w:val="24"/>
              </w:rPr>
              <w:t>；</w:t>
            </w:r>
          </w:p>
          <w:p w14:paraId="7AA18F66">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4.单内存插槽最大可支持容量（板载内存不涉及）：≥8GB；</w:t>
            </w:r>
          </w:p>
          <w:p w14:paraId="2307384A">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5.内存插槽满配时提供的最高内存总容量：≥16GB；</w:t>
            </w:r>
          </w:p>
          <w:p w14:paraId="670728A7">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b/>
                <w:bCs/>
                <w:kern w:val="0"/>
                <w:sz w:val="24"/>
              </w:rPr>
              <w:t>★ 四、存储设备规格</w:t>
            </w:r>
          </w:p>
          <w:p w14:paraId="18AF6A3C">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spacing w:val="-1"/>
                <w:kern w:val="0"/>
                <w:sz w:val="24"/>
              </w:rPr>
              <w:t>1.</w:t>
            </w:r>
            <w:r>
              <w:rPr>
                <w:rFonts w:hint="eastAsia" w:ascii="仿宋_GB2312" w:hAnsi="仿宋_GB2312" w:eastAsia="仿宋_GB2312" w:cs="仿宋_GB2312"/>
                <w:kern w:val="0"/>
                <w:sz w:val="24"/>
              </w:rPr>
              <w:t>固态盘数量：≥1 个；</w:t>
            </w:r>
          </w:p>
          <w:p w14:paraId="1C8B31ED">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w:t>
            </w:r>
            <w:r>
              <w:rPr>
                <w:rFonts w:hint="eastAsia" w:ascii="仿宋_GB2312" w:hAnsi="仿宋_GB2312" w:eastAsia="仿宋_GB2312" w:cs="仿宋_GB2312"/>
                <w:kern w:val="0"/>
                <w:sz w:val="24"/>
                <w:u w:val="none"/>
              </w:rPr>
              <w:t>固态存储容量：≥</w:t>
            </w:r>
            <w:r>
              <w:rPr>
                <w:rFonts w:ascii="仿宋_GB2312" w:hAnsi="仿宋_GB2312" w:eastAsia="仿宋_GB2312" w:cs="仿宋_GB2312"/>
                <w:kern w:val="0"/>
                <w:sz w:val="24"/>
                <w:u w:val="none"/>
              </w:rPr>
              <w:t>512GB</w:t>
            </w:r>
            <w:r>
              <w:rPr>
                <w:rFonts w:hint="eastAsia" w:ascii="仿宋_GB2312" w:hAnsi="仿宋_GB2312" w:eastAsia="仿宋_GB2312" w:cs="仿宋_GB2312"/>
                <w:kern w:val="0"/>
                <w:sz w:val="24"/>
              </w:rPr>
              <w:t>；</w:t>
            </w:r>
          </w:p>
          <w:p w14:paraId="2307186E">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3.机械硬盘数量：≥1 个； </w:t>
            </w:r>
          </w:p>
          <w:p w14:paraId="62410ACD">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4.机械硬盘总容量：≥1TB；</w:t>
            </w:r>
          </w:p>
          <w:p w14:paraId="74484851">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5.机械硬盘转速：≥5400rpm；</w:t>
            </w:r>
          </w:p>
          <w:p w14:paraId="140B3035">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6.机械硬盘形态：3.5英寸等；</w:t>
            </w:r>
          </w:p>
          <w:p w14:paraId="0C452092">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7.固态存储形态：采用插卡或板载等形态，可选用符合M.2 或 2.5 寸 SATA 或 mSATA 等标准的插卡形态；</w:t>
            </w:r>
          </w:p>
          <w:p w14:paraId="52FF472C">
            <w:pPr>
              <w:spacing w:line="400" w:lineRule="exact"/>
              <w:jc w:val="left"/>
              <w:rPr>
                <w:rFonts w:ascii="仿宋_GB2312" w:hAnsi="仿宋_GB2312" w:eastAsia="仿宋_GB2312" w:cs="仿宋_GB2312"/>
                <w:spacing w:val="-1"/>
                <w:kern w:val="0"/>
                <w:sz w:val="24"/>
              </w:rPr>
            </w:pPr>
            <w:r>
              <w:rPr>
                <w:rFonts w:hint="eastAsia" w:ascii="仿宋_GB2312" w:hAnsi="仿宋_GB2312" w:eastAsia="仿宋_GB2312" w:cs="仿宋_GB2312"/>
                <w:kern w:val="0"/>
                <w:sz w:val="24"/>
              </w:rPr>
              <w:t>8.存储设备其他参数要求：a)固态盘应符合 SJ/T 11654 相关规定；b)机械硬盘准备时间应不大于 30s；侧面固定螺丝孔数量可为 4 孔或 6 孔；工作状态环境温度应满足 5℃-55℃；其它参数应符合 GB/T 12628 相关规定；</w:t>
            </w:r>
          </w:p>
          <w:p w14:paraId="265A3D6D">
            <w:pPr>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 xml:space="preserve"> ★五</w:t>
            </w:r>
            <w:r>
              <w:rPr>
                <w:rFonts w:hint="eastAsia" w:ascii="仿宋_GB2312" w:hAnsi="仿宋_GB2312" w:eastAsia="仿宋_GB2312" w:cs="仿宋_GB2312"/>
                <w:b/>
                <w:bCs/>
                <w:kern w:val="0"/>
                <w:sz w:val="24"/>
              </w:rPr>
              <w:t>、显卡规格</w:t>
            </w:r>
          </w:p>
          <w:p w14:paraId="6EF33B49">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1.显卡类型：独立显卡；</w:t>
            </w:r>
          </w:p>
          <w:p w14:paraId="043664AC">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2.独立显卡显存类型：显存类型为DDR3/DDR4/GDDR5/GDDR6/LPDDR4；</w:t>
            </w:r>
          </w:p>
          <w:p w14:paraId="35C0C56B">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3.独立显卡显存位宽：显存位宽≥16位；</w:t>
            </w:r>
          </w:p>
          <w:p w14:paraId="3F6276C8">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4.独立显卡显存容量：显存容量≥4GB；</w:t>
            </w:r>
          </w:p>
          <w:p w14:paraId="3F73B97D">
            <w:pPr>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b/>
                <w:bCs/>
                <w:kern w:val="0"/>
                <w:sz w:val="24"/>
              </w:rPr>
              <w:t>六、显示设备规格</w:t>
            </w:r>
          </w:p>
          <w:p w14:paraId="559FBA4A">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1.显示屏屏占比：≥80%；</w:t>
            </w:r>
          </w:p>
          <w:p w14:paraId="6BBA8677">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2.显示屏分辨率：≥1920x1080；</w:t>
            </w:r>
          </w:p>
          <w:p w14:paraId="6DC57E69">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3.显示屏尺寸：≥23 英寸；</w:t>
            </w:r>
          </w:p>
          <w:p w14:paraId="4C8F73A9">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4.显示屏屏幕比例：16:9；</w:t>
            </w:r>
          </w:p>
          <w:p w14:paraId="3654FB6D">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5.显示器外观颜色：黑色/白色/银色等商务色系；</w:t>
            </w:r>
          </w:p>
          <w:p w14:paraId="753E670D">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6.显示屏防蓝光：支持防蓝光模式，蓝光加权辐射亮度比应≤0.0012W/(·cd·sr)（瓦每坎特拉每球面度）；</w:t>
            </w:r>
          </w:p>
          <w:p w14:paraId="7604517C">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7.显示屏低频闪：显示屏应支持低频闪≤-35dB；</w:t>
            </w:r>
          </w:p>
          <w:p w14:paraId="1EB6F451">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8.显示屏防炫目：显示屏镜面反射率≤10%； </w:t>
            </w:r>
          </w:p>
          <w:p w14:paraId="6BC77B0D">
            <w:pPr>
              <w:spacing w:line="400" w:lineRule="exact"/>
              <w:rPr>
                <w:rFonts w:ascii="仿宋_GB2312" w:hAnsi="仿宋_GB2312" w:eastAsia="仿宋_GB2312" w:cs="仿宋_GB2312"/>
                <w:spacing w:val="-2"/>
                <w:sz w:val="24"/>
              </w:rPr>
            </w:pPr>
            <w:r>
              <w:rPr>
                <w:rFonts w:hint="eastAsia" w:ascii="仿宋_GB2312" w:hAnsi="仿宋_GB2312" w:eastAsia="仿宋_GB2312" w:cs="仿宋_GB2312"/>
                <w:sz w:val="24"/>
              </w:rPr>
              <w:t>★</w:t>
            </w:r>
            <w:r>
              <w:rPr>
                <w:rFonts w:hint="eastAsia" w:ascii="仿宋_GB2312" w:hAnsi="仿宋_GB2312" w:eastAsia="仿宋_GB2312" w:cs="仿宋_GB2312"/>
                <w:b/>
                <w:bCs/>
                <w:sz w:val="24"/>
              </w:rPr>
              <w:t>七、外设规格</w:t>
            </w:r>
          </w:p>
          <w:p w14:paraId="5EC88154">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1.鼠标数量：≥1 个；</w:t>
            </w:r>
          </w:p>
          <w:p w14:paraId="4D166B07">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2.键盘数量：≥1 个；</w:t>
            </w:r>
          </w:p>
          <w:p w14:paraId="7014BA84">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3.键盘按键数目：≥101键；</w:t>
            </w:r>
          </w:p>
          <w:p w14:paraId="66444506">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4.键盘连接方式：有线；</w:t>
            </w:r>
          </w:p>
          <w:p w14:paraId="6418E6BF">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5.键盘键程：2.3mm - 4.0mm；</w:t>
            </w:r>
          </w:p>
          <w:p w14:paraId="2A5918FC">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6.键盘按键压力：按键压力应在 0.54 N±0.14N；</w:t>
            </w:r>
          </w:p>
          <w:p w14:paraId="37204F18">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7.有线键盘连接线：≥1.5 米；</w:t>
            </w:r>
          </w:p>
          <w:p w14:paraId="6D87137F">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8.键盘颜色：黑色等商务色系；</w:t>
            </w:r>
          </w:p>
          <w:p w14:paraId="7203EFC9">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9.鼠标连接方式：有线；</w:t>
            </w:r>
          </w:p>
          <w:p w14:paraId="1C12ED94">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10.有线鼠标连接线：≥1.5 米；</w:t>
            </w:r>
          </w:p>
          <w:p w14:paraId="1D310E79">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11.鼠标 DPI分辨率：800-1600；</w:t>
            </w:r>
          </w:p>
          <w:p w14:paraId="7E050B46">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12.鼠标颜色：黑色/银色/白色等商务色系；</w:t>
            </w:r>
          </w:p>
          <w:p w14:paraId="228E7C09">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13.鼠标其他要求：其它参数应符合 GB/T 26245 的相关规定；</w:t>
            </w:r>
          </w:p>
          <w:p w14:paraId="4F3925A2">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b/>
                <w:bCs/>
                <w:kern w:val="0"/>
                <w:sz w:val="24"/>
              </w:rPr>
              <w:t>八、网络设备规格</w:t>
            </w:r>
          </w:p>
          <w:p w14:paraId="5E6592D0">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1.有线网卡数量：≥1；</w:t>
            </w:r>
          </w:p>
          <w:p w14:paraId="79BE2308">
            <w:pPr>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b/>
                <w:bCs/>
                <w:kern w:val="0"/>
                <w:sz w:val="24"/>
              </w:rPr>
              <w:t>九、外部接口规格</w:t>
            </w:r>
          </w:p>
          <w:p w14:paraId="0E52D236">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1.USB 接口数量：机箱前面板应提供不少于 3 个 USB 接口（含 2 个 USB3.0 及以上接口），后置USB≥3个；</w:t>
            </w:r>
          </w:p>
          <w:p w14:paraId="1A570F1A">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2.视频接口数量：≥1；</w:t>
            </w:r>
          </w:p>
          <w:p w14:paraId="18EB15BD">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3.音频接口数量：≥1；</w:t>
            </w:r>
          </w:p>
          <w:p w14:paraId="0DADBD78">
            <w:pPr>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b/>
                <w:bCs/>
                <w:kern w:val="0"/>
                <w:sz w:val="24"/>
              </w:rPr>
              <w:t>十、整机基础规格</w:t>
            </w:r>
          </w:p>
          <w:p w14:paraId="5D4A54D9">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1.整机外观：a) 产品表面不应有凹痕、划伤、裂缝、变形和污染等。表面涂层均匀，不应起泡、龟裂、脱落和磨损，金属零部件无锈蚀及其它机械损伤；b) 产品表面说明功能的文字、符号、标志，应清晰、端正、牢固；</w:t>
            </w:r>
          </w:p>
          <w:p w14:paraId="07A5E1C7">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2.状态指示灯：在产品显著位置提供状态指示功能；</w:t>
            </w:r>
          </w:p>
          <w:p w14:paraId="01D333B6">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3.整机结构：a) 机箱应符合 GB/T 4208、GB/T 26246的相关规定；b) 产品内部结构应符合通用部件的安装需求；c) 所有输入输出接口应符合相关国家或行业标准；d) 产品零部件应紧固无松动，可插拔部件应可靠连接，开关、按钮和其它控制部件应灵活可靠，布局应方便使用；e) 所有 I/O 连接器及需插接线缆的部位应预留采购人操作空间，方便插拔解锁与插拔线缆；f) 可插拔板卡插槽部位应预留安装、拆卸或更换板卡空间；g) 拆装可能接触到的金属剪口或金属尖角部位应做防划伤处理，以保证安全；h) 整机内部走线应规整，固线结构和位置要合理可靠并做防割线处理，需便于理线和插拔操作，走线应不影响系统各主要部件组装和拆卸；i) 如需通过孔走线，过线孔应做防割线处理；j) 各插头位置和插拔方向应合理，应做到插拔无障碍设计，具备防呆设计，有效避免误操作；k) 各主要部件拆装无障碍，使用常规工具拆装，无特殊拆装工具需求；l) 各主要部件拆装步骤要少，各自拆装需避免相互干扰；m) 对于整机或零部件外表面为高亮面的，应粘贴保护膜，保护膜需粘贴牢固，运输、组装等过程不易脱落，撕下无残留；n) 其它要求应符合 GB/T 9813.1 的相关规定；</w:t>
            </w:r>
          </w:p>
          <w:p w14:paraId="1E738B3C">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4.机箱防护要求：机箱应符合 GB/T 4208 中 IP20 防护要求；</w:t>
            </w:r>
          </w:p>
          <w:p w14:paraId="51B14687">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5.整机噪音：产品工作在空闲状态下，产品的声功率级应不超过 4.5 Bel；</w:t>
            </w:r>
          </w:p>
          <w:p w14:paraId="18EB8FB3">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6.整机散热：在环境温度 25℃及处理器满载情况下，产品表面温度应符合如下要求：a) 出风口在机箱后面板情况下，出风口温度不高于 55℃；b) 可触及面温度不高于 45℃；c) 显示器表面温度：显示屏不高于38℃，显示屏上下灯带位置温度（如涉及）不高于 40℃，出风口温度不高于 45℃；</w:t>
            </w:r>
          </w:p>
          <w:p w14:paraId="1FF473A9">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7.整机能效限定值：产品能效限定值应达到 GB 28380-2012标准中能效等级 2 级及以上；</w:t>
            </w:r>
          </w:p>
          <w:p w14:paraId="0005E5A0">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8.机身材质：金属；</w:t>
            </w:r>
          </w:p>
          <w:p w14:paraId="7D46ECAF">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9.机身颜色：黑色等商务色系；</w:t>
            </w:r>
          </w:p>
          <w:p w14:paraId="24F2F34F">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10.机箱尺寸容量：机箱体积应不大于30L；</w:t>
            </w:r>
          </w:p>
          <w:p w14:paraId="176CD72C">
            <w:pPr>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b/>
                <w:bCs/>
                <w:kern w:val="0"/>
                <w:sz w:val="24"/>
              </w:rPr>
              <w:t>十一、CPU性能</w:t>
            </w:r>
          </w:p>
          <w:p w14:paraId="458772AC">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1.CPU 物理核数：≥8；</w:t>
            </w:r>
          </w:p>
          <w:p w14:paraId="78471975">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2.CPU 主频：≥2.7GHz；</w:t>
            </w:r>
          </w:p>
          <w:p w14:paraId="5AA889B3">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3.CPU 末级缓存容量：≥2MB；</w:t>
            </w:r>
          </w:p>
          <w:p w14:paraId="0EB77CF6">
            <w:pPr>
              <w:spacing w:line="400" w:lineRule="exact"/>
              <w:jc w:val="left"/>
              <w:rPr>
                <w:rFonts w:ascii="仿宋_GB2312" w:hAnsi="仿宋_GB2312" w:eastAsia="仿宋_GB2312" w:cs="仿宋_GB2312"/>
                <w:sz w:val="24"/>
              </w:rPr>
            </w:pPr>
            <w:r>
              <w:rPr>
                <w:rFonts w:hint="eastAsia" w:ascii="仿宋_GB2312" w:hAnsi="仿宋_GB2312" w:eastAsia="仿宋_GB2312" w:cs="仿宋_GB2312"/>
                <w:kern w:val="0"/>
                <w:sz w:val="24"/>
              </w:rPr>
              <w:t>4.CPU 支持的内存最高速率：≥2666MT/s；</w:t>
            </w:r>
          </w:p>
          <w:p w14:paraId="3041902E">
            <w:pPr>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b/>
                <w:bCs/>
                <w:kern w:val="0"/>
                <w:sz w:val="24"/>
              </w:rPr>
              <w:t>十二、内存性能</w:t>
            </w:r>
          </w:p>
          <w:p w14:paraId="5E4511FF">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1.内存读写速率：≥2666MT/s；</w:t>
            </w:r>
          </w:p>
          <w:p w14:paraId="1AD042F3">
            <w:pPr>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b/>
                <w:bCs/>
                <w:kern w:val="0"/>
                <w:sz w:val="24"/>
              </w:rPr>
              <w:t>十三、显卡性能</w:t>
            </w:r>
          </w:p>
          <w:p w14:paraId="42A5198D">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1.显示分辨率：≥1920x1080；</w:t>
            </w:r>
          </w:p>
          <w:p w14:paraId="52D215AE">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2.显卡显示芯片核心频率：≥300MHz；</w:t>
            </w:r>
          </w:p>
          <w:p w14:paraId="60969DC9">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3.显存等效频率：≥1000MT/s；</w:t>
            </w:r>
          </w:p>
          <w:p w14:paraId="0D2FFF3D">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4.显卡可支持多屏同时显示数量：显卡应支持 2 块屏幕同时显示，分辨率应不低于 1920×1080；</w:t>
            </w:r>
          </w:p>
          <w:p w14:paraId="055F8B20">
            <w:pPr>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b/>
                <w:bCs/>
                <w:kern w:val="0"/>
                <w:sz w:val="24"/>
              </w:rPr>
              <w:t>十四、显示设备性能</w:t>
            </w:r>
          </w:p>
          <w:p w14:paraId="3D68F46F">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1.显示屏刷新率：≥75Hz；</w:t>
            </w:r>
          </w:p>
          <w:p w14:paraId="7E762DCC">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2.显示屏位深：≥8 位；</w:t>
            </w:r>
          </w:p>
          <w:p w14:paraId="16C7E565">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3.显示屏色域：≥99% sRGB；</w:t>
            </w:r>
          </w:p>
          <w:p w14:paraId="0DB817F4">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4.显示屏色准：△E ≤ 4；</w:t>
            </w:r>
          </w:p>
          <w:p w14:paraId="6A7BB152">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5.显示屏响应时间：≤8ms；</w:t>
            </w:r>
          </w:p>
          <w:p w14:paraId="264E9425">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6.显示屏亮度：≥250 尼特；</w:t>
            </w:r>
          </w:p>
          <w:p w14:paraId="2F9624DC">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7.显示屏亮度一致性：≥70%；</w:t>
            </w:r>
          </w:p>
          <w:p w14:paraId="2E10E876">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8.显示屏对比度：≥500：1，显示屏其它参数应符合 SJ/T 11292 的相关规定；</w:t>
            </w:r>
          </w:p>
          <w:p w14:paraId="59B2B6DB">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9、屏幕亮度≥250nit，IPS屏</w:t>
            </w:r>
          </w:p>
          <w:p w14:paraId="381DCE0B">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10、为保证屏幕色彩显示真实度，</w:t>
            </w:r>
            <w:bookmarkStart w:id="39" w:name="OLE_LINK6"/>
            <w:r>
              <w:rPr>
                <w:rFonts w:hint="eastAsia" w:ascii="仿宋_GB2312" w:hAnsi="仿宋_GB2312" w:eastAsia="仿宋_GB2312" w:cs="仿宋_GB2312"/>
                <w:kern w:val="0"/>
                <w:sz w:val="24"/>
              </w:rPr>
              <w:t>显示屏幕DCI-P3色域覆盖率≥ 90%；</w:t>
            </w:r>
          </w:p>
          <w:bookmarkEnd w:id="39"/>
          <w:p w14:paraId="6A7657B5">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11、为了适应日常使用和更好的视频播放体验，显示屏分别提供标准模式和自动调节色彩增强模式选项。</w:t>
            </w:r>
          </w:p>
          <w:p w14:paraId="590FA12E">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12、为保证教师、学生的用眼舒适，显示屏幕提供护眼模式。</w:t>
            </w:r>
          </w:p>
          <w:p w14:paraId="47A7472A">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13、显示器提供阅读模式，为长时间阅读提供舒适的用眼体验。</w:t>
            </w:r>
          </w:p>
          <w:p w14:paraId="7761EDD9">
            <w:pPr>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w:t>
            </w:r>
            <w:r>
              <w:rPr>
                <w:rFonts w:hint="eastAsia" w:ascii="仿宋_GB2312" w:hAnsi="仿宋_GB2312" w:eastAsia="仿宋_GB2312" w:cs="仿宋_GB2312"/>
                <w:b/>
                <w:bCs/>
                <w:kern w:val="0"/>
                <w:sz w:val="24"/>
              </w:rPr>
              <w:t xml:space="preserve"> 十五、网络设备性能</w:t>
            </w:r>
          </w:p>
          <w:p w14:paraId="02EE84A3">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 有线网卡速率：最高速率应不低于 1000Mbps，应支持10Mbps、100Mbps、1000Mbps 速率自适应；</w:t>
            </w:r>
          </w:p>
          <w:p w14:paraId="13631CC9">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b/>
                <w:bCs/>
                <w:kern w:val="0"/>
                <w:sz w:val="24"/>
              </w:rPr>
              <w:t>十六、主板功能</w:t>
            </w:r>
          </w:p>
          <w:p w14:paraId="5C540E02">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1.内存扩展接口(板载内存不涉及)：≥2 个；</w:t>
            </w:r>
          </w:p>
          <w:p w14:paraId="1FAA3C0B">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2.主板 USB瞬间过流保护：支持有瞬间过流保护功能；</w:t>
            </w:r>
          </w:p>
          <w:p w14:paraId="60CE3940">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3.主板防静电保护：支持防静电保护功能；</w:t>
            </w:r>
          </w:p>
          <w:p w14:paraId="6277427C">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4.I/O 接口功能：提供基于标准 USB 接口外设连接功能、基于音频输入输出接口的音频扩展功能、基于 PCIe 接口板卡扩展功能、基于 HDMI 或 VGA 或 Type-C 或 DVI 或 DP等接口外接显示器扩展功能、基于存储接口对产品进行增容功能等。产品I/O 接口，应具备外接标准 USB 设备、显示器、音频设备等内外部设备能力；</w:t>
            </w:r>
          </w:p>
          <w:p w14:paraId="143E8104">
            <w:pPr>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b/>
                <w:bCs/>
                <w:kern w:val="0"/>
                <w:sz w:val="24"/>
              </w:rPr>
              <w:t>十七、显卡功能</w:t>
            </w:r>
          </w:p>
          <w:p w14:paraId="3CE8347F">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1.显卡外接显示接口：显卡至少支持 VGA、HDMI、DVI、DP、Type-C 中 1 种显示接口，并与显示器接口相匹配；</w:t>
            </w:r>
          </w:p>
          <w:p w14:paraId="3332AEE6">
            <w:pPr>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b/>
                <w:bCs/>
                <w:kern w:val="0"/>
                <w:sz w:val="24"/>
              </w:rPr>
              <w:t>十八、显示设备功能</w:t>
            </w:r>
          </w:p>
          <w:p w14:paraId="3A6C8153">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1.显示器接口：显示器应与显卡外接显示接口匹配；</w:t>
            </w:r>
          </w:p>
          <w:p w14:paraId="6FAA29D6">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2.显示器支架：显示器应提供显示器支架，支持屏幕旋转；</w:t>
            </w:r>
          </w:p>
          <w:p w14:paraId="6E13EB07">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3.显示器参数调节：a)提供 OSD 选单按钮用于调节色彩、模式等；b)支持色温、亮度、对比度调节；</w:t>
            </w:r>
          </w:p>
          <w:p w14:paraId="0D2C6827">
            <w:pPr>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b/>
                <w:bCs/>
                <w:kern w:val="0"/>
                <w:sz w:val="24"/>
              </w:rPr>
              <w:t>十九、存储功能</w:t>
            </w:r>
          </w:p>
          <w:p w14:paraId="7BA45656">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1.存储功能：通过 SATA 固态存储/PCIe 固态存储/UFS 固态存储/SATA 硬磁盘等存储部件提供存储功能；</w:t>
            </w:r>
          </w:p>
          <w:p w14:paraId="6A912DF5">
            <w:pPr>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b/>
                <w:bCs/>
                <w:kern w:val="0"/>
                <w:sz w:val="24"/>
              </w:rPr>
              <w:t>二十、网络设备功能</w:t>
            </w:r>
          </w:p>
          <w:p w14:paraId="5E9CEEA3">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1.网络功能：a)支持网络连接、网络开启/关闭功能；b)支持访问网络和数据交换功能；</w:t>
            </w:r>
          </w:p>
          <w:p w14:paraId="457BCCDD">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2.数据传输：支持数据传输能力，并提供数据流量和异常日志记录功能；</w:t>
            </w:r>
          </w:p>
          <w:p w14:paraId="396F1879">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3.有线网卡接口类型：支持 RJ45 接口；</w:t>
            </w:r>
          </w:p>
          <w:p w14:paraId="760A99CB">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4.网络设备拆装：网络设备支持物理拆装，包括无线网卡和蓝牙模块等；</w:t>
            </w:r>
          </w:p>
          <w:p w14:paraId="0FBAF7A9">
            <w:pPr>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b/>
                <w:bCs/>
                <w:kern w:val="0"/>
                <w:sz w:val="24"/>
              </w:rPr>
              <w:t>二十一、外部接口功能</w:t>
            </w:r>
          </w:p>
          <w:p w14:paraId="12BBCC10">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1.音频接口类型：支持 3.5mm 孔径 3 段式或 4 段式接口；</w:t>
            </w:r>
          </w:p>
          <w:p w14:paraId="49904818">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2.视频接口类型：至少支持 VGA、HDMI、DVI、DP、Type-C中 1 种显示接口；</w:t>
            </w:r>
          </w:p>
          <w:p w14:paraId="3F2AA918">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3.HDMI、DP、Type-C 显示接口要求：若提供 HDMI 或 DP 或 Type-C 作为显示接口，应支持音频和视频同步输出；</w:t>
            </w:r>
          </w:p>
          <w:p w14:paraId="62A5D888">
            <w:pPr>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b/>
                <w:bCs/>
                <w:kern w:val="0"/>
                <w:sz w:val="24"/>
              </w:rPr>
              <w:t>二十二、电源功能</w:t>
            </w:r>
          </w:p>
          <w:p w14:paraId="0F70B8F1">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1.电源线适配能力：电源适配器电线组件应符合 GB/T15934 的要求；</w:t>
            </w:r>
          </w:p>
          <w:p w14:paraId="7273BFBA">
            <w:pPr>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b/>
                <w:bCs/>
                <w:kern w:val="0"/>
                <w:sz w:val="24"/>
              </w:rPr>
              <w:t>二十三、操作系统及软件功能</w:t>
            </w:r>
          </w:p>
          <w:p w14:paraId="5D8F3C07">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1.中文信息处理要求：符合 GB 18030 的相关规定；</w:t>
            </w:r>
          </w:p>
          <w:p w14:paraId="5AFEC351">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2.操作系统备份及还原功能：支持操作系统备份及还原功能；</w:t>
            </w:r>
          </w:p>
          <w:p w14:paraId="7A97CE0B">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3.固件备份还原能力：支持备份及还原固件的功能；</w:t>
            </w:r>
          </w:p>
          <w:p w14:paraId="2CC8711C">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4.操作系统及驱动升级：支持通过网络、闪存盘等方式对操作系统、驱动进行升级；</w:t>
            </w:r>
          </w:p>
          <w:p w14:paraId="20A8156B">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5.固件升级：支持通过网络、闪存盘等方式对固件进行升级；</w:t>
            </w:r>
          </w:p>
          <w:p w14:paraId="6B4A5FF8">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6.BIOS 支持关闭通讯接口：支持 BIOS 关闭以太网及 USB 接口；</w:t>
            </w:r>
          </w:p>
          <w:p w14:paraId="1F508C7B">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7.固件查看信息：支持查看固件版本、内存信息、主板信息、处理器信息和系统时间信息等功能；</w:t>
            </w:r>
          </w:p>
          <w:p w14:paraId="702A0700">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8.固件设置启动顺序：支持设置启动顺序功能，并按照设置的启动顺序启动；</w:t>
            </w:r>
          </w:p>
          <w:p w14:paraId="175B6D4F">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9.固件设置口令：支持设置口令、修改口令、验证口令功能；</w:t>
            </w:r>
          </w:p>
          <w:p w14:paraId="297D2F2A">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10.固件设置网络引导：支持网络引导启动和关闭功能；</w:t>
            </w:r>
          </w:p>
          <w:p w14:paraId="53E1FB54">
            <w:pPr>
              <w:pStyle w:val="19"/>
              <w:rPr>
                <w:rFonts w:hint="eastAsia" w:ascii="仿宋_GB2312" w:hAnsi="仿宋_GB2312" w:eastAsia="仿宋_GB2312" w:cs="仿宋_GB2312"/>
                <w:kern w:val="0"/>
                <w:sz w:val="24"/>
              </w:rPr>
            </w:pPr>
            <w:bookmarkStart w:id="40" w:name="OLE_LINK27"/>
            <w:bookmarkStart w:id="41" w:name="OLE_LINK28"/>
            <w:r>
              <w:rPr>
                <w:rFonts w:hint="eastAsia" w:ascii="仿宋_GB2312" w:hAnsi="仿宋_GB2312" w:eastAsia="仿宋_GB2312" w:cs="仿宋_GB2312"/>
              </w:rPr>
              <w:t>11.含正版操作系统及提供功能至少有文字处理、电子表格、演示文稿三大应用模块的</w:t>
            </w:r>
            <w:r>
              <w:rPr>
                <w:rFonts w:hint="eastAsia" w:ascii="仿宋_GB2312" w:hAnsi="仿宋_GB2312" w:eastAsia="仿宋_GB2312" w:cs="仿宋_GB2312"/>
                <w:lang w:val="en-US" w:eastAsia="zh-CN"/>
              </w:rPr>
              <w:t>正版</w:t>
            </w:r>
            <w:r>
              <w:rPr>
                <w:rFonts w:hint="eastAsia" w:ascii="仿宋_GB2312" w:hAnsi="仿宋_GB2312" w:eastAsia="仿宋_GB2312" w:cs="仿宋_GB2312"/>
              </w:rPr>
              <w:t>办公软件，授权≥3年；</w:t>
            </w:r>
            <w:bookmarkEnd w:id="40"/>
            <w:bookmarkEnd w:id="41"/>
          </w:p>
          <w:p w14:paraId="42873254">
            <w:pPr>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w:t>
            </w:r>
            <w:r>
              <w:rPr>
                <w:rFonts w:hint="eastAsia" w:ascii="仿宋_GB2312" w:hAnsi="仿宋_GB2312" w:eastAsia="仿宋_GB2312" w:cs="仿宋_GB2312"/>
                <w:b/>
                <w:bCs/>
                <w:kern w:val="0"/>
                <w:sz w:val="24"/>
              </w:rPr>
              <w:t>二十四、存储设备可靠性</w:t>
            </w:r>
          </w:p>
          <w:p w14:paraId="57A292B6">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1.固态存储寿命：TBW≥ 80TB（条件：256GB 硬盘容量）；</w:t>
            </w:r>
          </w:p>
          <w:p w14:paraId="12E333ED">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2.机械硬盘寿命：通电时间≥5 万小时；</w:t>
            </w:r>
          </w:p>
          <w:p w14:paraId="314BBC7A">
            <w:pPr>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b/>
                <w:bCs/>
                <w:kern w:val="0"/>
                <w:sz w:val="24"/>
              </w:rPr>
              <w:t>二十五、显示设备可靠性</w:t>
            </w:r>
          </w:p>
          <w:p w14:paraId="418A62B2">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1.显示屏屏幕失效点：符合 GB/T 9813.2 的要求；</w:t>
            </w:r>
          </w:p>
          <w:p w14:paraId="74F9205A">
            <w:pPr>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b/>
                <w:bCs/>
                <w:kern w:val="0"/>
                <w:sz w:val="24"/>
              </w:rPr>
              <w:t>二十六、外设可靠性</w:t>
            </w:r>
          </w:p>
          <w:p w14:paraId="145B06CC">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1.键盘按键寿命：≥1000 万次；</w:t>
            </w:r>
          </w:p>
          <w:p w14:paraId="03207B62">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2.鼠标按键寿命：≥500 万次；</w:t>
            </w:r>
          </w:p>
          <w:p w14:paraId="102A05B8">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3.键盘鼠标线材寿命：键盘鼠标所用线材经±60°弯折不低于 3000 次，功能、外观完好；</w:t>
            </w:r>
          </w:p>
          <w:p w14:paraId="372A1048">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4.风扇寿命：≥4 万小时；</w:t>
            </w:r>
          </w:p>
          <w:p w14:paraId="63BF599E">
            <w:pPr>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b/>
                <w:bCs/>
                <w:kern w:val="0"/>
                <w:sz w:val="24"/>
              </w:rPr>
              <w:t>二十七、整机可靠性要求</w:t>
            </w:r>
          </w:p>
          <w:p w14:paraId="3EDDFCD5">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1.电磁兼容性要求的抗扰度：符合 GB/T 9254.2 的规定；</w:t>
            </w:r>
          </w:p>
          <w:p w14:paraId="65394993">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2.环境条件要求的气候环境适应性：符合 GB/T 9813.1 中规定；</w:t>
            </w:r>
          </w:p>
          <w:p w14:paraId="61C87035">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3.环境条件要求的振动适应性：符合 GB/T 9813.1 中规定；</w:t>
            </w:r>
          </w:p>
          <w:p w14:paraId="618578FE">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4.环境条件要求的冲击适应性：符合 GB/T 9813.1 中规定；</w:t>
            </w:r>
          </w:p>
          <w:p w14:paraId="587F9D03">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5.环境条件要求的碰撞适应性：符合 GB/T 9813.1 中规定；</w:t>
            </w:r>
          </w:p>
          <w:p w14:paraId="32B755C8">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6.环境条件要求的运输包装件跌落适应性：符合 GB/T 9813.1 中规定；</w:t>
            </w:r>
          </w:p>
          <w:p w14:paraId="3E629D64">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7.MTBF 测试：MTBF(m1)≥3 万小时；</w:t>
            </w:r>
          </w:p>
          <w:p w14:paraId="683CE6F5">
            <w:pPr>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b/>
                <w:bCs/>
                <w:kern w:val="0"/>
                <w:sz w:val="24"/>
              </w:rPr>
              <w:t>二十八、兼容要求</w:t>
            </w:r>
          </w:p>
          <w:p w14:paraId="037538D9">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1.常用软件兼容：支持流式软件、版式软件、浏览器、邮件采购人端、解压软件、多媒体、图形图像处理等常用软件；</w:t>
            </w:r>
          </w:p>
          <w:p w14:paraId="43128944">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2.数据库兼容：兼容 3 个及以上厂商的数据库产品；</w:t>
            </w:r>
          </w:p>
          <w:p w14:paraId="3928C487">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3.中间件兼容：兼容 3 个及以上厂商中间件产品；</w:t>
            </w:r>
          </w:p>
          <w:p w14:paraId="6C084C2D">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4.平台软件兼容：兼容 3 个及以上厂商云计算及大数据平台； </w:t>
            </w:r>
          </w:p>
          <w:p w14:paraId="155F5216">
            <w:pPr>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w:t>
            </w:r>
            <w:r>
              <w:rPr>
                <w:rFonts w:hint="eastAsia" w:ascii="仿宋_GB2312" w:hAnsi="仿宋_GB2312" w:eastAsia="仿宋_GB2312" w:cs="仿宋_GB2312"/>
                <w:b/>
                <w:bCs/>
                <w:kern w:val="0"/>
                <w:sz w:val="24"/>
              </w:rPr>
              <w:t>二十九、包装及运输要求</w:t>
            </w:r>
          </w:p>
          <w:p w14:paraId="04DCD3AA">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1.标志、包装、运输和贮存：符合 GB/T 9813.1 和商品包装政府采购需求标准的相关规定；</w:t>
            </w:r>
          </w:p>
          <w:p w14:paraId="26B0C0AE">
            <w:pPr>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b/>
                <w:bCs/>
                <w:kern w:val="0"/>
                <w:sz w:val="24"/>
              </w:rPr>
              <w:t>三十、服务要求</w:t>
            </w:r>
          </w:p>
          <w:p w14:paraId="65DC9539">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1.配置检查工具：供应商提供自检测试工具；</w:t>
            </w:r>
          </w:p>
          <w:p w14:paraId="5A558685">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2.服务响应：a)供应商提供电话、电子邮件、远程连接等多种形式服务；b)供应商提供同城 4h、异地 12h 技术响应服务，2 个工作日解决问题，对于未能解决的问题和故障应提供可行的升级方案，并提供周转设备或更换设备；c)建立全国技术服务体系和服务团体，符合专业服务体系标准要求，提供原厂中文服务；d)服务周期内提供产品的维修、换件和升级服务；</w:t>
            </w:r>
          </w:p>
          <w:p w14:paraId="1E167BDA">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3.服务周期：a) 设备停产后应继续提供质量保障服务（含备品备件），服务终止时间与最后一批设备交付时间间隔不低于6 年；b) 产品停止服务时间应提前 1 年告知；c) 应明确产品发布日期；</w:t>
            </w:r>
          </w:p>
          <w:p w14:paraId="5F9A245F">
            <w:pPr>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4.预装操作系统：预装符合桌面操作系统政府采购需求标准的正版操作系统；</w:t>
            </w:r>
            <w:r>
              <w:rPr>
                <w:rFonts w:hint="eastAsia" w:ascii="仿宋_GB2312" w:hAnsi="仿宋_GB2312" w:eastAsia="仿宋_GB2312" w:cs="仿宋_GB2312"/>
                <w:b/>
                <w:bCs/>
                <w:kern w:val="0"/>
                <w:sz w:val="24"/>
              </w:rPr>
              <w:t>预装的操作系统符合《操作系统政府采购需求标准》中加*指标要求（财政部 工业和信息化部关于印发《操作系统政府采购需求标准（2023年版）》的通知）；</w:t>
            </w:r>
          </w:p>
          <w:p w14:paraId="377249F9">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5.培训服务：供应商提供培训材料、产品手册、培训视频等培训相关内容；</w:t>
            </w:r>
          </w:p>
          <w:p w14:paraId="368C99CB">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6.典型问题解决手册：供应商提供典型问题解决说明文档或视频；</w:t>
            </w:r>
          </w:p>
          <w:p w14:paraId="4AF4CD66">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7.厂家升级软件与扩容服务：供应商提供上门升级部件/软件与扩容的增值服务；</w:t>
            </w:r>
          </w:p>
          <w:p w14:paraId="2C7894ED">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8.整机质量服务要求：免费服务周期（含换件和维修）应不小于 3 年；</w:t>
            </w:r>
          </w:p>
          <w:p w14:paraId="28F61DE4">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9.合格证书要求：供应商提供产品合格证；</w:t>
            </w:r>
          </w:p>
          <w:p w14:paraId="04E58CD9">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10.开箱组装/使用指导要求：供应商提供开箱组装/使用指导；</w:t>
            </w:r>
          </w:p>
          <w:p w14:paraId="75590C36">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11.驱动下载服务要求：供应商提供驱动光盘或下载方式；</w:t>
            </w:r>
          </w:p>
          <w:p w14:paraId="74367A56">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12.兼容适配软件下载服务要求：供应商提供兼容适配软件下载渠道（光盘、网站）；</w:t>
            </w:r>
          </w:p>
          <w:p w14:paraId="690025DB">
            <w:pPr>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b/>
                <w:bCs/>
                <w:kern w:val="0"/>
                <w:sz w:val="24"/>
              </w:rPr>
              <w:t>三十一、供应链合规性</w:t>
            </w:r>
          </w:p>
          <w:p w14:paraId="45B94310">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 产品部件保障：供应商保障产品主要部件，提供 6 年的备件服务能力（自购买之日起），或提供可兼容原设备的升级换代产品；</w:t>
            </w:r>
          </w:p>
          <w:p w14:paraId="6F4E83FE">
            <w:pPr>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b/>
                <w:bCs/>
                <w:kern w:val="0"/>
                <w:sz w:val="24"/>
              </w:rPr>
              <w:t>三十二、供应链质量</w:t>
            </w:r>
          </w:p>
          <w:p w14:paraId="322A968B">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1.抗干扰性：当产品部件出现供应风险时，供应商应通知采购人并提供风险应对方案确保产品的服务保障；</w:t>
            </w:r>
          </w:p>
          <w:p w14:paraId="26DE224C">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2.供应能力证明：供应商承诺供应链稳定，确保产品的部件在产品服务周期内稳定供货；</w:t>
            </w:r>
          </w:p>
          <w:p w14:paraId="32D6823F">
            <w:pPr>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b/>
                <w:bCs/>
                <w:kern w:val="0"/>
                <w:sz w:val="24"/>
              </w:rPr>
              <w:t>三十三、关键部件安全</w:t>
            </w:r>
          </w:p>
          <w:p w14:paraId="6A4F6D0C">
            <w:pPr>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1.关键部件安全要求：CPU 和操作系统等关键部件应当符合安全可靠测评要求，</w:t>
            </w:r>
            <w:r>
              <w:rPr>
                <w:rFonts w:hint="eastAsia" w:ascii="仿宋_GB2312" w:hAnsi="仿宋_GB2312" w:eastAsia="仿宋_GB2312" w:cs="仿宋_GB2312"/>
                <w:b/>
                <w:bCs/>
                <w:kern w:val="0"/>
                <w:sz w:val="24"/>
              </w:rPr>
              <w:t>通过政府有关部门指定的中国信息安全测评中心和国家保密科技测评中心网站查看安全可靠测评结果；</w:t>
            </w:r>
          </w:p>
          <w:p w14:paraId="04174E1D">
            <w:pPr>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 xml:space="preserve"> 注：投标人在填写《技术响应表》时，在“投标文件响应技术参数”明确给出所投</w:t>
            </w:r>
            <w:r>
              <w:rPr>
                <w:rFonts w:hint="eastAsia" w:ascii="仿宋_GB2312" w:hAnsi="仿宋_GB2312" w:eastAsia="仿宋_GB2312" w:cs="仿宋_GB2312"/>
                <w:b/>
                <w:bCs/>
                <w:kern w:val="0"/>
                <w:sz w:val="24"/>
                <w:lang w:val="en-US" w:eastAsia="zh-CN"/>
              </w:rPr>
              <w:t>台式</w:t>
            </w:r>
            <w:r>
              <w:rPr>
                <w:rFonts w:hint="eastAsia" w:ascii="仿宋_GB2312" w:hAnsi="仿宋_GB2312" w:eastAsia="仿宋_GB2312" w:cs="仿宋_GB2312"/>
                <w:b/>
                <w:bCs/>
                <w:kern w:val="0"/>
                <w:sz w:val="24"/>
              </w:rPr>
              <w:t>计算机“CPU型号”及“操作系统”名称，否则视为投标无效。</w:t>
            </w:r>
          </w:p>
          <w:p w14:paraId="0D1C5F77">
            <w:pPr>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b/>
                <w:bCs/>
                <w:kern w:val="0"/>
                <w:sz w:val="24"/>
              </w:rPr>
              <w:t>三十四、整机安全性要求</w:t>
            </w:r>
          </w:p>
          <w:p w14:paraId="14872329">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1.密码算法实现：CPU 芯片应符合 GM/T 0008 的相关规定，或芯片密码模块应符合 GB/T 37092或 GM/T 0028 的相关规定；通过商用密码检测机构检测并经商用密码认证机构认证合格；</w:t>
            </w:r>
          </w:p>
          <w:p w14:paraId="1F5CA7F3">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2.信息安全基本要求：a) 产品应符合 GB/T 39276 的 5.2 的规定；b) 生产厂商应建立漏洞跟踪表，保证产品版本涉及到的漏洞(如驱动程序等)可查看；c) 产品不得包含已知的恶意代码或漏洞，不存在未声明的指令、功能、接口；</w:t>
            </w:r>
          </w:p>
          <w:p w14:paraId="40A3D6C4">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3.固件安全启动：支持固件安全启动功能，固件启动过程中只有通过启动校验才能正常启动；</w:t>
            </w:r>
          </w:p>
          <w:p w14:paraId="1C1202F7">
            <w:pPr>
              <w:spacing w:line="400" w:lineRule="exact"/>
              <w:rPr>
                <w:rFonts w:ascii="仿宋_GB2312" w:hAnsi="仿宋_GB2312" w:eastAsia="仿宋_GB2312" w:cs="仿宋_GB2312"/>
                <w:b/>
                <w:bCs/>
              </w:rPr>
            </w:pPr>
            <w:r>
              <w:rPr>
                <w:rFonts w:hint="eastAsia" w:ascii="仿宋_GB2312" w:hAnsi="仿宋_GB2312" w:eastAsia="仿宋_GB2312" w:cs="仿宋_GB2312"/>
                <w:sz w:val="24"/>
              </w:rPr>
              <w:t>4.限用物质的限量要求：符合GB/T 26572中规定；</w:t>
            </w:r>
          </w:p>
        </w:tc>
        <w:tc>
          <w:tcPr>
            <w:tcW w:w="809" w:type="dxa"/>
            <w:tcBorders>
              <w:top w:val="single" w:color="auto" w:sz="4" w:space="0"/>
              <w:left w:val="single" w:color="auto" w:sz="4" w:space="0"/>
              <w:bottom w:val="single" w:color="auto" w:sz="4" w:space="0"/>
              <w:right w:val="single" w:color="auto" w:sz="4" w:space="0"/>
            </w:tcBorders>
            <w:vAlign w:val="center"/>
          </w:tcPr>
          <w:p w14:paraId="7A088549">
            <w:pPr>
              <w:pStyle w:val="778"/>
              <w:snapToGrid w:val="0"/>
              <w:spacing w:line="460" w:lineRule="exact"/>
              <w:jc w:val="center"/>
              <w:rPr>
                <w:rFonts w:ascii="仿宋_GB2312" w:hAnsi="仿宋_GB2312" w:eastAsia="仿宋_GB2312" w:cs="仿宋_GB2312"/>
                <w:b/>
                <w:bCs/>
                <w:sz w:val="24"/>
                <w:szCs w:val="24"/>
              </w:rPr>
            </w:pPr>
            <w:r>
              <w:rPr>
                <w:rFonts w:hint="eastAsia" w:ascii="仿宋_GB2312" w:hAnsi="仿宋_GB2312" w:eastAsia="仿宋_GB2312" w:cs="仿宋_GB2312"/>
                <w:sz w:val="24"/>
                <w:szCs w:val="24"/>
              </w:rPr>
              <w:t>51</w:t>
            </w:r>
            <w:r>
              <w:rPr>
                <w:rFonts w:hint="eastAsia" w:ascii="仿宋" w:hAnsi="仿宋" w:eastAsia="仿宋" w:cs="仿宋"/>
                <w:sz w:val="24"/>
                <w:szCs w:val="24"/>
              </w:rPr>
              <w:t>套</w:t>
            </w:r>
          </w:p>
        </w:tc>
      </w:tr>
      <w:tr w14:paraId="108C8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499" w:type="dxa"/>
            <w:tcBorders>
              <w:top w:val="single" w:color="auto" w:sz="4" w:space="0"/>
              <w:left w:val="single" w:color="auto" w:sz="4" w:space="0"/>
              <w:bottom w:val="single" w:color="auto" w:sz="4" w:space="0"/>
              <w:right w:val="single" w:color="auto" w:sz="4" w:space="0"/>
            </w:tcBorders>
            <w:vAlign w:val="center"/>
          </w:tcPr>
          <w:p w14:paraId="534B6B55">
            <w:pPr>
              <w:pStyle w:val="778"/>
              <w:snapToGrid w:val="0"/>
              <w:spacing w:line="460" w:lineRule="exact"/>
              <w:jc w:val="center"/>
              <w:rPr>
                <w:rFonts w:hint="eastAsia" w:ascii="仿宋_GB2312" w:hAnsi="仿宋_GB2312" w:eastAsia="宋体" w:cs="仿宋_GB2312"/>
                <w:sz w:val="24"/>
                <w:szCs w:val="24"/>
                <w:lang w:eastAsia="zh-CN"/>
              </w:rPr>
            </w:pPr>
            <w:r>
              <w:rPr>
                <w:rFonts w:hint="eastAsia" w:ascii="仿宋_GB2312" w:hAnsi="仿宋_GB2312" w:eastAsia="仿宋_GB2312" w:cs="仿宋_GB2312"/>
                <w:sz w:val="24"/>
                <w:szCs w:val="24"/>
                <w:lang w:val="en-US" w:eastAsia="zh-CN"/>
              </w:rPr>
              <w:t>6</w:t>
            </w:r>
          </w:p>
        </w:tc>
        <w:tc>
          <w:tcPr>
            <w:tcW w:w="1049" w:type="dxa"/>
            <w:tcBorders>
              <w:top w:val="single" w:color="auto" w:sz="4" w:space="0"/>
              <w:left w:val="single" w:color="auto" w:sz="4" w:space="0"/>
              <w:bottom w:val="single" w:color="auto" w:sz="4" w:space="0"/>
              <w:right w:val="single" w:color="auto" w:sz="4" w:space="0"/>
            </w:tcBorders>
            <w:vAlign w:val="center"/>
          </w:tcPr>
          <w:p w14:paraId="0F618FB9">
            <w:pPr>
              <w:pStyle w:val="47"/>
              <w:spacing w:line="240" w:lineRule="auto"/>
              <w:ind w:firstLine="0"/>
              <w:jc w:val="center"/>
              <w:rPr>
                <w:rFonts w:ascii="仿宋_GB2312" w:hAnsi="仿宋_GB2312" w:eastAsia="仿宋_GB2312" w:cs="仿宋_GB2312"/>
                <w:b/>
                <w:bCs/>
                <w:szCs w:val="24"/>
              </w:rPr>
            </w:pPr>
            <w:r>
              <w:rPr>
                <w:rFonts w:hint="eastAsia" w:ascii="仿宋_GB2312" w:hAnsi="仿宋_GB2312" w:eastAsia="仿宋_GB2312" w:cs="仿宋_GB2312"/>
                <w:szCs w:val="24"/>
              </w:rPr>
              <w:t>学生桌椅</w:t>
            </w:r>
          </w:p>
        </w:tc>
        <w:tc>
          <w:tcPr>
            <w:tcW w:w="6929" w:type="dxa"/>
            <w:tcBorders>
              <w:top w:val="single" w:color="auto" w:sz="4" w:space="0"/>
              <w:left w:val="single" w:color="auto" w:sz="4" w:space="0"/>
              <w:bottom w:val="single" w:color="auto" w:sz="4" w:space="0"/>
              <w:right w:val="single" w:color="auto" w:sz="4" w:space="0"/>
            </w:tcBorders>
          </w:tcPr>
          <w:p w14:paraId="2CD358A4">
            <w:pPr>
              <w:pStyle w:val="47"/>
              <w:spacing w:line="400" w:lineRule="exact"/>
              <w:ind w:firstLine="0"/>
              <w:rPr>
                <w:rFonts w:ascii="仿宋_GB2312" w:hAnsi="仿宋_GB2312" w:eastAsia="仿宋_GB2312" w:cs="仿宋_GB2312"/>
                <w:szCs w:val="24"/>
              </w:rPr>
            </w:pPr>
            <w:r>
              <w:rPr>
                <w:rFonts w:hint="eastAsia" w:ascii="仿宋_GB2312" w:hAnsi="仿宋_GB2312" w:eastAsia="仿宋_GB2312" w:cs="仿宋_GB2312"/>
                <w:szCs w:val="24"/>
              </w:rPr>
              <w:t>1.学生桌规格：长1400*</w:t>
            </w:r>
            <w:r>
              <w:rPr>
                <w:rFonts w:hint="eastAsia" w:ascii="仿宋_GB2312" w:hAnsi="仿宋_GB2312" w:eastAsia="仿宋_GB2312" w:cs="仿宋_GB2312"/>
                <w:szCs w:val="24"/>
                <w:lang w:eastAsia="zh-CN"/>
              </w:rPr>
              <w:t>宽</w:t>
            </w:r>
            <w:r>
              <w:rPr>
                <w:rFonts w:hint="eastAsia" w:ascii="仿宋_GB2312" w:hAnsi="仿宋_GB2312" w:eastAsia="仿宋_GB2312" w:cs="仿宋_GB2312"/>
                <w:szCs w:val="24"/>
              </w:rPr>
              <w:t>600*</w:t>
            </w:r>
            <w:r>
              <w:rPr>
                <w:rFonts w:hint="eastAsia" w:ascii="仿宋_GB2312" w:hAnsi="仿宋_GB2312" w:eastAsia="仿宋_GB2312" w:cs="仿宋_GB2312"/>
                <w:szCs w:val="24"/>
                <w:lang w:eastAsia="zh-CN"/>
              </w:rPr>
              <w:t>高</w:t>
            </w:r>
            <w:r>
              <w:rPr>
                <w:rFonts w:hint="eastAsia" w:ascii="仿宋_GB2312" w:hAnsi="仿宋_GB2312" w:eastAsia="仿宋_GB2312" w:cs="仿宋_GB2312"/>
                <w:szCs w:val="24"/>
              </w:rPr>
              <w:t>750mm，根据场地实地要求不超过±5mm修正偏差；</w:t>
            </w:r>
          </w:p>
          <w:p w14:paraId="6624FE8D">
            <w:pPr>
              <w:pStyle w:val="47"/>
              <w:spacing w:line="400" w:lineRule="exact"/>
              <w:ind w:firstLine="0"/>
              <w:rPr>
                <w:rFonts w:ascii="仿宋_GB2312" w:hAnsi="仿宋_GB2312" w:eastAsia="仿宋_GB2312" w:cs="仿宋_GB2312"/>
                <w:szCs w:val="24"/>
              </w:rPr>
            </w:pPr>
            <w:r>
              <w:rPr>
                <w:rFonts w:hint="eastAsia" w:ascii="仿宋_GB2312" w:hAnsi="仿宋_GB2312" w:eastAsia="仿宋_GB2312" w:cs="仿宋_GB2312"/>
                <w:szCs w:val="24"/>
              </w:rPr>
              <w:t>2.材质：桌面采用25mm厚国家标准E1级板材，表面三聚氰胺贴面，1.5mm厚PVC封边条封边，桌架为钢制，表面采用环氧聚脂粉沫涂料静电喷塑；</w:t>
            </w:r>
          </w:p>
          <w:p w14:paraId="34465EF6">
            <w:pPr>
              <w:pStyle w:val="47"/>
              <w:spacing w:line="400" w:lineRule="exact"/>
              <w:ind w:firstLine="0"/>
              <w:rPr>
                <w:rFonts w:ascii="仿宋_GB2312" w:hAnsi="仿宋_GB2312" w:eastAsia="仿宋_GB2312" w:cs="仿宋_GB2312"/>
                <w:b/>
                <w:bCs/>
                <w:szCs w:val="24"/>
              </w:rPr>
            </w:pPr>
            <w:r>
              <w:rPr>
                <w:rFonts w:hint="eastAsia" w:ascii="仿宋_GB2312" w:hAnsi="仿宋_GB2312" w:eastAsia="仿宋_GB2312" w:cs="仿宋_GB2312"/>
                <w:szCs w:val="24"/>
              </w:rPr>
              <w:t>3.</w:t>
            </w:r>
            <w:r>
              <w:rPr>
                <w:rFonts w:hint="eastAsia"/>
              </w:rPr>
              <w:t xml:space="preserve"> </w:t>
            </w:r>
            <w:r>
              <w:rPr>
                <w:rFonts w:hint="eastAsia" w:ascii="仿宋_GB2312" w:hAnsi="仿宋_GB2312" w:eastAsia="仿宋_GB2312" w:cs="仿宋_GB2312"/>
              </w:rPr>
              <w:t>一张桌子配套2张学生椅</w:t>
            </w:r>
            <w:r>
              <w:rPr>
                <w:rFonts w:hint="eastAsia" w:ascii="仿宋_GB2312" w:hAnsi="仿宋_GB2312" w:eastAsia="仿宋_GB2312" w:cs="仿宋_GB2312"/>
                <w:szCs w:val="24"/>
              </w:rPr>
              <w:t>，规格：长320*</w:t>
            </w:r>
            <w:r>
              <w:rPr>
                <w:rFonts w:hint="eastAsia" w:ascii="仿宋_GB2312" w:hAnsi="仿宋_GB2312" w:eastAsia="仿宋_GB2312" w:cs="仿宋_GB2312"/>
                <w:szCs w:val="24"/>
                <w:lang w:eastAsia="zh-CN"/>
              </w:rPr>
              <w:t>宽</w:t>
            </w:r>
            <w:r>
              <w:rPr>
                <w:rFonts w:hint="eastAsia" w:ascii="仿宋_GB2312" w:hAnsi="仿宋_GB2312" w:eastAsia="仿宋_GB2312" w:cs="仿宋_GB2312"/>
                <w:szCs w:val="24"/>
              </w:rPr>
              <w:t>240*</w:t>
            </w:r>
            <w:r>
              <w:rPr>
                <w:rFonts w:hint="eastAsia" w:ascii="仿宋_GB2312" w:hAnsi="仿宋_GB2312" w:eastAsia="仿宋_GB2312" w:cs="仿宋_GB2312"/>
                <w:szCs w:val="24"/>
                <w:lang w:eastAsia="zh-CN"/>
              </w:rPr>
              <w:t>高</w:t>
            </w:r>
            <w:r>
              <w:rPr>
                <w:rFonts w:hint="eastAsia" w:ascii="仿宋_GB2312" w:hAnsi="仿宋_GB2312" w:eastAsia="仿宋_GB2312" w:cs="仿宋_GB2312"/>
                <w:szCs w:val="24"/>
              </w:rPr>
              <w:t>440mm，根据场地实地要求不超过</w:t>
            </w:r>
            <w:r>
              <w:rPr>
                <w:rFonts w:hint="eastAsia"/>
              </w:rPr>
              <w:t>±5mm</w:t>
            </w:r>
            <w:r>
              <w:rPr>
                <w:rFonts w:hint="eastAsia" w:ascii="仿宋_GB2312" w:hAnsi="仿宋_GB2312" w:eastAsia="仿宋_GB2312" w:cs="仿宋_GB2312"/>
                <w:szCs w:val="24"/>
              </w:rPr>
              <w:t>修正偏差；采用25mm厚板面，表面三聚氰胺贴面，≥1.0mm厚PVC封边条封边，钢制脚架。</w:t>
            </w:r>
          </w:p>
        </w:tc>
        <w:tc>
          <w:tcPr>
            <w:tcW w:w="809" w:type="dxa"/>
            <w:tcBorders>
              <w:top w:val="single" w:color="auto" w:sz="4" w:space="0"/>
              <w:left w:val="single" w:color="auto" w:sz="4" w:space="0"/>
              <w:bottom w:val="single" w:color="auto" w:sz="4" w:space="0"/>
              <w:right w:val="single" w:color="auto" w:sz="4" w:space="0"/>
            </w:tcBorders>
            <w:vAlign w:val="center"/>
          </w:tcPr>
          <w:p w14:paraId="428201D1">
            <w:pPr>
              <w:pStyle w:val="778"/>
              <w:snapToGrid w:val="0"/>
              <w:spacing w:line="460" w:lineRule="exact"/>
              <w:jc w:val="center"/>
              <w:rPr>
                <w:rFonts w:ascii="仿宋_GB2312" w:hAnsi="仿宋_GB2312" w:eastAsia="仿宋_GB2312" w:cs="仿宋_GB2312"/>
                <w:b/>
                <w:bCs/>
                <w:sz w:val="24"/>
                <w:szCs w:val="24"/>
              </w:rPr>
            </w:pPr>
            <w:r>
              <w:rPr>
                <w:rFonts w:hint="eastAsia" w:ascii="仿宋_GB2312" w:hAnsi="仿宋_GB2312" w:eastAsia="仿宋_GB2312" w:cs="仿宋_GB2312"/>
                <w:sz w:val="24"/>
                <w:szCs w:val="24"/>
              </w:rPr>
              <w:t>25套</w:t>
            </w:r>
          </w:p>
        </w:tc>
      </w:tr>
      <w:tr w14:paraId="44568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499" w:type="dxa"/>
            <w:tcBorders>
              <w:top w:val="single" w:color="auto" w:sz="4" w:space="0"/>
              <w:left w:val="single" w:color="auto" w:sz="4" w:space="0"/>
              <w:bottom w:val="single" w:color="auto" w:sz="4" w:space="0"/>
              <w:right w:val="single" w:color="auto" w:sz="4" w:space="0"/>
            </w:tcBorders>
            <w:vAlign w:val="center"/>
          </w:tcPr>
          <w:p w14:paraId="7A73185B">
            <w:pPr>
              <w:pStyle w:val="778"/>
              <w:snapToGrid w:val="0"/>
              <w:spacing w:line="40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7</w:t>
            </w:r>
          </w:p>
        </w:tc>
        <w:tc>
          <w:tcPr>
            <w:tcW w:w="1049" w:type="dxa"/>
            <w:tcBorders>
              <w:top w:val="single" w:color="auto" w:sz="4" w:space="0"/>
              <w:left w:val="single" w:color="auto" w:sz="4" w:space="0"/>
              <w:bottom w:val="single" w:color="auto" w:sz="4" w:space="0"/>
              <w:right w:val="single" w:color="auto" w:sz="4" w:space="0"/>
            </w:tcBorders>
            <w:vAlign w:val="center"/>
          </w:tcPr>
          <w:p w14:paraId="2C7A4A54">
            <w:pPr>
              <w:pStyle w:val="47"/>
              <w:spacing w:line="400" w:lineRule="exact"/>
              <w:ind w:firstLine="0"/>
              <w:jc w:val="center"/>
              <w:rPr>
                <w:rFonts w:ascii="仿宋_GB2312" w:hAnsi="仿宋_GB2312" w:eastAsia="仿宋_GB2312" w:cs="仿宋_GB2312"/>
                <w:b/>
                <w:bCs/>
                <w:szCs w:val="24"/>
              </w:rPr>
            </w:pPr>
            <w:r>
              <w:rPr>
                <w:rFonts w:hint="eastAsia" w:ascii="仿宋_GB2312" w:hAnsi="仿宋_GB2312" w:eastAsia="仿宋_GB2312" w:cs="仿宋_GB2312"/>
                <w:szCs w:val="24"/>
              </w:rPr>
              <w:t>教师桌椅</w:t>
            </w:r>
          </w:p>
        </w:tc>
        <w:tc>
          <w:tcPr>
            <w:tcW w:w="6929" w:type="dxa"/>
            <w:tcBorders>
              <w:top w:val="single" w:color="auto" w:sz="4" w:space="0"/>
              <w:left w:val="single" w:color="auto" w:sz="4" w:space="0"/>
              <w:bottom w:val="single" w:color="auto" w:sz="4" w:space="0"/>
              <w:right w:val="single" w:color="auto" w:sz="4" w:space="0"/>
            </w:tcBorders>
          </w:tcPr>
          <w:p w14:paraId="6A824850">
            <w:pPr>
              <w:pStyle w:val="47"/>
              <w:spacing w:line="400" w:lineRule="exact"/>
              <w:ind w:firstLine="0"/>
              <w:rPr>
                <w:rFonts w:ascii="仿宋_GB2312" w:hAnsi="仿宋_GB2312" w:eastAsia="仿宋_GB2312" w:cs="仿宋_GB2312"/>
                <w:szCs w:val="24"/>
              </w:rPr>
            </w:pPr>
            <w:r>
              <w:rPr>
                <w:rFonts w:hint="eastAsia" w:ascii="仿宋_GB2312" w:hAnsi="仿宋_GB2312" w:eastAsia="仿宋_GB2312" w:cs="仿宋_GB2312"/>
                <w:szCs w:val="24"/>
              </w:rPr>
              <w:t>1.教师桌规格尺寸：长1200mm*</w:t>
            </w:r>
            <w:r>
              <w:rPr>
                <w:rFonts w:hint="eastAsia" w:ascii="仿宋_GB2312" w:hAnsi="仿宋_GB2312" w:eastAsia="仿宋_GB2312" w:cs="仿宋_GB2312"/>
                <w:szCs w:val="24"/>
                <w:lang w:eastAsia="zh-CN"/>
              </w:rPr>
              <w:t>宽</w:t>
            </w:r>
            <w:r>
              <w:rPr>
                <w:rFonts w:hint="eastAsia" w:ascii="仿宋_GB2312" w:hAnsi="仿宋_GB2312" w:eastAsia="仿宋_GB2312" w:cs="仿宋_GB2312"/>
                <w:szCs w:val="24"/>
              </w:rPr>
              <w:t>600mm*</w:t>
            </w:r>
            <w:r>
              <w:rPr>
                <w:rFonts w:hint="eastAsia" w:ascii="仿宋_GB2312" w:hAnsi="仿宋_GB2312" w:eastAsia="仿宋_GB2312" w:cs="仿宋_GB2312"/>
                <w:szCs w:val="24"/>
                <w:lang w:eastAsia="zh-CN"/>
              </w:rPr>
              <w:t>高</w:t>
            </w:r>
            <w:r>
              <w:rPr>
                <w:rFonts w:hint="eastAsia" w:ascii="仿宋_GB2312" w:hAnsi="仿宋_GB2312" w:eastAsia="仿宋_GB2312" w:cs="仿宋_GB2312"/>
                <w:szCs w:val="24"/>
              </w:rPr>
              <w:t>760mm，根据场地实地要求不超过±</w:t>
            </w:r>
            <w:r>
              <w:rPr>
                <w:rFonts w:ascii="仿宋_GB2312" w:hAnsi="仿宋_GB2312" w:eastAsia="仿宋_GB2312" w:cs="仿宋_GB2312"/>
                <w:szCs w:val="24"/>
              </w:rPr>
              <w:t>5mm</w:t>
            </w:r>
            <w:r>
              <w:rPr>
                <w:rFonts w:hint="eastAsia" w:ascii="仿宋_GB2312" w:hAnsi="仿宋_GB2312" w:eastAsia="仿宋_GB2312" w:cs="仿宋_GB2312"/>
                <w:szCs w:val="24"/>
              </w:rPr>
              <w:t>修正偏差，板材颜色采用木纹色。</w:t>
            </w:r>
            <w:r>
              <w:rPr>
                <w:rFonts w:hint="eastAsia" w:ascii="仿宋_GB2312" w:hAnsi="仿宋_GB2312" w:eastAsia="仿宋_GB2312" w:cs="仿宋_GB2312"/>
                <w:szCs w:val="24"/>
              </w:rPr>
              <w:br w:type="textWrapping"/>
            </w:r>
            <w:r>
              <w:rPr>
                <w:rFonts w:hint="eastAsia" w:ascii="仿宋_GB2312" w:hAnsi="仿宋_GB2312" w:eastAsia="仿宋_GB2312" w:cs="仿宋_GB2312"/>
                <w:szCs w:val="24"/>
              </w:rPr>
              <w:t>2.基材：E1级绿色环保颗粒板，表面饰面采用三聚氰胺面。</w:t>
            </w:r>
            <w:r>
              <w:rPr>
                <w:rFonts w:hint="eastAsia" w:ascii="仿宋_GB2312" w:hAnsi="仿宋_GB2312" w:eastAsia="仿宋_GB2312" w:cs="仿宋_GB2312"/>
                <w:szCs w:val="24"/>
              </w:rPr>
              <w:br w:type="textWrapping"/>
            </w:r>
            <w:r>
              <w:rPr>
                <w:rFonts w:hint="eastAsia" w:ascii="仿宋_GB2312" w:hAnsi="仿宋_GB2312" w:eastAsia="仿宋_GB2312" w:cs="仿宋_GB2312"/>
                <w:szCs w:val="24"/>
              </w:rPr>
              <w:t>3.脚架：采用1.5mm厚异型静电喷塑冷轧钢管，五金配件，具有耐腐蚀，各部位的安装牢固可靠，不允许有松动现象。</w:t>
            </w:r>
          </w:p>
          <w:p w14:paraId="2CFDF7FA">
            <w:pPr>
              <w:pStyle w:val="47"/>
              <w:spacing w:line="400" w:lineRule="exact"/>
              <w:ind w:firstLine="0"/>
              <w:rPr>
                <w:rFonts w:ascii="仿宋_GB2312" w:hAnsi="仿宋_GB2312" w:eastAsia="仿宋_GB2312" w:cs="仿宋_GB2312"/>
                <w:szCs w:val="24"/>
              </w:rPr>
            </w:pPr>
            <w:r>
              <w:rPr>
                <w:rFonts w:hint="eastAsia" w:ascii="仿宋_GB2312" w:hAnsi="仿宋_GB2312" w:eastAsia="仿宋_GB2312" w:cs="仿宋_GB2312"/>
                <w:szCs w:val="24"/>
              </w:rPr>
              <w:t>4.含1张教师椅，规格尺寸：长580mm*宽635mm*高950mm，根据场地实地要求不超过±</w:t>
            </w:r>
            <w:r>
              <w:rPr>
                <w:rFonts w:ascii="仿宋_GB2312" w:hAnsi="仿宋_GB2312" w:eastAsia="仿宋_GB2312" w:cs="仿宋_GB2312"/>
                <w:szCs w:val="24"/>
              </w:rPr>
              <w:t>5mm</w:t>
            </w:r>
            <w:r>
              <w:rPr>
                <w:rFonts w:hint="eastAsia" w:ascii="仿宋_GB2312" w:hAnsi="仿宋_GB2312" w:eastAsia="仿宋_GB2312" w:cs="仿宋_GB2312"/>
                <w:szCs w:val="24"/>
              </w:rPr>
              <w:t>修正偏差。</w:t>
            </w:r>
          </w:p>
          <w:p w14:paraId="0C8B6C8D">
            <w:pPr>
              <w:pStyle w:val="47"/>
              <w:spacing w:line="400" w:lineRule="exact"/>
              <w:ind w:firstLine="0"/>
              <w:rPr>
                <w:rFonts w:ascii="仿宋_GB2312" w:hAnsi="仿宋_GB2312" w:eastAsia="仿宋_GB2312" w:cs="仿宋_GB2312"/>
                <w:szCs w:val="24"/>
              </w:rPr>
            </w:pPr>
            <w:r>
              <w:rPr>
                <w:rFonts w:hint="eastAsia" w:ascii="仿宋_GB2312" w:hAnsi="仿宋_GB2312" w:eastAsia="仿宋_GB2312" w:cs="仿宋_GB2312"/>
                <w:szCs w:val="24"/>
              </w:rPr>
              <w:t>（1）框架：根据人体工程学原理设计，采用金属框架，表面经过碱洗除油、酸洗除锈、磷化附膜、钝化、静电机器手自动喷涂和高温固化处理。</w:t>
            </w:r>
          </w:p>
          <w:p w14:paraId="5BD001C9">
            <w:pPr>
              <w:pStyle w:val="47"/>
              <w:spacing w:line="400" w:lineRule="exact"/>
              <w:ind w:firstLine="0"/>
              <w:rPr>
                <w:rFonts w:ascii="仿宋_GB2312" w:hAnsi="仿宋_GB2312" w:eastAsia="仿宋_GB2312" w:cs="仿宋_GB2312"/>
                <w:b/>
                <w:bCs/>
                <w:szCs w:val="24"/>
              </w:rPr>
            </w:pPr>
            <w:r>
              <w:rPr>
                <w:rFonts w:hint="eastAsia" w:ascii="仿宋_GB2312" w:hAnsi="仿宋_GB2312" w:eastAsia="仿宋_GB2312" w:cs="仿宋_GB2312"/>
                <w:szCs w:val="24"/>
              </w:rPr>
              <w:t>（2）海绵：采用PU成型发泡海绵，面料：采用网布面料，光泽度好，透气性强。</w:t>
            </w:r>
          </w:p>
        </w:tc>
        <w:tc>
          <w:tcPr>
            <w:tcW w:w="809" w:type="dxa"/>
            <w:tcBorders>
              <w:top w:val="single" w:color="auto" w:sz="4" w:space="0"/>
              <w:left w:val="single" w:color="auto" w:sz="4" w:space="0"/>
              <w:bottom w:val="single" w:color="auto" w:sz="4" w:space="0"/>
              <w:right w:val="single" w:color="auto" w:sz="4" w:space="0"/>
            </w:tcBorders>
            <w:vAlign w:val="center"/>
          </w:tcPr>
          <w:p w14:paraId="55E16E6F">
            <w:pPr>
              <w:pStyle w:val="778"/>
              <w:snapToGrid w:val="0"/>
              <w:spacing w:line="460" w:lineRule="exact"/>
              <w:jc w:val="center"/>
              <w:rPr>
                <w:rFonts w:ascii="仿宋_GB2312" w:hAnsi="仿宋_GB2312" w:eastAsia="仿宋_GB2312" w:cs="仿宋_GB2312"/>
                <w:b/>
                <w:bCs/>
                <w:sz w:val="24"/>
                <w:szCs w:val="24"/>
              </w:rPr>
            </w:pPr>
            <w:r>
              <w:rPr>
                <w:rFonts w:hint="eastAsia" w:ascii="仿宋_GB2312" w:hAnsi="仿宋_GB2312" w:eastAsia="仿宋_GB2312" w:cs="仿宋_GB2312"/>
                <w:sz w:val="24"/>
                <w:szCs w:val="24"/>
              </w:rPr>
              <w:t>1套</w:t>
            </w:r>
          </w:p>
        </w:tc>
      </w:tr>
      <w:tr w14:paraId="6B31D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499" w:type="dxa"/>
            <w:tcBorders>
              <w:top w:val="single" w:color="auto" w:sz="4" w:space="0"/>
              <w:left w:val="single" w:color="auto" w:sz="4" w:space="0"/>
              <w:bottom w:val="single" w:color="auto" w:sz="4" w:space="0"/>
              <w:right w:val="single" w:color="auto" w:sz="4" w:space="0"/>
            </w:tcBorders>
            <w:vAlign w:val="center"/>
          </w:tcPr>
          <w:p w14:paraId="45800EBF">
            <w:pPr>
              <w:pStyle w:val="778"/>
              <w:snapToGrid w:val="0"/>
              <w:spacing w:line="40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8</w:t>
            </w:r>
          </w:p>
        </w:tc>
        <w:tc>
          <w:tcPr>
            <w:tcW w:w="1049" w:type="dxa"/>
            <w:tcBorders>
              <w:top w:val="single" w:color="auto" w:sz="4" w:space="0"/>
              <w:left w:val="single" w:color="auto" w:sz="4" w:space="0"/>
              <w:bottom w:val="single" w:color="auto" w:sz="4" w:space="0"/>
              <w:right w:val="single" w:color="auto" w:sz="4" w:space="0"/>
            </w:tcBorders>
            <w:vAlign w:val="center"/>
          </w:tcPr>
          <w:p w14:paraId="5CC28B67">
            <w:pPr>
              <w:pStyle w:val="47"/>
              <w:spacing w:line="400" w:lineRule="exact"/>
              <w:ind w:firstLine="0"/>
              <w:jc w:val="center"/>
              <w:rPr>
                <w:rFonts w:ascii="仿宋_GB2312" w:hAnsi="仿宋_GB2312" w:eastAsia="仿宋_GB2312" w:cs="仿宋_GB2312"/>
                <w:b/>
                <w:bCs/>
                <w:szCs w:val="24"/>
              </w:rPr>
            </w:pPr>
            <w:r>
              <w:rPr>
                <w:rFonts w:hint="eastAsia" w:ascii="仿宋_GB2312" w:hAnsi="仿宋_GB2312" w:eastAsia="仿宋_GB2312" w:cs="仿宋_GB2312"/>
                <w:szCs w:val="24"/>
              </w:rPr>
              <w:t>交换机</w:t>
            </w:r>
          </w:p>
        </w:tc>
        <w:tc>
          <w:tcPr>
            <w:tcW w:w="6929" w:type="dxa"/>
            <w:tcBorders>
              <w:top w:val="single" w:color="auto" w:sz="4" w:space="0"/>
              <w:left w:val="single" w:color="auto" w:sz="4" w:space="0"/>
              <w:bottom w:val="single" w:color="auto" w:sz="4" w:space="0"/>
              <w:right w:val="single" w:color="auto" w:sz="4" w:space="0"/>
            </w:tcBorders>
          </w:tcPr>
          <w:p w14:paraId="2E6ADC57">
            <w:pPr>
              <w:pStyle w:val="47"/>
              <w:spacing w:line="400" w:lineRule="exact"/>
              <w:ind w:firstLine="0"/>
              <w:rPr>
                <w:rFonts w:ascii="仿宋_GB2312" w:hAnsi="仿宋_GB2312" w:eastAsia="仿宋_GB2312" w:cs="仿宋_GB2312"/>
                <w:szCs w:val="24"/>
              </w:rPr>
            </w:pPr>
            <w:r>
              <w:rPr>
                <w:rFonts w:hint="eastAsia" w:ascii="仿宋_GB2312" w:hAnsi="仿宋_GB2312" w:eastAsia="仿宋_GB2312" w:cs="仿宋_GB2312"/>
                <w:szCs w:val="24"/>
              </w:rPr>
              <w:t>1．交换机类型：千兆以太网交换机，标准19英寸机架式。</w:t>
            </w:r>
          </w:p>
          <w:p w14:paraId="5493BAFD">
            <w:pPr>
              <w:pStyle w:val="47"/>
              <w:spacing w:line="400" w:lineRule="exact"/>
              <w:ind w:firstLine="0"/>
              <w:rPr>
                <w:rFonts w:ascii="仿宋_GB2312" w:hAnsi="仿宋_GB2312" w:eastAsia="仿宋_GB2312" w:cs="仿宋_GB2312"/>
                <w:szCs w:val="24"/>
              </w:rPr>
            </w:pPr>
            <w:r>
              <w:rPr>
                <w:rFonts w:hint="eastAsia" w:ascii="仿宋_GB2312" w:hAnsi="仿宋_GB2312" w:eastAsia="仿宋_GB2312" w:cs="仿宋_GB2312"/>
                <w:szCs w:val="24"/>
              </w:rPr>
              <w:t>2．传输速率：10/100/1000</w:t>
            </w:r>
            <w:r>
              <w:rPr>
                <w:rFonts w:ascii="仿宋_GB2312" w:hAnsi="仿宋_GB2312" w:eastAsia="仿宋_GB2312" w:cs="仿宋_GB2312"/>
                <w:szCs w:val="24"/>
              </w:rPr>
              <w:t>M</w:t>
            </w:r>
            <w:r>
              <w:rPr>
                <w:rFonts w:hint="eastAsia" w:ascii="仿宋_GB2312" w:hAnsi="仿宋_GB2312" w:eastAsia="仿宋_GB2312" w:cs="仿宋_GB2312"/>
                <w:szCs w:val="24"/>
              </w:rPr>
              <w:t>。</w:t>
            </w:r>
          </w:p>
          <w:p w14:paraId="42795D64">
            <w:pPr>
              <w:pStyle w:val="47"/>
              <w:spacing w:line="400" w:lineRule="exact"/>
              <w:ind w:firstLine="0"/>
              <w:rPr>
                <w:rFonts w:ascii="仿宋_GB2312" w:hAnsi="仿宋_GB2312" w:eastAsia="仿宋_GB2312" w:cs="仿宋_GB2312"/>
                <w:szCs w:val="24"/>
              </w:rPr>
            </w:pPr>
            <w:r>
              <w:rPr>
                <w:rFonts w:hint="eastAsia" w:ascii="仿宋_GB2312" w:hAnsi="仿宋_GB2312" w:eastAsia="仿宋_GB2312" w:cs="仿宋_GB2312"/>
                <w:szCs w:val="24"/>
              </w:rPr>
              <w:t>3．端口接口数量：24个。</w:t>
            </w:r>
          </w:p>
          <w:p w14:paraId="4500AB3B">
            <w:pPr>
              <w:pStyle w:val="47"/>
              <w:spacing w:line="400" w:lineRule="exact"/>
              <w:ind w:firstLine="0"/>
              <w:rPr>
                <w:rFonts w:ascii="仿宋_GB2312" w:hAnsi="仿宋_GB2312" w:eastAsia="仿宋_GB2312" w:cs="仿宋_GB2312"/>
                <w:b/>
                <w:bCs/>
                <w:szCs w:val="24"/>
              </w:rPr>
            </w:pPr>
            <w:r>
              <w:rPr>
                <w:rFonts w:hint="eastAsia" w:ascii="仿宋_GB2312" w:hAnsi="仿宋_GB2312" w:eastAsia="仿宋_GB2312" w:cs="仿宋_GB2312"/>
                <w:szCs w:val="24"/>
              </w:rPr>
              <w:t>4．接口类型：10/100/1000Base-T自适应。</w:t>
            </w:r>
          </w:p>
        </w:tc>
        <w:tc>
          <w:tcPr>
            <w:tcW w:w="809" w:type="dxa"/>
            <w:tcBorders>
              <w:top w:val="single" w:color="auto" w:sz="4" w:space="0"/>
              <w:left w:val="single" w:color="auto" w:sz="4" w:space="0"/>
              <w:bottom w:val="single" w:color="auto" w:sz="4" w:space="0"/>
              <w:right w:val="single" w:color="auto" w:sz="4" w:space="0"/>
            </w:tcBorders>
            <w:vAlign w:val="center"/>
          </w:tcPr>
          <w:p w14:paraId="45B5D179">
            <w:pPr>
              <w:pStyle w:val="778"/>
              <w:snapToGrid w:val="0"/>
              <w:spacing w:line="460" w:lineRule="exact"/>
              <w:jc w:val="center"/>
              <w:rPr>
                <w:rFonts w:ascii="仿宋_GB2312" w:hAnsi="仿宋_GB2312" w:eastAsia="仿宋_GB2312" w:cs="仿宋_GB2312"/>
                <w:b/>
                <w:bCs/>
                <w:sz w:val="24"/>
                <w:szCs w:val="24"/>
              </w:rPr>
            </w:pPr>
            <w:r>
              <w:rPr>
                <w:rFonts w:hint="eastAsia" w:ascii="仿宋_GB2312" w:hAnsi="仿宋_GB2312" w:eastAsia="仿宋_GB2312" w:cs="仿宋_GB2312"/>
                <w:sz w:val="24"/>
                <w:szCs w:val="24"/>
              </w:rPr>
              <w:t>3台</w:t>
            </w:r>
          </w:p>
        </w:tc>
      </w:tr>
      <w:tr w14:paraId="4107D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499" w:type="dxa"/>
            <w:tcBorders>
              <w:top w:val="single" w:color="auto" w:sz="4" w:space="0"/>
              <w:left w:val="single" w:color="auto" w:sz="4" w:space="0"/>
              <w:bottom w:val="single" w:color="auto" w:sz="4" w:space="0"/>
              <w:right w:val="single" w:color="auto" w:sz="4" w:space="0"/>
            </w:tcBorders>
            <w:vAlign w:val="center"/>
          </w:tcPr>
          <w:p w14:paraId="72F96015">
            <w:pPr>
              <w:pStyle w:val="778"/>
              <w:snapToGrid w:val="0"/>
              <w:spacing w:line="40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9</w:t>
            </w:r>
          </w:p>
        </w:tc>
        <w:tc>
          <w:tcPr>
            <w:tcW w:w="1049" w:type="dxa"/>
            <w:tcBorders>
              <w:top w:val="single" w:color="auto" w:sz="4" w:space="0"/>
              <w:left w:val="single" w:color="auto" w:sz="4" w:space="0"/>
              <w:bottom w:val="single" w:color="auto" w:sz="4" w:space="0"/>
              <w:right w:val="single" w:color="auto" w:sz="4" w:space="0"/>
            </w:tcBorders>
            <w:vAlign w:val="center"/>
          </w:tcPr>
          <w:p w14:paraId="63E80049">
            <w:pPr>
              <w:pStyle w:val="47"/>
              <w:spacing w:line="400" w:lineRule="exact"/>
              <w:ind w:firstLine="0"/>
              <w:jc w:val="center"/>
              <w:rPr>
                <w:rFonts w:ascii="仿宋_GB2312" w:hAnsi="仿宋_GB2312" w:eastAsia="仿宋_GB2312" w:cs="仿宋_GB2312"/>
                <w:b/>
                <w:bCs/>
                <w:szCs w:val="24"/>
              </w:rPr>
            </w:pPr>
            <w:r>
              <w:rPr>
                <w:rFonts w:hint="eastAsia" w:ascii="仿宋_GB2312" w:hAnsi="仿宋_GB2312" w:eastAsia="仿宋_GB2312" w:cs="仿宋_GB2312"/>
                <w:szCs w:val="24"/>
              </w:rPr>
              <w:t>机柜</w:t>
            </w:r>
          </w:p>
        </w:tc>
        <w:tc>
          <w:tcPr>
            <w:tcW w:w="6929" w:type="dxa"/>
            <w:tcBorders>
              <w:top w:val="single" w:color="auto" w:sz="4" w:space="0"/>
              <w:left w:val="single" w:color="auto" w:sz="4" w:space="0"/>
              <w:bottom w:val="single" w:color="auto" w:sz="4" w:space="0"/>
              <w:right w:val="single" w:color="auto" w:sz="4" w:space="0"/>
            </w:tcBorders>
          </w:tcPr>
          <w:p w14:paraId="565FD7B2">
            <w:pPr>
              <w:pStyle w:val="47"/>
              <w:spacing w:line="400" w:lineRule="exact"/>
              <w:ind w:firstLine="0"/>
              <w:rPr>
                <w:rFonts w:ascii="仿宋_GB2312" w:hAnsi="仿宋_GB2312" w:eastAsia="仿宋_GB2312" w:cs="仿宋_GB2312"/>
                <w:szCs w:val="24"/>
              </w:rPr>
            </w:pPr>
            <w:r>
              <w:rPr>
                <w:rFonts w:hint="eastAsia" w:ascii="仿宋_GB2312" w:hAnsi="仿宋_GB2312" w:eastAsia="仿宋_GB2312" w:cs="仿宋_GB2312"/>
                <w:szCs w:val="24"/>
              </w:rPr>
              <w:t>1.12U挂式网络机柜，带风扇，表面防静电喷涂防护等级设计满足IP20等级。</w:t>
            </w:r>
          </w:p>
          <w:p w14:paraId="35E2A613">
            <w:pPr>
              <w:pStyle w:val="47"/>
              <w:spacing w:line="400" w:lineRule="exact"/>
              <w:ind w:firstLine="0"/>
              <w:rPr>
                <w:rFonts w:ascii="仿宋_GB2312" w:hAnsi="仿宋_GB2312" w:eastAsia="仿宋_GB2312" w:cs="仿宋_GB2312"/>
                <w:b/>
                <w:bCs/>
                <w:szCs w:val="24"/>
              </w:rPr>
            </w:pPr>
            <w:r>
              <w:rPr>
                <w:rFonts w:hint="eastAsia" w:ascii="仿宋_GB2312" w:hAnsi="仿宋_GB2312" w:eastAsia="仿宋_GB2312" w:cs="仿宋_GB2312"/>
                <w:szCs w:val="24"/>
              </w:rPr>
              <w:t>2.钢化玻璃前门带锁，可快速装卸材料。冷轧钢板制作,表面处理:脱脂,酸洗,磷化,静电喷塑。</w:t>
            </w:r>
          </w:p>
        </w:tc>
        <w:tc>
          <w:tcPr>
            <w:tcW w:w="809" w:type="dxa"/>
            <w:tcBorders>
              <w:top w:val="single" w:color="auto" w:sz="4" w:space="0"/>
              <w:left w:val="single" w:color="auto" w:sz="4" w:space="0"/>
              <w:bottom w:val="single" w:color="auto" w:sz="4" w:space="0"/>
              <w:right w:val="single" w:color="auto" w:sz="4" w:space="0"/>
            </w:tcBorders>
            <w:vAlign w:val="center"/>
          </w:tcPr>
          <w:p w14:paraId="5309FBA5">
            <w:pPr>
              <w:pStyle w:val="778"/>
              <w:snapToGrid w:val="0"/>
              <w:spacing w:line="460" w:lineRule="exact"/>
              <w:jc w:val="center"/>
              <w:rPr>
                <w:rFonts w:ascii="仿宋_GB2312" w:hAnsi="仿宋_GB2312" w:eastAsia="仿宋_GB2312" w:cs="仿宋_GB2312"/>
                <w:b/>
                <w:bCs/>
                <w:sz w:val="24"/>
                <w:szCs w:val="24"/>
              </w:rPr>
            </w:pPr>
            <w:r>
              <w:rPr>
                <w:rFonts w:hint="eastAsia" w:ascii="仿宋_GB2312" w:hAnsi="仿宋_GB2312" w:eastAsia="仿宋_GB2312" w:cs="仿宋_GB2312"/>
                <w:sz w:val="24"/>
                <w:szCs w:val="24"/>
              </w:rPr>
              <w:t>1个</w:t>
            </w:r>
          </w:p>
        </w:tc>
      </w:tr>
      <w:tr w14:paraId="289E7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499" w:type="dxa"/>
            <w:tcBorders>
              <w:top w:val="single" w:color="auto" w:sz="4" w:space="0"/>
              <w:left w:val="single" w:color="auto" w:sz="4" w:space="0"/>
              <w:bottom w:val="single" w:color="auto" w:sz="4" w:space="0"/>
              <w:right w:val="single" w:color="auto" w:sz="4" w:space="0"/>
            </w:tcBorders>
            <w:vAlign w:val="center"/>
          </w:tcPr>
          <w:p w14:paraId="6449477D">
            <w:pPr>
              <w:pStyle w:val="778"/>
              <w:snapToGrid w:val="0"/>
              <w:spacing w:line="460" w:lineRule="exac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w:t>
            </w:r>
          </w:p>
        </w:tc>
        <w:tc>
          <w:tcPr>
            <w:tcW w:w="1049" w:type="dxa"/>
            <w:tcBorders>
              <w:top w:val="single" w:color="auto" w:sz="4" w:space="0"/>
              <w:left w:val="single" w:color="auto" w:sz="4" w:space="0"/>
              <w:bottom w:val="single" w:color="auto" w:sz="4" w:space="0"/>
              <w:right w:val="single" w:color="auto" w:sz="4" w:space="0"/>
            </w:tcBorders>
            <w:vAlign w:val="center"/>
          </w:tcPr>
          <w:p w14:paraId="6A486185">
            <w:pPr>
              <w:pStyle w:val="47"/>
              <w:spacing w:line="400" w:lineRule="exact"/>
              <w:ind w:firstLine="0"/>
              <w:jc w:val="center"/>
              <w:rPr>
                <w:rFonts w:ascii="仿宋_GB2312" w:hAnsi="仿宋_GB2312" w:eastAsia="仿宋_GB2312" w:cs="仿宋_GB2312"/>
                <w:szCs w:val="24"/>
              </w:rPr>
            </w:pPr>
            <w:r>
              <w:rPr>
                <w:rFonts w:hint="eastAsia" w:ascii="仿宋_GB2312" w:hAnsi="仿宋_GB2312" w:eastAsia="仿宋_GB2312" w:cs="仿宋_GB2312"/>
                <w:szCs w:val="24"/>
              </w:rPr>
              <w:t>办公电脑</w:t>
            </w:r>
            <w:r>
              <w:rPr>
                <w:rFonts w:hint="eastAsia" w:ascii="仿宋_GB2312" w:hAnsi="宋体" w:eastAsia="仿宋_GB2312"/>
                <w:b/>
                <w:bCs/>
              </w:rPr>
              <w:t>（强制采购节能产品，详见采购需求说明第八点）</w:t>
            </w:r>
          </w:p>
        </w:tc>
        <w:tc>
          <w:tcPr>
            <w:tcW w:w="6929" w:type="dxa"/>
            <w:tcBorders>
              <w:top w:val="single" w:color="auto" w:sz="4" w:space="0"/>
              <w:left w:val="single" w:color="auto" w:sz="4" w:space="0"/>
              <w:bottom w:val="single" w:color="auto" w:sz="4" w:space="0"/>
              <w:right w:val="single" w:color="auto" w:sz="4" w:space="0"/>
            </w:tcBorders>
          </w:tcPr>
          <w:p w14:paraId="1A246745">
            <w:pPr>
              <w:autoSpaceDE w:val="0"/>
              <w:autoSpaceDN w:val="0"/>
              <w:adjustRightInd w:val="0"/>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w:t>
            </w:r>
            <w:r>
              <w:rPr>
                <w:rFonts w:hint="eastAsia" w:ascii="仿宋_GB2312" w:hAnsi="仿宋_GB2312" w:eastAsia="仿宋_GB2312" w:cs="仿宋_GB2312"/>
                <w:b/>
                <w:bCs/>
                <w:kern w:val="0"/>
                <w:sz w:val="24"/>
              </w:rPr>
              <w:t>一、CPU规格</w:t>
            </w:r>
          </w:p>
          <w:p w14:paraId="019A7073">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1.CPU 信息：物理核心数≥8、主频≥2.7GHz、末级缓存容量≥2MB、线程数≥8、热设计功耗≥70W、内存≥双通道DDR4-2666、位宽≥64位;</w:t>
            </w:r>
          </w:p>
          <w:p w14:paraId="1CD8AFF7">
            <w:pPr>
              <w:autoSpaceDE w:val="0"/>
              <w:autoSpaceDN w:val="0"/>
              <w:adjustRightInd w:val="0"/>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w:t>
            </w:r>
            <w:r>
              <w:rPr>
                <w:rFonts w:hint="eastAsia" w:ascii="仿宋_GB2312" w:hAnsi="仿宋_GB2312" w:eastAsia="仿宋_GB2312" w:cs="仿宋_GB2312"/>
                <w:b/>
                <w:bCs/>
                <w:kern w:val="0"/>
                <w:sz w:val="24"/>
              </w:rPr>
              <w:t>二、内存规格</w:t>
            </w:r>
          </w:p>
          <w:p w14:paraId="3FE35572">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1.内存配置容量：≥16GB；</w:t>
            </w:r>
          </w:p>
          <w:p w14:paraId="0F51DD08">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2.内存类型：支持 DDR4/LPDDR4/LPDDR4X 及以上内存类型；</w:t>
            </w:r>
          </w:p>
          <w:p w14:paraId="52993932">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3.内存条配置数量（板载内存不涉及）：≥1；</w:t>
            </w:r>
          </w:p>
          <w:p w14:paraId="5B342355">
            <w:pPr>
              <w:autoSpaceDE w:val="0"/>
              <w:autoSpaceDN w:val="0"/>
              <w:adjustRightInd w:val="0"/>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w:t>
            </w:r>
            <w:r>
              <w:rPr>
                <w:rFonts w:hint="eastAsia" w:ascii="仿宋_GB2312" w:hAnsi="仿宋_GB2312" w:eastAsia="仿宋_GB2312" w:cs="仿宋_GB2312"/>
                <w:b/>
                <w:bCs/>
                <w:kern w:val="0"/>
                <w:sz w:val="24"/>
              </w:rPr>
              <w:t>三、主板规格</w:t>
            </w:r>
          </w:p>
          <w:p w14:paraId="7A3C4A7E">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1.主板集成模块：集成资源扩展模块、计算处理模块、音频扩展模块等，主板的互联拓扑可通过处理器或交换电路实现；</w:t>
            </w:r>
          </w:p>
          <w:p w14:paraId="7602C313">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2.主板支持的 CPU 和内存情况：≥8核8线程，主频≥2.7GHz，末级缓存≥2MB，内存≥双通道DDR4-2666，设计功耗≥70W，位宽≥64位；内存条数量≥1；</w:t>
            </w:r>
          </w:p>
          <w:p w14:paraId="6302A11E">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3.主板其他内置接口：PCIEX16≥1个（支持拓展独立显卡）；PCIEX8≥2个；M.2≥</w:t>
            </w:r>
            <w:r>
              <w:rPr>
                <w:rFonts w:hint="eastAsia" w:ascii="仿宋_GB2312" w:hAnsi="仿宋_GB2312" w:eastAsia="仿宋_GB2312" w:cs="仿宋_GB2312"/>
                <w:kern w:val="0"/>
                <w:sz w:val="24"/>
                <w:lang w:val="en-US" w:eastAsia="zh-CN"/>
              </w:rPr>
              <w:t>1</w:t>
            </w:r>
            <w:r>
              <w:rPr>
                <w:rFonts w:hint="eastAsia" w:ascii="仿宋_GB2312" w:hAnsi="仿宋_GB2312" w:eastAsia="仿宋_GB2312" w:cs="仿宋_GB2312"/>
                <w:kern w:val="0"/>
                <w:sz w:val="24"/>
              </w:rPr>
              <w:t>个；SATA≥4个，USB≥6个，固态硬盘占用M.2接口*1；</w:t>
            </w:r>
          </w:p>
          <w:p w14:paraId="76EBE76B">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4.单内存插槽最大可支持容量（板载内存不涉及）：≥8GB；</w:t>
            </w:r>
          </w:p>
          <w:p w14:paraId="5319E6CF">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5.内存插槽满配时提供的最高内存总容量：≥16GB；</w:t>
            </w:r>
          </w:p>
          <w:p w14:paraId="23B8859E">
            <w:pPr>
              <w:autoSpaceDE w:val="0"/>
              <w:autoSpaceDN w:val="0"/>
              <w:adjustRightInd w:val="0"/>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w:t>
            </w:r>
            <w:r>
              <w:rPr>
                <w:rFonts w:hint="eastAsia" w:ascii="仿宋_GB2312" w:hAnsi="仿宋_GB2312" w:eastAsia="仿宋_GB2312" w:cs="仿宋_GB2312"/>
                <w:b/>
                <w:bCs/>
                <w:kern w:val="0"/>
                <w:sz w:val="24"/>
              </w:rPr>
              <w:t xml:space="preserve"> 四、存储设备规格</w:t>
            </w:r>
          </w:p>
          <w:p w14:paraId="78EABFE2">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1.固态盘数量：≥1 个；</w:t>
            </w:r>
          </w:p>
          <w:p w14:paraId="60D037DC">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w:t>
            </w:r>
            <w:r>
              <w:rPr>
                <w:rFonts w:hint="eastAsia" w:ascii="仿宋_GB2312" w:hAnsi="仿宋_GB2312" w:eastAsia="仿宋_GB2312" w:cs="仿宋_GB2312"/>
                <w:kern w:val="0"/>
                <w:sz w:val="24"/>
                <w:u w:val="none"/>
              </w:rPr>
              <w:t>固态存储容量：≥</w:t>
            </w:r>
            <w:r>
              <w:rPr>
                <w:rFonts w:ascii="仿宋_GB2312" w:hAnsi="仿宋_GB2312" w:eastAsia="仿宋_GB2312" w:cs="仿宋_GB2312"/>
                <w:kern w:val="0"/>
                <w:sz w:val="24"/>
                <w:u w:val="none"/>
              </w:rPr>
              <w:t>512GB</w:t>
            </w:r>
            <w:r>
              <w:rPr>
                <w:rFonts w:hint="eastAsia" w:ascii="仿宋_GB2312" w:hAnsi="仿宋_GB2312" w:eastAsia="仿宋_GB2312" w:cs="仿宋_GB2312"/>
                <w:kern w:val="0"/>
                <w:sz w:val="24"/>
              </w:rPr>
              <w:t>；</w:t>
            </w:r>
          </w:p>
          <w:p w14:paraId="121B2AC4">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3.机械硬盘数量：≥1 个； </w:t>
            </w:r>
          </w:p>
          <w:p w14:paraId="37446277">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4.机械硬盘总容量：≥1TB；</w:t>
            </w:r>
          </w:p>
          <w:p w14:paraId="55825116">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5.机械硬盘转速：≥5400rpm；</w:t>
            </w:r>
          </w:p>
          <w:p w14:paraId="036D9B61">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6.机械硬盘形态：3.5英寸等；</w:t>
            </w:r>
          </w:p>
          <w:p w14:paraId="1EEE784F">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7.固态存储形态：采用插卡或板载等形态，可选用符合M.2 或 2.5 寸 SATA 或 mSATA 等标准的插卡形态；</w:t>
            </w:r>
          </w:p>
          <w:p w14:paraId="3D8A3EA6">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8.存储设备其他参数要求：a)固态盘应符合 SJ/T 11654 相关规定；b)机械硬盘准备时间应不大于 30s；侧面固定螺丝孔数量可为 4 孔或 6 孔；工作状态环境温度应满足 5℃~55℃；其它参数应符合 GB/T 12628 相关规定；</w:t>
            </w:r>
          </w:p>
          <w:p w14:paraId="7B9238DF">
            <w:pPr>
              <w:autoSpaceDE w:val="0"/>
              <w:autoSpaceDN w:val="0"/>
              <w:adjustRightInd w:val="0"/>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b/>
                <w:bCs/>
                <w:kern w:val="0"/>
                <w:sz w:val="24"/>
              </w:rPr>
              <w:t>五、显卡规格</w:t>
            </w:r>
          </w:p>
          <w:p w14:paraId="339CC9A9">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1.显卡类型：独立显卡；</w:t>
            </w:r>
          </w:p>
          <w:p w14:paraId="20F11B9C">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2.独立显卡显存类型：显存类型为DDR3/DDR4/GDDR5/GDDR6/LPDDR4；</w:t>
            </w:r>
          </w:p>
          <w:p w14:paraId="5CBCE086">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3.独立显卡显存位宽：显存位宽≥16位；</w:t>
            </w:r>
          </w:p>
          <w:p w14:paraId="54FE5F01">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4.独立显卡显存容量：显存容量≥4GB； </w:t>
            </w:r>
          </w:p>
          <w:p w14:paraId="3D8F7989">
            <w:pPr>
              <w:autoSpaceDE w:val="0"/>
              <w:autoSpaceDN w:val="0"/>
              <w:adjustRightInd w:val="0"/>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w:t>
            </w:r>
            <w:r>
              <w:rPr>
                <w:rFonts w:hint="eastAsia" w:ascii="仿宋_GB2312" w:hAnsi="仿宋_GB2312" w:eastAsia="仿宋_GB2312" w:cs="仿宋_GB2312"/>
                <w:b/>
                <w:bCs/>
                <w:kern w:val="0"/>
                <w:sz w:val="24"/>
              </w:rPr>
              <w:t>六、显示设备规格</w:t>
            </w:r>
          </w:p>
          <w:p w14:paraId="4436643F">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1.显示屏屏占比：≥80%；</w:t>
            </w:r>
          </w:p>
          <w:p w14:paraId="75B098CE">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2.显示屏分辨率：≥1920x1080；</w:t>
            </w:r>
          </w:p>
          <w:p w14:paraId="12E30176">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3.显示屏尺寸：≥23 英寸；</w:t>
            </w:r>
          </w:p>
          <w:p w14:paraId="29BBD1A1">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4.显示屏屏幕比例：16:9；</w:t>
            </w:r>
          </w:p>
          <w:p w14:paraId="2565C516">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5.显示器外观颜色：黑色等商务色系；</w:t>
            </w:r>
          </w:p>
          <w:p w14:paraId="4C46AE4A">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6.显示屏防蓝光：支持防蓝光模式，蓝光加权辐射亮度比应≤0.0012W/(·cd·sr)（瓦每坎特拉每球面度）；</w:t>
            </w:r>
          </w:p>
          <w:p w14:paraId="4E9929CB">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7.显示屏低频闪：显示屏应支持低频闪≤-35dB；</w:t>
            </w:r>
          </w:p>
          <w:p w14:paraId="64E53393">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8.显示屏防炫目：显示屏镜面反射率≤10%； </w:t>
            </w:r>
          </w:p>
          <w:p w14:paraId="47F87EA5">
            <w:pPr>
              <w:autoSpaceDE w:val="0"/>
              <w:autoSpaceDN w:val="0"/>
              <w:adjustRightInd w:val="0"/>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w:t>
            </w:r>
            <w:r>
              <w:rPr>
                <w:rFonts w:hint="eastAsia" w:ascii="仿宋_GB2312" w:hAnsi="仿宋_GB2312" w:eastAsia="仿宋_GB2312" w:cs="仿宋_GB2312"/>
                <w:b/>
                <w:bCs/>
                <w:kern w:val="0"/>
                <w:sz w:val="24"/>
              </w:rPr>
              <w:t>七、外设规格</w:t>
            </w:r>
          </w:p>
          <w:p w14:paraId="231F5D87">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1.鼠标数量：≥1 个；</w:t>
            </w:r>
          </w:p>
          <w:p w14:paraId="0553D8DE">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2.键盘数量：≥1 个；</w:t>
            </w:r>
          </w:p>
          <w:p w14:paraId="7CB3616F">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3.键盘按键数目：≥101键；</w:t>
            </w:r>
          </w:p>
          <w:p w14:paraId="08ADE6A6">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4.键盘连接方式：有线；</w:t>
            </w:r>
          </w:p>
          <w:p w14:paraId="12762395">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5.键盘键程：2.3mm -4.0mm；</w:t>
            </w:r>
          </w:p>
          <w:p w14:paraId="593FC439">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6.键盘按键压力：按键压力应在 0.54 N±0.14N；</w:t>
            </w:r>
          </w:p>
          <w:p w14:paraId="7E57A847">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7.有线键盘连接线：≥1.5 米；</w:t>
            </w:r>
          </w:p>
          <w:p w14:paraId="03DFA960">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8.键盘颜色：黑色等商务色系；</w:t>
            </w:r>
          </w:p>
          <w:p w14:paraId="36718BD6">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9.鼠标连接方式：有线；</w:t>
            </w:r>
          </w:p>
          <w:p w14:paraId="3D0E60EA">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10.有线鼠标连接线：≥1.5 米；</w:t>
            </w:r>
          </w:p>
          <w:p w14:paraId="6BA8D87B">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11.鼠标 DPI分辨率：800~1600；</w:t>
            </w:r>
          </w:p>
          <w:p w14:paraId="4785E0F7">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12.鼠标颜色：黑色等商务色系；</w:t>
            </w:r>
          </w:p>
          <w:p w14:paraId="76144E5A">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13.鼠标其他要求：其它参数应符合 GB/T 26245 的相关规定；</w:t>
            </w:r>
          </w:p>
          <w:p w14:paraId="040EBEBF">
            <w:pPr>
              <w:autoSpaceDE w:val="0"/>
              <w:autoSpaceDN w:val="0"/>
              <w:adjustRightInd w:val="0"/>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b/>
                <w:bCs/>
                <w:kern w:val="0"/>
                <w:sz w:val="24"/>
              </w:rPr>
              <w:t>八、网络设备规格</w:t>
            </w:r>
          </w:p>
          <w:p w14:paraId="44B8562A">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1.有线网卡数量：≥1；</w:t>
            </w:r>
          </w:p>
          <w:p w14:paraId="6ECE6C9C">
            <w:pPr>
              <w:autoSpaceDE w:val="0"/>
              <w:autoSpaceDN w:val="0"/>
              <w:adjustRightInd w:val="0"/>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b/>
                <w:bCs/>
                <w:kern w:val="0"/>
                <w:sz w:val="24"/>
              </w:rPr>
              <w:t>九、外部接口规格</w:t>
            </w:r>
          </w:p>
          <w:p w14:paraId="00299755">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1.USB 接口数量：机箱前面板应提供不少于 3 个 USB 接口（含 2 个 USB3.0 及以上接口），后置USB≥3个；</w:t>
            </w:r>
          </w:p>
          <w:p w14:paraId="569F58B1">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2.视频接口数量：≥1；</w:t>
            </w:r>
          </w:p>
          <w:p w14:paraId="3A1A5CB6">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3.音频接口数量：≥1；</w:t>
            </w:r>
          </w:p>
          <w:p w14:paraId="20639540">
            <w:pPr>
              <w:autoSpaceDE w:val="0"/>
              <w:autoSpaceDN w:val="0"/>
              <w:adjustRightInd w:val="0"/>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b/>
                <w:bCs/>
                <w:kern w:val="0"/>
                <w:sz w:val="24"/>
              </w:rPr>
              <w:t>十、整机基础规格</w:t>
            </w:r>
          </w:p>
          <w:p w14:paraId="276177A4">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1.整机外观：a) 产品表面不应有凹痕、划伤、裂缝、变形和污染等。表面涂层均匀，不应起泡、龟裂、脱落和磨损，金属零部件无锈蚀及其它机械损伤；b) 产品表面说明功能的文字、符号、标志，应清晰、端正、牢固；</w:t>
            </w:r>
          </w:p>
          <w:p w14:paraId="61379BAD">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2.状态指示灯：在产品显著位置提供状态指示功能；</w:t>
            </w:r>
          </w:p>
          <w:p w14:paraId="2D5C3888">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3.整机结构：a) 机箱应符合 GB/T 4208、GB/T 26246的相关规定；b) 产品内部结构应符合通用部件的安装需求；c) 所有输入输出接口应符合相关国家或行业标准；d) 产品零部件应紧固无松动，可插拔部件应可靠连接，开关、按钮和其它控制部件应灵活可靠，布局应方便使用；e) 所有 I/O 连接器及需插接线缆的部位应预留采购人操作空间，方便插拔解锁与插拔线缆；f) 可插拔板卡插槽部位应预留安装、拆卸或更换板卡空间；g) 拆装可能接触到的金属剪口或金属尖角部位应做防划伤处理，以保证安全；h) 整机内部走线应规整，固线结构和位置要合理可靠并做防割线处理，需便于理线和插拔操作，走线应不影响系统各主要部件组装和拆卸；i) 如需通过孔走线，过线孔应做防割线处理；j) 各插头位置和插拔方向应合理，应做到插拔无障碍设计，具备防呆设计，有效避免误操作；k) 各主要部件拆装无障碍，使用常规工具拆装，无特殊拆装工具需求；l) 各主要部件拆装步骤要少，各自拆装需避免相互干扰；m) 对于整机或零部件外表面为高亮面的，应粘贴保护膜，保护膜需粘贴牢固，运输、组装等过程不易脱落，撕下无残留；n) 其它要求应符合 GB/T 9813.1 的相关规定；</w:t>
            </w:r>
          </w:p>
          <w:p w14:paraId="45F17679">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4.机箱防护要求：机箱应符合 GB/T 4208 中 IP20 防护要求；</w:t>
            </w:r>
          </w:p>
          <w:p w14:paraId="5B5ADB38">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5.整机噪音：产品工作在空闲状态下，产品的声功率级应不超过 4.5 Bel；</w:t>
            </w:r>
          </w:p>
          <w:p w14:paraId="4798D653">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6.整机散热：在环境温度 25℃及处理器满载情况下，产品表面温度应符合如下要求：a) 出风口在机箱后面板情况下，出风口温度不高于 55℃；b) 可触及面温度不高于 45℃；c) 显示器表面温度：显示屏不高于38℃，显示屏上下灯带位置温度（如涉及）不高于 40℃，出风口温度不高于 45℃；</w:t>
            </w:r>
          </w:p>
          <w:p w14:paraId="4D6305F8">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7.整机能效限定值：产品能效限定值应达到 GB 28380-2012标准中能效等级 2 级及以上；</w:t>
            </w:r>
          </w:p>
          <w:p w14:paraId="6AE8D06F">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8.机身材质：金属；</w:t>
            </w:r>
          </w:p>
          <w:p w14:paraId="00912E43">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9.机身颜色：黑色等商务色系；</w:t>
            </w:r>
          </w:p>
          <w:p w14:paraId="5CA85E3C">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10.机箱尺寸容量：机箱体积应不大于 30L；</w:t>
            </w:r>
          </w:p>
          <w:p w14:paraId="42340FD8">
            <w:pPr>
              <w:autoSpaceDE w:val="0"/>
              <w:autoSpaceDN w:val="0"/>
              <w:adjustRightInd w:val="0"/>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b/>
                <w:bCs/>
                <w:kern w:val="0"/>
                <w:sz w:val="24"/>
              </w:rPr>
              <w:t>十一、CPU性能</w:t>
            </w:r>
          </w:p>
          <w:p w14:paraId="6250B3EC">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1.CPU 物理核数：≥8；</w:t>
            </w:r>
          </w:p>
          <w:p w14:paraId="4D135880">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2.CPU 主频：≥2.7GHz；</w:t>
            </w:r>
          </w:p>
          <w:p w14:paraId="7A36F253">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3.CPU 末级缓存容量：≥2MB；</w:t>
            </w:r>
          </w:p>
          <w:p w14:paraId="28FB5377">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4.CPU 支持的内存最高速率：≥2666MT/s；</w:t>
            </w:r>
          </w:p>
          <w:p w14:paraId="4CBDB2B4">
            <w:pPr>
              <w:autoSpaceDE w:val="0"/>
              <w:autoSpaceDN w:val="0"/>
              <w:adjustRightInd w:val="0"/>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b/>
                <w:bCs/>
                <w:kern w:val="0"/>
                <w:sz w:val="24"/>
              </w:rPr>
              <w:t>十二、内存性能</w:t>
            </w:r>
          </w:p>
          <w:p w14:paraId="247D7F41">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1.内存读写速率：≥2666MT/s；</w:t>
            </w:r>
          </w:p>
          <w:p w14:paraId="7D87AE9C">
            <w:pPr>
              <w:autoSpaceDE w:val="0"/>
              <w:autoSpaceDN w:val="0"/>
              <w:adjustRightInd w:val="0"/>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b/>
                <w:bCs/>
                <w:kern w:val="0"/>
                <w:sz w:val="24"/>
              </w:rPr>
              <w:t>十三、显卡性能</w:t>
            </w:r>
          </w:p>
          <w:p w14:paraId="59429A3F">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1.显示分辨率：≥1920x1080；</w:t>
            </w:r>
          </w:p>
          <w:p w14:paraId="6B243B3A">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2.显卡显示芯片核心频率：≥300MHz；</w:t>
            </w:r>
          </w:p>
          <w:p w14:paraId="6800FFD4">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3.显存等效频率：≥1000MT/s；</w:t>
            </w:r>
          </w:p>
          <w:p w14:paraId="09634741">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4.显卡可支持多屏同时显示数量：显卡应支持 2 块屏幕同时显示，分辨率应不低于 1920×1080；</w:t>
            </w:r>
          </w:p>
          <w:p w14:paraId="40B136EB">
            <w:pPr>
              <w:autoSpaceDE w:val="0"/>
              <w:autoSpaceDN w:val="0"/>
              <w:adjustRightInd w:val="0"/>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b/>
                <w:bCs/>
                <w:kern w:val="0"/>
                <w:sz w:val="24"/>
              </w:rPr>
              <w:t>十四、显示设备性能</w:t>
            </w:r>
          </w:p>
          <w:p w14:paraId="6994B8F3">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1.显示屏刷新率：≥75Hz；</w:t>
            </w:r>
          </w:p>
          <w:p w14:paraId="09882B7B">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2.显示屏位深：≥8 位；</w:t>
            </w:r>
          </w:p>
          <w:p w14:paraId="47F8C20F">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3.显示屏色域：≥99% sRGB；</w:t>
            </w:r>
          </w:p>
          <w:p w14:paraId="2D399204">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4.显示屏色准：△E ≤ 4；</w:t>
            </w:r>
          </w:p>
          <w:p w14:paraId="14A371C2">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5.显示屏响应时间：≤8ms；</w:t>
            </w:r>
          </w:p>
          <w:p w14:paraId="5D4FCBD5">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6.显示屏亮度：≥250 尼特；</w:t>
            </w:r>
          </w:p>
          <w:p w14:paraId="594B9899">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7.显示屏亮度一致性：≥70%；</w:t>
            </w:r>
          </w:p>
          <w:p w14:paraId="442A06D7">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8.显示屏对比度：≥500：1，显示屏其它参数应符合 SJ/T 11292 的相关规定；</w:t>
            </w:r>
          </w:p>
          <w:p w14:paraId="1B55371B">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9、屏幕亮度≥250nit，IPS屏</w:t>
            </w:r>
          </w:p>
          <w:p w14:paraId="2F2FC7D9">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10、为保证屏幕色彩显示真实度，显示屏幕DCI-P3色域覆盖率≥ 90%；</w:t>
            </w:r>
          </w:p>
          <w:p w14:paraId="57129CC8">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11、为了适应日常使用和更好的视频播放体验，显示屏分别提供标准模式和</w:t>
            </w:r>
            <w:r>
              <w:rPr>
                <w:rFonts w:ascii="仿宋_GB2312" w:hAnsi="仿宋_GB2312" w:eastAsia="仿宋_GB2312" w:cs="仿宋_GB2312"/>
                <w:kern w:val="0"/>
                <w:sz w:val="24"/>
              </w:rPr>
              <w:t>自动调节色彩增强</w:t>
            </w:r>
            <w:r>
              <w:rPr>
                <w:rFonts w:hint="eastAsia" w:ascii="仿宋_GB2312" w:hAnsi="仿宋_GB2312" w:eastAsia="仿宋_GB2312" w:cs="仿宋_GB2312"/>
                <w:kern w:val="0"/>
                <w:sz w:val="24"/>
              </w:rPr>
              <w:t>模式选项。</w:t>
            </w:r>
          </w:p>
          <w:p w14:paraId="00159368">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12、为保证教师、学生的用眼舒适，显示屏幕提供护眼模式。</w:t>
            </w:r>
          </w:p>
          <w:p w14:paraId="56C49BBA">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13、显示器提供阅读模式，为长时间阅读提供舒适的用眼体验。</w:t>
            </w:r>
          </w:p>
          <w:p w14:paraId="4F970916">
            <w:pPr>
              <w:autoSpaceDE w:val="0"/>
              <w:autoSpaceDN w:val="0"/>
              <w:adjustRightInd w:val="0"/>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b/>
                <w:bCs/>
                <w:kern w:val="0"/>
                <w:sz w:val="24"/>
              </w:rPr>
              <w:t>十五、网络设备性能</w:t>
            </w:r>
          </w:p>
          <w:p w14:paraId="70446249">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 有线网卡速率：最高速率应不低于 1000Mbps，应支持10Mbps、100Mbps、1000Mbps 速率自适应；</w:t>
            </w:r>
          </w:p>
          <w:p w14:paraId="0A7B8DCC">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b/>
                <w:bCs/>
                <w:kern w:val="0"/>
                <w:sz w:val="24"/>
              </w:rPr>
              <w:t>十六、主板功能</w:t>
            </w:r>
          </w:p>
          <w:p w14:paraId="40FB8794">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1.内存扩展接口(板载内存不涉及)：≥2 个；</w:t>
            </w:r>
          </w:p>
          <w:p w14:paraId="0C8D02A6">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2.主板 USB瞬间过流保护：支持有瞬间过流保护功能；</w:t>
            </w:r>
          </w:p>
          <w:p w14:paraId="18AB5188">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3.主板防静电保护：支持防静电保护功能；</w:t>
            </w:r>
          </w:p>
          <w:p w14:paraId="7F637CDC">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4.I/O 接口功能：提供基于标准 USB 接口外设连接功能、基于音频输入输出接口的音频扩展功能、基于 PCIe 接口板卡扩展功能、基于 HDMI 或 VGA 或 Type-C 或 DVI 或 DP等接口外接显示器扩展功能、基于存储接口对产品进行增容功能等。产品I/O 接口，应具备外接标准 USB 设备、显示器、音频设备等内外部设备能力；</w:t>
            </w:r>
          </w:p>
          <w:p w14:paraId="26B9F571">
            <w:pPr>
              <w:autoSpaceDE w:val="0"/>
              <w:autoSpaceDN w:val="0"/>
              <w:adjustRightInd w:val="0"/>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b/>
                <w:bCs/>
                <w:kern w:val="0"/>
                <w:sz w:val="24"/>
              </w:rPr>
              <w:t>十七、显卡功能</w:t>
            </w:r>
          </w:p>
          <w:p w14:paraId="4709AAB8">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1.显卡外接显示接口：显卡至少支持 VGA、HDMI、DVI、DP、Type-C 中 1 种显示接口，并与显示器接口相匹配；</w:t>
            </w:r>
          </w:p>
          <w:p w14:paraId="58E7374C">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b/>
                <w:bCs/>
                <w:kern w:val="0"/>
                <w:sz w:val="24"/>
              </w:rPr>
              <w:t>十八、显示设备功能</w:t>
            </w:r>
          </w:p>
          <w:p w14:paraId="39415260">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1.显示器接口：显示器应与显卡外接显示接口匹配；</w:t>
            </w:r>
          </w:p>
          <w:p w14:paraId="1A01F8B4">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2.显示器支架：显示器应提供显示器支架，支持屏幕旋转；</w:t>
            </w:r>
          </w:p>
          <w:p w14:paraId="58AEE456">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3.显示器参数调节：a)提供 OSD 选单按钮用于调节色彩、模式等；b)支持色温、亮度、对比度调节；</w:t>
            </w:r>
          </w:p>
          <w:p w14:paraId="487A9401">
            <w:pPr>
              <w:autoSpaceDE w:val="0"/>
              <w:autoSpaceDN w:val="0"/>
              <w:adjustRightInd w:val="0"/>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b/>
                <w:bCs/>
                <w:kern w:val="0"/>
                <w:sz w:val="24"/>
              </w:rPr>
              <w:t>十九、存储功能</w:t>
            </w:r>
          </w:p>
          <w:p w14:paraId="218CBF42">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1.存储功能：通过 SATA 固态存储/PCIe 固态存储/UFS 固态存储/SATA 硬磁盘等存储部件提供存储功能；</w:t>
            </w:r>
          </w:p>
          <w:p w14:paraId="2F921919">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b/>
                <w:bCs/>
                <w:kern w:val="0"/>
                <w:sz w:val="24"/>
              </w:rPr>
              <w:t>二十、网络设备功能</w:t>
            </w:r>
          </w:p>
          <w:p w14:paraId="12D9B0EC">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1.网络功能：a)支持网络连接、网络开启/关闭功能；b)支持访问网络和数据交换功能；</w:t>
            </w:r>
          </w:p>
          <w:p w14:paraId="4465033C">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2.数据传输：支持数据传输能力，并提供数据流量和异常日志记录功能；</w:t>
            </w:r>
          </w:p>
          <w:p w14:paraId="7239E2CB">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3.有线网卡接口类型：支持 RJ45 接口；</w:t>
            </w:r>
          </w:p>
          <w:p w14:paraId="31BE8952">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4.网络设备拆装：网络设备支持物理拆装，包括无线网卡和蓝牙模块等；</w:t>
            </w:r>
          </w:p>
          <w:p w14:paraId="75A6E720">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b/>
                <w:bCs/>
                <w:kern w:val="0"/>
                <w:sz w:val="24"/>
              </w:rPr>
              <w:t>二十一、外部接口功能</w:t>
            </w:r>
          </w:p>
          <w:p w14:paraId="1EFDBCC0">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1.音频接口类型：支持 3.5mm 孔径 3 段式或 4 段式接口；</w:t>
            </w:r>
          </w:p>
          <w:p w14:paraId="073ECAA0">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2.视频接口类型：至少支持 VGA、HDMI、DVI、DP、Type-C中 1 种显示接口；</w:t>
            </w:r>
          </w:p>
          <w:p w14:paraId="0EF00A6F">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3.HDMI、DP、Type-C 显示接口要求：若提供 HDMI 或 DP 或 Type-C 作为显示接口，应支持音频和视频同步输出；</w:t>
            </w:r>
          </w:p>
          <w:p w14:paraId="29CD018B">
            <w:pPr>
              <w:autoSpaceDE w:val="0"/>
              <w:autoSpaceDN w:val="0"/>
              <w:adjustRightInd w:val="0"/>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b/>
                <w:bCs/>
                <w:kern w:val="0"/>
                <w:sz w:val="24"/>
              </w:rPr>
              <w:t>二十二、电源功能</w:t>
            </w:r>
          </w:p>
          <w:p w14:paraId="38C0F455">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1.电源线适配能力：电源适配器电线组件应符合 GB/T15934 的要求；</w:t>
            </w:r>
          </w:p>
          <w:p w14:paraId="5D6A3B9E">
            <w:pPr>
              <w:autoSpaceDE w:val="0"/>
              <w:autoSpaceDN w:val="0"/>
              <w:adjustRightInd w:val="0"/>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b/>
                <w:bCs/>
                <w:kern w:val="0"/>
                <w:sz w:val="24"/>
              </w:rPr>
              <w:t>二十三、操作系统及软件功能</w:t>
            </w:r>
          </w:p>
          <w:p w14:paraId="4F7DF4F7">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1.中文信息处理要求：符合 GB 18030 的相关规定；</w:t>
            </w:r>
          </w:p>
          <w:p w14:paraId="2E2B7608">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2.操作系统备份及还原功能：支持操作系统备份及还原功能；</w:t>
            </w:r>
          </w:p>
          <w:p w14:paraId="545BE3A0">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3.固件备份还原能力：支持备份及还原固件的功能；</w:t>
            </w:r>
          </w:p>
          <w:p w14:paraId="64385F58">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4.操作系统及驱动升级：支持通过网络、闪存盘等方式对操作系统、驱动进行升级；</w:t>
            </w:r>
          </w:p>
          <w:p w14:paraId="61AE9439">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5.固件升级：支持通过网络、闪存盘等方式对固件进行升级；</w:t>
            </w:r>
          </w:p>
          <w:p w14:paraId="01794612">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6.BIOS 支持关闭通讯接口：支持 BIOS 关闭以太网及 USB 接口；</w:t>
            </w:r>
          </w:p>
          <w:p w14:paraId="2481E194">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7.固件查看信息：支持查看固件版本、内存信息、主板信息、处理器信息和系统时间信息等功能；</w:t>
            </w:r>
          </w:p>
          <w:p w14:paraId="25B7B7B8">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8.固件设置启动顺序：支持设置启动顺序功能，并按照设置的启动顺序启动；</w:t>
            </w:r>
          </w:p>
          <w:p w14:paraId="140FE1BB">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9.固件设置口令：支持设置口令、修改口令、验证口令功能；</w:t>
            </w:r>
          </w:p>
          <w:p w14:paraId="40537087">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10.固件设置网络引导：支持网络引导启动和关闭功能；</w:t>
            </w:r>
          </w:p>
          <w:p w14:paraId="72E91D9F">
            <w:pPr>
              <w:pStyle w:val="19"/>
              <w:rPr>
                <w:rFonts w:hint="eastAsia" w:ascii="仿宋_GB2312" w:hAnsi="仿宋_GB2312" w:eastAsia="仿宋_GB2312" w:cs="仿宋_GB2312"/>
                <w:kern w:val="0"/>
                <w:sz w:val="24"/>
              </w:rPr>
            </w:pPr>
            <w:r>
              <w:rPr>
                <w:rFonts w:hint="eastAsia" w:ascii="仿宋_GB2312" w:hAnsi="仿宋_GB2312" w:eastAsia="仿宋_GB2312" w:cs="仿宋_GB2312"/>
              </w:rPr>
              <w:t>11.含正版操作系统及提供功能至少有文字处理、电子表格、演示文稿三大应用模块的</w:t>
            </w:r>
            <w:r>
              <w:rPr>
                <w:rFonts w:hint="eastAsia" w:ascii="仿宋_GB2312" w:hAnsi="仿宋_GB2312" w:eastAsia="仿宋_GB2312" w:cs="仿宋_GB2312"/>
                <w:lang w:val="en-US" w:eastAsia="zh-CN"/>
              </w:rPr>
              <w:t>正版</w:t>
            </w:r>
            <w:r>
              <w:rPr>
                <w:rFonts w:hint="eastAsia" w:ascii="仿宋_GB2312" w:hAnsi="仿宋_GB2312" w:eastAsia="仿宋_GB2312" w:cs="仿宋_GB2312"/>
              </w:rPr>
              <w:t>办公软件，授权≥3年；</w:t>
            </w:r>
          </w:p>
          <w:p w14:paraId="5C10C5F8">
            <w:pPr>
              <w:autoSpaceDE w:val="0"/>
              <w:autoSpaceDN w:val="0"/>
              <w:adjustRightInd w:val="0"/>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w:t>
            </w:r>
            <w:r>
              <w:rPr>
                <w:rFonts w:hint="eastAsia" w:ascii="仿宋_GB2312" w:hAnsi="仿宋_GB2312" w:eastAsia="仿宋_GB2312" w:cs="仿宋_GB2312"/>
                <w:b/>
                <w:bCs/>
                <w:kern w:val="0"/>
                <w:sz w:val="24"/>
              </w:rPr>
              <w:t>二十四、存储设备可靠性</w:t>
            </w:r>
          </w:p>
          <w:p w14:paraId="0A8791DD">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1.固态存储寿命：TBW≥ 80TB（条件：256GB 硬盘容量）；</w:t>
            </w:r>
          </w:p>
          <w:p w14:paraId="0DF38BCD">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2.机械硬盘寿命：通电时间≥5 万小时；</w:t>
            </w:r>
          </w:p>
          <w:p w14:paraId="5346FA02">
            <w:pPr>
              <w:autoSpaceDE w:val="0"/>
              <w:autoSpaceDN w:val="0"/>
              <w:adjustRightInd w:val="0"/>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b/>
                <w:bCs/>
                <w:kern w:val="0"/>
                <w:sz w:val="24"/>
              </w:rPr>
              <w:t>二十五、显示设备可靠性</w:t>
            </w:r>
          </w:p>
          <w:p w14:paraId="64F203F4">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1.显示屏屏幕失效点：符合 GB/T 9813.2 的要求；</w:t>
            </w:r>
          </w:p>
          <w:p w14:paraId="338E90B1">
            <w:pPr>
              <w:autoSpaceDE w:val="0"/>
              <w:autoSpaceDN w:val="0"/>
              <w:adjustRightInd w:val="0"/>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b/>
                <w:bCs/>
                <w:kern w:val="0"/>
                <w:sz w:val="24"/>
              </w:rPr>
              <w:t>二十六、外设可靠性</w:t>
            </w:r>
          </w:p>
          <w:p w14:paraId="7F51A319">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1.键盘按键寿命：≥1000 万次；</w:t>
            </w:r>
          </w:p>
          <w:p w14:paraId="79EAFD40">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2.鼠标按键寿命：≥500 万次；</w:t>
            </w:r>
          </w:p>
          <w:p w14:paraId="4702742A">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3.键盘鼠标线材寿命：键盘鼠标所用线材经±60°弯折不低于 3000 次，功能、外观完好；</w:t>
            </w:r>
          </w:p>
          <w:p w14:paraId="442F4919">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4.风扇寿命：≥4 万小时；</w:t>
            </w:r>
          </w:p>
          <w:p w14:paraId="651415C0">
            <w:pPr>
              <w:autoSpaceDE w:val="0"/>
              <w:autoSpaceDN w:val="0"/>
              <w:adjustRightInd w:val="0"/>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b/>
                <w:bCs/>
                <w:kern w:val="0"/>
                <w:sz w:val="24"/>
              </w:rPr>
              <w:t>二十七、整机可靠性要求</w:t>
            </w:r>
          </w:p>
          <w:p w14:paraId="4E936681">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1.电磁兼容性要求的抗扰度：符合 GB/T 9254.2 的规定；</w:t>
            </w:r>
          </w:p>
          <w:p w14:paraId="07D03118">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2.环境条件要求的气候环境适应性：符合 GB/T 9813.1 中规定；</w:t>
            </w:r>
          </w:p>
          <w:p w14:paraId="58F80B1B">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3.环境条件要求的振动适应性：符合 GB/T 9813.1 中规定；</w:t>
            </w:r>
          </w:p>
          <w:p w14:paraId="3ECEFD26">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4.环境条件要求的冲击适应性：符合 GB/T 9813.1 中规定；</w:t>
            </w:r>
          </w:p>
          <w:p w14:paraId="25D27BB0">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5.环境条件要求的碰撞适应性：符合 GB/T 9813.1 中规定；</w:t>
            </w:r>
          </w:p>
          <w:p w14:paraId="16DFE376">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6.环境条件要求的运输包装件跌落适应性：符合 GB/T 9813.1 中规定；</w:t>
            </w:r>
          </w:p>
          <w:p w14:paraId="2625D526">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7.MTBF 测试：MTBF(m1)≥3 万小时；</w:t>
            </w:r>
          </w:p>
          <w:p w14:paraId="146EDDE3">
            <w:pPr>
              <w:autoSpaceDE w:val="0"/>
              <w:autoSpaceDN w:val="0"/>
              <w:adjustRightInd w:val="0"/>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b/>
                <w:bCs/>
                <w:kern w:val="0"/>
                <w:sz w:val="24"/>
              </w:rPr>
              <w:t>二十八、兼容要求</w:t>
            </w:r>
          </w:p>
          <w:p w14:paraId="7C430116">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1.常用软件兼容：支持流式软件、版式软件、浏览器、邮件采购人端、解压软件、多媒体、图形图像处理等常用软件；</w:t>
            </w:r>
          </w:p>
          <w:p w14:paraId="318DAEF7">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2.数据库兼容：兼容 3 个及以上厂商的数据库产品；</w:t>
            </w:r>
          </w:p>
          <w:p w14:paraId="237E0AE1">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3.中间件兼容：兼容 3 个及以上厂商中间件产品；</w:t>
            </w:r>
          </w:p>
          <w:p w14:paraId="357428B7">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4.平台软件兼容：兼容 3 个及以上厂商云计算及大数据平台； </w:t>
            </w:r>
          </w:p>
          <w:p w14:paraId="444AB931">
            <w:pPr>
              <w:autoSpaceDE w:val="0"/>
              <w:autoSpaceDN w:val="0"/>
              <w:adjustRightInd w:val="0"/>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w:t>
            </w:r>
            <w:r>
              <w:rPr>
                <w:rFonts w:hint="eastAsia" w:ascii="仿宋_GB2312" w:hAnsi="仿宋_GB2312" w:eastAsia="仿宋_GB2312" w:cs="仿宋_GB2312"/>
                <w:b/>
                <w:bCs/>
                <w:kern w:val="0"/>
                <w:sz w:val="24"/>
              </w:rPr>
              <w:t>二十九、包装及运输要求</w:t>
            </w:r>
          </w:p>
          <w:p w14:paraId="01AF55EF">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1.标志、包装、运输和贮存：符合 GB/T 9813.1 和商品包装政府采购需求标准的相关规定；</w:t>
            </w:r>
          </w:p>
          <w:p w14:paraId="3E807017">
            <w:pPr>
              <w:autoSpaceDE w:val="0"/>
              <w:autoSpaceDN w:val="0"/>
              <w:adjustRightInd w:val="0"/>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b/>
                <w:bCs/>
                <w:kern w:val="0"/>
                <w:sz w:val="24"/>
              </w:rPr>
              <w:t>三十、服务要求</w:t>
            </w:r>
          </w:p>
          <w:p w14:paraId="6058FA06">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1.配置检查工具：供应商提供自检测试工具；</w:t>
            </w:r>
          </w:p>
          <w:p w14:paraId="507C9697">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2.服务响应：a)供应商提供电话、电子邮件、远程连接等多种形式服务；b)供应商提供同城 4h、异地 12h 技术响应服务，2 个工作日解决问题，对于未能解决的问题和故障应提供可行的升级方案，并提供周转设备或更换设备；c)建立全国技术服务体系和服务团体，符合专业服务体系标准要求，提供原厂中文服务；d)服务周期内提供产品的维修、换件和升级服务；</w:t>
            </w:r>
          </w:p>
          <w:p w14:paraId="56A9F399">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3.服务周期：a) 设备停产后应继续提供质量保障服务（含备品备件），服务终止时间与最后一批设备交付时间间隔不低于6 年；b) 产品停止服务时间应提前 1 年告知；c) 应明确产品发布日期；</w:t>
            </w:r>
          </w:p>
          <w:p w14:paraId="50F31F21">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4.预装操作系统：预装符合桌面操作系统政府采购需求标准的正版操作系统；</w:t>
            </w:r>
            <w:r>
              <w:rPr>
                <w:rFonts w:hint="eastAsia" w:ascii="仿宋_GB2312" w:hAnsi="仿宋_GB2312" w:eastAsia="仿宋_GB2312" w:cs="仿宋_GB2312"/>
                <w:b/>
                <w:bCs/>
                <w:kern w:val="0"/>
                <w:sz w:val="24"/>
              </w:rPr>
              <w:t>预装的操作系统符合《操作系统政府采购需求标准》中加*指标要求（财政部 工业和信息化部关于印发《操作系统政府采购需求标准（2023年版）》的通知）</w:t>
            </w:r>
            <w:r>
              <w:rPr>
                <w:rFonts w:hint="eastAsia" w:ascii="仿宋_GB2312" w:hAnsi="仿宋_GB2312" w:eastAsia="仿宋_GB2312" w:cs="仿宋_GB2312"/>
                <w:kern w:val="0"/>
                <w:sz w:val="24"/>
              </w:rPr>
              <w:t>；</w:t>
            </w:r>
          </w:p>
          <w:p w14:paraId="19FE1A12">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5.培训服务：供应商提供培训材料、产品手册、培训视频等培训相关内容；</w:t>
            </w:r>
          </w:p>
          <w:p w14:paraId="443AD94A">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6.典型问题解决手册：供应商提供典型问题解决说明文档或视频；</w:t>
            </w:r>
          </w:p>
          <w:p w14:paraId="20AEC0EE">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7.厂家升级软件与扩容服务：供应商提供上门升级部件/软件与扩容的增值服务；</w:t>
            </w:r>
          </w:p>
          <w:p w14:paraId="6B2C2427">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8.整机质量服务要求：免费服务周期（含换件和维修）应不小于 3 年；</w:t>
            </w:r>
          </w:p>
          <w:p w14:paraId="1773E721">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9.合格证书要求：供应商提供产品合格证；</w:t>
            </w:r>
          </w:p>
          <w:p w14:paraId="5476934F">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10.开箱组装/使用指导要求：供应商提供开箱组装/使用指导；</w:t>
            </w:r>
          </w:p>
          <w:p w14:paraId="63FE31FC">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11.驱动下载服务要求：供应商提供驱动光盘或下载方式；</w:t>
            </w:r>
          </w:p>
          <w:p w14:paraId="29D08D28">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12.兼容适配软件下载服务要求：供应商提供兼容适配软件下载渠道（光盘、网站）；</w:t>
            </w:r>
          </w:p>
          <w:p w14:paraId="40C3EDA1">
            <w:pPr>
              <w:autoSpaceDE w:val="0"/>
              <w:autoSpaceDN w:val="0"/>
              <w:adjustRightInd w:val="0"/>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b/>
                <w:bCs/>
                <w:kern w:val="0"/>
                <w:sz w:val="24"/>
              </w:rPr>
              <w:t>三十一、供应链合规性</w:t>
            </w:r>
          </w:p>
          <w:p w14:paraId="378018DF">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 产品部件保障：供应商保障产品主要部件，提供 6 年的备件服务能力（自购买之日起），或提供可兼容原设备的升级换代产品；</w:t>
            </w:r>
          </w:p>
          <w:p w14:paraId="4847059E">
            <w:pPr>
              <w:autoSpaceDE w:val="0"/>
              <w:autoSpaceDN w:val="0"/>
              <w:adjustRightInd w:val="0"/>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b/>
                <w:bCs/>
                <w:kern w:val="0"/>
                <w:sz w:val="24"/>
              </w:rPr>
              <w:t>三十二、供应链质量</w:t>
            </w:r>
          </w:p>
          <w:p w14:paraId="67AF59BC">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1.抗干扰性：当产品部件出现供应风险时，供应商应通知采购人并提供风险应对方案确保产品的服务保障；</w:t>
            </w:r>
          </w:p>
          <w:p w14:paraId="4D126B3F">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2.供应能力证明：供应商承诺供应链稳定，确保产品的部件在产品服务周期内稳定供货；</w:t>
            </w:r>
          </w:p>
          <w:p w14:paraId="56A92395">
            <w:pPr>
              <w:autoSpaceDE w:val="0"/>
              <w:autoSpaceDN w:val="0"/>
              <w:adjustRightInd w:val="0"/>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b/>
                <w:bCs/>
                <w:kern w:val="0"/>
                <w:sz w:val="24"/>
              </w:rPr>
              <w:t>三十三、关键部件安全</w:t>
            </w:r>
          </w:p>
          <w:p w14:paraId="31C6E0D9">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1.关键部件安全要求：CPU 和操作系统等关键部件应当符合安全可靠测评要求，通过政府有关部门指定的中国信息安全测评中心和国家保密科技测评中心网站查看安全可靠测评结果；</w:t>
            </w:r>
          </w:p>
          <w:p w14:paraId="35ACB6E1">
            <w:pPr>
              <w:autoSpaceDE w:val="0"/>
              <w:autoSpaceDN w:val="0"/>
              <w:adjustRightInd w:val="0"/>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b/>
                <w:bCs/>
                <w:kern w:val="0"/>
                <w:sz w:val="24"/>
              </w:rPr>
              <w:t>注：投标人在填写《技术响应表》时，在“投标文件响应技术参数”明确给出所投</w:t>
            </w:r>
            <w:r>
              <w:rPr>
                <w:rFonts w:hint="eastAsia" w:ascii="仿宋_GB2312" w:hAnsi="仿宋_GB2312" w:eastAsia="仿宋_GB2312" w:cs="仿宋_GB2312"/>
                <w:b/>
                <w:bCs/>
                <w:kern w:val="0"/>
                <w:sz w:val="24"/>
                <w:szCs w:val="24"/>
              </w:rPr>
              <w:t>办公电脑</w:t>
            </w:r>
            <w:r>
              <w:rPr>
                <w:rFonts w:hint="eastAsia" w:ascii="仿宋_GB2312" w:hAnsi="仿宋_GB2312" w:eastAsia="仿宋_GB2312" w:cs="仿宋_GB2312"/>
                <w:b/>
                <w:bCs/>
                <w:kern w:val="0"/>
                <w:sz w:val="24"/>
              </w:rPr>
              <w:t>“CPU型号”及“操作系统”名称，否则视为投标无效。</w:t>
            </w:r>
          </w:p>
          <w:p w14:paraId="3DF0AB9B">
            <w:pPr>
              <w:autoSpaceDE w:val="0"/>
              <w:autoSpaceDN w:val="0"/>
              <w:adjustRightInd w:val="0"/>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 xml:space="preserve"> </w:t>
            </w:r>
            <w:bookmarkStart w:id="42" w:name="OLE_LINK19"/>
            <w:r>
              <w:rPr>
                <w:rFonts w:hint="eastAsia" w:ascii="仿宋_GB2312" w:hAnsi="仿宋_GB2312" w:eastAsia="仿宋_GB2312" w:cs="仿宋_GB2312"/>
                <w:kern w:val="0"/>
                <w:sz w:val="24"/>
              </w:rPr>
              <w:t>★</w:t>
            </w:r>
            <w:bookmarkEnd w:id="42"/>
            <w:r>
              <w:rPr>
                <w:rFonts w:hint="eastAsia" w:ascii="仿宋_GB2312" w:hAnsi="仿宋_GB2312" w:eastAsia="仿宋_GB2312" w:cs="仿宋_GB2312"/>
                <w:b/>
                <w:bCs/>
                <w:kern w:val="0"/>
                <w:sz w:val="24"/>
              </w:rPr>
              <w:t>三十四、整机安全性要求</w:t>
            </w:r>
          </w:p>
          <w:p w14:paraId="54F4394A">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1.密码算法实现：CPU 芯片应符合 GM/T 0008 的相关规定，或芯片密码模块应符合 GB/T 37092或 GM/T 0028 的相关规定；通过商用密码检测机构检测并经商用密码认证机构认证合格；</w:t>
            </w:r>
          </w:p>
          <w:p w14:paraId="3846BFDF">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2.信息安全基本要求：a) 产品应符合 GB/T 39276 的 5.2 的规定；b) 生产厂商应建立漏洞跟踪表，保证产品版本涉及到的漏洞(如驱动程序等)可查看；c) 产品不得包含已知的恶意代码或漏洞，不存在未声明的指令、功能、接口；</w:t>
            </w:r>
          </w:p>
          <w:p w14:paraId="0D3BAEBF">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3.固件安全启动：支持固件安全启动功能，固件启动过程中只有通过启动校验才能正常启动；</w:t>
            </w:r>
          </w:p>
          <w:p w14:paraId="638B56FA">
            <w:pPr>
              <w:autoSpaceDE w:val="0"/>
              <w:autoSpaceDN w:val="0"/>
              <w:adjustRightInd w:val="0"/>
              <w:spacing w:line="400" w:lineRule="exact"/>
              <w:jc w:val="left"/>
              <w:rPr>
                <w:rFonts w:ascii="仿宋_GB2312" w:hAnsi="仿宋_GB2312" w:eastAsia="仿宋_GB2312" w:cs="仿宋_GB2312"/>
                <w:b/>
                <w:bCs/>
                <w:sz w:val="24"/>
              </w:rPr>
            </w:pPr>
            <w:r>
              <w:rPr>
                <w:rFonts w:hint="eastAsia" w:ascii="仿宋_GB2312" w:hAnsi="仿宋_GB2312" w:eastAsia="仿宋_GB2312" w:cs="仿宋_GB2312"/>
                <w:kern w:val="0"/>
                <w:sz w:val="24"/>
              </w:rPr>
              <w:t>4.限用物质的限量要求：符合GB/T 26572中规定；</w:t>
            </w:r>
          </w:p>
        </w:tc>
        <w:tc>
          <w:tcPr>
            <w:tcW w:w="809" w:type="dxa"/>
            <w:tcBorders>
              <w:top w:val="single" w:color="auto" w:sz="4" w:space="0"/>
              <w:left w:val="single" w:color="auto" w:sz="4" w:space="0"/>
              <w:bottom w:val="single" w:color="auto" w:sz="4" w:space="0"/>
              <w:right w:val="single" w:color="auto" w:sz="4" w:space="0"/>
            </w:tcBorders>
            <w:vAlign w:val="center"/>
          </w:tcPr>
          <w:p w14:paraId="7394A582">
            <w:pPr>
              <w:pStyle w:val="778"/>
              <w:snapToGrid w:val="0"/>
              <w:spacing w:line="460" w:lineRule="exact"/>
              <w:jc w:val="center"/>
              <w:rPr>
                <w:rFonts w:ascii="仿宋_GB2312" w:hAnsi="仿宋_GB2312" w:eastAsia="仿宋_GB2312" w:cs="仿宋_GB2312"/>
                <w:b/>
                <w:bCs/>
                <w:sz w:val="24"/>
                <w:szCs w:val="24"/>
              </w:rPr>
            </w:pPr>
            <w:r>
              <w:rPr>
                <w:rFonts w:hint="eastAsia" w:ascii="仿宋_GB2312" w:hAnsi="仿宋_GB2312" w:eastAsia="仿宋_GB2312" w:cs="仿宋_GB2312"/>
                <w:kern w:val="0"/>
                <w:sz w:val="24"/>
                <w:szCs w:val="24"/>
              </w:rPr>
              <w:t>23套</w:t>
            </w:r>
          </w:p>
        </w:tc>
      </w:tr>
      <w:tr w14:paraId="0417B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499" w:type="dxa"/>
            <w:tcBorders>
              <w:top w:val="single" w:color="auto" w:sz="4" w:space="0"/>
              <w:left w:val="single" w:color="auto" w:sz="4" w:space="0"/>
              <w:bottom w:val="single" w:color="auto" w:sz="4" w:space="0"/>
              <w:right w:val="single" w:color="auto" w:sz="4" w:space="0"/>
            </w:tcBorders>
            <w:vAlign w:val="center"/>
          </w:tcPr>
          <w:p w14:paraId="61C67D4A">
            <w:pPr>
              <w:pStyle w:val="778"/>
              <w:snapToGrid w:val="0"/>
              <w:spacing w:line="460" w:lineRule="exac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11</w:t>
            </w:r>
          </w:p>
        </w:tc>
        <w:tc>
          <w:tcPr>
            <w:tcW w:w="1049" w:type="dxa"/>
            <w:tcBorders>
              <w:top w:val="single" w:color="auto" w:sz="4" w:space="0"/>
              <w:left w:val="single" w:color="auto" w:sz="4" w:space="0"/>
              <w:bottom w:val="single" w:color="auto" w:sz="4" w:space="0"/>
              <w:right w:val="single" w:color="auto" w:sz="4" w:space="0"/>
            </w:tcBorders>
            <w:vAlign w:val="center"/>
          </w:tcPr>
          <w:p w14:paraId="16C17A9E">
            <w:pPr>
              <w:pStyle w:val="47"/>
              <w:spacing w:line="240" w:lineRule="auto"/>
              <w:ind w:firstLine="0"/>
              <w:jc w:val="center"/>
              <w:rPr>
                <w:rFonts w:ascii="仿宋_GB2312" w:hAnsi="仿宋_GB2312" w:eastAsia="仿宋_GB2312" w:cs="仿宋_GB2312"/>
                <w:szCs w:val="24"/>
              </w:rPr>
            </w:pPr>
            <w:r>
              <w:rPr>
                <w:rFonts w:hint="eastAsia" w:ascii="仿宋_GB2312" w:hAnsi="仿宋_GB2312" w:eastAsia="仿宋_GB2312" w:cs="仿宋_GB2312"/>
                <w:szCs w:val="24"/>
              </w:rPr>
              <w:t>教学软件</w:t>
            </w:r>
          </w:p>
        </w:tc>
        <w:tc>
          <w:tcPr>
            <w:tcW w:w="6929" w:type="dxa"/>
            <w:tcBorders>
              <w:top w:val="single" w:color="auto" w:sz="4" w:space="0"/>
              <w:left w:val="single" w:color="auto" w:sz="4" w:space="0"/>
              <w:bottom w:val="single" w:color="auto" w:sz="4" w:space="0"/>
              <w:right w:val="single" w:color="auto" w:sz="4" w:space="0"/>
            </w:tcBorders>
          </w:tcPr>
          <w:p w14:paraId="1789C71C">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一、教学管理模块</w:t>
            </w:r>
          </w:p>
          <w:p w14:paraId="1BA82A22">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1.登录方式多样性：支持账号/密码和手机微信扫码两种登录方式。</w:t>
            </w:r>
          </w:p>
          <w:p w14:paraId="1D650D3B">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2.设备管理：可实现实时监控学生机画面、以及进行统一的教学管理，文件共享和回收。</w:t>
            </w:r>
          </w:p>
          <w:p w14:paraId="48B950B9">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3.人员管理：采购人超级管理员可以添加教师和管理员的角色，添加之后管理员能够绑定设备和进行正常的授课工作，教师只能在终端应用软件进行授课操作。</w:t>
            </w:r>
          </w:p>
          <w:p w14:paraId="085A9D35">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4.教师云空间：支持老师自定义上传、存储文件内容。</w:t>
            </w:r>
          </w:p>
          <w:p w14:paraId="174D9F1F">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支持上传的格式有：</w:t>
            </w:r>
          </w:p>
          <w:p w14:paraId="17DE29D4">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文档：ppt、pptx、word、pdf;</w:t>
            </w:r>
          </w:p>
          <w:p w14:paraId="40F75B05">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图片：bmp、png、jpg、jpeg、gif;</w:t>
            </w:r>
          </w:p>
          <w:p w14:paraId="6C6BA0B6">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音视频：mp3、wav、ogg、aac、mp4</w:t>
            </w:r>
          </w:p>
          <w:p w14:paraId="78015469">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5.教师广播：不需要借助任何外接设备，支持将教师机的画面以及声音广播给全班学生。</w:t>
            </w:r>
          </w:p>
          <w:p w14:paraId="6610285E">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6.学生演示：支持老师将指定学生的屏幕画面广播给其他所有学生，同时老师也能看到该指定学生的屏幕图像。</w:t>
            </w:r>
          </w:p>
          <w:p w14:paraId="14E99177">
            <w:pPr>
              <w:autoSpaceDE w:val="0"/>
              <w:autoSpaceDN w:val="0"/>
              <w:adjustRightInd w:val="0"/>
              <w:spacing w:line="400" w:lineRule="exact"/>
              <w:jc w:val="left"/>
              <w:rPr>
                <w:rFonts w:ascii="仿宋_GB2312" w:hAnsi="仿宋_GB2312" w:eastAsia="仿宋_GB2312" w:cs="仿宋_GB2312"/>
                <w:b/>
                <w:bCs/>
                <w:kern w:val="0"/>
                <w:sz w:val="24"/>
              </w:rPr>
            </w:pPr>
            <w:bookmarkStart w:id="43" w:name="_Hlk203146109"/>
            <w:r>
              <w:rPr>
                <w:rFonts w:hint="eastAsia" w:ascii="仿宋_GB2312" w:hAnsi="仿宋_GB2312" w:eastAsia="仿宋_GB2312" w:cs="仿宋_GB2312"/>
                <w:kern w:val="0"/>
                <w:sz w:val="24"/>
              </w:rPr>
              <w:t>★7.下发课堂活动：</w:t>
            </w:r>
            <w:r>
              <w:rPr>
                <w:rFonts w:hint="eastAsia" w:ascii="仿宋_GB2312" w:hAnsi="仿宋_GB2312" w:eastAsia="仿宋_GB2312" w:cs="仿宋_GB2312"/>
                <w:kern w:val="0"/>
                <w:sz w:val="24"/>
                <w:u w:val="single"/>
              </w:rPr>
              <w:t>在开启授课时支持教师发起≥3种课堂活动</w:t>
            </w:r>
            <w:r>
              <w:rPr>
                <w:rFonts w:hint="eastAsia" w:ascii="仿宋_GB2312" w:hAnsi="仿宋_GB2312" w:eastAsia="仿宋_GB2312" w:cs="仿宋_GB2312"/>
                <w:kern w:val="0"/>
                <w:sz w:val="24"/>
              </w:rPr>
              <w:t>，支持学生拖动答案进行作答，系统将自动判断是否正确。</w:t>
            </w:r>
            <w:bookmarkEnd w:id="43"/>
          </w:p>
          <w:p w14:paraId="0B012E59">
            <w:pPr>
              <w:autoSpaceDE w:val="0"/>
              <w:autoSpaceDN w:val="0"/>
              <w:adjustRightInd w:val="0"/>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★8.课堂活动作答：支持学生在完成教师下发的课堂活动时，查看自己的排名、耗时以及答题情况，</w:t>
            </w:r>
            <w:r>
              <w:rPr>
                <w:rFonts w:hint="eastAsia" w:ascii="仿宋_GB2312" w:hAnsi="仿宋_GB2312" w:eastAsia="仿宋_GB2312" w:cs="仿宋_GB2312"/>
                <w:kern w:val="0"/>
                <w:sz w:val="24"/>
                <w:u w:val="single"/>
              </w:rPr>
              <w:t>课堂活动需提供≥</w:t>
            </w:r>
            <w:r>
              <w:rPr>
                <w:rFonts w:ascii="仿宋_GB2312" w:hAnsi="仿宋_GB2312" w:eastAsia="仿宋_GB2312" w:cs="仿宋_GB2312"/>
                <w:kern w:val="0"/>
                <w:sz w:val="24"/>
                <w:u w:val="single"/>
              </w:rPr>
              <w:t>5种游戏模板</w:t>
            </w:r>
            <w:r>
              <w:rPr>
                <w:rFonts w:hint="eastAsia" w:ascii="仿宋_GB2312" w:hAnsi="仿宋_GB2312" w:eastAsia="仿宋_GB2312" w:cs="仿宋_GB2312"/>
                <w:kern w:val="0"/>
                <w:sz w:val="24"/>
              </w:rPr>
              <w:t>，能根据学生答题成绩进行统计分析展示；</w:t>
            </w:r>
          </w:p>
          <w:p w14:paraId="475BC07B">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9.学生未进入课堂通知：支持在管理后台录入学生名单后，教师选择授课班级，学生在开课后输入个人姓名即可完成班级点名签到，</w:t>
            </w:r>
            <w:r>
              <w:rPr>
                <w:rFonts w:hint="eastAsia" w:ascii="仿宋_GB2312" w:hAnsi="仿宋_GB2312" w:eastAsia="仿宋_GB2312" w:cs="仿宋_GB2312"/>
                <w:kern w:val="0"/>
                <w:sz w:val="24"/>
                <w:u w:val="none"/>
              </w:rPr>
              <w:t>当未签到人数低于</w:t>
            </w:r>
            <w:r>
              <w:rPr>
                <w:rFonts w:hint="eastAsia" w:ascii="仿宋_GB2312" w:hAnsi="仿宋_GB2312" w:eastAsia="仿宋_GB2312" w:cs="仿宋_GB2312"/>
                <w:kern w:val="0"/>
                <w:sz w:val="24"/>
              </w:rPr>
              <w:t>设置人数</w:t>
            </w:r>
            <w:r>
              <w:rPr>
                <w:rFonts w:ascii="仿宋_GB2312" w:hAnsi="仿宋_GB2312" w:eastAsia="仿宋_GB2312" w:cs="仿宋_GB2312"/>
                <w:kern w:val="0"/>
                <w:sz w:val="24"/>
                <w:u w:val="none"/>
              </w:rPr>
              <w:t>时会自动显示未进入课堂的学生名单</w:t>
            </w:r>
            <w:r>
              <w:rPr>
                <w:rFonts w:hint="eastAsia" w:ascii="仿宋_GB2312" w:hAnsi="仿宋_GB2312" w:eastAsia="仿宋_GB2312" w:cs="仿宋_GB2312"/>
                <w:kern w:val="0"/>
                <w:sz w:val="24"/>
              </w:rPr>
              <w:t>。</w:t>
            </w:r>
          </w:p>
          <w:p w14:paraId="25F418B6">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10.切换课堂通知：当课堂通知大于或等于2条时，支持用户手动切换查看。</w:t>
            </w:r>
          </w:p>
          <w:p w14:paraId="2064B26B">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11.教学白板课件同步：支持同步教学白板软件的课件内容，支持按照大小、更新时间进行排序，支持按照文件类型进行筛选。</w:t>
            </w:r>
          </w:p>
          <w:p w14:paraId="521D8478">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12.文件上传：支持上传“本地文件”到终端应用软件的教师云空间。</w:t>
            </w:r>
          </w:p>
          <w:p w14:paraId="516FC204">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13.文件共享：支持教师把云空间的文件批量共享给指定的多个授课班级，资料被删除后文件仍可重新下载。支持教师把已共享的资料进行取消共享。</w:t>
            </w:r>
          </w:p>
          <w:p w14:paraId="4772E5CD">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14.授课班级状态：当作业空间存在多个班级的时候，支持显示当前正在授课班级。</w:t>
            </w:r>
          </w:p>
          <w:p w14:paraId="1DE6B4DA">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15.文件查看：当开启需输入姓名进入课堂功能时，系统支持按照班级学生的姓名归档查看学生提交的作业文件。</w:t>
            </w:r>
          </w:p>
          <w:p w14:paraId="36B4DEB2">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16.文件传输：显示上传和下载的文件历史记录。</w:t>
            </w:r>
          </w:p>
          <w:p w14:paraId="53D021CA">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17.导入文件共享：支持教师直接把“我的文件”内容导入共享给班级学生。</w:t>
            </w:r>
          </w:p>
          <w:p w14:paraId="72AD1507">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18.黑屏管控：教师可以选定学生执行黑屏操作。</w:t>
            </w:r>
          </w:p>
          <w:p w14:paraId="750C94CB">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19.离线自动黑屏：支持教师统一配置授课是否开启离线黑屏。</w:t>
            </w:r>
          </w:p>
          <w:p w14:paraId="7EB51545">
            <w:pPr>
              <w:autoSpaceDE w:val="0"/>
              <w:autoSpaceDN w:val="0"/>
              <w:adjustRightInd w:val="0"/>
              <w:spacing w:line="400" w:lineRule="exact"/>
              <w:jc w:val="left"/>
              <w:rPr>
                <w:rFonts w:ascii="仿宋_GB2312" w:hAnsi="仿宋_GB2312" w:eastAsia="仿宋_GB2312" w:cs="仿宋_GB2312"/>
                <w:b/>
                <w:bCs/>
                <w:kern w:val="0"/>
                <w:sz w:val="24"/>
              </w:rPr>
            </w:pPr>
            <w:r>
              <w:rPr>
                <w:rFonts w:hint="eastAsia" w:ascii="仿宋_GB2312" w:hAnsi="仿宋_GB2312" w:eastAsia="仿宋_GB2312" w:cs="仿宋_GB2312"/>
                <w:kern w:val="0"/>
                <w:sz w:val="24"/>
              </w:rPr>
              <w:t>20.设备环境检测：开始授课后，若学生设备离线，支持自动在教师端显示离线的设备总量以及对应离线的设备IP。</w:t>
            </w:r>
          </w:p>
          <w:p w14:paraId="03FDFD11">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21.学生画面监看：教师机可以监视全体、单一学生机的实时画面。</w:t>
            </w:r>
          </w:p>
          <w:p w14:paraId="41E23889">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22.学生名单管理：支持在管理后台导入、增加、删除、更改、查询班级学生名单，并同步到终端应用教学软件中。</w:t>
            </w:r>
          </w:p>
          <w:p w14:paraId="1E9FC4ED">
            <w:pPr>
              <w:autoSpaceDE w:val="0"/>
              <w:autoSpaceDN w:val="0"/>
              <w:adjustRightInd w:val="0"/>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23.教师名单管理：支持在管理后台导入、增加、删除、更改、查询教师名单。</w:t>
            </w:r>
          </w:p>
          <w:p w14:paraId="4F9B09AE">
            <w:pPr>
              <w:pStyle w:val="19"/>
              <w:rPr>
                <w:rFonts w:ascii="仿宋_GB2312" w:hAnsi="仿宋_GB2312" w:eastAsia="仿宋_GB2312" w:cs="仿宋_GB2312"/>
              </w:rPr>
            </w:pPr>
            <w:bookmarkStart w:id="44" w:name="OLE_LINK23"/>
            <w:bookmarkStart w:id="45" w:name="OLE_LINK22"/>
            <w:r>
              <w:rPr>
                <w:rFonts w:hint="eastAsia" w:ascii="仿宋_GB2312" w:hAnsi="仿宋_GB2312" w:eastAsia="仿宋_GB2312" w:cs="仿宋_GB2312"/>
              </w:rPr>
              <w:t>◆</w:t>
            </w:r>
            <w:bookmarkEnd w:id="44"/>
            <w:bookmarkEnd w:id="45"/>
            <w:r>
              <w:rPr>
                <w:rFonts w:ascii="仿宋_GB2312" w:hAnsi="仿宋_GB2312" w:eastAsia="仿宋_GB2312" w:cs="仿宋_GB2312"/>
              </w:rPr>
              <w:t>24</w:t>
            </w:r>
            <w:r>
              <w:rPr>
                <w:rFonts w:hint="eastAsia" w:ascii="仿宋_GB2312" w:hAnsi="仿宋_GB2312" w:eastAsia="仿宋_GB2312" w:cs="仿宋_GB2312"/>
              </w:rPr>
              <w:t>.文本工具：可插入文本框输入文本并支持文本样式设置：字体、字号、颜色、加粗、倾斜、下划线、上下角标、项目符号。支持段落样式设置：顶部对齐、垂直居中对齐、底端对齐缩进、行高、文本缩进等进行设置。文本、段落的样式支持格式刷快速复制，提升备课效率。</w:t>
            </w:r>
            <w:r>
              <w:rPr>
                <w:rFonts w:hint="eastAsia" w:ascii="仿宋_GB2312" w:hAnsi="仿宋_GB2312" w:eastAsia="仿宋_GB2312" w:cs="仿宋_GB2312"/>
                <w:u w:val="single"/>
              </w:rPr>
              <w:t>预置≥1</w:t>
            </w:r>
            <w:r>
              <w:rPr>
                <w:rFonts w:ascii="仿宋_GB2312" w:hAnsi="仿宋_GB2312" w:eastAsia="仿宋_GB2312" w:cs="仿宋_GB2312"/>
                <w:u w:val="single"/>
              </w:rPr>
              <w:t>2</w:t>
            </w:r>
            <w:r>
              <w:rPr>
                <w:rFonts w:hint="eastAsia" w:ascii="仿宋_GB2312" w:hAnsi="仿宋_GB2312" w:eastAsia="仿宋_GB2312" w:cs="仿宋_GB2312"/>
                <w:u w:val="single"/>
              </w:rPr>
              <w:t>种艺术字效果，便于教师调用美化课件</w:t>
            </w:r>
            <w:r>
              <w:rPr>
                <w:rFonts w:hint="eastAsia" w:ascii="仿宋_GB2312" w:hAnsi="仿宋_GB2312" w:eastAsia="仿宋_GB2312" w:cs="仿宋_GB2312"/>
              </w:rPr>
              <w:t>；</w:t>
            </w:r>
          </w:p>
          <w:p w14:paraId="0DABA76A">
            <w:pPr>
              <w:pStyle w:val="19"/>
              <w:rPr>
                <w:rFonts w:ascii="仿宋_GB2312" w:hAnsi="仿宋_GB2312" w:eastAsia="仿宋_GB2312" w:cs="仿宋_GB2312"/>
              </w:rPr>
            </w:pPr>
            <w:r>
              <w:rPr>
                <w:rFonts w:hint="eastAsia" w:ascii="仿宋_GB2312" w:hAnsi="仿宋_GB2312" w:eastAsia="仿宋_GB2312" w:cs="仿宋_GB2312"/>
              </w:rPr>
              <w:t>◆</w:t>
            </w:r>
            <w:r>
              <w:rPr>
                <w:rFonts w:ascii="仿宋_GB2312" w:hAnsi="仿宋_GB2312" w:eastAsia="仿宋_GB2312" w:cs="仿宋_GB2312"/>
              </w:rPr>
              <w:t>25</w:t>
            </w:r>
            <w:r>
              <w:rPr>
                <w:rFonts w:hint="eastAsia" w:ascii="仿宋_GB2312" w:hAnsi="仿宋_GB2312" w:eastAsia="仿宋_GB2312" w:cs="仿宋_GB2312"/>
              </w:rPr>
              <w:t>.教师广播批注：教师在屏幕广播状态下，提供授课小工具，包括提供可自由调整笔迹颜色及笔触粗细的画笔、黑板、橡皮擦、以及支持撤销和加页码，</w:t>
            </w:r>
            <w:r>
              <w:rPr>
                <w:rFonts w:hint="eastAsia" w:ascii="仿宋_GB2312" w:hAnsi="仿宋_GB2312" w:eastAsia="仿宋_GB2312" w:cs="仿宋_GB2312"/>
                <w:u w:val="single"/>
              </w:rPr>
              <w:t>最多支持增加页数≥</w:t>
            </w:r>
            <w:r>
              <w:rPr>
                <w:rFonts w:ascii="仿宋_GB2312" w:hAnsi="仿宋_GB2312" w:eastAsia="仿宋_GB2312" w:cs="仿宋_GB2312"/>
                <w:u w:val="single"/>
              </w:rPr>
              <w:t>6</w:t>
            </w:r>
            <w:r>
              <w:rPr>
                <w:rFonts w:hint="eastAsia" w:ascii="仿宋_GB2312" w:hAnsi="仿宋_GB2312" w:eastAsia="仿宋_GB2312" w:cs="仿宋_GB2312"/>
                <w:u w:val="single"/>
              </w:rPr>
              <w:t>页</w:t>
            </w:r>
            <w:r>
              <w:rPr>
                <w:rFonts w:hint="eastAsia" w:ascii="仿宋_GB2312" w:hAnsi="仿宋_GB2312" w:eastAsia="仿宋_GB2312" w:cs="仿宋_GB2312"/>
              </w:rPr>
              <w:t>；</w:t>
            </w:r>
          </w:p>
          <w:p w14:paraId="0B7C9847">
            <w:pPr>
              <w:pStyle w:val="19"/>
              <w:autoSpaceDE w:val="0"/>
              <w:autoSpaceDN w:val="0"/>
              <w:adjustRightInd w:val="0"/>
              <w:spacing w:line="400" w:lineRule="exact"/>
              <w:jc w:val="left"/>
              <w:rPr>
                <w:rFonts w:hint="eastAsia" w:ascii="仿宋_GB2312" w:hAnsi="仿宋_GB2312" w:eastAsia="仿宋_GB2312" w:cs="仿宋_GB2312"/>
                <w:kern w:val="0"/>
                <w:sz w:val="24"/>
              </w:rPr>
            </w:pPr>
            <w:r>
              <w:rPr>
                <w:rFonts w:hint="eastAsia" w:ascii="仿宋_GB2312" w:hAnsi="仿宋_GB2312" w:eastAsia="仿宋_GB2312" w:cs="仿宋_GB2312"/>
              </w:rPr>
              <w:t>◆</w:t>
            </w:r>
            <w:r>
              <w:rPr>
                <w:rFonts w:ascii="仿宋_GB2312" w:hAnsi="仿宋_GB2312" w:eastAsia="仿宋_GB2312" w:cs="仿宋_GB2312"/>
              </w:rPr>
              <w:t>26</w:t>
            </w:r>
            <w:r>
              <w:rPr>
                <w:rFonts w:hint="eastAsia" w:ascii="仿宋_GB2312" w:hAnsi="仿宋_GB2312" w:eastAsia="仿宋_GB2312" w:cs="仿宋_GB2312"/>
              </w:rPr>
              <w:t>.授课动画设定：</w:t>
            </w:r>
            <w:r>
              <w:rPr>
                <w:rFonts w:hint="eastAsia" w:ascii="仿宋_GB2312" w:hAnsi="仿宋_GB2312" w:eastAsia="仿宋_GB2312" w:cs="仿宋_GB2312"/>
                <w:u w:val="single"/>
              </w:rPr>
              <w:t>提供≥</w:t>
            </w:r>
            <w:r>
              <w:rPr>
                <w:rFonts w:ascii="仿宋_GB2312" w:hAnsi="仿宋_GB2312" w:eastAsia="仿宋_GB2312" w:cs="仿宋_GB2312"/>
                <w:u w:val="single"/>
              </w:rPr>
              <w:t>16</w:t>
            </w:r>
            <w:r>
              <w:rPr>
                <w:rFonts w:hint="eastAsia" w:ascii="仿宋_GB2312" w:hAnsi="仿宋_GB2312" w:eastAsia="仿宋_GB2312" w:cs="仿宋_GB2312"/>
                <w:u w:val="single"/>
              </w:rPr>
              <w:t>种应用于文本、形状、图片等课件元素的触发动画</w:t>
            </w:r>
            <w:r>
              <w:rPr>
                <w:rFonts w:hint="eastAsia" w:ascii="仿宋_GB2312" w:hAnsi="仿宋_GB2312" w:eastAsia="仿宋_GB2312" w:cs="仿宋_GB2312"/>
              </w:rPr>
              <w:t>；</w:t>
            </w:r>
          </w:p>
          <w:p w14:paraId="725273D0">
            <w:pPr>
              <w:pStyle w:val="19"/>
              <w:autoSpaceDE w:val="0"/>
              <w:autoSpaceDN w:val="0"/>
              <w:adjustRightInd w:val="0"/>
              <w:spacing w:line="400" w:lineRule="exact"/>
              <w:jc w:val="left"/>
              <w:rPr>
                <w:rFonts w:ascii="仿宋_GB2312" w:hAnsi="仿宋_GB2312" w:eastAsia="仿宋_GB2312" w:cs="仿宋_GB2312"/>
                <w:kern w:val="0"/>
              </w:rPr>
            </w:pPr>
            <w:r>
              <w:t>27</w:t>
            </w:r>
            <w:r>
              <w:rPr>
                <w:rFonts w:hint="eastAsia"/>
              </w:rPr>
              <w:t>.</w:t>
            </w:r>
            <w:r>
              <w:rPr>
                <w:rFonts w:hint="eastAsia" w:ascii="仿宋_GB2312" w:hAnsi="仿宋_GB2312" w:eastAsia="仿宋_GB2312" w:cs="仿宋_GB2312"/>
              </w:rPr>
              <w:t>本次支持配置</w:t>
            </w:r>
            <w:r>
              <w:rPr>
                <w:rFonts w:ascii="仿宋_GB2312" w:hAnsi="仿宋_GB2312" w:eastAsia="仿宋_GB2312" w:cs="仿宋_GB2312"/>
              </w:rPr>
              <w:t>5</w:t>
            </w:r>
            <w:r>
              <w:rPr>
                <w:rFonts w:hint="eastAsia" w:ascii="仿宋_GB2312" w:hAnsi="仿宋_GB2312" w:eastAsia="仿宋_GB2312" w:cs="仿宋_GB2312"/>
              </w:rPr>
              <w:t>0台学生终端。</w:t>
            </w:r>
          </w:p>
          <w:p w14:paraId="6031E9D9">
            <w:pPr>
              <w:pStyle w:val="19"/>
              <w:rPr>
                <w:rFonts w:ascii="仿宋_GB2312" w:hAnsi="仿宋_GB2312" w:eastAsia="仿宋_GB2312" w:cs="仿宋_GB2312"/>
              </w:rPr>
            </w:pPr>
            <w:r>
              <w:rPr>
                <w:rFonts w:hint="eastAsia" w:ascii="仿宋_GB2312" w:hAnsi="仿宋_GB2312" w:eastAsia="仿宋_GB2312" w:cs="仿宋_GB2312"/>
              </w:rPr>
              <w:t>二、AI助教模块</w:t>
            </w:r>
          </w:p>
          <w:p w14:paraId="75E50A43">
            <w:pPr>
              <w:pStyle w:val="19"/>
              <w:rPr>
                <w:rFonts w:ascii="仿宋_GB2312" w:hAnsi="仿宋_GB2312" w:eastAsia="仿宋_GB2312" w:cs="仿宋_GB2312"/>
              </w:rPr>
            </w:pPr>
            <w:r>
              <w:rPr>
                <w:rFonts w:hint="eastAsia" w:ascii="仿宋_GB2312" w:hAnsi="仿宋_GB2312" w:eastAsia="仿宋_GB2312" w:cs="仿宋_GB2312"/>
              </w:rPr>
              <w:t>1.登录方式：支持账号/密码和手机微信扫码两种登录方式。用户首次登录时绑定微信ID与账号的对应关系，绑定后即可通过微信扫码登录，无需再次输入账号/密码；</w:t>
            </w:r>
          </w:p>
          <w:p w14:paraId="6EC7A3C6">
            <w:pPr>
              <w:pStyle w:val="19"/>
              <w:rPr>
                <w:rFonts w:ascii="仿宋_GB2312" w:hAnsi="仿宋_GB2312" w:eastAsia="仿宋_GB2312" w:cs="仿宋_GB2312"/>
              </w:rPr>
            </w:pPr>
            <w:bookmarkStart w:id="46" w:name="OLE_LINK25"/>
            <w:bookmarkStart w:id="47" w:name="OLE_LINK26"/>
            <w:r>
              <w:rPr>
                <w:rFonts w:hint="eastAsia" w:ascii="仿宋_GB2312" w:hAnsi="仿宋_GB2312" w:eastAsia="仿宋_GB2312" w:cs="仿宋_GB2312"/>
                <w:kern w:val="0"/>
              </w:rPr>
              <w:t>★</w:t>
            </w:r>
            <w:r>
              <w:rPr>
                <w:rFonts w:hint="eastAsia" w:ascii="仿宋_GB2312" w:hAnsi="仿宋_GB2312" w:eastAsia="仿宋_GB2312" w:cs="仿宋_GB2312"/>
              </w:rPr>
              <w:t>2.文件条件：支持电脑使用终端应用软件发送文件至班班通设备的接收端，支持一次发送多个文件；</w:t>
            </w:r>
            <w:r>
              <w:rPr>
                <w:rFonts w:hint="eastAsia" w:ascii="仿宋_GB2312" w:hAnsi="仿宋_GB2312" w:eastAsia="仿宋_GB2312" w:cs="仿宋_GB2312"/>
                <w:u w:val="single"/>
              </w:rPr>
              <w:t>支持发送图片、视频等≥2种类型的文件</w:t>
            </w:r>
            <w:r>
              <w:rPr>
                <w:rFonts w:hint="eastAsia" w:ascii="仿宋_GB2312" w:hAnsi="仿宋_GB2312" w:eastAsia="仿宋_GB2312" w:cs="仿宋_GB2312"/>
              </w:rPr>
              <w:t>；</w:t>
            </w:r>
          </w:p>
          <w:bookmarkEnd w:id="46"/>
          <w:bookmarkEnd w:id="47"/>
          <w:p w14:paraId="4789FF9E">
            <w:pPr>
              <w:pStyle w:val="19"/>
              <w:rPr>
                <w:rFonts w:ascii="仿宋_GB2312" w:hAnsi="仿宋_GB2312" w:eastAsia="仿宋_GB2312" w:cs="仿宋_GB2312"/>
              </w:rPr>
            </w:pPr>
            <w:r>
              <w:rPr>
                <w:rFonts w:hint="eastAsia" w:ascii="仿宋_GB2312" w:hAnsi="仿宋_GB2312" w:eastAsia="仿宋_GB2312" w:cs="仿宋_GB2312"/>
              </w:rPr>
              <w:t>3.文件发送：支持从不同的文件夹拖动或选择文件至发送区；支持查看待发送的文件列表，文件选择错误时支持移除；</w:t>
            </w:r>
          </w:p>
          <w:p w14:paraId="14203E52">
            <w:pPr>
              <w:pStyle w:val="19"/>
              <w:rPr>
                <w:rFonts w:ascii="仿宋_GB2312" w:hAnsi="仿宋_GB2312" w:eastAsia="仿宋_GB2312" w:cs="仿宋_GB2312"/>
              </w:rPr>
            </w:pPr>
            <w:r>
              <w:rPr>
                <w:rFonts w:hint="eastAsia" w:ascii="仿宋_GB2312" w:hAnsi="仿宋_GB2312" w:eastAsia="仿宋_GB2312" w:cs="仿宋_GB2312"/>
              </w:rPr>
              <w:t>4.编辑：支持用户在任意路径节点创建文件夹，并且可以自定义文件夹名称；支持用户对上传的文件和文件夹进行重命名；支持用户对文件和文件夹进行移动和批量移动；支持用户对文件和文件夹删除；</w:t>
            </w:r>
          </w:p>
          <w:p w14:paraId="3403952C">
            <w:pPr>
              <w:pStyle w:val="19"/>
              <w:rPr>
                <w:rFonts w:ascii="仿宋_GB2312" w:hAnsi="仿宋_GB2312" w:eastAsia="仿宋_GB2312" w:cs="仿宋_GB2312"/>
              </w:rPr>
            </w:pPr>
            <w:r>
              <w:rPr>
                <w:rFonts w:hint="eastAsia" w:ascii="仿宋_GB2312" w:hAnsi="仿宋_GB2312" w:eastAsia="仿宋_GB2312" w:cs="仿宋_GB2312"/>
              </w:rPr>
              <w:t>5.上传下载：支持用户上传任意格式的文件至资料夹中，上传过程支持查看进度和取消上传；支持用户拖动文件到助手栏的资料夹应用，快速完成上传；支持用户对文件进行下载，下载地址用户可自己设置，下载过程中会按照队列依次下载；支持下载过程中查看进度与完成情况；支持取消正在下载的文件；</w:t>
            </w:r>
          </w:p>
          <w:p w14:paraId="087E9A78">
            <w:pPr>
              <w:pStyle w:val="19"/>
              <w:rPr>
                <w:rFonts w:ascii="仿宋_GB2312" w:hAnsi="仿宋_GB2312" w:eastAsia="仿宋_GB2312" w:cs="仿宋_GB2312"/>
              </w:rPr>
            </w:pPr>
            <w:r>
              <w:rPr>
                <w:rFonts w:hint="eastAsia" w:ascii="仿宋_GB2312" w:hAnsi="仿宋_GB2312" w:eastAsia="仿宋_GB2312" w:cs="仿宋_GB2312"/>
              </w:rPr>
              <w:t>6.预览：支持在线预览图片、音视频、文档；支持预览的格式，图片：BMP、GIF、JPE、JPEG、JPG、PNG；音频：WAV、MP3、OGG；视频：3GP、F4V、M4V、MKV、MP4、OGV、MOV；文档：DOC、DOCX、PDF、PPT、XLS、XLSX；</w:t>
            </w:r>
          </w:p>
          <w:p w14:paraId="7BF8AD21">
            <w:pPr>
              <w:pStyle w:val="19"/>
              <w:rPr>
                <w:rFonts w:ascii="仿宋_GB2312" w:hAnsi="仿宋_GB2312" w:eastAsia="仿宋_GB2312" w:cs="仿宋_GB2312"/>
              </w:rPr>
            </w:pPr>
            <w:r>
              <w:rPr>
                <w:rFonts w:hint="eastAsia" w:ascii="仿宋_GB2312" w:hAnsi="仿宋_GB2312" w:eastAsia="仿宋_GB2312" w:cs="仿宋_GB2312"/>
              </w:rPr>
              <w:t>7.发送到班级：支持用户在资料夹中把多个文件发送至班班通设备中，发送的文件不限格式，接收端自动下载该文件。</w:t>
            </w:r>
          </w:p>
          <w:p w14:paraId="0E16CC65">
            <w:pPr>
              <w:pStyle w:val="19"/>
              <w:rPr>
                <w:rFonts w:ascii="仿宋_GB2312" w:hAnsi="仿宋_GB2312" w:eastAsia="仿宋_GB2312" w:cs="仿宋_GB2312"/>
              </w:rPr>
            </w:pPr>
            <w:r>
              <w:rPr>
                <w:rFonts w:hint="eastAsia" w:ascii="仿宋_GB2312" w:hAnsi="仿宋_GB2312" w:eastAsia="仿宋_GB2312" w:cs="仿宋_GB2312"/>
              </w:rPr>
              <w:t>◆8.快捷打开：支持助手栏呈现用户添加的应用、网站和组件，点击后即可通过终端应用软件快速打开；</w:t>
            </w:r>
            <w:r>
              <w:rPr>
                <w:rFonts w:hint="eastAsia" w:ascii="仿宋_GB2312" w:hAnsi="仿宋_GB2312" w:eastAsia="仿宋_GB2312" w:cs="仿宋_GB2312"/>
                <w:u w:val="single"/>
              </w:rPr>
              <w:t>支持在应用内打开备课、课件库等≥2款软件</w:t>
            </w:r>
            <w:r>
              <w:rPr>
                <w:rFonts w:hint="eastAsia" w:ascii="仿宋_GB2312" w:hAnsi="仿宋_GB2312" w:eastAsia="仿宋_GB2312" w:cs="仿宋_GB2312"/>
              </w:rPr>
              <w:t>；支持在终端应用软件内切换、关闭标签；支持对窗口进行最小化、最大化、关闭；</w:t>
            </w:r>
          </w:p>
          <w:p w14:paraId="1BABE67B">
            <w:pPr>
              <w:pStyle w:val="19"/>
              <w:rPr>
                <w:rFonts w:ascii="仿宋_GB2312" w:hAnsi="仿宋_GB2312" w:eastAsia="仿宋_GB2312" w:cs="仿宋_GB2312"/>
              </w:rPr>
            </w:pPr>
            <w:r>
              <w:rPr>
                <w:rFonts w:hint="eastAsia" w:ascii="仿宋_GB2312" w:hAnsi="仿宋_GB2312" w:eastAsia="仿宋_GB2312" w:cs="仿宋_GB2312"/>
              </w:rPr>
              <w:t>9.内容总结：支持对格式为txt、html、doc、docx等≥5种文件类型进行大模型识别并进行内容总结，总结后的内容可复制，并可根据总结内容自动生成思维导图，思维导图可以编辑。</w:t>
            </w:r>
          </w:p>
          <w:p w14:paraId="2CB5C178">
            <w:pPr>
              <w:pStyle w:val="19"/>
              <w:rPr>
                <w:rFonts w:ascii="仿宋_GB2312" w:hAnsi="仿宋_GB2312" w:eastAsia="仿宋_GB2312" w:cs="仿宋_GB2312"/>
              </w:rPr>
            </w:pPr>
            <w:r>
              <w:rPr>
                <w:rFonts w:hint="eastAsia" w:ascii="仿宋_GB2312" w:hAnsi="仿宋_GB2312" w:eastAsia="仿宋_GB2312" w:cs="仿宋_GB2312"/>
              </w:rPr>
              <w:t>10.划词总结、缩写、扩写：支持对网页，文件等中的内容进行鼠标划词选中，可选择≥2种功能，可对选中内容进行大模型理解，可进行总结、缩写或扩写，支持生成内容进行复制。</w:t>
            </w:r>
          </w:p>
          <w:p w14:paraId="53CBE8B1">
            <w:pPr>
              <w:pStyle w:val="19"/>
              <w:rPr>
                <w:rFonts w:ascii="仿宋_GB2312" w:hAnsi="仿宋_GB2312" w:eastAsia="仿宋_GB2312" w:cs="仿宋_GB2312"/>
              </w:rPr>
            </w:pPr>
            <w:r>
              <w:rPr>
                <w:rFonts w:hint="eastAsia" w:ascii="仿宋_GB2312" w:hAnsi="仿宋_GB2312" w:eastAsia="仿宋_GB2312" w:cs="仿宋_GB2312"/>
              </w:rPr>
              <w:t>◆11.AI意图识别：支持用户输入文字，对输入文字的意图进行大模型的语义分析，理解和判断，识别其可能期望进行的动作，并推荐对应功能，</w:t>
            </w:r>
            <w:r>
              <w:rPr>
                <w:rFonts w:hint="eastAsia" w:ascii="仿宋_GB2312" w:hAnsi="仿宋_GB2312" w:eastAsia="仿宋_GB2312" w:cs="仿宋_GB2312"/>
                <w:u w:val="single"/>
              </w:rPr>
              <w:t>对会议、待办、AI传屏等≥3种内容</w:t>
            </w:r>
            <w:r>
              <w:rPr>
                <w:rFonts w:hint="eastAsia" w:ascii="仿宋_GB2312" w:hAnsi="仿宋_GB2312" w:eastAsia="仿宋_GB2312" w:cs="仿宋_GB2312"/>
              </w:rPr>
              <w:t>，可以自动识别主题并填入，可以快速拉起对应应用中对应模块，提升效率。</w:t>
            </w:r>
          </w:p>
          <w:p w14:paraId="50AAAECF">
            <w:pPr>
              <w:pStyle w:val="19"/>
              <w:rPr>
                <w:rFonts w:ascii="仿宋_GB2312" w:hAnsi="仿宋_GB2312" w:eastAsia="仿宋_GB2312" w:cs="仿宋_GB2312"/>
              </w:rPr>
            </w:pPr>
            <w:r>
              <w:rPr>
                <w:rFonts w:hint="eastAsia" w:ascii="仿宋_GB2312" w:hAnsi="仿宋_GB2312" w:eastAsia="仿宋_GB2312" w:cs="仿宋_GB2312"/>
                <w:kern w:val="0"/>
              </w:rPr>
              <w:t>1</w:t>
            </w:r>
            <w:r>
              <w:rPr>
                <w:rFonts w:ascii="仿宋_GB2312" w:hAnsi="仿宋_GB2312" w:eastAsia="仿宋_GB2312" w:cs="仿宋_GB2312"/>
                <w:kern w:val="0"/>
              </w:rPr>
              <w:t>2</w:t>
            </w:r>
            <w:r>
              <w:rPr>
                <w:rFonts w:hint="eastAsia" w:ascii="仿宋_GB2312" w:hAnsi="仿宋_GB2312" w:eastAsia="仿宋_GB2312" w:cs="仿宋_GB2312"/>
                <w:kern w:val="0"/>
              </w:rPr>
              <w:t>.本次支持配置</w:t>
            </w:r>
            <w:r>
              <w:rPr>
                <w:rFonts w:ascii="仿宋_GB2312" w:hAnsi="仿宋_GB2312" w:eastAsia="仿宋_GB2312" w:cs="仿宋_GB2312"/>
                <w:kern w:val="0"/>
              </w:rPr>
              <w:t>5</w:t>
            </w:r>
            <w:r>
              <w:rPr>
                <w:rFonts w:hint="eastAsia" w:ascii="仿宋_GB2312" w:hAnsi="仿宋_GB2312" w:eastAsia="仿宋_GB2312" w:cs="仿宋_GB2312"/>
                <w:kern w:val="0"/>
              </w:rPr>
              <w:t>0台学生终端。</w:t>
            </w:r>
          </w:p>
          <w:p w14:paraId="3F01133E">
            <w:pPr>
              <w:pStyle w:val="19"/>
              <w:rPr>
                <w:rFonts w:ascii="仿宋_GB2312" w:hAnsi="仿宋_GB2312" w:eastAsia="仿宋_GB2312" w:cs="仿宋_GB2312"/>
              </w:rPr>
            </w:pPr>
            <w:r>
              <w:rPr>
                <w:rFonts w:hint="eastAsia" w:ascii="仿宋_GB2312" w:hAnsi="仿宋_GB2312" w:eastAsia="仿宋_GB2312" w:cs="仿宋_GB2312"/>
              </w:rPr>
              <w:t>三、电脑运维模块</w:t>
            </w:r>
          </w:p>
          <w:p w14:paraId="274BF569">
            <w:pPr>
              <w:pStyle w:val="19"/>
              <w:rPr>
                <w:rFonts w:ascii="仿宋_GB2312" w:hAnsi="仿宋_GB2312" w:eastAsia="仿宋_GB2312" w:cs="仿宋_GB2312"/>
              </w:rPr>
            </w:pPr>
            <w:r>
              <w:rPr>
                <w:rFonts w:hint="eastAsia" w:ascii="仿宋_GB2312" w:hAnsi="仿宋_GB2312" w:eastAsia="仿宋_GB2312" w:cs="仿宋_GB2312"/>
              </w:rPr>
              <w:t>（一）管理系统设计</w:t>
            </w:r>
          </w:p>
          <w:p w14:paraId="2812865A">
            <w:pPr>
              <w:pStyle w:val="19"/>
              <w:rPr>
                <w:rFonts w:ascii="仿宋_GB2312" w:hAnsi="仿宋_GB2312" w:eastAsia="仿宋_GB2312" w:cs="仿宋_GB2312"/>
              </w:rPr>
            </w:pPr>
            <w:r>
              <w:rPr>
                <w:rFonts w:hint="eastAsia" w:ascii="仿宋_GB2312" w:hAnsi="仿宋_GB2312" w:eastAsia="仿宋_GB2312" w:cs="仿宋_GB2312"/>
              </w:rPr>
              <w:t>1.在配置管理平台使用终端设备时，支持多种身份识别方式，支持通过账号登录、手机扫码登录、无账号访客登录；</w:t>
            </w:r>
          </w:p>
          <w:p w14:paraId="69B8EFED">
            <w:pPr>
              <w:pStyle w:val="19"/>
              <w:rPr>
                <w:rFonts w:ascii="仿宋_GB2312" w:hAnsi="仿宋_GB2312" w:eastAsia="仿宋_GB2312" w:cs="仿宋_GB2312"/>
              </w:rPr>
            </w:pPr>
            <w:r>
              <w:rPr>
                <w:rFonts w:hint="eastAsia" w:ascii="仿宋_GB2312" w:hAnsi="仿宋_GB2312" w:eastAsia="仿宋_GB2312" w:cs="仿宋_GB2312"/>
              </w:rPr>
              <w:t>2.支持断网使用，即在终端设备网络中断或管理平台连接中断时，正在操作的教学业务不受影响，依然可使用当前云桌面镜像继续开展业务，打开的程序也不会中断，保障业务连续性；</w:t>
            </w:r>
          </w:p>
          <w:p w14:paraId="76D95101">
            <w:pPr>
              <w:pStyle w:val="19"/>
              <w:rPr>
                <w:rFonts w:ascii="仿宋_GB2312" w:hAnsi="仿宋_GB2312" w:eastAsia="仿宋_GB2312" w:cs="仿宋_GB2312"/>
              </w:rPr>
            </w:pPr>
            <w:r>
              <w:rPr>
                <w:rFonts w:hint="eastAsia" w:ascii="仿宋_GB2312" w:hAnsi="仿宋_GB2312" w:eastAsia="仿宋_GB2312" w:cs="仿宋_GB2312"/>
              </w:rPr>
              <w:t xml:space="preserve">3.账号互通：在配置管理平台使用终端设备时，支持统一互通的用户身份认证服务，账号登录进入云桌面镜像后，打开教学白板软件、学生行为评价软件的教学应用工具时无需再次输入账号密码重复登录； </w:t>
            </w:r>
          </w:p>
          <w:p w14:paraId="0A058183">
            <w:pPr>
              <w:pStyle w:val="19"/>
              <w:rPr>
                <w:rFonts w:ascii="仿宋_GB2312" w:hAnsi="仿宋_GB2312" w:eastAsia="仿宋_GB2312" w:cs="仿宋_GB2312"/>
              </w:rPr>
            </w:pPr>
            <w:r>
              <w:rPr>
                <w:rFonts w:hint="eastAsia" w:ascii="仿宋_GB2312" w:hAnsi="仿宋_GB2312" w:eastAsia="仿宋_GB2312" w:cs="仿宋_GB2312"/>
              </w:rPr>
              <w:t>4.支持终端设备运行时无需运行独立的虚拟化系统，终端设备配置的IP与进入云桌面镜像后的IP能够保持一致，同一个终端无需使用多个IP，简化运维管理与网络规划复杂度；</w:t>
            </w:r>
          </w:p>
          <w:p w14:paraId="104632AB">
            <w:pPr>
              <w:pStyle w:val="19"/>
              <w:rPr>
                <w:rFonts w:ascii="仿宋_GB2312" w:hAnsi="仿宋_GB2312" w:eastAsia="仿宋_GB2312" w:cs="仿宋_GB2312"/>
              </w:rPr>
            </w:pPr>
            <w:r>
              <w:rPr>
                <w:rFonts w:hint="eastAsia" w:ascii="仿宋_GB2312" w:hAnsi="仿宋_GB2312" w:eastAsia="仿宋_GB2312" w:cs="仿宋_GB2312"/>
              </w:rPr>
              <w:t>5.支持在终端设备部署多个云桌面镜像切换使用，支持Windows、UOS、KylinOS、Ubuntu等桌面操作系统的云桌面镜像支持国产化操作系统的使用，包括但不限于UOS、银河麒麟；</w:t>
            </w:r>
          </w:p>
          <w:p w14:paraId="701286CF">
            <w:pPr>
              <w:pStyle w:val="19"/>
              <w:rPr>
                <w:rFonts w:ascii="仿宋_GB2312" w:hAnsi="仿宋_GB2312" w:eastAsia="仿宋_GB2312" w:cs="仿宋_GB2312"/>
              </w:rPr>
            </w:pPr>
            <w:r>
              <w:rPr>
                <w:rFonts w:hint="eastAsia" w:ascii="仿宋_GB2312" w:hAnsi="仿宋_GB2312" w:eastAsia="仿宋_GB2312" w:cs="仿宋_GB2312"/>
              </w:rPr>
              <w:t>6.支持在无法进入操作系统的情况下，快速恢复操作系统的使用，无需依赖网络、服务器、以及还原类软件；</w:t>
            </w:r>
          </w:p>
          <w:p w14:paraId="11CAB85A">
            <w:pPr>
              <w:pStyle w:val="19"/>
              <w:rPr>
                <w:rFonts w:ascii="仿宋_GB2312" w:hAnsi="仿宋_GB2312" w:eastAsia="仿宋_GB2312" w:cs="仿宋_GB2312"/>
              </w:rPr>
            </w:pPr>
            <w:r>
              <w:rPr>
                <w:rFonts w:hint="eastAsia" w:ascii="仿宋_GB2312" w:hAnsi="仿宋_GB2312" w:eastAsia="仿宋_GB2312" w:cs="仿宋_GB2312"/>
              </w:rPr>
              <w:t>7.支持包括Windows、统信、麒麟云桌面镜像，在对应云桌面镜像系统中查看设备的CPU型号、GPU型号、系统型号、BIOS版本等系统信息显示与终端物理设备一致；</w:t>
            </w:r>
          </w:p>
          <w:p w14:paraId="290EFFA2">
            <w:pPr>
              <w:pStyle w:val="19"/>
              <w:rPr>
                <w:rFonts w:ascii="仿宋_GB2312" w:hAnsi="仿宋_GB2312" w:eastAsia="仿宋_GB2312" w:cs="仿宋_GB2312"/>
              </w:rPr>
            </w:pPr>
            <w:r>
              <w:rPr>
                <w:rFonts w:hint="eastAsia" w:ascii="仿宋_GB2312" w:hAnsi="仿宋_GB2312" w:eastAsia="仿宋_GB2312" w:cs="仿宋_GB2312"/>
              </w:rPr>
              <w:t>8.支持配置传统模式，关闭传统模式时，终端启动默认进入云电脑系统，终端存在多个系统基础镜像时可以进行系统切换使用；开启传统模式时，终端启动默认进入系统基础镜像，与传统桌面使用一致；管理员可以对传统模式的开关进行管理，普通使用者可在桌面内临时重启到云电脑系统进行桌面切换；</w:t>
            </w:r>
          </w:p>
          <w:p w14:paraId="3F71A066">
            <w:pPr>
              <w:pStyle w:val="19"/>
              <w:rPr>
                <w:rFonts w:ascii="仿宋_GB2312" w:hAnsi="仿宋_GB2312" w:eastAsia="仿宋_GB2312" w:cs="仿宋_GB2312"/>
              </w:rPr>
            </w:pPr>
            <w:r>
              <w:rPr>
                <w:rFonts w:hint="eastAsia" w:ascii="仿宋_GB2312" w:hAnsi="仿宋_GB2312" w:eastAsia="仿宋_GB2312" w:cs="仿宋_GB2312"/>
              </w:rPr>
              <w:t>（二）、管理平台设计</w:t>
            </w:r>
          </w:p>
          <w:p w14:paraId="05234BE4">
            <w:pPr>
              <w:pStyle w:val="19"/>
              <w:rPr>
                <w:rFonts w:ascii="仿宋_GB2312" w:hAnsi="仿宋_GB2312" w:eastAsia="仿宋_GB2312" w:cs="仿宋_GB2312"/>
              </w:rPr>
            </w:pPr>
            <w:r>
              <w:rPr>
                <w:rFonts w:hint="eastAsia" w:ascii="仿宋_GB2312" w:hAnsi="仿宋_GB2312" w:eastAsia="仿宋_GB2312" w:cs="仿宋_GB2312"/>
              </w:rPr>
              <w:t>1.管理平台采用B/S架构，中文图形化操作界面；无需本地额外部署服务器等设备，通过浏览器打开即可运维管理云桌面终端设备，支持手机扫码登录/账号密码登录完成鉴权；</w:t>
            </w:r>
          </w:p>
          <w:p w14:paraId="36230D58">
            <w:pPr>
              <w:pStyle w:val="19"/>
              <w:rPr>
                <w:rFonts w:ascii="仿宋_GB2312" w:hAnsi="仿宋_GB2312" w:eastAsia="仿宋_GB2312" w:cs="仿宋_GB2312"/>
              </w:rPr>
            </w:pPr>
            <w:r>
              <w:rPr>
                <w:rFonts w:hint="eastAsia" w:ascii="仿宋_GB2312" w:hAnsi="仿宋_GB2312" w:eastAsia="仿宋_GB2312" w:cs="仿宋_GB2312"/>
              </w:rPr>
              <w:t>2.具备基于广域网统一纳管多分支机构云桌面的能力，支持三层网络、多校区等复杂网络环境安装；</w:t>
            </w:r>
          </w:p>
          <w:p w14:paraId="79C3C68D">
            <w:pPr>
              <w:pStyle w:val="19"/>
              <w:rPr>
                <w:rFonts w:ascii="仿宋_GB2312" w:hAnsi="仿宋_GB2312" w:eastAsia="仿宋_GB2312" w:cs="仿宋_GB2312"/>
              </w:rPr>
            </w:pPr>
            <w:r>
              <w:rPr>
                <w:rFonts w:hint="eastAsia" w:ascii="仿宋_GB2312" w:hAnsi="仿宋_GB2312" w:eastAsia="仿宋_GB2312" w:cs="仿宋_GB2312"/>
              </w:rPr>
              <w:t>3.基于Web浏览器，提供用户统一登录认证功能，包括：手机号码注册、登录、忘记密码、扫码登录、账号管理功能；</w:t>
            </w:r>
          </w:p>
          <w:p w14:paraId="66A50A67">
            <w:pPr>
              <w:pStyle w:val="19"/>
              <w:rPr>
                <w:rFonts w:ascii="仿宋_GB2312" w:hAnsi="仿宋_GB2312" w:eastAsia="仿宋_GB2312" w:cs="仿宋_GB2312"/>
              </w:rPr>
            </w:pPr>
            <w:r>
              <w:rPr>
                <w:rFonts w:hint="eastAsia" w:ascii="仿宋_GB2312" w:hAnsi="仿宋_GB2312" w:eastAsia="仿宋_GB2312" w:cs="仿宋_GB2312"/>
              </w:rPr>
              <w:t>4.支持PC终端设备与云桌面终端设备统一管理，支持在同一个设备分组中添加不同类型的PC和云桌面设备，并支持对选择的PC和云桌面设备的批量操作；</w:t>
            </w:r>
          </w:p>
          <w:p w14:paraId="648D02EF">
            <w:pPr>
              <w:pStyle w:val="19"/>
              <w:rPr>
                <w:rFonts w:ascii="仿宋_GB2312" w:hAnsi="仿宋_GB2312" w:eastAsia="仿宋_GB2312" w:cs="仿宋_GB2312"/>
              </w:rPr>
            </w:pPr>
            <w:r>
              <w:rPr>
                <w:rFonts w:hint="eastAsia" w:ascii="仿宋_GB2312" w:hAnsi="仿宋_GB2312" w:eastAsia="仿宋_GB2312" w:cs="仿宋_GB2312"/>
              </w:rPr>
              <w:t>5.支持查看全部设备和分组下设备的运行状态，包括CPU、内存、磁盘的使用率，CPU温度，实时上下行网速与上下行网络流量；</w:t>
            </w:r>
          </w:p>
          <w:p w14:paraId="10B66BC9">
            <w:pPr>
              <w:pStyle w:val="19"/>
              <w:rPr>
                <w:rFonts w:ascii="仿宋_GB2312" w:hAnsi="仿宋_GB2312" w:eastAsia="仿宋_GB2312" w:cs="仿宋_GB2312"/>
              </w:rPr>
            </w:pPr>
            <w:r>
              <w:rPr>
                <w:rFonts w:hint="eastAsia" w:ascii="仿宋_GB2312" w:hAnsi="仿宋_GB2312" w:eastAsia="仿宋_GB2312" w:cs="仿宋_GB2312"/>
              </w:rPr>
              <w:t>6.硬件资产管理：收集平台中所有云桌面终端和PC终端的硬件配置与状态信息，包括终端名称、主板型号、CPU型号、内存容量、最近运行时间、硬盘信息等；</w:t>
            </w:r>
          </w:p>
          <w:p w14:paraId="4151B325">
            <w:pPr>
              <w:pStyle w:val="19"/>
              <w:rPr>
                <w:rFonts w:ascii="仿宋_GB2312" w:hAnsi="仿宋_GB2312" w:eastAsia="仿宋_GB2312" w:cs="仿宋_GB2312"/>
              </w:rPr>
            </w:pPr>
            <w:r>
              <w:rPr>
                <w:rFonts w:hint="eastAsia" w:ascii="仿宋_GB2312" w:hAnsi="仿宋_GB2312" w:eastAsia="仿宋_GB2312" w:cs="仿宋_GB2312"/>
              </w:rPr>
              <w:t>7.支持终端发现，无需安装插件或程序，仅通过浏览器即可扫描局域网内可访问互联网的终端设备进行批量配置，包括关联学校、关联分组、设置名称、配置网络；</w:t>
            </w:r>
          </w:p>
          <w:p w14:paraId="765263F6">
            <w:pPr>
              <w:pStyle w:val="19"/>
              <w:rPr>
                <w:rFonts w:ascii="仿宋_GB2312" w:hAnsi="仿宋_GB2312" w:eastAsia="仿宋_GB2312" w:cs="仿宋_GB2312"/>
              </w:rPr>
            </w:pPr>
            <w:r>
              <w:rPr>
                <w:rFonts w:hint="eastAsia" w:ascii="仿宋_GB2312" w:hAnsi="仿宋_GB2312" w:eastAsia="仿宋_GB2312" w:cs="仿宋_GB2312"/>
              </w:rPr>
              <w:t>8.支持增强终端发现，安装插件后通过浏览器即可扫描局域网内不可访问互联网的终端设备进行批量配置，包括关联学校、关联分组、设置名称、配置网络；</w:t>
            </w:r>
          </w:p>
          <w:p w14:paraId="51D1C62F">
            <w:pPr>
              <w:pStyle w:val="19"/>
              <w:rPr>
                <w:rFonts w:ascii="仿宋_GB2312" w:hAnsi="仿宋_GB2312" w:eastAsia="仿宋_GB2312" w:cs="仿宋_GB2312"/>
              </w:rPr>
            </w:pPr>
            <w:r>
              <w:rPr>
                <w:rFonts w:hint="eastAsia" w:ascii="仿宋_GB2312" w:hAnsi="仿宋_GB2312" w:eastAsia="仿宋_GB2312" w:cs="仿宋_GB2312"/>
              </w:rPr>
              <w:t>9.支持远程管理终端设备，通过管理平台进行开机、关机、重启、还原、初始化、删除、配置更改、硬件信息查看、桌面运行状态查看等；</w:t>
            </w:r>
          </w:p>
          <w:p w14:paraId="77ACCF9D">
            <w:pPr>
              <w:pStyle w:val="19"/>
              <w:rPr>
                <w:rFonts w:ascii="仿宋_GB2312" w:hAnsi="仿宋_GB2312" w:eastAsia="仿宋_GB2312" w:cs="仿宋_GB2312"/>
              </w:rPr>
            </w:pPr>
            <w:r>
              <w:rPr>
                <w:rFonts w:hint="eastAsia" w:ascii="仿宋_GB2312" w:hAnsi="仿宋_GB2312" w:eastAsia="仿宋_GB2312" w:cs="仿宋_GB2312"/>
              </w:rPr>
              <w:t>10.支持终端设备分组管理，支持按照楼栋、楼层、教室、小组等范围进行终端分组划分管理，支持在终端组中添加不同型号的终端设备，支持为终端组添加不同的云桌面镜像，统一管理多台终端；同时能够实现对独立分组中的教师终端分别进行配置和管理；</w:t>
            </w:r>
          </w:p>
          <w:p w14:paraId="3BA5B25F">
            <w:pPr>
              <w:pStyle w:val="19"/>
              <w:rPr>
                <w:rFonts w:ascii="仿宋_GB2312" w:hAnsi="仿宋_GB2312" w:eastAsia="仿宋_GB2312" w:cs="仿宋_GB2312"/>
              </w:rPr>
            </w:pPr>
            <w:r>
              <w:rPr>
                <w:rFonts w:hint="eastAsia" w:ascii="仿宋_GB2312" w:hAnsi="仿宋_GB2312" w:eastAsia="仿宋_GB2312" w:cs="仿宋_GB2312"/>
              </w:rPr>
              <w:t>11.支持终端设备分组管理，支持在终端组中添加不同型号的终端设备，支持为分组启用座位编号管理；</w:t>
            </w:r>
          </w:p>
          <w:p w14:paraId="5EB8B58F">
            <w:pPr>
              <w:pStyle w:val="19"/>
              <w:rPr>
                <w:rFonts w:ascii="仿宋_GB2312" w:hAnsi="仿宋_GB2312" w:eastAsia="仿宋_GB2312" w:cs="仿宋_GB2312"/>
              </w:rPr>
            </w:pPr>
            <w:r>
              <w:rPr>
                <w:rFonts w:hint="eastAsia" w:ascii="仿宋_GB2312" w:hAnsi="仿宋_GB2312" w:eastAsia="仿宋_GB2312" w:cs="仿宋_GB2312"/>
              </w:rPr>
              <w:t xml:space="preserve">12.支持批量修改计算机名、IP地址；支持对使用Windows系统的终端，统一设置群组的计算机名，也支持单独设置群组内某一终端的计算机名； </w:t>
            </w:r>
          </w:p>
          <w:p w14:paraId="6F1A20FD">
            <w:pPr>
              <w:pStyle w:val="19"/>
              <w:rPr>
                <w:rFonts w:ascii="仿宋_GB2312" w:hAnsi="仿宋_GB2312" w:eastAsia="仿宋_GB2312" w:cs="仿宋_GB2312"/>
              </w:rPr>
            </w:pPr>
            <w:r>
              <w:rPr>
                <w:rFonts w:hint="eastAsia" w:ascii="仿宋_GB2312" w:hAnsi="仿宋_GB2312" w:eastAsia="仿宋_GB2312" w:cs="仿宋_GB2312"/>
              </w:rPr>
              <w:t>13.支持终端批量配置，通过管理平台批量修改终端设备的所属组织（学校、校区）、设备名称、网络IP、上电自启BIOS配置、时间自动同步等设置，无需逐台配置；</w:t>
            </w:r>
          </w:p>
          <w:p w14:paraId="58707548">
            <w:pPr>
              <w:pStyle w:val="19"/>
              <w:rPr>
                <w:rFonts w:ascii="仿宋_GB2312" w:hAnsi="仿宋_GB2312" w:eastAsia="仿宋_GB2312" w:cs="仿宋_GB2312"/>
              </w:rPr>
            </w:pPr>
            <w:r>
              <w:rPr>
                <w:rFonts w:hint="eastAsia" w:ascii="仿宋_GB2312" w:hAnsi="仿宋_GB2312" w:eastAsia="仿宋_GB2312" w:cs="仿宋_GB2312"/>
              </w:rPr>
              <w:t>14.支持日志信息管理，对终端、镜像等操作信息进行汇总，方便对常见问题的判断追查；支持保留桌面下发记录，包括终端名称，镜像名称，状态等信息；</w:t>
            </w:r>
          </w:p>
          <w:p w14:paraId="6D50303B">
            <w:pPr>
              <w:pStyle w:val="19"/>
              <w:rPr>
                <w:rFonts w:ascii="仿宋_GB2312" w:hAnsi="仿宋_GB2312" w:eastAsia="仿宋_GB2312" w:cs="仿宋_GB2312"/>
              </w:rPr>
            </w:pPr>
            <w:r>
              <w:rPr>
                <w:rFonts w:hint="eastAsia" w:ascii="仿宋_GB2312" w:hAnsi="仿宋_GB2312" w:eastAsia="仿宋_GB2312" w:cs="仿宋_GB2312"/>
              </w:rPr>
              <w:t>15.单个终端可同时支持访客桌面和登录桌面两种使用方式，访客桌面开机无需账号直接进入桌面；登录桌面开机须输入账号密码进入桌面，便于个性化实验或教师办公使用；管理台可控制允许终端进入的桌面类型，包括仅使用访客桌面，仅使用登录桌面，混合登录三种方式；</w:t>
            </w:r>
          </w:p>
          <w:p w14:paraId="385748E9">
            <w:pPr>
              <w:pStyle w:val="19"/>
              <w:rPr>
                <w:rFonts w:ascii="仿宋_GB2312" w:hAnsi="仿宋_GB2312" w:eastAsia="仿宋_GB2312" w:cs="仿宋_GB2312"/>
              </w:rPr>
            </w:pPr>
            <w:r>
              <w:rPr>
                <w:rFonts w:hint="eastAsia" w:ascii="仿宋_GB2312" w:hAnsi="仿宋_GB2312" w:eastAsia="仿宋_GB2312" w:cs="仿宋_GB2312"/>
              </w:rPr>
              <w:t>16.提供组织管理员管理功能，包括：管理员添加、移除和转移，同时支持设置管理员的管理权限，包括：组织管理，系统管理员管理，角色权限，工作台配置，应用管理，区域语言和操作日志；</w:t>
            </w:r>
          </w:p>
          <w:p w14:paraId="0794E7B1">
            <w:pPr>
              <w:pStyle w:val="19"/>
              <w:rPr>
                <w:rFonts w:ascii="仿宋_GB2312" w:hAnsi="仿宋_GB2312" w:eastAsia="仿宋_GB2312" w:cs="仿宋_GB2312"/>
              </w:rPr>
            </w:pPr>
            <w:r>
              <w:rPr>
                <w:rFonts w:hint="eastAsia" w:ascii="仿宋_GB2312" w:hAnsi="仿宋_GB2312" w:eastAsia="仿宋_GB2312" w:cs="仿宋_GB2312"/>
              </w:rPr>
              <w:t>17. 教职工管理：支持管理员手动添加教职工，教职工信息包括：教工号，姓名，手机号码，角色，管理范围；添加方式包括：Excel批量导入，批量复制，手动添加；支持导出，查询，删除教职工；教职工支持设置部门组织架构，支持多级组织架构，支持在组织架构节点上导入用户；</w:t>
            </w:r>
          </w:p>
          <w:p w14:paraId="76892AFE">
            <w:pPr>
              <w:pStyle w:val="19"/>
              <w:rPr>
                <w:rFonts w:ascii="仿宋_GB2312" w:hAnsi="仿宋_GB2312" w:eastAsia="仿宋_GB2312" w:cs="仿宋_GB2312"/>
              </w:rPr>
            </w:pPr>
            <w:r>
              <w:rPr>
                <w:rFonts w:hint="eastAsia" w:ascii="仿宋_GB2312" w:hAnsi="仿宋_GB2312" w:eastAsia="仿宋_GB2312" w:cs="仿宋_GB2312"/>
              </w:rPr>
              <w:t>18.支持学校自定义角色组，针对角色可设置功能权限；支持自定义角色的管理范围；</w:t>
            </w:r>
          </w:p>
          <w:p w14:paraId="07434D3C">
            <w:pPr>
              <w:pStyle w:val="19"/>
              <w:rPr>
                <w:rFonts w:ascii="仿宋_GB2312" w:hAnsi="仿宋_GB2312" w:eastAsia="仿宋_GB2312" w:cs="仿宋_GB2312"/>
              </w:rPr>
            </w:pPr>
            <w:r>
              <w:rPr>
                <w:rFonts w:hint="eastAsia" w:ascii="仿宋_GB2312" w:hAnsi="仿宋_GB2312" w:eastAsia="仿宋_GB2312" w:cs="仿宋_GB2312"/>
              </w:rPr>
              <w:t>★19.支持管理多种架构的终端设备，无需部署服务器即可管理包括国产化终端、X86终端、ARM终端；支持受管理的终端启动国产化操作系统且断网可用；支持受管理的终端使用手机扫码登录、网络诊断等功能；</w:t>
            </w:r>
          </w:p>
          <w:p w14:paraId="3BF6AD1F">
            <w:pPr>
              <w:pStyle w:val="19"/>
              <w:rPr>
                <w:rFonts w:ascii="仿宋_GB2312" w:hAnsi="仿宋_GB2312" w:eastAsia="仿宋_GB2312" w:cs="仿宋_GB2312"/>
              </w:rPr>
            </w:pPr>
            <w:r>
              <w:rPr>
                <w:rFonts w:hint="eastAsia" w:ascii="仿宋_GB2312" w:hAnsi="仿宋_GB2312" w:eastAsia="仿宋_GB2312" w:cs="仿宋_GB2312"/>
              </w:rPr>
              <w:t>（三）终端支持</w:t>
            </w:r>
          </w:p>
          <w:p w14:paraId="015C4C31">
            <w:pPr>
              <w:pStyle w:val="19"/>
              <w:rPr>
                <w:rFonts w:ascii="仿宋_GB2312" w:hAnsi="仿宋_GB2312" w:eastAsia="仿宋_GB2312" w:cs="仿宋_GB2312"/>
              </w:rPr>
            </w:pPr>
            <w:r>
              <w:rPr>
                <w:rFonts w:hint="eastAsia" w:ascii="仿宋_GB2312" w:hAnsi="仿宋_GB2312" w:eastAsia="仿宋_GB2312" w:cs="仿宋_GB2312"/>
              </w:rPr>
              <w:t>1.本次支持配置50台学生终端。</w:t>
            </w:r>
          </w:p>
          <w:p w14:paraId="4B3789AF">
            <w:pPr>
              <w:pStyle w:val="19"/>
              <w:rPr>
                <w:rFonts w:ascii="仿宋_GB2312" w:hAnsi="仿宋_GB2312" w:eastAsia="仿宋_GB2312" w:cs="仿宋_GB2312"/>
              </w:rPr>
            </w:pPr>
            <w:r>
              <w:rPr>
                <w:rFonts w:hint="eastAsia" w:ascii="仿宋_GB2312" w:hAnsi="仿宋_GB2312" w:eastAsia="仿宋_GB2312" w:cs="仿宋_GB2312"/>
              </w:rPr>
              <w:t>四、一体机设备远程运维管理系统</w:t>
            </w:r>
          </w:p>
          <w:p w14:paraId="2CA9D69E">
            <w:pPr>
              <w:pStyle w:val="19"/>
              <w:rPr>
                <w:rFonts w:ascii="仿宋_GB2312" w:hAnsi="仿宋_GB2312" w:eastAsia="仿宋_GB2312" w:cs="仿宋_GB2312"/>
              </w:rPr>
            </w:pPr>
            <w:r>
              <w:rPr>
                <w:rFonts w:hint="eastAsia" w:ascii="仿宋_GB2312" w:hAnsi="仿宋_GB2312" w:eastAsia="仿宋_GB2312" w:cs="仿宋_GB2312"/>
              </w:rPr>
              <w:t>（一）整体设计</w:t>
            </w:r>
          </w:p>
          <w:p w14:paraId="0A9B2F49">
            <w:pPr>
              <w:pStyle w:val="19"/>
              <w:rPr>
                <w:rFonts w:ascii="仿宋_GB2312" w:hAnsi="仿宋_GB2312" w:eastAsia="仿宋_GB2312" w:cs="仿宋_GB2312"/>
              </w:rPr>
            </w:pPr>
            <w:r>
              <w:rPr>
                <w:rFonts w:hint="eastAsia" w:ascii="仿宋_GB2312" w:hAnsi="仿宋_GB2312" w:eastAsia="仿宋_GB2312" w:cs="仿宋_GB2312"/>
              </w:rPr>
              <w:t>1.管理平台采用B/S混合云架构设计，无需本地额外部署服务器等设备，即可支持对教学信息化设备运行数据的监测。</w:t>
            </w:r>
          </w:p>
          <w:p w14:paraId="7E71CCB9">
            <w:pPr>
              <w:pStyle w:val="19"/>
              <w:rPr>
                <w:rFonts w:ascii="仿宋_GB2312" w:hAnsi="仿宋_GB2312" w:eastAsia="仿宋_GB2312" w:cs="仿宋_GB2312"/>
              </w:rPr>
            </w:pPr>
            <w:r>
              <w:rPr>
                <w:rFonts w:hint="eastAsia" w:ascii="仿宋_GB2312" w:hAnsi="仿宋_GB2312" w:eastAsia="仿宋_GB2312" w:cs="仿宋_GB2312"/>
              </w:rPr>
              <w:t>2.支持在多种操作系统通过网页浏览器登陆操作，提供多种智能身份识别方式：支持通过账号登录、手机扫码登录等方式。</w:t>
            </w:r>
          </w:p>
          <w:p w14:paraId="6EC7C0CD">
            <w:pPr>
              <w:pStyle w:val="19"/>
              <w:rPr>
                <w:rFonts w:ascii="仿宋_GB2312" w:hAnsi="仿宋_GB2312" w:eastAsia="仿宋_GB2312" w:cs="仿宋_GB2312"/>
              </w:rPr>
            </w:pPr>
            <w:r>
              <w:rPr>
                <w:rFonts w:hint="eastAsia" w:ascii="仿宋_GB2312" w:hAnsi="仿宋_GB2312" w:eastAsia="仿宋_GB2312" w:cs="仿宋_GB2312"/>
              </w:rPr>
              <w:t>3.管理平台提供管理员移动管理平台，免安装并支持Android、IOS等多种移动操作系统，便于远程管理及告警信息通知。</w:t>
            </w:r>
          </w:p>
          <w:p w14:paraId="003C7263">
            <w:pPr>
              <w:pStyle w:val="19"/>
              <w:rPr>
                <w:rFonts w:ascii="仿宋_GB2312" w:hAnsi="仿宋_GB2312" w:eastAsia="仿宋_GB2312" w:cs="仿宋_GB2312"/>
              </w:rPr>
            </w:pPr>
            <w:r>
              <w:rPr>
                <w:rFonts w:hint="eastAsia" w:ascii="仿宋_GB2312" w:hAnsi="仿宋_GB2312" w:eastAsia="仿宋_GB2312" w:cs="仿宋_GB2312"/>
              </w:rPr>
              <w:t>4.平台支持对全校智慧教室的教学信息化设备进行集中运维管理和策略部署。</w:t>
            </w:r>
          </w:p>
          <w:p w14:paraId="29FCE176">
            <w:pPr>
              <w:pStyle w:val="19"/>
              <w:rPr>
                <w:rFonts w:ascii="仿宋_GB2312" w:hAnsi="仿宋_GB2312" w:eastAsia="仿宋_GB2312" w:cs="仿宋_GB2312"/>
              </w:rPr>
            </w:pPr>
            <w:r>
              <w:rPr>
                <w:rFonts w:hint="eastAsia" w:ascii="仿宋_GB2312" w:hAnsi="仿宋_GB2312" w:eastAsia="仿宋_GB2312" w:cs="仿宋_GB2312"/>
              </w:rPr>
              <w:t>5.支持多设备接入，与交互智能教学设备、学生智能终端等教学设备对接。</w:t>
            </w:r>
          </w:p>
          <w:p w14:paraId="656226C3">
            <w:pPr>
              <w:pStyle w:val="19"/>
              <w:rPr>
                <w:rFonts w:ascii="仿宋_GB2312" w:hAnsi="仿宋_GB2312" w:eastAsia="仿宋_GB2312" w:cs="仿宋_GB2312"/>
              </w:rPr>
            </w:pPr>
            <w:r>
              <w:rPr>
                <w:rFonts w:hint="eastAsia" w:ascii="仿宋_GB2312" w:hAnsi="仿宋_GB2312" w:eastAsia="仿宋_GB2312" w:cs="仿宋_GB2312"/>
              </w:rPr>
              <w:t>（二）智能教学设备管理</w:t>
            </w:r>
          </w:p>
          <w:p w14:paraId="0175E63A">
            <w:pPr>
              <w:pStyle w:val="19"/>
              <w:rPr>
                <w:rFonts w:ascii="仿宋_GB2312" w:hAnsi="仿宋_GB2312" w:eastAsia="仿宋_GB2312" w:cs="仿宋_GB2312"/>
              </w:rPr>
            </w:pPr>
            <w:r>
              <w:rPr>
                <w:rFonts w:hint="eastAsia" w:ascii="仿宋_GB2312" w:hAnsi="仿宋_GB2312" w:eastAsia="仿宋_GB2312" w:cs="仿宋_GB2312"/>
              </w:rPr>
              <w:t>1.管理平台为学校提供专属识别代码，可支持交互智能设备在广域网环境下，输入专属代码接入管理平台即可在通过管理平台可开启或关闭指定交互智能设备的任意磁盘分区数据还原（冰点）保护。</w:t>
            </w:r>
          </w:p>
          <w:p w14:paraId="230DFB51">
            <w:pPr>
              <w:pStyle w:val="19"/>
              <w:rPr>
                <w:rFonts w:ascii="仿宋_GB2312" w:hAnsi="仿宋_GB2312" w:eastAsia="仿宋_GB2312" w:cs="仿宋_GB2312"/>
              </w:rPr>
            </w:pPr>
            <w:r>
              <w:rPr>
                <w:rFonts w:hint="eastAsia" w:ascii="仿宋_GB2312" w:hAnsi="仿宋_GB2312" w:eastAsia="仿宋_GB2312" w:cs="仿宋_GB2312"/>
              </w:rPr>
              <w:t>2.管理平台实时监控已连接的交互智能设备状态，支持多台设备的略缩预览和单设备全屏查看；可远程监控交互智能设备开关机状态、CPU温度、CPU使用率、硬盘空间、硬盘已使用状况、内存容量、内存使用率、管理软件版本、设备ID。</w:t>
            </w:r>
          </w:p>
          <w:p w14:paraId="6A6F0766">
            <w:pPr>
              <w:pStyle w:val="19"/>
              <w:rPr>
                <w:rFonts w:ascii="仿宋_GB2312" w:hAnsi="仿宋_GB2312" w:eastAsia="仿宋_GB2312" w:cs="仿宋_GB2312"/>
              </w:rPr>
            </w:pPr>
            <w:r>
              <w:rPr>
                <w:rFonts w:hint="eastAsia" w:ascii="仿宋_GB2312" w:hAnsi="仿宋_GB2312" w:eastAsia="仿宋_GB2312" w:cs="仿宋_GB2312"/>
              </w:rPr>
              <w:t>3.支持不少于10台设备的略缩预览。</w:t>
            </w:r>
          </w:p>
          <w:p w14:paraId="407BC981">
            <w:pPr>
              <w:pStyle w:val="19"/>
              <w:rPr>
                <w:rFonts w:ascii="仿宋_GB2312" w:hAnsi="仿宋_GB2312" w:eastAsia="仿宋_GB2312" w:cs="仿宋_GB2312"/>
              </w:rPr>
            </w:pPr>
            <w:r>
              <w:rPr>
                <w:rFonts w:hint="eastAsia" w:ascii="仿宋_GB2312" w:hAnsi="仿宋_GB2312" w:eastAsia="仿宋_GB2312" w:cs="仿宋_GB2312"/>
              </w:rPr>
              <w:t>4.管理平台可对局域网内的交互智能终端进行远程实时控制，能够监控设备当前运行界面，并远程对设备操作界面进行控制。</w:t>
            </w:r>
          </w:p>
          <w:p w14:paraId="67EE3C2B">
            <w:pPr>
              <w:pStyle w:val="19"/>
              <w:rPr>
                <w:rFonts w:ascii="仿宋_GB2312" w:hAnsi="仿宋_GB2312" w:eastAsia="仿宋_GB2312" w:cs="仿宋_GB2312"/>
              </w:rPr>
            </w:pPr>
            <w:r>
              <w:rPr>
                <w:rFonts w:hint="eastAsia" w:ascii="仿宋_GB2312" w:hAnsi="仿宋_GB2312" w:eastAsia="仿宋_GB2312" w:cs="仿宋_GB2312"/>
              </w:rPr>
              <w:t>5.管理平台可控制连接广域网的交互智能设备整机关机、开机和重启；可批量设定智能设备开关机的执行时间，并支持自定义循环模式（循环操作、定时操作）。</w:t>
            </w:r>
          </w:p>
          <w:p w14:paraId="39872373">
            <w:pPr>
              <w:pStyle w:val="19"/>
              <w:rPr>
                <w:rFonts w:ascii="仿宋_GB2312" w:hAnsi="仿宋_GB2312" w:eastAsia="仿宋_GB2312" w:cs="仿宋_GB2312"/>
              </w:rPr>
            </w:pPr>
            <w:r>
              <w:rPr>
                <w:rFonts w:hint="eastAsia" w:ascii="仿宋_GB2312" w:hAnsi="仿宋_GB2312" w:eastAsia="仿宋_GB2312" w:cs="仿宋_GB2312"/>
              </w:rPr>
              <w:t>6.管理平台可远程对选定的交互智能设备推送动态文字滚动公告，可对公告文字的颜色、粗体以及播放次数、推送时间进行设置。</w:t>
            </w:r>
          </w:p>
          <w:p w14:paraId="1067C6DA">
            <w:pPr>
              <w:pStyle w:val="19"/>
              <w:rPr>
                <w:rFonts w:ascii="仿宋_GB2312" w:hAnsi="仿宋_GB2312" w:eastAsia="仿宋_GB2312" w:cs="仿宋_GB2312"/>
              </w:rPr>
            </w:pPr>
            <w:r>
              <w:rPr>
                <w:rFonts w:hint="eastAsia" w:ascii="仿宋_GB2312" w:hAnsi="仿宋_GB2312" w:eastAsia="仿宋_GB2312" w:cs="仿宋_GB2312"/>
              </w:rPr>
              <w:t>7.管理平台可远程开启指定交互智能设备倒计日功能并设定倒计日截止日期。</w:t>
            </w:r>
          </w:p>
          <w:p w14:paraId="78444506">
            <w:pPr>
              <w:pStyle w:val="19"/>
              <w:rPr>
                <w:rFonts w:ascii="仿宋_GB2312" w:hAnsi="仿宋_GB2312" w:eastAsia="仿宋_GB2312" w:cs="仿宋_GB2312"/>
              </w:rPr>
            </w:pPr>
            <w:r>
              <w:rPr>
                <w:rFonts w:hint="eastAsia" w:ascii="仿宋_GB2312" w:hAnsi="仿宋_GB2312" w:eastAsia="仿宋_GB2312" w:cs="仿宋_GB2312"/>
              </w:rPr>
              <w:t>（三）安全应用防护</w:t>
            </w:r>
          </w:p>
          <w:p w14:paraId="6E190158">
            <w:pPr>
              <w:pStyle w:val="19"/>
              <w:rPr>
                <w:rFonts w:ascii="仿宋_GB2312" w:hAnsi="仿宋_GB2312" w:eastAsia="仿宋_GB2312" w:cs="仿宋_GB2312"/>
              </w:rPr>
            </w:pPr>
            <w:r>
              <w:rPr>
                <w:rFonts w:hint="eastAsia" w:ascii="仿宋_GB2312" w:hAnsi="仿宋_GB2312" w:eastAsia="仿宋_GB2312" w:cs="仿宋_GB2312"/>
              </w:rPr>
              <w:t>1.管理平台可远程对运行状态下的交互智能设备批量进行本地系统启动盘的冻结、解冻（冰点保护）。冻结的设备重启后会自动还原到冻结前的状态，即本地系统启动盘的数据及系统更改会自动恢复至冻结前状态。</w:t>
            </w:r>
          </w:p>
          <w:p w14:paraId="50558B13">
            <w:pPr>
              <w:pStyle w:val="19"/>
              <w:rPr>
                <w:rFonts w:ascii="仿宋_GB2312" w:hAnsi="仿宋_GB2312" w:eastAsia="仿宋_GB2312" w:cs="仿宋_GB2312"/>
              </w:rPr>
            </w:pPr>
            <w:r>
              <w:rPr>
                <w:rFonts w:hint="eastAsia" w:ascii="仿宋_GB2312" w:hAnsi="仿宋_GB2312" w:eastAsia="仿宋_GB2312" w:cs="仿宋_GB2312"/>
              </w:rPr>
              <w:t>2.管理平台可实时监控开启冰点保护设备数量、安装冰点保护设备数量、磁盘冰冻状态等，并提示冰点风险，方便采购人管理一体机系统环境管理平台可开启或关闭指定交互智能设备的任意磁盘分区数据还原（冰点）保护。</w:t>
            </w:r>
          </w:p>
          <w:p w14:paraId="346CC111">
            <w:pPr>
              <w:pStyle w:val="19"/>
              <w:rPr>
                <w:rFonts w:hint="eastAsia" w:ascii="仿宋_GB2312" w:hAnsi="仿宋_GB2312" w:eastAsia="仿宋_GB2312" w:cs="仿宋_GB2312"/>
              </w:rPr>
            </w:pPr>
            <w:r>
              <w:rPr>
                <w:rFonts w:hint="eastAsia" w:ascii="仿宋_GB2312" w:hAnsi="仿宋_GB2312" w:eastAsia="仿宋_GB2312" w:cs="仿宋_GB2312"/>
              </w:rPr>
              <w:t>3.管理平台可随时查看所有弹窗信息的设备数和历史拦截的弹窗信息的条数。</w:t>
            </w:r>
          </w:p>
          <w:p w14:paraId="540B26AC">
            <w:pPr>
              <w:pStyle w:val="19"/>
              <w:rPr>
                <w:rFonts w:ascii="仿宋_GB2312" w:hAnsi="仿宋_GB2312" w:eastAsia="仿宋_GB2312" w:cs="仿宋_GB2312"/>
              </w:rPr>
            </w:pPr>
            <w:r>
              <w:rPr>
                <w:rFonts w:hint="eastAsia" w:ascii="仿宋_GB2312" w:hAnsi="仿宋_GB2312" w:eastAsia="仿宋_GB2312" w:cs="仿宋_GB2312"/>
              </w:rPr>
              <w:t>五、接口模块服务</w:t>
            </w:r>
          </w:p>
          <w:p w14:paraId="4AD77F55">
            <w:pPr>
              <w:pStyle w:val="19"/>
              <w:autoSpaceDE w:val="0"/>
              <w:autoSpaceDN w:val="0"/>
              <w:adjustRightInd w:val="0"/>
              <w:spacing w:line="400" w:lineRule="exact"/>
              <w:jc w:val="left"/>
              <w:rPr>
                <w:rFonts w:ascii="仿宋_GB2312" w:hAnsi="仿宋_GB2312" w:eastAsia="仿宋_GB2312" w:cs="仿宋_GB2312"/>
                <w:kern w:val="0"/>
              </w:rPr>
            </w:pPr>
            <w:r>
              <w:rPr>
                <w:rFonts w:hint="eastAsia" w:ascii="仿宋_GB2312" w:hAnsi="仿宋_GB2312" w:eastAsia="仿宋_GB2312" w:cs="仿宋_GB2312"/>
              </w:rPr>
              <w:t>★1.必须通过RESTFUL接口方式与采购人现有智慧校园的大数据平台之间进行数据的共享和对接 ，推送所采集的数据符合学校大数据标准，支持平台数据一体化采集以保证数据的统一管理与维护，对相关进行数据的整合或分析，并在智慧校园大数据平台进行统计和数据可视化大屏展示。</w:t>
            </w:r>
          </w:p>
        </w:tc>
        <w:tc>
          <w:tcPr>
            <w:tcW w:w="809" w:type="dxa"/>
            <w:tcBorders>
              <w:top w:val="single" w:color="auto" w:sz="4" w:space="0"/>
              <w:left w:val="single" w:color="auto" w:sz="4" w:space="0"/>
              <w:bottom w:val="single" w:color="auto" w:sz="4" w:space="0"/>
              <w:right w:val="single" w:color="auto" w:sz="4" w:space="0"/>
            </w:tcBorders>
            <w:vAlign w:val="center"/>
          </w:tcPr>
          <w:p w14:paraId="59A7593F">
            <w:pPr>
              <w:pStyle w:val="778"/>
              <w:snapToGrid w:val="0"/>
              <w:spacing w:line="460" w:lineRule="exact"/>
              <w:jc w:val="center"/>
              <w:rPr>
                <w:rFonts w:ascii="仿宋_GB2312" w:hAnsi="仿宋_GB2312" w:eastAsia="仿宋_GB2312" w:cs="仿宋_GB2312"/>
                <w:kern w:val="0"/>
                <w:sz w:val="24"/>
                <w:szCs w:val="24"/>
              </w:rPr>
            </w:pPr>
            <w:r>
              <w:rPr>
                <w:rFonts w:hint="eastAsia" w:ascii="仿宋" w:hAnsi="仿宋" w:eastAsia="仿宋" w:cs="仿宋"/>
                <w:kern w:val="0"/>
                <w:sz w:val="24"/>
                <w:szCs w:val="24"/>
              </w:rPr>
              <w:t>1套</w:t>
            </w:r>
          </w:p>
        </w:tc>
      </w:tr>
    </w:tbl>
    <w:p w14:paraId="48774999"/>
    <w:tbl>
      <w:tblPr>
        <w:tblStyle w:val="49"/>
        <w:tblW w:w="9214"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7654"/>
      </w:tblGrid>
      <w:tr w14:paraId="51C76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14:paraId="7D34753C">
            <w:pPr>
              <w:spacing w:line="400" w:lineRule="exact"/>
              <w:ind w:right="-330" w:rightChars="-157"/>
              <w:rPr>
                <w:rFonts w:hint="eastAsia" w:ascii="仿宋_GB2312" w:hAnsi="宋体" w:eastAsia="仿宋_GB2312" w:cs="宋体"/>
                <w:b/>
                <w:color w:val="000000"/>
                <w:kern w:val="0"/>
                <w:sz w:val="24"/>
              </w:rPr>
            </w:pPr>
            <w:r>
              <w:rPr>
                <w:rFonts w:ascii="仿宋_GB2312" w:hAnsi="宋体" w:eastAsia="仿宋_GB2312" w:cs="宋体"/>
                <w:b/>
                <w:kern w:val="0"/>
                <w:sz w:val="24"/>
              </w:rPr>
              <w:t>★</w:t>
            </w:r>
            <w:r>
              <w:rPr>
                <w:rFonts w:hint="eastAsia" w:ascii="仿宋_GB2312" w:hAnsi="宋体" w:eastAsia="仿宋_GB2312" w:cs="宋体"/>
                <w:b/>
                <w:color w:val="000000"/>
                <w:kern w:val="0"/>
                <w:sz w:val="24"/>
              </w:rPr>
              <w:t>二、商务要求</w:t>
            </w:r>
          </w:p>
        </w:tc>
      </w:tr>
      <w:tr w14:paraId="7477B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14:paraId="69A1A847">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基本要求</w:t>
            </w:r>
          </w:p>
        </w:tc>
        <w:tc>
          <w:tcPr>
            <w:tcW w:w="7654" w:type="dxa"/>
            <w:tcBorders>
              <w:top w:val="single" w:color="auto" w:sz="4" w:space="0"/>
              <w:left w:val="single" w:color="auto" w:sz="4" w:space="0"/>
              <w:bottom w:val="single" w:color="auto" w:sz="4" w:space="0"/>
              <w:right w:val="single" w:color="auto" w:sz="4" w:space="0"/>
            </w:tcBorders>
            <w:vAlign w:val="center"/>
          </w:tcPr>
          <w:p w14:paraId="469F7CD3">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本项目投标报价包括货物及货物运抵指定交付地点的各种费用、随配附件、备品备件、易损件、专用工具、安装调试、技术培训、技术资料、包装、售后服务、保险费、税金、验收检验及其他所有成本费用的总和；</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2.投标人应保证投标产品涉及到的知识产权和所提供的相关技术资料是合法取得，不会因为采购人的使用而被责令停止使用、追偿或要求赔偿损失，如出现此情况，一切经济和法律责任均由投标人承担；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3.投标人所投产品应符合国家有关部门规定的相应技术、节能、安全和环保标准；国家有关部门对所投产品有强制性规定或要求的，必须符合相应规定或要求。</w:t>
            </w:r>
          </w:p>
        </w:tc>
      </w:tr>
      <w:tr w14:paraId="58850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14:paraId="03566AC2">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质量保证期</w:t>
            </w:r>
          </w:p>
        </w:tc>
        <w:tc>
          <w:tcPr>
            <w:tcW w:w="7654" w:type="dxa"/>
            <w:tcBorders>
              <w:top w:val="single" w:color="auto" w:sz="4" w:space="0"/>
              <w:left w:val="single" w:color="auto" w:sz="4" w:space="0"/>
              <w:bottom w:val="single" w:color="auto" w:sz="4" w:space="0"/>
              <w:right w:val="single" w:color="auto" w:sz="4" w:space="0"/>
            </w:tcBorders>
            <w:vAlign w:val="center"/>
          </w:tcPr>
          <w:p w14:paraId="1D114676">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质保期从交货、安装调试完毕，产品验收合格之日起计算，提供免费质保三年。</w:t>
            </w:r>
          </w:p>
        </w:tc>
      </w:tr>
      <w:tr w14:paraId="0E61E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14:paraId="1A4B31D4">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售后服务要求</w:t>
            </w:r>
          </w:p>
        </w:tc>
        <w:tc>
          <w:tcPr>
            <w:tcW w:w="7654" w:type="dxa"/>
            <w:tcBorders>
              <w:top w:val="single" w:color="auto" w:sz="4" w:space="0"/>
              <w:left w:val="single" w:color="auto" w:sz="4" w:space="0"/>
              <w:bottom w:val="single" w:color="auto" w:sz="4" w:space="0"/>
              <w:right w:val="single" w:color="auto" w:sz="4" w:space="0"/>
            </w:tcBorders>
            <w:vAlign w:val="center"/>
          </w:tcPr>
          <w:p w14:paraId="17208F04">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1.投标产品必须是按厂家标准配置的整套全新产品，按国家规定实行“三包”，免费送货上门、免费安装调试（附安装说明书）及人员培训，培训后采购人可熟悉基本操作；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2.故障处理 ：提供7*24小时维修服务，并提供售后服务电话，出现故障应在接到故障通知起1小时内响应，一般问题4小时内通过远程方式解决；遇到大的问题，在接到报修通知后8小时内派技术人员到达现场维修，故障修复时限不超过24小时,如超过时限无法排除故障，免费提供同等质量的产品作为备用品供采购人使用，直到修复完成</w:t>
            </w:r>
            <w:r>
              <w:rPr>
                <w:rFonts w:hint="eastAsia" w:ascii="仿宋_GB2312" w:hAnsi="仿宋_GB2312" w:eastAsia="仿宋_GB2312" w:cs="仿宋_GB2312"/>
                <w:bCs/>
                <w:color w:val="000000"/>
                <w:sz w:val="24"/>
                <w:lang w:eastAsia="zh-CN"/>
              </w:rPr>
              <w:t>。（</w:t>
            </w:r>
            <w:r>
              <w:rPr>
                <w:rFonts w:hint="eastAsia" w:ascii="仿宋_GB2312" w:hAnsi="仿宋_GB2312" w:eastAsia="仿宋_GB2312" w:cs="仿宋_GB2312"/>
                <w:bCs/>
                <w:color w:val="000000"/>
                <w:sz w:val="24"/>
              </w:rPr>
              <w:t>台式计算机、办公电脑按照项目技术规格参数及要求执行）。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3.质量保证期内免费提供维修服务（含人工费、配件费、差旅费等各项费用），所更换的所有零配件全部使用原厂配件；保修期以外一律按投标文件承诺的优惠价收费，提供终身上门维修服务。</w:t>
            </w:r>
          </w:p>
        </w:tc>
      </w:tr>
      <w:tr w14:paraId="3493A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14:paraId="71693939">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交货时间及地点</w:t>
            </w:r>
          </w:p>
        </w:tc>
        <w:tc>
          <w:tcPr>
            <w:tcW w:w="7654" w:type="dxa"/>
            <w:tcBorders>
              <w:top w:val="single" w:color="auto" w:sz="4" w:space="0"/>
              <w:left w:val="single" w:color="auto" w:sz="4" w:space="0"/>
              <w:bottom w:val="single" w:color="auto" w:sz="4" w:space="0"/>
              <w:right w:val="single" w:color="auto" w:sz="4" w:space="0"/>
            </w:tcBorders>
            <w:vAlign w:val="center"/>
          </w:tcPr>
          <w:p w14:paraId="3F4BAD7E">
            <w:pPr>
              <w:spacing w:line="440" w:lineRule="exact"/>
              <w:jc w:val="left"/>
              <w:rPr>
                <w:rFonts w:hint="eastAsia" w:ascii="仿宋_GB2312" w:hAnsi="仿宋_GB2312" w:eastAsia="仿宋_GB2312" w:cs="仿宋_GB2312"/>
                <w:bCs/>
                <w:color w:val="000000"/>
                <w:sz w:val="24"/>
                <w:lang w:eastAsia="zh-CN"/>
              </w:rPr>
            </w:pPr>
            <w:r>
              <w:rPr>
                <w:rFonts w:hint="eastAsia" w:ascii="仿宋_GB2312" w:hAnsi="仿宋_GB2312" w:eastAsia="仿宋_GB2312" w:cs="仿宋_GB2312"/>
                <w:bCs/>
                <w:color w:val="000000"/>
                <w:sz w:val="24"/>
              </w:rPr>
              <w:t>1.交货时间：自签订合同之</w:t>
            </w:r>
            <w:r>
              <w:rPr>
                <w:rFonts w:hint="eastAsia" w:ascii="仿宋_GB2312" w:hAnsi="仿宋_GB2312" w:eastAsia="仿宋_GB2312" w:cs="仿宋_GB2312"/>
                <w:bCs/>
                <w:color w:val="auto"/>
                <w:sz w:val="24"/>
              </w:rPr>
              <w:t>日起</w:t>
            </w:r>
            <w:r>
              <w:rPr>
                <w:rFonts w:hint="eastAsia" w:ascii="仿宋_GB2312" w:hAnsi="仿宋_GB2312" w:eastAsia="仿宋_GB2312" w:cs="仿宋_GB2312"/>
                <w:bCs/>
                <w:color w:val="auto"/>
                <w:sz w:val="24"/>
                <w:lang w:val="en-US" w:eastAsia="zh-CN"/>
              </w:rPr>
              <w:t>40</w:t>
            </w:r>
            <w:r>
              <w:rPr>
                <w:rFonts w:hint="eastAsia" w:ascii="仿宋_GB2312" w:hAnsi="仿宋_GB2312" w:eastAsia="仿宋_GB2312" w:cs="仿宋_GB2312"/>
                <w:bCs/>
                <w:color w:val="auto"/>
                <w:sz w:val="24"/>
              </w:rPr>
              <w:t>日内安装调</w:t>
            </w:r>
            <w:r>
              <w:rPr>
                <w:rFonts w:hint="eastAsia" w:ascii="仿宋_GB2312" w:hAnsi="仿宋_GB2312" w:eastAsia="仿宋_GB2312" w:cs="仿宋_GB2312"/>
                <w:bCs/>
                <w:color w:val="000000"/>
                <w:sz w:val="24"/>
              </w:rPr>
              <w:t>试完毕，验收合格并交付使用；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2.交货地点：采购人指定地点</w:t>
            </w:r>
            <w:r>
              <w:rPr>
                <w:rFonts w:hint="eastAsia" w:ascii="仿宋_GB2312" w:hAnsi="仿宋_GB2312" w:eastAsia="仿宋_GB2312" w:cs="仿宋_GB2312"/>
                <w:bCs/>
                <w:color w:val="000000"/>
                <w:sz w:val="24"/>
                <w:lang w:eastAsia="zh-CN"/>
              </w:rPr>
              <w:t>。</w:t>
            </w:r>
          </w:p>
        </w:tc>
      </w:tr>
      <w:tr w14:paraId="43DAF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14:paraId="040A52E0">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付款方式</w:t>
            </w:r>
          </w:p>
        </w:tc>
        <w:tc>
          <w:tcPr>
            <w:tcW w:w="7654" w:type="dxa"/>
            <w:tcBorders>
              <w:top w:val="single" w:color="auto" w:sz="4" w:space="0"/>
              <w:left w:val="single" w:color="auto" w:sz="4" w:space="0"/>
              <w:bottom w:val="single" w:color="auto" w:sz="4" w:space="0"/>
              <w:right w:val="single" w:color="auto" w:sz="4" w:space="0"/>
            </w:tcBorders>
            <w:vAlign w:val="center"/>
          </w:tcPr>
          <w:p w14:paraId="4D8F410A">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财政性资金按财政国库集中支付规定程序办理。合同中所有货物交付完毕经采购人签收后，</w:t>
            </w:r>
            <w:r>
              <w:rPr>
                <w:rFonts w:ascii="仿宋_GB2312" w:hAnsi="仿宋_GB2312" w:eastAsia="仿宋_GB2312" w:cs="仿宋_GB2312"/>
                <w:bCs/>
                <w:color w:val="000000"/>
                <w:sz w:val="24"/>
              </w:rPr>
              <w:t>5</w:t>
            </w:r>
            <w:r>
              <w:rPr>
                <w:rFonts w:hint="eastAsia" w:ascii="仿宋_GB2312" w:hAnsi="仿宋_GB2312" w:eastAsia="仿宋_GB2312" w:cs="仿宋_GB2312"/>
                <w:bCs/>
                <w:color w:val="000000"/>
                <w:sz w:val="24"/>
              </w:rPr>
              <w:t>个工作日内进行验收，验收合格后，采购人收到合法有效发票后</w:t>
            </w:r>
            <w:r>
              <w:rPr>
                <w:rFonts w:ascii="仿宋_GB2312" w:hAnsi="仿宋_GB2312" w:eastAsia="仿宋_GB2312" w:cs="仿宋_GB2312"/>
                <w:bCs/>
                <w:color w:val="000000"/>
                <w:sz w:val="24"/>
              </w:rPr>
              <w:t>5</w:t>
            </w:r>
            <w:r>
              <w:rPr>
                <w:rFonts w:hint="eastAsia" w:ascii="仿宋_GB2312" w:hAnsi="仿宋_GB2312" w:eastAsia="仿宋_GB2312" w:cs="仿宋_GB2312"/>
                <w:bCs/>
                <w:color w:val="000000"/>
                <w:sz w:val="24"/>
              </w:rPr>
              <w:t>个工作日内支付合同金额的100%。</w:t>
            </w:r>
          </w:p>
          <w:p w14:paraId="2864E565">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注：</w:t>
            </w:r>
            <w:r>
              <w:rPr>
                <w:rFonts w:hint="eastAsia" w:ascii="仿宋_GB2312" w:hAnsi="仿宋_GB2312" w:eastAsia="仿宋_GB2312" w:cs="仿宋_GB2312"/>
                <w:b/>
                <w:bCs w:val="0"/>
                <w:color w:val="000000"/>
                <w:sz w:val="24"/>
              </w:rPr>
              <w:t>资金支付等事项按照《保障中小企业款项支付条例》（国务院令第802号）、《广西壮族自治区财政厅关于持续优化政府采购营商环境推动高质量发展的通知》等要求执行。</w:t>
            </w:r>
          </w:p>
        </w:tc>
      </w:tr>
      <w:tr w14:paraId="6B6F3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14:paraId="2D235D46">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备品备件及耗材等要求</w:t>
            </w:r>
          </w:p>
        </w:tc>
        <w:tc>
          <w:tcPr>
            <w:tcW w:w="7654" w:type="dxa"/>
            <w:tcBorders>
              <w:top w:val="single" w:color="auto" w:sz="4" w:space="0"/>
              <w:left w:val="single" w:color="auto" w:sz="4" w:space="0"/>
              <w:bottom w:val="single" w:color="auto" w:sz="4" w:space="0"/>
              <w:right w:val="single" w:color="auto" w:sz="4" w:space="0"/>
            </w:tcBorders>
            <w:vAlign w:val="center"/>
          </w:tcPr>
          <w:p w14:paraId="59301ADF">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1.投标人所提供零部件、配件及安装材料必须是符合国家规定质量安全标准的全新、合格产品；该项费用应包含在报价中；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2.投标人所提供完整的全套设备须包括必备的易损耗备件和专用工</w:t>
            </w:r>
            <w:r>
              <w:rPr>
                <w:rFonts w:hint="eastAsia" w:ascii="仿宋_GB2312" w:hAnsi="仿宋_GB2312" w:eastAsia="仿宋_GB2312" w:cs="仿宋_GB2312"/>
                <w:bCs/>
                <w:color w:val="000000"/>
                <w:sz w:val="24"/>
                <w:lang w:eastAsia="zh-CN"/>
              </w:rPr>
              <w:t>具。</w:t>
            </w:r>
            <w:r>
              <w:rPr>
                <w:rFonts w:hint="eastAsia" w:ascii="仿宋_GB2312" w:hAnsi="仿宋_GB2312" w:eastAsia="仿宋_GB2312" w:cs="仿宋_GB2312"/>
                <w:bCs/>
                <w:color w:val="000000"/>
                <w:sz w:val="24"/>
              </w:rPr>
              <w:t>3.投标人必须有完善的备品备件库体系，质保期内能提供相应的免费的措施和配件，保证过质保期后五年内有足够的备品备件，为完成本项目技术支持、服务需求提供可靠保证。</w:t>
            </w:r>
          </w:p>
        </w:tc>
      </w:tr>
      <w:tr w14:paraId="25FCB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14:paraId="125C88EF">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辅助材料及施工等</w:t>
            </w:r>
          </w:p>
        </w:tc>
        <w:tc>
          <w:tcPr>
            <w:tcW w:w="7654" w:type="dxa"/>
            <w:tcBorders>
              <w:top w:val="single" w:color="auto" w:sz="4" w:space="0"/>
              <w:left w:val="single" w:color="auto" w:sz="4" w:space="0"/>
              <w:bottom w:val="single" w:color="auto" w:sz="4" w:space="0"/>
              <w:right w:val="single" w:color="auto" w:sz="4" w:space="0"/>
            </w:tcBorders>
            <w:vAlign w:val="center"/>
          </w:tcPr>
          <w:p w14:paraId="3CA587D1">
            <w:pPr>
              <w:widowControl/>
              <w:spacing w:line="400" w:lineRule="exac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w:t>
            </w:r>
            <w:r>
              <w:rPr>
                <w:rFonts w:hint="eastAsia" w:ascii="仿宋_GB2312" w:eastAsia="仿宋_GB2312"/>
                <w:bCs/>
                <w:color w:val="000000"/>
                <w:sz w:val="24"/>
              </w:rPr>
              <w:t>投标人承担8间教室原有教学设备</w:t>
            </w:r>
            <w:r>
              <w:rPr>
                <w:rFonts w:hint="eastAsia" w:ascii="仿宋_GB2312" w:eastAsia="仿宋_GB2312"/>
                <w:sz w:val="24"/>
              </w:rPr>
              <w:t>（包含原有黑板/旧电视/电源网络）的拆除工作。确保所有操作规范、有序，避免对教室结构及周边环境造成损害。设备拆除前与采购</w:t>
            </w:r>
            <w:r>
              <w:rPr>
                <w:rFonts w:hint="eastAsia" w:ascii="仿宋_GB2312" w:eastAsia="仿宋_GB2312"/>
                <w:sz w:val="24"/>
                <w:lang w:eastAsia="zh-CN"/>
              </w:rPr>
              <w:t>人</w:t>
            </w:r>
            <w:r>
              <w:rPr>
                <w:rFonts w:hint="eastAsia" w:ascii="仿宋_GB2312" w:eastAsia="仿宋_GB2312"/>
                <w:sz w:val="24"/>
              </w:rPr>
              <w:t>确认设备状态，拆除后移交给采购</w:t>
            </w:r>
            <w:r>
              <w:rPr>
                <w:rFonts w:hint="eastAsia" w:ascii="仿宋_GB2312" w:eastAsia="仿宋_GB2312"/>
                <w:sz w:val="24"/>
                <w:lang w:eastAsia="zh-CN"/>
              </w:rPr>
              <w:t>人</w:t>
            </w:r>
            <w:r>
              <w:rPr>
                <w:rFonts w:hint="eastAsia" w:ascii="仿宋_GB2312" w:eastAsia="仿宋_GB2312"/>
                <w:sz w:val="24"/>
              </w:rPr>
              <w:t>时确认设备状态，如因拆除导致原状态正常的设备损坏，</w:t>
            </w:r>
            <w:r>
              <w:rPr>
                <w:rFonts w:hint="eastAsia" w:ascii="仿宋_GB2312" w:eastAsia="仿宋_GB2312"/>
                <w:sz w:val="24"/>
                <w:lang w:eastAsia="zh-CN"/>
              </w:rPr>
              <w:t>投标人</w:t>
            </w:r>
            <w:r>
              <w:rPr>
                <w:rFonts w:hint="eastAsia" w:ascii="仿宋_GB2312" w:eastAsia="仿宋_GB2312"/>
                <w:sz w:val="24"/>
              </w:rPr>
              <w:t>负责维修。投标人需负责妥善处理所有废旧设备，包括但不限于进行分类存放、联系采购人进行回收等。同时，投标人还需确保拆除工作的高效进行，以最小化对学校正常教学秩序的影响</w:t>
            </w:r>
            <w:r>
              <w:rPr>
                <w:rFonts w:hint="eastAsia" w:ascii="仿宋_GB2312" w:hAnsi="仿宋_GB2312" w:eastAsia="仿宋_GB2312" w:cs="仿宋_GB2312"/>
                <w:sz w:val="24"/>
              </w:rPr>
              <w:t>；</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2.施工布线：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①电源配电箱：含空开等配件（4间教室和一间机房总空开1个，根据实际情况进行分组供电，要求满足所有电脑正常工作需求）；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②电源线：铜质2.5平方国家标准电源线，机房内插座到空开连接用铜质2.5平方国家标准电源线，用量满足实际布线需求；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③施工辅材：含PVC管、PVC线槽、防踢防踩线槽盖板及其他施工所需的辅材；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④含强弱电布线施工安装费、设备调试安装费，培训费；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⑤国家标准六类双绞网线、水晶头等（用量满足实际布线需求）；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⑥按柳州市教育局工程施工规范要求实施。</w:t>
            </w:r>
          </w:p>
        </w:tc>
      </w:tr>
      <w:tr w14:paraId="071F7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14:paraId="68317FBC">
            <w:pPr>
              <w:pStyle w:val="26"/>
              <w:snapToGrid w:val="0"/>
              <w:spacing w:line="400" w:lineRule="exact"/>
              <w:ind w:right="27" w:rightChars="13"/>
              <w:rPr>
                <w:rFonts w:hint="eastAsia" w:eastAsia="仿宋_GB2312" w:cs="仿宋_GB2312" w:asciiTheme="minorHAnsi" w:hAnsiTheme="minorHAnsi"/>
                <w:bCs/>
                <w:color w:val="000000"/>
                <w:sz w:val="24"/>
                <w:lang w:val="en-GB"/>
              </w:rPr>
            </w:pPr>
            <w:r>
              <w:rPr>
                <w:rFonts w:ascii="仿宋_GB2312" w:hAnsi="宋体" w:eastAsia="仿宋_GB2312" w:cs="宋体"/>
                <w:b/>
                <w:kern w:val="0"/>
                <w:sz w:val="24"/>
              </w:rPr>
              <w:t>★</w:t>
            </w:r>
            <w:r>
              <w:rPr>
                <w:rFonts w:hint="eastAsia" w:ascii="仿宋_GB2312" w:hAnsi="宋体" w:eastAsia="仿宋_GB2312" w:cs="Arial"/>
                <w:b/>
                <w:bCs/>
                <w:sz w:val="24"/>
                <w:szCs w:val="24"/>
              </w:rPr>
              <w:t>三、</w:t>
            </w:r>
            <w:r>
              <w:rPr>
                <w:rFonts w:hint="eastAsia" w:ascii="仿宋_GB2312" w:hAnsi="宋体" w:eastAsia="仿宋_GB2312"/>
                <w:b/>
                <w:sz w:val="24"/>
              </w:rPr>
              <w:t>验收要求</w:t>
            </w:r>
          </w:p>
        </w:tc>
      </w:tr>
      <w:tr w14:paraId="48E64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14:paraId="3E43E38A">
            <w:pPr>
              <w:spacing w:line="440" w:lineRule="exact"/>
              <w:ind w:right="-27" w:rightChars="-13"/>
              <w:jc w:val="left"/>
              <w:rPr>
                <w:rFonts w:hint="eastAsia" w:eastAsia="仿宋_GB2312" w:cs="Arial" w:asciiTheme="minorHAnsi" w:hAnsiTheme="minorHAnsi"/>
                <w:bCs/>
                <w:color w:val="000000"/>
                <w:sz w:val="24"/>
                <w:lang w:val="en-GB"/>
              </w:rPr>
            </w:pPr>
            <w:r>
              <w:rPr>
                <w:rFonts w:ascii="仿宋_GB2312" w:hAnsi="仿宋_GB2312" w:eastAsia="仿宋_GB2312" w:cs="仿宋_GB2312"/>
                <w:bCs/>
                <w:color w:val="000000"/>
                <w:sz w:val="24"/>
              </w:rPr>
              <w:t>验收标准及要求</w:t>
            </w:r>
          </w:p>
        </w:tc>
        <w:tc>
          <w:tcPr>
            <w:tcW w:w="7654" w:type="dxa"/>
            <w:tcBorders>
              <w:top w:val="single" w:color="auto" w:sz="4" w:space="0"/>
              <w:left w:val="single" w:color="auto" w:sz="4" w:space="0"/>
              <w:bottom w:val="single" w:color="auto" w:sz="4" w:space="0"/>
              <w:right w:val="single" w:color="auto" w:sz="4" w:space="0"/>
            </w:tcBorders>
            <w:vAlign w:val="center"/>
          </w:tcPr>
          <w:p w14:paraId="781F2B4A">
            <w:pPr>
              <w:spacing w:line="440" w:lineRule="exact"/>
              <w:ind w:right="27" w:rightChars="13"/>
              <w:jc w:val="left"/>
              <w:rPr>
                <w:rFonts w:hint="eastAsia" w:ascii="仿宋_GB2312" w:hAnsi="仿宋_GB2312" w:eastAsia="仿宋_GB2312" w:cs="仿宋_GB2312"/>
                <w:bCs/>
                <w:color w:val="000000"/>
                <w:sz w:val="24"/>
              </w:rPr>
            </w:pPr>
            <w:r>
              <w:rPr>
                <w:rFonts w:ascii="仿宋_GB2312" w:hAnsi="仿宋_GB2312" w:eastAsia="仿宋_GB2312" w:cs="仿宋_GB2312"/>
                <w:bCs/>
                <w:color w:val="000000"/>
                <w:sz w:val="24"/>
              </w:rPr>
              <w:t>1.国家强制性技术标准及有关规定；
</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2.交货验收时，采购人根据《广西壮族自治区政府采购项目履约验收管理办法》的规定，由采购人及中标人双方共同进行验收。必要时可委托国家认可的质量检测机构开展采购项目验收工作；
</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3.本项目因中标人提供的货物不能满足采购需求的技术参数或其投标文件承诺等原因无法通过验收，造成不能按时、按质、按量完成项目要求的，将按照《中华人民共和国政府采购法》等法律法规由中标人承担相应的法律责任；
</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4.验收费用：验收所产生的检验费及相关的全部费用均由中标人承担；</w:t>
            </w:r>
          </w:p>
        </w:tc>
      </w:tr>
      <w:tr w14:paraId="4EF07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14:paraId="67F46C41">
            <w:pPr>
              <w:pStyle w:val="26"/>
              <w:snapToGrid w:val="0"/>
              <w:spacing w:line="400" w:lineRule="exact"/>
              <w:ind w:right="-330" w:rightChars="-157"/>
              <w:rPr>
                <w:rFonts w:hint="eastAsia" w:ascii="仿宋_GB2312" w:hAnsi="宋体" w:eastAsia="仿宋_GB2312" w:cs="Arial"/>
                <w:b/>
                <w:bCs/>
                <w:color w:val="000000"/>
                <w:sz w:val="24"/>
                <w:szCs w:val="24"/>
              </w:rPr>
            </w:pPr>
            <w:r>
              <w:rPr>
                <w:rFonts w:hint="eastAsia" w:ascii="仿宋_GB2312" w:hAnsi="宋体" w:eastAsia="仿宋_GB2312" w:cs="Arial"/>
                <w:b/>
                <w:bCs/>
                <w:color w:val="000000"/>
                <w:sz w:val="24"/>
                <w:szCs w:val="24"/>
              </w:rPr>
              <w:t>四、</w:t>
            </w:r>
            <w:r>
              <w:rPr>
                <w:rFonts w:hint="eastAsia" w:ascii="仿宋_GB2312" w:hAnsi="宋体" w:eastAsia="仿宋_GB2312"/>
                <w:b/>
                <w:sz w:val="24"/>
              </w:rPr>
              <w:t>资信要求</w:t>
            </w:r>
          </w:p>
        </w:tc>
      </w:tr>
      <w:tr w14:paraId="44371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14:paraId="64FBF577">
            <w:pPr>
              <w:spacing w:line="440" w:lineRule="exact"/>
              <w:ind w:right="-27" w:rightChars="-13"/>
              <w:jc w:val="left"/>
              <w:rPr>
                <w:rFonts w:hint="eastAsia" w:ascii="仿宋_GB2312" w:hAnsi="宋体" w:eastAsia="仿宋_GB2312" w:cs="Arial"/>
                <w:bCs/>
                <w:color w:val="000000"/>
                <w:sz w:val="24"/>
              </w:rPr>
            </w:pPr>
            <w:r>
              <w:rPr>
                <w:rFonts w:ascii="仿宋_GB2312" w:hAnsi="仿宋_GB2312" w:eastAsia="仿宋_GB2312" w:cs="仿宋_GB2312"/>
                <w:bCs/>
                <w:color w:val="000000"/>
                <w:sz w:val="24"/>
              </w:rPr>
              <w:t>政策性加分条件（如有）</w:t>
            </w:r>
          </w:p>
        </w:tc>
        <w:tc>
          <w:tcPr>
            <w:tcW w:w="7654" w:type="dxa"/>
            <w:tcBorders>
              <w:top w:val="single" w:color="auto" w:sz="4" w:space="0"/>
              <w:left w:val="single" w:color="auto" w:sz="4" w:space="0"/>
              <w:bottom w:val="single" w:color="auto" w:sz="4" w:space="0"/>
              <w:right w:val="single" w:color="auto" w:sz="4" w:space="0"/>
            </w:tcBorders>
            <w:vAlign w:val="center"/>
          </w:tcPr>
          <w:p w14:paraId="4E4300F1">
            <w:pPr>
              <w:pStyle w:val="487"/>
              <w:spacing w:before="0" w:beforeAutospacing="0" w:after="0" w:afterAutospacing="0" w:line="460" w:lineRule="atLeast"/>
              <w:rPr>
                <w:rFonts w:ascii="仿宋_GB2312" w:eastAsia="仿宋_GB2312"/>
                <w:color w:val="000000"/>
              </w:rPr>
            </w:pPr>
            <w:r>
              <w:rPr>
                <w:rFonts w:hint="eastAsia" w:ascii="仿宋_GB2312" w:eastAsia="仿宋_GB2312"/>
                <w:color w:val="000000"/>
              </w:rPr>
              <w:t>1．《政府采购促进中小企业发展管理办法》（财库〔2020〕46号），符合办法规定条件且出具该办法规定的《中小企业声明函》的小型和微型企业报价，对其报价给予20%的扣除。监狱企业、残疾人福利性单位视同小型和微型企业；</w:t>
            </w:r>
          </w:p>
          <w:p w14:paraId="26DAFD58">
            <w:pPr>
              <w:pStyle w:val="487"/>
              <w:spacing w:before="0" w:beforeAutospacing="0" w:after="0" w:afterAutospacing="0" w:line="460" w:lineRule="atLeast"/>
              <w:rPr>
                <w:rFonts w:hint="eastAsia" w:ascii="仿宋_GB2312" w:eastAsia="仿宋_GB2312"/>
                <w:color w:val="auto"/>
              </w:rPr>
            </w:pPr>
            <w:r>
              <w:rPr>
                <w:rStyle w:val="488"/>
                <w:rFonts w:hint="eastAsia" w:ascii="仿宋_GB2312" w:eastAsia="仿宋_GB2312"/>
                <w:color w:val="000000"/>
              </w:rPr>
              <w:t>注：（1）采购标的对应的中小企业划分标准所属</w:t>
            </w:r>
            <w:r>
              <w:rPr>
                <w:rStyle w:val="488"/>
                <w:rFonts w:hint="eastAsia" w:ascii="仿宋_GB2312" w:eastAsia="仿宋_GB2312"/>
                <w:color w:val="auto"/>
              </w:rPr>
              <w:t>行业：第</w:t>
            </w:r>
            <w:r>
              <w:rPr>
                <w:rStyle w:val="488"/>
                <w:rFonts w:hint="eastAsia" w:ascii="仿宋_GB2312" w:eastAsia="仿宋_GB2312"/>
                <w:color w:val="auto"/>
                <w:lang w:val="en-US" w:eastAsia="zh-CN"/>
              </w:rPr>
              <w:t>11</w:t>
            </w:r>
            <w:r>
              <w:rPr>
                <w:rStyle w:val="488"/>
                <w:rFonts w:hint="eastAsia" w:ascii="仿宋_GB2312" w:eastAsia="仿宋_GB2312"/>
                <w:color w:val="auto"/>
              </w:rPr>
              <w:t>项属于</w:t>
            </w:r>
            <w:r>
              <w:rPr>
                <w:rStyle w:val="488"/>
                <w:rFonts w:hint="eastAsia" w:ascii="仿宋_GB2312" w:eastAsia="仿宋_GB2312"/>
                <w:color w:val="auto"/>
                <w:u w:val="single"/>
              </w:rPr>
              <w:t>软件和信息技术服务业，</w:t>
            </w:r>
            <w:r>
              <w:rPr>
                <w:rStyle w:val="488"/>
                <w:rFonts w:hint="eastAsia" w:ascii="仿宋_GB2312" w:eastAsia="仿宋_GB2312"/>
                <w:color w:val="auto"/>
              </w:rPr>
              <w:t>其余标的属于</w:t>
            </w:r>
            <w:r>
              <w:rPr>
                <w:rStyle w:val="488"/>
                <w:rFonts w:hint="eastAsia" w:ascii="仿宋_GB2312" w:eastAsia="仿宋_GB2312"/>
                <w:color w:val="auto"/>
                <w:u w:val="single"/>
              </w:rPr>
              <w:t>工业</w:t>
            </w:r>
            <w:r>
              <w:rPr>
                <w:rStyle w:val="488"/>
                <w:rFonts w:hint="eastAsia" w:ascii="仿宋_GB2312" w:eastAsia="仿宋_GB2312"/>
                <w:color w:val="auto"/>
              </w:rPr>
              <w:t>；</w:t>
            </w:r>
            <w:r>
              <w:rPr>
                <w:rFonts w:hint="eastAsia" w:ascii="仿宋_GB2312" w:eastAsia="仿宋_GB2312"/>
                <w:color w:val="auto"/>
              </w:rPr>
              <w:t> </w:t>
            </w:r>
          </w:p>
          <w:p w14:paraId="3F645283">
            <w:pPr>
              <w:pStyle w:val="487"/>
              <w:spacing w:before="0" w:beforeAutospacing="0" w:after="0" w:afterAutospacing="0" w:line="460" w:lineRule="atLeast"/>
              <w:rPr>
                <w:rFonts w:hint="eastAsia" w:ascii="仿宋_GB2312" w:eastAsia="仿宋_GB2312"/>
                <w:color w:val="000000"/>
              </w:rPr>
            </w:pPr>
            <w:r>
              <w:rPr>
                <w:rStyle w:val="488"/>
                <w:rFonts w:hint="eastAsia" w:ascii="仿宋_GB2312" w:eastAsia="仿宋_GB2312"/>
                <w:color w:val="000000"/>
              </w:rPr>
              <w:t>（2）中小企业划分有关标准根据工信部等部委发布的《关于印发中小企业划型标准规定的通知》（工信部联企业〔2011〕300号）确定；</w:t>
            </w:r>
          </w:p>
          <w:p w14:paraId="434763AF">
            <w:pPr>
              <w:pStyle w:val="487"/>
              <w:spacing w:before="0" w:beforeAutospacing="0" w:after="0" w:afterAutospacing="0" w:line="460" w:lineRule="atLeast"/>
              <w:rPr>
                <w:rFonts w:hint="eastAsia" w:ascii="仿宋_GB2312" w:eastAsia="仿宋_GB2312"/>
                <w:color w:val="000000"/>
              </w:rPr>
            </w:pPr>
            <w:r>
              <w:rPr>
                <w:rStyle w:val="488"/>
                <w:rFonts w:hint="eastAsia" w:ascii="仿宋_GB2312" w:eastAsia="仿宋_GB2312"/>
                <w:color w:val="000000"/>
              </w:rPr>
              <w:t>（3）为方便投标人识别企业规模类型，投标人可使用工业和信息化部组织开发的中小企业规模类型自测小程序生成企业规模类型测试结果。自测小程序链接：https://baosong.miit.gov.cn/ScaleTest</w:t>
            </w:r>
          </w:p>
          <w:p w14:paraId="7ACA0807">
            <w:pPr>
              <w:pStyle w:val="48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2.《财政部、司法部关于政府采购支持监狱企业发展有关问题的通知》（财库〔2014〕68号）；</w:t>
            </w:r>
          </w:p>
          <w:p w14:paraId="68CE7400">
            <w:pPr>
              <w:pStyle w:val="48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3.《财政部 民政部 中国残疾人联合会关于促进残疾人就业政府采购政策的通知》（财库〔2017〕141号）；</w:t>
            </w:r>
          </w:p>
          <w:p w14:paraId="0B28C0DF">
            <w:pPr>
              <w:pStyle w:val="48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4.《财政部 发展改革委 生态环境部 市场监管总局关于调整优化节能产品、环境标志产品政府采购执行机制的通知》（财库〔2019〕9号）：对政府采购节能产品、环境标志产品实施品目清单管理，依据品目清单和认证证书实施政府优先采购和强制采购；</w:t>
            </w:r>
          </w:p>
          <w:p w14:paraId="3797D6F0">
            <w:pPr>
              <w:pStyle w:val="48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5.财政部 生态环境部《关于印发环境标志产品政府采购品目清单的通知》（财库〔2019〕18号）；</w:t>
            </w:r>
          </w:p>
          <w:p w14:paraId="78A9A241">
            <w:pPr>
              <w:pStyle w:val="48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6.财政部 发展改革委《关于印发节能产品政府采购品目清单的通知》（财库〔2019〕19号）；</w:t>
            </w:r>
          </w:p>
        </w:tc>
      </w:tr>
      <w:tr w14:paraId="266FE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14:paraId="01EAA94F">
            <w:pPr>
              <w:spacing w:line="440" w:lineRule="exact"/>
              <w:ind w:right="-27" w:rightChars="-13"/>
              <w:jc w:val="left"/>
              <w:rPr>
                <w:rFonts w:hint="eastAsia" w:ascii="仿宋_GB2312" w:hAnsi="宋体" w:eastAsia="仿宋_GB2312" w:cs="Arial"/>
                <w:bCs/>
                <w:color w:val="000000"/>
                <w:sz w:val="24"/>
              </w:rPr>
            </w:pPr>
            <w:r>
              <w:rPr>
                <w:rFonts w:ascii="仿宋_GB2312" w:hAnsi="仿宋_GB2312" w:eastAsia="仿宋_GB2312" w:cs="仿宋_GB2312"/>
                <w:bCs/>
                <w:color w:val="000000"/>
                <w:sz w:val="24"/>
              </w:rPr>
              <w:t xml:space="preserve">质量管理、企业信用要求（如有） </w:t>
            </w:r>
          </w:p>
        </w:tc>
        <w:tc>
          <w:tcPr>
            <w:tcW w:w="7654" w:type="dxa"/>
            <w:tcBorders>
              <w:top w:val="single" w:color="auto" w:sz="4" w:space="0"/>
              <w:left w:val="single" w:color="auto" w:sz="4" w:space="0"/>
              <w:bottom w:val="single" w:color="auto" w:sz="4" w:space="0"/>
              <w:right w:val="single" w:color="auto" w:sz="4" w:space="0"/>
            </w:tcBorders>
            <w:vAlign w:val="center"/>
          </w:tcPr>
          <w:p w14:paraId="010B19C8">
            <w:pPr>
              <w:pStyle w:val="508"/>
              <w:spacing w:before="0" w:beforeAutospacing="0" w:after="0" w:afterAutospacing="0" w:line="460" w:lineRule="atLeast"/>
              <w:rPr>
                <w:rFonts w:ascii="仿宋_GB2312" w:eastAsia="仿宋_GB2312"/>
                <w:color w:val="000000"/>
              </w:rPr>
            </w:pPr>
            <w:r>
              <w:rPr>
                <w:rFonts w:hint="eastAsia" w:ascii="仿宋_GB2312" w:eastAsia="仿宋_GB2312"/>
                <w:color w:val="000000"/>
              </w:rPr>
              <w:t>1.投标人或所投核心产品生产厂商具备有效的质量管理体系认证</w:t>
            </w:r>
            <w:r>
              <w:rPr>
                <w:rFonts w:hint="eastAsia" w:ascii="仿宋_GB2312" w:eastAsia="仿宋_GB2312"/>
                <w:color w:val="000000"/>
                <w:lang w:val="en-US" w:eastAsia="zh-CN"/>
              </w:rPr>
              <w:t>证书</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2.投标人或所投核心产品生产厂商具备有效的职业健康安全管理体系认证</w:t>
            </w:r>
            <w:r>
              <w:rPr>
                <w:rFonts w:hint="eastAsia" w:ascii="仿宋_GB2312" w:eastAsia="仿宋_GB2312"/>
                <w:color w:val="000000"/>
                <w:lang w:val="en-US" w:eastAsia="zh-CN"/>
              </w:rPr>
              <w:t>证书</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3.投标人或所投核心产品生产厂商具备有效的环境管理体系认证</w:t>
            </w:r>
            <w:r>
              <w:rPr>
                <w:rFonts w:hint="eastAsia" w:ascii="仿宋_GB2312" w:eastAsia="仿宋_GB2312"/>
                <w:color w:val="000000"/>
                <w:lang w:val="en-US" w:eastAsia="zh-CN"/>
              </w:rPr>
              <w:t>证书</w:t>
            </w:r>
            <w:r>
              <w:rPr>
                <w:rFonts w:hint="eastAsia" w:ascii="仿宋_GB2312" w:eastAsia="仿宋_GB2312"/>
                <w:color w:val="000000"/>
              </w:rPr>
              <w:t>。</w:t>
            </w:r>
          </w:p>
        </w:tc>
      </w:tr>
      <w:tr w14:paraId="58B4E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14:paraId="773DD489">
            <w:pPr>
              <w:pStyle w:val="26"/>
              <w:snapToGrid w:val="0"/>
              <w:spacing w:line="400" w:lineRule="exact"/>
              <w:ind w:right="-330" w:rightChars="-157"/>
              <w:rPr>
                <w:rFonts w:hint="eastAsia" w:ascii="仿宋_GB2312" w:hAnsi="宋体" w:eastAsia="仿宋_GB2312" w:cs="宋体"/>
                <w:bCs/>
                <w:color w:val="000000"/>
                <w:sz w:val="24"/>
              </w:rPr>
            </w:pPr>
            <w:r>
              <w:rPr>
                <w:rFonts w:hint="eastAsia" w:ascii="仿宋_GB2312" w:hAnsi="宋体" w:eastAsia="仿宋_GB2312"/>
                <w:b/>
                <w:bCs/>
                <w:sz w:val="24"/>
              </w:rPr>
              <w:t>五、其他要求</w:t>
            </w:r>
          </w:p>
        </w:tc>
      </w:tr>
      <w:tr w14:paraId="3A335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14:paraId="0C7F4525">
            <w:pPr>
              <w:spacing w:line="440" w:lineRule="exact"/>
              <w:ind w:right="-107" w:rightChars="-51"/>
              <w:jc w:val="left"/>
              <w:rPr>
                <w:rFonts w:hint="eastAsia" w:ascii="仿宋_GB2312" w:hAnsi="宋体" w:eastAsia="仿宋_GB2312" w:cs="Arial"/>
                <w:bCs/>
                <w:color w:val="000000"/>
                <w:sz w:val="24"/>
              </w:rPr>
            </w:pPr>
            <w:r>
              <w:rPr>
                <w:rFonts w:ascii="仿宋_GB2312" w:hAnsi="宋体" w:eastAsia="仿宋_GB2312" w:cs="Arial"/>
                <w:bCs/>
                <w:color w:val="000000"/>
                <w:sz w:val="24"/>
              </w:rPr>
              <w:t>无</w:t>
            </w:r>
          </w:p>
        </w:tc>
        <w:tc>
          <w:tcPr>
            <w:tcW w:w="7654" w:type="dxa"/>
            <w:tcBorders>
              <w:top w:val="single" w:color="auto" w:sz="4" w:space="0"/>
              <w:left w:val="single" w:color="auto" w:sz="4" w:space="0"/>
              <w:bottom w:val="single" w:color="auto" w:sz="4" w:space="0"/>
              <w:right w:val="single" w:color="auto" w:sz="4" w:space="0"/>
            </w:tcBorders>
            <w:vAlign w:val="center"/>
          </w:tcPr>
          <w:p w14:paraId="4BC34EAD">
            <w:pPr>
              <w:spacing w:line="440" w:lineRule="exact"/>
              <w:ind w:right="27" w:rightChars="13"/>
              <w:jc w:val="left"/>
              <w:rPr>
                <w:rFonts w:hint="eastAsia" w:ascii="仿宋_GB2312" w:hAnsi="宋体" w:eastAsia="仿宋_GB2312" w:cs="Arial"/>
                <w:bCs/>
                <w:color w:val="000000"/>
                <w:sz w:val="24"/>
              </w:rPr>
            </w:pPr>
            <w:r>
              <w:rPr>
                <w:rFonts w:hint="eastAsia" w:ascii="仿宋_GB2312" w:hAnsi="宋体" w:eastAsia="仿宋_GB2312" w:cs="Arial"/>
                <w:bCs/>
                <w:color w:val="000000"/>
                <w:sz w:val="24"/>
              </w:rPr>
              <w:t xml:space="preserve"> </w:t>
            </w:r>
          </w:p>
        </w:tc>
      </w:tr>
    </w:tbl>
    <w:p w14:paraId="2184B52B">
      <w:pPr>
        <w:spacing w:line="360" w:lineRule="auto"/>
        <w:rPr>
          <w:rFonts w:ascii="仿宋_GB2312" w:eastAsia="仿宋_GB2312"/>
          <w:sz w:val="24"/>
        </w:rPr>
      </w:pPr>
    </w:p>
    <w:p w14:paraId="1A345D41">
      <w:pPr>
        <w:sectPr>
          <w:pgSz w:w="11906" w:h="16838"/>
          <w:pgMar w:top="1440" w:right="1440" w:bottom="1440" w:left="1440" w:header="851" w:footer="992" w:gutter="0"/>
          <w:cols w:space="720" w:num="1"/>
          <w:docGrid w:linePitch="312" w:charSpace="0"/>
        </w:sectPr>
      </w:pPr>
    </w:p>
    <w:p w14:paraId="41683E9A">
      <w:pPr>
        <w:pStyle w:val="3"/>
        <w:spacing w:line="276" w:lineRule="auto"/>
        <w:jc w:val="center"/>
        <w:rPr>
          <w:sz w:val="32"/>
          <w:szCs w:val="32"/>
        </w:rPr>
      </w:pPr>
      <w:bookmarkStart w:id="48" w:name="_Toc9651"/>
      <w:r>
        <w:rPr>
          <w:rFonts w:hint="eastAsia"/>
          <w:sz w:val="32"/>
          <w:szCs w:val="32"/>
        </w:rPr>
        <w:t>第三章 投标人须知</w:t>
      </w:r>
      <w:bookmarkEnd w:id="48"/>
    </w:p>
    <w:p w14:paraId="34B3E7F4">
      <w:pPr>
        <w:spacing w:line="276" w:lineRule="auto"/>
        <w:jc w:val="center"/>
        <w:rPr>
          <w:rFonts w:ascii="仿宋_GB2312" w:eastAsia="仿宋_GB2312"/>
          <w:b/>
          <w:sz w:val="28"/>
          <w:szCs w:val="28"/>
        </w:rPr>
      </w:pPr>
      <w:r>
        <w:rPr>
          <w:rFonts w:hint="eastAsia" w:ascii="仿宋_GB2312" w:eastAsia="仿宋_GB2312"/>
          <w:b/>
          <w:sz w:val="28"/>
          <w:szCs w:val="28"/>
        </w:rPr>
        <w:t>前附表</w:t>
      </w:r>
    </w:p>
    <w:tbl>
      <w:tblPr>
        <w:tblStyle w:val="49"/>
        <w:tblW w:w="90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232"/>
      </w:tblGrid>
      <w:tr w14:paraId="18D2AE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14:paraId="5951E9D1">
            <w:pPr>
              <w:spacing w:line="400" w:lineRule="exact"/>
              <w:jc w:val="center"/>
              <w:rPr>
                <w:rFonts w:ascii="仿宋_GB2312" w:eastAsia="仿宋_GB2312"/>
                <w:b/>
                <w:sz w:val="24"/>
              </w:rPr>
            </w:pPr>
            <w:r>
              <w:rPr>
                <w:rFonts w:hint="eastAsia" w:ascii="仿宋_GB2312" w:eastAsia="仿宋_GB2312"/>
                <w:b/>
                <w:sz w:val="24"/>
              </w:rPr>
              <w:t>序号</w:t>
            </w:r>
          </w:p>
        </w:tc>
        <w:tc>
          <w:tcPr>
            <w:tcW w:w="8232" w:type="dxa"/>
          </w:tcPr>
          <w:p w14:paraId="54F654EB">
            <w:pPr>
              <w:spacing w:line="400" w:lineRule="exact"/>
              <w:jc w:val="center"/>
              <w:rPr>
                <w:rFonts w:ascii="仿宋_GB2312" w:eastAsia="仿宋_GB2312"/>
                <w:b/>
                <w:sz w:val="24"/>
              </w:rPr>
            </w:pPr>
            <w:r>
              <w:rPr>
                <w:rFonts w:hint="eastAsia" w:ascii="仿宋_GB2312" w:eastAsia="仿宋_GB2312"/>
                <w:b/>
                <w:sz w:val="24"/>
              </w:rPr>
              <w:t>内    容</w:t>
            </w:r>
          </w:p>
        </w:tc>
      </w:tr>
      <w:tr w14:paraId="263FF2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836A904">
            <w:pPr>
              <w:spacing w:line="400" w:lineRule="exact"/>
              <w:jc w:val="center"/>
              <w:rPr>
                <w:rFonts w:ascii="仿宋_GB2312" w:eastAsia="仿宋_GB2312"/>
                <w:sz w:val="24"/>
              </w:rPr>
            </w:pPr>
            <w:r>
              <w:rPr>
                <w:rFonts w:hint="eastAsia" w:ascii="仿宋_GB2312" w:eastAsia="仿宋_GB2312"/>
                <w:sz w:val="24"/>
              </w:rPr>
              <w:t>1</w:t>
            </w:r>
          </w:p>
        </w:tc>
        <w:tc>
          <w:tcPr>
            <w:tcW w:w="8232" w:type="dxa"/>
            <w:vAlign w:val="center"/>
          </w:tcPr>
          <w:p w14:paraId="1DC4088B">
            <w:pPr>
              <w:spacing w:line="400" w:lineRule="exact"/>
              <w:rPr>
                <w:rFonts w:ascii="仿宋_GB2312" w:eastAsia="仿宋_GB2312"/>
                <w:sz w:val="24"/>
              </w:rPr>
            </w:pPr>
            <w:r>
              <w:rPr>
                <w:rFonts w:hint="eastAsia" w:ascii="仿宋_GB2312" w:eastAsia="仿宋_GB2312"/>
                <w:sz w:val="24"/>
              </w:rPr>
              <w:t>项目名称：</w:t>
            </w:r>
            <w:r>
              <w:rPr>
                <w:rFonts w:ascii="仿宋_GB2312" w:hAnsi="宋体" w:eastAsia="仿宋_GB2312"/>
                <w:sz w:val="24"/>
              </w:rPr>
              <w:t>信息化设备基础建设采购</w:t>
            </w:r>
          </w:p>
          <w:p w14:paraId="7028A61E">
            <w:pPr>
              <w:spacing w:line="400" w:lineRule="exact"/>
              <w:rPr>
                <w:rFonts w:ascii="仿宋_GB2312" w:eastAsia="仿宋_GB2312"/>
                <w:sz w:val="24"/>
              </w:rPr>
            </w:pPr>
            <w:r>
              <w:rPr>
                <w:rFonts w:hint="eastAsia" w:ascii="仿宋_GB2312" w:eastAsia="仿宋_GB2312"/>
                <w:sz w:val="24"/>
              </w:rPr>
              <w:t>项目编号：</w:t>
            </w:r>
            <w:r>
              <w:rPr>
                <w:rFonts w:hint="eastAsia" w:ascii="仿宋_GB2312" w:eastAsia="仿宋_GB2312"/>
                <w:sz w:val="24"/>
                <w:lang w:val="en-US" w:eastAsia="zh-CN"/>
              </w:rPr>
              <w:t>LZZC2025-G1-990823-LZSZ</w:t>
            </w:r>
          </w:p>
        </w:tc>
      </w:tr>
      <w:tr w14:paraId="2AD9C3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9F4110B">
            <w:pPr>
              <w:spacing w:line="400" w:lineRule="exact"/>
              <w:jc w:val="center"/>
              <w:rPr>
                <w:rFonts w:ascii="仿宋_GB2312" w:eastAsia="仿宋_GB2312"/>
                <w:sz w:val="24"/>
              </w:rPr>
            </w:pPr>
            <w:r>
              <w:rPr>
                <w:rFonts w:ascii="仿宋_GB2312" w:eastAsia="仿宋_GB2312"/>
                <w:sz w:val="24"/>
              </w:rPr>
              <w:t>2</w:t>
            </w:r>
          </w:p>
        </w:tc>
        <w:tc>
          <w:tcPr>
            <w:tcW w:w="8232" w:type="dxa"/>
          </w:tcPr>
          <w:p w14:paraId="61FB1E64">
            <w:pPr>
              <w:autoSpaceDE w:val="0"/>
              <w:autoSpaceDN w:val="0"/>
              <w:spacing w:line="400" w:lineRule="exact"/>
              <w:textAlignment w:val="bottom"/>
              <w:rPr>
                <w:rFonts w:ascii="仿宋_GB2312" w:eastAsia="仿宋_GB2312"/>
                <w:sz w:val="24"/>
              </w:rPr>
            </w:pPr>
            <w:r>
              <w:rPr>
                <w:rFonts w:hint="eastAsia" w:ascii="仿宋_GB2312" w:eastAsia="仿宋_GB2312"/>
                <w:sz w:val="24"/>
              </w:rPr>
              <w:t>采购资金来源：财政性资金</w:t>
            </w:r>
          </w:p>
          <w:p w14:paraId="234ADFC1">
            <w:pPr>
              <w:autoSpaceDE w:val="0"/>
              <w:autoSpaceDN w:val="0"/>
              <w:spacing w:line="400" w:lineRule="exact"/>
              <w:textAlignment w:val="bottom"/>
              <w:rPr>
                <w:rFonts w:ascii="仿宋_GB2312" w:eastAsia="仿宋_GB2312"/>
                <w:sz w:val="24"/>
              </w:rPr>
            </w:pPr>
            <w:r>
              <w:rPr>
                <w:rFonts w:hint="eastAsia" w:ascii="仿宋_GB2312" w:eastAsia="仿宋_GB2312"/>
                <w:sz w:val="24"/>
              </w:rPr>
              <w:t>预算金额（人民币）：</w:t>
            </w:r>
            <w:r>
              <w:rPr>
                <w:rFonts w:ascii="仿宋_GB2312" w:eastAsia="仿宋_GB2312"/>
                <w:sz w:val="24"/>
              </w:rPr>
              <w:t>捌拾万元整</w:t>
            </w:r>
            <w:r>
              <w:rPr>
                <w:rFonts w:hint="eastAsia" w:ascii="仿宋_GB2312" w:eastAsia="仿宋_GB2312"/>
                <w:sz w:val="24"/>
              </w:rPr>
              <w:t>（¥</w:t>
            </w:r>
            <w:r>
              <w:rPr>
                <w:rFonts w:ascii="仿宋_GB2312" w:eastAsia="仿宋_GB2312"/>
                <w:sz w:val="24"/>
              </w:rPr>
              <w:t>800</w:t>
            </w:r>
            <w:r>
              <w:rPr>
                <w:rFonts w:hint="eastAsia" w:ascii="仿宋_GB2312" w:eastAsia="仿宋_GB2312"/>
                <w:sz w:val="24"/>
                <w:lang w:val="en-US" w:eastAsia="zh-CN"/>
              </w:rPr>
              <w:t>,</w:t>
            </w:r>
            <w:r>
              <w:rPr>
                <w:rFonts w:ascii="仿宋_GB2312" w:eastAsia="仿宋_GB2312"/>
                <w:sz w:val="24"/>
              </w:rPr>
              <w:t>000</w:t>
            </w:r>
            <w:r>
              <w:rPr>
                <w:rFonts w:hint="eastAsia" w:ascii="仿宋_GB2312" w:eastAsia="仿宋_GB2312"/>
                <w:sz w:val="24"/>
                <w:lang w:val="en-US" w:eastAsia="zh-CN"/>
              </w:rPr>
              <w:t>.00</w:t>
            </w:r>
            <w:r>
              <w:rPr>
                <w:rFonts w:hint="eastAsia" w:ascii="仿宋_GB2312" w:eastAsia="仿宋_GB2312"/>
                <w:sz w:val="24"/>
              </w:rPr>
              <w:t>）。</w:t>
            </w:r>
          </w:p>
        </w:tc>
      </w:tr>
      <w:tr w14:paraId="53425B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89F433C">
            <w:pPr>
              <w:spacing w:line="400" w:lineRule="exact"/>
              <w:jc w:val="center"/>
              <w:rPr>
                <w:rFonts w:ascii="仿宋_GB2312" w:eastAsia="仿宋_GB2312"/>
                <w:sz w:val="24"/>
              </w:rPr>
            </w:pPr>
            <w:r>
              <w:rPr>
                <w:rFonts w:ascii="仿宋_GB2312" w:eastAsia="仿宋_GB2312"/>
                <w:sz w:val="24"/>
              </w:rPr>
              <w:t>3</w:t>
            </w:r>
          </w:p>
        </w:tc>
        <w:tc>
          <w:tcPr>
            <w:tcW w:w="8232" w:type="dxa"/>
            <w:vAlign w:val="center"/>
          </w:tcPr>
          <w:p w14:paraId="2B287915">
            <w:pPr>
              <w:spacing w:line="400" w:lineRule="exact"/>
              <w:rPr>
                <w:rFonts w:ascii="仿宋_GB2312" w:eastAsia="仿宋_GB2312"/>
                <w:sz w:val="24"/>
              </w:rPr>
            </w:pPr>
            <w:r>
              <w:rPr>
                <w:rFonts w:hint="eastAsia" w:ascii="仿宋_GB2312" w:eastAsia="仿宋_GB2312"/>
                <w:sz w:val="24"/>
              </w:rPr>
              <w:t>投标报价及费用：</w:t>
            </w:r>
          </w:p>
          <w:p w14:paraId="1A882AD7">
            <w:pPr>
              <w:spacing w:line="400" w:lineRule="exact"/>
              <w:rPr>
                <w:rFonts w:ascii="仿宋_GB2312" w:eastAsia="仿宋_GB2312"/>
                <w:sz w:val="24"/>
              </w:rPr>
            </w:pPr>
            <w:r>
              <w:rPr>
                <w:rFonts w:hint="eastAsia" w:ascii="仿宋_GB2312" w:eastAsia="仿宋_GB2312"/>
                <w:sz w:val="24"/>
              </w:rPr>
              <w:t>1.本项目投标应以人民币报价；</w:t>
            </w:r>
          </w:p>
          <w:p w14:paraId="3E76CBAD">
            <w:pPr>
              <w:spacing w:line="400" w:lineRule="exact"/>
              <w:rPr>
                <w:rFonts w:ascii="仿宋_GB2312" w:eastAsia="仿宋_GB2312"/>
                <w:sz w:val="24"/>
              </w:rPr>
            </w:pPr>
            <w:r>
              <w:rPr>
                <w:rFonts w:hint="eastAsia" w:ascii="仿宋_GB2312" w:eastAsia="仿宋_GB2312"/>
                <w:sz w:val="24"/>
              </w:rPr>
              <w:t>2.不论投标结果如何，投标人均应自行承担所有与投标有关的全部费用；</w:t>
            </w:r>
          </w:p>
          <w:p w14:paraId="76F877AB">
            <w:pPr>
              <w:spacing w:line="400" w:lineRule="exact"/>
              <w:rPr>
                <w:rFonts w:ascii="仿宋_GB2312" w:eastAsia="仿宋_GB2312"/>
                <w:sz w:val="24"/>
              </w:rPr>
            </w:pPr>
            <w:r>
              <w:rPr>
                <w:rFonts w:hint="eastAsia" w:ascii="仿宋_GB2312" w:eastAsia="仿宋_GB2312"/>
                <w:sz w:val="24"/>
              </w:rPr>
              <w:t>3.本次招标文件和代理服务费用全免。</w:t>
            </w:r>
          </w:p>
        </w:tc>
      </w:tr>
      <w:tr w14:paraId="0DA2EF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jc w:val="center"/>
        </w:trPr>
        <w:tc>
          <w:tcPr>
            <w:tcW w:w="817" w:type="dxa"/>
            <w:vAlign w:val="center"/>
          </w:tcPr>
          <w:p w14:paraId="14AF3526">
            <w:pPr>
              <w:spacing w:line="400" w:lineRule="exact"/>
              <w:jc w:val="center"/>
              <w:rPr>
                <w:rFonts w:ascii="仿宋_GB2312" w:eastAsia="仿宋_GB2312"/>
                <w:sz w:val="24"/>
              </w:rPr>
            </w:pPr>
            <w:r>
              <w:rPr>
                <w:rFonts w:ascii="仿宋_GB2312" w:eastAsia="仿宋_GB2312"/>
                <w:sz w:val="24"/>
              </w:rPr>
              <w:t>4</w:t>
            </w:r>
          </w:p>
        </w:tc>
        <w:tc>
          <w:tcPr>
            <w:tcW w:w="8232" w:type="dxa"/>
            <w:vAlign w:val="center"/>
          </w:tcPr>
          <w:p w14:paraId="55715F89">
            <w:pPr>
              <w:spacing w:line="400" w:lineRule="exact"/>
              <w:rPr>
                <w:rFonts w:ascii="仿宋_GB2312" w:eastAsia="仿宋_GB2312"/>
                <w:sz w:val="24"/>
              </w:rPr>
            </w:pPr>
            <w:r>
              <w:rPr>
                <w:rFonts w:hint="eastAsia" w:ascii="仿宋_GB2312" w:eastAsia="仿宋_GB2312"/>
                <w:sz w:val="24"/>
              </w:rPr>
              <w:t>投标保证金为：本项目无需提交投标保证金。</w:t>
            </w:r>
          </w:p>
        </w:tc>
      </w:tr>
      <w:tr w14:paraId="731D23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FE579C5">
            <w:pPr>
              <w:spacing w:line="400" w:lineRule="exact"/>
              <w:jc w:val="center"/>
              <w:rPr>
                <w:rFonts w:ascii="仿宋_GB2312" w:eastAsia="仿宋_GB2312"/>
                <w:sz w:val="24"/>
              </w:rPr>
            </w:pPr>
            <w:r>
              <w:rPr>
                <w:rFonts w:ascii="仿宋_GB2312" w:eastAsia="仿宋_GB2312"/>
                <w:sz w:val="24"/>
              </w:rPr>
              <w:t>5</w:t>
            </w:r>
          </w:p>
        </w:tc>
        <w:tc>
          <w:tcPr>
            <w:tcW w:w="8232" w:type="dxa"/>
            <w:vAlign w:val="center"/>
          </w:tcPr>
          <w:p w14:paraId="022BAF6C">
            <w:pPr>
              <w:spacing w:line="400" w:lineRule="exact"/>
              <w:rPr>
                <w:rFonts w:ascii="仿宋_GB2312" w:eastAsia="仿宋_GB2312"/>
                <w:sz w:val="24"/>
              </w:rPr>
            </w:pPr>
            <w:r>
              <w:rPr>
                <w:rFonts w:hint="eastAsia" w:ascii="仿宋_GB2312" w:hAnsi="宋体" w:eastAsia="仿宋_GB2312"/>
                <w:sz w:val="24"/>
              </w:rPr>
              <w:t>答疑与澄清：投标人如认为招标文件表述不清晰或对政府采购活动事项有疑问的，应当以书面形式向采购人提出询问、澄清；答疑内容是招标文件的组成部分，并将以书面形式送达所有已获取招标文件的投标人；采购人或采购代理机构可以视采购具体情况，延长</w:t>
            </w:r>
            <w:r>
              <w:rPr>
                <w:rFonts w:hint="eastAsia" w:ascii="仿宋_GB2312" w:eastAsia="仿宋_GB2312"/>
                <w:sz w:val="24"/>
              </w:rPr>
              <w:t>招标文件提供期限，并在财政部门指定的政府采购信息发布媒体上发布公告。</w:t>
            </w:r>
          </w:p>
        </w:tc>
      </w:tr>
      <w:tr w14:paraId="6D56EB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96F9F45">
            <w:pPr>
              <w:spacing w:line="400" w:lineRule="exact"/>
              <w:jc w:val="center"/>
              <w:rPr>
                <w:rFonts w:ascii="仿宋_GB2312" w:eastAsia="仿宋_GB2312"/>
                <w:sz w:val="24"/>
              </w:rPr>
            </w:pPr>
            <w:r>
              <w:rPr>
                <w:rFonts w:hint="eastAsia" w:ascii="仿宋_GB2312" w:eastAsia="仿宋_GB2312"/>
                <w:color w:val="000000"/>
                <w:sz w:val="24"/>
              </w:rPr>
              <w:t>6</w:t>
            </w:r>
          </w:p>
        </w:tc>
        <w:tc>
          <w:tcPr>
            <w:tcW w:w="8232" w:type="dxa"/>
            <w:vAlign w:val="center"/>
          </w:tcPr>
          <w:p w14:paraId="65CF13F6">
            <w:pPr>
              <w:pStyle w:val="528"/>
              <w:spacing w:before="0" w:beforeAutospacing="0" w:after="0" w:afterAutospacing="0" w:line="460" w:lineRule="atLeast"/>
              <w:rPr>
                <w:rFonts w:ascii="仿宋_GB2312" w:eastAsia="仿宋_GB2312"/>
                <w:color w:val="000000"/>
              </w:rPr>
            </w:pPr>
            <w:r>
              <w:rPr>
                <w:rStyle w:val="529"/>
                <w:rFonts w:hint="eastAsia" w:ascii="仿宋_GB2312" w:eastAsia="仿宋_GB2312"/>
                <w:color w:val="000000"/>
              </w:rPr>
              <w:t>电子投标文件：</w:t>
            </w:r>
            <w:r>
              <w:rPr>
                <w:rFonts w:hint="eastAsia" w:ascii="仿宋_GB2312" w:eastAsia="仿宋_GB2312"/>
                <w:b/>
                <w:bCs/>
                <w:color w:val="000000"/>
              </w:rPr>
              <w:br w:type="textWrapping"/>
            </w:r>
            <w:r>
              <w:rPr>
                <w:rStyle w:val="529"/>
                <w:rFonts w:hint="eastAsia" w:ascii="仿宋_GB2312" w:eastAsia="仿宋_GB2312"/>
                <w:color w:val="000000"/>
              </w:rPr>
              <w:t>1.投标人应按照本项目公开招标文件和广西政府采购云平台的要求，通过“广西政府采购云平台客户端”编制、加密电子投标文件，并于提交投标文件截止时间前在广西政府采购云平台上提交加密的电子投标文件。</w:t>
            </w:r>
            <w:r>
              <w:rPr>
                <w:rFonts w:hint="eastAsia" w:ascii="仿宋_GB2312" w:eastAsia="仿宋_GB2312"/>
                <w:b/>
                <w:bCs/>
                <w:color w:val="000000"/>
              </w:rPr>
              <w:br w:type="textWrapping"/>
            </w:r>
            <w:r>
              <w:rPr>
                <w:rStyle w:val="529"/>
                <w:rFonts w:hint="eastAsia" w:ascii="仿宋_GB2312" w:eastAsia="仿宋_GB2312"/>
                <w:color w:val="000000"/>
              </w:rPr>
              <w:t>2.未按规定传输提交电子投标文件的将被广西政府采购云平台拒绝。</w:t>
            </w:r>
            <w:r>
              <w:rPr>
                <w:rFonts w:hint="eastAsia" w:ascii="仿宋_GB2312" w:eastAsia="仿宋_GB2312"/>
                <w:b/>
                <w:bCs/>
                <w:color w:val="000000"/>
              </w:rPr>
              <w:br w:type="textWrapping"/>
            </w:r>
            <w:r>
              <w:rPr>
                <w:rStyle w:val="529"/>
                <w:rFonts w:hint="eastAsia" w:ascii="仿宋_GB2312" w:eastAsia="仿宋_GB2312"/>
                <w:color w:val="000000"/>
              </w:rPr>
              <w:t>3.电子投标文件成功提交后，投标人可自行打印投标文件接收回执。</w:t>
            </w:r>
          </w:p>
        </w:tc>
      </w:tr>
      <w:tr w14:paraId="5CF996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1A82BC7">
            <w:pPr>
              <w:spacing w:line="400" w:lineRule="exact"/>
              <w:jc w:val="center"/>
              <w:rPr>
                <w:rFonts w:ascii="仿宋_GB2312" w:eastAsia="仿宋_GB2312"/>
                <w:sz w:val="24"/>
              </w:rPr>
            </w:pPr>
            <w:r>
              <w:rPr>
                <w:rFonts w:hint="eastAsia" w:ascii="仿宋_GB2312" w:eastAsia="仿宋_GB2312"/>
                <w:color w:val="000000"/>
                <w:sz w:val="24"/>
              </w:rPr>
              <w:t>7</w:t>
            </w:r>
          </w:p>
        </w:tc>
        <w:tc>
          <w:tcPr>
            <w:tcW w:w="8232" w:type="dxa"/>
            <w:vAlign w:val="center"/>
          </w:tcPr>
          <w:p w14:paraId="1E8FAAAF">
            <w:pPr>
              <w:pStyle w:val="549"/>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投标文件提交截止时间及地点：详见公开招标公告。</w:t>
            </w:r>
          </w:p>
        </w:tc>
      </w:tr>
      <w:tr w14:paraId="268F9E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7212EA7">
            <w:pPr>
              <w:spacing w:line="400" w:lineRule="exact"/>
              <w:jc w:val="center"/>
              <w:rPr>
                <w:rFonts w:ascii="仿宋_GB2312" w:eastAsia="仿宋_GB2312"/>
                <w:sz w:val="24"/>
              </w:rPr>
            </w:pPr>
            <w:r>
              <w:rPr>
                <w:rFonts w:hint="eastAsia" w:ascii="仿宋_GB2312" w:eastAsia="仿宋_GB2312"/>
                <w:color w:val="000000"/>
                <w:sz w:val="24"/>
              </w:rPr>
              <w:t>8</w:t>
            </w:r>
          </w:p>
        </w:tc>
        <w:tc>
          <w:tcPr>
            <w:tcW w:w="8232" w:type="dxa"/>
            <w:vAlign w:val="center"/>
          </w:tcPr>
          <w:p w14:paraId="1D31B427">
            <w:pPr>
              <w:pStyle w:val="569"/>
              <w:spacing w:before="0" w:beforeAutospacing="0" w:after="0" w:afterAutospacing="0" w:line="460" w:lineRule="atLeast"/>
              <w:rPr>
                <w:rFonts w:ascii="仿宋_GB2312" w:eastAsia="仿宋_GB2312"/>
                <w:color w:val="000000"/>
              </w:rPr>
            </w:pPr>
            <w:r>
              <w:rPr>
                <w:rFonts w:hint="eastAsia" w:ascii="仿宋_GB2312" w:eastAsia="仿宋_GB2312"/>
                <w:color w:val="000000"/>
              </w:rPr>
              <w:t>开标时间：详见公开招标公告。</w:t>
            </w:r>
          </w:p>
        </w:tc>
      </w:tr>
      <w:tr w14:paraId="7C33D2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256E58C">
            <w:pPr>
              <w:spacing w:line="400" w:lineRule="exact"/>
              <w:jc w:val="center"/>
              <w:rPr>
                <w:rFonts w:ascii="仿宋_GB2312" w:eastAsia="仿宋_GB2312"/>
                <w:sz w:val="24"/>
              </w:rPr>
            </w:pPr>
            <w:r>
              <w:rPr>
                <w:rFonts w:hint="eastAsia" w:ascii="仿宋_GB2312" w:eastAsia="仿宋_GB2312"/>
                <w:color w:val="000000"/>
                <w:sz w:val="24"/>
              </w:rPr>
              <w:t>9</w:t>
            </w:r>
          </w:p>
        </w:tc>
        <w:tc>
          <w:tcPr>
            <w:tcW w:w="8232" w:type="dxa"/>
            <w:vAlign w:val="center"/>
          </w:tcPr>
          <w:p w14:paraId="3C850B85">
            <w:pPr>
              <w:pStyle w:val="589"/>
              <w:spacing w:before="0" w:beforeAutospacing="0" w:after="0" w:afterAutospacing="0" w:line="460" w:lineRule="atLeast"/>
              <w:rPr>
                <w:rFonts w:ascii="仿宋_GB2312" w:eastAsia="仿宋_GB2312"/>
                <w:color w:val="000000"/>
              </w:rPr>
            </w:pPr>
            <w:r>
              <w:rPr>
                <w:rFonts w:hint="eastAsia" w:ascii="仿宋_GB2312" w:eastAsia="仿宋_GB2312"/>
                <w:color w:val="000000"/>
              </w:rPr>
              <w:t>电子投标文件解密时间：采购代理机构开启解密标书后30分钟内，投标人必须在此时间段内登录广西政府采购云平台，用“项目采购-开标评标”功能完成电子投标文件的解密。若投标人在规定时间内未按时解密的，视为投标无效。</w:t>
            </w:r>
          </w:p>
        </w:tc>
      </w:tr>
      <w:tr w14:paraId="6C5D81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11B44CB">
            <w:pPr>
              <w:spacing w:line="400" w:lineRule="exact"/>
              <w:jc w:val="center"/>
              <w:rPr>
                <w:rFonts w:ascii="仿宋_GB2312" w:eastAsia="仿宋_GB2312"/>
                <w:sz w:val="24"/>
              </w:rPr>
            </w:pPr>
            <w:r>
              <w:rPr>
                <w:rFonts w:hint="eastAsia" w:ascii="仿宋_GB2312" w:eastAsia="仿宋_GB2312"/>
                <w:color w:val="000000"/>
                <w:sz w:val="24"/>
              </w:rPr>
              <w:t>10</w:t>
            </w:r>
          </w:p>
        </w:tc>
        <w:tc>
          <w:tcPr>
            <w:tcW w:w="8232" w:type="dxa"/>
            <w:vAlign w:val="center"/>
          </w:tcPr>
          <w:p w14:paraId="42AF4CFE">
            <w:pPr>
              <w:pStyle w:val="609"/>
              <w:spacing w:before="0" w:beforeAutospacing="0" w:after="0" w:afterAutospacing="0" w:line="460" w:lineRule="atLeast"/>
              <w:rPr>
                <w:rFonts w:ascii="仿宋_GB2312" w:eastAsia="仿宋_GB2312"/>
                <w:color w:val="000000"/>
              </w:rPr>
            </w:pPr>
            <w:r>
              <w:rPr>
                <w:rFonts w:hint="eastAsia" w:ascii="仿宋_GB2312" w:eastAsia="仿宋_GB2312"/>
                <w:color w:val="000000"/>
              </w:rPr>
              <w:t>评标方法：综合评分法</w:t>
            </w:r>
          </w:p>
        </w:tc>
      </w:tr>
      <w:tr w14:paraId="21DD0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04F395E">
            <w:pPr>
              <w:spacing w:line="400" w:lineRule="exact"/>
              <w:jc w:val="center"/>
              <w:rPr>
                <w:rFonts w:ascii="仿宋_GB2312" w:eastAsia="仿宋_GB2312"/>
                <w:sz w:val="24"/>
              </w:rPr>
            </w:pPr>
            <w:r>
              <w:rPr>
                <w:rFonts w:hint="eastAsia" w:ascii="仿宋_GB2312" w:eastAsia="仿宋_GB2312"/>
                <w:color w:val="000000"/>
                <w:sz w:val="24"/>
              </w:rPr>
              <w:t>11</w:t>
            </w:r>
          </w:p>
        </w:tc>
        <w:tc>
          <w:tcPr>
            <w:tcW w:w="8232" w:type="dxa"/>
            <w:vAlign w:val="center"/>
          </w:tcPr>
          <w:p w14:paraId="313EB52A">
            <w:pPr>
              <w:pStyle w:val="629"/>
              <w:spacing w:before="0" w:beforeAutospacing="0" w:after="0" w:afterAutospacing="0" w:line="460" w:lineRule="atLeast"/>
              <w:rPr>
                <w:rFonts w:ascii="仿宋_GB2312" w:eastAsia="仿宋_GB2312"/>
                <w:color w:val="000000"/>
              </w:rPr>
            </w:pPr>
            <w:r>
              <w:rPr>
                <w:rFonts w:hint="eastAsia" w:ascii="仿宋_GB2312" w:eastAsia="仿宋_GB2312"/>
                <w:color w:val="000000"/>
              </w:rPr>
              <w:t>发布媒体：中国政府采购网（www.ccgp.gov.cn）、广西壮族自治区政府采购网（zfcg.gxzf.gov.cn）、柳州市政府采购网（zfcg.lzscz.liuzhou.gov.cn）。</w:t>
            </w:r>
          </w:p>
        </w:tc>
      </w:tr>
      <w:tr w14:paraId="1AC00C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E9F17D6">
            <w:pPr>
              <w:spacing w:line="400" w:lineRule="exact"/>
              <w:jc w:val="center"/>
              <w:rPr>
                <w:rFonts w:ascii="仿宋_GB2312" w:eastAsia="仿宋_GB2312"/>
                <w:sz w:val="24"/>
              </w:rPr>
            </w:pPr>
            <w:r>
              <w:rPr>
                <w:rFonts w:hint="eastAsia" w:ascii="仿宋_GB2312" w:eastAsia="仿宋_GB2312"/>
                <w:color w:val="000000"/>
                <w:sz w:val="24"/>
              </w:rPr>
              <w:t>12</w:t>
            </w:r>
          </w:p>
        </w:tc>
        <w:tc>
          <w:tcPr>
            <w:tcW w:w="8232" w:type="dxa"/>
            <w:vAlign w:val="center"/>
          </w:tcPr>
          <w:p w14:paraId="2627FE7F">
            <w:pPr>
              <w:pStyle w:val="649"/>
              <w:spacing w:before="0" w:beforeAutospacing="0" w:after="0" w:afterAutospacing="0" w:line="460" w:lineRule="atLeast"/>
              <w:rPr>
                <w:rFonts w:ascii="仿宋_GB2312" w:eastAsia="仿宋_GB2312"/>
                <w:color w:val="000000"/>
              </w:rPr>
            </w:pPr>
            <w:r>
              <w:rPr>
                <w:rStyle w:val="650"/>
                <w:rFonts w:hint="eastAsia" w:ascii="仿宋_GB2312" w:eastAsia="仿宋_GB2312"/>
                <w:color w:val="000000"/>
              </w:rPr>
              <w:t>一、信用信息使用规则：</w:t>
            </w:r>
            <w:r>
              <w:rPr>
                <w:rFonts w:hint="eastAsia" w:ascii="仿宋_GB2312" w:eastAsia="仿宋_GB2312"/>
                <w:color w:val="000000"/>
              </w:rPr>
              <w:br w:type="textWrapping"/>
            </w:r>
            <w:r>
              <w:rPr>
                <w:rFonts w:hint="eastAsia" w:ascii="仿宋_GB2312" w:eastAsia="仿宋_GB2312"/>
                <w:color w:val="000000"/>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000000"/>
              </w:rPr>
              <w:br w:type="textWrapping"/>
            </w:r>
            <w:r>
              <w:rPr>
                <w:rStyle w:val="650"/>
                <w:rFonts w:hint="eastAsia" w:ascii="仿宋_GB2312" w:eastAsia="仿宋_GB2312"/>
                <w:color w:val="000000"/>
              </w:rPr>
              <w:t>二、甄别方式：</w:t>
            </w:r>
            <w:r>
              <w:rPr>
                <w:rFonts w:hint="eastAsia" w:ascii="仿宋_GB2312" w:eastAsia="仿宋_GB2312"/>
                <w:b/>
                <w:bCs/>
                <w:color w:val="000000"/>
              </w:rPr>
              <w:br w:type="textWrapping"/>
            </w:r>
            <w:r>
              <w:rPr>
                <w:rStyle w:val="650"/>
                <w:rFonts w:hint="eastAsia" w:ascii="仿宋_GB2312" w:eastAsia="仿宋_GB2312"/>
                <w:color w:val="000000"/>
              </w:rPr>
              <w:t>1.在本项目资格性审查时，采购人将对投标人信用进行查询，并按照以上信用信息使用规则处理；</w:t>
            </w:r>
            <w:r>
              <w:rPr>
                <w:rFonts w:hint="eastAsia" w:ascii="仿宋_GB2312" w:eastAsia="仿宋_GB2312"/>
                <w:b/>
                <w:bCs/>
                <w:color w:val="000000"/>
              </w:rPr>
              <w:br w:type="textWrapping"/>
            </w:r>
            <w:r>
              <w:rPr>
                <w:rStyle w:val="650"/>
                <w:rFonts w:hint="eastAsia" w:ascii="仿宋_GB2312" w:eastAsia="仿宋_GB2312"/>
                <w:color w:val="000000"/>
              </w:rPr>
              <w:t>2.在中标通知书发出前，采购人或者采购代理机构将对中标人信用进行查询，并按照以上信用信息使用规则处理；</w:t>
            </w:r>
            <w:r>
              <w:rPr>
                <w:rFonts w:hint="eastAsia" w:ascii="仿宋_GB2312" w:eastAsia="仿宋_GB2312"/>
                <w:b/>
                <w:bCs/>
                <w:color w:val="000000"/>
              </w:rPr>
              <w:br w:type="textWrapping"/>
            </w:r>
            <w:r>
              <w:rPr>
                <w:rStyle w:val="650"/>
                <w:rFonts w:hint="eastAsia" w:ascii="仿宋_GB2312" w:eastAsia="仿宋_GB2312"/>
                <w:color w:val="000000"/>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14:paraId="3662B9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977E124">
            <w:pPr>
              <w:spacing w:line="400" w:lineRule="exact"/>
              <w:jc w:val="center"/>
              <w:rPr>
                <w:rFonts w:ascii="仿宋_GB2312" w:eastAsia="仿宋_GB2312"/>
                <w:sz w:val="24"/>
              </w:rPr>
            </w:pPr>
            <w:r>
              <w:rPr>
                <w:rFonts w:hint="eastAsia" w:ascii="仿宋_GB2312" w:eastAsia="仿宋_GB2312"/>
                <w:color w:val="000000"/>
                <w:sz w:val="24"/>
              </w:rPr>
              <w:t>13</w:t>
            </w:r>
          </w:p>
        </w:tc>
        <w:tc>
          <w:tcPr>
            <w:tcW w:w="8232" w:type="dxa"/>
            <w:vAlign w:val="center"/>
          </w:tcPr>
          <w:p w14:paraId="28E44C88">
            <w:pPr>
              <w:pStyle w:val="670"/>
              <w:spacing w:before="0" w:beforeAutospacing="0" w:after="0" w:afterAutospacing="0" w:line="460" w:lineRule="atLeast"/>
              <w:rPr>
                <w:rFonts w:ascii="仿宋_GB2312" w:eastAsia="仿宋_GB2312"/>
                <w:color w:val="000000"/>
              </w:rPr>
            </w:pPr>
            <w:r>
              <w:rPr>
                <w:rFonts w:hint="eastAsia" w:ascii="仿宋_GB2312" w:eastAsia="仿宋_GB2312"/>
                <w:color w:val="000000"/>
              </w:rPr>
              <w:t>中标公告及中标通知书：采购代理机构在采购人依法确认中标人后两个工作日内发布中标公告和中标通知书。</w:t>
            </w:r>
            <w:r>
              <w:rPr>
                <w:rFonts w:hint="eastAsia" w:ascii="仿宋_GB2312" w:eastAsia="仿宋_GB2312"/>
                <w:color w:val="000000"/>
              </w:rPr>
              <w:br w:type="textWrapping"/>
            </w:r>
            <w:r>
              <w:rPr>
                <w:rStyle w:val="671"/>
                <w:rFonts w:hint="eastAsia" w:ascii="仿宋_GB2312" w:eastAsia="仿宋_GB2312"/>
                <w:color w:val="000000"/>
              </w:rPr>
              <w:t>根据《柳州市财政局 人民银行柳州市中心支行 关于进一步做好线上“政采贷”融资工作的通知》（柳财采〔2022〕19号），供应商可凭中标通知书、政府采购合同，通过中征应收账款融资服务平台向银行在线申请“政采贷”融资。</w:t>
            </w:r>
          </w:p>
        </w:tc>
      </w:tr>
      <w:tr w14:paraId="049A68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9101412">
            <w:pPr>
              <w:spacing w:line="400" w:lineRule="exact"/>
              <w:jc w:val="center"/>
              <w:rPr>
                <w:rFonts w:ascii="仿宋_GB2312" w:eastAsia="仿宋_GB2312"/>
                <w:sz w:val="24"/>
              </w:rPr>
            </w:pPr>
            <w:r>
              <w:rPr>
                <w:rFonts w:hint="eastAsia" w:ascii="仿宋_GB2312" w:eastAsia="仿宋_GB2312"/>
                <w:color w:val="000000"/>
                <w:sz w:val="24"/>
              </w:rPr>
              <w:t>14</w:t>
            </w:r>
          </w:p>
        </w:tc>
        <w:tc>
          <w:tcPr>
            <w:tcW w:w="8232" w:type="dxa"/>
            <w:vAlign w:val="center"/>
          </w:tcPr>
          <w:p w14:paraId="25F54363">
            <w:pPr>
              <w:pStyle w:val="691"/>
              <w:spacing w:before="0" w:beforeAutospacing="0" w:after="0" w:afterAutospacing="0" w:line="460" w:lineRule="atLeast"/>
              <w:rPr>
                <w:rFonts w:ascii="仿宋_GB2312" w:eastAsia="仿宋_GB2312"/>
                <w:color w:val="000000"/>
              </w:rPr>
            </w:pPr>
            <w:r>
              <w:rPr>
                <w:rStyle w:val="692"/>
                <w:rFonts w:hint="eastAsia" w:ascii="仿宋_GB2312" w:eastAsia="仿宋_GB2312"/>
                <w:color w:val="000000"/>
              </w:rPr>
              <w:t>签订合同时间：中标通知书发出后</w:t>
            </w:r>
            <w:r>
              <w:rPr>
                <w:rStyle w:val="692"/>
                <w:rFonts w:hint="eastAsia" w:ascii="仿宋_GB2312" w:eastAsia="仿宋_GB2312"/>
                <w:color w:val="000000"/>
                <w:u w:val="single"/>
              </w:rPr>
              <w:t>25</w:t>
            </w:r>
            <w:r>
              <w:rPr>
                <w:rStyle w:val="692"/>
                <w:rFonts w:hint="eastAsia" w:ascii="仿宋_GB2312" w:eastAsia="仿宋_GB2312"/>
                <w:color w:val="000000"/>
              </w:rPr>
              <w:t>日内。</w:t>
            </w:r>
          </w:p>
        </w:tc>
      </w:tr>
      <w:tr w14:paraId="187307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F60A458">
            <w:pPr>
              <w:spacing w:line="400" w:lineRule="exact"/>
              <w:jc w:val="center"/>
              <w:rPr>
                <w:rFonts w:ascii="仿宋_GB2312" w:eastAsia="仿宋_GB2312"/>
                <w:sz w:val="24"/>
              </w:rPr>
            </w:pPr>
            <w:r>
              <w:rPr>
                <w:rFonts w:hint="eastAsia" w:ascii="仿宋_GB2312" w:eastAsia="仿宋_GB2312"/>
                <w:color w:val="000000"/>
                <w:sz w:val="24"/>
              </w:rPr>
              <w:t>15</w:t>
            </w:r>
          </w:p>
        </w:tc>
        <w:tc>
          <w:tcPr>
            <w:tcW w:w="8232" w:type="dxa"/>
            <w:vAlign w:val="center"/>
          </w:tcPr>
          <w:p w14:paraId="31C3F3CF">
            <w:pPr>
              <w:pStyle w:val="712"/>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投标文件有效期：投标截止日期后</w:t>
            </w:r>
            <w:r>
              <w:rPr>
                <w:rFonts w:hint="eastAsia" w:ascii="仿宋_GB2312" w:eastAsia="仿宋_GB2312"/>
                <w:color w:val="000000"/>
                <w:u w:val="single"/>
              </w:rPr>
              <w:t>不得少于90天</w:t>
            </w:r>
            <w:r>
              <w:rPr>
                <w:rFonts w:hint="eastAsia" w:ascii="仿宋_GB2312" w:eastAsia="仿宋_GB2312"/>
                <w:color w:val="000000"/>
              </w:rPr>
              <w:t>。</w:t>
            </w:r>
          </w:p>
        </w:tc>
      </w:tr>
      <w:tr w14:paraId="5262D1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8FE6DE4">
            <w:pPr>
              <w:spacing w:line="400" w:lineRule="exact"/>
              <w:jc w:val="center"/>
              <w:rPr>
                <w:rFonts w:ascii="仿宋_GB2312" w:eastAsia="仿宋_GB2312"/>
                <w:sz w:val="24"/>
              </w:rPr>
            </w:pPr>
            <w:r>
              <w:rPr>
                <w:rFonts w:hint="eastAsia" w:ascii="仿宋_GB2312" w:eastAsia="仿宋_GB2312"/>
                <w:color w:val="000000"/>
                <w:sz w:val="24"/>
              </w:rPr>
              <w:t>16</w:t>
            </w:r>
          </w:p>
        </w:tc>
        <w:tc>
          <w:tcPr>
            <w:tcW w:w="8232" w:type="dxa"/>
            <w:vAlign w:val="center"/>
          </w:tcPr>
          <w:p w14:paraId="6A467A74">
            <w:pPr>
              <w:pStyle w:val="732"/>
              <w:spacing w:before="0" w:beforeAutospacing="0" w:after="0" w:afterAutospacing="0" w:line="460" w:lineRule="atLeast"/>
              <w:rPr>
                <w:rFonts w:ascii="仿宋_GB2312" w:eastAsia="仿宋_GB2312"/>
                <w:color w:val="000000"/>
              </w:rPr>
            </w:pPr>
            <w:r>
              <w:rPr>
                <w:rFonts w:hint="eastAsia" w:ascii="仿宋_GB2312" w:eastAsia="仿宋_GB2312"/>
                <w:color w:val="000000"/>
              </w:rPr>
              <w:t>解释：本招标文件的解释权属于采购代理机构。</w:t>
            </w:r>
          </w:p>
        </w:tc>
      </w:tr>
      <w:tr w14:paraId="4F1311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01612D6">
            <w:pPr>
              <w:spacing w:line="400" w:lineRule="exact"/>
              <w:jc w:val="center"/>
              <w:rPr>
                <w:rFonts w:ascii="仿宋_GB2312" w:eastAsia="仿宋_GB2312"/>
                <w:sz w:val="24"/>
              </w:rPr>
            </w:pPr>
            <w:r>
              <w:rPr>
                <w:rFonts w:hint="eastAsia" w:ascii="仿宋_GB2312" w:eastAsia="仿宋_GB2312"/>
                <w:color w:val="000000"/>
                <w:sz w:val="24"/>
              </w:rPr>
              <w:t>17</w:t>
            </w:r>
          </w:p>
        </w:tc>
        <w:tc>
          <w:tcPr>
            <w:tcW w:w="8232" w:type="dxa"/>
            <w:vAlign w:val="center"/>
          </w:tcPr>
          <w:p w14:paraId="03EEAF9D">
            <w:pPr>
              <w:pStyle w:val="752"/>
              <w:spacing w:before="0" w:beforeAutospacing="0" w:after="0" w:afterAutospacing="0" w:line="460" w:lineRule="atLeast"/>
              <w:rPr>
                <w:rFonts w:ascii="仿宋_GB2312" w:eastAsia="仿宋_GB2312"/>
                <w:color w:val="000000"/>
              </w:rPr>
            </w:pPr>
            <w:r>
              <w:rPr>
                <w:rFonts w:hint="eastAsia" w:ascii="仿宋_GB2312" w:eastAsia="仿宋_GB2312"/>
                <w:color w:val="000000"/>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因此请各投标人应在投标文件中注明投标文件内容中涉及商业秘密的部分，未注明的视为投标文件中不涉及商业秘密。</w:t>
            </w:r>
          </w:p>
        </w:tc>
      </w:tr>
      <w:tr w14:paraId="225422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8953396">
            <w:pPr>
              <w:spacing w:line="400" w:lineRule="exact"/>
              <w:jc w:val="center"/>
              <w:rPr>
                <w:rFonts w:ascii="仿宋_GB2312" w:eastAsia="仿宋_GB2312"/>
                <w:sz w:val="24"/>
              </w:rPr>
            </w:pPr>
            <w:r>
              <w:rPr>
                <w:rFonts w:hint="eastAsia" w:ascii="仿宋_GB2312" w:eastAsia="仿宋_GB2312"/>
                <w:color w:val="000000"/>
                <w:sz w:val="24"/>
              </w:rPr>
              <w:t>18</w:t>
            </w:r>
          </w:p>
        </w:tc>
        <w:tc>
          <w:tcPr>
            <w:tcW w:w="8232" w:type="dxa"/>
            <w:vAlign w:val="center"/>
          </w:tcPr>
          <w:p w14:paraId="0884ECE5">
            <w:pPr>
              <w:pStyle w:val="772"/>
              <w:spacing w:before="0" w:beforeAutospacing="0" w:after="0" w:afterAutospacing="0" w:line="460" w:lineRule="atLeast"/>
              <w:rPr>
                <w:rFonts w:ascii="仿宋_GB2312" w:eastAsia="仿宋_GB2312"/>
                <w:color w:val="000000"/>
              </w:rPr>
            </w:pPr>
            <w:r>
              <w:rPr>
                <w:rFonts w:hint="eastAsia" w:ascii="仿宋_GB2312" w:eastAsia="仿宋_GB2312"/>
                <w:color w:val="000000"/>
              </w:rPr>
              <w:t>1.本招标文件中描述投标人的“公章”是指投标人的CA电子签章。</w:t>
            </w:r>
            <w:r>
              <w:rPr>
                <w:rFonts w:hint="eastAsia" w:ascii="仿宋_GB2312" w:eastAsia="仿宋_GB2312"/>
                <w:color w:val="000000"/>
              </w:rPr>
              <w:br w:type="textWrapping"/>
            </w:r>
            <w:r>
              <w:rPr>
                <w:rFonts w:hint="eastAsia" w:ascii="仿宋_GB2312" w:eastAsia="仿宋_GB2312"/>
                <w:color w:val="000000"/>
              </w:rPr>
              <w:t>2.本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p>
        </w:tc>
      </w:tr>
    </w:tbl>
    <w:p w14:paraId="60167928">
      <w:pPr>
        <w:spacing w:line="360" w:lineRule="auto"/>
        <w:jc w:val="center"/>
        <w:rPr>
          <w:b/>
          <w:sz w:val="32"/>
          <w:szCs w:val="32"/>
        </w:rPr>
        <w:sectPr>
          <w:pgSz w:w="11906" w:h="16838"/>
          <w:pgMar w:top="1440" w:right="1440" w:bottom="1440" w:left="1440" w:header="851" w:footer="992" w:gutter="0"/>
          <w:cols w:space="720" w:num="1"/>
          <w:docGrid w:linePitch="312" w:charSpace="0"/>
        </w:sectPr>
      </w:pPr>
    </w:p>
    <w:p w14:paraId="0BCDC312">
      <w:pPr>
        <w:spacing w:line="360" w:lineRule="auto"/>
        <w:jc w:val="center"/>
        <w:rPr>
          <w:b/>
          <w:sz w:val="32"/>
          <w:szCs w:val="32"/>
        </w:rPr>
      </w:pPr>
      <w:r>
        <w:rPr>
          <w:rFonts w:hint="eastAsia"/>
          <w:b/>
          <w:sz w:val="32"/>
          <w:szCs w:val="32"/>
        </w:rPr>
        <w:t>投标人须知</w:t>
      </w:r>
    </w:p>
    <w:p w14:paraId="27A36E8E">
      <w:pPr>
        <w:spacing w:line="300" w:lineRule="exact"/>
        <w:jc w:val="center"/>
        <w:rPr>
          <w:b/>
          <w:sz w:val="32"/>
          <w:szCs w:val="32"/>
        </w:rPr>
      </w:pPr>
    </w:p>
    <w:p w14:paraId="4A504778">
      <w:pPr>
        <w:pStyle w:val="26"/>
        <w:snapToGrid w:val="0"/>
        <w:spacing w:line="360" w:lineRule="exact"/>
        <w:ind w:right="-330" w:rightChars="-157"/>
        <w:rPr>
          <w:rFonts w:hint="eastAsia" w:ascii="仿宋_GB2312" w:hAnsi="宋体" w:eastAsia="仿宋_GB2312"/>
          <w:b/>
          <w:sz w:val="24"/>
          <w:szCs w:val="24"/>
        </w:rPr>
      </w:pPr>
      <w:r>
        <w:rPr>
          <w:rFonts w:hint="eastAsia" w:ascii="仿宋_GB2312" w:hAnsi="宋体" w:eastAsia="仿宋_GB2312"/>
          <w:b/>
          <w:sz w:val="24"/>
          <w:szCs w:val="24"/>
        </w:rPr>
        <w:t>一、总  则</w:t>
      </w:r>
    </w:p>
    <w:p w14:paraId="1B233455">
      <w:pPr>
        <w:snapToGrid w:val="0"/>
        <w:spacing w:line="360" w:lineRule="exact"/>
        <w:ind w:right="-330" w:rightChars="-157" w:firstLine="472" w:firstLineChars="196"/>
        <w:jc w:val="left"/>
        <w:outlineLvl w:val="1"/>
        <w:rPr>
          <w:rFonts w:ascii="仿宋_GB2312" w:eastAsia="仿宋_GB2312"/>
          <w:b/>
          <w:sz w:val="24"/>
        </w:rPr>
      </w:pPr>
      <w:bookmarkStart w:id="49" w:name="_Toc254970668"/>
      <w:bookmarkStart w:id="50" w:name="_Toc254970527"/>
      <w:r>
        <w:rPr>
          <w:rFonts w:hint="eastAsia" w:ascii="仿宋_GB2312" w:eastAsia="仿宋_GB2312"/>
          <w:b/>
          <w:sz w:val="24"/>
        </w:rPr>
        <w:t>1. 适用范围</w:t>
      </w:r>
      <w:bookmarkEnd w:id="49"/>
      <w:bookmarkEnd w:id="50"/>
    </w:p>
    <w:p w14:paraId="262CFCE2">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1.1本招标文件适用于</w:t>
      </w:r>
      <w:r>
        <w:rPr>
          <w:rFonts w:hint="eastAsia" w:ascii="仿宋_GB2312" w:hAnsi="宋体" w:eastAsia="仿宋_GB2312"/>
          <w:sz w:val="24"/>
          <w:u w:val="single"/>
        </w:rPr>
        <w:t>信息化设备基础建设采购</w:t>
      </w:r>
      <w:r>
        <w:rPr>
          <w:rFonts w:hint="eastAsia" w:ascii="仿宋_GB2312" w:hAnsi="宋体" w:eastAsia="仿宋_GB2312"/>
          <w:bCs/>
          <w:sz w:val="24"/>
          <w:szCs w:val="24"/>
        </w:rPr>
        <w:t>项目的招标、投标、评标、定标、验收、合同履约、付款等行为（法律、法规另有规定的，从其规定）。</w:t>
      </w:r>
    </w:p>
    <w:p w14:paraId="0006D11C">
      <w:pPr>
        <w:snapToGrid w:val="0"/>
        <w:spacing w:line="360" w:lineRule="exact"/>
        <w:ind w:right="-330" w:rightChars="-157" w:firstLine="354" w:firstLineChars="147"/>
        <w:jc w:val="left"/>
        <w:outlineLvl w:val="1"/>
        <w:rPr>
          <w:rFonts w:ascii="仿宋_GB2312" w:eastAsia="仿宋_GB2312"/>
          <w:b/>
          <w:sz w:val="24"/>
        </w:rPr>
      </w:pPr>
      <w:bookmarkStart w:id="51" w:name="_Toc254970669"/>
      <w:bookmarkStart w:id="52" w:name="_Toc254970528"/>
      <w:r>
        <w:rPr>
          <w:rFonts w:hint="eastAsia" w:ascii="仿宋_GB2312" w:eastAsia="仿宋_GB2312"/>
          <w:b/>
          <w:sz w:val="24"/>
        </w:rPr>
        <w:t>2.定义</w:t>
      </w:r>
      <w:bookmarkEnd w:id="51"/>
      <w:bookmarkEnd w:id="52"/>
    </w:p>
    <w:p w14:paraId="2310948C">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2.1“采购人”是指：</w:t>
      </w:r>
      <w:r>
        <w:rPr>
          <w:rFonts w:hint="eastAsia" w:ascii="仿宋_GB2312" w:hAnsi="宋体" w:eastAsia="仿宋_GB2312"/>
          <w:sz w:val="24"/>
          <w:u w:val="single"/>
        </w:rPr>
        <w:t>柳州市旅游学校</w:t>
      </w:r>
      <w:r>
        <w:rPr>
          <w:rFonts w:hint="eastAsia" w:ascii="仿宋_GB2312" w:hAnsi="宋体" w:eastAsia="仿宋_GB2312"/>
          <w:bCs/>
          <w:sz w:val="24"/>
          <w:szCs w:val="24"/>
        </w:rPr>
        <w:t>；“采购代理机构”是指</w:t>
      </w:r>
      <w:r>
        <w:rPr>
          <w:rFonts w:hint="eastAsia" w:ascii="仿宋_GB2312" w:hAnsi="宋体" w:eastAsia="仿宋_GB2312"/>
          <w:bCs/>
          <w:sz w:val="24"/>
          <w:szCs w:val="24"/>
          <w:u w:val="single"/>
        </w:rPr>
        <w:t>柳州市政府集中采购中心</w:t>
      </w:r>
      <w:r>
        <w:rPr>
          <w:rFonts w:hint="eastAsia" w:ascii="仿宋_GB2312" w:hAnsi="宋体" w:eastAsia="仿宋_GB2312"/>
          <w:bCs/>
          <w:sz w:val="24"/>
          <w:szCs w:val="24"/>
        </w:rPr>
        <w:t>。</w:t>
      </w:r>
    </w:p>
    <w:p w14:paraId="0A337115">
      <w:pPr>
        <w:pStyle w:val="26"/>
        <w:snapToGrid w:val="0"/>
        <w:spacing w:line="360" w:lineRule="exact"/>
        <w:ind w:right="-330" w:rightChars="-157" w:firstLine="480" w:firstLineChars="200"/>
        <w:rPr>
          <w:rFonts w:hint="eastAsia" w:ascii="仿宋_GB2312" w:hAnsi="宋体" w:eastAsia="仿宋_GB2312"/>
          <w:bCs/>
          <w:sz w:val="24"/>
          <w:szCs w:val="24"/>
        </w:rPr>
      </w:pPr>
      <w:bookmarkStart w:id="53" w:name="_Hlk93681432"/>
      <w:r>
        <w:rPr>
          <w:rFonts w:hint="eastAsia" w:ascii="仿宋_GB2312" w:hAnsi="宋体" w:eastAsia="仿宋_GB2312"/>
          <w:bCs/>
          <w:sz w:val="24"/>
          <w:szCs w:val="24"/>
        </w:rPr>
        <w:t>2.2“投标人”系指响应本公开招标文件要求，参加投标的法人或其他组织或自然人。如果该投标人在本次投标中中标，即成为“中标人”。</w:t>
      </w:r>
    </w:p>
    <w:p w14:paraId="6D746F1E">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2.3“产品”系指投标人按招标文件规定，须向采购人提供的一切设备（含安装）、保险、税金、备品备件、工具、手册及其它有关技术资料和材料。</w:t>
      </w:r>
    </w:p>
    <w:bookmarkEnd w:id="53"/>
    <w:p w14:paraId="7014ED53">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2.4“服务”系指招标文件规定投标人须承担的安装、调试、技术协助、校准、培训、技术指导以及其他类似的义务。</w:t>
      </w:r>
    </w:p>
    <w:p w14:paraId="3A7A15FC">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2.5“项目”系指投标人按招标文件规定向采购人提供的产品和服务。</w:t>
      </w:r>
    </w:p>
    <w:p w14:paraId="514E4781">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2.6“签字”系指投标人的法定代表人或授权委托代理人的电子签名或电子签章或手写签名或盖章，表示同意、认可、承担责任或义务的行为。</w:t>
      </w:r>
    </w:p>
    <w:p w14:paraId="66359FEA">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2.7“电子投标文件”系指完整的投标文件，内容包括资格文件、报价要求文件、商务技术文件。</w:t>
      </w:r>
    </w:p>
    <w:p w14:paraId="00F935ED">
      <w:pPr>
        <w:pStyle w:val="26"/>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2.8“</w:t>
      </w:r>
      <w:r>
        <w:rPr>
          <w:rFonts w:hint="eastAsia" w:ascii="仿宋_GB2312" w:hAnsi="仿宋_GB2312" w:eastAsia="仿宋_GB2312" w:cs="仿宋_GB2312"/>
          <w:kern w:val="0"/>
          <w:sz w:val="24"/>
        </w:rPr>
        <w:t>★</w:t>
      </w:r>
      <w:r>
        <w:rPr>
          <w:rFonts w:hint="eastAsia" w:ascii="仿宋_GB2312" w:hAnsi="宋体" w:eastAsia="仿宋_GB2312"/>
          <w:bCs/>
          <w:sz w:val="24"/>
        </w:rPr>
        <w:t>”系指本次采购项目“第二章 采购需求”中的实质性要求。</w:t>
      </w:r>
    </w:p>
    <w:p w14:paraId="563FDE10">
      <w:pPr>
        <w:pStyle w:val="26"/>
        <w:snapToGrid w:val="0"/>
        <w:spacing w:line="360" w:lineRule="exact"/>
        <w:ind w:right="-330" w:rightChars="-157" w:firstLine="480" w:firstLineChars="200"/>
        <w:rPr>
          <w:rFonts w:hint="eastAsia" w:ascii="仿宋_GB2312" w:hAnsi="宋体" w:eastAsia="仿宋_GB2312"/>
          <w:bCs/>
          <w:sz w:val="24"/>
          <w:szCs w:val="24"/>
        </w:rPr>
      </w:pPr>
      <w:bookmarkStart w:id="54" w:name="_Hlk93681424"/>
      <w:bookmarkStart w:id="55" w:name="_Toc254970670"/>
      <w:bookmarkStart w:id="56" w:name="_Toc254970529"/>
      <w:bookmarkStart w:id="57" w:name="_Toc254970675"/>
      <w:bookmarkStart w:id="58" w:name="_Toc254970534"/>
      <w:bookmarkStart w:id="59" w:name="_Toc254970536"/>
      <w:bookmarkStart w:id="60" w:name="_Toc254970677"/>
      <w:r>
        <w:rPr>
          <w:rFonts w:hint="eastAsia" w:ascii="仿宋_GB2312" w:hAnsi="宋体" w:eastAsia="仿宋_GB2312"/>
          <w:bCs/>
          <w:sz w:val="24"/>
          <w:szCs w:val="24"/>
        </w:rPr>
        <w:t>2.9“▲”系指本次采购的核心产品。</w:t>
      </w:r>
    </w:p>
    <w:p w14:paraId="1F5C43FD">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2.10公开招标文件中所称的“以上”、“以下”、“内”、“以内”、“届满”，包括本数；所称的“不满”、“不足”、“以外”，不包括本数。</w:t>
      </w:r>
    </w:p>
    <w:p w14:paraId="77070140">
      <w:pPr>
        <w:pStyle w:val="26"/>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2.11“法定代表人”系指投标人的法定代表人、负责人或自然人。</w:t>
      </w:r>
    </w:p>
    <w:bookmarkEnd w:id="54"/>
    <w:p w14:paraId="311694E6">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3.招标方式</w:t>
      </w:r>
      <w:bookmarkEnd w:id="55"/>
      <w:bookmarkEnd w:id="56"/>
    </w:p>
    <w:p w14:paraId="1B2FB023">
      <w:pPr>
        <w:snapToGrid w:val="0"/>
        <w:spacing w:line="400" w:lineRule="exact"/>
        <w:ind w:firstLine="480" w:firstLineChars="200"/>
        <w:jc w:val="left"/>
        <w:rPr>
          <w:rFonts w:ascii="仿宋_GB2312" w:eastAsia="仿宋_GB2312"/>
          <w:sz w:val="24"/>
        </w:rPr>
      </w:pPr>
      <w:r>
        <w:rPr>
          <w:rFonts w:hint="eastAsia" w:ascii="仿宋_GB2312" w:eastAsia="仿宋_GB2312"/>
          <w:sz w:val="24"/>
        </w:rPr>
        <w:t>3.1公开招标方式。</w:t>
      </w:r>
    </w:p>
    <w:p w14:paraId="1D8118B3">
      <w:pPr>
        <w:snapToGrid w:val="0"/>
        <w:spacing w:line="400" w:lineRule="exact"/>
        <w:ind w:firstLine="482" w:firstLineChars="200"/>
        <w:jc w:val="left"/>
        <w:rPr>
          <w:rFonts w:ascii="仿宋_GB2312" w:eastAsia="仿宋_GB2312"/>
          <w:b/>
          <w:sz w:val="24"/>
        </w:rPr>
      </w:pPr>
      <w:bookmarkStart w:id="61" w:name="_Toc254970530"/>
      <w:bookmarkStart w:id="62" w:name="_Toc254970671"/>
      <w:r>
        <w:rPr>
          <w:rFonts w:hint="eastAsia" w:ascii="仿宋_GB2312" w:eastAsia="仿宋_GB2312"/>
          <w:b/>
          <w:sz w:val="24"/>
        </w:rPr>
        <w:t>4.投标委托</w:t>
      </w:r>
      <w:bookmarkEnd w:id="61"/>
      <w:bookmarkEnd w:id="62"/>
    </w:p>
    <w:p w14:paraId="0383123C">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4.1如投标人代表不是法定代表人，须有法定代表人出具的授权委托书（格式见第六章投标文件格式）。</w:t>
      </w:r>
      <w:bookmarkStart w:id="63" w:name="_Toc254970672"/>
      <w:bookmarkStart w:id="64" w:name="_Toc254970531"/>
    </w:p>
    <w:p w14:paraId="4BA2C04C">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5.投标费用</w:t>
      </w:r>
      <w:bookmarkEnd w:id="63"/>
      <w:bookmarkEnd w:id="64"/>
    </w:p>
    <w:p w14:paraId="71BFF423">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5.1投标人均应自行承担所有与投标有关的全部费用（招标文件有相关规定的除外）。</w:t>
      </w:r>
    </w:p>
    <w:p w14:paraId="17CFA811">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6.联合体投标</w:t>
      </w:r>
    </w:p>
    <w:p w14:paraId="23B2EAB0">
      <w:pPr>
        <w:snapToGrid w:val="0"/>
        <w:spacing w:line="400" w:lineRule="exact"/>
        <w:ind w:firstLine="420"/>
        <w:jc w:val="left"/>
        <w:rPr>
          <w:rFonts w:ascii="仿宋_GB2312" w:eastAsia="仿宋_GB2312"/>
          <w:sz w:val="24"/>
        </w:rPr>
      </w:pPr>
      <w:r>
        <w:rPr>
          <w:rFonts w:hint="eastAsia" w:ascii="仿宋_GB2312" w:eastAsia="仿宋_GB2312"/>
          <w:sz w:val="24"/>
        </w:rPr>
        <w:t>6.1本项目</w:t>
      </w:r>
      <w:r>
        <w:rPr>
          <w:rFonts w:hint="eastAsia" w:ascii="仿宋_GB2312" w:eastAsia="仿宋_GB2312"/>
          <w:sz w:val="24"/>
          <w:u w:val="single"/>
        </w:rPr>
        <w:t>不接受</w:t>
      </w:r>
      <w:r>
        <w:rPr>
          <w:rFonts w:hint="eastAsia" w:ascii="仿宋_GB2312" w:eastAsia="仿宋_GB2312"/>
          <w:sz w:val="24"/>
        </w:rPr>
        <w:t>联合体投标。</w:t>
      </w:r>
    </w:p>
    <w:p w14:paraId="031DF4C3">
      <w:pPr>
        <w:snapToGrid w:val="0"/>
        <w:spacing w:line="400" w:lineRule="exact"/>
        <w:ind w:firstLine="470" w:firstLineChars="195"/>
        <w:rPr>
          <w:rFonts w:ascii="仿宋_GB2312" w:eastAsia="仿宋_GB2312"/>
          <w:b/>
          <w:kern w:val="0"/>
          <w:sz w:val="24"/>
        </w:rPr>
      </w:pPr>
      <w:r>
        <w:rPr>
          <w:rFonts w:hint="eastAsia" w:ascii="仿宋_GB2312" w:eastAsia="仿宋_GB2312"/>
          <w:b/>
          <w:sz w:val="24"/>
        </w:rPr>
        <w:t>7.</w:t>
      </w:r>
      <w:r>
        <w:rPr>
          <w:rFonts w:hint="eastAsia" w:ascii="仿宋_GB2312" w:eastAsia="仿宋_GB2312"/>
          <w:b/>
          <w:kern w:val="0"/>
          <w:sz w:val="24"/>
        </w:rPr>
        <w:t xml:space="preserve">转包与分包             </w:t>
      </w:r>
    </w:p>
    <w:p w14:paraId="6D4BD6DF">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7.1本项目不允许转包。</w:t>
      </w:r>
    </w:p>
    <w:p w14:paraId="64D7D52B">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7.2本项目不可以分包。</w:t>
      </w:r>
    </w:p>
    <w:p w14:paraId="4E8820BC">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7.2.1享受扶持政策获得政府采购合同的，小微企业不得将合同分包给大中型企业，中型企业不得将合同分包给大型企业。</w:t>
      </w:r>
    </w:p>
    <w:p w14:paraId="7819DC3F">
      <w:pPr>
        <w:snapToGrid w:val="0"/>
        <w:spacing w:line="400" w:lineRule="exact"/>
        <w:ind w:firstLine="472" w:firstLineChars="196"/>
        <w:jc w:val="left"/>
        <w:outlineLvl w:val="1"/>
        <w:rPr>
          <w:rFonts w:ascii="仿宋_GB2312" w:eastAsia="仿宋_GB2312"/>
          <w:b/>
          <w:sz w:val="24"/>
        </w:rPr>
      </w:pPr>
      <w:bookmarkStart w:id="65" w:name="_Toc254970673"/>
      <w:bookmarkStart w:id="66" w:name="_Toc254970532"/>
      <w:r>
        <w:rPr>
          <w:rFonts w:hint="eastAsia" w:ascii="仿宋_GB2312" w:eastAsia="仿宋_GB2312"/>
          <w:b/>
          <w:sz w:val="24"/>
        </w:rPr>
        <w:t>8.特别说明</w:t>
      </w:r>
      <w:bookmarkEnd w:id="65"/>
      <w:bookmarkEnd w:id="66"/>
    </w:p>
    <w:p w14:paraId="3C830435">
      <w:pPr>
        <w:pStyle w:val="26"/>
        <w:snapToGrid w:val="0"/>
        <w:spacing w:line="400" w:lineRule="exact"/>
        <w:ind w:firstLine="480" w:firstLineChars="200"/>
        <w:rPr>
          <w:rFonts w:hint="eastAsia" w:ascii="仿宋_GB2312" w:hAnsi="宋体" w:eastAsia="仿宋_GB2312"/>
          <w:bCs/>
          <w:sz w:val="24"/>
          <w:szCs w:val="24"/>
        </w:rPr>
      </w:pPr>
      <w:bookmarkStart w:id="67" w:name="_Toc254970674"/>
      <w:bookmarkStart w:id="68" w:name="_Toc254970533"/>
      <w:r>
        <w:rPr>
          <w:rFonts w:hint="eastAsia" w:ascii="仿宋_GB2312" w:hAnsi="宋体" w:eastAsia="仿宋_GB2312"/>
          <w:bCs/>
          <w:sz w:val="24"/>
          <w:szCs w:val="24"/>
        </w:rPr>
        <w:t>8.</w:t>
      </w:r>
      <w:r>
        <w:rPr>
          <w:rFonts w:hint="eastAsia" w:ascii="仿宋_GB2312" w:hAnsi="宋体" w:eastAsia="仿宋_GB2312"/>
          <w:bCs/>
          <w:sz w:val="24"/>
          <w:szCs w:val="24"/>
          <w:lang w:val="en-US" w:eastAsia="zh-CN"/>
        </w:rPr>
        <w:t>1</w:t>
      </w:r>
      <w:r>
        <w:rPr>
          <w:rFonts w:hint="eastAsia" w:ascii="仿宋_GB2312" w:hAnsi="宋体" w:eastAsia="仿宋_GB2312"/>
          <w:bCs/>
          <w:sz w:val="24"/>
          <w:szCs w:val="24"/>
        </w:rPr>
        <w:t>投标人应仔细阅读招标文件的所有内容，按照招标文件的要求提交投标文件，并对所提供的全部资料的真实性承担法律责任。</w:t>
      </w:r>
    </w:p>
    <w:p w14:paraId="1697A3D3">
      <w:pPr>
        <w:pStyle w:val="26"/>
        <w:spacing w:line="40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关联供应商不得参加同一合同项下的政府采购活动，否则投标文件将被视为无效：</w:t>
      </w:r>
    </w:p>
    <w:p w14:paraId="02216E81">
      <w:pPr>
        <w:pStyle w:val="26"/>
        <w:snapToGrid w:val="0"/>
        <w:spacing w:line="400" w:lineRule="exact"/>
        <w:ind w:firstLine="480" w:firstLineChars="200"/>
        <w:outlineLvl w:val="1"/>
        <w:rPr>
          <w:rFonts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.1 单位负责人为同一人或者存在直接控股、管理关系的不同供应商，不得参加同一合同项下的政府采购活动。</w:t>
      </w:r>
    </w:p>
    <w:p w14:paraId="3AE09326">
      <w:pPr>
        <w:pStyle w:val="26"/>
        <w:widowControl/>
        <w:snapToGrid w:val="0"/>
        <w:spacing w:line="400" w:lineRule="exact"/>
        <w:ind w:firstLine="480" w:firstLineChars="2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3</w:t>
      </w:r>
      <w:r>
        <w:rPr>
          <w:rFonts w:hint="eastAsia" w:ascii="仿宋_GB2312" w:hAnsi="宋体" w:eastAsia="仿宋_GB2312"/>
          <w:sz w:val="24"/>
          <w:szCs w:val="24"/>
        </w:rPr>
        <w:t>除单一来源采购项目外，为采购项目提供整体设计、规范编制或者项目管理、监理、检测等服务的供应商，不得再参加该采购项目的其他采购活动。</w:t>
      </w:r>
    </w:p>
    <w:bookmarkEnd w:id="67"/>
    <w:bookmarkEnd w:id="68"/>
    <w:p w14:paraId="4C3BCB15">
      <w:pPr>
        <w:pStyle w:val="26"/>
        <w:snapToGrid w:val="0"/>
        <w:spacing w:line="400" w:lineRule="exact"/>
        <w:ind w:firstLine="472" w:firstLineChars="196"/>
        <w:outlineLvl w:val="1"/>
        <w:rPr>
          <w:rFonts w:hint="eastAsia" w:ascii="仿宋_GB2312" w:hAnsi="宋体" w:eastAsia="仿宋_GB2312"/>
          <w:b/>
          <w:bCs/>
          <w:sz w:val="24"/>
          <w:szCs w:val="24"/>
        </w:rPr>
      </w:pPr>
      <w:r>
        <w:rPr>
          <w:rFonts w:hint="eastAsia" w:ascii="仿宋_GB2312" w:hAnsi="宋体" w:eastAsia="仿宋_GB2312"/>
          <w:b/>
          <w:bCs/>
          <w:sz w:val="24"/>
          <w:szCs w:val="24"/>
        </w:rPr>
        <w:t>9.</w:t>
      </w:r>
      <w:r>
        <w:rPr>
          <w:rFonts w:hint="eastAsia" w:ascii="仿宋_GB2312" w:hAnsi="宋体" w:eastAsia="仿宋_GB2312" w:cs="宋体"/>
          <w:b/>
          <w:sz w:val="24"/>
          <w:szCs w:val="24"/>
        </w:rPr>
        <w:t>质疑和投诉</w:t>
      </w:r>
    </w:p>
    <w:p w14:paraId="79DBD45E">
      <w:pPr>
        <w:pStyle w:val="26"/>
        <w:snapToGrid w:val="0"/>
        <w:spacing w:line="400" w:lineRule="exact"/>
        <w:ind w:firstLine="482" w:firstLineChars="200"/>
        <w:rPr>
          <w:rFonts w:hint="eastAsia" w:ascii="仿宋_GB2312" w:hAnsi="宋体" w:eastAsia="仿宋_GB2312"/>
          <w:bCs/>
          <w:sz w:val="24"/>
          <w:szCs w:val="24"/>
        </w:rPr>
      </w:pPr>
      <w:r>
        <w:rPr>
          <w:rFonts w:hint="eastAsia" w:ascii="仿宋_GB2312" w:hAnsi="宋体" w:eastAsia="仿宋_GB2312"/>
          <w:b/>
          <w:sz w:val="24"/>
        </w:rPr>
        <w:t>注：投标人对电子标项目提出质疑和投诉的，应按照《政府采购质疑和投诉办法》（财政部令第94号）规定的方式提交质疑和投诉。</w:t>
      </w:r>
    </w:p>
    <w:p w14:paraId="2D1212A8">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9.1投标人认为招标文件、招标过程或中标结果使自己的合法权益受到损害的，可以在知道或者应知其权益受到损害之日起七个工作日内，以书面形式向采购人或采购代理机构提出质疑。权益受到损害之日是：</w:t>
      </w:r>
    </w:p>
    <w:p w14:paraId="3EADDC80">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9.1.1对可以质疑的采购文件提出质疑的，为收到采购文件之日或者采购文件公告期限届满之日；</w:t>
      </w:r>
    </w:p>
    <w:p w14:paraId="1294453B">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9.1.2对采购过程提出质疑的，为各采购程序环节结束之日；</w:t>
      </w:r>
    </w:p>
    <w:p w14:paraId="09D2A7DE">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9.1.3对成交结果提出质疑的，为成交结果公告期限届满之日。</w:t>
      </w:r>
    </w:p>
    <w:p w14:paraId="73213256">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投标人对采购人或采购代理机构的答复不满意或者采购人、采购代理机构未在规定时间内作出答复的，可以在答复期满后十五个工作日内向同级政府采购监管部门投诉。</w:t>
      </w:r>
    </w:p>
    <w:p w14:paraId="54099AC3">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 xml:space="preserve">9.2采购人或采购代理机构（采购代理机构应当按照有关规定就采购人委托授权范围内的事项）在收到供应商的书面质疑后七个工作日内作出答复，但答复的内容不得涉及商业秘密。 </w:t>
      </w:r>
    </w:p>
    <w:p w14:paraId="1A97731B">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9.3质疑、投诉应当采用书面形式，质疑函、投诉书均应明确阐述招标文件、招标过程或中标结果中使自己合法权益受到损害的实质性内容，提供相关事实依据和证据及其来源或线索，便于有关单位调查、答复和处理。</w:t>
      </w:r>
    </w:p>
    <w:p w14:paraId="749ED016">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9.4质疑书面要求</w:t>
      </w:r>
    </w:p>
    <w:p w14:paraId="71FF174B">
      <w:pPr>
        <w:pStyle w:val="26"/>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9.4.1质疑人质疑时须提交质疑</w:t>
      </w:r>
      <w:r>
        <w:rPr>
          <w:rFonts w:ascii="仿宋_GB2312" w:hAnsi="宋体" w:eastAsia="仿宋_GB2312"/>
          <w:sz w:val="24"/>
          <w:szCs w:val="24"/>
        </w:rPr>
        <w:t>函</w:t>
      </w:r>
      <w:r>
        <w:rPr>
          <w:rFonts w:hint="eastAsia" w:ascii="仿宋_GB2312" w:hAnsi="宋体" w:eastAsia="仿宋_GB2312"/>
          <w:sz w:val="24"/>
          <w:szCs w:val="24"/>
        </w:rPr>
        <w:t>和必要的证明材料</w:t>
      </w:r>
      <w:r>
        <w:rPr>
          <w:rFonts w:hint="eastAsia" w:ascii="仿宋_GB2312" w:eastAsia="仿宋_GB2312"/>
          <w:sz w:val="24"/>
        </w:rPr>
        <w:t>，</w:t>
      </w:r>
      <w:r>
        <w:rPr>
          <w:rFonts w:hint="eastAsia" w:ascii="仿宋_GB2312" w:hAnsi="宋体" w:eastAsia="仿宋_GB2312"/>
          <w:sz w:val="24"/>
          <w:szCs w:val="24"/>
        </w:rPr>
        <w:t>供应商须在法定质疑期内一次性提出针对同一采购程序环节的质疑。</w:t>
      </w:r>
      <w:r>
        <w:rPr>
          <w:rFonts w:hint="eastAsia" w:ascii="仿宋_GB2312" w:hAnsi="宋体" w:eastAsia="仿宋_GB2312"/>
          <w:bCs/>
          <w:sz w:val="24"/>
          <w:szCs w:val="24"/>
        </w:rPr>
        <w:t>质疑函至少包括下列主要内容：</w:t>
      </w:r>
    </w:p>
    <w:p w14:paraId="22A1C2E0">
      <w:pPr>
        <w:pStyle w:val="26"/>
        <w:numPr>
          <w:ilvl w:val="0"/>
          <w:numId w:val="2"/>
        </w:numPr>
        <w:tabs>
          <w:tab w:val="left" w:pos="1150"/>
          <w:tab w:val="left" w:pos="1350"/>
        </w:tabs>
        <w:spacing w:line="400" w:lineRule="exact"/>
        <w:rPr>
          <w:rFonts w:hint="eastAsia" w:ascii="仿宋_GB2312" w:hAnsi="宋体" w:eastAsia="仿宋_GB2312"/>
          <w:sz w:val="24"/>
          <w:szCs w:val="24"/>
        </w:rPr>
      </w:pPr>
      <w:r>
        <w:rPr>
          <w:rFonts w:hint="eastAsia" w:ascii="仿宋_GB2312" w:hAnsi="宋体" w:eastAsia="仿宋_GB2312"/>
          <w:sz w:val="24"/>
          <w:szCs w:val="24"/>
        </w:rPr>
        <w:t>供应商的姓名或名称、地址、邮编、联系人及联系电话；</w:t>
      </w:r>
    </w:p>
    <w:p w14:paraId="3F24D06A">
      <w:pPr>
        <w:pStyle w:val="26"/>
        <w:numPr>
          <w:ilvl w:val="0"/>
          <w:numId w:val="2"/>
        </w:numPr>
        <w:spacing w:line="400" w:lineRule="exact"/>
        <w:rPr>
          <w:rFonts w:hint="eastAsia" w:ascii="仿宋_GB2312" w:hAnsi="宋体" w:eastAsia="仿宋_GB2312"/>
          <w:sz w:val="24"/>
          <w:szCs w:val="24"/>
        </w:rPr>
      </w:pPr>
      <w:r>
        <w:rPr>
          <w:rFonts w:hint="eastAsia" w:ascii="仿宋_GB2312" w:hAnsi="宋体" w:eastAsia="仿宋_GB2312"/>
          <w:sz w:val="24"/>
          <w:szCs w:val="24"/>
        </w:rPr>
        <w:t>质疑项目的名称、编号；</w:t>
      </w:r>
    </w:p>
    <w:p w14:paraId="5850062D">
      <w:pPr>
        <w:pStyle w:val="26"/>
        <w:numPr>
          <w:ilvl w:val="0"/>
          <w:numId w:val="2"/>
        </w:numPr>
        <w:spacing w:line="400" w:lineRule="exact"/>
        <w:rPr>
          <w:rFonts w:hint="eastAsia" w:ascii="仿宋_GB2312" w:hAnsi="宋体" w:eastAsia="仿宋_GB2312"/>
          <w:sz w:val="24"/>
          <w:szCs w:val="24"/>
        </w:rPr>
      </w:pPr>
      <w:r>
        <w:rPr>
          <w:rFonts w:hint="eastAsia" w:ascii="仿宋_GB2312" w:hAnsi="宋体" w:eastAsia="仿宋_GB2312"/>
          <w:sz w:val="24"/>
          <w:szCs w:val="24"/>
        </w:rPr>
        <w:t>具体、明确的质疑事项和与质疑事项相关的请求；</w:t>
      </w:r>
    </w:p>
    <w:p w14:paraId="328B24BE">
      <w:pPr>
        <w:pStyle w:val="26"/>
        <w:numPr>
          <w:ilvl w:val="0"/>
          <w:numId w:val="2"/>
        </w:numPr>
        <w:spacing w:line="400" w:lineRule="exact"/>
        <w:rPr>
          <w:rFonts w:hint="eastAsia" w:ascii="仿宋_GB2312" w:hAnsi="宋体" w:eastAsia="仿宋_GB2312"/>
          <w:sz w:val="24"/>
          <w:szCs w:val="24"/>
        </w:rPr>
      </w:pPr>
      <w:r>
        <w:rPr>
          <w:rFonts w:hint="eastAsia" w:ascii="仿宋_GB2312" w:hAnsi="宋体" w:eastAsia="仿宋_GB2312"/>
          <w:sz w:val="24"/>
          <w:szCs w:val="24"/>
        </w:rPr>
        <w:t>事实依据；</w:t>
      </w:r>
    </w:p>
    <w:p w14:paraId="7D923278">
      <w:pPr>
        <w:pStyle w:val="26"/>
        <w:numPr>
          <w:ilvl w:val="0"/>
          <w:numId w:val="2"/>
        </w:numPr>
        <w:spacing w:line="400" w:lineRule="exact"/>
        <w:rPr>
          <w:rFonts w:hint="eastAsia" w:ascii="仿宋_GB2312" w:hAnsi="宋体" w:eastAsia="仿宋_GB2312"/>
          <w:sz w:val="24"/>
          <w:szCs w:val="24"/>
        </w:rPr>
      </w:pPr>
      <w:r>
        <w:rPr>
          <w:rFonts w:hint="eastAsia" w:ascii="仿宋_GB2312" w:hAnsi="宋体" w:eastAsia="仿宋_GB2312"/>
          <w:sz w:val="24"/>
          <w:szCs w:val="24"/>
        </w:rPr>
        <w:t>必要的法律依据；</w:t>
      </w:r>
    </w:p>
    <w:p w14:paraId="04724339">
      <w:pPr>
        <w:pStyle w:val="26"/>
        <w:numPr>
          <w:ilvl w:val="0"/>
          <w:numId w:val="2"/>
        </w:numPr>
        <w:spacing w:line="400" w:lineRule="exact"/>
        <w:ind w:left="1025" w:hanging="590"/>
        <w:rPr>
          <w:rFonts w:hint="eastAsia" w:ascii="仿宋_GB2312" w:hAnsi="宋体" w:eastAsia="仿宋_GB2312"/>
          <w:sz w:val="24"/>
          <w:szCs w:val="24"/>
        </w:rPr>
      </w:pPr>
      <w:r>
        <w:rPr>
          <w:rFonts w:hint="eastAsia" w:ascii="仿宋_GB2312" w:hAnsi="宋体" w:eastAsia="仿宋_GB2312"/>
          <w:sz w:val="24"/>
          <w:szCs w:val="24"/>
        </w:rPr>
        <w:t>提出质疑的日期。</w:t>
      </w:r>
    </w:p>
    <w:p w14:paraId="18782236">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供应商为自然人的，应当由本人签字；供应商为法人或者其他组织的，应当由法定代表人、主要负责人，或其授权代表签字或者盖章，并加盖公章。</w:t>
      </w:r>
    </w:p>
    <w:p w14:paraId="4ED3EFB2">
      <w:pPr>
        <w:pStyle w:val="26"/>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代理人提出质疑和投诉，应当提交供应商签署的授权委托书。</w:t>
      </w:r>
    </w:p>
    <w:p w14:paraId="3FFADE33">
      <w:pPr>
        <w:snapToGrid w:val="0"/>
        <w:spacing w:line="400" w:lineRule="exact"/>
        <w:ind w:firstLine="480" w:firstLineChars="200"/>
        <w:jc w:val="left"/>
        <w:rPr>
          <w:rFonts w:ascii="仿宋_GB2312" w:eastAsia="仿宋_GB2312" w:cs="Courier New"/>
          <w:sz w:val="24"/>
        </w:rPr>
      </w:pPr>
      <w:r>
        <w:rPr>
          <w:rFonts w:hint="eastAsia" w:ascii="仿宋_GB2312" w:eastAsia="仿宋_GB2312" w:cs="Courier New"/>
          <w:sz w:val="24"/>
        </w:rPr>
        <w:t>9.5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14:paraId="13C48697">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9.6联系部门：柳州市政府集中采购中心监督科。</w:t>
      </w:r>
    </w:p>
    <w:p w14:paraId="199E2EAA">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9.7联系电话：0772-2992103。</w:t>
      </w:r>
    </w:p>
    <w:p w14:paraId="659EDBA3">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9.8通讯地址：广西</w:t>
      </w:r>
      <w:r>
        <w:rPr>
          <w:rFonts w:ascii="仿宋_GB2312" w:eastAsia="仿宋_GB2312" w:cs="Courier New"/>
          <w:sz w:val="24"/>
        </w:rPr>
        <w:t>柳州市三中路6</w:t>
      </w:r>
      <w:r>
        <w:rPr>
          <w:rFonts w:hint="eastAsia" w:ascii="仿宋_GB2312" w:eastAsia="仿宋_GB2312" w:cs="Courier New"/>
          <w:sz w:val="24"/>
        </w:rPr>
        <w:t>4-2</w:t>
      </w:r>
      <w:r>
        <w:rPr>
          <w:rFonts w:ascii="仿宋_GB2312" w:eastAsia="仿宋_GB2312" w:cs="Courier New"/>
          <w:sz w:val="24"/>
        </w:rPr>
        <w:t>号</w:t>
      </w:r>
      <w:r>
        <w:rPr>
          <w:rFonts w:hint="eastAsia" w:ascii="仿宋_GB2312" w:eastAsia="仿宋_GB2312" w:cs="Courier New"/>
          <w:sz w:val="24"/>
        </w:rPr>
        <w:t>。</w:t>
      </w:r>
    </w:p>
    <w:p w14:paraId="22D22D25">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9.9现场提交质疑办理业务时间：工作日8时00分到12时00分，15时00分到18时 00分，业务时间以外、双休日和法定节假日不办理业务。</w:t>
      </w:r>
    </w:p>
    <w:p w14:paraId="7223063A">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9.10投诉的书面要求</w:t>
      </w:r>
    </w:p>
    <w:p w14:paraId="640F1769">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9.10.1符合《政府采购质疑和投诉办法》（财政部第94号令）要求。</w:t>
      </w:r>
    </w:p>
    <w:p w14:paraId="1BD11288">
      <w:pPr>
        <w:pStyle w:val="26"/>
        <w:snapToGrid w:val="0"/>
        <w:spacing w:line="360" w:lineRule="exact"/>
        <w:ind w:right="-330" w:rightChars="-157" w:firstLine="472" w:firstLineChars="196"/>
        <w:rPr>
          <w:rFonts w:hint="eastAsia" w:ascii="仿宋_GB2312" w:hAnsi="宋体" w:eastAsia="仿宋_GB2312"/>
          <w:b/>
          <w:sz w:val="24"/>
          <w:szCs w:val="24"/>
        </w:rPr>
      </w:pPr>
      <w:r>
        <w:rPr>
          <w:rFonts w:hint="eastAsia" w:ascii="仿宋_GB2312" w:hAnsi="宋体" w:eastAsia="仿宋_GB2312"/>
          <w:b/>
          <w:sz w:val="24"/>
          <w:szCs w:val="24"/>
        </w:rPr>
        <w:t>二、招标文件</w:t>
      </w:r>
      <w:bookmarkEnd w:id="57"/>
      <w:bookmarkEnd w:id="58"/>
    </w:p>
    <w:p w14:paraId="7D451AE0">
      <w:pPr>
        <w:snapToGrid w:val="0"/>
        <w:spacing w:line="360" w:lineRule="exact"/>
        <w:ind w:right="-330" w:rightChars="-157" w:firstLine="472" w:firstLineChars="196"/>
        <w:jc w:val="left"/>
        <w:rPr>
          <w:rFonts w:hint="eastAsia" w:eastAsia="仿宋_GB2312" w:asciiTheme="minorHAnsi" w:hAnsiTheme="minorHAnsi"/>
          <w:b/>
          <w:sz w:val="24"/>
          <w:lang w:val="en-GB"/>
        </w:rPr>
      </w:pPr>
      <w:r>
        <w:rPr>
          <w:rFonts w:hint="eastAsia" w:ascii="仿宋_GB2312" w:eastAsia="仿宋_GB2312" w:cs="Courier New"/>
          <w:b/>
          <w:sz w:val="24"/>
        </w:rPr>
        <w:t>10.招标文件的构成</w:t>
      </w:r>
    </w:p>
    <w:p w14:paraId="49DFD08D">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（1）公开招标公告；</w:t>
      </w:r>
    </w:p>
    <w:p w14:paraId="304F320D">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（2）采购需求；</w:t>
      </w:r>
    </w:p>
    <w:p w14:paraId="12333533">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（3）投标人须知；</w:t>
      </w:r>
    </w:p>
    <w:p w14:paraId="53D84443">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（4）评标方法及评标标准；</w:t>
      </w:r>
    </w:p>
    <w:p w14:paraId="5991C3CC">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（5）合同主要条款及验收书格式；</w:t>
      </w:r>
    </w:p>
    <w:p w14:paraId="4F195A5A">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（6）投标文件格式。</w:t>
      </w:r>
    </w:p>
    <w:p w14:paraId="2AB58AB0">
      <w:pPr>
        <w:snapToGrid w:val="0"/>
        <w:spacing w:line="400" w:lineRule="exact"/>
        <w:ind w:firstLine="472" w:firstLineChars="196"/>
        <w:jc w:val="left"/>
        <w:rPr>
          <w:rFonts w:ascii="仿宋_GB2312" w:eastAsia="仿宋_GB2312" w:cs="Courier New"/>
          <w:b/>
          <w:sz w:val="24"/>
        </w:rPr>
      </w:pPr>
      <w:r>
        <w:rPr>
          <w:rFonts w:hint="eastAsia" w:ascii="仿宋_GB2312" w:eastAsia="仿宋_GB2312" w:cs="Courier New"/>
          <w:b/>
          <w:sz w:val="24"/>
        </w:rPr>
        <w:t>11.投标人的风险</w:t>
      </w:r>
    </w:p>
    <w:p w14:paraId="357A8E8A">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11.1投标人没有按照招标文件要求提供全部资料，或者投标人没有对招标文件在各方面作出实质性响应是投标人的风险，并可能导致其投标被拒绝。</w:t>
      </w:r>
    </w:p>
    <w:p w14:paraId="77A27C45">
      <w:pPr>
        <w:snapToGrid w:val="0"/>
        <w:spacing w:line="400" w:lineRule="exact"/>
        <w:ind w:firstLine="472" w:firstLineChars="196"/>
        <w:jc w:val="left"/>
        <w:rPr>
          <w:rFonts w:ascii="仿宋_GB2312" w:eastAsia="仿宋_GB2312"/>
          <w:b/>
          <w:sz w:val="24"/>
        </w:rPr>
      </w:pPr>
      <w:r>
        <w:rPr>
          <w:rFonts w:hint="eastAsia" w:ascii="仿宋_GB2312" w:eastAsia="仿宋_GB2312" w:cs="Courier New"/>
          <w:b/>
          <w:sz w:val="24"/>
        </w:rPr>
        <w:t>12.招标文件的澄清与修改</w:t>
      </w:r>
      <w:r>
        <w:rPr>
          <w:rFonts w:hint="eastAsia" w:ascii="仿宋_GB2312" w:eastAsia="仿宋_GB2312"/>
          <w:b/>
          <w:sz w:val="24"/>
        </w:rPr>
        <w:t xml:space="preserve"> </w:t>
      </w:r>
    </w:p>
    <w:p w14:paraId="1F8142A6">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12.1投标人应认真阅读本招标文件，发现其中有误或有不合理要求的，投标人必须以书面形式询问采购人或采购代理机构。采购代理机构对已发出的招标文件进行必要澄清、答复、修改或补充的，应当在招标文件要求提交投标文件截止时间十五日前，在财政部门指定的政府采购信息发布媒体上发布更正公告，并以书面形式通知所有获取招标文件的供应商。该澄清或者修改的内容为招标文件的组成部分。</w:t>
      </w:r>
    </w:p>
    <w:p w14:paraId="72EAD34B">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12.2采购人或采购代理机构以书面形式答复投标人询问的问题，除书面答复以外的其他澄清方式及澄清内容均无效。</w:t>
      </w:r>
    </w:p>
    <w:p w14:paraId="6ADC00F4">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12.3招标文件澄清、答复、修改、补充的内容为招标文件的组成部分。当招标文件与招标文件的答复、澄清、修改、补充通知就同一内容的表述不一致时，以最后发出的书面文件为准。</w:t>
      </w:r>
    </w:p>
    <w:p w14:paraId="70635353">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12.4招标文件的澄清、答复、修改或补充都应该通过本采购代理机构以法定形式发布，采购人非通过代理机构，不得擅自澄清、答复、修改或补充招标文件。</w:t>
      </w:r>
    </w:p>
    <w:p w14:paraId="050F7BBF">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12.5</w:t>
      </w:r>
      <w:r>
        <w:rPr>
          <w:rFonts w:hint="eastAsia" w:ascii="仿宋_GB2312" w:hAnsi="宋体" w:eastAsia="仿宋_GB2312"/>
          <w:sz w:val="24"/>
        </w:rPr>
        <w:t>采购人或采购代理机构可以视采购具体情况，延长</w:t>
      </w:r>
      <w:r>
        <w:rPr>
          <w:rFonts w:hint="eastAsia" w:ascii="仿宋_GB2312" w:eastAsia="仿宋_GB2312"/>
          <w:sz w:val="24"/>
        </w:rPr>
        <w:t>招标文件提供期限，并在财政部门指定的政府采购信息发布媒体上发布公告</w:t>
      </w:r>
      <w:r>
        <w:rPr>
          <w:rFonts w:hint="eastAsia" w:ascii="仿宋_GB2312" w:eastAsia="仿宋_GB2312" w:cs="Courier New"/>
          <w:sz w:val="24"/>
        </w:rPr>
        <w:t>。</w:t>
      </w:r>
    </w:p>
    <w:p w14:paraId="5537B265">
      <w:pPr>
        <w:snapToGrid w:val="0"/>
        <w:spacing w:line="360" w:lineRule="exact"/>
        <w:ind w:right="-330" w:rightChars="-157" w:firstLine="472" w:firstLineChars="196"/>
        <w:jc w:val="left"/>
        <w:rPr>
          <w:rFonts w:ascii="仿宋_GB2312" w:eastAsia="仿宋_GB2312" w:cs="Courier New"/>
          <w:b/>
          <w:sz w:val="24"/>
        </w:rPr>
      </w:pPr>
      <w:bookmarkStart w:id="69" w:name="_Toc254970535"/>
      <w:bookmarkStart w:id="70" w:name="_Toc254970676"/>
      <w:r>
        <w:rPr>
          <w:rFonts w:hint="eastAsia" w:ascii="仿宋_GB2312" w:eastAsia="仿宋_GB2312" w:cs="Courier New"/>
          <w:b/>
          <w:sz w:val="24"/>
        </w:rPr>
        <w:t>三、投标文件的编制</w:t>
      </w:r>
      <w:bookmarkEnd w:id="69"/>
      <w:bookmarkEnd w:id="70"/>
    </w:p>
    <w:p w14:paraId="183CDAE0">
      <w:pPr>
        <w:snapToGrid w:val="0"/>
        <w:spacing w:line="360" w:lineRule="exact"/>
        <w:ind w:right="-330" w:rightChars="-157" w:firstLine="472" w:firstLineChars="196"/>
        <w:jc w:val="left"/>
        <w:rPr>
          <w:rFonts w:ascii="仿宋_GB2312" w:eastAsia="仿宋_GB2312"/>
          <w:b/>
          <w:sz w:val="24"/>
        </w:rPr>
      </w:pPr>
      <w:r>
        <w:rPr>
          <w:rFonts w:hint="eastAsia" w:ascii="仿宋_GB2312" w:eastAsia="仿宋_GB2312" w:cs="Courier New"/>
          <w:b/>
          <w:sz w:val="24"/>
        </w:rPr>
        <w:t>13.投标文件的组成</w:t>
      </w:r>
    </w:p>
    <w:p w14:paraId="5D98A03D">
      <w:pPr>
        <w:snapToGrid w:val="0"/>
        <w:spacing w:line="400" w:lineRule="exact"/>
        <w:ind w:firstLine="482" w:firstLineChars="200"/>
        <w:jc w:val="left"/>
        <w:rPr>
          <w:rFonts w:ascii="仿宋_GB2312" w:eastAsia="仿宋_GB2312"/>
          <w:b/>
          <w:bCs/>
          <w:sz w:val="24"/>
        </w:rPr>
      </w:pPr>
      <w:r>
        <w:rPr>
          <w:rFonts w:hint="eastAsia" w:ascii="仿宋_GB2312" w:eastAsia="仿宋_GB2312"/>
          <w:b/>
          <w:bCs/>
          <w:sz w:val="24"/>
        </w:rPr>
        <w:t>13.1投标文件由资格文件、报价要求文件、商务技术文件三部分组成。</w:t>
      </w:r>
    </w:p>
    <w:bookmarkEnd w:id="59"/>
    <w:bookmarkEnd w:id="60"/>
    <w:p w14:paraId="43CC1275">
      <w:pPr>
        <w:snapToGrid w:val="0"/>
        <w:spacing w:line="360" w:lineRule="exact"/>
        <w:ind w:right="-330" w:rightChars="-157" w:firstLine="472" w:firstLineChars="196"/>
        <w:jc w:val="left"/>
        <w:rPr>
          <w:rFonts w:ascii="仿宋_GB2312" w:eastAsia="仿宋_GB2312" w:cs="Courier New"/>
          <w:b/>
          <w:sz w:val="24"/>
        </w:rPr>
      </w:pPr>
      <w:r>
        <w:rPr>
          <w:rFonts w:hint="eastAsia" w:ascii="仿宋_GB2312" w:eastAsia="仿宋_GB2312"/>
          <w:b/>
          <w:sz w:val="24"/>
        </w:rPr>
        <w:t>13.1.</w:t>
      </w:r>
      <w:r>
        <w:rPr>
          <w:rFonts w:ascii="仿宋_GB2312" w:eastAsia="仿宋_GB2312"/>
          <w:b/>
          <w:sz w:val="24"/>
        </w:rPr>
        <w:t>1</w:t>
      </w:r>
      <w:r>
        <w:rPr>
          <w:rFonts w:hint="eastAsia" w:ascii="仿宋_GB2312" w:eastAsia="仿宋_GB2312" w:cs="Courier New"/>
          <w:b/>
          <w:bCs/>
          <w:sz w:val="24"/>
        </w:rPr>
        <w:t>资格文件</w:t>
      </w:r>
    </w:p>
    <w:p w14:paraId="2BF60EE6">
      <w:pPr>
        <w:snapToGrid w:val="0"/>
        <w:spacing w:line="340" w:lineRule="exact"/>
        <w:ind w:right="-330" w:rightChars="-157" w:firstLine="472" w:firstLineChars="196"/>
        <w:jc w:val="left"/>
        <w:rPr>
          <w:rFonts w:hint="eastAsia" w:ascii="仿宋_GB2312" w:hAnsi="宋体" w:eastAsia="仿宋_GB2312" w:cs="Courier New"/>
          <w:sz w:val="24"/>
        </w:rPr>
      </w:pPr>
      <w:r>
        <w:rPr>
          <w:rFonts w:hint="eastAsia" w:ascii="仿宋_GB2312" w:hAnsi="宋体" w:eastAsia="仿宋_GB2312"/>
          <w:b/>
          <w:bCs/>
          <w:sz w:val="24"/>
        </w:rPr>
        <w:t>注：以下各项必须提供并加盖投标人CA电子签章、按照第六章格式要求签字，否则其投标无效。</w:t>
      </w:r>
    </w:p>
    <w:p w14:paraId="72F9A352">
      <w:pPr>
        <w:pStyle w:val="268"/>
        <w:spacing w:before="0" w:beforeAutospacing="0" w:after="0" w:afterAutospacing="0" w:line="3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，格式见第六章）；</w:t>
      </w:r>
    </w:p>
    <w:p w14:paraId="76DA8074">
      <w:pPr>
        <w:pStyle w:val="26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，格式见第六章）；</w:t>
      </w:r>
    </w:p>
    <w:p w14:paraId="2D19D94B">
      <w:pPr>
        <w:pStyle w:val="26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（3）投标人资格声明函（</w:t>
      </w:r>
      <w:r>
        <w:rPr>
          <w:rFonts w:hint="eastAsia" w:ascii="仿宋_GB2312" w:eastAsia="仿宋_GB2312"/>
          <w:b/>
          <w:bCs/>
          <w:color w:val="000000"/>
        </w:rPr>
        <w:t>必须提供</w:t>
      </w:r>
      <w:r>
        <w:rPr>
          <w:rFonts w:hint="eastAsia" w:ascii="仿宋_GB2312" w:eastAsia="仿宋_GB2312"/>
          <w:color w:val="000000"/>
        </w:rPr>
        <w:t>，格式见第六章）；</w:t>
      </w:r>
    </w:p>
    <w:p w14:paraId="2AC1EB30">
      <w:pPr>
        <w:pStyle w:val="26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14:paraId="2C212C5E">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13.1.2报价要求文件</w:t>
      </w:r>
    </w:p>
    <w:p w14:paraId="371D055C">
      <w:pPr>
        <w:snapToGrid w:val="0"/>
        <w:spacing w:line="400" w:lineRule="exact"/>
        <w:ind w:firstLine="420"/>
        <w:jc w:val="left"/>
        <w:rPr>
          <w:rFonts w:ascii="仿宋_GB2312" w:eastAsia="仿宋_GB2312" w:cs="Courier New"/>
          <w:sz w:val="24"/>
        </w:rPr>
      </w:pPr>
      <w:r>
        <w:rPr>
          <w:rFonts w:hint="eastAsia" w:ascii="仿宋_GB2312" w:eastAsia="仿宋_GB2312" w:cs="Courier New"/>
          <w:b/>
          <w:bCs/>
          <w:sz w:val="24"/>
        </w:rPr>
        <w:t>注：以下各项必须提供并加盖投标人</w:t>
      </w:r>
      <w:r>
        <w:rPr>
          <w:rFonts w:hint="eastAsia" w:ascii="仿宋_GB2312" w:hAnsi="宋体" w:eastAsia="仿宋_GB2312"/>
          <w:b/>
          <w:bCs/>
          <w:sz w:val="24"/>
        </w:rPr>
        <w:t>CA电子签章</w:t>
      </w:r>
      <w:r>
        <w:rPr>
          <w:rFonts w:hint="eastAsia" w:ascii="仿宋_GB2312" w:eastAsia="仿宋_GB2312" w:cs="Courier New"/>
          <w:b/>
          <w:bCs/>
          <w:sz w:val="24"/>
        </w:rPr>
        <w:t>、</w:t>
      </w:r>
      <w:r>
        <w:rPr>
          <w:rFonts w:hint="eastAsia" w:ascii="仿宋_GB2312" w:eastAsia="仿宋_GB2312"/>
          <w:b/>
          <w:bCs/>
          <w:sz w:val="24"/>
        </w:rPr>
        <w:t>按照第六章格式要求签字，</w:t>
      </w:r>
      <w:r>
        <w:rPr>
          <w:rFonts w:hint="eastAsia" w:ascii="仿宋_GB2312" w:eastAsia="仿宋_GB2312" w:cs="Courier New"/>
          <w:b/>
          <w:bCs/>
          <w:sz w:val="24"/>
        </w:rPr>
        <w:t>否则其投标无效。</w:t>
      </w:r>
    </w:p>
    <w:p w14:paraId="4A74E58E">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（1）开标一览表（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14:paraId="7292C8BD">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（2）投标报价明细表（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14:paraId="51E750F7">
      <w:pPr>
        <w:snapToGrid w:val="0"/>
        <w:spacing w:line="340" w:lineRule="exact"/>
        <w:ind w:right="-330" w:rightChars="-157" w:firstLine="441" w:firstLineChars="183"/>
        <w:jc w:val="left"/>
        <w:rPr>
          <w:rFonts w:ascii="仿宋_GB2312" w:eastAsia="仿宋_GB2312" w:cs="Courier New"/>
          <w:b/>
          <w:sz w:val="24"/>
        </w:rPr>
      </w:pPr>
      <w:r>
        <w:rPr>
          <w:rFonts w:hint="eastAsia" w:ascii="仿宋_GB2312" w:eastAsia="仿宋_GB2312"/>
          <w:b/>
          <w:sz w:val="24"/>
        </w:rPr>
        <w:t>13.1.3商务技术文件</w:t>
      </w:r>
    </w:p>
    <w:p w14:paraId="2093FA0C">
      <w:pPr>
        <w:snapToGrid w:val="0"/>
        <w:spacing w:line="340" w:lineRule="exact"/>
        <w:ind w:right="-330" w:rightChars="-157" w:firstLine="472" w:firstLineChars="196"/>
        <w:jc w:val="left"/>
        <w:rPr>
          <w:rFonts w:hint="eastAsia" w:ascii="仿宋_GB2312" w:hAnsi="宋体" w:eastAsia="仿宋_GB2312" w:cs="Courier New"/>
          <w:sz w:val="24"/>
        </w:rPr>
      </w:pPr>
      <w:bookmarkStart w:id="71" w:name="_Hlk517112171"/>
      <w:bookmarkStart w:id="72" w:name="_Toc254970537"/>
      <w:bookmarkStart w:id="73" w:name="_Toc254970678"/>
      <w:bookmarkStart w:id="74" w:name="_Hlk517112217"/>
      <w:r>
        <w:rPr>
          <w:rFonts w:hint="eastAsia" w:ascii="仿宋_GB2312" w:hAnsi="宋体" w:eastAsia="仿宋_GB2312"/>
          <w:b/>
          <w:bCs/>
          <w:sz w:val="24"/>
        </w:rPr>
        <w:t>注：以下第（1）至第（4）项必须提供并加盖投标人CA电子签章、并按照第六章格式要求签字，否则投标无效。其余各项如有请提供，同时要加盖投标人CA电子签章，否则该材料被视为无效。</w:t>
      </w:r>
    </w:p>
    <w:bookmarkEnd w:id="71"/>
    <w:p w14:paraId="252E9F48">
      <w:pPr>
        <w:pStyle w:val="288"/>
        <w:spacing w:before="0" w:beforeAutospacing="0" w:after="0" w:afterAutospacing="0" w:line="360" w:lineRule="atLeast"/>
        <w:rPr>
          <w:rFonts w:ascii="仿宋_GB2312" w:eastAsia="仿宋_GB2312"/>
          <w:color w:val="000000"/>
        </w:rPr>
      </w:pPr>
      <w:r>
        <w:rPr>
          <w:rFonts w:hint="eastAsia" w:ascii="仿宋_GB2312" w:eastAsia="仿宋_GB2312"/>
          <w:color w:val="000000"/>
        </w:rPr>
        <w:t>  （1）投标函（</w:t>
      </w:r>
      <w:r>
        <w:rPr>
          <w:rFonts w:hint="eastAsia" w:ascii="仿宋_GB2312" w:eastAsia="仿宋_GB2312"/>
          <w:b/>
          <w:bCs/>
          <w:color w:val="000000"/>
        </w:rPr>
        <w:t>必须提供</w:t>
      </w:r>
      <w:r>
        <w:rPr>
          <w:rFonts w:hint="eastAsia" w:ascii="仿宋_GB2312" w:eastAsia="仿宋_GB2312"/>
          <w:color w:val="000000"/>
        </w:rPr>
        <w:t>，格式见第六章）；</w:t>
      </w:r>
    </w:p>
    <w:p w14:paraId="42507758">
      <w:pPr>
        <w:pStyle w:val="28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（2）技术响应表（</w:t>
      </w:r>
      <w:r>
        <w:rPr>
          <w:rFonts w:hint="eastAsia" w:ascii="仿宋_GB2312" w:eastAsia="仿宋_GB2312"/>
          <w:b/>
          <w:bCs/>
          <w:color w:val="000000"/>
        </w:rPr>
        <w:t>必须提供</w:t>
      </w:r>
      <w:r>
        <w:rPr>
          <w:rFonts w:hint="eastAsia" w:ascii="仿宋_GB2312" w:eastAsia="仿宋_GB2312"/>
          <w:color w:val="000000"/>
        </w:rPr>
        <w:t>，格式见第六章）；</w:t>
      </w:r>
    </w:p>
    <w:p w14:paraId="2D5314FC">
      <w:pPr>
        <w:pStyle w:val="28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，格式见第六章）；</w:t>
      </w:r>
    </w:p>
    <w:p w14:paraId="0EEECA37">
      <w:pPr>
        <w:pStyle w:val="28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（4）投标产品“台式计算机”、“办公电脑”为政府强制采购节能产品，由国家确定的认证机构出具的、处于有效期之内的节能产品认证证书（</w:t>
      </w:r>
      <w:r>
        <w:rPr>
          <w:rFonts w:hint="eastAsia" w:ascii="仿宋_GB2312" w:eastAsia="仿宋_GB2312"/>
          <w:b/>
          <w:bCs/>
          <w:color w:val="000000"/>
        </w:rPr>
        <w:t>必须提供</w:t>
      </w:r>
      <w:r>
        <w:rPr>
          <w:rFonts w:hint="eastAsia" w:ascii="仿宋_GB2312" w:eastAsia="仿宋_GB2312"/>
          <w:color w:val="000000"/>
        </w:rPr>
        <w:t>）；</w:t>
      </w:r>
    </w:p>
    <w:p w14:paraId="78E78048">
      <w:pPr>
        <w:pStyle w:val="28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（5）项目实施方案（如有，格式见第六章）；</w:t>
      </w:r>
    </w:p>
    <w:p w14:paraId="045D920C">
      <w:pPr>
        <w:pStyle w:val="28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（6）安装进度计划和工期保证（如有，格式见第六章）；</w:t>
      </w:r>
    </w:p>
    <w:p w14:paraId="6DC64060">
      <w:pPr>
        <w:pStyle w:val="28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（7）技术培训方案（如有，格式见第六章）；</w:t>
      </w:r>
    </w:p>
    <w:p w14:paraId="482E59F2">
      <w:pPr>
        <w:pStyle w:val="28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（8）售后服务方案（如有，格式见第六章）；</w:t>
      </w:r>
    </w:p>
    <w:p w14:paraId="33D10501">
      <w:pPr>
        <w:pStyle w:val="28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（9）所投产品标记“★”的技术参数带下划线“</w:t>
      </w:r>
      <w:r>
        <w:rPr>
          <w:rFonts w:hint="eastAsia" w:ascii="仿宋_GB2312" w:eastAsia="仿宋_GB2312"/>
          <w:color w:val="000000"/>
          <w:u w:val="single"/>
        </w:rPr>
        <w:t xml:space="preserve"> </w:t>
      </w:r>
      <w:r>
        <w:rPr>
          <w:rFonts w:hint="eastAsia" w:ascii="仿宋_GB2312" w:eastAsia="仿宋_GB2312"/>
          <w:color w:val="000000"/>
          <w:u w:val="single"/>
          <w:lang w:val="en-US" w:eastAsia="zh-CN"/>
        </w:rPr>
        <w:t xml:space="preserve"> </w:t>
      </w:r>
      <w:r>
        <w:rPr>
          <w:rFonts w:hint="eastAsia" w:ascii="仿宋_GB2312" w:eastAsia="仿宋_GB2312"/>
          <w:color w:val="000000"/>
        </w:rPr>
        <w:t>”的内容优于采购需求，提供具有CMA或CNAS标识</w:t>
      </w:r>
      <w:r>
        <w:rPr>
          <w:rFonts w:hint="eastAsia" w:ascii="仿宋_GB2312" w:eastAsia="仿宋_GB2312"/>
          <w:color w:val="000000"/>
          <w:lang w:eastAsia="zh-CN"/>
        </w:rPr>
        <w:t>的</w:t>
      </w:r>
      <w:r>
        <w:rPr>
          <w:rFonts w:hint="eastAsia" w:ascii="仿宋_GB2312" w:eastAsia="仿宋_GB2312"/>
          <w:color w:val="000000"/>
        </w:rPr>
        <w:t>检测</w:t>
      </w:r>
      <w:r>
        <w:rPr>
          <w:rFonts w:hint="eastAsia" w:ascii="仿宋_GB2312" w:eastAsia="仿宋_GB2312"/>
          <w:color w:val="000000"/>
          <w:lang w:eastAsia="zh-CN"/>
        </w:rPr>
        <w:t>（检验）</w:t>
      </w:r>
      <w:r>
        <w:rPr>
          <w:rFonts w:hint="eastAsia" w:ascii="仿宋_GB2312" w:eastAsia="仿宋_GB2312"/>
          <w:color w:val="000000"/>
        </w:rPr>
        <w:t>报告或</w:t>
      </w:r>
      <w:r>
        <w:rPr>
          <w:rFonts w:hint="eastAsia" w:ascii="仿宋_GB2312" w:eastAsia="仿宋_GB2312"/>
          <w:color w:val="000000"/>
          <w:lang w:eastAsia="zh-CN"/>
        </w:rPr>
        <w:t>提供</w:t>
      </w:r>
      <w:r>
        <w:rPr>
          <w:rFonts w:hint="eastAsia" w:ascii="仿宋_GB2312" w:eastAsia="仿宋_GB2312"/>
          <w:color w:val="000000"/>
        </w:rPr>
        <w:t>其它证明材料（可以是彩页、官网或功能截图等其中任意一项）（如有）；</w:t>
      </w:r>
    </w:p>
    <w:p w14:paraId="1D759A8A">
      <w:pPr>
        <w:pStyle w:val="28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（10）投标人或所投核心产品生产厂商具备有效的质量管理体系认证证书（如有）；</w:t>
      </w:r>
    </w:p>
    <w:p w14:paraId="4BDC830D">
      <w:pPr>
        <w:pStyle w:val="28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（11）投标人或所投核心产品生产厂商具备有效的职业健康安全管理体系认证证书（如有）；</w:t>
      </w:r>
    </w:p>
    <w:p w14:paraId="307DAA29">
      <w:pPr>
        <w:pStyle w:val="28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（12）投标人或所投核心产品生产厂商具备有效的环境管理体系认证证书（如有）；</w:t>
      </w:r>
    </w:p>
    <w:p w14:paraId="2921B0C7">
      <w:pPr>
        <w:pStyle w:val="28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（13）投标产品由国家确定的认证机构出具的、处于有效期之内的环境标志产品认证证书（如有）；</w:t>
      </w:r>
    </w:p>
    <w:p w14:paraId="7CDF921B">
      <w:pPr>
        <w:pStyle w:val="28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4</w:t>
      </w:r>
      <w:r>
        <w:rPr>
          <w:rFonts w:hint="eastAsia" w:ascii="仿宋_GB2312" w:eastAsia="仿宋_GB2312"/>
          <w:color w:val="000000"/>
        </w:rPr>
        <w:t>）投标人对本项目的合理化建议和改进措施（如有，格式自拟）；</w:t>
      </w:r>
    </w:p>
    <w:p w14:paraId="03EB0D77">
      <w:pPr>
        <w:pStyle w:val="28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5</w:t>
      </w:r>
      <w:r>
        <w:rPr>
          <w:rFonts w:hint="eastAsia" w:ascii="仿宋_GB2312" w:eastAsia="仿宋_GB2312"/>
          <w:color w:val="000000"/>
        </w:rPr>
        <w:t>）投标人认为必要提供的声明及文件资料（如有，格式自拟）。</w:t>
      </w:r>
    </w:p>
    <w:bookmarkEnd w:id="72"/>
    <w:bookmarkEnd w:id="73"/>
    <w:bookmarkEnd w:id="74"/>
    <w:p w14:paraId="65ED778C">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14.投标文件的语言及计量</w:t>
      </w:r>
    </w:p>
    <w:p w14:paraId="5317BD58">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14.1投标文件以及投标人与采购代理机构就有关投标事宜的所有来往函电，均应以中文汉语书写。除签字、盖章、专用名称等特殊情形外，以中文汉语以外的文字表述的投标文件视同未提供。</w:t>
      </w:r>
    </w:p>
    <w:p w14:paraId="3E59EA2F">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14.2投标计量单位，招标文件已有明确规定的，使用招标文件规定的计量单位；招标文件没有规定的，应采用中华人民共和国法定计量单位，否则视同未响应。</w:t>
      </w:r>
    </w:p>
    <w:p w14:paraId="6CAB3EED">
      <w:pPr>
        <w:snapToGrid w:val="0"/>
        <w:spacing w:line="400" w:lineRule="exact"/>
        <w:ind w:firstLine="422" w:firstLineChars="175"/>
        <w:jc w:val="left"/>
        <w:rPr>
          <w:rFonts w:ascii="仿宋_GB2312" w:eastAsia="仿宋_GB2312" w:cs="Courier New"/>
          <w:b/>
          <w:sz w:val="24"/>
        </w:rPr>
      </w:pPr>
      <w:bookmarkStart w:id="75" w:name="_Toc254970538"/>
      <w:bookmarkStart w:id="76" w:name="_Toc254970679"/>
      <w:r>
        <w:rPr>
          <w:rFonts w:hint="eastAsia" w:ascii="仿宋_GB2312" w:eastAsia="仿宋_GB2312" w:cs="Courier New"/>
          <w:b/>
          <w:sz w:val="24"/>
        </w:rPr>
        <w:t>15.投标报价</w:t>
      </w:r>
      <w:bookmarkEnd w:id="75"/>
      <w:bookmarkEnd w:id="76"/>
    </w:p>
    <w:p w14:paraId="6B6B6347">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15.1投标报价应按招标文件中相关附表格式填写。</w:t>
      </w:r>
    </w:p>
    <w:p w14:paraId="062CD244">
      <w:pPr>
        <w:snapToGrid w:val="0"/>
        <w:spacing w:line="360" w:lineRule="exact"/>
        <w:ind w:right="-330" w:rightChars="-157" w:firstLine="420"/>
        <w:jc w:val="left"/>
        <w:rPr>
          <w:rFonts w:ascii="仿宋_GB2312" w:eastAsia="仿宋_GB2312" w:cs="Courier New"/>
          <w:sz w:val="24"/>
        </w:rPr>
      </w:pPr>
      <w:bookmarkStart w:id="77" w:name="_Hlk93681408"/>
      <w:r>
        <w:rPr>
          <w:rFonts w:hint="eastAsia" w:ascii="仿宋_GB2312" w:eastAsia="仿宋_GB2312" w:cs="Courier New"/>
          <w:sz w:val="24"/>
        </w:rPr>
        <w:t>15.2投标报价是履行合同的最终价格，应包括货物及货物运抵指定交付地点的所有成本、各种费用的总和。</w:t>
      </w:r>
    </w:p>
    <w:bookmarkEnd w:id="77"/>
    <w:p w14:paraId="6A2D37D6">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15.3投标文件只允许有一个总报价，有选择的或有条件的报价将不予接受。</w:t>
      </w:r>
    </w:p>
    <w:p w14:paraId="33C31357">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16.投标文件的有效期</w:t>
      </w:r>
    </w:p>
    <w:p w14:paraId="1BEB12B2">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16.1 投标截止日期后不得少于90天，投标文件应保持有效。有效期不足的投标文件将被拒绝，视为投标无效。</w:t>
      </w:r>
    </w:p>
    <w:p w14:paraId="32453931">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16.2在特殊情况下，采购人可与投标人协商延长投标书的有效期，这种要求和答复均以书面形式进行。</w:t>
      </w:r>
    </w:p>
    <w:p w14:paraId="09A116D6">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 xml:space="preserve">16.3投标人可拒绝接受延长有效期要求，同意延长有效期的投标人不能修改投标文件其它内容。 </w:t>
      </w:r>
    </w:p>
    <w:p w14:paraId="39B26B52">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16.4投标人的投标文件在投标有效期内保持有效；如中标，投标文件至合同履行完毕止均应保持有效。</w:t>
      </w:r>
    </w:p>
    <w:p w14:paraId="765A04D4">
      <w:pPr>
        <w:spacing w:line="400" w:lineRule="exact"/>
        <w:ind w:firstLine="472" w:firstLineChars="196"/>
        <w:rPr>
          <w:rFonts w:ascii="仿宋_GB2312" w:eastAsia="仿宋_GB2312" w:cs="Courier New"/>
          <w:b/>
          <w:sz w:val="24"/>
        </w:rPr>
      </w:pPr>
      <w:bookmarkStart w:id="78" w:name="_Toc254970541"/>
      <w:bookmarkStart w:id="79" w:name="_Toc254970682"/>
      <w:r>
        <w:rPr>
          <w:rFonts w:hint="eastAsia" w:ascii="仿宋_GB2312" w:eastAsia="仿宋_GB2312" w:cs="Courier New"/>
          <w:b/>
          <w:sz w:val="24"/>
        </w:rPr>
        <w:t>17.投标保证金</w:t>
      </w:r>
      <w:bookmarkEnd w:id="78"/>
      <w:bookmarkEnd w:id="79"/>
    </w:p>
    <w:p w14:paraId="601662CA">
      <w:pPr>
        <w:snapToGrid w:val="0"/>
        <w:spacing w:line="400" w:lineRule="exact"/>
        <w:ind w:firstLine="420"/>
        <w:jc w:val="left"/>
        <w:rPr>
          <w:rFonts w:ascii="仿宋_GB2312" w:eastAsia="仿宋_GB2312" w:cs="Courier New"/>
          <w:sz w:val="24"/>
        </w:rPr>
      </w:pPr>
      <w:bookmarkStart w:id="80" w:name="_Toc254970542"/>
      <w:bookmarkStart w:id="81" w:name="_Toc254970683"/>
      <w:r>
        <w:rPr>
          <w:rFonts w:hint="eastAsia" w:ascii="仿宋_GB2312" w:eastAsia="仿宋_GB2312" w:cs="Courier New"/>
          <w:sz w:val="24"/>
        </w:rPr>
        <w:t>17.1本项目无需提交投标保证金。</w:t>
      </w:r>
    </w:p>
    <w:p w14:paraId="7A5903F4">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18.电子投标文件的</w:t>
      </w:r>
      <w:bookmarkEnd w:id="80"/>
      <w:bookmarkEnd w:id="81"/>
      <w:r>
        <w:rPr>
          <w:rFonts w:hint="eastAsia" w:ascii="仿宋_GB2312" w:eastAsia="仿宋_GB2312" w:cs="Courier New"/>
          <w:b/>
          <w:sz w:val="24"/>
        </w:rPr>
        <w:t>编制、加密要求</w:t>
      </w:r>
    </w:p>
    <w:p w14:paraId="59E3E485">
      <w:pPr>
        <w:spacing w:line="360" w:lineRule="auto"/>
        <w:ind w:firstLine="480" w:firstLineChars="200"/>
        <w:rPr>
          <w:rFonts w:ascii="仿宋_GB2312" w:eastAsia="仿宋_GB2312"/>
          <w:sz w:val="24"/>
        </w:rPr>
      </w:pPr>
      <w:r>
        <w:rPr>
          <w:rFonts w:hint="eastAsia" w:ascii="仿宋_GB2312" w:eastAsia="仿宋_GB2312" w:cs="Courier New"/>
          <w:sz w:val="24"/>
        </w:rPr>
        <w:t>18.1投标人应按本招标文件规定的格式</w:t>
      </w:r>
      <w:r>
        <w:rPr>
          <w:rFonts w:hint="eastAsia" w:ascii="仿宋_GB2312" w:eastAsia="仿宋_GB2312"/>
          <w:sz w:val="24"/>
        </w:rPr>
        <w:t>、顺序和广西政府采购云平台“政府采购项目电子交易管理操作指南-供应商”的有关要求编制电子投标文件并进行关联定位，以便评标委员会在评审时，点击评审项可直接定位到该评审项内容；如电子投标文件因内容不完整、投标人</w:t>
      </w:r>
      <w:r>
        <w:rPr>
          <w:rFonts w:hint="eastAsia" w:ascii="仿宋_GB2312" w:hAnsi="宋体" w:eastAsia="仿宋_GB2312"/>
          <w:sz w:val="24"/>
        </w:rPr>
        <w:t>未设置或设置关联点错误导致</w:t>
      </w:r>
      <w:r>
        <w:rPr>
          <w:rFonts w:hint="eastAsia" w:ascii="仿宋_GB2312" w:eastAsia="仿宋_GB2312"/>
          <w:sz w:val="24"/>
        </w:rPr>
        <w:t>电子</w:t>
      </w:r>
      <w:r>
        <w:rPr>
          <w:rFonts w:hint="eastAsia" w:ascii="仿宋_GB2312" w:hAnsi="宋体" w:eastAsia="仿宋_GB2312"/>
          <w:sz w:val="24"/>
        </w:rPr>
        <w:t>投标文件被误读、漏读或者查找不到相关内容，</w:t>
      </w:r>
      <w:r>
        <w:rPr>
          <w:rFonts w:hint="eastAsia" w:ascii="仿宋_GB2312" w:eastAsia="仿宋_GB2312"/>
          <w:sz w:val="24"/>
        </w:rPr>
        <w:t>导致评标委员会在评审时做出对投标人不利的评审，所引起的后果由投标人自行承担。</w:t>
      </w:r>
    </w:p>
    <w:p w14:paraId="540D81EC">
      <w:pPr>
        <w:spacing w:line="360" w:lineRule="auto"/>
        <w:ind w:firstLine="482" w:firstLineChars="200"/>
        <w:rPr>
          <w:rFonts w:ascii="仿宋_GB2312" w:eastAsia="仿宋_GB2312"/>
          <w:b/>
          <w:bCs/>
          <w:sz w:val="24"/>
        </w:rPr>
      </w:pPr>
      <w:r>
        <w:rPr>
          <w:rFonts w:hint="eastAsia" w:ascii="仿宋_GB2312" w:eastAsia="仿宋_GB2312"/>
          <w:b/>
          <w:bCs/>
          <w:sz w:val="24"/>
        </w:rPr>
        <w:t>18.2公开招标文件中规定须由投标人在规定处盖章的，投标人应加盖CA电子签章，否则视为投标无效。</w:t>
      </w:r>
    </w:p>
    <w:p w14:paraId="2618F12F">
      <w:pPr>
        <w:spacing w:line="360" w:lineRule="auto"/>
        <w:ind w:firstLine="482" w:firstLineChars="200"/>
        <w:rPr>
          <w:rFonts w:ascii="仿宋_GB2312" w:eastAsia="仿宋_GB2312"/>
          <w:b/>
          <w:sz w:val="24"/>
        </w:rPr>
      </w:pPr>
      <w:r>
        <w:rPr>
          <w:rFonts w:hint="eastAsia" w:ascii="仿宋_GB2312" w:eastAsia="仿宋_GB2312"/>
          <w:b/>
          <w:bCs/>
          <w:sz w:val="24"/>
        </w:rPr>
        <w:t>18.3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sz w:val="24"/>
        </w:rPr>
        <w:t>否则视为投标无效。</w:t>
      </w:r>
    </w:p>
    <w:p w14:paraId="400BFFBA">
      <w:pPr>
        <w:spacing w:line="360" w:lineRule="auto"/>
        <w:ind w:firstLine="480" w:firstLineChars="200"/>
        <w:rPr>
          <w:rFonts w:hint="eastAsia" w:ascii="仿宋_GB2312" w:hAnsi="宋体" w:eastAsia="仿宋_GB2312"/>
          <w:sz w:val="24"/>
        </w:rPr>
      </w:pPr>
      <w:r>
        <w:rPr>
          <w:rFonts w:hint="eastAsia" w:ascii="仿宋_GB2312" w:eastAsia="仿宋_GB2312"/>
          <w:sz w:val="24"/>
        </w:rPr>
        <w:t>18.4电子投标文件不得涂改，若有修改错漏处，须加盖投标人CA电子签章或者法定代表人或授权委托代理人签字。</w:t>
      </w:r>
      <w:bookmarkStart w:id="82" w:name="_Hlk93676509"/>
      <w:r>
        <w:rPr>
          <w:rFonts w:hint="eastAsia" w:ascii="仿宋_GB2312" w:eastAsia="仿宋_GB2312"/>
          <w:sz w:val="24"/>
        </w:rPr>
        <w:t>扫描不清晰或乱码或表达不清所引起的后果由投标人负责。</w:t>
      </w:r>
      <w:bookmarkEnd w:id="82"/>
      <w:r>
        <w:rPr>
          <w:rFonts w:hint="eastAsia" w:ascii="仿宋_GB2312" w:hAnsi="宋体" w:eastAsia="仿宋_GB2312"/>
          <w:sz w:val="24"/>
        </w:rPr>
        <w:t>18.5</w:t>
      </w:r>
      <w:r>
        <w:rPr>
          <w:rFonts w:hint="eastAsia" w:ascii="仿宋_GB2312" w:eastAsia="仿宋_GB2312"/>
          <w:sz w:val="24"/>
        </w:rPr>
        <w:t>电子</w:t>
      </w:r>
      <w:r>
        <w:rPr>
          <w:rFonts w:hint="eastAsia" w:ascii="仿宋_GB2312" w:hAnsi="宋体" w:eastAsia="仿宋_GB2312"/>
          <w:sz w:val="24"/>
        </w:rPr>
        <w:t>投标文件所提供的相关材料的尺寸和清晰度应该能够在电脑上被阅读、识别和判断。</w:t>
      </w:r>
    </w:p>
    <w:p w14:paraId="35838242">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18.6</w:t>
      </w:r>
      <w:r>
        <w:rPr>
          <w:rFonts w:hint="eastAsia" w:ascii="仿宋_GB2312" w:eastAsia="仿宋_GB2312"/>
          <w:sz w:val="24"/>
        </w:rPr>
        <w:t>电子</w:t>
      </w:r>
      <w:r>
        <w:rPr>
          <w:rFonts w:hint="eastAsia" w:ascii="仿宋_GB2312" w:hAnsi="宋体" w:eastAsia="仿宋_GB2312"/>
          <w:sz w:val="24"/>
        </w:rPr>
        <w:t>投标文件内容无法阅读、识别和判断的，视为未提供。</w:t>
      </w:r>
    </w:p>
    <w:p w14:paraId="785B7800">
      <w:pPr>
        <w:snapToGrid w:val="0"/>
        <w:spacing w:line="440" w:lineRule="exact"/>
        <w:ind w:firstLine="480" w:firstLineChars="200"/>
        <w:jc w:val="left"/>
        <w:rPr>
          <w:rFonts w:hint="eastAsia" w:ascii="仿宋_GB2312" w:hAnsi="宋体" w:eastAsia="仿宋_GB2312"/>
          <w:sz w:val="24"/>
        </w:rPr>
      </w:pPr>
      <w:r>
        <w:rPr>
          <w:rFonts w:hint="eastAsia" w:ascii="仿宋_GB2312" w:hAnsi="宋体" w:eastAsia="仿宋_GB2312"/>
          <w:sz w:val="24"/>
        </w:rPr>
        <w:t>18.7</w:t>
      </w:r>
      <w:r>
        <w:rPr>
          <w:rFonts w:hint="eastAsia" w:ascii="仿宋_GB2312" w:eastAsia="仿宋_GB2312"/>
          <w:sz w:val="24"/>
        </w:rPr>
        <w:t>电子</w:t>
      </w:r>
      <w:r>
        <w:rPr>
          <w:rFonts w:hint="eastAsia" w:ascii="仿宋_GB2312" w:hAnsi="宋体" w:eastAsia="仿宋_GB2312"/>
          <w:sz w:val="24"/>
        </w:rPr>
        <w:t>投标文件的容量大小须符合广西政府采购云平台客户端规定。</w:t>
      </w:r>
    </w:p>
    <w:p w14:paraId="5726C431">
      <w:pPr>
        <w:snapToGrid w:val="0"/>
        <w:spacing w:line="44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18.8电子投标文件的加密要求</w:t>
      </w:r>
    </w:p>
    <w:p w14:paraId="0D9B1762">
      <w:pPr>
        <w:snapToGrid w:val="0"/>
        <w:spacing w:line="420" w:lineRule="exact"/>
        <w:ind w:firstLine="480" w:firstLineChars="200"/>
        <w:jc w:val="left"/>
        <w:rPr>
          <w:rFonts w:hint="eastAsia" w:ascii="仿宋_GB2312" w:hAnsi="宋体" w:eastAsia="仿宋_GB2312"/>
          <w:sz w:val="24"/>
        </w:rPr>
      </w:pPr>
      <w:r>
        <w:rPr>
          <w:rFonts w:hint="eastAsia" w:ascii="仿宋_GB2312" w:eastAsia="仿宋_GB2312"/>
          <w:sz w:val="24"/>
        </w:rPr>
        <w:t>电子</w:t>
      </w:r>
      <w:r>
        <w:rPr>
          <w:rFonts w:hint="eastAsia" w:ascii="仿宋_GB2312" w:hAnsi="宋体" w:eastAsia="仿宋_GB2312"/>
          <w:sz w:val="24"/>
        </w:rPr>
        <w:t>投标文件应按广西政府采购云平台客户端软件有关规定加密，否则广西政府采购云平台将拒收</w:t>
      </w:r>
      <w:r>
        <w:rPr>
          <w:rFonts w:hint="eastAsia" w:ascii="仿宋_GB2312" w:eastAsia="仿宋_GB2312" w:cs="Courier New"/>
          <w:sz w:val="24"/>
        </w:rPr>
        <w:t>，由此造成的风险由投标人承担。</w:t>
      </w:r>
    </w:p>
    <w:p w14:paraId="00A09395">
      <w:pPr>
        <w:snapToGrid w:val="0"/>
        <w:spacing w:line="400" w:lineRule="exact"/>
        <w:ind w:firstLine="422" w:firstLineChars="175"/>
        <w:jc w:val="left"/>
        <w:rPr>
          <w:rFonts w:ascii="仿宋_GB2312" w:eastAsia="仿宋_GB2312"/>
          <w:b/>
          <w:sz w:val="24"/>
        </w:rPr>
      </w:pPr>
      <w:r>
        <w:rPr>
          <w:rFonts w:hint="eastAsia" w:ascii="仿宋_GB2312" w:eastAsia="仿宋_GB2312" w:cs="Courier New"/>
          <w:b/>
          <w:sz w:val="24"/>
        </w:rPr>
        <w:t>19.电子投标文件的提交、修改、撤回和解密</w:t>
      </w:r>
    </w:p>
    <w:p w14:paraId="717C70E1">
      <w:pPr>
        <w:tabs>
          <w:tab w:val="left" w:pos="3870"/>
          <w:tab w:val="left" w:pos="4085"/>
        </w:tabs>
        <w:snapToGrid w:val="0"/>
        <w:spacing w:line="420" w:lineRule="exact"/>
        <w:ind w:firstLine="480" w:firstLineChars="200"/>
        <w:jc w:val="left"/>
        <w:rPr>
          <w:rFonts w:hint="eastAsia" w:ascii="仿宋_GB2312" w:hAnsi="宋体" w:eastAsia="仿宋_GB2312"/>
          <w:sz w:val="24"/>
        </w:rPr>
      </w:pPr>
      <w:bookmarkStart w:id="83" w:name="_Toc254970543"/>
      <w:bookmarkStart w:id="84" w:name="_Toc254970684"/>
      <w:r>
        <w:rPr>
          <w:rFonts w:hint="eastAsia" w:ascii="仿宋_GB2312" w:hAnsi="宋体" w:eastAsia="仿宋_GB2312"/>
          <w:sz w:val="24"/>
        </w:rPr>
        <w:t>19.1本项目实行“网上投标、电子评标”，投标人应于提交投标文件截止时间前在广西政府采购云平台上提交已经加密的电子投标文件。</w:t>
      </w:r>
    </w:p>
    <w:p w14:paraId="2799538A">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19.2未按规定上传的电子投标文件将被广西政府采购云平台拒收，由此造成电子投标文件解密失败或被误投的风险由投标人自行承担。</w:t>
      </w:r>
    </w:p>
    <w:p w14:paraId="4C72A731">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19.3 投标人应当在提交截止时间前完成电子投标文件的提交，提交截止时间前可以补充、修改或者撤回电子投标文件。补充或者修改电子投标文件的，应当先行撤回原文件，补充、修改、加密后重新传输提交。提交截止时间前未完成传输的，视为撤回电子投标文件。提交截止时间后上传的文件，将被广西政府采购云平台拒收。</w:t>
      </w:r>
    </w:p>
    <w:p w14:paraId="07F38D20">
      <w:pPr>
        <w:tabs>
          <w:tab w:val="left" w:pos="3870"/>
          <w:tab w:val="left" w:pos="4085"/>
        </w:tabs>
        <w:snapToGrid w:val="0"/>
        <w:spacing w:line="420" w:lineRule="exact"/>
        <w:ind w:firstLine="482" w:firstLineChars="200"/>
        <w:jc w:val="left"/>
        <w:rPr>
          <w:rFonts w:hint="eastAsia" w:ascii="仿宋_GB2312" w:hAnsi="宋体" w:eastAsia="仿宋_GB2312"/>
          <w:sz w:val="24"/>
        </w:rPr>
      </w:pPr>
      <w:r>
        <w:rPr>
          <w:rFonts w:hint="eastAsia" w:ascii="仿宋_GB2312" w:hAnsi="宋体" w:eastAsia="仿宋_GB2312"/>
          <w:b/>
          <w:bCs/>
          <w:sz w:val="24"/>
        </w:rPr>
        <w:t>19.4</w:t>
      </w:r>
      <w:r>
        <w:rPr>
          <w:rFonts w:hint="eastAsia" w:ascii="仿宋_GB2312" w:eastAsia="仿宋_GB2312"/>
          <w:b/>
          <w:bCs/>
          <w:sz w:val="24"/>
        </w:rPr>
        <w:t>电子投标文件成功提交后，投标人可自行打印投标文件接收回执。</w:t>
      </w:r>
    </w:p>
    <w:p w14:paraId="36443ABF">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19.5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w:t>
      </w:r>
    </w:p>
    <w:p w14:paraId="746EDBEE">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非广西政府采购云平台技术原因造成的投标人超过解密时限未完成解密的，或投标文件无法解密或解密失败，视为投标人放弃投标，投标无效。</w:t>
      </w:r>
    </w:p>
    <w:p w14:paraId="51B40E7C">
      <w:pPr>
        <w:snapToGrid w:val="0"/>
        <w:spacing w:line="400" w:lineRule="exact"/>
        <w:ind w:firstLine="354" w:firstLineChars="147"/>
        <w:jc w:val="left"/>
        <w:rPr>
          <w:rFonts w:ascii="仿宋_GB2312" w:eastAsia="仿宋_GB2312"/>
          <w:b/>
          <w:sz w:val="24"/>
        </w:rPr>
      </w:pPr>
      <w:r>
        <w:rPr>
          <w:rFonts w:hint="eastAsia" w:ascii="仿宋_GB2312" w:eastAsia="仿宋_GB2312" w:cs="Courier New"/>
          <w:b/>
          <w:sz w:val="24"/>
        </w:rPr>
        <w:t>20.投标无效的情形</w:t>
      </w:r>
      <w:bookmarkEnd w:id="83"/>
      <w:bookmarkEnd w:id="84"/>
    </w:p>
    <w:p w14:paraId="32989738">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20.1实质上没有响应招标文件要求和条件的投标将被视为无效投标。投标人不得通过修正或撤消不合要求的偏离或保留从而使其投标成为实质上响应的投标，除资格证明文件外经评标委员会认定属于28.澄清问题的形式规定情形的，应当允许其在评标结束之前通过广西政府采购云平台进行</w:t>
      </w:r>
      <w:r>
        <w:rPr>
          <w:rFonts w:hint="eastAsia" w:ascii="仿宋_GB2312" w:eastAsia="仿宋_GB2312" w:cs="Courier New"/>
          <w:color w:val="auto"/>
          <w:sz w:val="24"/>
          <w:lang w:eastAsia="zh-CN"/>
        </w:rPr>
        <w:t>澄清、说明或者</w:t>
      </w:r>
      <w:r>
        <w:rPr>
          <w:rFonts w:hint="eastAsia" w:ascii="仿宋_GB2312" w:eastAsia="仿宋_GB2312" w:cs="Courier New"/>
          <w:color w:val="auto"/>
          <w:sz w:val="24"/>
          <w:lang w:val="en-US" w:eastAsia="zh-CN"/>
        </w:rPr>
        <w:t>补</w:t>
      </w:r>
      <w:r>
        <w:rPr>
          <w:rFonts w:hint="eastAsia" w:ascii="仿宋_GB2312" w:eastAsia="仿宋_GB2312" w:cs="Courier New"/>
          <w:color w:val="auto"/>
          <w:sz w:val="24"/>
          <w:lang w:eastAsia="zh-CN"/>
        </w:rPr>
        <w:t>正</w:t>
      </w:r>
      <w:r>
        <w:rPr>
          <w:rFonts w:hint="eastAsia" w:ascii="仿宋_GB2312" w:eastAsia="仿宋_GB2312" w:cs="Courier New"/>
          <w:color w:val="auto"/>
          <w:sz w:val="24"/>
        </w:rPr>
        <w:t>，</w:t>
      </w:r>
      <w:r>
        <w:rPr>
          <w:rFonts w:hint="eastAsia" w:ascii="仿宋_GB2312" w:eastAsia="仿宋_GB2312" w:cs="Courier New"/>
          <w:color w:val="auto"/>
          <w:sz w:val="24"/>
          <w:lang w:eastAsia="zh-CN"/>
        </w:rPr>
        <w:t>澄清、说明或者</w:t>
      </w:r>
      <w:r>
        <w:rPr>
          <w:rFonts w:hint="eastAsia" w:ascii="仿宋_GB2312" w:eastAsia="仿宋_GB2312" w:cs="Courier New"/>
          <w:color w:val="auto"/>
          <w:sz w:val="24"/>
          <w:lang w:val="en-US" w:eastAsia="zh-CN"/>
        </w:rPr>
        <w:t>补</w:t>
      </w:r>
      <w:r>
        <w:rPr>
          <w:rFonts w:hint="eastAsia" w:ascii="仿宋_GB2312" w:eastAsia="仿宋_GB2312" w:cs="Courier New"/>
          <w:color w:val="auto"/>
          <w:sz w:val="24"/>
          <w:lang w:eastAsia="zh-CN"/>
        </w:rPr>
        <w:t>正</w:t>
      </w:r>
      <w:r>
        <w:rPr>
          <w:rFonts w:hint="eastAsia" w:ascii="仿宋_GB2312" w:eastAsia="仿宋_GB2312" w:cs="Courier New"/>
          <w:color w:val="auto"/>
          <w:sz w:val="24"/>
        </w:rPr>
        <w:t>投标文件必须以书面形式进行。若投标人截止时间前未</w:t>
      </w:r>
      <w:r>
        <w:rPr>
          <w:rFonts w:hint="eastAsia" w:ascii="仿宋_GB2312" w:eastAsia="仿宋_GB2312" w:cs="Courier New"/>
          <w:color w:val="auto"/>
          <w:sz w:val="24"/>
          <w:lang w:eastAsia="zh-CN"/>
        </w:rPr>
        <w:t>澄清、说明或者</w:t>
      </w:r>
      <w:r>
        <w:rPr>
          <w:rFonts w:hint="eastAsia" w:ascii="仿宋_GB2312" w:eastAsia="仿宋_GB2312" w:cs="Courier New"/>
          <w:color w:val="auto"/>
          <w:sz w:val="24"/>
          <w:lang w:val="en-US" w:eastAsia="zh-CN"/>
        </w:rPr>
        <w:t>补</w:t>
      </w:r>
      <w:r>
        <w:rPr>
          <w:rFonts w:hint="eastAsia" w:ascii="仿宋_GB2312" w:eastAsia="仿宋_GB2312" w:cs="Courier New"/>
          <w:color w:val="auto"/>
          <w:sz w:val="24"/>
          <w:lang w:eastAsia="zh-CN"/>
        </w:rPr>
        <w:t>正</w:t>
      </w:r>
      <w:r>
        <w:rPr>
          <w:rFonts w:hint="eastAsia" w:ascii="仿宋_GB2312" w:eastAsia="仿宋_GB2312" w:cs="Courier New"/>
          <w:color w:val="auto"/>
          <w:sz w:val="24"/>
        </w:rPr>
        <w:t>的，或</w:t>
      </w:r>
      <w:r>
        <w:rPr>
          <w:rFonts w:hint="eastAsia" w:ascii="仿宋_GB2312" w:eastAsia="仿宋_GB2312" w:cs="Courier New"/>
          <w:color w:val="auto"/>
          <w:sz w:val="24"/>
          <w:lang w:eastAsia="zh-CN"/>
        </w:rPr>
        <w:t>澄清、说明或者</w:t>
      </w:r>
      <w:r>
        <w:rPr>
          <w:rFonts w:hint="eastAsia" w:ascii="仿宋_GB2312" w:eastAsia="仿宋_GB2312" w:cs="Courier New"/>
          <w:color w:val="auto"/>
          <w:sz w:val="24"/>
          <w:lang w:val="en-US" w:eastAsia="zh-CN"/>
        </w:rPr>
        <w:t>补</w:t>
      </w:r>
      <w:r>
        <w:rPr>
          <w:rFonts w:hint="eastAsia" w:ascii="仿宋_GB2312" w:eastAsia="仿宋_GB2312" w:cs="Courier New"/>
          <w:color w:val="auto"/>
          <w:sz w:val="24"/>
          <w:lang w:eastAsia="zh-CN"/>
        </w:rPr>
        <w:t>正</w:t>
      </w:r>
      <w:r>
        <w:rPr>
          <w:rFonts w:hint="eastAsia" w:ascii="仿宋_GB2312" w:eastAsia="仿宋_GB2312" w:cs="Courier New"/>
          <w:color w:val="auto"/>
          <w:sz w:val="24"/>
        </w:rPr>
        <w:t>后仍不符合招标文件要求的，评标委员会有权认定其</w:t>
      </w:r>
      <w:r>
        <w:rPr>
          <w:rFonts w:hint="eastAsia" w:ascii="仿宋_GB2312" w:eastAsia="仿宋_GB2312" w:cs="Courier New"/>
          <w:color w:val="auto"/>
          <w:sz w:val="24"/>
          <w:lang w:eastAsia="zh-CN"/>
        </w:rPr>
        <w:t>投标</w:t>
      </w:r>
      <w:r>
        <w:rPr>
          <w:rFonts w:hint="eastAsia" w:ascii="仿宋_GB2312" w:eastAsia="仿宋_GB2312" w:cs="Courier New"/>
          <w:color w:val="auto"/>
          <w:sz w:val="24"/>
        </w:rPr>
        <w:t>无效。</w:t>
      </w:r>
    </w:p>
    <w:p w14:paraId="297A13CC">
      <w:pPr>
        <w:snapToGrid w:val="0"/>
        <w:spacing w:line="400" w:lineRule="exact"/>
        <w:ind w:firstLine="472" w:firstLineChars="196"/>
        <w:rPr>
          <w:rFonts w:ascii="仿宋_GB2312" w:eastAsia="仿宋_GB2312"/>
          <w:b/>
          <w:bCs/>
          <w:sz w:val="24"/>
        </w:rPr>
      </w:pPr>
      <w:r>
        <w:rPr>
          <w:rFonts w:hint="eastAsia" w:ascii="仿宋_GB2312" w:eastAsia="仿宋_GB2312"/>
          <w:b/>
          <w:sz w:val="24"/>
        </w:rPr>
        <w:t>20.1.1投标人存在下列情况之一的，投标无效：</w:t>
      </w:r>
    </w:p>
    <w:p w14:paraId="49EBCED4">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（1）投标文件未按招标文件要求签署、盖章的；</w:t>
      </w:r>
    </w:p>
    <w:p w14:paraId="2668851C">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（2）不具备招标文件中规定的资格要求的；</w:t>
      </w:r>
    </w:p>
    <w:p w14:paraId="1EC55251">
      <w:pPr>
        <w:snapToGrid w:val="0"/>
        <w:spacing w:line="400" w:lineRule="exact"/>
        <w:ind w:firstLine="420"/>
        <w:jc w:val="left"/>
        <w:rPr>
          <w:rFonts w:ascii="仿宋_GB2312" w:eastAsia="仿宋_GB2312" w:cs="Courier New"/>
          <w:sz w:val="24"/>
        </w:rPr>
      </w:pPr>
      <w:bookmarkStart w:id="85" w:name="_Hlk93676577"/>
      <w:r>
        <w:rPr>
          <w:rFonts w:hint="eastAsia" w:ascii="仿宋_GB2312" w:eastAsia="仿宋_GB2312" w:cs="Courier New"/>
          <w:sz w:val="24"/>
        </w:rPr>
        <w:t>（3）报价超过招标文件中规定的预算金额或者最高限价的；</w:t>
      </w:r>
    </w:p>
    <w:bookmarkEnd w:id="85"/>
    <w:p w14:paraId="7735CCA1">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（4）投标文件含有采购人不能接受的附加条件的；</w:t>
      </w:r>
    </w:p>
    <w:p w14:paraId="4DAB4DAA">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（5）投标人在线制作电子投标文件时填写的报价金额与解密后“电子加密投标文件”中《开标一览表》填写的金额不一致并拒绝按公开招标文件要求接受调整的；</w:t>
      </w:r>
    </w:p>
    <w:p w14:paraId="2FD820A4">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（6）法律、法规和招标文件规定的其他无效情形。</w:t>
      </w:r>
    </w:p>
    <w:p w14:paraId="087AAFDF">
      <w:pPr>
        <w:snapToGrid w:val="0"/>
        <w:spacing w:line="350" w:lineRule="exact"/>
        <w:ind w:right="-330" w:rightChars="-157" w:firstLine="472" w:firstLineChars="196"/>
        <w:rPr>
          <w:rFonts w:ascii="仿宋_GB2312" w:eastAsia="仿宋_GB2312"/>
          <w:b/>
          <w:sz w:val="24"/>
        </w:rPr>
      </w:pPr>
      <w:r>
        <w:rPr>
          <w:rFonts w:hint="eastAsia" w:ascii="仿宋_GB2312" w:eastAsia="仿宋_GB2312"/>
          <w:b/>
          <w:sz w:val="24"/>
        </w:rPr>
        <w:t>20.1.2在资格性审查时，如发现下列情形之一的，投标文件将被视为无效：</w:t>
      </w:r>
    </w:p>
    <w:p w14:paraId="6AC232AE">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（1）资格证明文件不全的，或者不符合招标文件标明的资格要求的；</w:t>
      </w:r>
    </w:p>
    <w:p w14:paraId="7EE58108">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（2）无法定代表人或其授权委托代理人签字，或未提供法定代表人授权委托书或者填写项目不齐全的；</w:t>
      </w:r>
    </w:p>
    <w:p w14:paraId="4C17C372">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（3）委托代理人与法定代表人授权委托书中的代理人不符的。</w:t>
      </w:r>
    </w:p>
    <w:p w14:paraId="0E63FE2B">
      <w:pPr>
        <w:snapToGrid w:val="0"/>
        <w:spacing w:line="340" w:lineRule="exact"/>
        <w:ind w:right="-330" w:rightChars="-157" w:firstLine="472" w:firstLineChars="196"/>
        <w:rPr>
          <w:rFonts w:ascii="仿宋_GB2312" w:eastAsia="仿宋_GB2312"/>
          <w:b/>
          <w:bCs/>
          <w:kern w:val="0"/>
          <w:sz w:val="24"/>
        </w:rPr>
      </w:pPr>
      <w:r>
        <w:rPr>
          <w:rFonts w:hint="eastAsia" w:ascii="仿宋_GB2312" w:eastAsia="仿宋_GB2312"/>
          <w:b/>
          <w:bCs/>
          <w:kern w:val="0"/>
          <w:sz w:val="24"/>
        </w:rPr>
        <w:t>20.1.3在符合性评审时，如发现下列情形之一的，投标文件将被视为无效：</w:t>
      </w:r>
    </w:p>
    <w:p w14:paraId="781B1A1B">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（1）投标有效期、服务期限、付款方式等商务条款不能满足招标文件要求的；</w:t>
      </w:r>
    </w:p>
    <w:p w14:paraId="4432CCB2">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（2）投标人就采购需求中标记 “★”符号的实质性响应内容发生负偏离一项以上的；投标人就采购需求中没有标记 “★”符号的技术参数要求响应内容发生负偏离</w:t>
      </w:r>
      <w:r>
        <w:rPr>
          <w:rFonts w:hint="eastAsia" w:ascii="仿宋_GB2312" w:eastAsia="仿宋_GB2312"/>
          <w:sz w:val="24"/>
          <w:lang w:eastAsia="zh-CN"/>
        </w:rPr>
        <w:t>五</w:t>
      </w:r>
      <w:r>
        <w:rPr>
          <w:rFonts w:ascii="仿宋_GB2312" w:eastAsia="仿宋_GB2312"/>
          <w:sz w:val="24"/>
        </w:rPr>
        <w:t>项以上的；</w:t>
      </w:r>
    </w:p>
    <w:p w14:paraId="0ECDD160">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（3）投标技术方案不明确，存在一个或一个以上备选（替代）投标方案的；</w:t>
      </w:r>
    </w:p>
    <w:p w14:paraId="063A91A5">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（4）未采用人民币报价或者未按照招标文件标明的币种报价的；</w:t>
      </w:r>
    </w:p>
    <w:p w14:paraId="6E89BD50">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（5）报价超出最高限价，或者超出采购预算金额的；</w:t>
      </w:r>
    </w:p>
    <w:p w14:paraId="78C6B838">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（6）投标报价具有选择性，或者开标价格与投标文件承诺的优惠（折扣）价格不一致的；</w:t>
      </w:r>
    </w:p>
    <w:p w14:paraId="518E571C">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7）评标委员会认为投标人的报价明显低于其他通过符合性审查投标人的报价，有可能影响产品质量或者不能诚信履约的，应当通过广西政府采购云平台发起询标函，要求其在评标现场合理的时间内通过广西政府采购云平台提供书面说明，必要时提交相关证明材料；投标人不能证明其报价合理性的，评标委员会应当将其作为无效投标处理。</w:t>
      </w:r>
    </w:p>
    <w:p w14:paraId="3DF661DE">
      <w:pPr>
        <w:snapToGrid w:val="0"/>
        <w:spacing w:line="400" w:lineRule="exact"/>
        <w:ind w:firstLine="472" w:firstLineChars="196"/>
        <w:rPr>
          <w:rFonts w:ascii="仿宋_GB2312" w:eastAsia="仿宋_GB2312"/>
          <w:b/>
          <w:sz w:val="24"/>
        </w:rPr>
      </w:pPr>
      <w:r>
        <w:rPr>
          <w:rFonts w:hint="eastAsia" w:ascii="仿宋_GB2312" w:eastAsia="仿宋_GB2312"/>
          <w:b/>
          <w:sz w:val="24"/>
        </w:rPr>
        <w:t>20.1.4在评审时有下列情形之一的视为投标人相互串通投标，投标文件将被视为无效：</w:t>
      </w:r>
    </w:p>
    <w:p w14:paraId="2082ECB9">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（1）不同投标人的投标文件由同一单位或者个人编制；或不同投标人报名（获取文件）的IP地址一致的；</w:t>
      </w:r>
    </w:p>
    <w:p w14:paraId="23947A2D">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（2）不同投标人委托同一单位或者个人办理投标事宜；</w:t>
      </w:r>
    </w:p>
    <w:p w14:paraId="56B39C45">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（3）不同的投标人的投标文件载明的项目管理成员或者联系人员为同一个人；</w:t>
      </w:r>
    </w:p>
    <w:p w14:paraId="0D471970">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（4）不同投标人的投标文件异常一致或投标报价呈规律性差异；</w:t>
      </w:r>
    </w:p>
    <w:p w14:paraId="5330E0A9">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（5）不同投标人的投标文件相互混装。</w:t>
      </w:r>
    </w:p>
    <w:p w14:paraId="63910C4D">
      <w:pPr>
        <w:snapToGrid w:val="0"/>
        <w:spacing w:line="400" w:lineRule="exact"/>
        <w:ind w:firstLine="472" w:firstLineChars="196"/>
        <w:rPr>
          <w:rFonts w:ascii="仿宋_GB2312" w:eastAsia="仿宋_GB2312"/>
          <w:b/>
          <w:sz w:val="24"/>
        </w:rPr>
      </w:pPr>
      <w:r>
        <w:rPr>
          <w:rFonts w:hint="eastAsia" w:ascii="仿宋_GB2312" w:eastAsia="仿宋_GB2312"/>
          <w:b/>
          <w:sz w:val="24"/>
        </w:rPr>
        <w:t>20.1.5被拒绝的投标文件为无效。</w:t>
      </w:r>
    </w:p>
    <w:p w14:paraId="53424926">
      <w:pPr>
        <w:spacing w:line="460" w:lineRule="exact"/>
        <w:ind w:firstLine="482" w:firstLineChars="200"/>
        <w:rPr>
          <w:rFonts w:ascii="仿宋_GB2312" w:eastAsia="仿宋_GB2312"/>
          <w:b/>
          <w:sz w:val="24"/>
        </w:rPr>
      </w:pPr>
      <w:r>
        <w:rPr>
          <w:rFonts w:hint="eastAsia" w:ascii="仿宋_GB2312" w:eastAsia="仿宋_GB2312"/>
          <w:b/>
          <w:sz w:val="24"/>
        </w:rPr>
        <w:t>20.2特别说明</w:t>
      </w:r>
    </w:p>
    <w:p w14:paraId="670F59C1">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20.2.1广西政府采购云平台如对电子化开评标程序有调整的，按调整后的程序操作。</w:t>
      </w:r>
    </w:p>
    <w:p w14:paraId="2C11AA85">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20.2.2评审在严格保密的情况下进行，任何一方不得透露与评审有关的其他投标人的技术资料、价格和其他信息。</w:t>
      </w:r>
    </w:p>
    <w:p w14:paraId="0AEFD851">
      <w:pPr>
        <w:spacing w:line="460" w:lineRule="exact"/>
        <w:ind w:firstLine="482" w:firstLineChars="200"/>
        <w:rPr>
          <w:rFonts w:ascii="仿宋_GB2312" w:eastAsia="仿宋_GB2312"/>
          <w:b/>
          <w:bCs/>
          <w:sz w:val="24"/>
        </w:rPr>
      </w:pPr>
      <w:r>
        <w:rPr>
          <w:rFonts w:hint="eastAsia" w:ascii="仿宋_GB2312" w:eastAsia="仿宋_GB2312"/>
          <w:b/>
          <w:bCs/>
          <w:sz w:val="24"/>
        </w:rPr>
        <w:t>20.3可中止电子交易活动的情形</w:t>
      </w:r>
    </w:p>
    <w:p w14:paraId="1A9BA494">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采购过程中出现以下情形，导致广西政府采购云平台无法正常运行，或者无法保证电子交易的公平、公正和安全时，采购代理机构可中止电子交易活动：</w:t>
      </w:r>
    </w:p>
    <w:p w14:paraId="55FD49CF">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20.3.1广西政府采购云平台发生故障而无法登录访问的；</w:t>
      </w:r>
    </w:p>
    <w:p w14:paraId="0CE039FC">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20.3.2广西政府采购云平台应用或数据库出现错误，不能进行正常操作的；</w:t>
      </w:r>
    </w:p>
    <w:p w14:paraId="66FA7A98">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20.3.3广西政府采购云平台发现严重安全漏洞，有潜在泄密危险的；</w:t>
      </w:r>
    </w:p>
    <w:p w14:paraId="745D69E3">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20.3.4病毒发作导致不能进行正常操作的；</w:t>
      </w:r>
    </w:p>
    <w:p w14:paraId="2E572723">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20.3.5其他无法保证电子交易的公平、公正和安全的情况。</w:t>
      </w:r>
    </w:p>
    <w:p w14:paraId="51620D90">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出现前款规定情形，不影响采购公平、公正性的，采购代理机构可以待上述情形消除后继续组织电子交易活动，也可以决定某些环节以纸质形式进行；影响或可能影响采购公平、公正性的，应当重新采购。</w:t>
      </w:r>
    </w:p>
    <w:p w14:paraId="12DD8BDA">
      <w:pPr>
        <w:snapToGrid w:val="0"/>
        <w:spacing w:line="400" w:lineRule="exact"/>
        <w:ind w:firstLine="472" w:firstLineChars="196"/>
        <w:rPr>
          <w:rFonts w:ascii="仿宋_GB2312" w:eastAsia="仿宋_GB2312" w:cs="Courier New"/>
          <w:b/>
          <w:sz w:val="24"/>
        </w:rPr>
      </w:pPr>
      <w:r>
        <w:rPr>
          <w:rFonts w:hint="eastAsia" w:ascii="仿宋_GB2312" w:eastAsia="仿宋_GB2312" w:cs="Courier New"/>
          <w:b/>
          <w:sz w:val="24"/>
        </w:rPr>
        <w:t>四、开标</w:t>
      </w:r>
    </w:p>
    <w:p w14:paraId="0210DD4B">
      <w:pPr>
        <w:pStyle w:val="26"/>
        <w:snapToGrid w:val="0"/>
        <w:spacing w:line="40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21.开标准备</w:t>
      </w:r>
    </w:p>
    <w:p w14:paraId="01C0BD26">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21.1采购代理机构按公开招标文件规定的时间、地点通过“广西政府采购云平台”组织开标、开启解密电子投标文件，所有投标人均应当准时在线出席开标会。投标人因未在线参加开标而导致电子投标文件无法按时解密等一切后果由投标人自行承担。</w:t>
      </w:r>
    </w:p>
    <w:p w14:paraId="51D2A138">
      <w:pPr>
        <w:pStyle w:val="26"/>
        <w:snapToGrid w:val="0"/>
        <w:spacing w:line="400" w:lineRule="exact"/>
        <w:ind w:firstLine="482" w:firstLineChars="200"/>
        <w:rPr>
          <w:rFonts w:hint="eastAsia" w:ascii="仿宋_GB2312" w:hAnsi="宋体" w:eastAsia="仿宋_GB2312"/>
          <w:b/>
          <w:sz w:val="24"/>
          <w:szCs w:val="24"/>
        </w:rPr>
      </w:pPr>
      <w:r>
        <w:rPr>
          <w:rFonts w:hint="eastAsia" w:ascii="仿宋_GB2312" w:hAnsi="宋体" w:eastAsia="仿宋_GB2312"/>
          <w:b/>
          <w:sz w:val="24"/>
          <w:szCs w:val="24"/>
        </w:rPr>
        <w:t>22.开标程序</w:t>
      </w:r>
    </w:p>
    <w:p w14:paraId="07EA7930">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22.1开标会由采购代理机构主持；</w:t>
      </w:r>
    </w:p>
    <w:p w14:paraId="1AE43008">
      <w:pPr>
        <w:snapToGrid w:val="0"/>
        <w:spacing w:line="400" w:lineRule="exact"/>
        <w:ind w:firstLine="420"/>
        <w:jc w:val="left"/>
        <w:rPr>
          <w:rFonts w:hint="eastAsia" w:ascii="仿宋_GB2312" w:hAnsi="宋体" w:eastAsia="仿宋_GB2312"/>
          <w:sz w:val="24"/>
        </w:rPr>
      </w:pPr>
      <w:r>
        <w:rPr>
          <w:rFonts w:hint="eastAsia" w:ascii="仿宋_GB2312" w:eastAsia="仿宋_GB2312" w:cs="Courier New"/>
          <w:sz w:val="24"/>
        </w:rPr>
        <w:t>22.2</w:t>
      </w:r>
      <w:r>
        <w:rPr>
          <w:rFonts w:hint="eastAsia" w:ascii="仿宋_GB2312" w:hAnsi="宋体" w:eastAsia="仿宋_GB2312"/>
          <w:sz w:val="24"/>
        </w:rPr>
        <w:t>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非广西政府采购云平台技术原因造成的投标人超过解密时限未完成解密的，或投标文件无法解密或解密失败，视为投标人放弃投标，投标无效。</w:t>
      </w:r>
    </w:p>
    <w:p w14:paraId="485778E8">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22.3电子投标文件解密结束，开启报价要求文件。投标人在线制作投标文件时填写的报价金额与解密后“电子加密投标文件”中《开标一览表》填写的金额不一致的，以解密后“电子加密投标文件”中《开标一览表》填写的金额为准，投标人拒绝接受此调整的，按无效投标处理。</w:t>
      </w:r>
    </w:p>
    <w:p w14:paraId="1C51EA02">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22.4公开报价；</w:t>
      </w:r>
    </w:p>
    <w:p w14:paraId="41416CD9">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22.5报价确认：采购代理机构开启签字时段，投标人应及时通过CA证书对报价记录表进行确认。未在规定时间内确认的，视同认可开标结果；</w:t>
      </w:r>
    </w:p>
    <w:p w14:paraId="2BDE29B9">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22.6开标会结束。</w:t>
      </w:r>
    </w:p>
    <w:p w14:paraId="3287EA91">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五、资格性审查</w:t>
      </w:r>
    </w:p>
    <w:p w14:paraId="5D08C398">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23.采购人应当依法对投标人的资格进行审查。</w:t>
      </w:r>
    </w:p>
    <w:p w14:paraId="58524121">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24.合格投标人不足三家的，不得评标。</w:t>
      </w:r>
    </w:p>
    <w:p w14:paraId="6A74BE1B">
      <w:pPr>
        <w:pStyle w:val="26"/>
        <w:snapToGrid w:val="0"/>
        <w:spacing w:line="370" w:lineRule="exact"/>
        <w:ind w:firstLine="472" w:firstLineChars="196"/>
        <w:rPr>
          <w:rFonts w:hint="eastAsia" w:ascii="仿宋_GB2312" w:hAnsi="宋体" w:eastAsia="仿宋_GB2312"/>
          <w:b/>
          <w:sz w:val="24"/>
          <w:szCs w:val="24"/>
        </w:rPr>
      </w:pPr>
      <w:bookmarkStart w:id="86" w:name="_Toc254970686"/>
      <w:bookmarkStart w:id="87" w:name="_Toc254970545"/>
      <w:r>
        <w:rPr>
          <w:rFonts w:hint="eastAsia" w:ascii="仿宋_GB2312" w:hAnsi="宋体" w:eastAsia="仿宋_GB2312"/>
          <w:b/>
          <w:sz w:val="24"/>
          <w:szCs w:val="24"/>
        </w:rPr>
        <w:t>六、评标</w:t>
      </w:r>
      <w:bookmarkEnd w:id="86"/>
      <w:bookmarkEnd w:id="87"/>
    </w:p>
    <w:p w14:paraId="74B02DFC">
      <w:pPr>
        <w:pStyle w:val="26"/>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25.组建评标委员会</w:t>
      </w:r>
    </w:p>
    <w:p w14:paraId="0AB7008A">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25.1本项目评标委员会由采购人代表和评审专家组成。</w:t>
      </w:r>
    </w:p>
    <w:p w14:paraId="329E4CAD">
      <w:pPr>
        <w:pStyle w:val="26"/>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26.评标的方式</w:t>
      </w:r>
    </w:p>
    <w:p w14:paraId="02CDE988">
      <w:pPr>
        <w:snapToGrid w:val="0"/>
        <w:spacing w:line="370" w:lineRule="exact"/>
        <w:ind w:firstLine="420"/>
        <w:jc w:val="left"/>
        <w:rPr>
          <w:rFonts w:ascii="仿宋_GB2312" w:eastAsia="仿宋_GB2312"/>
          <w:sz w:val="24"/>
        </w:rPr>
      </w:pPr>
      <w:r>
        <w:rPr>
          <w:rFonts w:hint="eastAsia" w:ascii="仿宋_GB2312" w:eastAsia="仿宋_GB2312" w:cs="Courier New"/>
          <w:sz w:val="24"/>
        </w:rPr>
        <w:t>26.1本项目采用不公开方式评标，评标的依据为招标文件和投标文件。</w:t>
      </w:r>
    </w:p>
    <w:p w14:paraId="13C1F82E">
      <w:pPr>
        <w:pStyle w:val="26"/>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27.</w:t>
      </w:r>
      <w:r>
        <w:rPr>
          <w:rFonts w:hint="eastAsia" w:ascii="仿宋_GB2312" w:hAnsi="宋体" w:eastAsia="仿宋_GB2312"/>
          <w:b/>
          <w:bCs/>
          <w:sz w:val="24"/>
          <w:szCs w:val="24"/>
        </w:rPr>
        <w:t>评标程序</w:t>
      </w:r>
    </w:p>
    <w:p w14:paraId="76AF8081">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27.1符合性审查</w:t>
      </w:r>
    </w:p>
    <w:p w14:paraId="63F8CA84">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（1）评标委员会审查、评价投标文件是否符合招标文件的商务、技术等实质性要求。</w:t>
      </w:r>
    </w:p>
    <w:p w14:paraId="161F8F78">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（2）评标委员会将根据投标人的投标文件进行审查、核对，如有疑问，评标委员会将通过广西政府采购云平台，以询标函的方式要求投标人在线对相关问题进行澄清或者说明。</w:t>
      </w:r>
    </w:p>
    <w:p w14:paraId="7C87B759">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27.2投标文件的比较和评价</w:t>
      </w:r>
    </w:p>
    <w:p w14:paraId="588C6BD6">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（1）各投标人的技术得分为所有评委的有效评分的算术平均数。</w:t>
      </w:r>
    </w:p>
    <w:p w14:paraId="7F07EDEA">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（2）评标委员会完成评标后，评委对各部分得分汇总，计算出本项目最终得分等。评标委员会按评标标准推荐中标候选人同时起草评标报告。</w:t>
      </w:r>
    </w:p>
    <w:p w14:paraId="114D9CB8">
      <w:pPr>
        <w:snapToGrid w:val="0"/>
        <w:spacing w:line="370" w:lineRule="exact"/>
        <w:ind w:firstLine="482" w:firstLineChars="200"/>
        <w:rPr>
          <w:rFonts w:ascii="仿宋_GB2312" w:eastAsia="仿宋_GB2312"/>
          <w:b/>
          <w:sz w:val="24"/>
        </w:rPr>
      </w:pPr>
      <w:r>
        <w:rPr>
          <w:rFonts w:hint="eastAsia" w:ascii="仿宋_GB2312" w:eastAsia="仿宋_GB2312"/>
          <w:b/>
          <w:sz w:val="24"/>
        </w:rPr>
        <w:t>28.澄清问题的形式</w:t>
      </w:r>
    </w:p>
    <w:p w14:paraId="57E93BD7">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28.1对于投标文件中含义不明确、同类问题表述不一致或者有明显文字和计算错误的内容，评标委员会应当通过广西政府采购云平台发起电子询标函，以书面形式要求投标人在规定的时间内作出必要的澄清、说明或者补正。</w:t>
      </w:r>
    </w:p>
    <w:p w14:paraId="0CEE2654">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28.2投标人应当在规定时间内通过广西政府采购云平台进行澄清、说明或者补正，并加盖投标人CA电子签章。投标人的澄清、说明或者补正不得超出投标文件的范围或者改变投标文件的实质性内容。</w:t>
      </w:r>
    </w:p>
    <w:p w14:paraId="7C82EECD">
      <w:pPr>
        <w:snapToGrid w:val="0"/>
        <w:spacing w:line="370" w:lineRule="exact"/>
        <w:ind w:leftChars="0" w:firstLine="480" w:firstLineChars="200"/>
        <w:jc w:val="left"/>
        <w:rPr>
          <w:rFonts w:hint="eastAsia" w:ascii="仿宋_GB2312" w:hAnsi="Times New Roman" w:eastAsia="仿宋_GB2312" w:cs="Courier New"/>
          <w:kern w:val="2"/>
          <w:sz w:val="24"/>
          <w:szCs w:val="24"/>
          <w:highlight w:val="none"/>
          <w:lang w:val="en-US" w:eastAsia="zh-CN" w:bidi="ar-SA"/>
        </w:rPr>
      </w:pPr>
      <w:r>
        <w:rPr>
          <w:rFonts w:hint="eastAsia" w:ascii="仿宋_GB2312" w:hAnsi="Times New Roman" w:eastAsia="仿宋_GB2312" w:cs="Courier New"/>
          <w:kern w:val="2"/>
          <w:sz w:val="24"/>
          <w:szCs w:val="24"/>
          <w:highlight w:val="none"/>
          <w:lang w:val="en-US" w:eastAsia="zh-CN" w:bidi="ar-SA"/>
        </w:rPr>
        <w:t>28.3投标人有以下情形之一的，评标委员会有权视该投标文件无效:</w:t>
      </w:r>
    </w:p>
    <w:p w14:paraId="28D74EEE">
      <w:pPr>
        <w:snapToGrid w:val="0"/>
        <w:spacing w:line="370" w:lineRule="exact"/>
        <w:ind w:left="0" w:leftChars="0" w:firstLine="420" w:firstLineChars="0"/>
        <w:jc w:val="left"/>
        <w:rPr>
          <w:rFonts w:hint="eastAsia" w:ascii="仿宋_GB2312" w:hAnsi="Times New Roman" w:eastAsia="仿宋_GB2312" w:cs="Courier New"/>
          <w:kern w:val="2"/>
          <w:sz w:val="24"/>
          <w:szCs w:val="24"/>
          <w:highlight w:val="none"/>
          <w:lang w:val="en-US" w:eastAsia="zh-CN" w:bidi="ar-SA"/>
        </w:rPr>
      </w:pPr>
      <w:r>
        <w:rPr>
          <w:rFonts w:hint="eastAsia" w:ascii="仿宋_GB2312" w:hAnsi="Times New Roman" w:eastAsia="仿宋_GB2312" w:cs="Courier New"/>
          <w:kern w:val="2"/>
          <w:sz w:val="24"/>
          <w:szCs w:val="24"/>
          <w:highlight w:val="none"/>
          <w:lang w:val="en-US" w:eastAsia="zh-CN" w:bidi="ar-SA"/>
        </w:rPr>
        <w:t>（1）截止时间前未</w:t>
      </w:r>
      <w:r>
        <w:rPr>
          <w:rFonts w:hint="eastAsia" w:ascii="仿宋_GB2312" w:eastAsia="仿宋_GB2312" w:cs="Courier New"/>
          <w:kern w:val="2"/>
          <w:sz w:val="24"/>
          <w:szCs w:val="24"/>
          <w:highlight w:val="none"/>
          <w:lang w:val="en-US" w:eastAsia="zh-CN" w:bidi="ar-SA"/>
        </w:rPr>
        <w:t>澄清、说明或者</w:t>
      </w:r>
      <w:r>
        <w:rPr>
          <w:rFonts w:hint="eastAsia" w:ascii="仿宋_GB2312" w:eastAsia="仿宋_GB2312" w:cs="Courier New"/>
          <w:sz w:val="24"/>
        </w:rPr>
        <w:t>补</w:t>
      </w:r>
      <w:r>
        <w:rPr>
          <w:rFonts w:hint="eastAsia" w:ascii="仿宋_GB2312" w:eastAsia="仿宋_GB2312" w:cs="Courier New"/>
          <w:kern w:val="2"/>
          <w:sz w:val="24"/>
          <w:szCs w:val="24"/>
          <w:highlight w:val="none"/>
          <w:lang w:val="en-US" w:eastAsia="zh-CN" w:bidi="ar-SA"/>
        </w:rPr>
        <w:t>正</w:t>
      </w:r>
      <w:r>
        <w:rPr>
          <w:rFonts w:hint="eastAsia" w:ascii="仿宋_GB2312" w:hAnsi="Times New Roman" w:eastAsia="仿宋_GB2312" w:cs="Courier New"/>
          <w:kern w:val="2"/>
          <w:sz w:val="24"/>
          <w:szCs w:val="24"/>
          <w:highlight w:val="none"/>
          <w:lang w:val="en-US" w:eastAsia="zh-CN" w:bidi="ar-SA"/>
        </w:rPr>
        <w:t>，或</w:t>
      </w:r>
      <w:r>
        <w:rPr>
          <w:rFonts w:hint="eastAsia" w:ascii="仿宋_GB2312" w:eastAsia="仿宋_GB2312" w:cs="Courier New"/>
          <w:kern w:val="2"/>
          <w:sz w:val="24"/>
          <w:szCs w:val="24"/>
          <w:highlight w:val="none"/>
          <w:lang w:val="en-US" w:eastAsia="zh-CN" w:bidi="ar-SA"/>
        </w:rPr>
        <w:t>澄清、说明或者</w:t>
      </w:r>
      <w:r>
        <w:rPr>
          <w:rFonts w:hint="eastAsia" w:ascii="仿宋_GB2312" w:eastAsia="仿宋_GB2312" w:cs="Courier New"/>
          <w:sz w:val="24"/>
        </w:rPr>
        <w:t>补</w:t>
      </w:r>
      <w:r>
        <w:rPr>
          <w:rFonts w:hint="eastAsia" w:ascii="仿宋_GB2312" w:eastAsia="仿宋_GB2312" w:cs="Courier New"/>
          <w:kern w:val="2"/>
          <w:sz w:val="24"/>
          <w:szCs w:val="24"/>
          <w:highlight w:val="none"/>
          <w:lang w:val="en-US" w:eastAsia="zh-CN" w:bidi="ar-SA"/>
        </w:rPr>
        <w:t>正</w:t>
      </w:r>
      <w:r>
        <w:rPr>
          <w:rFonts w:hint="eastAsia" w:ascii="仿宋_GB2312" w:hAnsi="Times New Roman" w:eastAsia="仿宋_GB2312" w:cs="Courier New"/>
          <w:kern w:val="2"/>
          <w:sz w:val="24"/>
          <w:szCs w:val="24"/>
          <w:highlight w:val="none"/>
          <w:lang w:val="en-US" w:eastAsia="zh-CN" w:bidi="ar-SA"/>
        </w:rPr>
        <w:t>超过规定时间的:</w:t>
      </w:r>
    </w:p>
    <w:p w14:paraId="4F44EA57">
      <w:pPr>
        <w:snapToGrid w:val="0"/>
        <w:spacing w:line="370" w:lineRule="exact"/>
        <w:ind w:left="0" w:leftChars="0" w:firstLine="420" w:firstLineChars="0"/>
        <w:jc w:val="left"/>
        <w:rPr>
          <w:rFonts w:hint="eastAsia" w:ascii="仿宋_GB2312" w:hAnsi="Times New Roman" w:eastAsia="仿宋_GB2312" w:cs="Courier New"/>
          <w:kern w:val="2"/>
          <w:sz w:val="24"/>
          <w:szCs w:val="24"/>
          <w:highlight w:val="none"/>
          <w:lang w:val="en-US" w:eastAsia="zh-CN" w:bidi="ar-SA"/>
        </w:rPr>
      </w:pPr>
      <w:r>
        <w:rPr>
          <w:rFonts w:hint="eastAsia" w:ascii="仿宋_GB2312" w:hAnsi="Times New Roman" w:eastAsia="仿宋_GB2312" w:cs="Courier New"/>
          <w:kern w:val="2"/>
          <w:sz w:val="24"/>
          <w:szCs w:val="24"/>
          <w:highlight w:val="none"/>
          <w:lang w:val="en-US" w:eastAsia="zh-CN" w:bidi="ar-SA"/>
        </w:rPr>
        <w:t>（2）</w:t>
      </w:r>
      <w:r>
        <w:rPr>
          <w:rFonts w:hint="eastAsia" w:ascii="仿宋_GB2312" w:eastAsia="仿宋_GB2312" w:cs="Courier New"/>
          <w:kern w:val="2"/>
          <w:sz w:val="24"/>
          <w:szCs w:val="24"/>
          <w:highlight w:val="none"/>
          <w:lang w:val="en-US" w:eastAsia="zh-CN" w:bidi="ar-SA"/>
        </w:rPr>
        <w:t>澄清、说明或者</w:t>
      </w:r>
      <w:r>
        <w:rPr>
          <w:rFonts w:hint="eastAsia" w:ascii="仿宋_GB2312" w:eastAsia="仿宋_GB2312" w:cs="Courier New"/>
          <w:sz w:val="24"/>
        </w:rPr>
        <w:t>补</w:t>
      </w:r>
      <w:r>
        <w:rPr>
          <w:rFonts w:hint="eastAsia" w:ascii="仿宋_GB2312" w:eastAsia="仿宋_GB2312" w:cs="Courier New"/>
          <w:kern w:val="2"/>
          <w:sz w:val="24"/>
          <w:szCs w:val="24"/>
          <w:highlight w:val="none"/>
          <w:lang w:val="en-US" w:eastAsia="zh-CN" w:bidi="ar-SA"/>
        </w:rPr>
        <w:t>正</w:t>
      </w:r>
      <w:r>
        <w:rPr>
          <w:rFonts w:hint="eastAsia" w:ascii="仿宋_GB2312" w:hAnsi="Times New Roman" w:eastAsia="仿宋_GB2312" w:cs="Courier New"/>
          <w:kern w:val="2"/>
          <w:sz w:val="24"/>
          <w:szCs w:val="24"/>
          <w:highlight w:val="none"/>
          <w:lang w:val="en-US" w:eastAsia="zh-CN" w:bidi="ar-SA"/>
        </w:rPr>
        <w:t>超出投标文件范围或改变了投标文件的实质性内容的；</w:t>
      </w:r>
    </w:p>
    <w:p w14:paraId="63B27C65">
      <w:pPr>
        <w:snapToGrid w:val="0"/>
        <w:spacing w:line="370" w:lineRule="exact"/>
        <w:ind w:left="0" w:leftChars="0" w:firstLine="420"/>
        <w:jc w:val="left"/>
        <w:rPr>
          <w:rFonts w:ascii="仿宋_GB2312" w:eastAsia="仿宋_GB2312" w:cs="Courier New"/>
          <w:sz w:val="24"/>
        </w:rPr>
      </w:pPr>
      <w:r>
        <w:rPr>
          <w:rFonts w:hint="eastAsia" w:ascii="仿宋_GB2312" w:hAnsi="Times New Roman" w:eastAsia="仿宋_GB2312" w:cs="Courier New"/>
          <w:kern w:val="2"/>
          <w:sz w:val="24"/>
          <w:szCs w:val="24"/>
          <w:highlight w:val="none"/>
          <w:lang w:val="en-US" w:eastAsia="zh-CN" w:bidi="ar-SA"/>
        </w:rPr>
        <w:t>（3）</w:t>
      </w:r>
      <w:r>
        <w:rPr>
          <w:rFonts w:hint="eastAsia" w:ascii="仿宋_GB2312" w:eastAsia="仿宋_GB2312" w:cs="Courier New"/>
          <w:kern w:val="2"/>
          <w:sz w:val="24"/>
          <w:szCs w:val="24"/>
          <w:highlight w:val="none"/>
          <w:lang w:val="en-US" w:eastAsia="zh-CN" w:bidi="ar-SA"/>
        </w:rPr>
        <w:t>澄清、说明或者</w:t>
      </w:r>
      <w:r>
        <w:rPr>
          <w:rFonts w:hint="eastAsia" w:ascii="仿宋_GB2312" w:eastAsia="仿宋_GB2312" w:cs="Courier New"/>
          <w:sz w:val="24"/>
        </w:rPr>
        <w:t>补</w:t>
      </w:r>
      <w:r>
        <w:rPr>
          <w:rFonts w:hint="eastAsia" w:ascii="仿宋_GB2312" w:eastAsia="仿宋_GB2312" w:cs="Courier New"/>
          <w:kern w:val="2"/>
          <w:sz w:val="24"/>
          <w:szCs w:val="24"/>
          <w:highlight w:val="none"/>
          <w:lang w:val="en-US" w:eastAsia="zh-CN" w:bidi="ar-SA"/>
        </w:rPr>
        <w:t>正</w:t>
      </w:r>
      <w:r>
        <w:rPr>
          <w:rFonts w:hint="eastAsia" w:ascii="仿宋_GB2312" w:hAnsi="Times New Roman" w:eastAsia="仿宋_GB2312" w:cs="Courier New"/>
          <w:kern w:val="2"/>
          <w:sz w:val="24"/>
          <w:szCs w:val="24"/>
          <w:highlight w:val="none"/>
          <w:lang w:val="en-US" w:eastAsia="zh-CN" w:bidi="ar-SA"/>
        </w:rPr>
        <w:t>后投标文件仍不符合招标文件要求的。</w:t>
      </w:r>
    </w:p>
    <w:p w14:paraId="0A1F6F55">
      <w:pPr>
        <w:snapToGrid w:val="0"/>
        <w:spacing w:line="370" w:lineRule="exact"/>
        <w:ind w:firstLine="482" w:firstLineChars="200"/>
        <w:rPr>
          <w:rFonts w:ascii="仿宋_GB2312" w:eastAsia="仿宋_GB2312"/>
          <w:b/>
          <w:sz w:val="24"/>
        </w:rPr>
      </w:pPr>
      <w:r>
        <w:rPr>
          <w:rFonts w:hint="eastAsia" w:ascii="仿宋_GB2312" w:eastAsia="仿宋_GB2312"/>
          <w:b/>
          <w:sz w:val="24"/>
        </w:rPr>
        <w:t>29.错误修正</w:t>
      </w:r>
    </w:p>
    <w:p w14:paraId="7139CEF7">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29.1投标文件报价出现前后不一致的，除招标文件另有规定外，按照下列规定修正：</w:t>
      </w:r>
    </w:p>
    <w:p w14:paraId="2F06F3AC">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（1）投标文件中开标一览表（报价表）内容与投标文件中相应内容不一致的，以开标一览表（报价表）为准；</w:t>
      </w:r>
    </w:p>
    <w:p w14:paraId="3A8DA106">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（2）大写金额和小写金额不一致的，以大写金额为准；</w:t>
      </w:r>
    </w:p>
    <w:p w14:paraId="0B87EAEC">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（3）单价金额小数点或者百分比有明显错位的，以开标一览表的总价为准，并修改单价；</w:t>
      </w:r>
    </w:p>
    <w:p w14:paraId="5458F73A">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（4）总价金额与按单价汇总金额不一致的，以单价金额计算结果为准。</w:t>
      </w:r>
    </w:p>
    <w:p w14:paraId="54678974">
      <w:pPr>
        <w:snapToGrid w:val="0"/>
        <w:spacing w:line="370" w:lineRule="exact"/>
        <w:ind w:firstLine="420"/>
        <w:jc w:val="left"/>
        <w:rPr>
          <w:rFonts w:ascii="仿宋_GB2312" w:eastAsia="仿宋_GB2312" w:cs="Courier New"/>
          <w:b/>
          <w:sz w:val="24"/>
        </w:rPr>
      </w:pPr>
      <w:r>
        <w:rPr>
          <w:rFonts w:hint="eastAsia" w:ascii="仿宋_GB2312" w:eastAsia="仿宋_GB2312" w:cs="Courier New"/>
          <w:b/>
          <w:sz w:val="24"/>
        </w:rPr>
        <w:t>同时出现两种以上不一致的，按照前款规定的顺序修正。评标委员会通过广西政府采购云平台发起询标函，投标人在规定时间内通过广西政府采购云平台确认，投标人的确认应当加盖投标人CA电子签章。修正后的报价按照87号令第五十一条第二款的规定经投标人确认后产生约束力，投标人不确认的，其投标无效。</w:t>
      </w:r>
    </w:p>
    <w:p w14:paraId="4C3C9BED">
      <w:pPr>
        <w:pStyle w:val="26"/>
        <w:tabs>
          <w:tab w:val="left" w:pos="630"/>
        </w:tabs>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30.评标原则和评标方法</w:t>
      </w:r>
    </w:p>
    <w:p w14:paraId="6266BFC8">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30.1评标原则。评标委员会必须公平、公正、客观，不带任何倾向性和启发性；不得向外界透露任何与评标有关的内容；任何单位和个人不得干扰、影响评标的正常进行；评标委员会及有关工作人员不得私下与投标人接触。</w:t>
      </w:r>
    </w:p>
    <w:p w14:paraId="70614196">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30.2本项目评标方法是综合评分法，具体评标内容及评标标准等详见第四章：评标方法及评标标准。</w:t>
      </w:r>
    </w:p>
    <w:p w14:paraId="213DA79D">
      <w:pPr>
        <w:pStyle w:val="26"/>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31.评标过程的监控</w:t>
      </w:r>
    </w:p>
    <w:p w14:paraId="081331A8">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31.1本项目评标过程实行全程录音、录像监控（或政府采购监督管理部门工作人员进行现场监督），投标人在评标过程中所进行的试图影响评标结果的不公正活动，可能导致其投标被拒绝。</w:t>
      </w:r>
    </w:p>
    <w:p w14:paraId="10488933">
      <w:pPr>
        <w:pStyle w:val="26"/>
        <w:snapToGrid w:val="0"/>
        <w:spacing w:line="370" w:lineRule="exact"/>
        <w:ind w:firstLine="482" w:firstLineChars="200"/>
        <w:rPr>
          <w:rFonts w:hint="eastAsia" w:ascii="仿宋_GB2312" w:hAnsi="宋体" w:eastAsia="仿宋_GB2312"/>
          <w:sz w:val="24"/>
          <w:szCs w:val="24"/>
        </w:rPr>
      </w:pPr>
      <w:r>
        <w:rPr>
          <w:rFonts w:hint="eastAsia" w:ascii="仿宋_GB2312" w:hAnsi="宋体" w:eastAsia="仿宋_GB2312"/>
          <w:b/>
          <w:sz w:val="24"/>
          <w:szCs w:val="24"/>
        </w:rPr>
        <w:t>七、评标结果</w:t>
      </w:r>
    </w:p>
    <w:p w14:paraId="1C63AF1F">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32.采购人或者采购代理机构核对评标结果。</w:t>
      </w:r>
    </w:p>
    <w:p w14:paraId="4B3334AB">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33.采购人或者采购代理机构在公告中标结果的同时，对未通过资格审查的投标人，应当告知其未通过的原因；采用综合评分法评审的，还应当告知未中标人本人的评审得分与排序。</w:t>
      </w:r>
    </w:p>
    <w:p w14:paraId="02E8FBD8">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34.采购人或者采购代理机构在评标结束后2个工作日内将评标报告送采购人，采购人在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445772D6">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35.采购人或采购代理机构应当自中标人确定之日起2个工作日内，在中国政府采购网、广西壮族自治区政府采购网、柳州市政府采购网发布中标公告。在发布中标公告的同时，向中标人发出中标通知书。</w:t>
      </w:r>
    </w:p>
    <w:p w14:paraId="028771E7">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36.在中标通知书发出前，采购人或采购代理机构应当对中标人信用进行查询，并按照信用信息使用规则处理。</w:t>
      </w:r>
    </w:p>
    <w:p w14:paraId="330989BD">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37.投标人对中标公告有异议的，应当在中标公告</w:t>
      </w:r>
      <w:r>
        <w:rPr>
          <w:rFonts w:hint="eastAsia" w:ascii="仿宋_GB2312" w:hAnsi="宋体" w:eastAsia="仿宋_GB2312"/>
          <w:bCs/>
          <w:sz w:val="24"/>
        </w:rPr>
        <w:t>期限届满</w:t>
      </w:r>
      <w:r>
        <w:rPr>
          <w:rFonts w:hint="eastAsia" w:ascii="仿宋_GB2312" w:eastAsia="仿宋_GB2312" w:cs="Courier New"/>
          <w:sz w:val="24"/>
        </w:rPr>
        <w:t>之日起七个工作日内，以书面形式向采购人或采购代理机构提出质疑，并及时索要书面回执。</w:t>
      </w:r>
    </w:p>
    <w:p w14:paraId="3074FAA8">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38.采购人或采购代理机构（采购代理机构应当按照有关规定就采购人委托授权范围内的事项）在收到投标人的书面质疑后七个工作日内作出答复，但答复的内容不得涉及商业秘密。</w:t>
      </w:r>
    </w:p>
    <w:p w14:paraId="71A5A2D5">
      <w:pPr>
        <w:pStyle w:val="26"/>
        <w:snapToGrid w:val="0"/>
        <w:spacing w:line="370" w:lineRule="exact"/>
        <w:ind w:firstLine="472" w:firstLineChars="196"/>
        <w:rPr>
          <w:rFonts w:hint="eastAsia" w:ascii="仿宋_GB2312" w:hAnsi="宋体" w:eastAsia="仿宋_GB2312"/>
          <w:b/>
          <w:sz w:val="24"/>
          <w:szCs w:val="24"/>
        </w:rPr>
      </w:pPr>
      <w:bookmarkStart w:id="88" w:name="_Toc254970547"/>
      <w:bookmarkStart w:id="89" w:name="_Toc254970688"/>
      <w:r>
        <w:rPr>
          <w:rFonts w:hint="eastAsia" w:ascii="仿宋_GB2312" w:hAnsi="宋体" w:eastAsia="仿宋_GB2312"/>
          <w:b/>
          <w:sz w:val="24"/>
          <w:szCs w:val="24"/>
        </w:rPr>
        <w:t>八、</w:t>
      </w:r>
      <w:bookmarkEnd w:id="88"/>
      <w:bookmarkEnd w:id="89"/>
      <w:r>
        <w:rPr>
          <w:rFonts w:hint="eastAsia" w:ascii="仿宋_GB2312" w:hAnsi="宋体" w:eastAsia="仿宋_GB2312"/>
          <w:b/>
          <w:sz w:val="24"/>
          <w:szCs w:val="24"/>
        </w:rPr>
        <w:t>签订合同</w:t>
      </w:r>
    </w:p>
    <w:p w14:paraId="3B9DFA4D">
      <w:pPr>
        <w:pStyle w:val="26"/>
        <w:snapToGrid w:val="0"/>
        <w:spacing w:line="370" w:lineRule="exact"/>
        <w:ind w:firstLine="472" w:firstLineChars="196"/>
        <w:rPr>
          <w:rFonts w:hint="eastAsia" w:ascii="仿宋_GB2312" w:hAnsi="宋体" w:eastAsia="仿宋_GB2312"/>
          <w:b/>
          <w:bCs/>
          <w:sz w:val="24"/>
          <w:szCs w:val="24"/>
        </w:rPr>
      </w:pPr>
      <w:r>
        <w:rPr>
          <w:rFonts w:hint="eastAsia" w:ascii="仿宋_GB2312" w:hAnsi="宋体" w:eastAsia="仿宋_GB2312"/>
          <w:b/>
          <w:sz w:val="24"/>
          <w:szCs w:val="24"/>
        </w:rPr>
        <w:t>39.合同授予标准</w:t>
      </w:r>
    </w:p>
    <w:p w14:paraId="21E49B50">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39.1合同将授予被确定实质上响应招标文件要求，具备履行合同能力，综合评分排名第一的投标人。</w:t>
      </w:r>
    </w:p>
    <w:p w14:paraId="267104F4">
      <w:pPr>
        <w:snapToGrid w:val="0"/>
        <w:spacing w:line="370" w:lineRule="exact"/>
        <w:ind w:firstLine="420"/>
        <w:jc w:val="left"/>
        <w:rPr>
          <w:rFonts w:ascii="仿宋_GB2312" w:eastAsia="仿宋_GB2312" w:cs="Courier New"/>
          <w:b/>
          <w:bCs/>
          <w:sz w:val="24"/>
        </w:rPr>
      </w:pPr>
      <w:r>
        <w:rPr>
          <w:rFonts w:hint="eastAsia" w:ascii="仿宋_GB2312" w:eastAsia="仿宋_GB2312" w:cs="Courier New"/>
          <w:b/>
          <w:bCs/>
          <w:sz w:val="24"/>
        </w:rPr>
        <w:t>40.签订合同</w:t>
      </w:r>
    </w:p>
    <w:p w14:paraId="24DE9DD9">
      <w:pPr>
        <w:snapToGrid w:val="0"/>
        <w:spacing w:line="370" w:lineRule="exact"/>
        <w:ind w:firstLine="420"/>
        <w:jc w:val="left"/>
        <w:rPr>
          <w:rFonts w:ascii="仿宋_GB2312" w:eastAsia="仿宋_GB2312" w:cs="Courier New"/>
          <w:sz w:val="24"/>
        </w:rPr>
      </w:pPr>
      <w:bookmarkStart w:id="90" w:name="_Hlk93676812"/>
      <w:r>
        <w:rPr>
          <w:rFonts w:hint="eastAsia" w:ascii="仿宋_GB2312" w:eastAsia="仿宋_GB2312" w:cs="Courier New"/>
          <w:sz w:val="24"/>
        </w:rPr>
        <w:t>40.1中标人接到中标通知书后，应按有关规定与采购人签订合同。</w:t>
      </w:r>
    </w:p>
    <w:bookmarkEnd w:id="90"/>
    <w:p w14:paraId="156D0E91">
      <w:pPr>
        <w:snapToGrid w:val="0"/>
        <w:spacing w:line="360" w:lineRule="exact"/>
        <w:ind w:right="-470" w:rightChars="-224" w:firstLine="420"/>
        <w:jc w:val="left"/>
        <w:rPr>
          <w:rFonts w:ascii="仿宋_GB2312" w:eastAsia="仿宋_GB2312" w:cs="Courier New"/>
          <w:sz w:val="24"/>
        </w:rPr>
        <w:sectPr>
          <w:pgSz w:w="11906" w:h="16838"/>
          <w:pgMar w:top="1440" w:right="1440" w:bottom="1440" w:left="1440" w:header="851" w:footer="992" w:gutter="0"/>
          <w:cols w:space="720" w:num="1"/>
          <w:docGrid w:linePitch="312" w:charSpace="0"/>
        </w:sectPr>
      </w:pPr>
      <w:r>
        <w:rPr>
          <w:rFonts w:hint="eastAsia" w:ascii="仿宋_GB2312" w:eastAsia="仿宋_GB2312" w:cs="Courier New"/>
          <w:sz w:val="24"/>
        </w:rPr>
        <w:t>40.2中标人因不可抗力或者自身原因不能履行采购合同的，采购人或采购代理机构应将该情况报政府采购监督管理部门，从合格的中标候选人中另行确定中标人或重新开展政府采购活动。</w:t>
      </w:r>
      <w:bookmarkStart w:id="91" w:name="_Toc254970689"/>
      <w:bookmarkStart w:id="92" w:name="_Toc254970548"/>
      <w:bookmarkStart w:id="93" w:name="_Toc497578452"/>
    </w:p>
    <w:p w14:paraId="4D69D554"/>
    <w:p w14:paraId="23349BFC"/>
    <w:p w14:paraId="2DC592B3"/>
    <w:p w14:paraId="35EFB5A3"/>
    <w:p w14:paraId="42BE2DCD"/>
    <w:p w14:paraId="6CE8023E"/>
    <w:p w14:paraId="22FE659E"/>
    <w:p w14:paraId="4A6F07F8"/>
    <w:p w14:paraId="01AAF898"/>
    <w:p w14:paraId="1382F951"/>
    <w:p w14:paraId="2149A7C9"/>
    <w:p w14:paraId="712A7DDD"/>
    <w:p w14:paraId="6C184CA0"/>
    <w:p w14:paraId="5A66F7D3"/>
    <w:p w14:paraId="3E36B6E6"/>
    <w:p w14:paraId="209E15F5"/>
    <w:p w14:paraId="5E2BB9A5"/>
    <w:p w14:paraId="059555DC">
      <w:pPr>
        <w:pStyle w:val="3"/>
        <w:jc w:val="center"/>
        <w:rPr>
          <w:sz w:val="30"/>
          <w:szCs w:val="30"/>
        </w:rPr>
      </w:pPr>
      <w:bookmarkStart w:id="94" w:name="_Toc24572"/>
      <w:r>
        <w:rPr>
          <w:rFonts w:hint="eastAsia"/>
          <w:sz w:val="30"/>
          <w:szCs w:val="30"/>
        </w:rPr>
        <w:t xml:space="preserve">第四章 </w:t>
      </w:r>
      <w:bookmarkEnd w:id="91"/>
      <w:bookmarkEnd w:id="92"/>
      <w:r>
        <w:rPr>
          <w:rFonts w:hint="eastAsia"/>
          <w:sz w:val="30"/>
          <w:szCs w:val="30"/>
        </w:rPr>
        <w:t>评标方法及评标标准</w:t>
      </w:r>
      <w:bookmarkEnd w:id="93"/>
      <w:bookmarkEnd w:id="94"/>
      <w:r>
        <w:tab/>
      </w:r>
    </w:p>
    <w:p w14:paraId="3FBDFCAE">
      <w:pPr>
        <w:tabs>
          <w:tab w:val="left" w:pos="3055"/>
        </w:tabs>
        <w:jc w:val="center"/>
        <w:rPr>
          <w:b/>
          <w:sz w:val="30"/>
          <w:szCs w:val="30"/>
        </w:rPr>
      </w:pPr>
      <w:r>
        <w:br w:type="page"/>
      </w:r>
      <w:r>
        <w:rPr>
          <w:rFonts w:hint="eastAsia" w:ascii="宋体" w:hAnsi="宋体" w:cs="Courier New"/>
          <w:b/>
          <w:bCs/>
          <w:color w:val="000000"/>
          <w:sz w:val="32"/>
          <w:szCs w:val="32"/>
        </w:rPr>
        <w:t>评标方法及评标标准</w:t>
      </w:r>
    </w:p>
    <w:p w14:paraId="152C6A97">
      <w:pPr>
        <w:spacing w:line="390" w:lineRule="exact"/>
        <w:ind w:right="-168" w:rightChars="-80" w:firstLine="482" w:firstLineChars="200"/>
        <w:rPr>
          <w:rFonts w:ascii="仿宋_GB2312" w:eastAsia="仿宋_GB2312"/>
          <w:b/>
          <w:bCs/>
          <w:sz w:val="24"/>
        </w:rPr>
      </w:pPr>
      <w:r>
        <w:rPr>
          <w:rFonts w:hint="eastAsia" w:ascii="仿宋_GB2312" w:eastAsia="仿宋_GB2312"/>
          <w:b/>
          <w:bCs/>
          <w:sz w:val="24"/>
        </w:rPr>
        <w:t>一、评标原则</w:t>
      </w:r>
    </w:p>
    <w:p w14:paraId="0C04F071">
      <w:pPr>
        <w:spacing w:line="390" w:lineRule="exact"/>
        <w:ind w:right="-168" w:rightChars="-80"/>
        <w:rPr>
          <w:rFonts w:ascii="仿宋_GB2312" w:eastAsia="仿宋_GB2312"/>
          <w:sz w:val="24"/>
        </w:rPr>
      </w:pPr>
      <w:r>
        <w:rPr>
          <w:rFonts w:hint="eastAsia" w:ascii="仿宋_GB2312" w:eastAsia="仿宋_GB2312"/>
          <w:sz w:val="24"/>
        </w:rPr>
        <w:t xml:space="preserve">    （一）评委构成：本招标采购项目的评委分别由依法组成的评审专家、采购人代表共五人或以上单数构成，其中专家人数不少于评标委员会成员总数的三分之二。</w:t>
      </w:r>
    </w:p>
    <w:p w14:paraId="20D2000F">
      <w:pPr>
        <w:spacing w:line="390" w:lineRule="exact"/>
        <w:ind w:right="-168" w:rightChars="-80" w:firstLine="435"/>
        <w:rPr>
          <w:rFonts w:ascii="仿宋_GB2312" w:eastAsia="仿宋_GB2312"/>
          <w:b/>
          <w:sz w:val="24"/>
        </w:rPr>
      </w:pPr>
      <w:r>
        <w:rPr>
          <w:rFonts w:hint="eastAsia" w:ascii="仿宋_GB2312" w:eastAsia="仿宋_GB2312"/>
          <w:b/>
          <w:sz w:val="24"/>
        </w:rPr>
        <w:t>（二）评标依据：评委将以招投标文件为评标依据</w:t>
      </w:r>
      <w:bookmarkStart w:id="95" w:name="_Hlk93676870"/>
      <w:r>
        <w:rPr>
          <w:rFonts w:hint="eastAsia" w:ascii="仿宋_GB2312" w:eastAsia="仿宋_GB2312"/>
          <w:b/>
          <w:sz w:val="24"/>
        </w:rPr>
        <w:t>，对投标人的价格、技术、信誉、业绩等</w:t>
      </w:r>
      <w:bookmarkEnd w:id="95"/>
      <w:r>
        <w:rPr>
          <w:rFonts w:hint="eastAsia" w:ascii="仿宋_GB2312" w:eastAsia="仿宋_GB2312"/>
          <w:b/>
          <w:sz w:val="24"/>
        </w:rPr>
        <w:t>方面按百分制打分。</w:t>
      </w:r>
    </w:p>
    <w:p w14:paraId="1E1A2E30">
      <w:pPr>
        <w:spacing w:line="390" w:lineRule="exact"/>
        <w:ind w:right="-168" w:rightChars="-80" w:firstLine="435"/>
        <w:rPr>
          <w:rFonts w:ascii="仿宋_GB2312" w:eastAsia="仿宋_GB2312"/>
          <w:sz w:val="24"/>
        </w:rPr>
      </w:pPr>
      <w:r>
        <w:rPr>
          <w:rFonts w:hint="eastAsia" w:ascii="仿宋_GB2312" w:eastAsia="仿宋_GB2312"/>
          <w:sz w:val="24"/>
        </w:rPr>
        <w:t>（三）评标方式：以封闭方式进行。</w:t>
      </w:r>
    </w:p>
    <w:p w14:paraId="3C3CA848">
      <w:pPr>
        <w:spacing w:line="390" w:lineRule="exact"/>
        <w:ind w:right="-168" w:rightChars="-80" w:firstLine="435"/>
        <w:rPr>
          <w:rFonts w:ascii="仿宋_GB2312" w:eastAsia="仿宋_GB2312"/>
          <w:sz w:val="24"/>
        </w:rPr>
      </w:pPr>
      <w:r>
        <w:rPr>
          <w:rFonts w:hint="eastAsia" w:ascii="仿宋_GB2312" w:eastAsia="仿宋_GB2312"/>
          <w:sz w:val="24"/>
        </w:rPr>
        <w:t>（四）评标委员会认为投标人的报价明显低于其他通过符合性审查投标人的报价，有可能影响产品质量或者不能诚信履约的，</w:t>
      </w:r>
      <w:r>
        <w:rPr>
          <w:rFonts w:hint="eastAsia" w:ascii="仿宋_GB2312" w:eastAsia="仿宋_GB2312" w:cs="Courier New"/>
          <w:sz w:val="24"/>
        </w:rPr>
        <w:t>应当通过广西政府采购云平台发起询标函，要求其在评标现场合理的时间内通过广西政府采购云平台提供书面说明</w:t>
      </w:r>
      <w:r>
        <w:rPr>
          <w:rFonts w:hint="eastAsia" w:ascii="仿宋_GB2312" w:eastAsia="仿宋_GB2312"/>
          <w:sz w:val="24"/>
        </w:rPr>
        <w:t xml:space="preserve">，必要时提交相关证明材料；投标人不能证明其报价合理性的，评标委员会应当将其作为无效投标处理。     </w:t>
      </w:r>
    </w:p>
    <w:p w14:paraId="68A6BF1C">
      <w:pPr>
        <w:spacing w:line="390" w:lineRule="exact"/>
        <w:ind w:right="-168" w:rightChars="-80" w:firstLine="435"/>
        <w:rPr>
          <w:rFonts w:ascii="仿宋_GB2312" w:eastAsia="仿宋_GB2312"/>
          <w:b/>
          <w:bCs/>
          <w:sz w:val="24"/>
        </w:rPr>
      </w:pPr>
      <w:r>
        <w:rPr>
          <w:rFonts w:hint="eastAsia" w:ascii="仿宋_GB2312" w:eastAsia="仿宋_GB2312"/>
          <w:b/>
          <w:bCs/>
          <w:sz w:val="24"/>
        </w:rPr>
        <w:t>二、评标方法</w:t>
      </w:r>
      <w:r>
        <w:rPr>
          <w:rFonts w:ascii="仿宋_GB2312" w:eastAsia="仿宋_GB2312"/>
          <w:b/>
          <w:bCs/>
          <w:sz w:val="24"/>
        </w:rPr>
        <w:tab/>
      </w:r>
    </w:p>
    <w:p w14:paraId="670CF1C5">
      <w:pPr>
        <w:spacing w:line="390" w:lineRule="exact"/>
        <w:ind w:right="-168" w:rightChars="-80" w:firstLine="435"/>
        <w:rPr>
          <w:rFonts w:ascii="仿宋_GB2312" w:eastAsia="仿宋_GB2312"/>
          <w:sz w:val="24"/>
        </w:rPr>
      </w:pPr>
      <w:r>
        <w:rPr>
          <w:rFonts w:hint="eastAsia" w:ascii="仿宋_GB2312" w:eastAsia="仿宋_GB2312"/>
          <w:sz w:val="24"/>
        </w:rPr>
        <w:t>（一）对进入详评的，采用百分制综合评分法。</w:t>
      </w:r>
    </w:p>
    <w:p w14:paraId="6EF8F330">
      <w:pPr>
        <w:spacing w:line="400" w:lineRule="atLeast"/>
        <w:ind w:firstLine="480" w:firstLineChars="200"/>
        <w:jc w:val="left"/>
        <w:rPr>
          <w:rFonts w:hint="eastAsia" w:ascii="仿宋_GB2312" w:hAnsi="宋体" w:eastAsia="仿宋_GB2312"/>
          <w:color w:val="000000"/>
          <w:sz w:val="24"/>
        </w:rPr>
      </w:pPr>
      <w:r>
        <w:rPr>
          <w:rFonts w:hint="eastAsia" w:ascii="仿宋_GB2312" w:eastAsia="仿宋_GB2312"/>
          <w:sz w:val="24"/>
        </w:rPr>
        <w:t>（二）计分办法（分值计算保留小数点后两位，第三位四舍五入）</w:t>
      </w:r>
      <w:r>
        <w:rPr>
          <w:rFonts w:hint="eastAsia" w:ascii="仿宋_GB2312" w:hAnsi="宋体" w:eastAsia="仿宋_GB2312"/>
          <w:color w:val="000000"/>
          <w:sz w:val="24"/>
        </w:rPr>
        <w:t>：</w:t>
      </w:r>
    </w:p>
    <w:tbl>
      <w:tblPr>
        <w:tblStyle w:val="295"/>
        <w:tblpPr w:leftFromText="180" w:rightFromText="180" w:vertAnchor="text" w:horzAnchor="page" w:tblpX="756" w:tblpY="378"/>
        <w:tblOverlap w:val="never"/>
        <w:tblW w:w="10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
        <w:gridCol w:w="1088"/>
        <w:gridCol w:w="5700"/>
        <w:gridCol w:w="912"/>
        <w:gridCol w:w="1350"/>
      </w:tblGrid>
      <w:tr w14:paraId="605BB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0000" w:type="dxa"/>
            <w:gridSpan w:val="5"/>
            <w:shd w:val="clear" w:color="auto" w:fill="D7D7D7"/>
            <w:vAlign w:val="center"/>
          </w:tcPr>
          <w:p w14:paraId="2B5B0E9F">
            <w:pPr>
              <w:spacing w:line="360" w:lineRule="exact"/>
              <w:jc w:val="center"/>
              <w:rPr>
                <w:rFonts w:ascii="仿宋_GB2312" w:hAnsi="仿宋_GB2312" w:eastAsia="仿宋_GB2312" w:cs="仿宋_GB2312"/>
                <w:b/>
              </w:rPr>
            </w:pPr>
            <w:r>
              <w:rPr>
                <w:rFonts w:hint="eastAsia" w:ascii="仿宋_GB2312" w:eastAsia="仿宋_GB2312"/>
                <w:b/>
                <w:sz w:val="32"/>
              </w:rPr>
              <w:t>客观分</w:t>
            </w:r>
          </w:p>
        </w:tc>
      </w:tr>
      <w:tr w14:paraId="581A3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vAlign w:val="center"/>
          </w:tcPr>
          <w:p w14:paraId="50CEEEF4">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评分项</w:t>
            </w:r>
          </w:p>
        </w:tc>
        <w:tc>
          <w:tcPr>
            <w:tcW w:w="1088" w:type="dxa"/>
            <w:vAlign w:val="center"/>
          </w:tcPr>
          <w:p w14:paraId="6C2360CB">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评审因素</w:t>
            </w:r>
          </w:p>
        </w:tc>
        <w:tc>
          <w:tcPr>
            <w:tcW w:w="5700" w:type="dxa"/>
            <w:vAlign w:val="center"/>
          </w:tcPr>
          <w:p w14:paraId="0533E5FE">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评分标准说明</w:t>
            </w:r>
          </w:p>
        </w:tc>
        <w:tc>
          <w:tcPr>
            <w:tcW w:w="912" w:type="dxa"/>
            <w:vAlign w:val="center"/>
          </w:tcPr>
          <w:p w14:paraId="3F61A1C7">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分值</w:t>
            </w:r>
          </w:p>
        </w:tc>
        <w:tc>
          <w:tcPr>
            <w:tcW w:w="1350" w:type="dxa"/>
            <w:vAlign w:val="center"/>
          </w:tcPr>
          <w:p w14:paraId="213ACDDD">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对应的投标文件格式</w:t>
            </w:r>
          </w:p>
        </w:tc>
      </w:tr>
      <w:tr w14:paraId="0B9C4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5" w:hRule="atLeast"/>
        </w:trPr>
        <w:tc>
          <w:tcPr>
            <w:tcW w:w="950" w:type="dxa"/>
            <w:vAlign w:val="center"/>
          </w:tcPr>
          <w:p w14:paraId="72B7895C">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价格分</w:t>
            </w:r>
          </w:p>
        </w:tc>
        <w:tc>
          <w:tcPr>
            <w:tcW w:w="1088" w:type="dxa"/>
            <w:vAlign w:val="center"/>
          </w:tcPr>
          <w:p w14:paraId="66CC726F">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价格</w:t>
            </w:r>
          </w:p>
        </w:tc>
        <w:tc>
          <w:tcPr>
            <w:tcW w:w="5700" w:type="dxa"/>
            <w:vAlign w:val="center"/>
          </w:tcPr>
          <w:p w14:paraId="0E213676">
            <w:pPr>
              <w:spacing w:line="440" w:lineRule="exact"/>
              <w:ind w:firstLine="420" w:firstLineChars="200"/>
              <w:jc w:val="left"/>
              <w:rPr>
                <w:rFonts w:ascii="仿宋_GB2312" w:hAnsi="仿宋_GB2312" w:eastAsia="仿宋_GB2312" w:cs="仿宋_GB2312"/>
              </w:rPr>
            </w:pPr>
            <w:r>
              <w:rPr>
                <w:rFonts w:hint="eastAsia" w:ascii="仿宋_GB2312" w:hAnsi="仿宋_GB2312" w:eastAsia="仿宋_GB2312" w:cs="仿宋_GB2312"/>
              </w:rPr>
              <w:t>1.满足招标文件要求且投标价格最低的投标报价为评标基准价，其投标人的报价分为最高分30分；</w:t>
            </w:r>
          </w:p>
          <w:p w14:paraId="71686D47">
            <w:pPr>
              <w:spacing w:line="440" w:lineRule="exact"/>
              <w:ind w:firstLine="420" w:firstLineChars="200"/>
              <w:jc w:val="left"/>
              <w:rPr>
                <w:rFonts w:ascii="仿宋_GB2312" w:hAnsi="仿宋_GB2312" w:eastAsia="仿宋_GB2312" w:cs="仿宋_GB2312"/>
              </w:rPr>
            </w:pPr>
            <w:r>
              <w:rPr>
                <w:rFonts w:hint="eastAsia" w:ascii="仿宋_GB2312" w:hAnsi="仿宋_GB2312" w:eastAsia="仿宋_GB2312" w:cs="仿宋_GB2312"/>
              </w:rPr>
              <w:t>2.其他投标人的报价得分按以下公式计算：</w:t>
            </w:r>
          </w:p>
          <w:p w14:paraId="44C7CBC9">
            <w:pPr>
              <w:spacing w:line="440" w:lineRule="exact"/>
              <w:ind w:firstLine="420" w:firstLineChars="200"/>
              <w:jc w:val="left"/>
              <w:rPr>
                <w:rFonts w:ascii="仿宋_GB2312" w:hAnsi="仿宋_GB2312" w:eastAsia="仿宋_GB2312" w:cs="仿宋_GB2312"/>
              </w:rPr>
            </w:pPr>
            <w:r>
              <w:rPr>
                <w:rFonts w:hint="eastAsia" w:ascii="仿宋_GB2312" w:hAnsi="仿宋_GB2312" w:eastAsia="仿宋_GB2312" w:cs="仿宋_GB2312"/>
              </w:rPr>
              <w:t>报价得分=（评标基准价／某投标人投标报价）×30分；</w:t>
            </w:r>
          </w:p>
          <w:p w14:paraId="3C8D03FA">
            <w:pPr>
              <w:spacing w:line="440" w:lineRule="exact"/>
              <w:ind w:firstLine="420" w:firstLineChars="200"/>
              <w:jc w:val="left"/>
              <w:rPr>
                <w:rFonts w:ascii="仿宋_GB2312" w:hAnsi="仿宋_GB2312" w:eastAsia="仿宋_GB2312" w:cs="仿宋_GB2312"/>
              </w:rPr>
            </w:pPr>
            <w:r>
              <w:rPr>
                <w:rFonts w:hint="eastAsia" w:ascii="仿宋_GB2312" w:hAnsi="仿宋_GB2312" w:eastAsia="仿宋_GB2312" w:cs="仿宋_GB2312"/>
              </w:rPr>
              <w:t>3.小型、微型企业价格折扣率：</w:t>
            </w:r>
          </w:p>
          <w:p w14:paraId="14D1A660">
            <w:pPr>
              <w:spacing w:line="440" w:lineRule="exact"/>
              <w:ind w:firstLine="420" w:firstLineChars="200"/>
              <w:jc w:val="left"/>
              <w:rPr>
                <w:rFonts w:ascii="仿宋_GB2312" w:hAnsi="仿宋_GB2312" w:eastAsia="仿宋_GB2312" w:cs="仿宋_GB2312"/>
                <w:b/>
              </w:rPr>
            </w:pPr>
            <w:r>
              <w:rPr>
                <w:rFonts w:hint="eastAsia" w:ascii="仿宋_GB2312" w:hAnsi="仿宋_GB2312" w:eastAsia="仿宋_GB2312" w:cs="仿宋_GB2312"/>
              </w:rPr>
              <w:t>符合《政府采购促进中小企业发展管理办法》（财库〔2020〕46号）规定条件且出具该办法规定的《中小企业声明函》的小型和微型企业参与报价，对其报价给予20%的扣除。监狱企业、残疾人福利性企业视同小微型企业，不重复享受政策。</w:t>
            </w:r>
          </w:p>
        </w:tc>
        <w:tc>
          <w:tcPr>
            <w:tcW w:w="912" w:type="dxa"/>
            <w:vAlign w:val="center"/>
          </w:tcPr>
          <w:p w14:paraId="6C72453A">
            <w:pPr>
              <w:spacing w:line="360" w:lineRule="exact"/>
              <w:jc w:val="center"/>
              <w:rPr>
                <w:rFonts w:ascii="仿宋_GB2312" w:hAnsi="仿宋_GB2312" w:eastAsia="仿宋_GB2312" w:cs="仿宋_GB2312"/>
                <w:b/>
              </w:rPr>
            </w:pPr>
            <w:r>
              <w:rPr>
                <w:rFonts w:hint="eastAsia" w:ascii="仿宋_GB2312" w:hAnsi="仿宋_GB2312" w:eastAsia="仿宋_GB2312" w:cs="仿宋_GB2312"/>
                <w:b/>
                <w:bCs/>
              </w:rPr>
              <w:t>30</w:t>
            </w:r>
          </w:p>
        </w:tc>
        <w:tc>
          <w:tcPr>
            <w:tcW w:w="1350" w:type="dxa"/>
            <w:vAlign w:val="center"/>
          </w:tcPr>
          <w:p w14:paraId="2E5B941A">
            <w:pPr>
              <w:spacing w:line="360" w:lineRule="exact"/>
              <w:jc w:val="center"/>
              <w:rPr>
                <w:rFonts w:ascii="仿宋_GB2312" w:hAnsi="仿宋_GB2312" w:eastAsia="仿宋_GB2312" w:cs="仿宋_GB2312"/>
                <w:b/>
                <w:bCs/>
              </w:rPr>
            </w:pPr>
          </w:p>
        </w:tc>
      </w:tr>
      <w:tr w14:paraId="7EBD4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vAlign w:val="center"/>
          </w:tcPr>
          <w:p w14:paraId="40A535B0">
            <w:pPr>
              <w:spacing w:line="360" w:lineRule="exact"/>
              <w:jc w:val="center"/>
              <w:rPr>
                <w:rFonts w:ascii="仿宋_GB2312" w:hAnsi="仿宋_GB2312" w:eastAsia="仿宋_GB2312" w:cs="仿宋_GB2312"/>
              </w:rPr>
            </w:pPr>
            <w:r>
              <w:rPr>
                <w:rFonts w:hint="eastAsia" w:ascii="仿宋_GB2312" w:hAnsi="仿宋_GB2312" w:eastAsia="仿宋_GB2312" w:cs="仿宋_GB2312"/>
                <w:b/>
                <w:bCs/>
              </w:rPr>
              <w:t>信誉分</w:t>
            </w:r>
          </w:p>
        </w:tc>
        <w:tc>
          <w:tcPr>
            <w:tcW w:w="1088" w:type="dxa"/>
            <w:vAlign w:val="center"/>
          </w:tcPr>
          <w:p w14:paraId="3E99F51B">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体系认证</w:t>
            </w:r>
          </w:p>
        </w:tc>
        <w:tc>
          <w:tcPr>
            <w:tcW w:w="5700" w:type="dxa"/>
            <w:vAlign w:val="center"/>
          </w:tcPr>
          <w:p w14:paraId="76CAD455">
            <w:pPr>
              <w:spacing w:line="440" w:lineRule="exact"/>
              <w:ind w:firstLine="420" w:firstLineChars="200"/>
              <w:rPr>
                <w:rFonts w:ascii="仿宋_GB2312" w:hAnsi="仿宋_GB2312" w:eastAsia="仿宋_GB2312" w:cs="仿宋_GB2312"/>
              </w:rPr>
            </w:pPr>
            <w:r>
              <w:rPr>
                <w:rFonts w:hint="eastAsia" w:ascii="仿宋_GB2312" w:hAnsi="仿宋_GB2312" w:eastAsia="仿宋_GB2312" w:cs="仿宋_GB2312"/>
              </w:rPr>
              <w:t>1.投标人或所投核心产品生产厂商具备有效的质量管理体系认证</w:t>
            </w:r>
            <w:r>
              <w:rPr>
                <w:rFonts w:hint="eastAsia" w:ascii="仿宋_GB2312" w:hAnsi="仿宋_GB2312" w:eastAsia="仿宋_GB2312" w:cs="仿宋_GB2312"/>
                <w:lang w:val="en-US" w:eastAsia="zh-CN"/>
              </w:rPr>
              <w:t>证书</w:t>
            </w:r>
            <w:r>
              <w:rPr>
                <w:rFonts w:hint="eastAsia" w:ascii="仿宋_GB2312" w:hAnsi="仿宋_GB2312" w:eastAsia="仿宋_GB2312" w:cs="仿宋_GB2312"/>
              </w:rPr>
              <w:t>得1分，满分1分；</w:t>
            </w:r>
          </w:p>
          <w:p w14:paraId="4EB69580">
            <w:pPr>
              <w:spacing w:line="440" w:lineRule="exact"/>
              <w:ind w:firstLine="420" w:firstLineChars="200"/>
              <w:rPr>
                <w:rFonts w:ascii="仿宋_GB2312" w:hAnsi="仿宋_GB2312" w:eastAsia="仿宋_GB2312" w:cs="仿宋_GB2312"/>
              </w:rPr>
            </w:pPr>
            <w:r>
              <w:rPr>
                <w:rFonts w:hint="eastAsia" w:ascii="仿宋_GB2312" w:hAnsi="仿宋_GB2312" w:eastAsia="仿宋_GB2312" w:cs="仿宋_GB2312"/>
              </w:rPr>
              <w:t>2.投标人或所投核心产品生产厂商具备有效的职业健康安全管理体系认证</w:t>
            </w:r>
            <w:r>
              <w:rPr>
                <w:rFonts w:hint="eastAsia" w:ascii="仿宋_GB2312" w:hAnsi="仿宋_GB2312" w:eastAsia="仿宋_GB2312" w:cs="仿宋_GB2312"/>
                <w:lang w:val="en-US" w:eastAsia="zh-CN"/>
              </w:rPr>
              <w:t>证书</w:t>
            </w:r>
            <w:r>
              <w:rPr>
                <w:rFonts w:hint="eastAsia" w:ascii="仿宋_GB2312" w:hAnsi="仿宋_GB2312" w:eastAsia="仿宋_GB2312" w:cs="仿宋_GB2312"/>
              </w:rPr>
              <w:t>得1分，满分1分；</w:t>
            </w:r>
          </w:p>
          <w:p w14:paraId="3D0D464E">
            <w:pPr>
              <w:spacing w:line="440" w:lineRule="exact"/>
              <w:ind w:firstLine="420" w:firstLineChars="200"/>
              <w:rPr>
                <w:rFonts w:ascii="仿宋_GB2312" w:hAnsi="仿宋_GB2312" w:eastAsia="仿宋_GB2312" w:cs="仿宋_GB2312"/>
                <w:dstrike/>
              </w:rPr>
            </w:pPr>
            <w:r>
              <w:rPr>
                <w:rFonts w:hint="eastAsia" w:ascii="仿宋_GB2312" w:hAnsi="仿宋_GB2312" w:eastAsia="仿宋_GB2312" w:cs="仿宋_GB2312"/>
              </w:rPr>
              <w:t>3.投标人或所投核心产品生产厂商具备有效的环境管理体系认证</w:t>
            </w:r>
            <w:r>
              <w:rPr>
                <w:rFonts w:hint="eastAsia" w:ascii="仿宋_GB2312" w:hAnsi="仿宋_GB2312" w:eastAsia="仿宋_GB2312" w:cs="仿宋_GB2312"/>
                <w:lang w:val="en-US" w:eastAsia="zh-CN"/>
              </w:rPr>
              <w:t>证书</w:t>
            </w:r>
            <w:r>
              <w:rPr>
                <w:rFonts w:hint="eastAsia" w:ascii="仿宋_GB2312" w:hAnsi="仿宋_GB2312" w:eastAsia="仿宋_GB2312" w:cs="仿宋_GB2312"/>
              </w:rPr>
              <w:t>得1分，满分1分；</w:t>
            </w:r>
          </w:p>
          <w:p w14:paraId="12EB569A">
            <w:pPr>
              <w:spacing w:line="440" w:lineRule="exact"/>
              <w:ind w:firstLine="422" w:firstLineChars="200"/>
              <w:rPr>
                <w:rFonts w:ascii="仿宋_GB2312" w:hAnsi="仿宋_GB2312" w:eastAsia="仿宋_GB2312" w:cs="仿宋_GB2312"/>
              </w:rPr>
            </w:pPr>
            <w:r>
              <w:rPr>
                <w:rFonts w:hint="eastAsia" w:ascii="仿宋_GB2312" w:hAnsi="仿宋_GB2312" w:eastAsia="仿宋_GB2312" w:cs="仿宋_GB2312"/>
                <w:b/>
              </w:rPr>
              <w:t>注：投标人提供证书材料并加盖投标人CA电子签章，否则不予计分。</w:t>
            </w:r>
          </w:p>
        </w:tc>
        <w:tc>
          <w:tcPr>
            <w:tcW w:w="912" w:type="dxa"/>
            <w:vAlign w:val="center"/>
          </w:tcPr>
          <w:p w14:paraId="24913BA5">
            <w:pPr>
              <w:spacing w:line="360" w:lineRule="exact"/>
              <w:jc w:val="center"/>
              <w:rPr>
                <w:rFonts w:ascii="仿宋_GB2312" w:hAnsi="仿宋_GB2312" w:eastAsia="仿宋_GB2312" w:cs="仿宋_GB2312"/>
                <w:b/>
                <w:bCs/>
                <w:dstrike/>
              </w:rPr>
            </w:pPr>
            <w:r>
              <w:rPr>
                <w:rFonts w:hint="eastAsia" w:ascii="仿宋_GB2312" w:hAnsi="仿宋_GB2312" w:eastAsia="仿宋_GB2312" w:cs="仿宋_GB2312"/>
                <w:b/>
                <w:bCs/>
              </w:rPr>
              <w:t>3</w:t>
            </w:r>
          </w:p>
        </w:tc>
        <w:tc>
          <w:tcPr>
            <w:tcW w:w="1350" w:type="dxa"/>
            <w:vAlign w:val="center"/>
          </w:tcPr>
          <w:p w14:paraId="7BA9C279">
            <w:pPr>
              <w:spacing w:line="360" w:lineRule="exact"/>
              <w:jc w:val="center"/>
              <w:rPr>
                <w:rFonts w:ascii="仿宋_GB2312" w:hAnsi="仿宋_GB2312" w:eastAsia="仿宋_GB2312" w:cs="仿宋_GB2312"/>
                <w:b/>
                <w:bCs/>
              </w:rPr>
            </w:pPr>
            <w:r>
              <w:rPr>
                <w:rFonts w:hint="eastAsia" w:ascii="仿宋_GB2312" w:hAnsi="仿宋_GB2312" w:eastAsia="仿宋_GB2312" w:cs="仿宋_GB2312"/>
              </w:rPr>
              <w:t>相关认证证书材料</w:t>
            </w:r>
          </w:p>
        </w:tc>
      </w:tr>
      <w:tr w14:paraId="777D2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vAlign w:val="center"/>
          </w:tcPr>
          <w:p w14:paraId="048614CD">
            <w:pPr>
              <w:spacing w:line="360" w:lineRule="exact"/>
              <w:jc w:val="center"/>
              <w:rPr>
                <w:rFonts w:ascii="仿宋_GB2312" w:hAnsi="宋体" w:eastAsia="仿宋_GB2312"/>
                <w:b/>
              </w:rPr>
            </w:pPr>
            <w:r>
              <w:rPr>
                <w:rFonts w:hint="eastAsia" w:ascii="仿宋_GB2312" w:hAnsi="宋体" w:eastAsia="仿宋_GB2312"/>
                <w:b/>
              </w:rPr>
              <w:t>政策功能分</w:t>
            </w:r>
          </w:p>
        </w:tc>
        <w:tc>
          <w:tcPr>
            <w:tcW w:w="1088" w:type="dxa"/>
            <w:vAlign w:val="center"/>
          </w:tcPr>
          <w:p w14:paraId="64695E05">
            <w:pPr>
              <w:widowControl/>
              <w:spacing w:line="360" w:lineRule="exact"/>
              <w:jc w:val="center"/>
              <w:rPr>
                <w:rFonts w:ascii="仿宋_GB2312" w:hAnsi="仿宋_GB2312" w:eastAsia="仿宋_GB2312" w:cs="仿宋_GB2312"/>
                <w:b/>
                <w:bCs/>
              </w:rPr>
            </w:pPr>
            <w:r>
              <w:rPr>
                <w:rFonts w:hint="eastAsia" w:ascii="仿宋_GB2312" w:hAnsi="宋体" w:eastAsia="仿宋_GB2312"/>
                <w:b/>
              </w:rPr>
              <w:t>政策功能</w:t>
            </w:r>
          </w:p>
        </w:tc>
        <w:tc>
          <w:tcPr>
            <w:tcW w:w="5700" w:type="dxa"/>
            <w:vAlign w:val="center"/>
          </w:tcPr>
          <w:p w14:paraId="6D490FD6">
            <w:pPr>
              <w:spacing w:line="420" w:lineRule="exact"/>
              <w:ind w:firstLine="420" w:firstLineChars="200"/>
              <w:rPr>
                <w:rFonts w:ascii="仿宋_GB2312" w:hAnsi="仿宋_GB2312" w:eastAsia="仿宋_GB2312" w:cs="仿宋_GB2312"/>
                <w:b/>
              </w:rPr>
            </w:pPr>
            <w:r>
              <w:rPr>
                <w:rFonts w:hint="eastAsia" w:ascii="仿宋_GB2312" w:hAnsi="仿宋_GB2312" w:eastAsia="仿宋_GB2312" w:cs="仿宋_GB2312"/>
                <w:szCs w:val="21"/>
              </w:rPr>
              <w:t>若采购货物属于财政部 生态环境部《关于印发环境标志产品政府采购品目清单的通知》中环境标志产品政府采购品目清单范围的，提供投标产品由国家确定的认证机构出具的、处于有效期之内的环境标志产品认证证书材料并加盖投标人CA电子签章，每有一项产品得1分，满分1分。</w:t>
            </w:r>
          </w:p>
        </w:tc>
        <w:tc>
          <w:tcPr>
            <w:tcW w:w="912" w:type="dxa"/>
            <w:vAlign w:val="center"/>
          </w:tcPr>
          <w:p w14:paraId="2A96D4F2">
            <w:pPr>
              <w:spacing w:line="360" w:lineRule="exact"/>
              <w:jc w:val="center"/>
              <w:rPr>
                <w:rFonts w:hint="eastAsia" w:ascii="仿宋_GB2312" w:eastAsia="仿宋_GB2312"/>
                <w:b/>
                <w:bCs/>
                <w:lang w:eastAsia="zh-CN"/>
              </w:rPr>
            </w:pPr>
            <w:r>
              <w:rPr>
                <w:rFonts w:hint="eastAsia" w:ascii="仿宋_GB2312" w:hAnsi="仿宋_GB2312" w:eastAsia="仿宋_GB2312" w:cs="仿宋_GB2312"/>
                <w:b/>
                <w:bCs/>
                <w:lang w:val="en-US" w:eastAsia="zh-CN"/>
              </w:rPr>
              <w:t>1</w:t>
            </w:r>
          </w:p>
        </w:tc>
        <w:tc>
          <w:tcPr>
            <w:tcW w:w="1350" w:type="dxa"/>
            <w:vAlign w:val="center"/>
          </w:tcPr>
          <w:p w14:paraId="7D93E671">
            <w:pPr>
              <w:spacing w:line="360" w:lineRule="exact"/>
              <w:jc w:val="center"/>
              <w:rPr>
                <w:rFonts w:ascii="仿宋_GB2312" w:hAnsi="仿宋_GB2312" w:eastAsia="仿宋_GB2312" w:cs="仿宋_GB2312"/>
              </w:rPr>
            </w:pPr>
            <w:r>
              <w:rPr>
                <w:rFonts w:hint="eastAsia" w:ascii="仿宋_GB2312" w:hAnsi="仿宋_GB2312" w:eastAsia="仿宋_GB2312" w:cs="仿宋_GB2312"/>
              </w:rPr>
              <w:t>相关证明材料</w:t>
            </w:r>
          </w:p>
        </w:tc>
      </w:tr>
      <w:tr w14:paraId="46D9B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vMerge w:val="restart"/>
            <w:vAlign w:val="center"/>
          </w:tcPr>
          <w:p w14:paraId="0981B973">
            <w:pPr>
              <w:spacing w:line="360" w:lineRule="exact"/>
              <w:jc w:val="center"/>
              <w:rPr>
                <w:rFonts w:ascii="仿宋_GB2312" w:hAnsi="仿宋_GB2312" w:eastAsia="仿宋_GB2312" w:cs="仿宋_GB2312"/>
                <w:b/>
                <w:bCs/>
              </w:rPr>
            </w:pPr>
            <w:r>
              <w:rPr>
                <w:rFonts w:hint="eastAsia" w:ascii="仿宋_GB2312" w:hAnsi="仿宋_GB2312" w:eastAsia="仿宋_GB2312" w:cs="仿宋_GB2312"/>
                <w:b/>
                <w:bCs/>
              </w:rPr>
              <w:t>技术参数分</w:t>
            </w:r>
          </w:p>
        </w:tc>
        <w:tc>
          <w:tcPr>
            <w:tcW w:w="1088" w:type="dxa"/>
            <w:vAlign w:val="center"/>
          </w:tcPr>
          <w:p w14:paraId="3E5FE0FA">
            <w:pPr>
              <w:widowControl/>
              <w:spacing w:line="360" w:lineRule="exact"/>
              <w:jc w:val="center"/>
              <w:rPr>
                <w:rFonts w:ascii="仿宋_GB2312" w:hAnsi="宋体" w:eastAsia="仿宋_GB2312"/>
                <w:b/>
              </w:rPr>
            </w:pPr>
            <w:r>
              <w:rPr>
                <w:rFonts w:hint="eastAsia" w:ascii="仿宋_GB2312" w:hAnsi="宋体" w:eastAsia="仿宋_GB2312"/>
                <w:b/>
              </w:rPr>
              <w:t>实质性参数</w:t>
            </w:r>
          </w:p>
        </w:tc>
        <w:tc>
          <w:tcPr>
            <w:tcW w:w="5700" w:type="dxa"/>
            <w:vAlign w:val="center"/>
          </w:tcPr>
          <w:p w14:paraId="246EE56B">
            <w:pPr>
              <w:pStyle w:val="296"/>
              <w:spacing w:line="360" w:lineRule="auto"/>
              <w:ind w:firstLine="420" w:firstLineChars="200"/>
              <w:rPr>
                <w:rFonts w:hAnsi="仿宋_GB2312" w:cs="仿宋_GB2312"/>
                <w:szCs w:val="21"/>
              </w:rPr>
            </w:pPr>
          </w:p>
          <w:p w14:paraId="71BFC088">
            <w:pPr>
              <w:pStyle w:val="296"/>
              <w:spacing w:line="360" w:lineRule="auto"/>
              <w:ind w:firstLine="420" w:firstLineChars="200"/>
              <w:rPr>
                <w:rFonts w:hAnsi="仿宋_GB2312" w:cs="仿宋_GB2312"/>
                <w:szCs w:val="21"/>
              </w:rPr>
            </w:pPr>
            <w:r>
              <w:rPr>
                <w:rFonts w:hint="eastAsia" w:hAnsi="仿宋_GB2312" w:cs="仿宋_GB2312"/>
                <w:szCs w:val="21"/>
              </w:rPr>
              <w:t>所投产品标记“★”的技术参数带下划线“</w:t>
            </w:r>
            <w:r>
              <w:rPr>
                <w:rFonts w:hint="eastAsia" w:hAnsi="仿宋_GB2312" w:cs="仿宋_GB2312"/>
                <w:szCs w:val="21"/>
                <w:u w:val="single"/>
                <w:lang w:val="en-US" w:eastAsia="zh-CN"/>
              </w:rPr>
              <w:t xml:space="preserve">  </w:t>
            </w:r>
            <w:r>
              <w:rPr>
                <w:rFonts w:hint="eastAsia" w:hAnsi="仿宋_GB2312" w:cs="仿宋_GB2312"/>
                <w:szCs w:val="21"/>
              </w:rPr>
              <w:t>”的内容优于采购需求的，每有一项提供证明材料得</w:t>
            </w:r>
            <w:r>
              <w:rPr>
                <w:rFonts w:hint="eastAsia" w:hAnsi="仿宋_GB2312" w:cs="仿宋_GB2312"/>
                <w:szCs w:val="21"/>
                <w:lang w:val="en-US" w:eastAsia="zh-CN"/>
              </w:rPr>
              <w:t>3</w:t>
            </w:r>
            <w:r>
              <w:rPr>
                <w:rFonts w:hint="eastAsia" w:hAnsi="仿宋_GB2312" w:cs="仿宋_GB2312"/>
                <w:szCs w:val="21"/>
              </w:rPr>
              <w:t>分，满分</w:t>
            </w:r>
            <w:r>
              <w:rPr>
                <w:rFonts w:hint="eastAsia" w:hAnsi="仿宋_GB2312" w:cs="仿宋_GB2312"/>
                <w:szCs w:val="21"/>
                <w:lang w:val="en-US" w:eastAsia="zh-CN"/>
              </w:rPr>
              <w:t>15</w:t>
            </w:r>
            <w:r>
              <w:rPr>
                <w:rFonts w:hint="eastAsia" w:hAnsi="仿宋_GB2312" w:cs="仿宋_GB2312"/>
                <w:szCs w:val="21"/>
              </w:rPr>
              <w:t>分。</w:t>
            </w:r>
          </w:p>
          <w:p w14:paraId="2D7D55C4">
            <w:pPr>
              <w:spacing w:line="360" w:lineRule="auto"/>
              <w:ind w:firstLine="422" w:firstLineChars="200"/>
              <w:rPr>
                <w:szCs w:val="21"/>
              </w:rPr>
            </w:pPr>
            <w:r>
              <w:rPr>
                <w:rFonts w:hint="eastAsia" w:ascii="仿宋_GB2312" w:hAnsi="仿宋_GB2312" w:eastAsia="仿宋_GB2312" w:cs="仿宋_GB2312"/>
                <w:b/>
                <w:bCs/>
                <w:szCs w:val="21"/>
              </w:rPr>
              <w:t>注：1.投标人提供标记“★”的技术参数带下划线“</w:t>
            </w:r>
            <w:r>
              <w:rPr>
                <w:rFonts w:hint="eastAsia" w:ascii="仿宋_GB2312" w:hAnsi="仿宋_GB2312" w:eastAsia="仿宋_GB2312" w:cs="仿宋_GB2312"/>
                <w:b/>
                <w:bCs/>
                <w:szCs w:val="21"/>
                <w:u w:val="single"/>
              </w:rPr>
              <w:t xml:space="preserve">    </w:t>
            </w:r>
            <w:r>
              <w:rPr>
                <w:rFonts w:hint="eastAsia" w:ascii="仿宋_GB2312" w:hAnsi="仿宋_GB2312" w:eastAsia="仿宋_GB2312" w:cs="仿宋_GB2312"/>
                <w:b/>
                <w:bCs/>
                <w:szCs w:val="21"/>
              </w:rPr>
              <w:t>”的</w:t>
            </w:r>
            <w:r>
              <w:rPr>
                <w:rFonts w:hint="eastAsia" w:ascii="仿宋_GB2312" w:hAnsi="仿宋_GB2312" w:eastAsia="仿宋_GB2312" w:cs="仿宋_GB2312"/>
                <w:b/>
                <w:bCs/>
                <w:szCs w:val="21"/>
                <w:lang w:eastAsia="zh-CN"/>
              </w:rPr>
              <w:t>内容</w:t>
            </w:r>
            <w:r>
              <w:rPr>
                <w:rFonts w:hint="eastAsia" w:ascii="仿宋_GB2312" w:hAnsi="仿宋_GB2312" w:eastAsia="仿宋_GB2312" w:cs="仿宋_GB2312"/>
                <w:b/>
                <w:bCs/>
                <w:szCs w:val="21"/>
              </w:rPr>
              <w:t>具有CMA或CNAS标识的检测</w:t>
            </w:r>
            <w:r>
              <w:rPr>
                <w:rFonts w:hint="eastAsia" w:ascii="仿宋_GB2312" w:hAnsi="仿宋_GB2312" w:eastAsia="仿宋_GB2312" w:cs="仿宋_GB2312"/>
                <w:b/>
                <w:bCs/>
                <w:szCs w:val="21"/>
                <w:lang w:eastAsia="zh-CN"/>
              </w:rPr>
              <w:t>（检验）</w:t>
            </w:r>
            <w:r>
              <w:rPr>
                <w:rFonts w:hint="eastAsia" w:ascii="仿宋_GB2312" w:hAnsi="仿宋_GB2312" w:eastAsia="仿宋_GB2312" w:cs="仿宋_GB2312"/>
                <w:b/>
                <w:bCs/>
                <w:szCs w:val="21"/>
              </w:rPr>
              <w:t>报告或</w:t>
            </w:r>
            <w:r>
              <w:rPr>
                <w:rFonts w:hint="eastAsia" w:ascii="仿宋_GB2312" w:hAnsi="仿宋_GB2312" w:eastAsia="仿宋_GB2312" w:cs="仿宋_GB2312"/>
                <w:b/>
                <w:bCs/>
                <w:szCs w:val="21"/>
                <w:lang w:eastAsia="zh-CN"/>
              </w:rPr>
              <w:t>提供</w:t>
            </w:r>
            <w:r>
              <w:rPr>
                <w:rFonts w:hint="eastAsia" w:ascii="仿宋_GB2312" w:hAnsi="仿宋_GB2312" w:eastAsia="仿宋_GB2312" w:cs="仿宋_GB2312"/>
                <w:b/>
                <w:bCs/>
                <w:szCs w:val="21"/>
              </w:rPr>
              <w:t>其它证明材料（可以是彩页、官网或功能截图等其中任意一项）加盖投标人CA电子签章，否则不计分。</w:t>
            </w:r>
          </w:p>
          <w:p w14:paraId="75A791B2">
            <w:pPr>
              <w:pStyle w:val="296"/>
              <w:spacing w:line="360" w:lineRule="auto"/>
              <w:ind w:firstLine="422" w:firstLineChars="200"/>
              <w:rPr>
                <w:rFonts w:hAnsi="仿宋_GB2312" w:cs="仿宋_GB2312"/>
                <w:b/>
                <w:bCs/>
                <w:szCs w:val="21"/>
              </w:rPr>
            </w:pPr>
            <w:r>
              <w:rPr>
                <w:rFonts w:hint="eastAsia" w:hAnsi="仿宋_GB2312" w:cs="仿宋_GB2312"/>
                <w:b/>
                <w:bCs/>
                <w:szCs w:val="21"/>
              </w:rPr>
              <w:t>2.标记“★”的技术参数为一项，证明材料体现优于带下划线“</w:t>
            </w:r>
            <w:r>
              <w:rPr>
                <w:rFonts w:hint="eastAsia" w:hAnsi="仿宋_GB2312" w:cs="仿宋_GB2312"/>
                <w:szCs w:val="21"/>
                <w:u w:val="thick"/>
              </w:rPr>
              <w:t xml:space="preserve">   </w:t>
            </w:r>
            <w:r>
              <w:rPr>
                <w:rFonts w:hint="eastAsia" w:hAnsi="仿宋_GB2312" w:cs="仿宋_GB2312"/>
                <w:b/>
                <w:bCs/>
                <w:szCs w:val="21"/>
              </w:rPr>
              <w:t>”的内容的参数即可加分；</w:t>
            </w:r>
          </w:p>
          <w:p w14:paraId="528D8C45">
            <w:pPr>
              <w:spacing w:line="420" w:lineRule="exact"/>
              <w:ind w:firstLine="422" w:firstLineChars="200"/>
              <w:rPr>
                <w:rFonts w:ascii="仿宋_GB2312" w:hAnsi="仿宋_GB2312" w:eastAsia="仿宋_GB2312" w:cs="仿宋_GB2312"/>
              </w:rPr>
            </w:pPr>
            <w:r>
              <w:rPr>
                <w:rFonts w:hint="eastAsia" w:ascii="仿宋_GB2312" w:hAnsi="仿宋_GB2312" w:eastAsia="仿宋_GB2312" w:cs="仿宋_GB2312"/>
                <w:b/>
                <w:bCs/>
                <w:szCs w:val="21"/>
              </w:rPr>
              <w:t>3.其中参数条款中≥XX的技术参数，投标人响应的参数仅等于XX的为无偏离，&gt;XX为正偏离（优于）；≤XX的技术参数，投标人响应的参数仅等于XX的为无偏离，＜XX为正偏离（优于）。</w:t>
            </w:r>
          </w:p>
        </w:tc>
        <w:tc>
          <w:tcPr>
            <w:tcW w:w="912" w:type="dxa"/>
            <w:vAlign w:val="center"/>
          </w:tcPr>
          <w:p w14:paraId="22C2233E">
            <w:pPr>
              <w:spacing w:line="360" w:lineRule="exact"/>
              <w:jc w:val="center"/>
              <w:rPr>
                <w:rFonts w:hint="default"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15</w:t>
            </w:r>
          </w:p>
        </w:tc>
        <w:tc>
          <w:tcPr>
            <w:tcW w:w="1350" w:type="dxa"/>
            <w:vAlign w:val="center"/>
          </w:tcPr>
          <w:p w14:paraId="79E67238">
            <w:pPr>
              <w:spacing w:line="360" w:lineRule="exact"/>
              <w:jc w:val="center"/>
              <w:rPr>
                <w:rFonts w:ascii="仿宋_GB2312" w:hAnsi="仿宋_GB2312" w:eastAsia="仿宋_GB2312" w:cs="仿宋_GB2312"/>
              </w:rPr>
            </w:pPr>
            <w:r>
              <w:rPr>
                <w:rFonts w:hint="eastAsia" w:ascii="仿宋_GB2312" w:hAnsi="仿宋_GB2312" w:eastAsia="仿宋_GB2312" w:cs="仿宋_GB2312"/>
              </w:rPr>
              <w:t>技术响应表及相关证明材料</w:t>
            </w:r>
          </w:p>
        </w:tc>
      </w:tr>
      <w:tr w14:paraId="71BC6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0" w:type="dxa"/>
            <w:vMerge w:val="continue"/>
            <w:vAlign w:val="center"/>
          </w:tcPr>
          <w:p w14:paraId="1C08EC54">
            <w:pPr>
              <w:spacing w:line="360" w:lineRule="exact"/>
              <w:jc w:val="center"/>
              <w:rPr>
                <w:rFonts w:ascii="仿宋_GB2312" w:hAnsi="仿宋_GB2312" w:eastAsia="仿宋_GB2312" w:cs="仿宋_GB2312"/>
                <w:b/>
                <w:bCs/>
              </w:rPr>
            </w:pPr>
          </w:p>
        </w:tc>
        <w:tc>
          <w:tcPr>
            <w:tcW w:w="1088" w:type="dxa"/>
            <w:vAlign w:val="center"/>
          </w:tcPr>
          <w:p w14:paraId="0EA0FF94">
            <w:pPr>
              <w:spacing w:line="360" w:lineRule="exact"/>
              <w:jc w:val="center"/>
              <w:rPr>
                <w:rFonts w:ascii="仿宋_GB2312" w:hAnsi="仿宋_GB2312" w:eastAsia="仿宋_GB2312" w:cs="仿宋_GB2312"/>
                <w:b/>
                <w:bCs/>
              </w:rPr>
            </w:pPr>
            <w:r>
              <w:rPr>
                <w:rFonts w:hint="eastAsia" w:ascii="仿宋_GB2312" w:hAnsi="仿宋_GB2312" w:eastAsia="仿宋_GB2312" w:cs="仿宋_GB2312"/>
                <w:b/>
                <w:bCs/>
              </w:rPr>
              <w:t>技术参数</w:t>
            </w:r>
          </w:p>
        </w:tc>
        <w:tc>
          <w:tcPr>
            <w:tcW w:w="5700" w:type="dxa"/>
            <w:vAlign w:val="center"/>
          </w:tcPr>
          <w:p w14:paraId="0D3C2766">
            <w:pPr>
              <w:spacing w:line="460" w:lineRule="exact"/>
              <w:ind w:firstLine="420" w:firstLineChars="200"/>
              <w:rPr>
                <w:rFonts w:ascii="仿宋_GB2312" w:hAnsi="仿宋_GB2312" w:eastAsia="仿宋_GB2312" w:cs="仿宋_GB2312"/>
              </w:rPr>
            </w:pPr>
            <w:r>
              <w:rPr>
                <w:rFonts w:hint="eastAsia" w:ascii="仿宋_GB2312" w:hAnsi="仿宋_GB2312" w:eastAsia="仿宋_GB2312" w:cs="仿宋_GB2312"/>
                <w:szCs w:val="21"/>
              </w:rPr>
              <w:t>所投产品标记“◆”的技术参数带下划线“</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u w:val="single"/>
                <w:lang w:val="en-US" w:eastAsia="zh-CN"/>
              </w:rPr>
              <w:t xml:space="preserve">   </w:t>
            </w:r>
            <w:r>
              <w:rPr>
                <w:rFonts w:hint="eastAsia" w:ascii="仿宋_GB2312" w:hAnsi="仿宋_GB2312" w:eastAsia="仿宋_GB2312" w:cs="仿宋_GB2312"/>
                <w:szCs w:val="21"/>
              </w:rPr>
              <w:t>”的内容承诺优于采购需求的，每有一项得</w:t>
            </w:r>
            <w:r>
              <w:rPr>
                <w:rFonts w:hint="eastAsia" w:ascii="仿宋_GB2312" w:hAnsi="仿宋_GB2312" w:eastAsia="仿宋_GB2312" w:cs="仿宋_GB2312"/>
                <w:bCs/>
                <w:szCs w:val="21"/>
                <w:lang w:val="en-US" w:eastAsia="zh-CN"/>
              </w:rPr>
              <w:t>2</w:t>
            </w:r>
            <w:r>
              <w:rPr>
                <w:rFonts w:ascii="仿宋_GB2312" w:hAnsi="仿宋_GB2312" w:eastAsia="仿宋_GB2312" w:cs="仿宋_GB2312"/>
                <w:bCs/>
                <w:szCs w:val="21"/>
              </w:rPr>
              <w:t>分</w:t>
            </w:r>
            <w:r>
              <w:rPr>
                <w:rFonts w:hint="eastAsia" w:ascii="仿宋_GB2312" w:hAnsi="仿宋_GB2312" w:eastAsia="仿宋_GB2312" w:cs="仿宋_GB2312"/>
                <w:szCs w:val="21"/>
              </w:rPr>
              <w:t>，满分</w:t>
            </w:r>
            <w:r>
              <w:rPr>
                <w:rFonts w:hint="eastAsia" w:ascii="仿宋_GB2312" w:hAnsi="仿宋_GB2312" w:eastAsia="仿宋_GB2312" w:cs="仿宋_GB2312"/>
                <w:bCs/>
                <w:szCs w:val="21"/>
                <w:lang w:val="en-US" w:eastAsia="zh-CN"/>
              </w:rPr>
              <w:t>10</w:t>
            </w:r>
            <w:r>
              <w:rPr>
                <w:rFonts w:hint="eastAsia" w:ascii="仿宋_GB2312" w:hAnsi="仿宋_GB2312" w:eastAsia="仿宋_GB2312" w:cs="仿宋_GB2312"/>
                <w:bCs/>
                <w:szCs w:val="21"/>
              </w:rPr>
              <w:t>分</w:t>
            </w:r>
            <w:r>
              <w:rPr>
                <w:rFonts w:hint="eastAsia" w:ascii="仿宋_GB2312" w:hAnsi="仿宋_GB2312" w:eastAsia="仿宋_GB2312" w:cs="仿宋_GB2312"/>
              </w:rPr>
              <w:t>。</w:t>
            </w:r>
            <w:r>
              <w:rPr>
                <w:rFonts w:ascii="仿宋_GB2312" w:hAnsi="仿宋_GB2312" w:eastAsia="仿宋_GB2312" w:cs="仿宋_GB2312"/>
              </w:rPr>
              <w:t xml:space="preserve">     </w:t>
            </w:r>
          </w:p>
          <w:p w14:paraId="50723A89">
            <w:pPr>
              <w:spacing w:line="460" w:lineRule="exact"/>
              <w:ind w:firstLine="422" w:firstLineChars="200"/>
              <w:rPr>
                <w:rFonts w:ascii="仿宋_GB2312" w:hAnsi="仿宋_GB2312" w:eastAsia="仿宋_GB2312" w:cs="仿宋_GB2312"/>
                <w:b/>
                <w:bCs/>
              </w:rPr>
            </w:pPr>
            <w:r>
              <w:rPr>
                <w:rFonts w:hint="eastAsia" w:ascii="仿宋_GB2312" w:hAnsi="仿宋_GB2312" w:eastAsia="仿宋_GB2312" w:cs="仿宋_GB2312"/>
                <w:b/>
                <w:bCs/>
              </w:rPr>
              <w:t>注：1.</w:t>
            </w:r>
            <w:r>
              <w:rPr>
                <w:rFonts w:ascii="仿宋_GB2312" w:hAnsi="仿宋_GB2312" w:eastAsia="仿宋_GB2312" w:cs="仿宋_GB2312"/>
                <w:b/>
                <w:bCs/>
              </w:rPr>
              <w:t>标记“◆”的技术参数为一项</w:t>
            </w:r>
            <w:r>
              <w:rPr>
                <w:rFonts w:hint="eastAsia" w:ascii="仿宋_GB2312" w:hAnsi="仿宋_GB2312" w:eastAsia="仿宋_GB2312" w:cs="仿宋_GB2312"/>
                <w:b/>
                <w:bCs/>
              </w:rPr>
              <w:t>，</w:t>
            </w:r>
            <w:r>
              <w:rPr>
                <w:rFonts w:ascii="仿宋_GB2312" w:hAnsi="仿宋_GB2312" w:eastAsia="仿宋_GB2312" w:cs="仿宋_GB2312"/>
                <w:b/>
                <w:bCs/>
              </w:rPr>
              <w:t>承诺优于带下划线“</w:t>
            </w:r>
            <w:r>
              <w:rPr>
                <w:rFonts w:hint="eastAsia" w:ascii="仿宋_GB2312" w:hAnsi="仿宋_GB2312" w:eastAsia="仿宋_GB2312" w:cs="仿宋_GB2312"/>
                <w:szCs w:val="21"/>
                <w:u w:val="thick"/>
              </w:rPr>
              <w:t xml:space="preserve">    </w:t>
            </w:r>
            <w:r>
              <w:rPr>
                <w:rFonts w:ascii="仿宋_GB2312" w:hAnsi="仿宋_GB2312" w:eastAsia="仿宋_GB2312" w:cs="仿宋_GB2312"/>
                <w:b/>
                <w:bCs/>
              </w:rPr>
              <w:t>”的内容的参数即可加分；</w:t>
            </w:r>
          </w:p>
          <w:p w14:paraId="4C90BABC">
            <w:pPr>
              <w:spacing w:line="460" w:lineRule="exact"/>
              <w:ind w:firstLine="422" w:firstLineChars="200"/>
              <w:rPr>
                <w:rFonts w:ascii="仿宋_GB2312" w:hAnsi="仿宋_GB2312" w:eastAsia="仿宋_GB2312" w:cs="仿宋_GB2312"/>
                <w:b/>
                <w:bCs/>
                <w:szCs w:val="21"/>
              </w:rPr>
            </w:pPr>
            <w:r>
              <w:rPr>
                <w:rFonts w:hint="eastAsia" w:ascii="仿宋_GB2312" w:hAnsi="仿宋_GB2312" w:eastAsia="仿宋_GB2312" w:cs="仿宋_GB2312"/>
                <w:b/>
                <w:bCs/>
                <w:szCs w:val="21"/>
              </w:rPr>
              <w:t>2.参数条款中有≥XX的技术参数，投标人响应的参数仅等于XX的为无偏离，&gt;XX正偏离（优于）。</w:t>
            </w:r>
          </w:p>
          <w:p w14:paraId="153D1B02">
            <w:pPr>
              <w:spacing w:line="460" w:lineRule="exact"/>
              <w:ind w:firstLine="422" w:firstLineChars="200"/>
              <w:rPr>
                <w:rFonts w:ascii="仿宋_GB2312" w:hAnsi="仿宋_GB2312" w:eastAsia="仿宋_GB2312" w:cs="仿宋_GB2312"/>
                <w:b/>
                <w:bCs/>
              </w:rPr>
            </w:pPr>
            <w:r>
              <w:rPr>
                <w:rFonts w:hint="eastAsia" w:ascii="仿宋_GB2312" w:hAnsi="仿宋_GB2312" w:eastAsia="仿宋_GB2312" w:cs="仿宋_GB2312"/>
                <w:b/>
                <w:bCs/>
                <w:szCs w:val="21"/>
              </w:rPr>
              <w:t>3.参数条款中有≤XX的技术参数，投标人响应的参数仅等于XX的为无偏离，＜XX为正偏离（优于）。</w:t>
            </w:r>
          </w:p>
        </w:tc>
        <w:tc>
          <w:tcPr>
            <w:tcW w:w="912" w:type="dxa"/>
            <w:vAlign w:val="center"/>
          </w:tcPr>
          <w:p w14:paraId="6A4C9048">
            <w:pPr>
              <w:spacing w:line="360" w:lineRule="exact"/>
              <w:jc w:val="center"/>
              <w:rPr>
                <w:rFonts w:hint="default"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10</w:t>
            </w:r>
          </w:p>
        </w:tc>
        <w:tc>
          <w:tcPr>
            <w:tcW w:w="1350" w:type="dxa"/>
            <w:vAlign w:val="center"/>
          </w:tcPr>
          <w:p w14:paraId="00BBAF45">
            <w:pPr>
              <w:spacing w:line="360" w:lineRule="exact"/>
              <w:jc w:val="center"/>
              <w:rPr>
                <w:rFonts w:ascii="仿宋_GB2312" w:hAnsi="仿宋_GB2312" w:eastAsia="仿宋_GB2312" w:cs="仿宋_GB2312"/>
                <w:b/>
                <w:bCs/>
              </w:rPr>
            </w:pPr>
            <w:r>
              <w:rPr>
                <w:rFonts w:hint="eastAsia" w:ascii="仿宋_GB2312" w:hAnsi="仿宋_GB2312" w:eastAsia="仿宋_GB2312" w:cs="仿宋_GB2312"/>
              </w:rPr>
              <w:t>技术响应表</w:t>
            </w:r>
          </w:p>
        </w:tc>
      </w:tr>
      <w:tr w14:paraId="59D21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738" w:type="dxa"/>
            <w:gridSpan w:val="3"/>
            <w:vAlign w:val="center"/>
          </w:tcPr>
          <w:p w14:paraId="38AB2493">
            <w:pPr>
              <w:pStyle w:val="298"/>
              <w:tabs>
                <w:tab w:val="left" w:pos="312"/>
              </w:tabs>
              <w:spacing w:line="400" w:lineRule="exact"/>
              <w:ind w:firstLine="422" w:firstLineChars="200"/>
              <w:jc w:val="center"/>
              <w:rPr>
                <w:rFonts w:ascii="仿宋_GB2312" w:hAnsi="仿宋_GB2312" w:eastAsia="仿宋_GB2312" w:cs="仿宋_GB2312"/>
                <w:szCs w:val="24"/>
              </w:rPr>
            </w:pPr>
            <w:r>
              <w:rPr>
                <w:rFonts w:hint="eastAsia" w:ascii="仿宋_GB2312" w:hAnsi="宋体" w:eastAsia="仿宋_GB2312"/>
                <w:b/>
                <w:bCs/>
              </w:rPr>
              <w:t>客观分总分</w:t>
            </w:r>
          </w:p>
        </w:tc>
        <w:tc>
          <w:tcPr>
            <w:tcW w:w="912" w:type="dxa"/>
            <w:vAlign w:val="center"/>
          </w:tcPr>
          <w:p w14:paraId="6535ED42">
            <w:pPr>
              <w:spacing w:line="360" w:lineRule="exact"/>
              <w:jc w:val="center"/>
              <w:rPr>
                <w:rFonts w:hint="default"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59</w:t>
            </w:r>
          </w:p>
        </w:tc>
        <w:tc>
          <w:tcPr>
            <w:tcW w:w="1350" w:type="dxa"/>
            <w:vAlign w:val="center"/>
          </w:tcPr>
          <w:p w14:paraId="773D5CF3">
            <w:pPr>
              <w:spacing w:line="360" w:lineRule="exact"/>
              <w:jc w:val="center"/>
              <w:rPr>
                <w:rFonts w:ascii="仿宋_GB2312" w:hAnsi="仿宋_GB2312" w:eastAsia="仿宋_GB2312" w:cs="仿宋_GB2312"/>
              </w:rPr>
            </w:pPr>
          </w:p>
        </w:tc>
      </w:tr>
    </w:tbl>
    <w:p w14:paraId="20F16D44">
      <w:pPr>
        <w:pStyle w:val="300"/>
        <w:rPr>
          <w:rFonts w:ascii="仿宋_GB2312" w:eastAsia="仿宋_GB2312"/>
          <w:sz w:val="24"/>
        </w:rPr>
      </w:pPr>
    </w:p>
    <w:tbl>
      <w:tblPr>
        <w:tblStyle w:val="295"/>
        <w:tblpPr w:leftFromText="180" w:rightFromText="180" w:vertAnchor="text" w:horzAnchor="page" w:tblpX="661" w:tblpY="1"/>
        <w:tblOverlap w:val="never"/>
        <w:tblW w:w="101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090"/>
        <w:gridCol w:w="5859"/>
        <w:gridCol w:w="967"/>
        <w:gridCol w:w="1368"/>
      </w:tblGrid>
      <w:tr w14:paraId="0DFE2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0133" w:type="dxa"/>
            <w:gridSpan w:val="5"/>
            <w:shd w:val="clear" w:color="auto" w:fill="D7D7D7"/>
            <w:vAlign w:val="center"/>
          </w:tcPr>
          <w:p w14:paraId="20362F46">
            <w:pPr>
              <w:spacing w:line="400" w:lineRule="exact"/>
              <w:jc w:val="center"/>
              <w:rPr>
                <w:rFonts w:ascii="仿宋_GB2312" w:hAnsi="仿宋_GB2312" w:eastAsia="仿宋_GB2312" w:cs="仿宋_GB2312"/>
              </w:rPr>
            </w:pPr>
            <w:r>
              <w:rPr>
                <w:rFonts w:hint="eastAsia" w:ascii="仿宋_GB2312" w:eastAsia="仿宋_GB2312"/>
                <w:b/>
                <w:sz w:val="32"/>
              </w:rPr>
              <w:t>主观分</w:t>
            </w:r>
          </w:p>
        </w:tc>
      </w:tr>
      <w:tr w14:paraId="182B4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849" w:type="dxa"/>
            <w:vAlign w:val="center"/>
          </w:tcPr>
          <w:p w14:paraId="38346ADF">
            <w:pPr>
              <w:spacing w:line="400" w:lineRule="exact"/>
              <w:jc w:val="center"/>
              <w:rPr>
                <w:rFonts w:ascii="仿宋_GB2312" w:hAnsi="仿宋_GB2312" w:eastAsia="仿宋_GB2312" w:cs="仿宋_GB2312"/>
                <w:b/>
              </w:rPr>
            </w:pPr>
            <w:r>
              <w:rPr>
                <w:rFonts w:hint="eastAsia" w:ascii="仿宋_GB2312" w:hAnsi="仿宋_GB2312" w:eastAsia="仿宋_GB2312" w:cs="仿宋_GB2312"/>
                <w:b/>
              </w:rPr>
              <w:t>评分项</w:t>
            </w:r>
          </w:p>
        </w:tc>
        <w:tc>
          <w:tcPr>
            <w:tcW w:w="1090" w:type="dxa"/>
            <w:vAlign w:val="center"/>
          </w:tcPr>
          <w:p w14:paraId="2371B399">
            <w:pPr>
              <w:spacing w:line="400" w:lineRule="exact"/>
              <w:jc w:val="center"/>
              <w:rPr>
                <w:rFonts w:ascii="仿宋_GB2312" w:hAnsi="仿宋_GB2312" w:eastAsia="仿宋_GB2312" w:cs="仿宋_GB2312"/>
                <w:b/>
              </w:rPr>
            </w:pPr>
            <w:r>
              <w:rPr>
                <w:rFonts w:hint="eastAsia" w:ascii="仿宋_GB2312" w:hAnsi="仿宋_GB2312" w:eastAsia="仿宋_GB2312" w:cs="仿宋_GB2312"/>
                <w:b/>
              </w:rPr>
              <w:t>评审因素</w:t>
            </w:r>
          </w:p>
        </w:tc>
        <w:tc>
          <w:tcPr>
            <w:tcW w:w="5859" w:type="dxa"/>
            <w:vAlign w:val="center"/>
          </w:tcPr>
          <w:p w14:paraId="62F791F2">
            <w:pPr>
              <w:spacing w:line="400" w:lineRule="exact"/>
              <w:jc w:val="center"/>
              <w:rPr>
                <w:rFonts w:ascii="仿宋_GB2312" w:hAnsi="仿宋_GB2312" w:eastAsia="仿宋_GB2312" w:cs="仿宋_GB2312"/>
                <w:b/>
              </w:rPr>
            </w:pPr>
            <w:r>
              <w:rPr>
                <w:rFonts w:hint="eastAsia" w:ascii="仿宋_GB2312" w:hAnsi="仿宋_GB2312" w:eastAsia="仿宋_GB2312" w:cs="仿宋_GB2312"/>
                <w:b/>
              </w:rPr>
              <w:t>评分标准说明</w:t>
            </w:r>
          </w:p>
        </w:tc>
        <w:tc>
          <w:tcPr>
            <w:tcW w:w="967" w:type="dxa"/>
            <w:vAlign w:val="center"/>
          </w:tcPr>
          <w:p w14:paraId="2E9EAC94">
            <w:pPr>
              <w:spacing w:line="400" w:lineRule="exact"/>
              <w:jc w:val="center"/>
              <w:rPr>
                <w:rFonts w:ascii="仿宋_GB2312" w:hAnsi="仿宋_GB2312" w:eastAsia="仿宋_GB2312" w:cs="仿宋_GB2312"/>
                <w:b/>
              </w:rPr>
            </w:pPr>
            <w:r>
              <w:rPr>
                <w:rFonts w:hint="eastAsia" w:ascii="仿宋_GB2312" w:hAnsi="仿宋_GB2312" w:eastAsia="仿宋_GB2312" w:cs="仿宋_GB2312"/>
                <w:b/>
              </w:rPr>
              <w:t>分值</w:t>
            </w:r>
          </w:p>
        </w:tc>
        <w:tc>
          <w:tcPr>
            <w:tcW w:w="1368" w:type="dxa"/>
            <w:vAlign w:val="center"/>
          </w:tcPr>
          <w:p w14:paraId="05FED570">
            <w:pPr>
              <w:spacing w:line="400" w:lineRule="exact"/>
              <w:jc w:val="center"/>
              <w:rPr>
                <w:rFonts w:ascii="仿宋_GB2312" w:hAnsi="仿宋_GB2312" w:eastAsia="仿宋_GB2312" w:cs="仿宋_GB2312"/>
                <w:b/>
              </w:rPr>
            </w:pPr>
            <w:r>
              <w:rPr>
                <w:rFonts w:hint="eastAsia" w:ascii="仿宋_GB2312" w:hAnsi="仿宋_GB2312" w:eastAsia="仿宋_GB2312" w:cs="仿宋_GB2312"/>
                <w:b/>
              </w:rPr>
              <w:t>对应的投标文件格式</w:t>
            </w:r>
          </w:p>
        </w:tc>
      </w:tr>
      <w:tr w14:paraId="6C680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3" w:hRule="atLeast"/>
        </w:trPr>
        <w:tc>
          <w:tcPr>
            <w:tcW w:w="849" w:type="dxa"/>
            <w:vAlign w:val="center"/>
          </w:tcPr>
          <w:p w14:paraId="4A500BAF">
            <w:pPr>
              <w:spacing w:line="400" w:lineRule="exact"/>
              <w:jc w:val="center"/>
              <w:rPr>
                <w:rFonts w:ascii="仿宋_GB2312" w:hAnsi="仿宋_GB2312" w:eastAsia="仿宋_GB2312" w:cs="仿宋_GB2312"/>
                <w:b/>
                <w:bCs/>
              </w:rPr>
            </w:pPr>
            <w:r>
              <w:rPr>
                <w:rFonts w:hint="eastAsia" w:ascii="仿宋_GB2312" w:hAnsi="仿宋_GB2312" w:eastAsia="仿宋_GB2312" w:cs="仿宋_GB2312"/>
                <w:b/>
                <w:bCs/>
              </w:rPr>
              <w:t>项目实施方案分</w:t>
            </w:r>
          </w:p>
        </w:tc>
        <w:tc>
          <w:tcPr>
            <w:tcW w:w="1090" w:type="dxa"/>
            <w:vAlign w:val="center"/>
          </w:tcPr>
          <w:p w14:paraId="719C29F6">
            <w:pPr>
              <w:spacing w:line="400" w:lineRule="exact"/>
              <w:jc w:val="center"/>
              <w:rPr>
                <w:rFonts w:ascii="仿宋_GB2312" w:hAnsi="仿宋_GB2312" w:eastAsia="仿宋_GB2312" w:cs="仿宋_GB2312"/>
              </w:rPr>
            </w:pPr>
            <w:r>
              <w:rPr>
                <w:rFonts w:hint="eastAsia" w:ascii="仿宋_GB2312" w:hAnsi="仿宋_GB2312" w:eastAsia="仿宋_GB2312" w:cs="仿宋_GB2312"/>
                <w:b/>
                <w:bCs/>
              </w:rPr>
              <w:t>项目实施方案</w:t>
            </w:r>
          </w:p>
        </w:tc>
        <w:tc>
          <w:tcPr>
            <w:tcW w:w="5859" w:type="dxa"/>
            <w:vAlign w:val="center"/>
          </w:tcPr>
          <w:p w14:paraId="14040BC0">
            <w:pPr>
              <w:spacing w:line="40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一档（</w:t>
            </w:r>
            <w:r>
              <w:rPr>
                <w:rFonts w:hint="eastAsia" w:ascii="仿宋_GB2312" w:hAnsi="仿宋_GB2312" w:eastAsia="仿宋_GB2312" w:cs="仿宋_GB2312"/>
                <w:b/>
                <w:bCs/>
                <w:lang w:val="en-US" w:eastAsia="zh-CN"/>
              </w:rPr>
              <w:t>11</w:t>
            </w:r>
            <w:r>
              <w:rPr>
                <w:rFonts w:hint="eastAsia" w:ascii="仿宋_GB2312" w:hAnsi="仿宋_GB2312" w:eastAsia="仿宋_GB2312" w:cs="仿宋_GB2312"/>
                <w:b/>
                <w:bCs/>
              </w:rPr>
              <w:t>分）</w:t>
            </w:r>
            <w:r>
              <w:rPr>
                <w:rFonts w:hint="eastAsia" w:ascii="仿宋_GB2312" w:hAnsi="仿宋_GB2312" w:eastAsia="仿宋_GB2312" w:cs="仿宋_GB2312"/>
              </w:rPr>
              <w:t xml:space="preserve">：方案的安装质量保证措施阐述清晰合理、明确且符合本次采购需求，对各项关键工作安排、对本项目的风险预见、风险应对措施、项目解决方案、项目管理方案、组织机构安排及分工与职责安排等方案详细，实施流程合理、考虑周全、进度有保障，提出具有建设性的方案优化建议； </w:t>
            </w:r>
          </w:p>
          <w:p w14:paraId="5D6AF043">
            <w:pPr>
              <w:spacing w:line="40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 xml:space="preserve"> 二档（6分）</w:t>
            </w:r>
            <w:r>
              <w:rPr>
                <w:rFonts w:hint="eastAsia" w:ascii="仿宋_GB2312" w:hAnsi="仿宋_GB2312" w:eastAsia="仿宋_GB2312" w:cs="仿宋_GB2312"/>
              </w:rPr>
              <w:t>：方案详细完整，充分理解客户需求，项目技术服务内容和措施完善,具备较强的操作性，对组织机构安排及分工与职责安排等比较详细合理，方案完整，能较好满足项目实施需求；</w:t>
            </w:r>
          </w:p>
          <w:p w14:paraId="03D5B47C">
            <w:pPr>
              <w:spacing w:line="400" w:lineRule="exact"/>
              <w:ind w:firstLine="420" w:firstLineChars="200"/>
              <w:rPr>
                <w:rFonts w:ascii="仿宋_GB2312" w:hAnsi="仿宋_GB2312" w:eastAsia="仿宋_GB2312" w:cs="仿宋_GB2312"/>
              </w:rPr>
            </w:pPr>
            <w:r>
              <w:rPr>
                <w:rFonts w:hint="eastAsia" w:ascii="仿宋_GB2312" w:hAnsi="仿宋_GB2312" w:eastAsia="仿宋_GB2312" w:cs="仿宋_GB2312"/>
              </w:rPr>
              <w:t xml:space="preserve"> </w:t>
            </w:r>
            <w:r>
              <w:rPr>
                <w:rFonts w:hint="eastAsia" w:ascii="仿宋_GB2312" w:hAnsi="仿宋_GB2312" w:eastAsia="仿宋_GB2312" w:cs="仿宋_GB2312"/>
                <w:b/>
                <w:bCs/>
              </w:rPr>
              <w:t xml:space="preserve"> 三档（3分）</w:t>
            </w:r>
            <w:r>
              <w:rPr>
                <w:rFonts w:hint="eastAsia" w:ascii="仿宋_GB2312" w:hAnsi="仿宋_GB2312" w:eastAsia="仿宋_GB2312" w:cs="仿宋_GB2312"/>
              </w:rPr>
              <w:t>：项目实施方案一般，组织机构安排及分工与职责，内容简单，设备的安装调试内容流程简单。</w:t>
            </w:r>
          </w:p>
          <w:p w14:paraId="1CC2F31B">
            <w:pPr>
              <w:spacing w:line="400" w:lineRule="exact"/>
              <w:ind w:firstLine="422" w:firstLineChars="200"/>
              <w:rPr>
                <w:rFonts w:ascii="仿宋_GB2312" w:hAnsi="仿宋_GB2312" w:eastAsia="仿宋_GB2312" w:cs="仿宋_GB2312"/>
                <w:b/>
                <w:bCs/>
              </w:rPr>
            </w:pPr>
            <w:r>
              <w:rPr>
                <w:rFonts w:hint="eastAsia" w:ascii="仿宋_GB2312" w:hAnsi="仿宋_GB2312" w:eastAsia="仿宋_GB2312" w:cs="仿宋_GB2312"/>
                <w:b/>
                <w:bCs/>
              </w:rPr>
              <w:t>注：1.该方案内容可以包括：（1）人员配置；（2）职责分工；（3）安装质量保证措施；（4）风险应对措施。</w:t>
            </w:r>
          </w:p>
          <w:p w14:paraId="3AE1695F">
            <w:pPr>
              <w:pStyle w:val="301"/>
              <w:spacing w:line="400" w:lineRule="exact"/>
              <w:ind w:firstLine="422" w:firstLineChars="200"/>
              <w:rPr>
                <w:rFonts w:ascii="仿宋_GB2312" w:hAnsi="仿宋_GB2312" w:eastAsia="仿宋_GB2312" w:cs="仿宋_GB2312"/>
                <w:bCs w:val="0"/>
                <w:spacing w:val="0"/>
                <w:kern w:val="2"/>
                <w:sz w:val="21"/>
              </w:rPr>
            </w:pPr>
            <w:r>
              <w:rPr>
                <w:rFonts w:hint="eastAsia" w:ascii="仿宋_GB2312" w:hAnsi="仿宋_GB2312" w:eastAsia="仿宋_GB2312" w:cs="仿宋_GB2312"/>
                <w:b/>
                <w:spacing w:val="0"/>
                <w:kern w:val="2"/>
                <w:sz w:val="21"/>
              </w:rPr>
              <w:t>2.未提供方案或提供的内容与本项目无关的得0分。</w:t>
            </w:r>
          </w:p>
        </w:tc>
        <w:tc>
          <w:tcPr>
            <w:tcW w:w="967" w:type="dxa"/>
            <w:vAlign w:val="center"/>
          </w:tcPr>
          <w:p w14:paraId="1E2B16B3">
            <w:pPr>
              <w:spacing w:line="400" w:lineRule="exact"/>
              <w:jc w:val="center"/>
              <w:rPr>
                <w:rFonts w:hint="default"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11</w:t>
            </w:r>
          </w:p>
        </w:tc>
        <w:tc>
          <w:tcPr>
            <w:tcW w:w="1368" w:type="dxa"/>
            <w:vAlign w:val="center"/>
          </w:tcPr>
          <w:p w14:paraId="0FD59E87">
            <w:pPr>
              <w:spacing w:line="400" w:lineRule="exact"/>
              <w:jc w:val="center"/>
              <w:rPr>
                <w:rFonts w:ascii="仿宋_GB2312" w:hAnsi="仿宋_GB2312" w:eastAsia="仿宋_GB2312" w:cs="仿宋_GB2312"/>
                <w:b/>
                <w:bCs/>
              </w:rPr>
            </w:pPr>
            <w:r>
              <w:rPr>
                <w:rFonts w:hint="eastAsia" w:ascii="仿宋_GB2312" w:hAnsi="仿宋_GB2312" w:eastAsia="仿宋_GB2312" w:cs="仿宋_GB2312"/>
              </w:rPr>
              <w:t>项目实施方案</w:t>
            </w:r>
          </w:p>
        </w:tc>
      </w:tr>
      <w:tr w14:paraId="55E82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849" w:type="dxa"/>
            <w:vAlign w:val="center"/>
          </w:tcPr>
          <w:p w14:paraId="225006B4">
            <w:pPr>
              <w:spacing w:line="400" w:lineRule="exact"/>
              <w:jc w:val="center"/>
              <w:rPr>
                <w:rFonts w:ascii="仿宋_GB2312" w:hAnsi="仿宋_GB2312" w:eastAsia="仿宋_GB2312" w:cs="仿宋_GB2312"/>
                <w:b/>
                <w:bCs/>
              </w:rPr>
            </w:pPr>
            <w:r>
              <w:rPr>
                <w:rFonts w:hint="eastAsia" w:ascii="仿宋_GB2312" w:hAnsi="仿宋_GB2312" w:eastAsia="仿宋_GB2312" w:cs="仿宋_GB2312"/>
                <w:b/>
                <w:bCs/>
              </w:rPr>
              <w:t>项目实施方案分</w:t>
            </w:r>
          </w:p>
        </w:tc>
        <w:tc>
          <w:tcPr>
            <w:tcW w:w="1090" w:type="dxa"/>
            <w:vAlign w:val="center"/>
          </w:tcPr>
          <w:p w14:paraId="6E38E3B5">
            <w:pPr>
              <w:spacing w:line="400" w:lineRule="exact"/>
              <w:jc w:val="center"/>
              <w:rPr>
                <w:rFonts w:ascii="仿宋_GB2312" w:hAnsi="仿宋_GB2312" w:eastAsia="仿宋_GB2312" w:cs="仿宋_GB2312"/>
                <w:b/>
                <w:bCs/>
              </w:rPr>
            </w:pPr>
            <w:r>
              <w:rPr>
                <w:rFonts w:hint="eastAsia" w:ascii="仿宋_GB2312" w:hAnsi="仿宋_GB2312" w:eastAsia="仿宋_GB2312" w:cs="仿宋_GB2312"/>
                <w:b/>
                <w:bCs/>
              </w:rPr>
              <w:t>安装进度计划和工期保证</w:t>
            </w:r>
          </w:p>
        </w:tc>
        <w:tc>
          <w:tcPr>
            <w:tcW w:w="5859" w:type="dxa"/>
            <w:vAlign w:val="center"/>
          </w:tcPr>
          <w:p w14:paraId="5851B14F">
            <w:pPr>
              <w:pStyle w:val="302"/>
              <w:spacing w:line="400" w:lineRule="exact"/>
              <w:ind w:firstLine="422" w:firstLineChars="200"/>
              <w:rPr>
                <w:rFonts w:ascii="仿宋_GB2312" w:hAnsi="仿宋_GB2312" w:eastAsia="仿宋_GB2312" w:cs="仿宋_GB2312"/>
                <w:bCs w:val="0"/>
                <w:spacing w:val="0"/>
                <w:kern w:val="2"/>
                <w:sz w:val="21"/>
              </w:rPr>
            </w:pPr>
            <w:r>
              <w:rPr>
                <w:rFonts w:hint="eastAsia" w:ascii="仿宋_GB2312" w:hAnsi="仿宋_GB2312" w:eastAsia="仿宋_GB2312" w:cs="仿宋_GB2312"/>
                <w:b/>
                <w:spacing w:val="0"/>
                <w:kern w:val="2"/>
                <w:sz w:val="21"/>
              </w:rPr>
              <w:t>一档（10分）：</w:t>
            </w:r>
            <w:r>
              <w:rPr>
                <w:rFonts w:hint="eastAsia" w:ascii="仿宋_GB2312" w:hAnsi="仿宋_GB2312" w:eastAsia="仿宋_GB2312" w:cs="仿宋_GB2312"/>
                <w:bCs w:val="0"/>
                <w:spacing w:val="0"/>
                <w:kern w:val="2"/>
                <w:sz w:val="21"/>
              </w:rPr>
              <w:t>安装进度合理紧凑、各施工节点衔接连贯，工期保证措施可行性强；关键工作安排详细，步骤和要点描述详细全面，切合实际，对采购人有实际性帮助；</w:t>
            </w:r>
            <w:r>
              <w:rPr>
                <w:rFonts w:hint="eastAsia" w:ascii="仿宋_GB2312" w:hAnsi="仿宋_GB2312" w:eastAsia="仿宋_GB2312" w:cs="仿宋_GB2312"/>
                <w:bCs w:val="0"/>
                <w:spacing w:val="0"/>
                <w:kern w:val="2"/>
                <w:sz w:val="21"/>
                <w:lang w:eastAsia="zh-CN"/>
              </w:rPr>
              <w:t>工</w:t>
            </w:r>
            <w:r>
              <w:rPr>
                <w:rFonts w:hint="eastAsia" w:ascii="仿宋_GB2312" w:hAnsi="仿宋_GB2312" w:eastAsia="仿宋_GB2312" w:cs="仿宋_GB2312"/>
                <w:bCs w:val="0"/>
                <w:spacing w:val="0"/>
                <w:kern w:val="2"/>
                <w:sz w:val="21"/>
              </w:rPr>
              <w:t>期保证措施需涵盖技术、物资、施工工程等多个方面，且</w:t>
            </w:r>
            <w:r>
              <w:rPr>
                <w:rFonts w:hint="eastAsia" w:ascii="仿宋_GB2312" w:hAnsi="仿宋_GB2312" w:eastAsia="仿宋_GB2312" w:cs="仿宋_GB2312"/>
                <w:bCs w:val="0"/>
                <w:spacing w:val="0"/>
                <w:kern w:val="2"/>
                <w:sz w:val="21"/>
                <w:lang w:val="en-US" w:eastAsia="zh-CN"/>
              </w:rPr>
              <w:t>承诺</w:t>
            </w:r>
            <w:r>
              <w:rPr>
                <w:rFonts w:hint="eastAsia" w:ascii="仿宋_GB2312" w:hAnsi="仿宋_GB2312" w:eastAsia="仿宋_GB2312" w:cs="仿宋_GB2312"/>
                <w:bCs w:val="0"/>
                <w:spacing w:val="0"/>
                <w:kern w:val="2"/>
                <w:sz w:val="21"/>
              </w:rPr>
              <w:t>各项保障措施均落实到位，承诺签订合同之日起35日内安装调试完毕；</w:t>
            </w:r>
          </w:p>
          <w:p w14:paraId="784EC517">
            <w:pPr>
              <w:pStyle w:val="302"/>
              <w:spacing w:line="400" w:lineRule="exact"/>
              <w:ind w:firstLine="422" w:firstLineChars="200"/>
              <w:rPr>
                <w:rFonts w:ascii="仿宋_GB2312" w:hAnsi="仿宋_GB2312" w:eastAsia="仿宋_GB2312" w:cs="仿宋_GB2312"/>
                <w:bCs w:val="0"/>
                <w:spacing w:val="0"/>
                <w:kern w:val="2"/>
                <w:sz w:val="21"/>
              </w:rPr>
            </w:pPr>
            <w:r>
              <w:rPr>
                <w:rFonts w:hint="eastAsia" w:ascii="仿宋_GB2312" w:hAnsi="仿宋_GB2312" w:eastAsia="仿宋_GB2312" w:cs="仿宋_GB2312"/>
                <w:b/>
                <w:spacing w:val="0"/>
                <w:kern w:val="2"/>
                <w:sz w:val="21"/>
              </w:rPr>
              <w:t>二档（6分）：</w:t>
            </w:r>
            <w:r>
              <w:rPr>
                <w:rFonts w:hint="eastAsia" w:ascii="仿宋_GB2312" w:hAnsi="仿宋_GB2312" w:eastAsia="仿宋_GB2312" w:cs="仿宋_GB2312"/>
                <w:bCs w:val="0"/>
                <w:spacing w:val="0"/>
                <w:kern w:val="2"/>
                <w:sz w:val="21"/>
              </w:rPr>
              <w:t>根据</w:t>
            </w:r>
            <w:r>
              <w:rPr>
                <w:rFonts w:hint="eastAsia" w:ascii="仿宋_GB2312" w:hAnsi="仿宋_GB2312" w:eastAsia="仿宋_GB2312" w:cs="仿宋_GB2312"/>
                <w:bCs w:val="0"/>
                <w:spacing w:val="0"/>
                <w:kern w:val="2"/>
                <w:sz w:val="21"/>
                <w:lang w:val="en-US" w:eastAsia="zh-CN"/>
              </w:rPr>
              <w:t>安装</w:t>
            </w:r>
            <w:r>
              <w:rPr>
                <w:rFonts w:hint="eastAsia" w:ascii="仿宋_GB2312" w:hAnsi="仿宋_GB2312" w:eastAsia="仿宋_GB2312" w:cs="仿宋_GB2312"/>
                <w:bCs w:val="0"/>
                <w:spacing w:val="0"/>
                <w:kern w:val="2"/>
                <w:sz w:val="21"/>
              </w:rPr>
              <w:t>场地情况结合项目实际合理安排进度，有安装进度的时间节点，安装进度较贴合项目需求，工期推进保证具体措施到位，步骤和要点描述较详细可行；承诺签订合同之日起38日内安装调试完毕；</w:t>
            </w:r>
          </w:p>
          <w:p w14:paraId="40E48AE1">
            <w:pPr>
              <w:pStyle w:val="302"/>
              <w:spacing w:line="400" w:lineRule="exact"/>
              <w:ind w:firstLine="422" w:firstLineChars="200"/>
              <w:rPr>
                <w:rFonts w:ascii="仿宋_GB2312" w:hAnsi="仿宋_GB2312" w:eastAsia="仿宋_GB2312" w:cs="仿宋_GB2312"/>
                <w:bCs w:val="0"/>
                <w:spacing w:val="0"/>
                <w:kern w:val="2"/>
                <w:sz w:val="21"/>
              </w:rPr>
            </w:pPr>
            <w:r>
              <w:rPr>
                <w:rFonts w:hint="eastAsia" w:ascii="仿宋_GB2312" w:hAnsi="仿宋_GB2312" w:eastAsia="仿宋_GB2312" w:cs="仿宋_GB2312"/>
                <w:b/>
                <w:spacing w:val="0"/>
                <w:kern w:val="2"/>
                <w:sz w:val="21"/>
              </w:rPr>
              <w:t>三档（3分）：</w:t>
            </w:r>
            <w:r>
              <w:rPr>
                <w:rFonts w:hint="eastAsia" w:ascii="仿宋_GB2312" w:hAnsi="仿宋_GB2312" w:eastAsia="仿宋_GB2312" w:cs="仿宋_GB2312"/>
                <w:bCs w:val="0"/>
                <w:spacing w:val="0"/>
                <w:kern w:val="2"/>
                <w:sz w:val="21"/>
              </w:rPr>
              <w:t>安装进度满足采购需求，工期保证措施基本可行。</w:t>
            </w:r>
          </w:p>
          <w:p w14:paraId="796CDE71">
            <w:pPr>
              <w:pStyle w:val="302"/>
              <w:spacing w:line="400" w:lineRule="exact"/>
              <w:ind w:firstLine="422" w:firstLineChars="200"/>
              <w:rPr>
                <w:rFonts w:ascii="仿宋_GB2312" w:hAnsi="仿宋_GB2312" w:eastAsia="仿宋_GB2312" w:cs="仿宋_GB2312"/>
                <w:b/>
                <w:spacing w:val="0"/>
                <w:kern w:val="2"/>
                <w:sz w:val="21"/>
              </w:rPr>
            </w:pPr>
            <w:r>
              <w:rPr>
                <w:rFonts w:hint="eastAsia" w:ascii="仿宋_GB2312" w:hAnsi="仿宋_GB2312" w:eastAsia="仿宋_GB2312" w:cs="仿宋_GB2312"/>
                <w:b/>
                <w:spacing w:val="0"/>
                <w:kern w:val="2"/>
                <w:sz w:val="21"/>
              </w:rPr>
              <w:t>注：1.该方案内容可以包括：（1）安装进度计划；（2）工期保证措施。</w:t>
            </w:r>
          </w:p>
          <w:p w14:paraId="189F56FD">
            <w:pPr>
              <w:pStyle w:val="302"/>
              <w:spacing w:line="400" w:lineRule="exact"/>
              <w:ind w:firstLine="422" w:firstLineChars="200"/>
              <w:rPr>
                <w:rFonts w:ascii="仿宋_GB2312" w:hAnsi="仿宋_GB2312" w:eastAsia="仿宋_GB2312" w:cs="仿宋_GB2312"/>
                <w:b/>
                <w:sz w:val="21"/>
                <w:szCs w:val="21"/>
              </w:rPr>
            </w:pPr>
            <w:r>
              <w:rPr>
                <w:rFonts w:hint="eastAsia" w:ascii="仿宋_GB2312" w:hAnsi="仿宋_GB2312" w:eastAsia="仿宋_GB2312" w:cs="仿宋_GB2312"/>
                <w:b/>
                <w:spacing w:val="0"/>
                <w:kern w:val="2"/>
                <w:sz w:val="21"/>
              </w:rPr>
              <w:t>2.未提供方案或提供的内容与本项目无关的得0分。</w:t>
            </w:r>
          </w:p>
        </w:tc>
        <w:tc>
          <w:tcPr>
            <w:tcW w:w="967" w:type="dxa"/>
            <w:vAlign w:val="center"/>
          </w:tcPr>
          <w:p w14:paraId="05865DC8">
            <w:pPr>
              <w:spacing w:line="400" w:lineRule="exact"/>
              <w:jc w:val="center"/>
              <w:rPr>
                <w:rFonts w:ascii="仿宋_GB2312" w:hAnsi="仿宋_GB2312" w:eastAsia="仿宋_GB2312" w:cs="仿宋_GB2312"/>
                <w:b/>
                <w:bCs/>
              </w:rPr>
            </w:pPr>
            <w:r>
              <w:rPr>
                <w:rFonts w:hint="eastAsia" w:ascii="仿宋_GB2312" w:hAnsi="仿宋_GB2312" w:eastAsia="仿宋_GB2312" w:cs="仿宋_GB2312"/>
                <w:b/>
                <w:bCs/>
              </w:rPr>
              <w:t>10</w:t>
            </w:r>
          </w:p>
        </w:tc>
        <w:tc>
          <w:tcPr>
            <w:tcW w:w="1368" w:type="dxa"/>
            <w:vAlign w:val="center"/>
          </w:tcPr>
          <w:p w14:paraId="794F23A9">
            <w:pPr>
              <w:spacing w:line="400" w:lineRule="exact"/>
              <w:jc w:val="center"/>
              <w:rPr>
                <w:rFonts w:ascii="仿宋_GB2312" w:hAnsi="仿宋_GB2312" w:eastAsia="仿宋_GB2312" w:cs="仿宋_GB2312"/>
              </w:rPr>
            </w:pPr>
            <w:r>
              <w:rPr>
                <w:rFonts w:hint="eastAsia" w:ascii="仿宋_GB2312" w:hAnsi="仿宋_GB2312" w:eastAsia="仿宋_GB2312" w:cs="仿宋_GB2312"/>
              </w:rPr>
              <w:t>安装进度计划和工期保证</w:t>
            </w:r>
          </w:p>
        </w:tc>
      </w:tr>
      <w:tr w14:paraId="2B1EA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49" w:type="dxa"/>
            <w:vMerge w:val="restart"/>
            <w:vAlign w:val="center"/>
          </w:tcPr>
          <w:p w14:paraId="74FECA4A">
            <w:pPr>
              <w:spacing w:line="400" w:lineRule="exact"/>
              <w:jc w:val="center"/>
              <w:rPr>
                <w:rFonts w:ascii="仿宋_GB2312" w:hAnsi="仿宋_GB2312" w:eastAsia="仿宋_GB2312" w:cs="仿宋_GB2312"/>
              </w:rPr>
            </w:pPr>
            <w:r>
              <w:rPr>
                <w:rFonts w:hint="eastAsia" w:ascii="仿宋_GB2312" w:hAnsi="仿宋_GB2312" w:eastAsia="仿宋_GB2312" w:cs="仿宋_GB2312"/>
                <w:b/>
                <w:bCs/>
              </w:rPr>
              <w:t>售后服务方案分</w:t>
            </w:r>
          </w:p>
        </w:tc>
        <w:tc>
          <w:tcPr>
            <w:tcW w:w="1090" w:type="dxa"/>
            <w:vAlign w:val="center"/>
          </w:tcPr>
          <w:p w14:paraId="0951F152">
            <w:pPr>
              <w:widowControl/>
              <w:spacing w:line="400" w:lineRule="exact"/>
              <w:jc w:val="center"/>
              <w:rPr>
                <w:rFonts w:ascii="仿宋_GB2312" w:hAnsi="仿宋_GB2312" w:eastAsia="仿宋_GB2312" w:cs="仿宋_GB2312"/>
              </w:rPr>
            </w:pPr>
            <w:r>
              <w:rPr>
                <w:rFonts w:hint="eastAsia" w:ascii="仿宋_GB2312" w:hAnsi="仿宋_GB2312" w:eastAsia="仿宋_GB2312" w:cs="仿宋_GB2312"/>
                <w:b/>
                <w:bCs/>
              </w:rPr>
              <w:t>技术培训方案</w:t>
            </w:r>
          </w:p>
        </w:tc>
        <w:tc>
          <w:tcPr>
            <w:tcW w:w="5859" w:type="dxa"/>
            <w:vAlign w:val="center"/>
          </w:tcPr>
          <w:p w14:paraId="0B46A611">
            <w:pPr>
              <w:pStyle w:val="298"/>
              <w:spacing w:line="400" w:lineRule="exact"/>
              <w:ind w:firstLine="422" w:firstLineChars="200"/>
              <w:rPr>
                <w:rFonts w:ascii="仿宋_GB2312" w:hAnsi="仿宋_GB2312" w:eastAsia="仿宋_GB2312" w:cs="仿宋_GB2312"/>
              </w:rPr>
            </w:pPr>
            <w:r>
              <w:rPr>
                <w:rFonts w:hint="eastAsia" w:ascii="仿宋_GB2312" w:hAnsi="仿宋_GB2312" w:eastAsia="仿宋_GB2312" w:cs="仿宋_GB2312"/>
                <w:b/>
                <w:bCs/>
                <w:szCs w:val="24"/>
              </w:rPr>
              <w:t>一档（</w:t>
            </w:r>
            <w:r>
              <w:rPr>
                <w:rFonts w:ascii="仿宋_GB2312" w:hAnsi="仿宋_GB2312" w:eastAsia="仿宋_GB2312" w:cs="仿宋_GB2312"/>
                <w:b/>
                <w:bCs/>
                <w:szCs w:val="24"/>
              </w:rPr>
              <w:t>10</w:t>
            </w:r>
            <w:r>
              <w:rPr>
                <w:rFonts w:hint="eastAsia" w:ascii="仿宋_GB2312" w:hAnsi="仿宋_GB2312" w:eastAsia="仿宋_GB2312" w:cs="仿宋_GB2312"/>
                <w:b/>
                <w:bCs/>
                <w:szCs w:val="24"/>
              </w:rPr>
              <w:t>分）：</w:t>
            </w:r>
            <w:r>
              <w:rPr>
                <w:rFonts w:hint="eastAsia" w:ascii="仿宋_GB2312" w:hAnsi="仿宋_GB2312" w:eastAsia="仿宋_GB2312" w:cs="仿宋_GB2312"/>
                <w:b w:val="0"/>
                <w:bCs w:val="0"/>
                <w:szCs w:val="24"/>
                <w:lang w:eastAsia="zh-CN"/>
              </w:rPr>
              <w:t>方案能</w:t>
            </w:r>
            <w:r>
              <w:rPr>
                <w:rFonts w:hint="eastAsia" w:ascii="仿宋_GB2312" w:hAnsi="仿宋_GB2312" w:eastAsia="仿宋_GB2312" w:cs="仿宋_GB2312"/>
                <w:szCs w:val="24"/>
              </w:rPr>
              <w:t>提供</w:t>
            </w:r>
            <w:r>
              <w:rPr>
                <w:rFonts w:hint="eastAsia" w:ascii="仿宋_GB2312" w:hAnsi="仿宋_GB2312" w:eastAsia="仿宋_GB2312" w:cs="仿宋_GB2312"/>
                <w:lang w:val="en-US" w:eastAsia="zh-CN"/>
              </w:rPr>
              <w:t>包含但不限于本项目</w:t>
            </w:r>
            <w:r>
              <w:rPr>
                <w:rFonts w:hint="eastAsia" w:ascii="仿宋_GB2312" w:hAnsi="仿宋_GB2312" w:eastAsia="仿宋_GB2312" w:cs="仿宋_GB2312"/>
                <w:szCs w:val="24"/>
              </w:rPr>
              <w:t>一体机与计算机</w:t>
            </w:r>
            <w:r>
              <w:rPr>
                <w:rFonts w:hint="eastAsia" w:ascii="仿宋_GB2312" w:hAnsi="仿宋_GB2312" w:eastAsia="仿宋_GB2312" w:cs="仿宋_GB2312"/>
                <w:szCs w:val="24"/>
                <w:lang w:eastAsia="zh-CN"/>
              </w:rPr>
              <w:t>的</w:t>
            </w:r>
            <w:r>
              <w:rPr>
                <w:rFonts w:hint="eastAsia" w:ascii="仿宋_GB2312" w:hAnsi="仿宋_GB2312" w:eastAsia="仿宋_GB2312" w:cs="仿宋_GB2312"/>
                <w:szCs w:val="24"/>
              </w:rPr>
              <w:t>详尽的</w:t>
            </w:r>
            <w:r>
              <w:rPr>
                <w:rFonts w:hint="eastAsia" w:ascii="仿宋_GB2312" w:hAnsi="仿宋_GB2312" w:eastAsia="仿宋_GB2312" w:cs="仿宋_GB2312"/>
              </w:rPr>
              <w:t>技术培训的内容</w:t>
            </w:r>
            <w:r>
              <w:rPr>
                <w:rFonts w:hint="eastAsia" w:ascii="仿宋_GB2312" w:hAnsi="仿宋_GB2312" w:eastAsia="仿宋_GB2312" w:cs="仿宋_GB2312"/>
                <w:lang w:eastAsia="zh-CN"/>
              </w:rPr>
              <w:t>，</w:t>
            </w:r>
            <w:r>
              <w:rPr>
                <w:rFonts w:hint="eastAsia" w:ascii="仿宋_GB2312" w:hAnsi="仿宋_GB2312" w:eastAsia="仿宋_GB2312" w:cs="仿宋_GB2312"/>
              </w:rPr>
              <w:t>方案完善详尽，培训方式兼顾远程、现场等方式，承诺培训人员经验丰富、专业性强，课程安排合理，培训内容针对性强， 有效提高采购人对一体机与计算机的的应用能力、日常维护能力。</w:t>
            </w:r>
          </w:p>
          <w:p w14:paraId="7A383C0C">
            <w:pPr>
              <w:pStyle w:val="298"/>
              <w:spacing w:line="400" w:lineRule="exact"/>
              <w:ind w:firstLine="422" w:firstLineChars="200"/>
              <w:rPr>
                <w:rFonts w:ascii="仿宋_GB2312" w:hAnsi="仿宋_GB2312" w:eastAsia="仿宋_GB2312" w:cs="仿宋_GB2312"/>
                <w:szCs w:val="24"/>
              </w:rPr>
            </w:pPr>
            <w:r>
              <w:rPr>
                <w:rFonts w:hint="eastAsia" w:ascii="仿宋_GB2312" w:hAnsi="仿宋_GB2312" w:eastAsia="仿宋_GB2312" w:cs="仿宋_GB2312"/>
                <w:b/>
                <w:bCs/>
              </w:rPr>
              <w:t>二档（</w:t>
            </w:r>
            <w:r>
              <w:rPr>
                <w:rFonts w:ascii="仿宋_GB2312" w:hAnsi="仿宋_GB2312" w:eastAsia="仿宋_GB2312" w:cs="仿宋_GB2312"/>
                <w:b/>
                <w:bCs/>
              </w:rPr>
              <w:t>6</w:t>
            </w:r>
            <w:r>
              <w:rPr>
                <w:rFonts w:hint="eastAsia" w:ascii="仿宋_GB2312" w:hAnsi="仿宋_GB2312" w:eastAsia="仿宋_GB2312" w:cs="仿宋_GB2312"/>
                <w:b/>
                <w:bCs/>
              </w:rPr>
              <w:t>分）：</w:t>
            </w:r>
            <w:r>
              <w:rPr>
                <w:rFonts w:hint="eastAsia" w:ascii="仿宋_GB2312" w:hAnsi="仿宋_GB2312" w:eastAsia="仿宋_GB2312" w:cs="仿宋_GB2312"/>
                <w:b w:val="0"/>
                <w:bCs w:val="0"/>
              </w:rPr>
              <w:t>方案能提供较详细</w:t>
            </w:r>
            <w:r>
              <w:rPr>
                <w:rFonts w:hint="eastAsia" w:ascii="仿宋_GB2312" w:hAnsi="仿宋_GB2312" w:eastAsia="仿宋_GB2312" w:cs="仿宋_GB2312"/>
                <w:b w:val="0"/>
                <w:bCs w:val="0"/>
                <w:lang w:eastAsia="zh-CN"/>
              </w:rPr>
              <w:t>地</w:t>
            </w:r>
            <w:r>
              <w:rPr>
                <w:rFonts w:hint="eastAsia" w:ascii="仿宋_GB2312" w:hAnsi="仿宋_GB2312" w:eastAsia="仿宋_GB2312" w:cs="仿宋_GB2312"/>
                <w:b w:val="0"/>
                <w:bCs w:val="0"/>
                <w:szCs w:val="24"/>
              </w:rPr>
              <w:t>一体机与计算机的</w:t>
            </w:r>
            <w:r>
              <w:rPr>
                <w:rFonts w:hint="eastAsia" w:ascii="仿宋_GB2312" w:hAnsi="仿宋_GB2312" w:eastAsia="仿宋_GB2312" w:cs="仿宋_GB2312"/>
              </w:rPr>
              <w:t>培训方案较详细具体，包含课程安排、人员安排、培训课程内容等，方案较为完整，能较好满足培训需求；</w:t>
            </w:r>
          </w:p>
          <w:p w14:paraId="12744F85">
            <w:pPr>
              <w:pStyle w:val="298"/>
              <w:spacing w:line="400" w:lineRule="exact"/>
              <w:ind w:firstLine="422" w:firstLineChars="200"/>
              <w:rPr>
                <w:rFonts w:ascii="仿宋_GB2312" w:hAnsi="仿宋_GB2312" w:eastAsia="仿宋_GB2312" w:cs="仿宋_GB2312"/>
                <w:szCs w:val="24"/>
              </w:rPr>
            </w:pPr>
            <w:r>
              <w:rPr>
                <w:rFonts w:hint="eastAsia" w:ascii="仿宋_GB2312" w:hAnsi="仿宋_GB2312" w:eastAsia="仿宋_GB2312" w:cs="仿宋_GB2312"/>
                <w:b/>
                <w:bCs/>
                <w:szCs w:val="24"/>
              </w:rPr>
              <w:t>三档（</w:t>
            </w:r>
            <w:r>
              <w:rPr>
                <w:rFonts w:ascii="仿宋_GB2312" w:hAnsi="仿宋_GB2312" w:eastAsia="仿宋_GB2312" w:cs="仿宋_GB2312"/>
                <w:b/>
                <w:bCs/>
                <w:szCs w:val="24"/>
              </w:rPr>
              <w:t>3</w:t>
            </w:r>
            <w:r>
              <w:rPr>
                <w:rFonts w:hint="eastAsia" w:ascii="仿宋_GB2312" w:hAnsi="仿宋_GB2312" w:eastAsia="仿宋_GB2312" w:cs="仿宋_GB2312"/>
                <w:b/>
                <w:bCs/>
                <w:szCs w:val="24"/>
              </w:rPr>
              <w:t>分）：</w:t>
            </w:r>
            <w:r>
              <w:rPr>
                <w:rFonts w:hint="eastAsia" w:ascii="仿宋_GB2312" w:hAnsi="仿宋_GB2312" w:eastAsia="仿宋_GB2312" w:cs="仿宋_GB2312"/>
                <w:szCs w:val="24"/>
              </w:rPr>
              <w:t>培训方案满足采购</w:t>
            </w:r>
            <w:r>
              <w:rPr>
                <w:rFonts w:hint="eastAsia" w:ascii="仿宋_GB2312" w:hAnsi="仿宋_GB2312" w:eastAsia="仿宋_GB2312" w:cs="仿宋_GB2312"/>
              </w:rPr>
              <w:t>需求，内容简单</w:t>
            </w:r>
            <w:r>
              <w:rPr>
                <w:rFonts w:hint="eastAsia" w:ascii="仿宋_GB2312" w:hAnsi="仿宋_GB2312" w:eastAsia="仿宋_GB2312" w:cs="仿宋_GB2312"/>
                <w:szCs w:val="24"/>
              </w:rPr>
              <w:t>。</w:t>
            </w:r>
          </w:p>
          <w:p w14:paraId="4B082897">
            <w:pPr>
              <w:pStyle w:val="298"/>
              <w:spacing w:line="400" w:lineRule="exact"/>
              <w:ind w:firstLine="422" w:firstLineChars="200"/>
              <w:rPr>
                <w:rFonts w:ascii="仿宋_GB2312" w:hAnsi="仿宋_GB2312" w:eastAsia="仿宋_GB2312" w:cs="仿宋_GB2312"/>
                <w:szCs w:val="24"/>
              </w:rPr>
            </w:pPr>
            <w:r>
              <w:rPr>
                <w:rFonts w:ascii="仿宋_GB2312" w:hAnsi="仿宋_GB2312" w:eastAsia="仿宋_GB2312" w:cs="仿宋_GB2312"/>
                <w:b/>
                <w:bCs/>
                <w:szCs w:val="24"/>
              </w:rPr>
              <w:t>注：未提供方案或提供的内容与本项目无关的得0分。</w:t>
            </w:r>
          </w:p>
        </w:tc>
        <w:tc>
          <w:tcPr>
            <w:tcW w:w="967" w:type="dxa"/>
            <w:vAlign w:val="center"/>
          </w:tcPr>
          <w:p w14:paraId="14B01A6D">
            <w:pPr>
              <w:spacing w:line="400" w:lineRule="exact"/>
              <w:jc w:val="center"/>
              <w:rPr>
                <w:rFonts w:ascii="仿宋_GB2312" w:hAnsi="仿宋_GB2312" w:eastAsia="仿宋_GB2312" w:cs="仿宋_GB2312"/>
                <w:b/>
                <w:bCs/>
              </w:rPr>
            </w:pPr>
            <w:r>
              <w:rPr>
                <w:rFonts w:ascii="仿宋_GB2312" w:hAnsi="仿宋_GB2312" w:eastAsia="仿宋_GB2312" w:cs="仿宋_GB2312"/>
                <w:b/>
                <w:bCs/>
              </w:rPr>
              <w:t>10</w:t>
            </w:r>
          </w:p>
        </w:tc>
        <w:tc>
          <w:tcPr>
            <w:tcW w:w="1368" w:type="dxa"/>
            <w:vAlign w:val="center"/>
          </w:tcPr>
          <w:p w14:paraId="69E9DD4E">
            <w:pPr>
              <w:spacing w:line="400" w:lineRule="exact"/>
              <w:jc w:val="center"/>
              <w:rPr>
                <w:rFonts w:ascii="仿宋_GB2312" w:hAnsi="仿宋_GB2312" w:eastAsia="仿宋_GB2312" w:cs="仿宋_GB2312"/>
              </w:rPr>
            </w:pPr>
            <w:r>
              <w:rPr>
                <w:rFonts w:hint="eastAsia" w:ascii="仿宋_GB2312" w:hAnsi="仿宋_GB2312" w:eastAsia="仿宋_GB2312" w:cs="仿宋_GB2312"/>
              </w:rPr>
              <w:t>技术培训方案</w:t>
            </w:r>
          </w:p>
        </w:tc>
      </w:tr>
      <w:tr w14:paraId="614D1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9" w:type="dxa"/>
            <w:vMerge w:val="continue"/>
            <w:vAlign w:val="center"/>
          </w:tcPr>
          <w:p w14:paraId="7A65EE5B">
            <w:pPr>
              <w:spacing w:line="400" w:lineRule="exact"/>
              <w:jc w:val="center"/>
              <w:rPr>
                <w:rFonts w:ascii="仿宋_GB2312" w:hAnsi="仿宋_GB2312" w:eastAsia="仿宋_GB2312" w:cs="仿宋_GB2312"/>
              </w:rPr>
            </w:pPr>
          </w:p>
        </w:tc>
        <w:tc>
          <w:tcPr>
            <w:tcW w:w="1090" w:type="dxa"/>
            <w:vAlign w:val="center"/>
          </w:tcPr>
          <w:p w14:paraId="5652C248">
            <w:pPr>
              <w:widowControl/>
              <w:spacing w:line="400" w:lineRule="exact"/>
              <w:jc w:val="center"/>
              <w:rPr>
                <w:rFonts w:ascii="仿宋_GB2312" w:hAnsi="仿宋_GB2312" w:eastAsia="仿宋_GB2312" w:cs="仿宋_GB2312"/>
              </w:rPr>
            </w:pPr>
            <w:r>
              <w:rPr>
                <w:rFonts w:hint="eastAsia" w:ascii="仿宋_GB2312" w:hAnsi="仿宋_GB2312" w:eastAsia="仿宋_GB2312" w:cs="仿宋_GB2312"/>
                <w:b/>
                <w:bCs/>
              </w:rPr>
              <w:t>售后服务方案</w:t>
            </w:r>
          </w:p>
        </w:tc>
        <w:tc>
          <w:tcPr>
            <w:tcW w:w="5859" w:type="dxa"/>
            <w:vAlign w:val="center"/>
          </w:tcPr>
          <w:p w14:paraId="50A8AB99">
            <w:pPr>
              <w:pStyle w:val="298"/>
              <w:spacing w:line="400" w:lineRule="exact"/>
              <w:ind w:firstLine="422" w:firstLineChars="200"/>
              <w:rPr>
                <w:rFonts w:ascii="仿宋_GB2312" w:hAnsi="仿宋_GB2312" w:eastAsia="仿宋_GB2312" w:cs="仿宋_GB2312"/>
                <w:szCs w:val="24"/>
              </w:rPr>
            </w:pPr>
            <w:r>
              <w:rPr>
                <w:rFonts w:hint="eastAsia" w:ascii="仿宋_GB2312" w:hAnsi="仿宋_GB2312" w:eastAsia="仿宋_GB2312" w:cs="仿宋_GB2312"/>
                <w:b/>
                <w:bCs/>
                <w:szCs w:val="24"/>
              </w:rPr>
              <w:t>一档（10分）：</w:t>
            </w:r>
            <w:r>
              <w:rPr>
                <w:rFonts w:hint="eastAsia" w:ascii="仿宋_GB2312" w:hAnsi="仿宋_GB2312" w:eastAsia="仿宋_GB2312" w:cs="仿宋_GB2312"/>
                <w:szCs w:val="24"/>
              </w:rPr>
              <w:t>方案及承诺详细、全面，各项内容编制思路合理、完整周全，安排有专职售后服务人员且职责明确，故障出现解决方案、免费保修期外维修方案详细全面、可操作性强，有完善的定期回访计划，且投标人或投标人所投的投标产品厂商具有充足的售后资源及规范的管理制度；</w:t>
            </w:r>
          </w:p>
          <w:p w14:paraId="0D79A927">
            <w:pPr>
              <w:pStyle w:val="298"/>
              <w:spacing w:line="400" w:lineRule="exact"/>
              <w:ind w:firstLine="422" w:firstLineChars="200"/>
              <w:rPr>
                <w:rFonts w:ascii="仿宋_GB2312" w:hAnsi="仿宋_GB2312" w:eastAsia="仿宋_GB2312" w:cs="仿宋_GB2312"/>
                <w:szCs w:val="24"/>
              </w:rPr>
            </w:pPr>
            <w:r>
              <w:rPr>
                <w:rFonts w:hint="eastAsia" w:ascii="仿宋_GB2312" w:hAnsi="仿宋_GB2312" w:eastAsia="仿宋_GB2312" w:cs="仿宋_GB2312"/>
                <w:b/>
                <w:bCs/>
              </w:rPr>
              <w:t>二档（6分）：</w:t>
            </w:r>
            <w:r>
              <w:rPr>
                <w:rFonts w:hint="eastAsia" w:ascii="仿宋_GB2312" w:hAnsi="仿宋_GB2312" w:eastAsia="仿宋_GB2312" w:cs="仿宋_GB2312"/>
                <w:szCs w:val="24"/>
              </w:rPr>
              <w:t>方案能较好满足采购</w:t>
            </w:r>
            <w:r>
              <w:rPr>
                <w:rFonts w:hint="eastAsia" w:ascii="仿宋_GB2312" w:hAnsi="仿宋_GB2312" w:eastAsia="仿宋_GB2312" w:cs="仿宋_GB2312"/>
              </w:rPr>
              <w:t>需求，符合实际，有一定的</w:t>
            </w:r>
            <w:r>
              <w:rPr>
                <w:rFonts w:hint="eastAsia" w:ascii="仿宋_GB2312" w:hAnsi="仿宋_GB2312" w:eastAsia="仿宋_GB2312" w:cs="仿宋_GB2312"/>
                <w:szCs w:val="24"/>
              </w:rPr>
              <w:t>针对性、可行性；售后服务有承诺，并有定期回访制度，有主要零配件储备供应清单，常用的、容易损坏的备品备件及易损件配备的齐全及价格合理，保障响应措施较有力，服务经验较丰富。</w:t>
            </w:r>
          </w:p>
          <w:p w14:paraId="4C4023BA">
            <w:pPr>
              <w:pStyle w:val="298"/>
              <w:spacing w:line="400" w:lineRule="exact"/>
              <w:ind w:firstLine="422" w:firstLineChars="200"/>
              <w:rPr>
                <w:rFonts w:ascii="仿宋_GB2312" w:hAnsi="仿宋_GB2312" w:eastAsia="仿宋_GB2312" w:cs="仿宋_GB2312"/>
                <w:szCs w:val="24"/>
              </w:rPr>
            </w:pPr>
            <w:r>
              <w:rPr>
                <w:rFonts w:hint="eastAsia" w:ascii="仿宋_GB2312" w:hAnsi="仿宋_GB2312" w:eastAsia="仿宋_GB2312" w:cs="仿宋_GB2312"/>
                <w:b/>
                <w:bCs/>
                <w:szCs w:val="24"/>
              </w:rPr>
              <w:t>三档（3分）：</w:t>
            </w:r>
            <w:r>
              <w:rPr>
                <w:rFonts w:hint="eastAsia" w:ascii="仿宋_GB2312" w:hAnsi="仿宋_GB2312" w:eastAsia="仿宋_GB2312" w:cs="仿宋_GB2312"/>
                <w:szCs w:val="24"/>
              </w:rPr>
              <w:t>方案能满足采购需求，符合实际，方案针对性、可行性一般。</w:t>
            </w:r>
          </w:p>
          <w:p w14:paraId="5D104959">
            <w:pPr>
              <w:widowControl/>
              <w:spacing w:line="400" w:lineRule="exact"/>
              <w:ind w:firstLine="422" w:firstLineChars="200"/>
              <w:rPr>
                <w:rFonts w:ascii="仿宋_GB2312" w:hAnsi="仿宋_GB2312" w:eastAsia="仿宋_GB2312" w:cs="仿宋_GB2312"/>
                <w:b/>
                <w:bCs/>
              </w:rPr>
            </w:pPr>
            <w:r>
              <w:rPr>
                <w:rFonts w:ascii="仿宋_GB2312" w:hAnsi="仿宋_GB2312" w:eastAsia="仿宋_GB2312" w:cs="仿宋_GB2312"/>
                <w:b/>
                <w:bCs/>
              </w:rPr>
              <w:t>注：1.该方案</w:t>
            </w:r>
            <w:r>
              <w:rPr>
                <w:rFonts w:hint="eastAsia" w:ascii="仿宋_GB2312" w:hAnsi="仿宋_GB2312" w:eastAsia="仿宋_GB2312" w:cs="仿宋_GB2312"/>
                <w:b/>
                <w:bCs/>
              </w:rPr>
              <w:t>内容可以</w:t>
            </w:r>
            <w:r>
              <w:rPr>
                <w:rFonts w:ascii="仿宋_GB2312" w:hAnsi="仿宋_GB2312" w:eastAsia="仿宋_GB2312" w:cs="仿宋_GB2312"/>
                <w:b/>
                <w:bCs/>
              </w:rPr>
              <w:t>包括：（1）定期回访维护方案；（2）售后服务技术支持（包括售后服务机构、技术人员等）；（3）维修应急预案；（4）零配件储备供应；（5）保修期外维修方案。</w:t>
            </w:r>
          </w:p>
          <w:p w14:paraId="7AC3707C">
            <w:pPr>
              <w:pStyle w:val="298"/>
              <w:spacing w:line="400" w:lineRule="exact"/>
              <w:ind w:firstLine="422" w:firstLineChars="200"/>
              <w:rPr>
                <w:rFonts w:ascii="仿宋_GB2312" w:hAnsi="仿宋_GB2312" w:eastAsia="仿宋_GB2312" w:cs="仿宋_GB2312"/>
                <w:szCs w:val="24"/>
              </w:rPr>
            </w:pPr>
            <w:r>
              <w:rPr>
                <w:rFonts w:ascii="仿宋_GB2312" w:hAnsi="仿宋_GB2312" w:eastAsia="仿宋_GB2312" w:cs="仿宋_GB2312"/>
                <w:b/>
                <w:bCs/>
                <w:szCs w:val="24"/>
              </w:rPr>
              <w:t>2.未提供方案或提供的内容与本项目无关的得0分。</w:t>
            </w:r>
          </w:p>
        </w:tc>
        <w:tc>
          <w:tcPr>
            <w:tcW w:w="967" w:type="dxa"/>
            <w:vAlign w:val="center"/>
          </w:tcPr>
          <w:p w14:paraId="7E0F731F">
            <w:pPr>
              <w:spacing w:line="400" w:lineRule="exact"/>
              <w:jc w:val="center"/>
              <w:rPr>
                <w:rFonts w:ascii="仿宋_GB2312" w:hAnsi="仿宋_GB2312" w:cs="仿宋_GB2312"/>
                <w:b/>
                <w:bCs/>
              </w:rPr>
            </w:pPr>
            <w:r>
              <w:rPr>
                <w:rFonts w:hint="eastAsia" w:ascii="仿宋_GB2312" w:hAnsi="仿宋_GB2312" w:eastAsia="仿宋_GB2312" w:cs="仿宋_GB2312"/>
                <w:b/>
                <w:bCs/>
              </w:rPr>
              <w:t>10</w:t>
            </w:r>
          </w:p>
        </w:tc>
        <w:tc>
          <w:tcPr>
            <w:tcW w:w="1368" w:type="dxa"/>
            <w:vAlign w:val="center"/>
          </w:tcPr>
          <w:p w14:paraId="411F72A4">
            <w:pPr>
              <w:spacing w:line="400" w:lineRule="exact"/>
              <w:jc w:val="center"/>
              <w:rPr>
                <w:rFonts w:ascii="仿宋_GB2312" w:hAnsi="仿宋_GB2312" w:eastAsia="仿宋_GB2312" w:cs="仿宋_GB2312"/>
                <w:b/>
                <w:bCs/>
              </w:rPr>
            </w:pPr>
            <w:r>
              <w:rPr>
                <w:rFonts w:hint="eastAsia" w:ascii="仿宋_GB2312" w:hAnsi="仿宋_GB2312" w:eastAsia="仿宋_GB2312" w:cs="仿宋_GB2312"/>
              </w:rPr>
              <w:t>售后服务方案</w:t>
            </w:r>
          </w:p>
        </w:tc>
      </w:tr>
      <w:tr w14:paraId="77A38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98" w:type="dxa"/>
            <w:gridSpan w:val="3"/>
            <w:vAlign w:val="center"/>
          </w:tcPr>
          <w:p w14:paraId="2E9036A6">
            <w:pPr>
              <w:pStyle w:val="298"/>
              <w:spacing w:line="400" w:lineRule="exact"/>
              <w:ind w:firstLine="422" w:firstLineChars="200"/>
              <w:jc w:val="center"/>
              <w:rPr>
                <w:rFonts w:ascii="仿宋_GB2312" w:hAnsi="仿宋_GB2312" w:eastAsia="仿宋_GB2312" w:cs="仿宋_GB2312"/>
                <w:b/>
                <w:bCs/>
                <w:szCs w:val="24"/>
              </w:rPr>
            </w:pPr>
            <w:r>
              <w:rPr>
                <w:rFonts w:hint="eastAsia" w:ascii="仿宋_GB2312" w:hAnsi="仿宋_GB2312" w:eastAsia="仿宋_GB2312" w:cs="仿宋_GB2312"/>
                <w:b/>
                <w:bCs/>
                <w:szCs w:val="24"/>
              </w:rPr>
              <w:t>主观分总分</w:t>
            </w:r>
          </w:p>
        </w:tc>
        <w:tc>
          <w:tcPr>
            <w:tcW w:w="967" w:type="dxa"/>
            <w:vAlign w:val="center"/>
          </w:tcPr>
          <w:p w14:paraId="2040D03E">
            <w:pPr>
              <w:spacing w:line="400" w:lineRule="exact"/>
              <w:jc w:val="center"/>
              <w:rPr>
                <w:rFonts w:hint="default"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41</w:t>
            </w:r>
          </w:p>
        </w:tc>
        <w:tc>
          <w:tcPr>
            <w:tcW w:w="1368" w:type="dxa"/>
            <w:vAlign w:val="center"/>
          </w:tcPr>
          <w:p w14:paraId="712C447C">
            <w:pPr>
              <w:spacing w:line="400" w:lineRule="exact"/>
              <w:jc w:val="center"/>
              <w:rPr>
                <w:rFonts w:ascii="仿宋_GB2312" w:hAnsi="仿宋_GB2312" w:eastAsia="仿宋_GB2312" w:cs="仿宋_GB2312"/>
              </w:rPr>
            </w:pPr>
          </w:p>
        </w:tc>
      </w:tr>
    </w:tbl>
    <w:p w14:paraId="1D681DFD"/>
    <w:p w14:paraId="369E6730">
      <w:pPr>
        <w:spacing w:line="390" w:lineRule="exact"/>
        <w:ind w:right="-168" w:rightChars="-80" w:firstLine="236" w:firstLineChars="98"/>
        <w:rPr>
          <w:rFonts w:ascii="仿宋_GB2312" w:eastAsia="仿宋_GB2312"/>
          <w:b/>
          <w:sz w:val="24"/>
        </w:rPr>
      </w:pPr>
      <w:r>
        <w:rPr>
          <w:rFonts w:hint="eastAsia" w:ascii="仿宋_GB2312" w:eastAsia="仿宋_GB2312"/>
          <w:b/>
          <w:sz w:val="24"/>
        </w:rPr>
        <w:t>（三）总得分=客观分+主观分</w:t>
      </w:r>
    </w:p>
    <w:p w14:paraId="1DCFBD8F">
      <w:pPr>
        <w:adjustRightInd w:val="0"/>
        <w:spacing w:line="400" w:lineRule="exact"/>
        <w:ind w:firstLine="482" w:firstLineChars="200"/>
        <w:jc w:val="left"/>
        <w:textAlignment w:val="baseline"/>
        <w:rPr>
          <w:rFonts w:hint="eastAsia" w:ascii="仿宋_GB2312" w:hAnsi="宋体" w:eastAsia="仿宋_GB2312"/>
          <w:b/>
          <w:kern w:val="0"/>
          <w:sz w:val="24"/>
        </w:rPr>
      </w:pPr>
      <w:bookmarkStart w:id="96" w:name="gxebd_pack_1_EvalFactorScoreEnd"/>
      <w:bookmarkEnd w:id="96"/>
      <w:r>
        <w:rPr>
          <w:rFonts w:hint="eastAsia" w:ascii="仿宋_GB2312" w:hAnsi="宋体" w:eastAsia="仿宋_GB2312"/>
          <w:b/>
          <w:kern w:val="0"/>
          <w:sz w:val="24"/>
        </w:rPr>
        <w:t>三、中标标准及中标候选人推荐原则</w:t>
      </w:r>
    </w:p>
    <w:p w14:paraId="3F9A4F5C">
      <w:pPr>
        <w:adjustRightInd w:val="0"/>
        <w:spacing w:line="400" w:lineRule="exact"/>
        <w:ind w:firstLine="482" w:firstLineChars="200"/>
        <w:jc w:val="left"/>
        <w:textAlignment w:val="baseline"/>
        <w:rPr>
          <w:rFonts w:hint="eastAsia" w:ascii="仿宋_GB2312" w:hAnsi="宋体" w:eastAsia="仿宋_GB2312"/>
          <w:b/>
          <w:kern w:val="0"/>
          <w:sz w:val="24"/>
        </w:rPr>
      </w:pPr>
      <w:r>
        <w:rPr>
          <w:rFonts w:hint="eastAsia" w:ascii="仿宋_GB2312" w:hAnsi="宋体" w:eastAsia="仿宋_GB2312"/>
          <w:b/>
          <w:kern w:val="0"/>
          <w:sz w:val="24"/>
        </w:rPr>
        <w:t>评标委员会将根据综合得分由高到低排列次序（得分相同时，以投标报价由低到高顺序排列；得分相同且投标报价相同的，按技术指标优劣顺序排列）并推荐综合得分前三名为中标候选人。采购人应当确定评审委员会推荐排名第一的中标候选人为中标人。</w:t>
      </w:r>
      <w:bookmarkStart w:id="97" w:name="_Hlk93676949"/>
      <w:r>
        <w:rPr>
          <w:rFonts w:hint="eastAsia" w:ascii="仿宋_GB2312" w:hAnsi="宋体" w:eastAsia="仿宋_GB2312"/>
          <w:b/>
          <w:kern w:val="0"/>
          <w:sz w:val="24"/>
        </w:rPr>
        <w:t>排名第一的中标候选人放弃中标、因不可抗力提出不能履行合同，</w:t>
      </w:r>
      <w:bookmarkEnd w:id="97"/>
      <w:r>
        <w:rPr>
          <w:rFonts w:hint="eastAsia" w:ascii="仿宋_GB2312" w:hAnsi="宋体" w:eastAsia="仿宋_GB2312"/>
          <w:b/>
          <w:kern w:val="0"/>
          <w:sz w:val="24"/>
        </w:rPr>
        <w:t>采购人或采购代理机构应将该情况报政府采购监督管理部门，从合格的中标候选人中另行确定中标人或重新开展政府采购活动。</w:t>
      </w:r>
    </w:p>
    <w:p w14:paraId="426A38C5">
      <w:pPr>
        <w:adjustRightInd w:val="0"/>
        <w:spacing w:line="400" w:lineRule="exact"/>
        <w:ind w:firstLine="482" w:firstLineChars="200"/>
        <w:jc w:val="left"/>
        <w:textAlignment w:val="baseline"/>
        <w:rPr>
          <w:rFonts w:hint="eastAsia" w:ascii="仿宋_GB2312" w:hAnsi="宋体" w:eastAsia="仿宋_GB2312"/>
          <w:b/>
          <w:bCs/>
          <w:sz w:val="24"/>
        </w:rPr>
      </w:pPr>
      <w:r>
        <w:rPr>
          <w:rFonts w:hint="eastAsia" w:ascii="仿宋_GB2312" w:hAnsi="宋体" w:eastAsia="仿宋_GB2312"/>
          <w:b/>
          <w:kern w:val="0"/>
          <w:sz w:val="24"/>
        </w:rPr>
        <w:t>在中标通知书发出前，采购人或采购代理机构应当对中标人信用进行查询，并按照信用信息使用规则处理。当中标人属于信用信息使用规则中应被拒绝参与政府采购活动的情形时，采购人或采购代理机构应将该情况报政府采购监督管理部门，从合格的中标候选人中另行确定中标人或重新开展政府采购活动</w:t>
      </w:r>
      <w:r>
        <w:rPr>
          <w:rFonts w:hint="eastAsia" w:ascii="仿宋_GB2312" w:hAnsi="宋体" w:eastAsia="仿宋_GB2312"/>
          <w:b/>
          <w:bCs/>
          <w:sz w:val="24"/>
        </w:rPr>
        <w:t>。</w:t>
      </w:r>
    </w:p>
    <w:p w14:paraId="68940D68">
      <w:pPr>
        <w:widowControl/>
        <w:jc w:val="left"/>
        <w:rPr>
          <w:rFonts w:hint="eastAsia" w:ascii="仿宋_GB2312" w:hAnsi="仿宋_GB2312" w:eastAsia="仿宋_GB2312" w:cs="仿宋_GB2312"/>
          <w:spacing w:val="-2"/>
          <w:sz w:val="28"/>
          <w:szCs w:val="28"/>
        </w:rPr>
      </w:pPr>
    </w:p>
    <w:p w14:paraId="53838D43">
      <w:pPr>
        <w:widowControl/>
        <w:jc w:val="left"/>
        <w:rPr>
          <w:rFonts w:hint="eastAsia" w:ascii="仿宋_GB2312" w:hAnsi="仿宋_GB2312" w:eastAsia="仿宋_GB2312" w:cs="仿宋_GB2312"/>
          <w:spacing w:val="-2"/>
          <w:sz w:val="28"/>
          <w:szCs w:val="28"/>
        </w:rPr>
      </w:pPr>
    </w:p>
    <w:p w14:paraId="3380CBA5">
      <w:pPr>
        <w:widowControl/>
        <w:jc w:val="left"/>
        <w:rPr>
          <w:rFonts w:hint="eastAsia" w:ascii="仿宋_GB2312" w:hAnsi="仿宋_GB2312" w:eastAsia="仿宋_GB2312" w:cs="仿宋_GB2312"/>
          <w:spacing w:val="-2"/>
          <w:sz w:val="28"/>
          <w:szCs w:val="28"/>
        </w:rPr>
      </w:pPr>
      <w:r>
        <w:rPr>
          <w:rFonts w:hint="eastAsia" w:ascii="仿宋_GB2312" w:hAnsi="仿宋_GB2312" w:eastAsia="仿宋_GB2312" w:cs="仿宋_GB2312"/>
          <w:spacing w:val="-2"/>
          <w:sz w:val="28"/>
          <w:szCs w:val="28"/>
        </w:rPr>
        <w:t>附件一：</w:t>
      </w:r>
    </w:p>
    <w:p w14:paraId="718A1B1C">
      <w:pPr>
        <w:spacing w:before="342" w:line="175" w:lineRule="auto"/>
        <w:jc w:val="center"/>
        <w:rPr>
          <w:rFonts w:hint="eastAsia" w:ascii="微软雅黑" w:hAnsi="微软雅黑" w:eastAsia="微软雅黑" w:cs="微软雅黑"/>
          <w:sz w:val="40"/>
          <w:szCs w:val="40"/>
        </w:rPr>
      </w:pPr>
      <w:r>
        <w:rPr>
          <w:rFonts w:ascii="微软雅黑" w:hAnsi="微软雅黑" w:eastAsia="微软雅黑" w:cs="微软雅黑"/>
          <w:spacing w:val="-2"/>
          <w:sz w:val="40"/>
          <w:szCs w:val="40"/>
        </w:rPr>
        <w:t>节能产品政府采购品目清单</w:t>
      </w:r>
    </w:p>
    <w:p w14:paraId="527B7B45">
      <w:pPr>
        <w:spacing w:line="151" w:lineRule="exact"/>
      </w:pPr>
    </w:p>
    <w:tbl>
      <w:tblPr>
        <w:tblStyle w:val="236"/>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14:paraId="096DE2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jc w:val="center"/>
        </w:trPr>
        <w:tc>
          <w:tcPr>
            <w:tcW w:w="632" w:type="dxa"/>
          </w:tcPr>
          <w:p w14:paraId="722DA1CB">
            <w:pPr>
              <w:pStyle w:val="235"/>
              <w:spacing w:before="129" w:line="249" w:lineRule="auto"/>
              <w:ind w:left="72" w:right="66" w:firstLine="18"/>
              <w:rPr>
                <w:rFonts w:hint="eastAsia"/>
                <w:sz w:val="22"/>
                <w:szCs w:val="22"/>
              </w:rPr>
            </w:pPr>
            <w:r>
              <w:rPr>
                <w:b/>
                <w:bCs/>
                <w:spacing w:val="-15"/>
                <w:sz w:val="22"/>
                <w:szCs w:val="22"/>
              </w:rPr>
              <w:t>品目</w:t>
            </w:r>
            <w:r>
              <w:rPr>
                <w:sz w:val="22"/>
                <w:szCs w:val="22"/>
              </w:rPr>
              <w:t xml:space="preserve"> </w:t>
            </w:r>
            <w:r>
              <w:rPr>
                <w:b/>
                <w:bCs/>
                <w:spacing w:val="-6"/>
                <w:sz w:val="22"/>
                <w:szCs w:val="22"/>
              </w:rPr>
              <w:t>序号</w:t>
            </w:r>
          </w:p>
        </w:tc>
        <w:tc>
          <w:tcPr>
            <w:tcW w:w="5335" w:type="dxa"/>
            <w:gridSpan w:val="3"/>
          </w:tcPr>
          <w:p w14:paraId="1BC117FB">
            <w:pPr>
              <w:pStyle w:val="235"/>
              <w:spacing w:before="285" w:line="223" w:lineRule="auto"/>
              <w:ind w:left="2226"/>
              <w:rPr>
                <w:rFonts w:hint="eastAsia"/>
                <w:sz w:val="22"/>
                <w:szCs w:val="22"/>
              </w:rPr>
            </w:pPr>
            <w:r>
              <w:rPr>
                <w:b/>
                <w:bCs/>
                <w:spacing w:val="-5"/>
                <w:sz w:val="22"/>
                <w:szCs w:val="22"/>
              </w:rPr>
              <w:t>名称</w:t>
            </w:r>
          </w:p>
        </w:tc>
        <w:tc>
          <w:tcPr>
            <w:tcW w:w="3247" w:type="dxa"/>
          </w:tcPr>
          <w:p w14:paraId="46532DAD">
            <w:pPr>
              <w:pStyle w:val="235"/>
              <w:spacing w:before="285" w:line="220" w:lineRule="auto"/>
              <w:ind w:left="939"/>
              <w:rPr>
                <w:rFonts w:hint="eastAsia"/>
                <w:sz w:val="22"/>
                <w:szCs w:val="22"/>
              </w:rPr>
            </w:pPr>
            <w:r>
              <w:rPr>
                <w:b/>
                <w:bCs/>
                <w:spacing w:val="-4"/>
                <w:sz w:val="22"/>
                <w:szCs w:val="22"/>
              </w:rPr>
              <w:t>依据的标准</w:t>
            </w:r>
          </w:p>
        </w:tc>
      </w:tr>
      <w:tr w14:paraId="05E375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jc w:val="center"/>
        </w:trPr>
        <w:tc>
          <w:tcPr>
            <w:tcW w:w="632" w:type="dxa"/>
            <w:vMerge w:val="restart"/>
            <w:tcBorders>
              <w:bottom w:val="nil"/>
            </w:tcBorders>
          </w:tcPr>
          <w:p w14:paraId="3EA2BE67">
            <w:pPr>
              <w:spacing w:line="254" w:lineRule="auto"/>
              <w:rPr>
                <w:rFonts w:ascii="Arial"/>
              </w:rPr>
            </w:pPr>
          </w:p>
          <w:p w14:paraId="2F86F9F6">
            <w:pPr>
              <w:spacing w:line="254" w:lineRule="auto"/>
              <w:rPr>
                <w:rFonts w:ascii="Arial"/>
              </w:rPr>
            </w:pPr>
          </w:p>
          <w:p w14:paraId="2E249615">
            <w:pPr>
              <w:spacing w:line="254" w:lineRule="auto"/>
              <w:rPr>
                <w:rFonts w:ascii="Arial"/>
              </w:rPr>
            </w:pPr>
          </w:p>
          <w:p w14:paraId="130E244E">
            <w:pPr>
              <w:spacing w:line="255" w:lineRule="auto"/>
              <w:rPr>
                <w:rFonts w:ascii="Arial"/>
              </w:rPr>
            </w:pPr>
          </w:p>
          <w:p w14:paraId="69B390AD">
            <w:pPr>
              <w:pStyle w:val="235"/>
              <w:spacing w:before="62" w:line="190" w:lineRule="auto"/>
              <w:ind w:left="257"/>
              <w:rPr>
                <w:rFonts w:hint="eastAsia"/>
              </w:rPr>
            </w:pPr>
            <w:r>
              <w:t>1</w:t>
            </w:r>
          </w:p>
        </w:tc>
        <w:tc>
          <w:tcPr>
            <w:tcW w:w="1275" w:type="dxa"/>
            <w:vMerge w:val="restart"/>
            <w:tcBorders>
              <w:bottom w:val="nil"/>
            </w:tcBorders>
          </w:tcPr>
          <w:p w14:paraId="6C8C3981">
            <w:pPr>
              <w:spacing w:line="277" w:lineRule="auto"/>
              <w:rPr>
                <w:rFonts w:ascii="Arial"/>
              </w:rPr>
            </w:pPr>
          </w:p>
          <w:p w14:paraId="65F43E88">
            <w:pPr>
              <w:spacing w:line="277" w:lineRule="auto"/>
              <w:rPr>
                <w:rFonts w:ascii="Arial"/>
              </w:rPr>
            </w:pPr>
          </w:p>
          <w:p w14:paraId="6893735C">
            <w:pPr>
              <w:spacing w:line="278" w:lineRule="auto"/>
              <w:rPr>
                <w:rFonts w:ascii="Arial"/>
              </w:rPr>
            </w:pPr>
          </w:p>
          <w:p w14:paraId="49E59DE1">
            <w:pPr>
              <w:pStyle w:val="235"/>
              <w:spacing w:before="61" w:line="288" w:lineRule="auto"/>
              <w:ind w:left="14" w:right="8" w:hanging="5"/>
              <w:rPr>
                <w:rFonts w:hint="eastAsia"/>
              </w:rPr>
            </w:pPr>
            <w:r>
              <w:rPr>
                <w:spacing w:val="5"/>
              </w:rPr>
              <w:t>A020101</w:t>
            </w:r>
            <w:r>
              <w:rPr>
                <w:spacing w:val="-43"/>
              </w:rPr>
              <w:t xml:space="preserve"> </w:t>
            </w:r>
            <w:r>
              <w:rPr>
                <w:spacing w:val="5"/>
              </w:rPr>
              <w:t>计算</w:t>
            </w:r>
            <w:r>
              <w:t xml:space="preserve"> </w:t>
            </w:r>
            <w:r>
              <w:rPr>
                <w:spacing w:val="6"/>
              </w:rPr>
              <w:t>机设备</w:t>
            </w:r>
          </w:p>
        </w:tc>
        <w:tc>
          <w:tcPr>
            <w:tcW w:w="1967" w:type="dxa"/>
          </w:tcPr>
          <w:p w14:paraId="650F0DA2">
            <w:pPr>
              <w:pStyle w:val="235"/>
              <w:spacing w:before="155" w:line="288" w:lineRule="auto"/>
              <w:ind w:left="17" w:right="10" w:firstLine="1"/>
              <w:rPr>
                <w:rFonts w:hint="eastAsia"/>
              </w:rPr>
            </w:pPr>
            <w:r>
              <w:rPr>
                <w:spacing w:val="3"/>
              </w:rPr>
              <w:t>★A02010104 台式计</w:t>
            </w:r>
            <w:r>
              <w:rPr>
                <w:spacing w:val="12"/>
              </w:rPr>
              <w:t xml:space="preserve"> </w:t>
            </w:r>
            <w:r>
              <w:rPr>
                <w:spacing w:val="4"/>
              </w:rPr>
              <w:t>算机</w:t>
            </w:r>
          </w:p>
        </w:tc>
        <w:tc>
          <w:tcPr>
            <w:tcW w:w="2093" w:type="dxa"/>
          </w:tcPr>
          <w:p w14:paraId="12E9E454">
            <w:pPr>
              <w:rPr>
                <w:rFonts w:ascii="Arial"/>
              </w:rPr>
            </w:pPr>
          </w:p>
        </w:tc>
        <w:tc>
          <w:tcPr>
            <w:tcW w:w="3247" w:type="dxa"/>
          </w:tcPr>
          <w:p w14:paraId="49084DEF">
            <w:pPr>
              <w:pStyle w:val="235"/>
              <w:spacing w:before="155" w:line="288" w:lineRule="auto"/>
              <w:ind w:left="19" w:right="11" w:firstLine="3"/>
              <w:rPr>
                <w:rFonts w:hint="eastAsia"/>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14:paraId="4787A5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jc w:val="center"/>
        </w:trPr>
        <w:tc>
          <w:tcPr>
            <w:tcW w:w="632" w:type="dxa"/>
            <w:vMerge w:val="continue"/>
            <w:tcBorders>
              <w:top w:val="nil"/>
              <w:bottom w:val="nil"/>
            </w:tcBorders>
          </w:tcPr>
          <w:p w14:paraId="5B344711">
            <w:pPr>
              <w:rPr>
                <w:rFonts w:ascii="Arial"/>
              </w:rPr>
            </w:pPr>
          </w:p>
        </w:tc>
        <w:tc>
          <w:tcPr>
            <w:tcW w:w="1275" w:type="dxa"/>
            <w:vMerge w:val="continue"/>
            <w:tcBorders>
              <w:top w:val="nil"/>
              <w:bottom w:val="nil"/>
            </w:tcBorders>
          </w:tcPr>
          <w:p w14:paraId="1CB382C9">
            <w:pPr>
              <w:rPr>
                <w:rFonts w:ascii="Arial"/>
              </w:rPr>
            </w:pPr>
          </w:p>
        </w:tc>
        <w:tc>
          <w:tcPr>
            <w:tcW w:w="1967" w:type="dxa"/>
          </w:tcPr>
          <w:p w14:paraId="655435F6">
            <w:pPr>
              <w:pStyle w:val="235"/>
              <w:spacing w:before="110" w:line="288" w:lineRule="auto"/>
              <w:ind w:left="15" w:right="10" w:firstLine="3"/>
              <w:rPr>
                <w:rFonts w:hint="eastAsia"/>
              </w:rPr>
            </w:pPr>
            <w:r>
              <w:rPr>
                <w:spacing w:val="3"/>
              </w:rPr>
              <w:t>★A02010105 便携式</w:t>
            </w:r>
            <w:r>
              <w:rPr>
                <w:spacing w:val="12"/>
              </w:rPr>
              <w:t xml:space="preserve"> </w:t>
            </w:r>
            <w:r>
              <w:rPr>
                <w:spacing w:val="6"/>
              </w:rPr>
              <w:t>计算机</w:t>
            </w:r>
          </w:p>
        </w:tc>
        <w:tc>
          <w:tcPr>
            <w:tcW w:w="2093" w:type="dxa"/>
          </w:tcPr>
          <w:p w14:paraId="59044C34">
            <w:pPr>
              <w:rPr>
                <w:rFonts w:ascii="Arial"/>
              </w:rPr>
            </w:pPr>
          </w:p>
        </w:tc>
        <w:tc>
          <w:tcPr>
            <w:tcW w:w="3247" w:type="dxa"/>
          </w:tcPr>
          <w:p w14:paraId="17A0E652">
            <w:pPr>
              <w:pStyle w:val="235"/>
              <w:spacing w:before="111" w:line="288" w:lineRule="auto"/>
              <w:ind w:left="19" w:right="11" w:firstLine="3"/>
              <w:rPr>
                <w:rFonts w:hint="eastAsia"/>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14:paraId="5FA68A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jc w:val="center"/>
        </w:trPr>
        <w:tc>
          <w:tcPr>
            <w:tcW w:w="632" w:type="dxa"/>
            <w:vMerge w:val="continue"/>
            <w:tcBorders>
              <w:top w:val="nil"/>
            </w:tcBorders>
          </w:tcPr>
          <w:p w14:paraId="1F315739">
            <w:pPr>
              <w:rPr>
                <w:rFonts w:ascii="Arial"/>
              </w:rPr>
            </w:pPr>
          </w:p>
        </w:tc>
        <w:tc>
          <w:tcPr>
            <w:tcW w:w="1275" w:type="dxa"/>
            <w:vMerge w:val="continue"/>
            <w:tcBorders>
              <w:top w:val="nil"/>
            </w:tcBorders>
          </w:tcPr>
          <w:p w14:paraId="3120C96A">
            <w:pPr>
              <w:rPr>
                <w:rFonts w:ascii="Arial"/>
              </w:rPr>
            </w:pPr>
          </w:p>
        </w:tc>
        <w:tc>
          <w:tcPr>
            <w:tcW w:w="1967" w:type="dxa"/>
          </w:tcPr>
          <w:p w14:paraId="4D4E92B0">
            <w:pPr>
              <w:pStyle w:val="235"/>
              <w:spacing w:before="130" w:line="288" w:lineRule="auto"/>
              <w:ind w:left="15" w:right="10" w:firstLine="3"/>
              <w:rPr>
                <w:rFonts w:hint="eastAsia"/>
                <w:lang w:eastAsia="zh-CN"/>
              </w:rPr>
            </w:pPr>
            <w:r>
              <w:rPr>
                <w:spacing w:val="3"/>
                <w:lang w:eastAsia="zh-CN"/>
              </w:rPr>
              <w:t>★A02010107 平板式</w:t>
            </w:r>
            <w:r>
              <w:rPr>
                <w:spacing w:val="12"/>
                <w:lang w:eastAsia="zh-CN"/>
              </w:rPr>
              <w:t xml:space="preserve"> </w:t>
            </w:r>
            <w:r>
              <w:rPr>
                <w:spacing w:val="8"/>
                <w:lang w:eastAsia="zh-CN"/>
              </w:rPr>
              <w:t>微型计算机</w:t>
            </w:r>
          </w:p>
        </w:tc>
        <w:tc>
          <w:tcPr>
            <w:tcW w:w="2093" w:type="dxa"/>
          </w:tcPr>
          <w:p w14:paraId="13DFE711">
            <w:pPr>
              <w:rPr>
                <w:rFonts w:ascii="Arial"/>
              </w:rPr>
            </w:pPr>
          </w:p>
        </w:tc>
        <w:tc>
          <w:tcPr>
            <w:tcW w:w="3247" w:type="dxa"/>
          </w:tcPr>
          <w:p w14:paraId="122CE355">
            <w:pPr>
              <w:pStyle w:val="235"/>
              <w:spacing w:before="130" w:line="288" w:lineRule="auto"/>
              <w:ind w:left="19" w:right="11" w:firstLine="3"/>
              <w:rPr>
                <w:rFonts w:hint="eastAsia"/>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14:paraId="657933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jc w:val="center"/>
        </w:trPr>
        <w:tc>
          <w:tcPr>
            <w:tcW w:w="632" w:type="dxa"/>
            <w:vMerge w:val="restart"/>
            <w:tcBorders>
              <w:bottom w:val="nil"/>
            </w:tcBorders>
          </w:tcPr>
          <w:p w14:paraId="32182516">
            <w:pPr>
              <w:spacing w:line="255" w:lineRule="auto"/>
              <w:rPr>
                <w:rFonts w:ascii="Arial"/>
              </w:rPr>
            </w:pPr>
          </w:p>
          <w:p w14:paraId="78931D89">
            <w:pPr>
              <w:spacing w:line="255" w:lineRule="auto"/>
              <w:rPr>
                <w:rFonts w:ascii="Arial"/>
              </w:rPr>
            </w:pPr>
          </w:p>
          <w:p w14:paraId="20D3DE19">
            <w:pPr>
              <w:spacing w:line="255" w:lineRule="auto"/>
              <w:rPr>
                <w:rFonts w:ascii="Arial"/>
              </w:rPr>
            </w:pPr>
          </w:p>
          <w:p w14:paraId="2E91571D">
            <w:pPr>
              <w:spacing w:line="255" w:lineRule="auto"/>
              <w:rPr>
                <w:rFonts w:ascii="Arial"/>
              </w:rPr>
            </w:pPr>
          </w:p>
          <w:p w14:paraId="6C3B6E9A">
            <w:pPr>
              <w:spacing w:line="255" w:lineRule="auto"/>
              <w:rPr>
                <w:rFonts w:ascii="Arial"/>
              </w:rPr>
            </w:pPr>
          </w:p>
          <w:p w14:paraId="30103C50">
            <w:pPr>
              <w:spacing w:line="255" w:lineRule="auto"/>
              <w:rPr>
                <w:rFonts w:ascii="Arial"/>
              </w:rPr>
            </w:pPr>
          </w:p>
          <w:p w14:paraId="4AD59795">
            <w:pPr>
              <w:spacing w:line="256" w:lineRule="auto"/>
              <w:rPr>
                <w:rFonts w:ascii="Arial"/>
              </w:rPr>
            </w:pPr>
          </w:p>
          <w:p w14:paraId="467D8D5D">
            <w:pPr>
              <w:spacing w:line="256" w:lineRule="auto"/>
              <w:rPr>
                <w:rFonts w:ascii="Arial"/>
              </w:rPr>
            </w:pPr>
          </w:p>
          <w:p w14:paraId="374FA522">
            <w:pPr>
              <w:pStyle w:val="235"/>
              <w:spacing w:before="62" w:line="189" w:lineRule="auto"/>
              <w:ind w:left="245"/>
              <w:rPr>
                <w:rFonts w:hint="eastAsia"/>
              </w:rPr>
            </w:pPr>
            <w:r>
              <w:t>2</w:t>
            </w:r>
          </w:p>
        </w:tc>
        <w:tc>
          <w:tcPr>
            <w:tcW w:w="1275" w:type="dxa"/>
            <w:vMerge w:val="restart"/>
            <w:tcBorders>
              <w:bottom w:val="nil"/>
            </w:tcBorders>
          </w:tcPr>
          <w:p w14:paraId="72415895">
            <w:pPr>
              <w:spacing w:line="265" w:lineRule="auto"/>
              <w:rPr>
                <w:rFonts w:ascii="Arial"/>
              </w:rPr>
            </w:pPr>
          </w:p>
          <w:p w14:paraId="5D4B1CEC">
            <w:pPr>
              <w:spacing w:line="265" w:lineRule="auto"/>
              <w:rPr>
                <w:rFonts w:ascii="Arial"/>
              </w:rPr>
            </w:pPr>
          </w:p>
          <w:p w14:paraId="7B4BB060">
            <w:pPr>
              <w:spacing w:line="265" w:lineRule="auto"/>
              <w:rPr>
                <w:rFonts w:ascii="Arial"/>
              </w:rPr>
            </w:pPr>
          </w:p>
          <w:p w14:paraId="3577004E">
            <w:pPr>
              <w:spacing w:line="265" w:lineRule="auto"/>
              <w:rPr>
                <w:rFonts w:ascii="Arial"/>
              </w:rPr>
            </w:pPr>
          </w:p>
          <w:p w14:paraId="53D87CE3">
            <w:pPr>
              <w:spacing w:line="265" w:lineRule="auto"/>
              <w:rPr>
                <w:rFonts w:ascii="Arial"/>
              </w:rPr>
            </w:pPr>
          </w:p>
          <w:p w14:paraId="25080B94">
            <w:pPr>
              <w:spacing w:line="265" w:lineRule="auto"/>
              <w:rPr>
                <w:rFonts w:ascii="Arial"/>
              </w:rPr>
            </w:pPr>
          </w:p>
          <w:p w14:paraId="5F534E7E">
            <w:pPr>
              <w:spacing w:line="266" w:lineRule="auto"/>
              <w:rPr>
                <w:rFonts w:ascii="Arial"/>
              </w:rPr>
            </w:pPr>
          </w:p>
          <w:p w14:paraId="107F4A03">
            <w:pPr>
              <w:pStyle w:val="235"/>
              <w:spacing w:before="62" w:line="288" w:lineRule="auto"/>
              <w:ind w:left="14" w:right="8" w:hanging="5"/>
              <w:rPr>
                <w:rFonts w:hint="eastAsia"/>
              </w:rPr>
            </w:pPr>
            <w:r>
              <w:rPr>
                <w:spacing w:val="5"/>
              </w:rPr>
              <w:t>A020106</w:t>
            </w:r>
            <w:r>
              <w:rPr>
                <w:spacing w:val="-43"/>
              </w:rPr>
              <w:t xml:space="preserve"> </w:t>
            </w:r>
            <w:r>
              <w:rPr>
                <w:spacing w:val="5"/>
              </w:rPr>
              <w:t>输入</w:t>
            </w:r>
            <w:r>
              <w:t xml:space="preserve"> </w:t>
            </w:r>
            <w:r>
              <w:rPr>
                <w:spacing w:val="7"/>
              </w:rPr>
              <w:t>输出设备</w:t>
            </w:r>
          </w:p>
        </w:tc>
        <w:tc>
          <w:tcPr>
            <w:tcW w:w="1967" w:type="dxa"/>
            <w:vMerge w:val="restart"/>
            <w:tcBorders>
              <w:bottom w:val="nil"/>
            </w:tcBorders>
          </w:tcPr>
          <w:p w14:paraId="07874D38">
            <w:pPr>
              <w:spacing w:line="316" w:lineRule="auto"/>
              <w:rPr>
                <w:rFonts w:ascii="Arial"/>
              </w:rPr>
            </w:pPr>
          </w:p>
          <w:p w14:paraId="5C649C68">
            <w:pPr>
              <w:spacing w:line="316" w:lineRule="auto"/>
              <w:rPr>
                <w:rFonts w:ascii="Arial"/>
              </w:rPr>
            </w:pPr>
          </w:p>
          <w:p w14:paraId="2EBFAF6D">
            <w:pPr>
              <w:spacing w:line="317" w:lineRule="auto"/>
              <w:rPr>
                <w:rFonts w:ascii="Arial"/>
              </w:rPr>
            </w:pPr>
          </w:p>
          <w:p w14:paraId="37478D85">
            <w:pPr>
              <w:pStyle w:val="235"/>
              <w:spacing w:before="62" w:line="229" w:lineRule="auto"/>
              <w:ind w:left="9"/>
              <w:rPr>
                <w:rFonts w:hint="eastAsia"/>
              </w:rPr>
            </w:pPr>
            <w:r>
              <w:rPr>
                <w:spacing w:val="5"/>
              </w:rPr>
              <w:t>A02010601</w:t>
            </w:r>
            <w:r>
              <w:rPr>
                <w:spacing w:val="-28"/>
              </w:rPr>
              <w:t xml:space="preserve"> </w:t>
            </w:r>
            <w:r>
              <w:rPr>
                <w:spacing w:val="5"/>
              </w:rPr>
              <w:t>打印设备</w:t>
            </w:r>
          </w:p>
        </w:tc>
        <w:tc>
          <w:tcPr>
            <w:tcW w:w="2093" w:type="dxa"/>
          </w:tcPr>
          <w:p w14:paraId="37801E38">
            <w:pPr>
              <w:pStyle w:val="235"/>
              <w:spacing w:before="119" w:line="288" w:lineRule="auto"/>
              <w:ind w:left="31" w:right="8" w:hanging="21"/>
              <w:rPr>
                <w:rFonts w:hint="eastAsia"/>
              </w:rPr>
            </w:pPr>
            <w:r>
              <w:rPr>
                <w:spacing w:val="3"/>
              </w:rPr>
              <w:t>A0201060101</w:t>
            </w:r>
            <w:r>
              <w:rPr>
                <w:spacing w:val="50"/>
              </w:rPr>
              <w:t xml:space="preserve"> </w:t>
            </w:r>
            <w:r>
              <w:rPr>
                <w:spacing w:val="3"/>
              </w:rPr>
              <w:t>喷</w:t>
            </w:r>
            <w:r>
              <w:rPr>
                <w:spacing w:val="-51"/>
              </w:rPr>
              <w:t xml:space="preserve"> </w:t>
            </w:r>
            <w:r>
              <w:rPr>
                <w:spacing w:val="3"/>
              </w:rPr>
              <w:t>墨</w:t>
            </w:r>
            <w:r>
              <w:rPr>
                <w:spacing w:val="-53"/>
              </w:rPr>
              <w:t xml:space="preserve"> </w:t>
            </w:r>
            <w:r>
              <w:rPr>
                <w:spacing w:val="3"/>
              </w:rPr>
              <w:t>打</w:t>
            </w:r>
            <w:r>
              <w:t xml:space="preserve"> </w:t>
            </w:r>
            <w:r>
              <w:rPr>
                <w:spacing w:val="-2"/>
              </w:rPr>
              <w:t>印机</w:t>
            </w:r>
          </w:p>
        </w:tc>
        <w:tc>
          <w:tcPr>
            <w:tcW w:w="3247" w:type="dxa"/>
          </w:tcPr>
          <w:p w14:paraId="19431611">
            <w:pPr>
              <w:pStyle w:val="235"/>
              <w:spacing w:before="120" w:line="288"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14:paraId="18A597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632" w:type="dxa"/>
            <w:vMerge w:val="continue"/>
            <w:tcBorders>
              <w:top w:val="nil"/>
              <w:bottom w:val="nil"/>
            </w:tcBorders>
          </w:tcPr>
          <w:p w14:paraId="21245DD0">
            <w:pPr>
              <w:rPr>
                <w:rFonts w:ascii="Arial"/>
              </w:rPr>
            </w:pPr>
          </w:p>
        </w:tc>
        <w:tc>
          <w:tcPr>
            <w:tcW w:w="1275" w:type="dxa"/>
            <w:vMerge w:val="continue"/>
            <w:tcBorders>
              <w:top w:val="nil"/>
              <w:bottom w:val="nil"/>
            </w:tcBorders>
          </w:tcPr>
          <w:p w14:paraId="75DD0ED1">
            <w:pPr>
              <w:rPr>
                <w:rFonts w:ascii="Arial"/>
              </w:rPr>
            </w:pPr>
          </w:p>
        </w:tc>
        <w:tc>
          <w:tcPr>
            <w:tcW w:w="1967" w:type="dxa"/>
            <w:vMerge w:val="continue"/>
            <w:tcBorders>
              <w:top w:val="nil"/>
              <w:bottom w:val="nil"/>
            </w:tcBorders>
          </w:tcPr>
          <w:p w14:paraId="5EFD4F74">
            <w:pPr>
              <w:rPr>
                <w:rFonts w:ascii="Arial"/>
              </w:rPr>
            </w:pPr>
          </w:p>
        </w:tc>
        <w:tc>
          <w:tcPr>
            <w:tcW w:w="2093" w:type="dxa"/>
          </w:tcPr>
          <w:p w14:paraId="424D4B12">
            <w:pPr>
              <w:pStyle w:val="235"/>
              <w:spacing w:before="119" w:line="288" w:lineRule="auto"/>
              <w:ind w:left="19" w:right="8"/>
              <w:rPr>
                <w:rFonts w:hint="eastAsia"/>
              </w:rPr>
            </w:pPr>
            <w:r>
              <w:rPr>
                <w:spacing w:val="3"/>
              </w:rPr>
              <w:t>★</w:t>
            </w:r>
            <w:r>
              <w:rPr>
                <w:spacing w:val="-50"/>
              </w:rPr>
              <w:t xml:space="preserve"> </w:t>
            </w:r>
            <w:r>
              <w:rPr>
                <w:spacing w:val="3"/>
              </w:rPr>
              <w:t>A0201060102</w:t>
            </w:r>
            <w:r>
              <w:rPr>
                <w:spacing w:val="41"/>
              </w:rPr>
              <w:t xml:space="preserve"> </w:t>
            </w:r>
            <w:r>
              <w:rPr>
                <w:spacing w:val="3"/>
              </w:rPr>
              <w:t>激</w:t>
            </w:r>
            <w:r>
              <w:rPr>
                <w:spacing w:val="-54"/>
              </w:rPr>
              <w:t xml:space="preserve"> </w:t>
            </w:r>
            <w:r>
              <w:rPr>
                <w:spacing w:val="3"/>
              </w:rPr>
              <w:t>光</w:t>
            </w:r>
            <w:r>
              <w:t xml:space="preserve"> </w:t>
            </w:r>
            <w:r>
              <w:rPr>
                <w:spacing w:val="5"/>
              </w:rPr>
              <w:t>打印机</w:t>
            </w:r>
          </w:p>
        </w:tc>
        <w:tc>
          <w:tcPr>
            <w:tcW w:w="3247" w:type="dxa"/>
          </w:tcPr>
          <w:p w14:paraId="4AAB73F3">
            <w:pPr>
              <w:pStyle w:val="235"/>
              <w:spacing w:before="120" w:line="288"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14:paraId="3E6C2E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632" w:type="dxa"/>
            <w:vMerge w:val="continue"/>
            <w:tcBorders>
              <w:top w:val="nil"/>
              <w:bottom w:val="nil"/>
            </w:tcBorders>
          </w:tcPr>
          <w:p w14:paraId="0C6A81B8">
            <w:pPr>
              <w:rPr>
                <w:rFonts w:ascii="Arial"/>
              </w:rPr>
            </w:pPr>
          </w:p>
        </w:tc>
        <w:tc>
          <w:tcPr>
            <w:tcW w:w="1275" w:type="dxa"/>
            <w:vMerge w:val="continue"/>
            <w:tcBorders>
              <w:top w:val="nil"/>
              <w:bottom w:val="nil"/>
            </w:tcBorders>
          </w:tcPr>
          <w:p w14:paraId="608795DF">
            <w:pPr>
              <w:rPr>
                <w:rFonts w:ascii="Arial"/>
              </w:rPr>
            </w:pPr>
          </w:p>
        </w:tc>
        <w:tc>
          <w:tcPr>
            <w:tcW w:w="1967" w:type="dxa"/>
            <w:vMerge w:val="continue"/>
            <w:tcBorders>
              <w:top w:val="nil"/>
            </w:tcBorders>
          </w:tcPr>
          <w:p w14:paraId="1D40A07F">
            <w:pPr>
              <w:rPr>
                <w:rFonts w:ascii="Arial"/>
              </w:rPr>
            </w:pPr>
          </w:p>
        </w:tc>
        <w:tc>
          <w:tcPr>
            <w:tcW w:w="2093" w:type="dxa"/>
          </w:tcPr>
          <w:p w14:paraId="31113E5D">
            <w:pPr>
              <w:pStyle w:val="235"/>
              <w:spacing w:before="119" w:line="288" w:lineRule="auto"/>
              <w:ind w:left="19" w:right="8"/>
              <w:rPr>
                <w:rFonts w:hint="eastAsia"/>
              </w:rPr>
            </w:pPr>
            <w:r>
              <w:rPr>
                <w:spacing w:val="3"/>
              </w:rPr>
              <w:t>★</w:t>
            </w:r>
            <w:r>
              <w:rPr>
                <w:spacing w:val="-54"/>
              </w:rPr>
              <w:t xml:space="preserve"> </w:t>
            </w:r>
            <w:r>
              <w:rPr>
                <w:spacing w:val="3"/>
              </w:rPr>
              <w:t>A0201060104</w:t>
            </w:r>
            <w:r>
              <w:rPr>
                <w:spacing w:val="43"/>
              </w:rPr>
              <w:t xml:space="preserve"> </w:t>
            </w:r>
            <w:r>
              <w:rPr>
                <w:spacing w:val="3"/>
              </w:rPr>
              <w:t>针</w:t>
            </w:r>
            <w:r>
              <w:rPr>
                <w:spacing w:val="-52"/>
              </w:rPr>
              <w:t xml:space="preserve"> </w:t>
            </w:r>
            <w:r>
              <w:rPr>
                <w:spacing w:val="3"/>
              </w:rPr>
              <w:t>式</w:t>
            </w:r>
            <w:r>
              <w:t xml:space="preserve"> </w:t>
            </w:r>
            <w:r>
              <w:rPr>
                <w:spacing w:val="5"/>
              </w:rPr>
              <w:t>打印机</w:t>
            </w:r>
          </w:p>
        </w:tc>
        <w:tc>
          <w:tcPr>
            <w:tcW w:w="3247" w:type="dxa"/>
          </w:tcPr>
          <w:p w14:paraId="6A319FE0">
            <w:pPr>
              <w:pStyle w:val="235"/>
              <w:spacing w:before="120" w:line="288"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14:paraId="729C2A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8" w:hRule="atLeast"/>
          <w:jc w:val="center"/>
        </w:trPr>
        <w:tc>
          <w:tcPr>
            <w:tcW w:w="632" w:type="dxa"/>
            <w:vMerge w:val="continue"/>
            <w:tcBorders>
              <w:top w:val="nil"/>
              <w:bottom w:val="nil"/>
            </w:tcBorders>
          </w:tcPr>
          <w:p w14:paraId="0E32E74A">
            <w:pPr>
              <w:rPr>
                <w:rFonts w:ascii="Arial"/>
              </w:rPr>
            </w:pPr>
          </w:p>
        </w:tc>
        <w:tc>
          <w:tcPr>
            <w:tcW w:w="1275" w:type="dxa"/>
            <w:vMerge w:val="continue"/>
            <w:tcBorders>
              <w:top w:val="nil"/>
              <w:bottom w:val="nil"/>
            </w:tcBorders>
          </w:tcPr>
          <w:p w14:paraId="6BE6913B">
            <w:pPr>
              <w:rPr>
                <w:rFonts w:ascii="Arial"/>
              </w:rPr>
            </w:pPr>
          </w:p>
        </w:tc>
        <w:tc>
          <w:tcPr>
            <w:tcW w:w="1967" w:type="dxa"/>
          </w:tcPr>
          <w:p w14:paraId="221F5709">
            <w:pPr>
              <w:pStyle w:val="235"/>
              <w:spacing w:before="292" w:line="230" w:lineRule="auto"/>
              <w:ind w:left="9"/>
              <w:rPr>
                <w:rFonts w:hint="eastAsia"/>
              </w:rPr>
            </w:pPr>
            <w:r>
              <w:rPr>
                <w:spacing w:val="5"/>
              </w:rPr>
              <w:t>A02010604</w:t>
            </w:r>
            <w:r>
              <w:rPr>
                <w:spacing w:val="-28"/>
              </w:rPr>
              <w:t xml:space="preserve"> </w:t>
            </w:r>
            <w:r>
              <w:rPr>
                <w:spacing w:val="5"/>
              </w:rPr>
              <w:t>显示设备</w:t>
            </w:r>
          </w:p>
        </w:tc>
        <w:tc>
          <w:tcPr>
            <w:tcW w:w="2093" w:type="dxa"/>
          </w:tcPr>
          <w:p w14:paraId="468E06FE">
            <w:pPr>
              <w:pStyle w:val="235"/>
              <w:spacing w:before="136" w:line="289" w:lineRule="auto"/>
              <w:ind w:left="20" w:right="8" w:hanging="1"/>
              <w:rPr>
                <w:rFonts w:hint="eastAsia"/>
              </w:rPr>
            </w:pPr>
            <w:r>
              <w:rPr>
                <w:spacing w:val="2"/>
              </w:rPr>
              <w:t>★</w:t>
            </w:r>
            <w:r>
              <w:rPr>
                <w:spacing w:val="-54"/>
              </w:rPr>
              <w:t xml:space="preserve"> </w:t>
            </w:r>
            <w:r>
              <w:rPr>
                <w:spacing w:val="2"/>
              </w:rPr>
              <w:t>A0201060401</w:t>
            </w:r>
            <w:r>
              <w:rPr>
                <w:spacing w:val="44"/>
              </w:rPr>
              <w:t xml:space="preserve"> </w:t>
            </w:r>
            <w:r>
              <w:rPr>
                <w:spacing w:val="2"/>
              </w:rPr>
              <w:t>液</w:t>
            </w:r>
            <w:r>
              <w:rPr>
                <w:spacing w:val="-39"/>
              </w:rPr>
              <w:t xml:space="preserve"> </w:t>
            </w:r>
            <w:r>
              <w:rPr>
                <w:spacing w:val="2"/>
              </w:rPr>
              <w:t>晶</w:t>
            </w:r>
            <w:r>
              <w:t xml:space="preserve"> </w:t>
            </w:r>
            <w:r>
              <w:rPr>
                <w:spacing w:val="5"/>
              </w:rPr>
              <w:t>显示器</w:t>
            </w:r>
          </w:p>
        </w:tc>
        <w:tc>
          <w:tcPr>
            <w:tcW w:w="3247" w:type="dxa"/>
          </w:tcPr>
          <w:p w14:paraId="6218FF93">
            <w:pPr>
              <w:pStyle w:val="235"/>
              <w:spacing w:before="136" w:line="288" w:lineRule="auto"/>
              <w:ind w:left="22" w:right="11"/>
              <w:rPr>
                <w:rFonts w:hint="eastAsia"/>
                <w:lang w:eastAsia="zh-CN"/>
              </w:rPr>
            </w:pPr>
            <w:r>
              <w:rPr>
                <w:spacing w:val="19"/>
                <w:lang w:eastAsia="zh-CN"/>
              </w:rPr>
              <w:t>《计算机显示器能效限定值及能</w:t>
            </w:r>
            <w:r>
              <w:rPr>
                <w:spacing w:val="2"/>
                <w:lang w:eastAsia="zh-CN"/>
              </w:rPr>
              <w:t xml:space="preserve"> </w:t>
            </w:r>
            <w:r>
              <w:rPr>
                <w:spacing w:val="6"/>
                <w:lang w:eastAsia="zh-CN"/>
              </w:rPr>
              <w:t>效等级》（</w:t>
            </w:r>
            <w:r>
              <w:rPr>
                <w:lang w:eastAsia="zh-CN"/>
              </w:rPr>
              <w:t>GB</w:t>
            </w:r>
            <w:r>
              <w:rPr>
                <w:spacing w:val="6"/>
                <w:lang w:eastAsia="zh-CN"/>
              </w:rPr>
              <w:t xml:space="preserve"> 21520）</w:t>
            </w:r>
          </w:p>
        </w:tc>
      </w:tr>
      <w:tr w14:paraId="7567F0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6" w:hRule="atLeast"/>
          <w:jc w:val="center"/>
        </w:trPr>
        <w:tc>
          <w:tcPr>
            <w:tcW w:w="632" w:type="dxa"/>
            <w:vMerge w:val="continue"/>
            <w:tcBorders>
              <w:top w:val="nil"/>
            </w:tcBorders>
          </w:tcPr>
          <w:p w14:paraId="6FA24806">
            <w:pPr>
              <w:rPr>
                <w:rFonts w:ascii="Arial"/>
              </w:rPr>
            </w:pPr>
          </w:p>
        </w:tc>
        <w:tc>
          <w:tcPr>
            <w:tcW w:w="1275" w:type="dxa"/>
            <w:vMerge w:val="continue"/>
            <w:tcBorders>
              <w:top w:val="nil"/>
            </w:tcBorders>
          </w:tcPr>
          <w:p w14:paraId="0C9A26DC">
            <w:pPr>
              <w:rPr>
                <w:rFonts w:ascii="Arial"/>
              </w:rPr>
            </w:pPr>
          </w:p>
        </w:tc>
        <w:tc>
          <w:tcPr>
            <w:tcW w:w="1967" w:type="dxa"/>
          </w:tcPr>
          <w:p w14:paraId="265CA158">
            <w:pPr>
              <w:spacing w:line="365" w:lineRule="auto"/>
              <w:rPr>
                <w:rFonts w:ascii="Arial"/>
              </w:rPr>
            </w:pPr>
          </w:p>
          <w:p w14:paraId="1AFC468D">
            <w:pPr>
              <w:pStyle w:val="235"/>
              <w:spacing w:before="62" w:line="288" w:lineRule="auto"/>
              <w:ind w:left="14" w:right="10" w:hanging="5"/>
              <w:rPr>
                <w:rFonts w:hint="eastAsia"/>
              </w:rPr>
            </w:pPr>
            <w:r>
              <w:rPr>
                <w:spacing w:val="4"/>
              </w:rPr>
              <w:t>A02010609 图形图像</w:t>
            </w:r>
            <w:r>
              <w:rPr>
                <w:spacing w:val="7"/>
              </w:rPr>
              <w:t xml:space="preserve"> 输入设备</w:t>
            </w:r>
          </w:p>
        </w:tc>
        <w:tc>
          <w:tcPr>
            <w:tcW w:w="2093" w:type="dxa"/>
          </w:tcPr>
          <w:p w14:paraId="39F15B04">
            <w:pPr>
              <w:spacing w:line="260" w:lineRule="auto"/>
              <w:rPr>
                <w:rFonts w:ascii="Arial"/>
              </w:rPr>
            </w:pPr>
          </w:p>
          <w:p w14:paraId="12AEF9C1">
            <w:pPr>
              <w:spacing w:line="260" w:lineRule="auto"/>
              <w:rPr>
                <w:rFonts w:ascii="Arial"/>
              </w:rPr>
            </w:pPr>
          </w:p>
          <w:p w14:paraId="0F373347">
            <w:pPr>
              <w:pStyle w:val="235"/>
              <w:spacing w:before="61" w:line="229" w:lineRule="auto"/>
              <w:ind w:left="10"/>
              <w:rPr>
                <w:rFonts w:hint="eastAsia"/>
              </w:rPr>
            </w:pPr>
            <w:r>
              <w:rPr>
                <w:spacing w:val="5"/>
              </w:rPr>
              <w:t>A0201060901</w:t>
            </w:r>
            <w:r>
              <w:rPr>
                <w:spacing w:val="-34"/>
              </w:rPr>
              <w:t xml:space="preserve"> </w:t>
            </w:r>
            <w:r>
              <w:rPr>
                <w:spacing w:val="5"/>
              </w:rPr>
              <w:t>扫描仪</w:t>
            </w:r>
          </w:p>
        </w:tc>
        <w:tc>
          <w:tcPr>
            <w:tcW w:w="3247" w:type="dxa"/>
          </w:tcPr>
          <w:p w14:paraId="7428B637">
            <w:pPr>
              <w:pStyle w:val="235"/>
              <w:spacing w:before="114" w:line="296" w:lineRule="auto"/>
              <w:ind w:left="22" w:hanging="3"/>
              <w:rPr>
                <w:rFonts w:hint="eastAsia"/>
                <w:lang w:eastAsia="zh-CN"/>
              </w:rPr>
            </w:pPr>
            <w:r>
              <w:rPr>
                <w:lang w:eastAsia="zh-CN"/>
              </w:rPr>
              <w:t>参照《复印机、打印机和传真机能</w:t>
            </w:r>
            <w:r>
              <w:rPr>
                <w:spacing w:val="3"/>
                <w:lang w:eastAsia="zh-CN"/>
              </w:rPr>
              <w:t xml:space="preserve">  </w:t>
            </w:r>
            <w:r>
              <w:rPr>
                <w:spacing w:val="-4"/>
                <w:lang w:eastAsia="zh-CN"/>
              </w:rPr>
              <w:t>效限定值及能效等级》（GB</w:t>
            </w:r>
            <w:r>
              <w:rPr>
                <w:spacing w:val="-24"/>
                <w:lang w:eastAsia="zh-CN"/>
              </w:rPr>
              <w:t xml:space="preserve"> </w:t>
            </w:r>
            <w:r>
              <w:rPr>
                <w:spacing w:val="-4"/>
                <w:lang w:eastAsia="zh-CN"/>
              </w:rPr>
              <w:t>21521）</w:t>
            </w:r>
            <w:r>
              <w:rPr>
                <w:lang w:eastAsia="zh-CN"/>
              </w:rPr>
              <w:t xml:space="preserve"> </w:t>
            </w:r>
            <w:r>
              <w:rPr>
                <w:spacing w:val="4"/>
                <w:lang w:eastAsia="zh-CN"/>
              </w:rPr>
              <w:t>中打印速度为</w:t>
            </w:r>
            <w:r>
              <w:rPr>
                <w:spacing w:val="38"/>
                <w:lang w:eastAsia="zh-CN"/>
              </w:rPr>
              <w:t xml:space="preserve"> </w:t>
            </w:r>
            <w:r>
              <w:rPr>
                <w:spacing w:val="4"/>
                <w:lang w:eastAsia="zh-CN"/>
              </w:rPr>
              <w:t>15 页/分的针式打</w:t>
            </w:r>
            <w:r>
              <w:rPr>
                <w:lang w:eastAsia="zh-CN"/>
              </w:rPr>
              <w:t xml:space="preserve">  </w:t>
            </w:r>
            <w:r>
              <w:rPr>
                <w:spacing w:val="2"/>
                <w:lang w:eastAsia="zh-CN"/>
              </w:rPr>
              <w:t>印机相关要求</w:t>
            </w:r>
          </w:p>
        </w:tc>
      </w:tr>
      <w:tr w14:paraId="7942B7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jc w:val="center"/>
        </w:trPr>
        <w:tc>
          <w:tcPr>
            <w:tcW w:w="632" w:type="dxa"/>
          </w:tcPr>
          <w:p w14:paraId="17758F23">
            <w:pPr>
              <w:pStyle w:val="235"/>
              <w:spacing w:before="277" w:line="189" w:lineRule="auto"/>
              <w:ind w:left="246"/>
              <w:rPr>
                <w:rFonts w:hint="eastAsia"/>
              </w:rPr>
            </w:pPr>
            <w:r>
              <w:t>3</w:t>
            </w:r>
          </w:p>
        </w:tc>
        <w:tc>
          <w:tcPr>
            <w:tcW w:w="1275" w:type="dxa"/>
          </w:tcPr>
          <w:p w14:paraId="0ABD4B1D">
            <w:pPr>
              <w:pStyle w:val="235"/>
              <w:spacing w:before="90" w:line="281" w:lineRule="auto"/>
              <w:ind w:left="15" w:right="8" w:hanging="6"/>
              <w:rPr>
                <w:rFonts w:hint="eastAsia"/>
              </w:rPr>
            </w:pPr>
            <w:r>
              <w:rPr>
                <w:spacing w:val="4"/>
              </w:rPr>
              <w:t>A020202</w:t>
            </w:r>
            <w:r>
              <w:rPr>
                <w:spacing w:val="-34"/>
              </w:rPr>
              <w:t xml:space="preserve"> </w:t>
            </w:r>
            <w:r>
              <w:rPr>
                <w:spacing w:val="4"/>
              </w:rPr>
              <w:t>投影</w:t>
            </w:r>
            <w:r>
              <w:t xml:space="preserve"> 仪</w:t>
            </w:r>
          </w:p>
        </w:tc>
        <w:tc>
          <w:tcPr>
            <w:tcW w:w="1967" w:type="dxa"/>
          </w:tcPr>
          <w:p w14:paraId="6B680714">
            <w:pPr>
              <w:rPr>
                <w:rFonts w:ascii="Arial"/>
              </w:rPr>
            </w:pPr>
          </w:p>
        </w:tc>
        <w:tc>
          <w:tcPr>
            <w:tcW w:w="2093" w:type="dxa"/>
          </w:tcPr>
          <w:p w14:paraId="7EB1FD29">
            <w:pPr>
              <w:rPr>
                <w:rFonts w:ascii="Arial"/>
              </w:rPr>
            </w:pPr>
          </w:p>
        </w:tc>
        <w:tc>
          <w:tcPr>
            <w:tcW w:w="3247" w:type="dxa"/>
          </w:tcPr>
          <w:p w14:paraId="17C47AFD">
            <w:pPr>
              <w:pStyle w:val="235"/>
              <w:spacing w:before="90" w:line="281" w:lineRule="auto"/>
              <w:ind w:left="27" w:hanging="4"/>
              <w:rPr>
                <w:rFonts w:hint="eastAsia"/>
                <w:lang w:eastAsia="zh-CN"/>
              </w:rPr>
            </w:pPr>
            <w:r>
              <w:rPr>
                <w:spacing w:val="6"/>
                <w:lang w:eastAsia="zh-CN"/>
              </w:rPr>
              <w:t>《投影机能效限定值及能效等级》</w:t>
            </w:r>
            <w:r>
              <w:rPr>
                <w:lang w:eastAsia="zh-CN"/>
              </w:rPr>
              <w:t xml:space="preserve"> （GB</w:t>
            </w:r>
            <w:r>
              <w:rPr>
                <w:spacing w:val="22"/>
                <w:lang w:eastAsia="zh-CN"/>
              </w:rPr>
              <w:t xml:space="preserve"> </w:t>
            </w:r>
            <w:r>
              <w:rPr>
                <w:lang w:eastAsia="zh-CN"/>
              </w:rPr>
              <w:t>32028）</w:t>
            </w:r>
          </w:p>
        </w:tc>
      </w:tr>
      <w:tr w14:paraId="575392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jc w:val="center"/>
        </w:trPr>
        <w:tc>
          <w:tcPr>
            <w:tcW w:w="632" w:type="dxa"/>
          </w:tcPr>
          <w:p w14:paraId="579225F7">
            <w:pPr>
              <w:spacing w:line="257" w:lineRule="auto"/>
              <w:rPr>
                <w:rFonts w:ascii="Arial"/>
              </w:rPr>
            </w:pPr>
          </w:p>
          <w:p w14:paraId="1BBCE9EB">
            <w:pPr>
              <w:pStyle w:val="235"/>
              <w:spacing w:before="62" w:line="189" w:lineRule="auto"/>
              <w:ind w:left="242"/>
              <w:rPr>
                <w:rFonts w:hint="eastAsia"/>
              </w:rPr>
            </w:pPr>
            <w:r>
              <w:t>4</w:t>
            </w:r>
          </w:p>
        </w:tc>
        <w:tc>
          <w:tcPr>
            <w:tcW w:w="1275" w:type="dxa"/>
          </w:tcPr>
          <w:p w14:paraId="4FABF7BD">
            <w:pPr>
              <w:pStyle w:val="235"/>
              <w:spacing w:before="133" w:line="288" w:lineRule="auto"/>
              <w:ind w:left="22" w:right="8" w:hanging="13"/>
              <w:rPr>
                <w:rFonts w:hint="eastAsia"/>
              </w:rPr>
            </w:pPr>
            <w:r>
              <w:rPr>
                <w:spacing w:val="4"/>
              </w:rPr>
              <w:t>A020204</w:t>
            </w:r>
            <w:r>
              <w:rPr>
                <w:spacing w:val="-34"/>
              </w:rPr>
              <w:t xml:space="preserve"> </w:t>
            </w:r>
            <w:r>
              <w:rPr>
                <w:spacing w:val="4"/>
              </w:rPr>
              <w:t>多功</w:t>
            </w:r>
            <w:r>
              <w:t xml:space="preserve"> </w:t>
            </w:r>
            <w:r>
              <w:rPr>
                <w:spacing w:val="5"/>
              </w:rPr>
              <w:t>能一体机</w:t>
            </w:r>
          </w:p>
        </w:tc>
        <w:tc>
          <w:tcPr>
            <w:tcW w:w="1967" w:type="dxa"/>
          </w:tcPr>
          <w:p w14:paraId="61422C57">
            <w:pPr>
              <w:rPr>
                <w:rFonts w:ascii="Arial"/>
              </w:rPr>
            </w:pPr>
          </w:p>
        </w:tc>
        <w:tc>
          <w:tcPr>
            <w:tcW w:w="2093" w:type="dxa"/>
          </w:tcPr>
          <w:p w14:paraId="41445D96">
            <w:pPr>
              <w:rPr>
                <w:rFonts w:ascii="Arial"/>
              </w:rPr>
            </w:pPr>
          </w:p>
        </w:tc>
        <w:tc>
          <w:tcPr>
            <w:tcW w:w="3247" w:type="dxa"/>
          </w:tcPr>
          <w:p w14:paraId="562FDD7A">
            <w:pPr>
              <w:pStyle w:val="235"/>
              <w:spacing w:before="133" w:line="288"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14:paraId="121157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jc w:val="center"/>
        </w:trPr>
        <w:tc>
          <w:tcPr>
            <w:tcW w:w="632" w:type="dxa"/>
          </w:tcPr>
          <w:p w14:paraId="56907AE7">
            <w:pPr>
              <w:pStyle w:val="235"/>
              <w:spacing w:before="260" w:line="188" w:lineRule="auto"/>
              <w:ind w:left="246"/>
              <w:rPr>
                <w:rFonts w:hint="eastAsia"/>
              </w:rPr>
            </w:pPr>
            <w:r>
              <w:t>5</w:t>
            </w:r>
          </w:p>
        </w:tc>
        <w:tc>
          <w:tcPr>
            <w:tcW w:w="1275" w:type="dxa"/>
          </w:tcPr>
          <w:p w14:paraId="388DDBEF">
            <w:pPr>
              <w:pStyle w:val="235"/>
              <w:spacing w:before="227" w:line="229" w:lineRule="auto"/>
              <w:ind w:left="9"/>
              <w:rPr>
                <w:rFonts w:hint="eastAsia"/>
              </w:rPr>
            </w:pPr>
            <w:r>
              <w:rPr>
                <w:spacing w:val="4"/>
              </w:rPr>
              <w:t>A020519</w:t>
            </w:r>
            <w:r>
              <w:rPr>
                <w:spacing w:val="-32"/>
              </w:rPr>
              <w:t xml:space="preserve"> </w:t>
            </w:r>
            <w:r>
              <w:rPr>
                <w:spacing w:val="4"/>
              </w:rPr>
              <w:t>泵</w:t>
            </w:r>
          </w:p>
        </w:tc>
        <w:tc>
          <w:tcPr>
            <w:tcW w:w="1967" w:type="dxa"/>
          </w:tcPr>
          <w:p w14:paraId="60378DF0">
            <w:pPr>
              <w:pStyle w:val="235"/>
              <w:spacing w:before="227" w:line="229" w:lineRule="auto"/>
              <w:ind w:left="9"/>
              <w:rPr>
                <w:rFonts w:hint="eastAsia"/>
              </w:rPr>
            </w:pPr>
            <w:r>
              <w:rPr>
                <w:spacing w:val="5"/>
              </w:rPr>
              <w:t>A02051901</w:t>
            </w:r>
            <w:r>
              <w:rPr>
                <w:spacing w:val="-33"/>
              </w:rPr>
              <w:t xml:space="preserve"> </w:t>
            </w:r>
            <w:r>
              <w:rPr>
                <w:spacing w:val="5"/>
              </w:rPr>
              <w:t>离心泵</w:t>
            </w:r>
          </w:p>
        </w:tc>
        <w:tc>
          <w:tcPr>
            <w:tcW w:w="2093" w:type="dxa"/>
          </w:tcPr>
          <w:p w14:paraId="14FF10B8">
            <w:pPr>
              <w:rPr>
                <w:rFonts w:ascii="Arial"/>
              </w:rPr>
            </w:pPr>
          </w:p>
        </w:tc>
        <w:tc>
          <w:tcPr>
            <w:tcW w:w="3247" w:type="dxa"/>
          </w:tcPr>
          <w:p w14:paraId="7FEF473F">
            <w:pPr>
              <w:pStyle w:val="235"/>
              <w:spacing w:before="71" w:line="272" w:lineRule="auto"/>
              <w:ind w:left="17" w:right="11" w:firstLine="6"/>
              <w:rPr>
                <w:rFonts w:hint="eastAsia"/>
                <w:lang w:eastAsia="zh-CN"/>
              </w:rPr>
            </w:pPr>
            <w:r>
              <w:rPr>
                <w:spacing w:val="19"/>
                <w:lang w:eastAsia="zh-CN"/>
              </w:rPr>
              <w:t>《清水离心泵能效限定值及节能</w:t>
            </w:r>
            <w:r>
              <w:rPr>
                <w:spacing w:val="2"/>
                <w:lang w:eastAsia="zh-CN"/>
              </w:rPr>
              <w:t xml:space="preserve"> </w:t>
            </w:r>
            <w:r>
              <w:rPr>
                <w:spacing w:val="4"/>
                <w:lang w:eastAsia="zh-CN"/>
              </w:rPr>
              <w:t>评价值》（</w:t>
            </w:r>
            <w:r>
              <w:rPr>
                <w:lang w:eastAsia="zh-CN"/>
              </w:rPr>
              <w:t>GB</w:t>
            </w:r>
            <w:r>
              <w:rPr>
                <w:spacing w:val="39"/>
                <w:lang w:eastAsia="zh-CN"/>
              </w:rPr>
              <w:t xml:space="preserve"> </w:t>
            </w:r>
            <w:r>
              <w:rPr>
                <w:spacing w:val="4"/>
                <w:lang w:eastAsia="zh-CN"/>
              </w:rPr>
              <w:t>19762）</w:t>
            </w:r>
          </w:p>
        </w:tc>
      </w:tr>
      <w:tr w14:paraId="4D20C9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7" w:hRule="atLeast"/>
          <w:jc w:val="center"/>
        </w:trPr>
        <w:tc>
          <w:tcPr>
            <w:tcW w:w="632" w:type="dxa"/>
            <w:vMerge w:val="restart"/>
            <w:tcBorders>
              <w:bottom w:val="nil"/>
            </w:tcBorders>
          </w:tcPr>
          <w:p w14:paraId="31B7A566">
            <w:pPr>
              <w:spacing w:line="300" w:lineRule="auto"/>
              <w:rPr>
                <w:rFonts w:ascii="Arial"/>
              </w:rPr>
            </w:pPr>
          </w:p>
          <w:p w14:paraId="3885D0D7">
            <w:pPr>
              <w:spacing w:line="300" w:lineRule="auto"/>
              <w:rPr>
                <w:rFonts w:ascii="Arial"/>
              </w:rPr>
            </w:pPr>
          </w:p>
          <w:p w14:paraId="3B176B11">
            <w:pPr>
              <w:spacing w:line="301" w:lineRule="auto"/>
              <w:rPr>
                <w:rFonts w:ascii="Arial"/>
              </w:rPr>
            </w:pPr>
          </w:p>
          <w:p w14:paraId="1A92296F">
            <w:pPr>
              <w:pStyle w:val="235"/>
              <w:spacing w:before="62" w:line="189" w:lineRule="auto"/>
              <w:ind w:left="244"/>
              <w:rPr>
                <w:rFonts w:hint="eastAsia"/>
              </w:rPr>
            </w:pPr>
            <w:r>
              <w:t>6</w:t>
            </w:r>
          </w:p>
        </w:tc>
        <w:tc>
          <w:tcPr>
            <w:tcW w:w="1275" w:type="dxa"/>
            <w:vMerge w:val="restart"/>
            <w:tcBorders>
              <w:bottom w:val="nil"/>
            </w:tcBorders>
          </w:tcPr>
          <w:p w14:paraId="25C3E4F9">
            <w:pPr>
              <w:spacing w:line="357" w:lineRule="auto"/>
              <w:rPr>
                <w:rFonts w:ascii="Arial"/>
              </w:rPr>
            </w:pPr>
          </w:p>
          <w:p w14:paraId="16A961BD">
            <w:pPr>
              <w:spacing w:line="358" w:lineRule="auto"/>
              <w:rPr>
                <w:rFonts w:ascii="Arial"/>
              </w:rPr>
            </w:pPr>
          </w:p>
          <w:p w14:paraId="3F2495F5">
            <w:pPr>
              <w:pStyle w:val="235"/>
              <w:spacing w:before="61" w:line="289" w:lineRule="auto"/>
              <w:ind w:left="21" w:right="8" w:hanging="12"/>
              <w:rPr>
                <w:rFonts w:hint="eastAsia"/>
              </w:rPr>
            </w:pPr>
            <w:r>
              <w:rPr>
                <w:spacing w:val="5"/>
              </w:rPr>
              <w:t>A020523</w:t>
            </w:r>
            <w:r>
              <w:rPr>
                <w:spacing w:val="-43"/>
              </w:rPr>
              <w:t xml:space="preserve"> </w:t>
            </w:r>
            <w:r>
              <w:rPr>
                <w:spacing w:val="5"/>
              </w:rPr>
              <w:t>制冷</w:t>
            </w:r>
            <w:r>
              <w:t xml:space="preserve"> </w:t>
            </w:r>
            <w:r>
              <w:rPr>
                <w:spacing w:val="5"/>
              </w:rPr>
              <w:t>空调设备</w:t>
            </w:r>
          </w:p>
        </w:tc>
        <w:tc>
          <w:tcPr>
            <w:tcW w:w="1967" w:type="dxa"/>
            <w:vMerge w:val="restart"/>
            <w:tcBorders>
              <w:bottom w:val="nil"/>
            </w:tcBorders>
          </w:tcPr>
          <w:p w14:paraId="471BF30A">
            <w:pPr>
              <w:spacing w:line="357" w:lineRule="auto"/>
              <w:rPr>
                <w:rFonts w:ascii="Arial"/>
              </w:rPr>
            </w:pPr>
          </w:p>
          <w:p w14:paraId="41951DCA">
            <w:pPr>
              <w:spacing w:line="357" w:lineRule="auto"/>
              <w:rPr>
                <w:rFonts w:ascii="Arial"/>
              </w:rPr>
            </w:pPr>
          </w:p>
          <w:p w14:paraId="1A27C4DA">
            <w:pPr>
              <w:pStyle w:val="235"/>
              <w:spacing w:before="62" w:line="288" w:lineRule="auto"/>
              <w:ind w:left="15" w:right="10" w:firstLine="3"/>
              <w:rPr>
                <w:rFonts w:hint="eastAsia"/>
              </w:rPr>
            </w:pPr>
            <w:r>
              <w:rPr>
                <w:spacing w:val="3"/>
              </w:rPr>
              <w:t>★A02052301 制冷压</w:t>
            </w:r>
            <w:r>
              <w:rPr>
                <w:spacing w:val="12"/>
              </w:rPr>
              <w:t xml:space="preserve"> </w:t>
            </w:r>
            <w:r>
              <w:rPr>
                <w:spacing w:val="5"/>
              </w:rPr>
              <w:t>缩机</w:t>
            </w:r>
          </w:p>
        </w:tc>
        <w:tc>
          <w:tcPr>
            <w:tcW w:w="2093" w:type="dxa"/>
          </w:tcPr>
          <w:p w14:paraId="5D10D853">
            <w:pPr>
              <w:spacing w:line="250" w:lineRule="auto"/>
              <w:rPr>
                <w:rFonts w:ascii="Arial"/>
              </w:rPr>
            </w:pPr>
          </w:p>
          <w:p w14:paraId="5FF63AE8">
            <w:pPr>
              <w:spacing w:line="251" w:lineRule="auto"/>
              <w:rPr>
                <w:rFonts w:ascii="Arial"/>
              </w:rPr>
            </w:pPr>
          </w:p>
          <w:p w14:paraId="102E890A">
            <w:pPr>
              <w:pStyle w:val="235"/>
              <w:spacing w:before="61" w:line="228" w:lineRule="auto"/>
              <w:ind w:left="18"/>
              <w:rPr>
                <w:rFonts w:hint="eastAsia"/>
              </w:rPr>
            </w:pPr>
            <w:r>
              <w:rPr>
                <w:spacing w:val="6"/>
              </w:rPr>
              <w:t>冷水机组</w:t>
            </w:r>
          </w:p>
        </w:tc>
        <w:tc>
          <w:tcPr>
            <w:tcW w:w="3247" w:type="dxa"/>
          </w:tcPr>
          <w:p w14:paraId="01D93411">
            <w:pPr>
              <w:pStyle w:val="235"/>
              <w:spacing w:before="96" w:line="294" w:lineRule="auto"/>
              <w:ind w:left="17" w:right="11" w:firstLine="5"/>
              <w:rPr>
                <w:rFonts w:hint="eastAsia"/>
                <w:lang w:eastAsia="zh-CN"/>
              </w:rPr>
            </w:pPr>
            <w:r>
              <w:rPr>
                <w:spacing w:val="19"/>
                <w:lang w:eastAsia="zh-CN"/>
              </w:rPr>
              <w:t>《冷水机组能效限定值及能效等</w:t>
            </w:r>
            <w:r>
              <w:rPr>
                <w:spacing w:val="2"/>
                <w:lang w:eastAsia="zh-CN"/>
              </w:rPr>
              <w:t xml:space="preserve"> </w:t>
            </w:r>
            <w:r>
              <w:rPr>
                <w:spacing w:val="6"/>
                <w:lang w:eastAsia="zh-CN"/>
              </w:rPr>
              <w:t>级》（</w:t>
            </w:r>
            <w:r>
              <w:rPr>
                <w:lang w:eastAsia="zh-CN"/>
              </w:rPr>
              <w:t>GB</w:t>
            </w:r>
            <w:r>
              <w:rPr>
                <w:spacing w:val="-21"/>
                <w:lang w:eastAsia="zh-CN"/>
              </w:rPr>
              <w:t xml:space="preserve"> </w:t>
            </w:r>
            <w:r>
              <w:rPr>
                <w:spacing w:val="6"/>
                <w:lang w:eastAsia="zh-CN"/>
              </w:rPr>
              <w:t>19577</w:t>
            </w:r>
            <w:r>
              <w:rPr>
                <w:spacing w:val="9"/>
                <w:lang w:eastAsia="zh-CN"/>
              </w:rPr>
              <w:t>），</w:t>
            </w:r>
            <w:r>
              <w:rPr>
                <w:spacing w:val="6"/>
                <w:lang w:eastAsia="zh-CN"/>
              </w:rPr>
              <w:t>《低环境温度</w:t>
            </w:r>
            <w:r>
              <w:rPr>
                <w:lang w:eastAsia="zh-CN"/>
              </w:rPr>
              <w:t xml:space="preserve"> </w:t>
            </w:r>
            <w:r>
              <w:rPr>
                <w:spacing w:val="5"/>
                <w:lang w:eastAsia="zh-CN"/>
              </w:rPr>
              <w:t>空气源热泵（冷水）机组能效限定</w:t>
            </w:r>
            <w:r>
              <w:rPr>
                <w:spacing w:val="6"/>
                <w:lang w:eastAsia="zh-CN"/>
              </w:rPr>
              <w:t xml:space="preserve"> </w:t>
            </w:r>
            <w:r>
              <w:rPr>
                <w:spacing w:val="7"/>
                <w:lang w:eastAsia="zh-CN"/>
              </w:rPr>
              <w:t>值及能效等级》（</w:t>
            </w:r>
            <w:r>
              <w:rPr>
                <w:lang w:eastAsia="zh-CN"/>
              </w:rPr>
              <w:t>GB</w:t>
            </w:r>
            <w:r>
              <w:rPr>
                <w:spacing w:val="7"/>
                <w:lang w:eastAsia="zh-CN"/>
              </w:rPr>
              <w:t xml:space="preserve"> 37480）</w:t>
            </w:r>
          </w:p>
        </w:tc>
      </w:tr>
      <w:tr w14:paraId="302396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jc w:val="center"/>
        </w:trPr>
        <w:tc>
          <w:tcPr>
            <w:tcW w:w="632" w:type="dxa"/>
            <w:vMerge w:val="continue"/>
            <w:tcBorders>
              <w:top w:val="nil"/>
            </w:tcBorders>
          </w:tcPr>
          <w:p w14:paraId="3C85CFC5">
            <w:pPr>
              <w:rPr>
                <w:rFonts w:ascii="Arial"/>
              </w:rPr>
            </w:pPr>
          </w:p>
        </w:tc>
        <w:tc>
          <w:tcPr>
            <w:tcW w:w="1275" w:type="dxa"/>
            <w:vMerge w:val="continue"/>
            <w:tcBorders>
              <w:top w:val="nil"/>
            </w:tcBorders>
          </w:tcPr>
          <w:p w14:paraId="6B9E153F">
            <w:pPr>
              <w:rPr>
                <w:rFonts w:ascii="Arial"/>
              </w:rPr>
            </w:pPr>
          </w:p>
        </w:tc>
        <w:tc>
          <w:tcPr>
            <w:tcW w:w="1967" w:type="dxa"/>
            <w:vMerge w:val="continue"/>
            <w:tcBorders>
              <w:top w:val="nil"/>
            </w:tcBorders>
          </w:tcPr>
          <w:p w14:paraId="4A99B465">
            <w:pPr>
              <w:rPr>
                <w:rFonts w:ascii="Arial"/>
              </w:rPr>
            </w:pPr>
          </w:p>
        </w:tc>
        <w:tc>
          <w:tcPr>
            <w:tcW w:w="2093" w:type="dxa"/>
          </w:tcPr>
          <w:p w14:paraId="304A5A61">
            <w:pPr>
              <w:pStyle w:val="235"/>
              <w:spacing w:before="275" w:line="228" w:lineRule="auto"/>
              <w:ind w:left="19"/>
              <w:rPr>
                <w:rFonts w:hint="eastAsia"/>
              </w:rPr>
            </w:pPr>
            <w:r>
              <w:rPr>
                <w:spacing w:val="7"/>
              </w:rPr>
              <w:t>水源热泵机组</w:t>
            </w:r>
          </w:p>
        </w:tc>
        <w:tc>
          <w:tcPr>
            <w:tcW w:w="3247" w:type="dxa"/>
          </w:tcPr>
          <w:p w14:paraId="23B962CF">
            <w:pPr>
              <w:pStyle w:val="235"/>
              <w:spacing w:before="120" w:line="288" w:lineRule="auto"/>
              <w:ind w:left="17" w:right="13" w:firstLine="6"/>
              <w:rPr>
                <w:rFonts w:hint="eastAsia"/>
                <w:lang w:eastAsia="zh-CN"/>
              </w:rPr>
            </w:pPr>
            <w:r>
              <w:rPr>
                <w:spacing w:val="5"/>
                <w:lang w:eastAsia="zh-CN"/>
              </w:rPr>
              <w:t>《水（地）源热泵机组能效限定值</w:t>
            </w:r>
            <w:r>
              <w:rPr>
                <w:lang w:eastAsia="zh-CN"/>
              </w:rPr>
              <w:t xml:space="preserve"> </w:t>
            </w:r>
            <w:r>
              <w:rPr>
                <w:spacing w:val="7"/>
                <w:lang w:eastAsia="zh-CN"/>
              </w:rPr>
              <w:t>及能效等级》（</w:t>
            </w:r>
            <w:r>
              <w:rPr>
                <w:lang w:eastAsia="zh-CN"/>
              </w:rPr>
              <w:t>GB</w:t>
            </w:r>
            <w:r>
              <w:rPr>
                <w:spacing w:val="7"/>
                <w:lang w:eastAsia="zh-CN"/>
              </w:rPr>
              <w:t xml:space="preserve"> 30721）</w:t>
            </w:r>
          </w:p>
        </w:tc>
      </w:tr>
    </w:tbl>
    <w:p w14:paraId="54990CC2">
      <w:pPr>
        <w:rPr>
          <w:rFonts w:ascii="Arial"/>
        </w:rPr>
      </w:pPr>
    </w:p>
    <w:p w14:paraId="14690D55">
      <w:pPr>
        <w:rPr>
          <w:rFonts w:ascii="Arial" w:hAnsi="Arial" w:eastAsia="Arial" w:cs="Arial"/>
          <w:szCs w:val="21"/>
        </w:rPr>
        <w:sectPr>
          <w:pgSz w:w="11906" w:h="16838"/>
          <w:pgMar w:top="1431" w:right="1691" w:bottom="0" w:left="1783" w:header="850" w:footer="0" w:gutter="0"/>
          <w:cols w:space="720" w:num="1"/>
        </w:sectPr>
      </w:pPr>
    </w:p>
    <w:p w14:paraId="5626A5E5">
      <w:pPr>
        <w:spacing w:line="91" w:lineRule="auto"/>
        <w:rPr>
          <w:rFonts w:ascii="Arial"/>
          <w:sz w:val="2"/>
        </w:rPr>
      </w:pPr>
    </w:p>
    <w:tbl>
      <w:tblPr>
        <w:tblStyle w:val="236"/>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14:paraId="314F46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jc w:val="center"/>
        </w:trPr>
        <w:tc>
          <w:tcPr>
            <w:tcW w:w="632" w:type="dxa"/>
            <w:vMerge w:val="restart"/>
            <w:tcBorders>
              <w:bottom w:val="nil"/>
            </w:tcBorders>
          </w:tcPr>
          <w:p w14:paraId="2B6A636E">
            <w:pPr>
              <w:rPr>
                <w:rFonts w:ascii="Arial"/>
              </w:rPr>
            </w:pPr>
          </w:p>
        </w:tc>
        <w:tc>
          <w:tcPr>
            <w:tcW w:w="1275" w:type="dxa"/>
            <w:vMerge w:val="restart"/>
            <w:tcBorders>
              <w:bottom w:val="nil"/>
            </w:tcBorders>
          </w:tcPr>
          <w:p w14:paraId="3942EE5E">
            <w:pPr>
              <w:rPr>
                <w:rFonts w:ascii="Arial"/>
              </w:rPr>
            </w:pPr>
          </w:p>
        </w:tc>
        <w:tc>
          <w:tcPr>
            <w:tcW w:w="1967" w:type="dxa"/>
          </w:tcPr>
          <w:p w14:paraId="01055F56">
            <w:pPr>
              <w:rPr>
                <w:rFonts w:ascii="Arial"/>
              </w:rPr>
            </w:pPr>
          </w:p>
        </w:tc>
        <w:tc>
          <w:tcPr>
            <w:tcW w:w="2093" w:type="dxa"/>
          </w:tcPr>
          <w:p w14:paraId="7DAADBD3">
            <w:pPr>
              <w:pStyle w:val="235"/>
              <w:spacing w:before="159" w:line="294" w:lineRule="auto"/>
              <w:ind w:left="19" w:right="11" w:firstLine="1"/>
              <w:rPr>
                <w:rFonts w:hint="eastAsia"/>
                <w:lang w:eastAsia="zh-CN"/>
              </w:rPr>
            </w:pPr>
            <w:r>
              <w:rPr>
                <w:spacing w:val="18"/>
                <w:lang w:eastAsia="zh-CN"/>
              </w:rPr>
              <w:t>溴化锂吸收式冷水机</w:t>
            </w:r>
            <w:r>
              <w:rPr>
                <w:spacing w:val="4"/>
                <w:lang w:eastAsia="zh-CN"/>
              </w:rPr>
              <w:t xml:space="preserve"> </w:t>
            </w:r>
            <w:r>
              <w:rPr>
                <w:lang w:eastAsia="zh-CN"/>
              </w:rPr>
              <w:t>组</w:t>
            </w:r>
          </w:p>
        </w:tc>
        <w:tc>
          <w:tcPr>
            <w:tcW w:w="3247" w:type="dxa"/>
          </w:tcPr>
          <w:p w14:paraId="46DD6937">
            <w:pPr>
              <w:pStyle w:val="235"/>
              <w:spacing w:before="160" w:line="288" w:lineRule="auto"/>
              <w:ind w:left="22" w:right="11"/>
              <w:rPr>
                <w:rFonts w:hint="eastAsia"/>
                <w:lang w:eastAsia="zh-CN"/>
              </w:rPr>
            </w:pPr>
            <w:r>
              <w:rPr>
                <w:spacing w:val="19"/>
                <w:lang w:eastAsia="zh-CN"/>
              </w:rPr>
              <w:t>《溴化锂吸收式冷水机组能效限</w:t>
            </w:r>
            <w:r>
              <w:rPr>
                <w:spacing w:val="2"/>
                <w:lang w:eastAsia="zh-CN"/>
              </w:rPr>
              <w:t xml:space="preserve"> </w:t>
            </w:r>
            <w:r>
              <w:rPr>
                <w:spacing w:val="7"/>
                <w:lang w:eastAsia="zh-CN"/>
              </w:rPr>
              <w:t>定值及能效等级》（</w:t>
            </w:r>
            <w:r>
              <w:rPr>
                <w:lang w:eastAsia="zh-CN"/>
              </w:rPr>
              <w:t>GB</w:t>
            </w:r>
            <w:r>
              <w:rPr>
                <w:spacing w:val="7"/>
                <w:lang w:eastAsia="zh-CN"/>
              </w:rPr>
              <w:t xml:space="preserve"> 29540）</w:t>
            </w:r>
          </w:p>
        </w:tc>
      </w:tr>
      <w:tr w14:paraId="678661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jc w:val="center"/>
        </w:trPr>
        <w:tc>
          <w:tcPr>
            <w:tcW w:w="632" w:type="dxa"/>
            <w:vMerge w:val="continue"/>
            <w:tcBorders>
              <w:top w:val="nil"/>
              <w:bottom w:val="nil"/>
            </w:tcBorders>
          </w:tcPr>
          <w:p w14:paraId="29C9BA54">
            <w:pPr>
              <w:rPr>
                <w:rFonts w:ascii="Arial"/>
              </w:rPr>
            </w:pPr>
          </w:p>
        </w:tc>
        <w:tc>
          <w:tcPr>
            <w:tcW w:w="1275" w:type="dxa"/>
            <w:vMerge w:val="continue"/>
            <w:tcBorders>
              <w:top w:val="nil"/>
              <w:bottom w:val="nil"/>
            </w:tcBorders>
          </w:tcPr>
          <w:p w14:paraId="2D95B11D">
            <w:pPr>
              <w:rPr>
                <w:rFonts w:ascii="Arial"/>
              </w:rPr>
            </w:pPr>
          </w:p>
        </w:tc>
        <w:tc>
          <w:tcPr>
            <w:tcW w:w="1967" w:type="dxa"/>
            <w:vMerge w:val="restart"/>
            <w:tcBorders>
              <w:bottom w:val="nil"/>
            </w:tcBorders>
          </w:tcPr>
          <w:p w14:paraId="678765B5">
            <w:pPr>
              <w:spacing w:line="265" w:lineRule="auto"/>
              <w:rPr>
                <w:rFonts w:ascii="Arial"/>
              </w:rPr>
            </w:pPr>
          </w:p>
          <w:p w14:paraId="26092E7D">
            <w:pPr>
              <w:spacing w:line="265" w:lineRule="auto"/>
              <w:rPr>
                <w:rFonts w:ascii="Arial"/>
              </w:rPr>
            </w:pPr>
          </w:p>
          <w:p w14:paraId="016A0BCE">
            <w:pPr>
              <w:spacing w:line="265" w:lineRule="auto"/>
              <w:rPr>
                <w:rFonts w:ascii="Arial"/>
              </w:rPr>
            </w:pPr>
          </w:p>
          <w:p w14:paraId="1827DA19">
            <w:pPr>
              <w:pStyle w:val="235"/>
              <w:spacing w:before="62" w:line="294" w:lineRule="auto"/>
              <w:ind w:left="17" w:right="10"/>
              <w:rPr>
                <w:rFonts w:hint="eastAsia"/>
              </w:rPr>
            </w:pPr>
            <w:r>
              <w:rPr>
                <w:spacing w:val="3"/>
              </w:rPr>
              <w:t>★A02052305 空调机</w:t>
            </w:r>
            <w:r>
              <w:rPr>
                <w:spacing w:val="12"/>
              </w:rPr>
              <w:t xml:space="preserve"> </w:t>
            </w:r>
            <w:r>
              <w:t>组</w:t>
            </w:r>
          </w:p>
        </w:tc>
        <w:tc>
          <w:tcPr>
            <w:tcW w:w="2093" w:type="dxa"/>
          </w:tcPr>
          <w:p w14:paraId="2F918EE1">
            <w:pPr>
              <w:pStyle w:val="235"/>
              <w:spacing w:before="65" w:line="284" w:lineRule="auto"/>
              <w:ind w:left="15" w:right="11" w:firstLine="10"/>
              <w:rPr>
                <w:rFonts w:hint="eastAsia"/>
                <w:lang w:eastAsia="zh-CN"/>
              </w:rPr>
            </w:pPr>
            <w:r>
              <w:rPr>
                <w:spacing w:val="15"/>
                <w:lang w:eastAsia="zh-CN"/>
              </w:rPr>
              <w:t>多联式空调（热泵）</w:t>
            </w:r>
            <w:r>
              <w:rPr>
                <w:spacing w:val="7"/>
                <w:lang w:eastAsia="zh-CN"/>
              </w:rPr>
              <w:t xml:space="preserve"> </w:t>
            </w:r>
            <w:r>
              <w:rPr>
                <w:spacing w:val="-8"/>
                <w:lang w:eastAsia="zh-CN"/>
              </w:rPr>
              <w:t>机</w:t>
            </w:r>
            <w:r>
              <w:rPr>
                <w:spacing w:val="34"/>
                <w:lang w:eastAsia="zh-CN"/>
              </w:rPr>
              <w:t xml:space="preserve">  </w:t>
            </w:r>
            <w:r>
              <w:rPr>
                <w:spacing w:val="-8"/>
                <w:lang w:eastAsia="zh-CN"/>
              </w:rPr>
              <w:t>组</w:t>
            </w:r>
            <w:r>
              <w:rPr>
                <w:spacing w:val="2"/>
                <w:lang w:eastAsia="zh-CN"/>
              </w:rPr>
              <w:t xml:space="preserve">   </w:t>
            </w:r>
            <w:r>
              <w:rPr>
                <w:spacing w:val="-8"/>
                <w:lang w:eastAsia="zh-CN"/>
              </w:rPr>
              <w:t>(</w:t>
            </w:r>
            <w:r>
              <w:rPr>
                <w:spacing w:val="33"/>
                <w:lang w:eastAsia="zh-CN"/>
              </w:rPr>
              <w:t xml:space="preserve">  </w:t>
            </w:r>
            <w:r>
              <w:rPr>
                <w:spacing w:val="-8"/>
                <w:lang w:eastAsia="zh-CN"/>
              </w:rPr>
              <w:t>制</w:t>
            </w:r>
            <w:r>
              <w:rPr>
                <w:spacing w:val="35"/>
                <w:lang w:eastAsia="zh-CN"/>
              </w:rPr>
              <w:t xml:space="preserve">  </w:t>
            </w:r>
            <w:r>
              <w:rPr>
                <w:spacing w:val="-8"/>
                <w:lang w:eastAsia="zh-CN"/>
              </w:rPr>
              <w:t>冷</w:t>
            </w:r>
            <w:r>
              <w:rPr>
                <w:lang w:eastAsia="zh-CN"/>
              </w:rPr>
              <w:t xml:space="preserve"> </w:t>
            </w:r>
            <w:r>
              <w:rPr>
                <w:spacing w:val="5"/>
                <w:lang w:eastAsia="zh-CN"/>
              </w:rPr>
              <w:t>量&gt;14000W)</w:t>
            </w:r>
          </w:p>
        </w:tc>
        <w:tc>
          <w:tcPr>
            <w:tcW w:w="3247" w:type="dxa"/>
          </w:tcPr>
          <w:p w14:paraId="464D616A">
            <w:pPr>
              <w:pStyle w:val="235"/>
              <w:spacing w:before="223" w:line="288" w:lineRule="auto"/>
              <w:ind w:left="22"/>
              <w:rPr>
                <w:rFonts w:hint="eastAsia"/>
                <w:lang w:eastAsia="zh-CN"/>
              </w:rPr>
            </w:pPr>
            <w:r>
              <w:rPr>
                <w:lang w:eastAsia="zh-CN"/>
              </w:rPr>
              <w:t>《多联式空调（热泵）机组能效限</w:t>
            </w:r>
            <w:r>
              <w:rPr>
                <w:spacing w:val="2"/>
                <w:lang w:eastAsia="zh-CN"/>
              </w:rPr>
              <w:t xml:space="preserve">  </w:t>
            </w:r>
            <w:r>
              <w:rPr>
                <w:spacing w:val="-4"/>
                <w:lang w:eastAsia="zh-CN"/>
              </w:rPr>
              <w:t>定值及能源效率等级》（GB</w:t>
            </w:r>
            <w:r>
              <w:rPr>
                <w:spacing w:val="-24"/>
                <w:lang w:eastAsia="zh-CN"/>
              </w:rPr>
              <w:t xml:space="preserve"> </w:t>
            </w:r>
            <w:r>
              <w:rPr>
                <w:spacing w:val="-4"/>
                <w:lang w:eastAsia="zh-CN"/>
              </w:rPr>
              <w:t>21454）</w:t>
            </w:r>
          </w:p>
        </w:tc>
      </w:tr>
      <w:tr w14:paraId="7932AD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6" w:hRule="atLeast"/>
          <w:jc w:val="center"/>
        </w:trPr>
        <w:tc>
          <w:tcPr>
            <w:tcW w:w="632" w:type="dxa"/>
            <w:vMerge w:val="continue"/>
            <w:tcBorders>
              <w:top w:val="nil"/>
              <w:bottom w:val="nil"/>
            </w:tcBorders>
          </w:tcPr>
          <w:p w14:paraId="13D49A7D">
            <w:pPr>
              <w:rPr>
                <w:rFonts w:ascii="Arial"/>
              </w:rPr>
            </w:pPr>
          </w:p>
        </w:tc>
        <w:tc>
          <w:tcPr>
            <w:tcW w:w="1275" w:type="dxa"/>
            <w:vMerge w:val="continue"/>
            <w:tcBorders>
              <w:top w:val="nil"/>
              <w:bottom w:val="nil"/>
            </w:tcBorders>
          </w:tcPr>
          <w:p w14:paraId="668BF065">
            <w:pPr>
              <w:rPr>
                <w:rFonts w:ascii="Arial"/>
              </w:rPr>
            </w:pPr>
          </w:p>
        </w:tc>
        <w:tc>
          <w:tcPr>
            <w:tcW w:w="1967" w:type="dxa"/>
            <w:vMerge w:val="continue"/>
            <w:tcBorders>
              <w:top w:val="nil"/>
            </w:tcBorders>
          </w:tcPr>
          <w:p w14:paraId="523177A7">
            <w:pPr>
              <w:rPr>
                <w:rFonts w:ascii="Arial"/>
              </w:rPr>
            </w:pPr>
          </w:p>
        </w:tc>
        <w:tc>
          <w:tcPr>
            <w:tcW w:w="2093" w:type="dxa"/>
          </w:tcPr>
          <w:p w14:paraId="70890D87">
            <w:pPr>
              <w:spacing w:line="319" w:lineRule="auto"/>
              <w:rPr>
                <w:rFonts w:ascii="Arial"/>
              </w:rPr>
            </w:pPr>
          </w:p>
          <w:p w14:paraId="1BDE6AAE">
            <w:pPr>
              <w:pStyle w:val="235"/>
              <w:spacing w:before="61" w:line="289" w:lineRule="auto"/>
              <w:ind w:left="51" w:right="11" w:hanging="33"/>
              <w:rPr>
                <w:rFonts w:hint="eastAsia"/>
                <w:lang w:eastAsia="zh-CN"/>
              </w:rPr>
            </w:pPr>
            <w:r>
              <w:rPr>
                <w:spacing w:val="44"/>
                <w:lang w:eastAsia="zh-CN"/>
              </w:rPr>
              <w:t>单元式空气调节机</w:t>
            </w:r>
            <w:r>
              <w:rPr>
                <w:spacing w:val="6"/>
                <w:lang w:eastAsia="zh-CN"/>
              </w:rPr>
              <w:t xml:space="preserve"> </w:t>
            </w:r>
            <w:r>
              <w:rPr>
                <w:spacing w:val="2"/>
                <w:lang w:eastAsia="zh-CN"/>
              </w:rPr>
              <w:t>(制冷量&gt;14000W)</w:t>
            </w:r>
          </w:p>
        </w:tc>
        <w:tc>
          <w:tcPr>
            <w:tcW w:w="3247" w:type="dxa"/>
          </w:tcPr>
          <w:p w14:paraId="693BC543">
            <w:pPr>
              <w:pStyle w:val="235"/>
              <w:spacing w:before="72" w:line="290" w:lineRule="auto"/>
              <w:ind w:left="16" w:right="11" w:firstLine="6"/>
              <w:rPr>
                <w:rFonts w:hint="eastAsia"/>
                <w:lang w:eastAsia="zh-CN"/>
              </w:rPr>
            </w:pPr>
            <w:r>
              <w:rPr>
                <w:spacing w:val="19"/>
                <w:lang w:eastAsia="zh-CN"/>
              </w:rPr>
              <w:t>《单元式空气调节机能效限定值</w:t>
            </w:r>
            <w:r>
              <w:rPr>
                <w:spacing w:val="2"/>
                <w:lang w:eastAsia="zh-CN"/>
              </w:rPr>
              <w:t xml:space="preserve"> </w:t>
            </w:r>
            <w:r>
              <w:rPr>
                <w:spacing w:val="6"/>
                <w:lang w:eastAsia="zh-CN"/>
              </w:rPr>
              <w:t>及能效等级》（</w:t>
            </w:r>
            <w:r>
              <w:rPr>
                <w:lang w:eastAsia="zh-CN"/>
              </w:rPr>
              <w:t>GB</w:t>
            </w:r>
            <w:r>
              <w:rPr>
                <w:spacing w:val="-13"/>
                <w:lang w:eastAsia="zh-CN"/>
              </w:rPr>
              <w:t xml:space="preserve"> </w:t>
            </w:r>
            <w:r>
              <w:rPr>
                <w:spacing w:val="6"/>
                <w:lang w:eastAsia="zh-CN"/>
              </w:rPr>
              <w:t>19576）《风管</w:t>
            </w:r>
            <w:r>
              <w:rPr>
                <w:lang w:eastAsia="zh-CN"/>
              </w:rPr>
              <w:t xml:space="preserve"> </w:t>
            </w:r>
            <w:r>
              <w:rPr>
                <w:spacing w:val="19"/>
                <w:lang w:eastAsia="zh-CN"/>
              </w:rPr>
              <w:t>送风式空调机组能效限定值及能</w:t>
            </w:r>
            <w:r>
              <w:rPr>
                <w:spacing w:val="9"/>
                <w:lang w:eastAsia="zh-CN"/>
              </w:rPr>
              <w:t xml:space="preserve"> </w:t>
            </w:r>
            <w:r>
              <w:rPr>
                <w:spacing w:val="7"/>
                <w:lang w:eastAsia="zh-CN"/>
              </w:rPr>
              <w:t>效等级》（</w:t>
            </w:r>
            <w:r>
              <w:rPr>
                <w:lang w:eastAsia="zh-CN"/>
              </w:rPr>
              <w:t>GB</w:t>
            </w:r>
            <w:r>
              <w:rPr>
                <w:spacing w:val="7"/>
                <w:lang w:eastAsia="zh-CN"/>
              </w:rPr>
              <w:t xml:space="preserve"> 37479）</w:t>
            </w:r>
          </w:p>
        </w:tc>
      </w:tr>
      <w:tr w14:paraId="6FA6EE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jc w:val="center"/>
        </w:trPr>
        <w:tc>
          <w:tcPr>
            <w:tcW w:w="632" w:type="dxa"/>
            <w:vMerge w:val="continue"/>
            <w:tcBorders>
              <w:top w:val="nil"/>
              <w:bottom w:val="nil"/>
            </w:tcBorders>
          </w:tcPr>
          <w:p w14:paraId="0A58D1B6">
            <w:pPr>
              <w:rPr>
                <w:rFonts w:ascii="Arial"/>
              </w:rPr>
            </w:pPr>
          </w:p>
        </w:tc>
        <w:tc>
          <w:tcPr>
            <w:tcW w:w="1275" w:type="dxa"/>
            <w:vMerge w:val="continue"/>
            <w:tcBorders>
              <w:top w:val="nil"/>
              <w:bottom w:val="nil"/>
            </w:tcBorders>
          </w:tcPr>
          <w:p w14:paraId="1BAF5616">
            <w:pPr>
              <w:rPr>
                <w:rFonts w:ascii="Arial"/>
              </w:rPr>
            </w:pPr>
          </w:p>
        </w:tc>
        <w:tc>
          <w:tcPr>
            <w:tcW w:w="1967" w:type="dxa"/>
          </w:tcPr>
          <w:p w14:paraId="39794D31">
            <w:pPr>
              <w:pStyle w:val="235"/>
              <w:spacing w:before="145" w:line="287" w:lineRule="auto"/>
              <w:ind w:left="17" w:right="10" w:firstLine="1"/>
              <w:rPr>
                <w:rFonts w:hint="eastAsia"/>
                <w:lang w:eastAsia="zh-CN"/>
              </w:rPr>
            </w:pPr>
            <w:r>
              <w:rPr>
                <w:spacing w:val="3"/>
                <w:lang w:eastAsia="zh-CN"/>
              </w:rPr>
              <w:t>★A02052309 专用制</w:t>
            </w:r>
            <w:r>
              <w:rPr>
                <w:spacing w:val="12"/>
                <w:lang w:eastAsia="zh-CN"/>
              </w:rPr>
              <w:t xml:space="preserve"> </w:t>
            </w:r>
            <w:r>
              <w:rPr>
                <w:spacing w:val="8"/>
                <w:lang w:eastAsia="zh-CN"/>
              </w:rPr>
              <w:t>冷、空调设备</w:t>
            </w:r>
          </w:p>
        </w:tc>
        <w:tc>
          <w:tcPr>
            <w:tcW w:w="2093" w:type="dxa"/>
          </w:tcPr>
          <w:p w14:paraId="5D05BD97">
            <w:pPr>
              <w:pStyle w:val="235"/>
              <w:spacing w:before="300" w:line="228" w:lineRule="auto"/>
              <w:ind w:left="15"/>
              <w:rPr>
                <w:rFonts w:hint="eastAsia"/>
              </w:rPr>
            </w:pPr>
            <w:r>
              <w:rPr>
                <w:spacing w:val="7"/>
              </w:rPr>
              <w:t>机房空调</w:t>
            </w:r>
          </w:p>
        </w:tc>
        <w:tc>
          <w:tcPr>
            <w:tcW w:w="3247" w:type="dxa"/>
          </w:tcPr>
          <w:p w14:paraId="0C88D5CC">
            <w:pPr>
              <w:pStyle w:val="235"/>
              <w:spacing w:before="146" w:line="286" w:lineRule="auto"/>
              <w:ind w:left="17" w:right="11" w:firstLine="6"/>
              <w:rPr>
                <w:rFonts w:hint="eastAsia"/>
                <w:lang w:eastAsia="zh-CN"/>
              </w:rPr>
            </w:pPr>
            <w:r>
              <w:rPr>
                <w:spacing w:val="19"/>
                <w:lang w:eastAsia="zh-CN"/>
              </w:rPr>
              <w:t>《单元式空气调节机能效限定值</w:t>
            </w:r>
            <w:r>
              <w:rPr>
                <w:spacing w:val="2"/>
                <w:lang w:eastAsia="zh-CN"/>
              </w:rPr>
              <w:t xml:space="preserve"> </w:t>
            </w:r>
            <w:r>
              <w:rPr>
                <w:spacing w:val="5"/>
                <w:lang w:eastAsia="zh-CN"/>
              </w:rPr>
              <w:t>及能效等级》（</w:t>
            </w:r>
            <w:r>
              <w:rPr>
                <w:lang w:eastAsia="zh-CN"/>
              </w:rPr>
              <w:t>GB</w:t>
            </w:r>
            <w:r>
              <w:rPr>
                <w:spacing w:val="39"/>
                <w:lang w:eastAsia="zh-CN"/>
              </w:rPr>
              <w:t xml:space="preserve"> </w:t>
            </w:r>
            <w:r>
              <w:rPr>
                <w:spacing w:val="5"/>
                <w:lang w:eastAsia="zh-CN"/>
              </w:rPr>
              <w:t>19576）</w:t>
            </w:r>
          </w:p>
        </w:tc>
      </w:tr>
      <w:tr w14:paraId="248B8E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6" w:hRule="atLeast"/>
          <w:jc w:val="center"/>
        </w:trPr>
        <w:tc>
          <w:tcPr>
            <w:tcW w:w="632" w:type="dxa"/>
            <w:vMerge w:val="continue"/>
            <w:tcBorders>
              <w:top w:val="nil"/>
            </w:tcBorders>
          </w:tcPr>
          <w:p w14:paraId="24B4A1D4">
            <w:pPr>
              <w:rPr>
                <w:rFonts w:ascii="Arial"/>
              </w:rPr>
            </w:pPr>
          </w:p>
        </w:tc>
        <w:tc>
          <w:tcPr>
            <w:tcW w:w="1275" w:type="dxa"/>
            <w:vMerge w:val="continue"/>
            <w:tcBorders>
              <w:top w:val="nil"/>
            </w:tcBorders>
          </w:tcPr>
          <w:p w14:paraId="57592900">
            <w:pPr>
              <w:rPr>
                <w:rFonts w:ascii="Arial"/>
              </w:rPr>
            </w:pPr>
          </w:p>
        </w:tc>
        <w:tc>
          <w:tcPr>
            <w:tcW w:w="1967" w:type="dxa"/>
          </w:tcPr>
          <w:p w14:paraId="5E413952">
            <w:pPr>
              <w:spacing w:line="265" w:lineRule="auto"/>
              <w:rPr>
                <w:rFonts w:ascii="Arial"/>
              </w:rPr>
            </w:pPr>
          </w:p>
          <w:p w14:paraId="70A67784">
            <w:pPr>
              <w:spacing w:line="265" w:lineRule="auto"/>
              <w:rPr>
                <w:rFonts w:ascii="Arial"/>
              </w:rPr>
            </w:pPr>
          </w:p>
          <w:p w14:paraId="1D6B9611">
            <w:pPr>
              <w:pStyle w:val="235"/>
              <w:spacing w:before="62" w:line="289" w:lineRule="auto"/>
              <w:ind w:left="21" w:right="10" w:hanging="12"/>
              <w:rPr>
                <w:rFonts w:hint="eastAsia"/>
              </w:rPr>
            </w:pPr>
            <w:r>
              <w:rPr>
                <w:spacing w:val="4"/>
              </w:rPr>
              <w:t>A02052399 其他制冷</w:t>
            </w:r>
            <w:r>
              <w:rPr>
                <w:spacing w:val="7"/>
              </w:rPr>
              <w:t xml:space="preserve"> </w:t>
            </w:r>
            <w:r>
              <w:rPr>
                <w:spacing w:val="5"/>
              </w:rPr>
              <w:t>空调设备</w:t>
            </w:r>
          </w:p>
        </w:tc>
        <w:tc>
          <w:tcPr>
            <w:tcW w:w="2093" w:type="dxa"/>
          </w:tcPr>
          <w:p w14:paraId="6F6659A5">
            <w:pPr>
              <w:spacing w:line="343" w:lineRule="auto"/>
              <w:rPr>
                <w:rFonts w:ascii="Arial"/>
              </w:rPr>
            </w:pPr>
          </w:p>
          <w:p w14:paraId="025469AA">
            <w:pPr>
              <w:spacing w:line="343" w:lineRule="auto"/>
              <w:rPr>
                <w:rFonts w:ascii="Arial"/>
              </w:rPr>
            </w:pPr>
          </w:p>
          <w:p w14:paraId="10275BD6">
            <w:pPr>
              <w:pStyle w:val="235"/>
              <w:spacing w:before="62" w:line="231" w:lineRule="auto"/>
              <w:ind w:left="18"/>
              <w:rPr>
                <w:rFonts w:hint="eastAsia"/>
              </w:rPr>
            </w:pPr>
            <w:r>
              <w:rPr>
                <w:spacing w:val="6"/>
              </w:rPr>
              <w:t>冷却塔</w:t>
            </w:r>
          </w:p>
        </w:tc>
        <w:tc>
          <w:tcPr>
            <w:tcW w:w="3247" w:type="dxa"/>
          </w:tcPr>
          <w:p w14:paraId="451B26D1">
            <w:pPr>
              <w:pStyle w:val="235"/>
              <w:spacing w:before="284" w:line="296" w:lineRule="auto"/>
              <w:ind w:left="23"/>
              <w:rPr>
                <w:rFonts w:hint="eastAsia"/>
                <w:lang w:eastAsia="zh-CN"/>
              </w:rPr>
            </w:pPr>
            <w:r>
              <w:rPr>
                <w:spacing w:val="2"/>
                <w:lang w:eastAsia="zh-CN"/>
              </w:rPr>
              <w:t>《机械通风冷却塔 第 1 部分：中</w:t>
            </w:r>
            <w:r>
              <w:rPr>
                <w:spacing w:val="3"/>
                <w:lang w:eastAsia="zh-CN"/>
              </w:rPr>
              <w:t xml:space="preserve"> </w:t>
            </w:r>
            <w:r>
              <w:rPr>
                <w:spacing w:val="-6"/>
                <w:lang w:eastAsia="zh-CN"/>
              </w:rPr>
              <w:t>小型开式冷却塔》（GB</w:t>
            </w:r>
            <w:r>
              <w:rPr>
                <w:spacing w:val="-36"/>
                <w:lang w:eastAsia="zh-CN"/>
              </w:rPr>
              <w:t xml:space="preserve"> </w:t>
            </w:r>
            <w:r>
              <w:rPr>
                <w:spacing w:val="-6"/>
                <w:lang w:eastAsia="zh-CN"/>
              </w:rPr>
              <w:t>/T</w:t>
            </w:r>
            <w:r>
              <w:rPr>
                <w:spacing w:val="-31"/>
                <w:lang w:eastAsia="zh-CN"/>
              </w:rPr>
              <w:t xml:space="preserve"> </w:t>
            </w:r>
            <w:r>
              <w:rPr>
                <w:spacing w:val="-6"/>
                <w:lang w:eastAsia="zh-CN"/>
              </w:rPr>
              <w:t>7190.1</w:t>
            </w:r>
            <w:r>
              <w:rPr>
                <w:spacing w:val="-49"/>
                <w:w w:val="97"/>
                <w:lang w:eastAsia="zh-CN"/>
              </w:rPr>
              <w:t>）；</w:t>
            </w:r>
            <w:r>
              <w:rPr>
                <w:lang w:eastAsia="zh-CN"/>
              </w:rPr>
              <w:t xml:space="preserve"> </w:t>
            </w:r>
            <w:r>
              <w:rPr>
                <w:spacing w:val="2"/>
                <w:lang w:eastAsia="zh-CN"/>
              </w:rPr>
              <w:t>《机械通风冷却塔 第 2 部分：大</w:t>
            </w:r>
            <w:r>
              <w:rPr>
                <w:spacing w:val="3"/>
                <w:lang w:eastAsia="zh-CN"/>
              </w:rPr>
              <w:t xml:space="preserve"> </w:t>
            </w:r>
            <w:r>
              <w:rPr>
                <w:spacing w:val="4"/>
                <w:lang w:eastAsia="zh-CN"/>
              </w:rPr>
              <w:t>型开式冷却塔》（</w:t>
            </w:r>
            <w:r>
              <w:rPr>
                <w:lang w:eastAsia="zh-CN"/>
              </w:rPr>
              <w:t>GB</w:t>
            </w:r>
            <w:r>
              <w:rPr>
                <w:spacing w:val="4"/>
                <w:lang w:eastAsia="zh-CN"/>
              </w:rPr>
              <w:t xml:space="preserve"> /T 7190.2）</w:t>
            </w:r>
          </w:p>
        </w:tc>
      </w:tr>
      <w:tr w14:paraId="5B4475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jc w:val="center"/>
        </w:trPr>
        <w:tc>
          <w:tcPr>
            <w:tcW w:w="632" w:type="dxa"/>
          </w:tcPr>
          <w:p w14:paraId="32D7AE94">
            <w:pPr>
              <w:spacing w:line="242" w:lineRule="auto"/>
              <w:rPr>
                <w:rFonts w:ascii="Arial"/>
              </w:rPr>
            </w:pPr>
          </w:p>
          <w:p w14:paraId="4344DADC">
            <w:pPr>
              <w:pStyle w:val="235"/>
              <w:spacing w:before="62" w:line="188" w:lineRule="auto"/>
              <w:ind w:left="247"/>
              <w:rPr>
                <w:rFonts w:hint="eastAsia"/>
              </w:rPr>
            </w:pPr>
            <w:r>
              <w:t>7</w:t>
            </w:r>
          </w:p>
        </w:tc>
        <w:tc>
          <w:tcPr>
            <w:tcW w:w="1275" w:type="dxa"/>
          </w:tcPr>
          <w:p w14:paraId="78A95310">
            <w:pPr>
              <w:pStyle w:val="235"/>
              <w:spacing w:before="273" w:line="228" w:lineRule="auto"/>
              <w:ind w:left="9"/>
              <w:rPr>
                <w:rFonts w:hint="eastAsia"/>
              </w:rPr>
            </w:pPr>
            <w:r>
              <w:rPr>
                <w:spacing w:val="3"/>
              </w:rPr>
              <w:t>A020601</w:t>
            </w:r>
            <w:r>
              <w:rPr>
                <w:spacing w:val="-19"/>
              </w:rPr>
              <w:t xml:space="preserve"> </w:t>
            </w:r>
            <w:r>
              <w:rPr>
                <w:spacing w:val="3"/>
              </w:rPr>
              <w:t>电机</w:t>
            </w:r>
          </w:p>
        </w:tc>
        <w:tc>
          <w:tcPr>
            <w:tcW w:w="1967" w:type="dxa"/>
          </w:tcPr>
          <w:p w14:paraId="0DBACC45">
            <w:pPr>
              <w:rPr>
                <w:rFonts w:ascii="Arial"/>
              </w:rPr>
            </w:pPr>
          </w:p>
        </w:tc>
        <w:tc>
          <w:tcPr>
            <w:tcW w:w="2093" w:type="dxa"/>
          </w:tcPr>
          <w:p w14:paraId="11BE12B8">
            <w:pPr>
              <w:rPr>
                <w:rFonts w:ascii="Arial"/>
              </w:rPr>
            </w:pPr>
          </w:p>
        </w:tc>
        <w:tc>
          <w:tcPr>
            <w:tcW w:w="3247" w:type="dxa"/>
          </w:tcPr>
          <w:p w14:paraId="6D7EDCDF">
            <w:pPr>
              <w:pStyle w:val="235"/>
              <w:spacing w:before="117" w:line="288" w:lineRule="auto"/>
              <w:ind w:left="22" w:right="11"/>
              <w:rPr>
                <w:rFonts w:hint="eastAsia"/>
                <w:lang w:eastAsia="zh-CN"/>
              </w:rPr>
            </w:pPr>
            <w:r>
              <w:rPr>
                <w:spacing w:val="19"/>
                <w:lang w:eastAsia="zh-CN"/>
              </w:rPr>
              <w:t>《中小型三相异步电动机能效限</w:t>
            </w:r>
            <w:r>
              <w:rPr>
                <w:spacing w:val="2"/>
                <w:lang w:eastAsia="zh-CN"/>
              </w:rPr>
              <w:t xml:space="preserve"> </w:t>
            </w:r>
            <w:r>
              <w:rPr>
                <w:spacing w:val="5"/>
                <w:lang w:eastAsia="zh-CN"/>
              </w:rPr>
              <w:t>定值及能效等级》（</w:t>
            </w:r>
            <w:r>
              <w:rPr>
                <w:lang w:eastAsia="zh-CN"/>
              </w:rPr>
              <w:t>GB</w:t>
            </w:r>
            <w:r>
              <w:rPr>
                <w:spacing w:val="42"/>
                <w:lang w:eastAsia="zh-CN"/>
              </w:rPr>
              <w:t xml:space="preserve"> </w:t>
            </w:r>
            <w:r>
              <w:rPr>
                <w:spacing w:val="5"/>
                <w:lang w:eastAsia="zh-CN"/>
              </w:rPr>
              <w:t>18613）</w:t>
            </w:r>
          </w:p>
        </w:tc>
      </w:tr>
      <w:tr w14:paraId="213239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jc w:val="center"/>
        </w:trPr>
        <w:tc>
          <w:tcPr>
            <w:tcW w:w="632" w:type="dxa"/>
          </w:tcPr>
          <w:p w14:paraId="34DDAE86">
            <w:pPr>
              <w:pStyle w:val="235"/>
              <w:spacing w:before="283" w:line="189" w:lineRule="auto"/>
              <w:ind w:left="243"/>
              <w:rPr>
                <w:rFonts w:hint="eastAsia"/>
              </w:rPr>
            </w:pPr>
            <w:r>
              <w:t>8</w:t>
            </w:r>
          </w:p>
        </w:tc>
        <w:tc>
          <w:tcPr>
            <w:tcW w:w="1275" w:type="dxa"/>
          </w:tcPr>
          <w:p w14:paraId="70BC5EEC">
            <w:pPr>
              <w:pStyle w:val="235"/>
              <w:spacing w:before="96" w:line="285" w:lineRule="auto"/>
              <w:ind w:left="15" w:right="8" w:hanging="6"/>
              <w:rPr>
                <w:rFonts w:hint="eastAsia"/>
              </w:rPr>
            </w:pPr>
            <w:r>
              <w:rPr>
                <w:spacing w:val="5"/>
              </w:rPr>
              <w:t>A020602</w:t>
            </w:r>
            <w:r>
              <w:rPr>
                <w:spacing w:val="-43"/>
              </w:rPr>
              <w:t xml:space="preserve"> </w:t>
            </w:r>
            <w:r>
              <w:rPr>
                <w:spacing w:val="5"/>
              </w:rPr>
              <w:t>变压</w:t>
            </w:r>
            <w:r>
              <w:t xml:space="preserve"> </w:t>
            </w:r>
            <w:r>
              <w:rPr>
                <w:spacing w:val="1"/>
              </w:rPr>
              <w:t>器</w:t>
            </w:r>
          </w:p>
        </w:tc>
        <w:tc>
          <w:tcPr>
            <w:tcW w:w="1967" w:type="dxa"/>
          </w:tcPr>
          <w:p w14:paraId="11BBC8F4">
            <w:pPr>
              <w:pStyle w:val="235"/>
              <w:spacing w:before="252" w:line="230" w:lineRule="auto"/>
              <w:ind w:left="15"/>
              <w:rPr>
                <w:rFonts w:hint="eastAsia"/>
              </w:rPr>
            </w:pPr>
            <w:r>
              <w:rPr>
                <w:spacing w:val="8"/>
              </w:rPr>
              <w:t>配电变压器</w:t>
            </w:r>
          </w:p>
        </w:tc>
        <w:tc>
          <w:tcPr>
            <w:tcW w:w="2093" w:type="dxa"/>
          </w:tcPr>
          <w:p w14:paraId="485DB188">
            <w:pPr>
              <w:rPr>
                <w:rFonts w:ascii="Arial"/>
              </w:rPr>
            </w:pPr>
          </w:p>
        </w:tc>
        <w:tc>
          <w:tcPr>
            <w:tcW w:w="3247" w:type="dxa"/>
          </w:tcPr>
          <w:p w14:paraId="00A4F644">
            <w:pPr>
              <w:pStyle w:val="235"/>
              <w:spacing w:before="96" w:line="285" w:lineRule="auto"/>
              <w:ind w:left="25" w:right="11" w:hanging="2"/>
              <w:rPr>
                <w:rFonts w:hint="eastAsia"/>
                <w:lang w:eastAsia="zh-CN"/>
              </w:rPr>
            </w:pPr>
            <w:r>
              <w:rPr>
                <w:spacing w:val="19"/>
                <w:lang w:eastAsia="zh-CN"/>
              </w:rPr>
              <w:t>《三相配电变压器能效限定值及</w:t>
            </w:r>
            <w:r>
              <w:rPr>
                <w:spacing w:val="2"/>
                <w:lang w:eastAsia="zh-CN"/>
              </w:rPr>
              <w:t xml:space="preserve"> </w:t>
            </w:r>
            <w:r>
              <w:rPr>
                <w:spacing w:val="6"/>
                <w:lang w:eastAsia="zh-CN"/>
              </w:rPr>
              <w:t>能效等级》（</w:t>
            </w:r>
            <w:r>
              <w:rPr>
                <w:lang w:eastAsia="zh-CN"/>
              </w:rPr>
              <w:t>GB</w:t>
            </w:r>
            <w:r>
              <w:rPr>
                <w:spacing w:val="6"/>
                <w:lang w:eastAsia="zh-CN"/>
              </w:rPr>
              <w:t xml:space="preserve"> 20052）</w:t>
            </w:r>
          </w:p>
        </w:tc>
      </w:tr>
      <w:tr w14:paraId="778B1F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jc w:val="center"/>
        </w:trPr>
        <w:tc>
          <w:tcPr>
            <w:tcW w:w="632" w:type="dxa"/>
          </w:tcPr>
          <w:p w14:paraId="5B6BAFC7">
            <w:pPr>
              <w:spacing w:line="316" w:lineRule="auto"/>
              <w:rPr>
                <w:rFonts w:ascii="Arial"/>
              </w:rPr>
            </w:pPr>
          </w:p>
          <w:p w14:paraId="2BCE2C01">
            <w:pPr>
              <w:pStyle w:val="235"/>
              <w:spacing w:before="61" w:line="189" w:lineRule="auto"/>
              <w:ind w:left="243"/>
              <w:rPr>
                <w:rFonts w:hint="eastAsia"/>
              </w:rPr>
            </w:pPr>
            <w:r>
              <w:t>9</w:t>
            </w:r>
          </w:p>
        </w:tc>
        <w:tc>
          <w:tcPr>
            <w:tcW w:w="1275" w:type="dxa"/>
          </w:tcPr>
          <w:p w14:paraId="78ADAD56">
            <w:pPr>
              <w:pStyle w:val="235"/>
              <w:spacing w:before="192" w:line="290" w:lineRule="auto"/>
              <w:ind w:left="16" w:right="8" w:firstLine="2"/>
              <w:rPr>
                <w:rFonts w:hint="eastAsia"/>
              </w:rPr>
            </w:pPr>
            <w:r>
              <w:rPr>
                <w:spacing w:val="4"/>
              </w:rPr>
              <w:t>★A020609</w:t>
            </w:r>
            <w:r>
              <w:rPr>
                <w:spacing w:val="-43"/>
              </w:rPr>
              <w:t xml:space="preserve"> </w:t>
            </w:r>
            <w:r>
              <w:rPr>
                <w:spacing w:val="4"/>
              </w:rPr>
              <w:t>镇</w:t>
            </w:r>
            <w:r>
              <w:t xml:space="preserve"> </w:t>
            </w:r>
            <w:r>
              <w:rPr>
                <w:spacing w:val="4"/>
              </w:rPr>
              <w:t>流器</w:t>
            </w:r>
          </w:p>
        </w:tc>
        <w:tc>
          <w:tcPr>
            <w:tcW w:w="1967" w:type="dxa"/>
          </w:tcPr>
          <w:p w14:paraId="602B3EC8">
            <w:pPr>
              <w:spacing w:line="284" w:lineRule="auto"/>
              <w:rPr>
                <w:rFonts w:ascii="Arial"/>
              </w:rPr>
            </w:pPr>
          </w:p>
          <w:p w14:paraId="1788C081">
            <w:pPr>
              <w:pStyle w:val="235"/>
              <w:spacing w:before="62" w:line="229" w:lineRule="auto"/>
              <w:ind w:left="19"/>
              <w:rPr>
                <w:rFonts w:hint="eastAsia"/>
              </w:rPr>
            </w:pPr>
            <w:r>
              <w:rPr>
                <w:spacing w:val="8"/>
              </w:rPr>
              <w:t>管型荧光灯镇流器</w:t>
            </w:r>
          </w:p>
        </w:tc>
        <w:tc>
          <w:tcPr>
            <w:tcW w:w="2093" w:type="dxa"/>
          </w:tcPr>
          <w:p w14:paraId="112B3CD4">
            <w:pPr>
              <w:rPr>
                <w:rFonts w:ascii="Arial"/>
              </w:rPr>
            </w:pPr>
          </w:p>
        </w:tc>
        <w:tc>
          <w:tcPr>
            <w:tcW w:w="3247" w:type="dxa"/>
          </w:tcPr>
          <w:p w14:paraId="33783D1D">
            <w:pPr>
              <w:pStyle w:val="235"/>
              <w:spacing w:before="192" w:line="288" w:lineRule="auto"/>
              <w:ind w:left="17" w:right="11" w:firstLine="6"/>
              <w:rPr>
                <w:rFonts w:hint="eastAsia"/>
                <w:lang w:eastAsia="zh-CN"/>
              </w:rPr>
            </w:pPr>
            <w:r>
              <w:rPr>
                <w:spacing w:val="19"/>
                <w:lang w:eastAsia="zh-CN"/>
              </w:rPr>
              <w:t>《管形荧光灯镇流器能效限定值</w:t>
            </w:r>
            <w:r>
              <w:rPr>
                <w:spacing w:val="2"/>
                <w:lang w:eastAsia="zh-CN"/>
              </w:rPr>
              <w:t xml:space="preserve"> </w:t>
            </w:r>
            <w:r>
              <w:rPr>
                <w:spacing w:val="5"/>
                <w:lang w:eastAsia="zh-CN"/>
              </w:rPr>
              <w:t>及能效等级》（</w:t>
            </w:r>
            <w:r>
              <w:rPr>
                <w:lang w:eastAsia="zh-CN"/>
              </w:rPr>
              <w:t>GB</w:t>
            </w:r>
            <w:r>
              <w:rPr>
                <w:spacing w:val="39"/>
                <w:lang w:eastAsia="zh-CN"/>
              </w:rPr>
              <w:t xml:space="preserve"> </w:t>
            </w:r>
            <w:r>
              <w:rPr>
                <w:spacing w:val="5"/>
                <w:lang w:eastAsia="zh-CN"/>
              </w:rPr>
              <w:t>17896）</w:t>
            </w:r>
          </w:p>
        </w:tc>
      </w:tr>
      <w:tr w14:paraId="006B1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jc w:val="center"/>
        </w:trPr>
        <w:tc>
          <w:tcPr>
            <w:tcW w:w="632" w:type="dxa"/>
            <w:vMerge w:val="restart"/>
            <w:tcBorders>
              <w:bottom w:val="nil"/>
            </w:tcBorders>
          </w:tcPr>
          <w:p w14:paraId="327E6AA5">
            <w:pPr>
              <w:spacing w:line="261" w:lineRule="auto"/>
              <w:rPr>
                <w:rFonts w:ascii="Arial"/>
              </w:rPr>
            </w:pPr>
          </w:p>
          <w:p w14:paraId="403532F3">
            <w:pPr>
              <w:spacing w:line="261" w:lineRule="auto"/>
              <w:rPr>
                <w:rFonts w:ascii="Arial"/>
              </w:rPr>
            </w:pPr>
          </w:p>
          <w:p w14:paraId="541CE45C">
            <w:pPr>
              <w:spacing w:line="261" w:lineRule="auto"/>
              <w:rPr>
                <w:rFonts w:ascii="Arial"/>
              </w:rPr>
            </w:pPr>
          </w:p>
          <w:p w14:paraId="3B97ECDA">
            <w:pPr>
              <w:spacing w:line="261" w:lineRule="auto"/>
              <w:rPr>
                <w:rFonts w:ascii="Arial"/>
              </w:rPr>
            </w:pPr>
          </w:p>
          <w:p w14:paraId="57DDC3E8">
            <w:pPr>
              <w:spacing w:line="261" w:lineRule="auto"/>
              <w:rPr>
                <w:rFonts w:ascii="Arial"/>
              </w:rPr>
            </w:pPr>
          </w:p>
          <w:p w14:paraId="4DE2A67A">
            <w:pPr>
              <w:spacing w:line="261" w:lineRule="auto"/>
              <w:rPr>
                <w:rFonts w:ascii="Arial"/>
              </w:rPr>
            </w:pPr>
          </w:p>
          <w:p w14:paraId="3E51AE60">
            <w:pPr>
              <w:spacing w:line="262" w:lineRule="auto"/>
              <w:rPr>
                <w:rFonts w:ascii="Arial"/>
              </w:rPr>
            </w:pPr>
          </w:p>
          <w:p w14:paraId="42137729">
            <w:pPr>
              <w:spacing w:line="262" w:lineRule="auto"/>
              <w:rPr>
                <w:rFonts w:ascii="Arial"/>
              </w:rPr>
            </w:pPr>
          </w:p>
          <w:p w14:paraId="22482F18">
            <w:pPr>
              <w:spacing w:line="262" w:lineRule="auto"/>
              <w:rPr>
                <w:rFonts w:ascii="Arial"/>
              </w:rPr>
            </w:pPr>
          </w:p>
          <w:p w14:paraId="1096069D">
            <w:pPr>
              <w:spacing w:line="262" w:lineRule="auto"/>
              <w:rPr>
                <w:rFonts w:ascii="Arial"/>
              </w:rPr>
            </w:pPr>
          </w:p>
          <w:p w14:paraId="315A5955">
            <w:pPr>
              <w:pStyle w:val="235"/>
              <w:spacing w:before="62" w:line="190" w:lineRule="auto"/>
              <w:ind w:left="209"/>
              <w:rPr>
                <w:rFonts w:hint="eastAsia"/>
              </w:rPr>
            </w:pPr>
            <w:r>
              <w:rPr>
                <w:spacing w:val="-7"/>
              </w:rPr>
              <w:t>10</w:t>
            </w:r>
          </w:p>
        </w:tc>
        <w:tc>
          <w:tcPr>
            <w:tcW w:w="1275" w:type="dxa"/>
            <w:vMerge w:val="restart"/>
            <w:tcBorders>
              <w:bottom w:val="nil"/>
            </w:tcBorders>
          </w:tcPr>
          <w:p w14:paraId="62D2523B">
            <w:pPr>
              <w:spacing w:line="242" w:lineRule="auto"/>
              <w:rPr>
                <w:rFonts w:ascii="Arial"/>
              </w:rPr>
            </w:pPr>
          </w:p>
          <w:p w14:paraId="12AAEFAA">
            <w:pPr>
              <w:spacing w:line="243" w:lineRule="auto"/>
              <w:rPr>
                <w:rFonts w:ascii="Arial"/>
              </w:rPr>
            </w:pPr>
          </w:p>
          <w:p w14:paraId="11DD86D4">
            <w:pPr>
              <w:spacing w:line="243" w:lineRule="auto"/>
              <w:rPr>
                <w:rFonts w:ascii="Arial"/>
              </w:rPr>
            </w:pPr>
          </w:p>
          <w:p w14:paraId="63D70EF7">
            <w:pPr>
              <w:spacing w:line="243" w:lineRule="auto"/>
              <w:rPr>
                <w:rFonts w:ascii="Arial"/>
              </w:rPr>
            </w:pPr>
          </w:p>
          <w:p w14:paraId="654F8351">
            <w:pPr>
              <w:spacing w:line="243" w:lineRule="auto"/>
              <w:rPr>
                <w:rFonts w:ascii="Arial"/>
              </w:rPr>
            </w:pPr>
          </w:p>
          <w:p w14:paraId="2DA38842">
            <w:pPr>
              <w:spacing w:line="243" w:lineRule="auto"/>
              <w:rPr>
                <w:rFonts w:ascii="Arial"/>
              </w:rPr>
            </w:pPr>
          </w:p>
          <w:p w14:paraId="1BE79585">
            <w:pPr>
              <w:spacing w:line="243" w:lineRule="auto"/>
              <w:rPr>
                <w:rFonts w:ascii="Arial"/>
              </w:rPr>
            </w:pPr>
          </w:p>
          <w:p w14:paraId="15D9B6FF">
            <w:pPr>
              <w:spacing w:line="243" w:lineRule="auto"/>
              <w:rPr>
                <w:rFonts w:ascii="Arial"/>
              </w:rPr>
            </w:pPr>
          </w:p>
          <w:p w14:paraId="1E0F16BB">
            <w:pPr>
              <w:spacing w:line="243" w:lineRule="auto"/>
              <w:rPr>
                <w:rFonts w:ascii="Arial"/>
              </w:rPr>
            </w:pPr>
          </w:p>
          <w:p w14:paraId="75990F57">
            <w:pPr>
              <w:spacing w:line="243" w:lineRule="auto"/>
              <w:rPr>
                <w:rFonts w:ascii="Arial"/>
              </w:rPr>
            </w:pPr>
          </w:p>
          <w:p w14:paraId="7170F49E">
            <w:pPr>
              <w:pStyle w:val="235"/>
              <w:spacing w:before="62" w:line="289" w:lineRule="auto"/>
              <w:ind w:left="16" w:right="8" w:hanging="7"/>
              <w:rPr>
                <w:rFonts w:hint="eastAsia"/>
              </w:rPr>
            </w:pPr>
            <w:r>
              <w:rPr>
                <w:spacing w:val="4"/>
              </w:rPr>
              <w:t>A020618</w:t>
            </w:r>
            <w:r>
              <w:rPr>
                <w:spacing w:val="-34"/>
              </w:rPr>
              <w:t xml:space="preserve"> </w:t>
            </w:r>
            <w:r>
              <w:rPr>
                <w:spacing w:val="4"/>
              </w:rPr>
              <w:t>生活</w:t>
            </w:r>
            <w:r>
              <w:t xml:space="preserve"> </w:t>
            </w:r>
            <w:r>
              <w:rPr>
                <w:spacing w:val="6"/>
              </w:rPr>
              <w:t>用电器</w:t>
            </w:r>
          </w:p>
        </w:tc>
        <w:tc>
          <w:tcPr>
            <w:tcW w:w="1967" w:type="dxa"/>
          </w:tcPr>
          <w:p w14:paraId="43C7B397">
            <w:pPr>
              <w:pStyle w:val="235"/>
              <w:spacing w:before="276" w:line="230" w:lineRule="auto"/>
              <w:ind w:left="9"/>
              <w:rPr>
                <w:rFonts w:hint="eastAsia"/>
              </w:rPr>
            </w:pPr>
            <w:r>
              <w:rPr>
                <w:spacing w:val="3"/>
              </w:rPr>
              <w:t>A0206180101</w:t>
            </w:r>
            <w:r>
              <w:rPr>
                <w:spacing w:val="-4"/>
              </w:rPr>
              <w:t xml:space="preserve"> </w:t>
            </w:r>
            <w:r>
              <w:rPr>
                <w:spacing w:val="3"/>
              </w:rPr>
              <w:t>电冰箱</w:t>
            </w:r>
          </w:p>
        </w:tc>
        <w:tc>
          <w:tcPr>
            <w:tcW w:w="2093" w:type="dxa"/>
          </w:tcPr>
          <w:p w14:paraId="2620256B">
            <w:pPr>
              <w:rPr>
                <w:rFonts w:ascii="Arial"/>
              </w:rPr>
            </w:pPr>
          </w:p>
        </w:tc>
        <w:tc>
          <w:tcPr>
            <w:tcW w:w="3247" w:type="dxa"/>
          </w:tcPr>
          <w:p w14:paraId="1328F0EE">
            <w:pPr>
              <w:pStyle w:val="235"/>
              <w:spacing w:before="121" w:line="288" w:lineRule="auto"/>
              <w:ind w:left="22" w:right="11"/>
              <w:rPr>
                <w:rFonts w:hint="eastAsia"/>
                <w:lang w:eastAsia="zh-CN"/>
              </w:rPr>
            </w:pPr>
            <w:r>
              <w:rPr>
                <w:spacing w:val="19"/>
                <w:lang w:eastAsia="zh-CN"/>
              </w:rPr>
              <w:t>《家用电冰箱耗电量限定值及能</w:t>
            </w:r>
            <w:r>
              <w:rPr>
                <w:spacing w:val="2"/>
                <w:lang w:eastAsia="zh-CN"/>
              </w:rPr>
              <w:t xml:space="preserve"> </w:t>
            </w:r>
            <w:r>
              <w:rPr>
                <w:spacing w:val="4"/>
                <w:lang w:eastAsia="zh-CN"/>
              </w:rPr>
              <w:t>效等级》（</w:t>
            </w:r>
            <w:r>
              <w:rPr>
                <w:lang w:eastAsia="zh-CN"/>
              </w:rPr>
              <w:t>GB</w:t>
            </w:r>
            <w:r>
              <w:rPr>
                <w:spacing w:val="20"/>
                <w:lang w:eastAsia="zh-CN"/>
              </w:rPr>
              <w:t xml:space="preserve">  </w:t>
            </w:r>
            <w:r>
              <w:rPr>
                <w:spacing w:val="4"/>
                <w:lang w:eastAsia="zh-CN"/>
              </w:rPr>
              <w:t>12021.2）</w:t>
            </w:r>
          </w:p>
        </w:tc>
      </w:tr>
      <w:tr w14:paraId="0784BF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8" w:hRule="atLeast"/>
          <w:jc w:val="center"/>
        </w:trPr>
        <w:tc>
          <w:tcPr>
            <w:tcW w:w="632" w:type="dxa"/>
            <w:vMerge w:val="continue"/>
            <w:tcBorders>
              <w:top w:val="nil"/>
              <w:bottom w:val="nil"/>
            </w:tcBorders>
          </w:tcPr>
          <w:p w14:paraId="7466860A">
            <w:pPr>
              <w:rPr>
                <w:rFonts w:ascii="Arial"/>
              </w:rPr>
            </w:pPr>
          </w:p>
        </w:tc>
        <w:tc>
          <w:tcPr>
            <w:tcW w:w="1275" w:type="dxa"/>
            <w:vMerge w:val="continue"/>
            <w:tcBorders>
              <w:top w:val="nil"/>
              <w:bottom w:val="nil"/>
            </w:tcBorders>
          </w:tcPr>
          <w:p w14:paraId="1BC8766F">
            <w:pPr>
              <w:rPr>
                <w:rFonts w:ascii="Arial"/>
              </w:rPr>
            </w:pPr>
          </w:p>
        </w:tc>
        <w:tc>
          <w:tcPr>
            <w:tcW w:w="1967" w:type="dxa"/>
            <w:vMerge w:val="restart"/>
            <w:tcBorders>
              <w:bottom w:val="nil"/>
            </w:tcBorders>
          </w:tcPr>
          <w:p w14:paraId="7BA292FB">
            <w:pPr>
              <w:spacing w:line="247" w:lineRule="auto"/>
              <w:rPr>
                <w:rFonts w:ascii="Arial"/>
              </w:rPr>
            </w:pPr>
          </w:p>
          <w:p w14:paraId="3048D467">
            <w:pPr>
              <w:spacing w:line="247" w:lineRule="auto"/>
              <w:rPr>
                <w:rFonts w:ascii="Arial"/>
              </w:rPr>
            </w:pPr>
          </w:p>
          <w:p w14:paraId="43AF2E38">
            <w:pPr>
              <w:spacing w:line="248" w:lineRule="auto"/>
              <w:rPr>
                <w:rFonts w:ascii="Arial"/>
              </w:rPr>
            </w:pPr>
          </w:p>
          <w:p w14:paraId="1ACB69ED">
            <w:pPr>
              <w:spacing w:line="248" w:lineRule="auto"/>
              <w:rPr>
                <w:rFonts w:ascii="Arial"/>
              </w:rPr>
            </w:pPr>
          </w:p>
          <w:p w14:paraId="0A339063">
            <w:pPr>
              <w:spacing w:line="248" w:lineRule="auto"/>
              <w:rPr>
                <w:rFonts w:ascii="Arial"/>
              </w:rPr>
            </w:pPr>
          </w:p>
          <w:p w14:paraId="370660A1">
            <w:pPr>
              <w:spacing w:line="248" w:lineRule="auto"/>
              <w:rPr>
                <w:rFonts w:ascii="Arial"/>
              </w:rPr>
            </w:pPr>
          </w:p>
          <w:p w14:paraId="73F59503">
            <w:pPr>
              <w:spacing w:line="248" w:lineRule="auto"/>
              <w:rPr>
                <w:rFonts w:ascii="Arial"/>
              </w:rPr>
            </w:pPr>
          </w:p>
          <w:p w14:paraId="33B64AAE">
            <w:pPr>
              <w:pStyle w:val="235"/>
              <w:spacing w:before="62" w:line="288" w:lineRule="auto"/>
              <w:ind w:left="14" w:right="10" w:firstLine="3"/>
              <w:rPr>
                <w:rFonts w:hint="eastAsia"/>
              </w:rPr>
            </w:pPr>
            <w:r>
              <w:rPr>
                <w:spacing w:val="3"/>
              </w:rPr>
              <w:t>★A0206180203 空调</w:t>
            </w:r>
            <w:r>
              <w:rPr>
                <w:spacing w:val="9"/>
              </w:rPr>
              <w:t xml:space="preserve"> </w:t>
            </w:r>
            <w:r>
              <w:rPr>
                <w:spacing w:val="2"/>
              </w:rPr>
              <w:t>机</w:t>
            </w:r>
          </w:p>
        </w:tc>
        <w:tc>
          <w:tcPr>
            <w:tcW w:w="2093" w:type="dxa"/>
          </w:tcPr>
          <w:p w14:paraId="3798FAFB">
            <w:pPr>
              <w:spacing w:line="261" w:lineRule="auto"/>
              <w:rPr>
                <w:rFonts w:ascii="Arial"/>
              </w:rPr>
            </w:pPr>
          </w:p>
          <w:p w14:paraId="03B3ACA2">
            <w:pPr>
              <w:spacing w:line="261" w:lineRule="auto"/>
              <w:rPr>
                <w:rFonts w:ascii="Arial"/>
              </w:rPr>
            </w:pPr>
          </w:p>
          <w:p w14:paraId="67435AC8">
            <w:pPr>
              <w:spacing w:line="261" w:lineRule="auto"/>
              <w:rPr>
                <w:rFonts w:ascii="Arial"/>
              </w:rPr>
            </w:pPr>
          </w:p>
          <w:p w14:paraId="2E7CA52F">
            <w:pPr>
              <w:pStyle w:val="235"/>
              <w:spacing w:before="62" w:line="230" w:lineRule="auto"/>
              <w:ind w:left="17"/>
              <w:rPr>
                <w:rFonts w:hint="eastAsia"/>
              </w:rPr>
            </w:pPr>
            <w:r>
              <w:rPr>
                <w:spacing w:val="8"/>
              </w:rPr>
              <w:t>房间空气调节器</w:t>
            </w:r>
          </w:p>
        </w:tc>
        <w:tc>
          <w:tcPr>
            <w:tcW w:w="3247" w:type="dxa"/>
          </w:tcPr>
          <w:p w14:paraId="08675564">
            <w:pPr>
              <w:pStyle w:val="235"/>
              <w:spacing w:before="68" w:line="293" w:lineRule="auto"/>
              <w:ind w:left="17" w:firstLine="5"/>
              <w:rPr>
                <w:rFonts w:hint="eastAsia"/>
                <w:lang w:eastAsia="zh-CN"/>
              </w:rPr>
            </w:pPr>
            <w:r>
              <w:rPr>
                <w:spacing w:val="14"/>
                <w:lang w:eastAsia="zh-CN"/>
              </w:rPr>
              <w:t>《转速可控型房间空气调节器能</w:t>
            </w:r>
            <w:r>
              <w:rPr>
                <w:lang w:eastAsia="zh-CN"/>
              </w:rPr>
              <w:t xml:space="preserve">  </w:t>
            </w:r>
            <w:r>
              <w:rPr>
                <w:spacing w:val="-9"/>
                <w:lang w:eastAsia="zh-CN"/>
              </w:rPr>
              <w:t>效</w:t>
            </w:r>
            <w:r>
              <w:rPr>
                <w:spacing w:val="-19"/>
                <w:lang w:eastAsia="zh-CN"/>
              </w:rPr>
              <w:t xml:space="preserve"> </w:t>
            </w:r>
            <w:r>
              <w:rPr>
                <w:spacing w:val="-9"/>
                <w:lang w:eastAsia="zh-CN"/>
              </w:rPr>
              <w:t>限</w:t>
            </w:r>
            <w:r>
              <w:rPr>
                <w:spacing w:val="-33"/>
                <w:lang w:eastAsia="zh-CN"/>
              </w:rPr>
              <w:t xml:space="preserve"> </w:t>
            </w:r>
            <w:r>
              <w:rPr>
                <w:spacing w:val="-9"/>
                <w:lang w:eastAsia="zh-CN"/>
              </w:rPr>
              <w:t>定</w:t>
            </w:r>
            <w:r>
              <w:rPr>
                <w:spacing w:val="-38"/>
                <w:lang w:eastAsia="zh-CN"/>
              </w:rPr>
              <w:t xml:space="preserve"> </w:t>
            </w:r>
            <w:r>
              <w:rPr>
                <w:spacing w:val="-9"/>
                <w:lang w:eastAsia="zh-CN"/>
              </w:rPr>
              <w:t>值</w:t>
            </w:r>
            <w:r>
              <w:rPr>
                <w:spacing w:val="-39"/>
                <w:lang w:eastAsia="zh-CN"/>
              </w:rPr>
              <w:t xml:space="preserve"> </w:t>
            </w:r>
            <w:r>
              <w:rPr>
                <w:spacing w:val="-9"/>
                <w:lang w:eastAsia="zh-CN"/>
              </w:rPr>
              <w:t>及</w:t>
            </w:r>
            <w:r>
              <w:rPr>
                <w:spacing w:val="-31"/>
                <w:lang w:eastAsia="zh-CN"/>
              </w:rPr>
              <w:t xml:space="preserve"> </w:t>
            </w:r>
            <w:r>
              <w:rPr>
                <w:spacing w:val="-9"/>
                <w:lang w:eastAsia="zh-CN"/>
              </w:rPr>
              <w:t>能</w:t>
            </w:r>
            <w:r>
              <w:rPr>
                <w:spacing w:val="-34"/>
                <w:lang w:eastAsia="zh-CN"/>
              </w:rPr>
              <w:t xml:space="preserve"> </w:t>
            </w:r>
            <w:r>
              <w:rPr>
                <w:spacing w:val="-9"/>
                <w:lang w:eastAsia="zh-CN"/>
              </w:rPr>
              <w:t>效</w:t>
            </w:r>
            <w:r>
              <w:rPr>
                <w:spacing w:val="-36"/>
                <w:lang w:eastAsia="zh-CN"/>
              </w:rPr>
              <w:t xml:space="preserve"> </w:t>
            </w:r>
            <w:r>
              <w:rPr>
                <w:spacing w:val="-9"/>
                <w:lang w:eastAsia="zh-CN"/>
              </w:rPr>
              <w:t>等</w:t>
            </w:r>
            <w:r>
              <w:rPr>
                <w:spacing w:val="-36"/>
                <w:lang w:eastAsia="zh-CN"/>
              </w:rPr>
              <w:t xml:space="preserve"> </w:t>
            </w:r>
            <w:r>
              <w:rPr>
                <w:spacing w:val="-9"/>
                <w:lang w:eastAsia="zh-CN"/>
              </w:rPr>
              <w:t>级</w:t>
            </w:r>
            <w:r>
              <w:rPr>
                <w:spacing w:val="-29"/>
                <w:lang w:eastAsia="zh-CN"/>
              </w:rPr>
              <w:t xml:space="preserve"> </w:t>
            </w:r>
            <w:r>
              <w:rPr>
                <w:spacing w:val="-9"/>
                <w:lang w:eastAsia="zh-CN"/>
              </w:rPr>
              <w:t>》</w:t>
            </w:r>
            <w:r>
              <w:rPr>
                <w:spacing w:val="-41"/>
                <w:lang w:eastAsia="zh-CN"/>
              </w:rPr>
              <w:t xml:space="preserve"> </w:t>
            </w:r>
            <w:r>
              <w:rPr>
                <w:spacing w:val="-9"/>
                <w:lang w:eastAsia="zh-CN"/>
              </w:rPr>
              <w:t>（ GB</w:t>
            </w:r>
            <w:r>
              <w:rPr>
                <w:lang w:eastAsia="zh-CN"/>
              </w:rPr>
              <w:t xml:space="preserve">  21455-2013</w:t>
            </w:r>
            <w:r>
              <w:rPr>
                <w:spacing w:val="12"/>
                <w:lang w:eastAsia="zh-CN"/>
              </w:rPr>
              <w:t>），</w:t>
            </w:r>
            <w:r>
              <w:rPr>
                <w:lang w:eastAsia="zh-CN"/>
              </w:rPr>
              <w:t>待 2019</w:t>
            </w:r>
            <w:r>
              <w:rPr>
                <w:spacing w:val="-15"/>
                <w:lang w:eastAsia="zh-CN"/>
              </w:rPr>
              <w:t xml:space="preserve"> </w:t>
            </w:r>
            <w:r>
              <w:rPr>
                <w:lang w:eastAsia="zh-CN"/>
              </w:rPr>
              <w:t>年修订发  布后，按《房间空气调节器能效限</w:t>
            </w:r>
            <w:r>
              <w:rPr>
                <w:spacing w:val="4"/>
                <w:lang w:eastAsia="zh-CN"/>
              </w:rPr>
              <w:t xml:space="preserve">  </w:t>
            </w:r>
            <w:r>
              <w:rPr>
                <w:spacing w:val="-5"/>
                <w:lang w:eastAsia="zh-CN"/>
              </w:rPr>
              <w:t>定值及能效等级》（GB21455-2019）</w:t>
            </w:r>
            <w:r>
              <w:rPr>
                <w:spacing w:val="15"/>
                <w:lang w:eastAsia="zh-CN"/>
              </w:rPr>
              <w:t xml:space="preserve"> </w:t>
            </w:r>
            <w:r>
              <w:rPr>
                <w:lang w:eastAsia="zh-CN"/>
              </w:rPr>
              <w:t>实施。</w:t>
            </w:r>
          </w:p>
        </w:tc>
      </w:tr>
      <w:tr w14:paraId="35C1CE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jc w:val="center"/>
        </w:trPr>
        <w:tc>
          <w:tcPr>
            <w:tcW w:w="632" w:type="dxa"/>
            <w:vMerge w:val="continue"/>
            <w:tcBorders>
              <w:top w:val="nil"/>
              <w:bottom w:val="nil"/>
            </w:tcBorders>
          </w:tcPr>
          <w:p w14:paraId="5C6E1B1E">
            <w:pPr>
              <w:rPr>
                <w:rFonts w:ascii="Arial"/>
              </w:rPr>
            </w:pPr>
          </w:p>
        </w:tc>
        <w:tc>
          <w:tcPr>
            <w:tcW w:w="1275" w:type="dxa"/>
            <w:vMerge w:val="continue"/>
            <w:tcBorders>
              <w:top w:val="nil"/>
              <w:bottom w:val="nil"/>
            </w:tcBorders>
          </w:tcPr>
          <w:p w14:paraId="35477994">
            <w:pPr>
              <w:rPr>
                <w:rFonts w:ascii="Arial"/>
              </w:rPr>
            </w:pPr>
          </w:p>
        </w:tc>
        <w:tc>
          <w:tcPr>
            <w:tcW w:w="1967" w:type="dxa"/>
            <w:vMerge w:val="continue"/>
            <w:tcBorders>
              <w:top w:val="nil"/>
              <w:bottom w:val="nil"/>
            </w:tcBorders>
          </w:tcPr>
          <w:p w14:paraId="335485AF">
            <w:pPr>
              <w:rPr>
                <w:rFonts w:ascii="Arial"/>
              </w:rPr>
            </w:pPr>
          </w:p>
        </w:tc>
        <w:tc>
          <w:tcPr>
            <w:tcW w:w="2093" w:type="dxa"/>
          </w:tcPr>
          <w:p w14:paraId="5467DA50">
            <w:pPr>
              <w:pStyle w:val="235"/>
              <w:spacing w:before="71" w:line="282" w:lineRule="auto"/>
              <w:ind w:left="15" w:right="11" w:firstLine="10"/>
              <w:rPr>
                <w:rFonts w:hint="eastAsia"/>
                <w:lang w:eastAsia="zh-CN"/>
              </w:rPr>
            </w:pPr>
            <w:r>
              <w:rPr>
                <w:spacing w:val="15"/>
                <w:lang w:eastAsia="zh-CN"/>
              </w:rPr>
              <w:t>多联式空调（热泵）</w:t>
            </w:r>
            <w:r>
              <w:rPr>
                <w:spacing w:val="7"/>
                <w:lang w:eastAsia="zh-CN"/>
              </w:rPr>
              <w:t xml:space="preserve"> </w:t>
            </w:r>
            <w:r>
              <w:rPr>
                <w:spacing w:val="-4"/>
                <w:lang w:eastAsia="zh-CN"/>
              </w:rPr>
              <w:t>机 组 （</w:t>
            </w:r>
            <w:r>
              <w:rPr>
                <w:spacing w:val="28"/>
                <w:lang w:eastAsia="zh-CN"/>
              </w:rPr>
              <w:t xml:space="preserve"> </w:t>
            </w:r>
            <w:r>
              <w:rPr>
                <w:spacing w:val="-4"/>
                <w:lang w:eastAsia="zh-CN"/>
              </w:rPr>
              <w:t>制 冷 量 ≤</w:t>
            </w:r>
            <w:r>
              <w:rPr>
                <w:lang w:eastAsia="zh-CN"/>
              </w:rPr>
              <w:t xml:space="preserve"> </w:t>
            </w:r>
            <w:r>
              <w:rPr>
                <w:spacing w:val="3"/>
                <w:lang w:eastAsia="zh-CN"/>
              </w:rPr>
              <w:t>14000W）</w:t>
            </w:r>
          </w:p>
        </w:tc>
        <w:tc>
          <w:tcPr>
            <w:tcW w:w="3247" w:type="dxa"/>
          </w:tcPr>
          <w:p w14:paraId="0D905122">
            <w:pPr>
              <w:pStyle w:val="235"/>
              <w:spacing w:before="227" w:line="288" w:lineRule="auto"/>
              <w:ind w:left="22"/>
              <w:rPr>
                <w:rFonts w:hint="eastAsia"/>
                <w:lang w:eastAsia="zh-CN"/>
              </w:rPr>
            </w:pPr>
            <w:r>
              <w:rPr>
                <w:lang w:eastAsia="zh-CN"/>
              </w:rPr>
              <w:t>《多联式空调（热泵）机组能效限</w:t>
            </w:r>
            <w:r>
              <w:rPr>
                <w:spacing w:val="2"/>
                <w:lang w:eastAsia="zh-CN"/>
              </w:rPr>
              <w:t xml:space="preserve">  </w:t>
            </w:r>
            <w:r>
              <w:rPr>
                <w:spacing w:val="-4"/>
                <w:lang w:eastAsia="zh-CN"/>
              </w:rPr>
              <w:t>定值及能源效率等级》（GB</w:t>
            </w:r>
            <w:r>
              <w:rPr>
                <w:spacing w:val="-24"/>
                <w:lang w:eastAsia="zh-CN"/>
              </w:rPr>
              <w:t xml:space="preserve"> </w:t>
            </w:r>
            <w:r>
              <w:rPr>
                <w:spacing w:val="-4"/>
                <w:lang w:eastAsia="zh-CN"/>
              </w:rPr>
              <w:t>21454）</w:t>
            </w:r>
          </w:p>
        </w:tc>
      </w:tr>
      <w:tr w14:paraId="520E6F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4" w:hRule="atLeast"/>
          <w:jc w:val="center"/>
        </w:trPr>
        <w:tc>
          <w:tcPr>
            <w:tcW w:w="632" w:type="dxa"/>
            <w:vMerge w:val="continue"/>
            <w:tcBorders>
              <w:top w:val="nil"/>
              <w:bottom w:val="nil"/>
            </w:tcBorders>
          </w:tcPr>
          <w:p w14:paraId="7F91BBAB">
            <w:pPr>
              <w:rPr>
                <w:rFonts w:ascii="Arial"/>
              </w:rPr>
            </w:pPr>
          </w:p>
        </w:tc>
        <w:tc>
          <w:tcPr>
            <w:tcW w:w="1275" w:type="dxa"/>
            <w:vMerge w:val="continue"/>
            <w:tcBorders>
              <w:top w:val="nil"/>
              <w:bottom w:val="nil"/>
            </w:tcBorders>
          </w:tcPr>
          <w:p w14:paraId="5581335B">
            <w:pPr>
              <w:rPr>
                <w:rFonts w:ascii="Arial"/>
              </w:rPr>
            </w:pPr>
          </w:p>
        </w:tc>
        <w:tc>
          <w:tcPr>
            <w:tcW w:w="1967" w:type="dxa"/>
            <w:vMerge w:val="continue"/>
            <w:tcBorders>
              <w:top w:val="nil"/>
            </w:tcBorders>
          </w:tcPr>
          <w:p w14:paraId="059DF039">
            <w:pPr>
              <w:rPr>
                <w:rFonts w:ascii="Arial"/>
              </w:rPr>
            </w:pPr>
          </w:p>
        </w:tc>
        <w:tc>
          <w:tcPr>
            <w:tcW w:w="2093" w:type="dxa"/>
          </w:tcPr>
          <w:p w14:paraId="774AD2C7">
            <w:pPr>
              <w:spacing w:line="318" w:lineRule="auto"/>
              <w:rPr>
                <w:rFonts w:ascii="Arial"/>
              </w:rPr>
            </w:pPr>
          </w:p>
          <w:p w14:paraId="3FF69438">
            <w:pPr>
              <w:pStyle w:val="235"/>
              <w:spacing w:before="62" w:line="289" w:lineRule="auto"/>
              <w:ind w:left="51" w:right="11" w:hanging="33"/>
              <w:rPr>
                <w:rFonts w:hint="eastAsia"/>
                <w:lang w:eastAsia="zh-CN"/>
              </w:rPr>
            </w:pPr>
            <w:r>
              <w:rPr>
                <w:spacing w:val="44"/>
                <w:lang w:eastAsia="zh-CN"/>
              </w:rPr>
              <w:t>单元式空气调节机</w:t>
            </w:r>
            <w:r>
              <w:rPr>
                <w:spacing w:val="6"/>
                <w:lang w:eastAsia="zh-CN"/>
              </w:rPr>
              <w:t xml:space="preserve"> </w:t>
            </w:r>
            <w:r>
              <w:rPr>
                <w:spacing w:val="3"/>
                <w:lang w:eastAsia="zh-CN"/>
              </w:rPr>
              <w:t>(制冷量≤14000W)</w:t>
            </w:r>
          </w:p>
        </w:tc>
        <w:tc>
          <w:tcPr>
            <w:tcW w:w="3247" w:type="dxa"/>
          </w:tcPr>
          <w:p w14:paraId="31A96BD8">
            <w:pPr>
              <w:pStyle w:val="235"/>
              <w:spacing w:before="72" w:line="287" w:lineRule="auto"/>
              <w:ind w:left="17" w:right="11" w:firstLine="6"/>
              <w:rPr>
                <w:rFonts w:hint="eastAsia"/>
                <w:lang w:eastAsia="zh-CN"/>
              </w:rPr>
            </w:pPr>
            <w:r>
              <w:rPr>
                <w:spacing w:val="19"/>
                <w:lang w:eastAsia="zh-CN"/>
              </w:rPr>
              <w:t>《单元式空气调节机能效限定值</w:t>
            </w:r>
            <w:r>
              <w:rPr>
                <w:spacing w:val="2"/>
                <w:lang w:eastAsia="zh-CN"/>
              </w:rPr>
              <w:t xml:space="preserve"> </w:t>
            </w:r>
            <w:r>
              <w:rPr>
                <w:spacing w:val="-5"/>
                <w:lang w:eastAsia="zh-CN"/>
              </w:rPr>
              <w:t>及能源效率等级》（GB</w:t>
            </w:r>
            <w:r>
              <w:rPr>
                <w:spacing w:val="-13"/>
                <w:lang w:eastAsia="zh-CN"/>
              </w:rPr>
              <w:t xml:space="preserve"> </w:t>
            </w:r>
            <w:r>
              <w:rPr>
                <w:spacing w:val="-5"/>
                <w:lang w:eastAsia="zh-CN"/>
              </w:rPr>
              <w:t>19576）《风</w:t>
            </w:r>
            <w:r>
              <w:rPr>
                <w:lang w:eastAsia="zh-CN"/>
              </w:rPr>
              <w:t xml:space="preserve"> </w:t>
            </w:r>
            <w:r>
              <w:rPr>
                <w:spacing w:val="19"/>
                <w:lang w:eastAsia="zh-CN"/>
              </w:rPr>
              <w:t>管送风式空调机组能效限定值及</w:t>
            </w:r>
            <w:r>
              <w:rPr>
                <w:spacing w:val="8"/>
                <w:lang w:eastAsia="zh-CN"/>
              </w:rPr>
              <w:t xml:space="preserve"> </w:t>
            </w:r>
            <w:r>
              <w:rPr>
                <w:spacing w:val="7"/>
                <w:lang w:eastAsia="zh-CN"/>
              </w:rPr>
              <w:t>能效等级》（</w:t>
            </w:r>
            <w:r>
              <w:rPr>
                <w:lang w:eastAsia="zh-CN"/>
              </w:rPr>
              <w:t>GB</w:t>
            </w:r>
            <w:r>
              <w:rPr>
                <w:spacing w:val="7"/>
                <w:lang w:eastAsia="zh-CN"/>
              </w:rPr>
              <w:t xml:space="preserve"> 37479）</w:t>
            </w:r>
          </w:p>
        </w:tc>
      </w:tr>
      <w:tr w14:paraId="1E2C27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jc w:val="center"/>
        </w:trPr>
        <w:tc>
          <w:tcPr>
            <w:tcW w:w="632" w:type="dxa"/>
            <w:vMerge w:val="continue"/>
            <w:tcBorders>
              <w:top w:val="nil"/>
            </w:tcBorders>
          </w:tcPr>
          <w:p w14:paraId="4EC1285E">
            <w:pPr>
              <w:rPr>
                <w:rFonts w:ascii="Arial"/>
              </w:rPr>
            </w:pPr>
          </w:p>
        </w:tc>
        <w:tc>
          <w:tcPr>
            <w:tcW w:w="1275" w:type="dxa"/>
            <w:vMerge w:val="continue"/>
            <w:tcBorders>
              <w:top w:val="nil"/>
            </w:tcBorders>
          </w:tcPr>
          <w:p w14:paraId="195C7FD6">
            <w:pPr>
              <w:rPr>
                <w:rFonts w:ascii="Arial"/>
              </w:rPr>
            </w:pPr>
          </w:p>
        </w:tc>
        <w:tc>
          <w:tcPr>
            <w:tcW w:w="1967" w:type="dxa"/>
          </w:tcPr>
          <w:p w14:paraId="64E79EAB">
            <w:pPr>
              <w:pStyle w:val="235"/>
              <w:spacing w:before="230" w:line="228" w:lineRule="auto"/>
              <w:ind w:left="9"/>
              <w:rPr>
                <w:rFonts w:hint="eastAsia"/>
              </w:rPr>
            </w:pPr>
            <w:r>
              <w:rPr>
                <w:spacing w:val="5"/>
              </w:rPr>
              <w:t>A0206180301</w:t>
            </w:r>
            <w:r>
              <w:rPr>
                <w:spacing w:val="-33"/>
              </w:rPr>
              <w:t xml:space="preserve"> </w:t>
            </w:r>
            <w:r>
              <w:rPr>
                <w:spacing w:val="5"/>
              </w:rPr>
              <w:t>洗衣机</w:t>
            </w:r>
          </w:p>
        </w:tc>
        <w:tc>
          <w:tcPr>
            <w:tcW w:w="2093" w:type="dxa"/>
          </w:tcPr>
          <w:p w14:paraId="626EF928">
            <w:pPr>
              <w:rPr>
                <w:rFonts w:ascii="Arial"/>
              </w:rPr>
            </w:pPr>
          </w:p>
        </w:tc>
        <w:tc>
          <w:tcPr>
            <w:tcW w:w="3247" w:type="dxa"/>
          </w:tcPr>
          <w:p w14:paraId="6A0DD6A5">
            <w:pPr>
              <w:pStyle w:val="235"/>
              <w:spacing w:before="74" w:line="276" w:lineRule="auto"/>
              <w:ind w:left="19" w:right="11" w:firstLine="3"/>
              <w:rPr>
                <w:rFonts w:hint="eastAsia"/>
                <w:lang w:eastAsia="zh-CN"/>
              </w:rPr>
            </w:pPr>
            <w:r>
              <w:rPr>
                <w:spacing w:val="19"/>
                <w:lang w:eastAsia="zh-CN"/>
              </w:rPr>
              <w:t>《电动洗衣机能效水效限定值及</w:t>
            </w:r>
            <w:r>
              <w:rPr>
                <w:spacing w:val="2"/>
                <w:lang w:eastAsia="zh-CN"/>
              </w:rPr>
              <w:t xml:space="preserve"> </w:t>
            </w:r>
            <w:r>
              <w:rPr>
                <w:spacing w:val="4"/>
                <w:lang w:eastAsia="zh-CN"/>
              </w:rPr>
              <w:t>等级》（</w:t>
            </w:r>
            <w:r>
              <w:rPr>
                <w:lang w:eastAsia="zh-CN"/>
              </w:rPr>
              <w:t>GB</w:t>
            </w:r>
            <w:r>
              <w:rPr>
                <w:spacing w:val="33"/>
                <w:lang w:eastAsia="zh-CN"/>
              </w:rPr>
              <w:t xml:space="preserve"> </w:t>
            </w:r>
            <w:r>
              <w:rPr>
                <w:spacing w:val="4"/>
                <w:lang w:eastAsia="zh-CN"/>
              </w:rPr>
              <w:t>12021.4）</w:t>
            </w:r>
          </w:p>
        </w:tc>
      </w:tr>
    </w:tbl>
    <w:p w14:paraId="61E9EAC8">
      <w:pPr>
        <w:rPr>
          <w:rFonts w:ascii="Arial"/>
        </w:rPr>
      </w:pPr>
    </w:p>
    <w:p w14:paraId="299B9A85">
      <w:pPr>
        <w:rPr>
          <w:rFonts w:ascii="Arial" w:hAnsi="Arial" w:eastAsia="Arial" w:cs="Arial"/>
          <w:szCs w:val="21"/>
        </w:rPr>
        <w:sectPr>
          <w:pgSz w:w="11906" w:h="16838"/>
          <w:pgMar w:top="1431" w:right="1691" w:bottom="0" w:left="1783" w:header="850" w:footer="0" w:gutter="0"/>
          <w:cols w:space="720" w:num="1"/>
        </w:sectPr>
      </w:pPr>
    </w:p>
    <w:p w14:paraId="672508E7">
      <w:pPr>
        <w:spacing w:line="91" w:lineRule="auto"/>
        <w:rPr>
          <w:rFonts w:ascii="Arial"/>
          <w:sz w:val="2"/>
        </w:rPr>
      </w:pPr>
    </w:p>
    <w:tbl>
      <w:tblPr>
        <w:tblStyle w:val="236"/>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14:paraId="16404E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jc w:val="center"/>
        </w:trPr>
        <w:tc>
          <w:tcPr>
            <w:tcW w:w="632" w:type="dxa"/>
            <w:vMerge w:val="restart"/>
            <w:tcBorders>
              <w:bottom w:val="nil"/>
            </w:tcBorders>
          </w:tcPr>
          <w:p w14:paraId="297E3E4C">
            <w:pPr>
              <w:rPr>
                <w:rFonts w:ascii="Arial"/>
              </w:rPr>
            </w:pPr>
          </w:p>
        </w:tc>
        <w:tc>
          <w:tcPr>
            <w:tcW w:w="1275" w:type="dxa"/>
            <w:vMerge w:val="restart"/>
            <w:tcBorders>
              <w:bottom w:val="nil"/>
            </w:tcBorders>
          </w:tcPr>
          <w:p w14:paraId="2268B603">
            <w:pPr>
              <w:rPr>
                <w:rFonts w:ascii="Arial"/>
              </w:rPr>
            </w:pPr>
          </w:p>
        </w:tc>
        <w:tc>
          <w:tcPr>
            <w:tcW w:w="1967" w:type="dxa"/>
            <w:vMerge w:val="restart"/>
            <w:tcBorders>
              <w:bottom w:val="nil"/>
            </w:tcBorders>
          </w:tcPr>
          <w:p w14:paraId="37E3B1FC">
            <w:pPr>
              <w:spacing w:line="244" w:lineRule="auto"/>
              <w:rPr>
                <w:rFonts w:ascii="Arial"/>
              </w:rPr>
            </w:pPr>
          </w:p>
          <w:p w14:paraId="7665EC62">
            <w:pPr>
              <w:spacing w:line="244" w:lineRule="auto"/>
              <w:rPr>
                <w:rFonts w:ascii="Arial"/>
              </w:rPr>
            </w:pPr>
          </w:p>
          <w:p w14:paraId="7E2F9F01">
            <w:pPr>
              <w:spacing w:line="244" w:lineRule="auto"/>
              <w:rPr>
                <w:rFonts w:ascii="Arial"/>
              </w:rPr>
            </w:pPr>
          </w:p>
          <w:p w14:paraId="240E2BEF">
            <w:pPr>
              <w:spacing w:line="244" w:lineRule="auto"/>
              <w:rPr>
                <w:rFonts w:ascii="Arial"/>
              </w:rPr>
            </w:pPr>
          </w:p>
          <w:p w14:paraId="70B77AD5">
            <w:pPr>
              <w:spacing w:line="245" w:lineRule="auto"/>
              <w:rPr>
                <w:rFonts w:ascii="Arial"/>
              </w:rPr>
            </w:pPr>
          </w:p>
          <w:p w14:paraId="0F011670">
            <w:pPr>
              <w:spacing w:line="245" w:lineRule="auto"/>
              <w:rPr>
                <w:rFonts w:ascii="Arial"/>
              </w:rPr>
            </w:pPr>
          </w:p>
          <w:p w14:paraId="42B15DA0">
            <w:pPr>
              <w:pStyle w:val="235"/>
              <w:spacing w:before="62" w:line="229" w:lineRule="auto"/>
              <w:ind w:left="9"/>
              <w:rPr>
                <w:rFonts w:hint="eastAsia"/>
              </w:rPr>
            </w:pPr>
            <w:r>
              <w:rPr>
                <w:spacing w:val="5"/>
              </w:rPr>
              <w:t>A02061808</w:t>
            </w:r>
            <w:r>
              <w:rPr>
                <w:spacing w:val="-32"/>
              </w:rPr>
              <w:t xml:space="preserve"> </w:t>
            </w:r>
            <w:r>
              <w:rPr>
                <w:spacing w:val="5"/>
              </w:rPr>
              <w:t>热水器</w:t>
            </w:r>
          </w:p>
        </w:tc>
        <w:tc>
          <w:tcPr>
            <w:tcW w:w="2093" w:type="dxa"/>
          </w:tcPr>
          <w:p w14:paraId="20688DEF">
            <w:pPr>
              <w:pStyle w:val="235"/>
              <w:spacing w:before="275" w:line="229" w:lineRule="auto"/>
              <w:ind w:left="19"/>
              <w:rPr>
                <w:rFonts w:hint="eastAsia"/>
              </w:rPr>
            </w:pPr>
            <w:r>
              <w:rPr>
                <w:spacing w:val="7"/>
              </w:rPr>
              <w:t>★电热水器</w:t>
            </w:r>
          </w:p>
        </w:tc>
        <w:tc>
          <w:tcPr>
            <w:tcW w:w="3247" w:type="dxa"/>
          </w:tcPr>
          <w:p w14:paraId="6F1D0368">
            <w:pPr>
              <w:pStyle w:val="235"/>
              <w:spacing w:before="119" w:line="288" w:lineRule="auto"/>
              <w:ind w:left="25" w:right="11" w:hanging="2"/>
              <w:rPr>
                <w:rFonts w:hint="eastAsia"/>
                <w:lang w:eastAsia="zh-CN"/>
              </w:rPr>
            </w:pPr>
            <w:r>
              <w:rPr>
                <w:spacing w:val="19"/>
                <w:lang w:eastAsia="zh-CN"/>
              </w:rPr>
              <w:t>《储水式电热水器能效限定值及</w:t>
            </w:r>
            <w:r>
              <w:rPr>
                <w:spacing w:val="2"/>
                <w:lang w:eastAsia="zh-CN"/>
              </w:rPr>
              <w:t xml:space="preserve"> </w:t>
            </w:r>
            <w:r>
              <w:rPr>
                <w:spacing w:val="6"/>
                <w:lang w:eastAsia="zh-CN"/>
              </w:rPr>
              <w:t>能效等级》（</w:t>
            </w:r>
            <w:r>
              <w:rPr>
                <w:lang w:eastAsia="zh-CN"/>
              </w:rPr>
              <w:t>GB</w:t>
            </w:r>
            <w:r>
              <w:rPr>
                <w:spacing w:val="6"/>
                <w:lang w:eastAsia="zh-CN"/>
              </w:rPr>
              <w:t xml:space="preserve">  21519）</w:t>
            </w:r>
          </w:p>
        </w:tc>
      </w:tr>
      <w:tr w14:paraId="7EC319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jc w:val="center"/>
        </w:trPr>
        <w:tc>
          <w:tcPr>
            <w:tcW w:w="632" w:type="dxa"/>
            <w:vMerge w:val="continue"/>
            <w:tcBorders>
              <w:top w:val="nil"/>
              <w:bottom w:val="nil"/>
            </w:tcBorders>
          </w:tcPr>
          <w:p w14:paraId="2BF01194">
            <w:pPr>
              <w:rPr>
                <w:rFonts w:ascii="Arial"/>
              </w:rPr>
            </w:pPr>
          </w:p>
        </w:tc>
        <w:tc>
          <w:tcPr>
            <w:tcW w:w="1275" w:type="dxa"/>
            <w:vMerge w:val="continue"/>
            <w:tcBorders>
              <w:top w:val="nil"/>
              <w:bottom w:val="nil"/>
            </w:tcBorders>
          </w:tcPr>
          <w:p w14:paraId="0FA39396">
            <w:pPr>
              <w:rPr>
                <w:rFonts w:ascii="Arial"/>
              </w:rPr>
            </w:pPr>
          </w:p>
        </w:tc>
        <w:tc>
          <w:tcPr>
            <w:tcW w:w="1967" w:type="dxa"/>
            <w:vMerge w:val="continue"/>
            <w:tcBorders>
              <w:top w:val="nil"/>
              <w:bottom w:val="nil"/>
            </w:tcBorders>
          </w:tcPr>
          <w:p w14:paraId="0CAA6426">
            <w:pPr>
              <w:rPr>
                <w:rFonts w:ascii="Arial"/>
              </w:rPr>
            </w:pPr>
          </w:p>
        </w:tc>
        <w:tc>
          <w:tcPr>
            <w:tcW w:w="2093" w:type="dxa"/>
          </w:tcPr>
          <w:p w14:paraId="05EF0CD0">
            <w:pPr>
              <w:spacing w:line="315" w:lineRule="auto"/>
              <w:rPr>
                <w:rFonts w:ascii="Arial"/>
              </w:rPr>
            </w:pPr>
          </w:p>
          <w:p w14:paraId="4EF1577E">
            <w:pPr>
              <w:pStyle w:val="235"/>
              <w:spacing w:before="61" w:line="229" w:lineRule="auto"/>
              <w:ind w:left="15"/>
              <w:rPr>
                <w:rFonts w:hint="eastAsia"/>
              </w:rPr>
            </w:pPr>
            <w:r>
              <w:rPr>
                <w:spacing w:val="8"/>
              </w:rPr>
              <w:t>燃气热水器</w:t>
            </w:r>
          </w:p>
        </w:tc>
        <w:tc>
          <w:tcPr>
            <w:tcW w:w="3247" w:type="dxa"/>
          </w:tcPr>
          <w:p w14:paraId="34AE8D0B">
            <w:pPr>
              <w:pStyle w:val="235"/>
              <w:spacing w:before="68" w:line="283" w:lineRule="auto"/>
              <w:ind w:left="25" w:hanging="2"/>
              <w:rPr>
                <w:rFonts w:hint="eastAsia"/>
                <w:lang w:eastAsia="zh-CN"/>
              </w:rPr>
            </w:pPr>
            <w:r>
              <w:rPr>
                <w:spacing w:val="17"/>
                <w:lang w:eastAsia="zh-CN"/>
              </w:rPr>
              <w:t>《家用燃气快速热水器和燃气采</w:t>
            </w:r>
            <w:r>
              <w:rPr>
                <w:lang w:eastAsia="zh-CN"/>
              </w:rPr>
              <w:t xml:space="preserve"> </w:t>
            </w:r>
            <w:r>
              <w:rPr>
                <w:spacing w:val="5"/>
                <w:lang w:eastAsia="zh-CN"/>
              </w:rPr>
              <w:t>暖热水炉能效限定值及能效等级》</w:t>
            </w:r>
            <w:r>
              <w:rPr>
                <w:spacing w:val="12"/>
                <w:lang w:eastAsia="zh-CN"/>
              </w:rPr>
              <w:t xml:space="preserve"> </w:t>
            </w:r>
            <w:r>
              <w:rPr>
                <w:spacing w:val="1"/>
                <w:lang w:eastAsia="zh-CN"/>
              </w:rPr>
              <w:t>（</w:t>
            </w:r>
            <w:r>
              <w:rPr>
                <w:lang w:eastAsia="zh-CN"/>
              </w:rPr>
              <w:t>GB</w:t>
            </w:r>
            <w:r>
              <w:rPr>
                <w:spacing w:val="18"/>
                <w:lang w:eastAsia="zh-CN"/>
              </w:rPr>
              <w:t xml:space="preserve"> </w:t>
            </w:r>
            <w:r>
              <w:rPr>
                <w:spacing w:val="1"/>
                <w:lang w:eastAsia="zh-CN"/>
              </w:rPr>
              <w:t>20665）</w:t>
            </w:r>
          </w:p>
        </w:tc>
      </w:tr>
      <w:tr w14:paraId="5A395D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jc w:val="center"/>
        </w:trPr>
        <w:tc>
          <w:tcPr>
            <w:tcW w:w="632" w:type="dxa"/>
            <w:vMerge w:val="continue"/>
            <w:tcBorders>
              <w:top w:val="nil"/>
              <w:bottom w:val="nil"/>
            </w:tcBorders>
          </w:tcPr>
          <w:p w14:paraId="54DAA7E8">
            <w:pPr>
              <w:rPr>
                <w:rFonts w:ascii="Arial"/>
              </w:rPr>
            </w:pPr>
          </w:p>
        </w:tc>
        <w:tc>
          <w:tcPr>
            <w:tcW w:w="1275" w:type="dxa"/>
            <w:vMerge w:val="continue"/>
            <w:tcBorders>
              <w:top w:val="nil"/>
              <w:bottom w:val="nil"/>
            </w:tcBorders>
          </w:tcPr>
          <w:p w14:paraId="33386681">
            <w:pPr>
              <w:rPr>
                <w:rFonts w:ascii="Arial"/>
              </w:rPr>
            </w:pPr>
          </w:p>
        </w:tc>
        <w:tc>
          <w:tcPr>
            <w:tcW w:w="1967" w:type="dxa"/>
            <w:vMerge w:val="continue"/>
            <w:tcBorders>
              <w:top w:val="nil"/>
              <w:bottom w:val="nil"/>
            </w:tcBorders>
          </w:tcPr>
          <w:p w14:paraId="65516837">
            <w:pPr>
              <w:rPr>
                <w:rFonts w:ascii="Arial"/>
              </w:rPr>
            </w:pPr>
          </w:p>
        </w:tc>
        <w:tc>
          <w:tcPr>
            <w:tcW w:w="2093" w:type="dxa"/>
          </w:tcPr>
          <w:p w14:paraId="2EBEE54B">
            <w:pPr>
              <w:spacing w:line="248" w:lineRule="auto"/>
              <w:rPr>
                <w:rFonts w:ascii="Arial"/>
              </w:rPr>
            </w:pPr>
          </w:p>
          <w:p w14:paraId="301BA3D2">
            <w:pPr>
              <w:pStyle w:val="235"/>
              <w:spacing w:before="62" w:line="229" w:lineRule="auto"/>
              <w:ind w:left="20"/>
              <w:rPr>
                <w:rFonts w:hint="eastAsia"/>
              </w:rPr>
            </w:pPr>
            <w:r>
              <w:rPr>
                <w:spacing w:val="7"/>
              </w:rPr>
              <w:t>热泵热水器</w:t>
            </w:r>
          </w:p>
        </w:tc>
        <w:tc>
          <w:tcPr>
            <w:tcW w:w="3247" w:type="dxa"/>
          </w:tcPr>
          <w:p w14:paraId="12A6DE59">
            <w:pPr>
              <w:pStyle w:val="235"/>
              <w:spacing w:before="156" w:line="288" w:lineRule="auto"/>
              <w:ind w:left="25" w:right="13" w:hanging="2"/>
              <w:rPr>
                <w:rFonts w:hint="eastAsia"/>
                <w:lang w:eastAsia="zh-CN"/>
              </w:rPr>
            </w:pPr>
            <w:r>
              <w:rPr>
                <w:spacing w:val="5"/>
                <w:lang w:eastAsia="zh-CN"/>
              </w:rPr>
              <w:t>《热泵热水机（器）能效限定值及</w:t>
            </w:r>
            <w:r>
              <w:rPr>
                <w:spacing w:val="1"/>
                <w:lang w:eastAsia="zh-CN"/>
              </w:rPr>
              <w:t xml:space="preserve"> </w:t>
            </w:r>
            <w:r>
              <w:rPr>
                <w:spacing w:val="6"/>
                <w:lang w:eastAsia="zh-CN"/>
              </w:rPr>
              <w:t>能效等级》（</w:t>
            </w:r>
            <w:r>
              <w:rPr>
                <w:lang w:eastAsia="zh-CN"/>
              </w:rPr>
              <w:t>GB</w:t>
            </w:r>
            <w:r>
              <w:rPr>
                <w:spacing w:val="6"/>
                <w:lang w:eastAsia="zh-CN"/>
              </w:rPr>
              <w:t xml:space="preserve"> 29541）</w:t>
            </w:r>
          </w:p>
        </w:tc>
      </w:tr>
      <w:tr w14:paraId="28686C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jc w:val="center"/>
        </w:trPr>
        <w:tc>
          <w:tcPr>
            <w:tcW w:w="632" w:type="dxa"/>
            <w:vMerge w:val="continue"/>
            <w:tcBorders>
              <w:top w:val="nil"/>
            </w:tcBorders>
          </w:tcPr>
          <w:p w14:paraId="3CFDACCE">
            <w:pPr>
              <w:rPr>
                <w:rFonts w:ascii="Arial"/>
              </w:rPr>
            </w:pPr>
          </w:p>
        </w:tc>
        <w:tc>
          <w:tcPr>
            <w:tcW w:w="1275" w:type="dxa"/>
            <w:vMerge w:val="continue"/>
            <w:tcBorders>
              <w:top w:val="nil"/>
            </w:tcBorders>
          </w:tcPr>
          <w:p w14:paraId="522D91EB">
            <w:pPr>
              <w:rPr>
                <w:rFonts w:ascii="Arial"/>
              </w:rPr>
            </w:pPr>
          </w:p>
        </w:tc>
        <w:tc>
          <w:tcPr>
            <w:tcW w:w="1967" w:type="dxa"/>
            <w:vMerge w:val="continue"/>
            <w:tcBorders>
              <w:top w:val="nil"/>
            </w:tcBorders>
          </w:tcPr>
          <w:p w14:paraId="429B0C80">
            <w:pPr>
              <w:rPr>
                <w:rFonts w:ascii="Arial"/>
              </w:rPr>
            </w:pPr>
          </w:p>
        </w:tc>
        <w:tc>
          <w:tcPr>
            <w:tcW w:w="2093" w:type="dxa"/>
          </w:tcPr>
          <w:p w14:paraId="75BAA3F2">
            <w:pPr>
              <w:pStyle w:val="235"/>
              <w:spacing w:before="271" w:line="229" w:lineRule="auto"/>
              <w:ind w:left="16"/>
              <w:rPr>
                <w:rFonts w:hint="eastAsia"/>
              </w:rPr>
            </w:pPr>
            <w:r>
              <w:rPr>
                <w:spacing w:val="8"/>
              </w:rPr>
              <w:t>太阳能热水系统</w:t>
            </w:r>
          </w:p>
        </w:tc>
        <w:tc>
          <w:tcPr>
            <w:tcW w:w="3247" w:type="dxa"/>
          </w:tcPr>
          <w:p w14:paraId="2825384A">
            <w:pPr>
              <w:pStyle w:val="235"/>
              <w:spacing w:before="116" w:line="288" w:lineRule="auto"/>
              <w:ind w:left="17" w:right="11" w:firstLine="5"/>
              <w:rPr>
                <w:rFonts w:hint="eastAsia"/>
                <w:lang w:eastAsia="zh-CN"/>
              </w:rPr>
            </w:pPr>
            <w:r>
              <w:rPr>
                <w:spacing w:val="19"/>
                <w:lang w:eastAsia="zh-CN"/>
              </w:rPr>
              <w:t>《家用太阳能热水系统能效限定</w:t>
            </w:r>
            <w:r>
              <w:rPr>
                <w:spacing w:val="2"/>
                <w:lang w:eastAsia="zh-CN"/>
              </w:rPr>
              <w:t xml:space="preserve"> </w:t>
            </w:r>
            <w:r>
              <w:rPr>
                <w:spacing w:val="7"/>
                <w:lang w:eastAsia="zh-CN"/>
              </w:rPr>
              <w:t>值及能效等级》（</w:t>
            </w:r>
            <w:r>
              <w:rPr>
                <w:lang w:eastAsia="zh-CN"/>
              </w:rPr>
              <w:t>GB</w:t>
            </w:r>
            <w:r>
              <w:rPr>
                <w:spacing w:val="7"/>
                <w:lang w:eastAsia="zh-CN"/>
              </w:rPr>
              <w:t xml:space="preserve"> 26969）</w:t>
            </w:r>
          </w:p>
        </w:tc>
      </w:tr>
      <w:tr w14:paraId="3E8E94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7" w:hRule="atLeast"/>
          <w:jc w:val="center"/>
        </w:trPr>
        <w:tc>
          <w:tcPr>
            <w:tcW w:w="632" w:type="dxa"/>
            <w:vMerge w:val="restart"/>
            <w:tcBorders>
              <w:bottom w:val="nil"/>
            </w:tcBorders>
          </w:tcPr>
          <w:p w14:paraId="789BB9AF">
            <w:pPr>
              <w:spacing w:line="274" w:lineRule="auto"/>
              <w:rPr>
                <w:rFonts w:ascii="Arial"/>
              </w:rPr>
            </w:pPr>
          </w:p>
          <w:p w14:paraId="568D408A">
            <w:pPr>
              <w:spacing w:line="274" w:lineRule="auto"/>
              <w:rPr>
                <w:rFonts w:ascii="Arial"/>
              </w:rPr>
            </w:pPr>
          </w:p>
          <w:p w14:paraId="77D82331">
            <w:pPr>
              <w:spacing w:line="274" w:lineRule="auto"/>
              <w:rPr>
                <w:rFonts w:ascii="Arial"/>
              </w:rPr>
            </w:pPr>
          </w:p>
          <w:p w14:paraId="348DA74B">
            <w:pPr>
              <w:spacing w:line="274" w:lineRule="auto"/>
              <w:rPr>
                <w:rFonts w:ascii="Arial"/>
              </w:rPr>
            </w:pPr>
          </w:p>
          <w:p w14:paraId="5CFCBB25">
            <w:pPr>
              <w:spacing w:line="274" w:lineRule="auto"/>
              <w:rPr>
                <w:rFonts w:ascii="Arial"/>
              </w:rPr>
            </w:pPr>
          </w:p>
          <w:p w14:paraId="63122125">
            <w:pPr>
              <w:spacing w:line="274" w:lineRule="auto"/>
              <w:rPr>
                <w:rFonts w:ascii="Arial"/>
              </w:rPr>
            </w:pPr>
          </w:p>
          <w:p w14:paraId="552E549F">
            <w:pPr>
              <w:pStyle w:val="235"/>
              <w:spacing w:before="62" w:line="190" w:lineRule="auto"/>
              <w:ind w:left="209"/>
              <w:rPr>
                <w:rFonts w:hint="eastAsia"/>
              </w:rPr>
            </w:pPr>
            <w:r>
              <w:rPr>
                <w:spacing w:val="-7"/>
              </w:rPr>
              <w:t>11</w:t>
            </w:r>
          </w:p>
        </w:tc>
        <w:tc>
          <w:tcPr>
            <w:tcW w:w="1275" w:type="dxa"/>
            <w:vMerge w:val="restart"/>
            <w:tcBorders>
              <w:bottom w:val="nil"/>
            </w:tcBorders>
          </w:tcPr>
          <w:p w14:paraId="1EF73F21">
            <w:pPr>
              <w:spacing w:line="243" w:lineRule="auto"/>
              <w:rPr>
                <w:rFonts w:ascii="Arial"/>
              </w:rPr>
            </w:pPr>
          </w:p>
          <w:p w14:paraId="7E6E349C">
            <w:pPr>
              <w:spacing w:line="243" w:lineRule="auto"/>
              <w:rPr>
                <w:rFonts w:ascii="Arial"/>
              </w:rPr>
            </w:pPr>
          </w:p>
          <w:p w14:paraId="158A5C14">
            <w:pPr>
              <w:spacing w:line="243" w:lineRule="auto"/>
              <w:rPr>
                <w:rFonts w:ascii="Arial"/>
              </w:rPr>
            </w:pPr>
          </w:p>
          <w:p w14:paraId="6EF7AF3F">
            <w:pPr>
              <w:spacing w:line="243" w:lineRule="auto"/>
              <w:rPr>
                <w:rFonts w:ascii="Arial"/>
              </w:rPr>
            </w:pPr>
          </w:p>
          <w:p w14:paraId="58782117">
            <w:pPr>
              <w:spacing w:line="243" w:lineRule="auto"/>
              <w:rPr>
                <w:rFonts w:ascii="Arial"/>
              </w:rPr>
            </w:pPr>
          </w:p>
          <w:p w14:paraId="0B5A65B0">
            <w:pPr>
              <w:spacing w:line="243" w:lineRule="auto"/>
              <w:rPr>
                <w:rFonts w:ascii="Arial"/>
              </w:rPr>
            </w:pPr>
          </w:p>
          <w:p w14:paraId="53782866">
            <w:pPr>
              <w:pStyle w:val="235"/>
              <w:spacing w:before="62" w:line="289" w:lineRule="auto"/>
              <w:ind w:left="18" w:right="8" w:hanging="9"/>
              <w:rPr>
                <w:rFonts w:hint="eastAsia"/>
              </w:rPr>
            </w:pPr>
            <w:r>
              <w:rPr>
                <w:spacing w:val="5"/>
              </w:rPr>
              <w:t>A020619</w:t>
            </w:r>
            <w:r>
              <w:rPr>
                <w:spacing w:val="-43"/>
              </w:rPr>
              <w:t xml:space="preserve"> </w:t>
            </w:r>
            <w:r>
              <w:rPr>
                <w:spacing w:val="5"/>
              </w:rPr>
              <w:t>照明</w:t>
            </w:r>
            <w:r>
              <w:t xml:space="preserve"> </w:t>
            </w:r>
            <w:r>
              <w:rPr>
                <w:spacing w:val="3"/>
              </w:rPr>
              <w:t>设备</w:t>
            </w:r>
          </w:p>
        </w:tc>
        <w:tc>
          <w:tcPr>
            <w:tcW w:w="1967" w:type="dxa"/>
          </w:tcPr>
          <w:p w14:paraId="5E6F9CBA">
            <w:pPr>
              <w:pStyle w:val="235"/>
              <w:spacing w:before="198" w:line="288" w:lineRule="auto"/>
              <w:ind w:left="20" w:right="12" w:hanging="2"/>
              <w:rPr>
                <w:rFonts w:hint="eastAsia"/>
                <w:lang w:eastAsia="zh-CN"/>
              </w:rPr>
            </w:pPr>
            <w:r>
              <w:rPr>
                <w:spacing w:val="19"/>
                <w:lang w:eastAsia="zh-CN"/>
              </w:rPr>
              <w:t>★</w:t>
            </w:r>
            <w:r>
              <w:rPr>
                <w:spacing w:val="-59"/>
                <w:lang w:eastAsia="zh-CN"/>
              </w:rPr>
              <w:t xml:space="preserve"> </w:t>
            </w:r>
            <w:r>
              <w:rPr>
                <w:spacing w:val="19"/>
                <w:lang w:eastAsia="zh-CN"/>
              </w:rPr>
              <w:t>普通照</w:t>
            </w:r>
            <w:r>
              <w:rPr>
                <w:spacing w:val="-42"/>
                <w:lang w:eastAsia="zh-CN"/>
              </w:rPr>
              <w:t xml:space="preserve"> </w:t>
            </w:r>
            <w:r>
              <w:rPr>
                <w:spacing w:val="19"/>
                <w:lang w:eastAsia="zh-CN"/>
              </w:rPr>
              <w:t>明用双端</w:t>
            </w:r>
            <w:r>
              <w:rPr>
                <w:lang w:eastAsia="zh-CN"/>
              </w:rPr>
              <w:t xml:space="preserve"> </w:t>
            </w:r>
            <w:r>
              <w:rPr>
                <w:spacing w:val="4"/>
                <w:lang w:eastAsia="zh-CN"/>
              </w:rPr>
              <w:t>荧光灯</w:t>
            </w:r>
          </w:p>
        </w:tc>
        <w:tc>
          <w:tcPr>
            <w:tcW w:w="2093" w:type="dxa"/>
          </w:tcPr>
          <w:p w14:paraId="62F2FD2E">
            <w:pPr>
              <w:rPr>
                <w:rFonts w:ascii="Arial"/>
              </w:rPr>
            </w:pPr>
          </w:p>
        </w:tc>
        <w:tc>
          <w:tcPr>
            <w:tcW w:w="3247" w:type="dxa"/>
          </w:tcPr>
          <w:p w14:paraId="2616D870">
            <w:pPr>
              <w:pStyle w:val="235"/>
              <w:spacing w:before="198" w:line="288" w:lineRule="auto"/>
              <w:ind w:left="22" w:right="11"/>
              <w:rPr>
                <w:rFonts w:hint="eastAsia"/>
                <w:lang w:eastAsia="zh-CN"/>
              </w:rPr>
            </w:pPr>
            <w:r>
              <w:rPr>
                <w:spacing w:val="19"/>
                <w:lang w:eastAsia="zh-CN"/>
              </w:rPr>
              <w:t>《普通照明用双端荧光灯能效限</w:t>
            </w:r>
            <w:r>
              <w:rPr>
                <w:spacing w:val="2"/>
                <w:lang w:eastAsia="zh-CN"/>
              </w:rPr>
              <w:t xml:space="preserve"> </w:t>
            </w:r>
            <w:r>
              <w:rPr>
                <w:spacing w:val="5"/>
                <w:lang w:eastAsia="zh-CN"/>
              </w:rPr>
              <w:t>定值及能效等级》（</w:t>
            </w:r>
            <w:r>
              <w:rPr>
                <w:lang w:eastAsia="zh-CN"/>
              </w:rPr>
              <w:t>GB</w:t>
            </w:r>
            <w:r>
              <w:rPr>
                <w:spacing w:val="42"/>
                <w:lang w:eastAsia="zh-CN"/>
              </w:rPr>
              <w:t xml:space="preserve"> </w:t>
            </w:r>
            <w:r>
              <w:rPr>
                <w:spacing w:val="5"/>
                <w:lang w:eastAsia="zh-CN"/>
              </w:rPr>
              <w:t>19043）</w:t>
            </w:r>
          </w:p>
        </w:tc>
      </w:tr>
      <w:tr w14:paraId="116CE8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jc w:val="center"/>
        </w:trPr>
        <w:tc>
          <w:tcPr>
            <w:tcW w:w="632" w:type="dxa"/>
            <w:vMerge w:val="continue"/>
            <w:tcBorders>
              <w:top w:val="nil"/>
              <w:bottom w:val="nil"/>
            </w:tcBorders>
          </w:tcPr>
          <w:p w14:paraId="6E0D13AD">
            <w:pPr>
              <w:rPr>
                <w:rFonts w:ascii="Arial"/>
              </w:rPr>
            </w:pPr>
          </w:p>
        </w:tc>
        <w:tc>
          <w:tcPr>
            <w:tcW w:w="1275" w:type="dxa"/>
            <w:vMerge w:val="continue"/>
            <w:tcBorders>
              <w:top w:val="nil"/>
              <w:bottom w:val="nil"/>
            </w:tcBorders>
          </w:tcPr>
          <w:p w14:paraId="4914308E">
            <w:pPr>
              <w:rPr>
                <w:rFonts w:ascii="Arial"/>
              </w:rPr>
            </w:pPr>
          </w:p>
        </w:tc>
        <w:tc>
          <w:tcPr>
            <w:tcW w:w="1967" w:type="dxa"/>
          </w:tcPr>
          <w:p w14:paraId="6730D047">
            <w:pPr>
              <w:pStyle w:val="235"/>
              <w:spacing w:before="158" w:line="288" w:lineRule="auto"/>
              <w:ind w:left="14" w:right="7" w:hanging="1"/>
              <w:rPr>
                <w:rFonts w:hint="eastAsia"/>
              </w:rPr>
            </w:pPr>
            <w:r>
              <w:t>LED</w:t>
            </w:r>
            <w:r>
              <w:rPr>
                <w:spacing w:val="23"/>
              </w:rPr>
              <w:t xml:space="preserve"> </w:t>
            </w:r>
            <w:r>
              <w:rPr>
                <w:spacing w:val="19"/>
              </w:rPr>
              <w:t>道路/隧道照明</w:t>
            </w:r>
            <w:r>
              <w:t xml:space="preserve"> </w:t>
            </w:r>
            <w:r>
              <w:rPr>
                <w:spacing w:val="5"/>
              </w:rPr>
              <w:t>产品</w:t>
            </w:r>
          </w:p>
        </w:tc>
        <w:tc>
          <w:tcPr>
            <w:tcW w:w="2093" w:type="dxa"/>
          </w:tcPr>
          <w:p w14:paraId="1B8E3F3A">
            <w:pPr>
              <w:rPr>
                <w:rFonts w:ascii="Arial"/>
              </w:rPr>
            </w:pPr>
          </w:p>
        </w:tc>
        <w:tc>
          <w:tcPr>
            <w:tcW w:w="3247" w:type="dxa"/>
          </w:tcPr>
          <w:p w14:paraId="67347AF8">
            <w:pPr>
              <w:pStyle w:val="235"/>
              <w:spacing w:before="158" w:line="288" w:lineRule="auto"/>
              <w:ind w:left="22"/>
              <w:rPr>
                <w:rFonts w:hint="eastAsia"/>
              </w:rPr>
            </w:pPr>
            <w:r>
              <w:rPr>
                <w:spacing w:val="7"/>
              </w:rPr>
              <w:t xml:space="preserve">《道路和隧道照明用 </w:t>
            </w:r>
            <w:r>
              <w:t>LED</w:t>
            </w:r>
            <w:r>
              <w:rPr>
                <w:spacing w:val="7"/>
              </w:rPr>
              <w:t xml:space="preserve"> 灯具能</w:t>
            </w:r>
            <w:r>
              <w:t xml:space="preserve">  </w:t>
            </w:r>
            <w:r>
              <w:rPr>
                <w:spacing w:val="-4"/>
              </w:rPr>
              <w:t>效限定值及能效等级》（GB</w:t>
            </w:r>
            <w:r>
              <w:rPr>
                <w:spacing w:val="-24"/>
              </w:rPr>
              <w:t xml:space="preserve"> </w:t>
            </w:r>
            <w:r>
              <w:rPr>
                <w:spacing w:val="-4"/>
              </w:rPr>
              <w:t>37478）</w:t>
            </w:r>
          </w:p>
        </w:tc>
      </w:tr>
      <w:tr w14:paraId="658BA5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jc w:val="center"/>
        </w:trPr>
        <w:tc>
          <w:tcPr>
            <w:tcW w:w="632" w:type="dxa"/>
            <w:vMerge w:val="continue"/>
            <w:tcBorders>
              <w:top w:val="nil"/>
              <w:bottom w:val="nil"/>
            </w:tcBorders>
          </w:tcPr>
          <w:p w14:paraId="1B96860D">
            <w:pPr>
              <w:rPr>
                <w:rFonts w:ascii="Arial"/>
              </w:rPr>
            </w:pPr>
          </w:p>
        </w:tc>
        <w:tc>
          <w:tcPr>
            <w:tcW w:w="1275" w:type="dxa"/>
            <w:vMerge w:val="continue"/>
            <w:tcBorders>
              <w:top w:val="nil"/>
              <w:bottom w:val="nil"/>
            </w:tcBorders>
          </w:tcPr>
          <w:p w14:paraId="0FB48AF7">
            <w:pPr>
              <w:rPr>
                <w:rFonts w:ascii="Arial"/>
              </w:rPr>
            </w:pPr>
          </w:p>
        </w:tc>
        <w:tc>
          <w:tcPr>
            <w:tcW w:w="1967" w:type="dxa"/>
          </w:tcPr>
          <w:p w14:paraId="1BE12539">
            <w:pPr>
              <w:rPr>
                <w:rFonts w:ascii="Arial"/>
              </w:rPr>
            </w:pPr>
          </w:p>
          <w:p w14:paraId="3CF0E7BA">
            <w:pPr>
              <w:pStyle w:val="235"/>
              <w:spacing w:before="62" w:line="229" w:lineRule="auto"/>
              <w:ind w:left="13"/>
              <w:rPr>
                <w:rFonts w:hint="eastAsia"/>
              </w:rPr>
            </w:pPr>
            <w:r>
              <w:t>LED</w:t>
            </w:r>
            <w:r>
              <w:rPr>
                <w:spacing w:val="-32"/>
              </w:rPr>
              <w:t xml:space="preserve"> </w:t>
            </w:r>
            <w:r>
              <w:rPr>
                <w:spacing w:val="8"/>
              </w:rPr>
              <w:t>筒灯</w:t>
            </w:r>
          </w:p>
        </w:tc>
        <w:tc>
          <w:tcPr>
            <w:tcW w:w="2093" w:type="dxa"/>
          </w:tcPr>
          <w:p w14:paraId="7811D251">
            <w:pPr>
              <w:rPr>
                <w:rFonts w:ascii="Arial"/>
              </w:rPr>
            </w:pPr>
          </w:p>
        </w:tc>
        <w:tc>
          <w:tcPr>
            <w:tcW w:w="3247" w:type="dxa"/>
          </w:tcPr>
          <w:p w14:paraId="1C5C44A1">
            <w:pPr>
              <w:pStyle w:val="235"/>
              <w:spacing w:before="148" w:line="288" w:lineRule="auto"/>
              <w:ind w:left="17" w:right="13" w:firstLine="5"/>
              <w:rPr>
                <w:rFonts w:hint="eastAsia"/>
              </w:rPr>
            </w:pPr>
            <w:r>
              <w:rPr>
                <w:spacing w:val="12"/>
              </w:rPr>
              <w:t xml:space="preserve">《室内照明用 </w:t>
            </w:r>
            <w:r>
              <w:t>LED</w:t>
            </w:r>
            <w:r>
              <w:rPr>
                <w:spacing w:val="12"/>
              </w:rPr>
              <w:t xml:space="preserve"> 产品能效限定</w:t>
            </w:r>
            <w:r>
              <w:rPr>
                <w:spacing w:val="2"/>
              </w:rPr>
              <w:t xml:space="preserve"> </w:t>
            </w:r>
            <w:r>
              <w:rPr>
                <w:spacing w:val="7"/>
              </w:rPr>
              <w:t>值及能效等级》（</w:t>
            </w:r>
            <w:r>
              <w:t>GB</w:t>
            </w:r>
            <w:r>
              <w:rPr>
                <w:spacing w:val="7"/>
              </w:rPr>
              <w:t xml:space="preserve"> 30255）</w:t>
            </w:r>
          </w:p>
        </w:tc>
      </w:tr>
      <w:tr w14:paraId="7BD123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jc w:val="center"/>
        </w:trPr>
        <w:tc>
          <w:tcPr>
            <w:tcW w:w="632" w:type="dxa"/>
            <w:vMerge w:val="continue"/>
            <w:tcBorders>
              <w:top w:val="nil"/>
            </w:tcBorders>
          </w:tcPr>
          <w:p w14:paraId="15C1D67D">
            <w:pPr>
              <w:rPr>
                <w:rFonts w:ascii="Arial"/>
              </w:rPr>
            </w:pPr>
          </w:p>
        </w:tc>
        <w:tc>
          <w:tcPr>
            <w:tcW w:w="1275" w:type="dxa"/>
            <w:vMerge w:val="continue"/>
            <w:tcBorders>
              <w:top w:val="nil"/>
            </w:tcBorders>
          </w:tcPr>
          <w:p w14:paraId="4EA20481">
            <w:pPr>
              <w:rPr>
                <w:rFonts w:ascii="Arial"/>
              </w:rPr>
            </w:pPr>
          </w:p>
        </w:tc>
        <w:tc>
          <w:tcPr>
            <w:tcW w:w="1967" w:type="dxa"/>
          </w:tcPr>
          <w:p w14:paraId="7CDE82C9">
            <w:pPr>
              <w:pStyle w:val="235"/>
              <w:spacing w:before="265" w:line="288" w:lineRule="auto"/>
              <w:ind w:left="47" w:right="12" w:hanging="33"/>
              <w:rPr>
                <w:rFonts w:hint="eastAsia"/>
              </w:rPr>
            </w:pPr>
            <w:r>
              <w:rPr>
                <w:spacing w:val="30"/>
              </w:rPr>
              <w:t>普通照明用非定向</w:t>
            </w:r>
            <w:r>
              <w:rPr>
                <w:spacing w:val="5"/>
              </w:rPr>
              <w:t xml:space="preserve"> </w:t>
            </w:r>
            <w:r>
              <w:rPr>
                <w:spacing w:val="-1"/>
              </w:rPr>
              <w:t>自镇流</w:t>
            </w:r>
            <w:r>
              <w:rPr>
                <w:spacing w:val="-33"/>
              </w:rPr>
              <w:t xml:space="preserve"> </w:t>
            </w:r>
            <w:r>
              <w:rPr>
                <w:spacing w:val="-1"/>
              </w:rPr>
              <w:t>LED</w:t>
            </w:r>
            <w:r>
              <w:rPr>
                <w:spacing w:val="-37"/>
              </w:rPr>
              <w:t xml:space="preserve"> </w:t>
            </w:r>
            <w:r>
              <w:rPr>
                <w:spacing w:val="-1"/>
              </w:rPr>
              <w:t>灯</w:t>
            </w:r>
          </w:p>
        </w:tc>
        <w:tc>
          <w:tcPr>
            <w:tcW w:w="2093" w:type="dxa"/>
          </w:tcPr>
          <w:p w14:paraId="64088123">
            <w:pPr>
              <w:rPr>
                <w:rFonts w:ascii="Arial"/>
              </w:rPr>
            </w:pPr>
          </w:p>
        </w:tc>
        <w:tc>
          <w:tcPr>
            <w:tcW w:w="3247" w:type="dxa"/>
          </w:tcPr>
          <w:p w14:paraId="25656A64">
            <w:pPr>
              <w:pStyle w:val="235"/>
              <w:spacing w:before="265" w:line="288" w:lineRule="auto"/>
              <w:ind w:left="17" w:right="13" w:firstLine="5"/>
              <w:rPr>
                <w:rFonts w:hint="eastAsia"/>
              </w:rPr>
            </w:pPr>
            <w:r>
              <w:rPr>
                <w:spacing w:val="12"/>
              </w:rPr>
              <w:t xml:space="preserve">《室内照明用 </w:t>
            </w:r>
            <w:r>
              <w:t>LED</w:t>
            </w:r>
            <w:r>
              <w:rPr>
                <w:spacing w:val="12"/>
              </w:rPr>
              <w:t xml:space="preserve"> 产品能效限定</w:t>
            </w:r>
            <w:r>
              <w:rPr>
                <w:spacing w:val="2"/>
              </w:rPr>
              <w:t xml:space="preserve"> </w:t>
            </w:r>
            <w:r>
              <w:rPr>
                <w:spacing w:val="7"/>
              </w:rPr>
              <w:t>值及能效等级》（</w:t>
            </w:r>
            <w:r>
              <w:t>GB</w:t>
            </w:r>
            <w:r>
              <w:rPr>
                <w:spacing w:val="7"/>
              </w:rPr>
              <w:t xml:space="preserve"> 30255）</w:t>
            </w:r>
          </w:p>
        </w:tc>
      </w:tr>
      <w:tr w14:paraId="5A2937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jc w:val="center"/>
        </w:trPr>
        <w:tc>
          <w:tcPr>
            <w:tcW w:w="632" w:type="dxa"/>
          </w:tcPr>
          <w:p w14:paraId="1E963831">
            <w:pPr>
              <w:spacing w:line="268" w:lineRule="auto"/>
              <w:rPr>
                <w:rFonts w:ascii="Arial"/>
              </w:rPr>
            </w:pPr>
          </w:p>
          <w:p w14:paraId="1682E97D">
            <w:pPr>
              <w:pStyle w:val="235"/>
              <w:spacing w:before="62" w:line="190" w:lineRule="auto"/>
              <w:ind w:left="209"/>
              <w:rPr>
                <w:rFonts w:hint="eastAsia"/>
              </w:rPr>
            </w:pPr>
            <w:r>
              <w:rPr>
                <w:spacing w:val="-7"/>
              </w:rPr>
              <w:t>12</w:t>
            </w:r>
          </w:p>
        </w:tc>
        <w:tc>
          <w:tcPr>
            <w:tcW w:w="1275" w:type="dxa"/>
          </w:tcPr>
          <w:p w14:paraId="6FFFBAE5">
            <w:pPr>
              <w:pStyle w:val="235"/>
              <w:spacing w:before="144" w:line="289" w:lineRule="auto"/>
              <w:ind w:left="14" w:right="8" w:firstLine="3"/>
              <w:rPr>
                <w:rFonts w:hint="eastAsia"/>
              </w:rPr>
            </w:pPr>
            <w:r>
              <w:rPr>
                <w:spacing w:val="1"/>
              </w:rPr>
              <w:t>★A020910</w:t>
            </w:r>
            <w:r>
              <w:rPr>
                <w:spacing w:val="-17"/>
              </w:rPr>
              <w:t xml:space="preserve"> </w:t>
            </w:r>
            <w:r>
              <w:rPr>
                <w:spacing w:val="1"/>
              </w:rPr>
              <w:t>电</w:t>
            </w:r>
            <w:r>
              <w:t xml:space="preserve"> </w:t>
            </w:r>
            <w:r>
              <w:rPr>
                <w:spacing w:val="6"/>
              </w:rPr>
              <w:t>视设备</w:t>
            </w:r>
          </w:p>
        </w:tc>
        <w:tc>
          <w:tcPr>
            <w:tcW w:w="1967" w:type="dxa"/>
          </w:tcPr>
          <w:p w14:paraId="1A334C7E">
            <w:pPr>
              <w:pStyle w:val="235"/>
              <w:spacing w:before="145" w:line="288" w:lineRule="auto"/>
              <w:ind w:left="18" w:right="10" w:hanging="9"/>
              <w:rPr>
                <w:rFonts w:hint="eastAsia"/>
                <w:lang w:eastAsia="zh-CN"/>
              </w:rPr>
            </w:pPr>
            <w:r>
              <w:rPr>
                <w:spacing w:val="4"/>
                <w:lang w:eastAsia="zh-CN"/>
              </w:rPr>
              <w:t>A02091001 普通电视</w:t>
            </w:r>
            <w:r>
              <w:rPr>
                <w:spacing w:val="7"/>
                <w:lang w:eastAsia="zh-CN"/>
              </w:rPr>
              <w:t xml:space="preserve"> </w:t>
            </w:r>
            <w:r>
              <w:rPr>
                <w:spacing w:val="6"/>
                <w:lang w:eastAsia="zh-CN"/>
              </w:rPr>
              <w:t>设备（电视机）</w:t>
            </w:r>
          </w:p>
        </w:tc>
        <w:tc>
          <w:tcPr>
            <w:tcW w:w="2093" w:type="dxa"/>
          </w:tcPr>
          <w:p w14:paraId="0C98A9D1">
            <w:pPr>
              <w:rPr>
                <w:rFonts w:ascii="Arial"/>
              </w:rPr>
            </w:pPr>
          </w:p>
        </w:tc>
        <w:tc>
          <w:tcPr>
            <w:tcW w:w="3247" w:type="dxa"/>
          </w:tcPr>
          <w:p w14:paraId="02197ABC">
            <w:pPr>
              <w:pStyle w:val="235"/>
              <w:spacing w:before="146" w:line="289" w:lineRule="auto"/>
              <w:ind w:left="21" w:right="11" w:firstLine="2"/>
              <w:rPr>
                <w:rFonts w:hint="eastAsia"/>
                <w:lang w:eastAsia="zh-CN"/>
              </w:rPr>
            </w:pPr>
            <w:r>
              <w:rPr>
                <w:spacing w:val="19"/>
                <w:lang w:eastAsia="zh-CN"/>
              </w:rPr>
              <w:t>《平板电视能效限定值及能效等</w:t>
            </w:r>
            <w:r>
              <w:rPr>
                <w:spacing w:val="2"/>
                <w:lang w:eastAsia="zh-CN"/>
              </w:rPr>
              <w:t xml:space="preserve"> </w:t>
            </w:r>
            <w:r>
              <w:rPr>
                <w:spacing w:val="4"/>
                <w:lang w:eastAsia="zh-CN"/>
              </w:rPr>
              <w:t>级》（</w:t>
            </w:r>
            <w:r>
              <w:rPr>
                <w:lang w:eastAsia="zh-CN"/>
              </w:rPr>
              <w:t>GB</w:t>
            </w:r>
            <w:r>
              <w:rPr>
                <w:spacing w:val="23"/>
                <w:lang w:eastAsia="zh-CN"/>
              </w:rPr>
              <w:t xml:space="preserve"> </w:t>
            </w:r>
            <w:r>
              <w:rPr>
                <w:spacing w:val="4"/>
                <w:lang w:eastAsia="zh-CN"/>
              </w:rPr>
              <w:t>24850）</w:t>
            </w:r>
          </w:p>
        </w:tc>
      </w:tr>
      <w:tr w14:paraId="7FC4E1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6" w:hRule="atLeast"/>
          <w:jc w:val="center"/>
        </w:trPr>
        <w:tc>
          <w:tcPr>
            <w:tcW w:w="632" w:type="dxa"/>
          </w:tcPr>
          <w:p w14:paraId="7C03EB52">
            <w:pPr>
              <w:spacing w:line="279" w:lineRule="auto"/>
              <w:rPr>
                <w:rFonts w:ascii="Arial"/>
              </w:rPr>
            </w:pPr>
          </w:p>
          <w:p w14:paraId="1E285AA6">
            <w:pPr>
              <w:spacing w:line="279" w:lineRule="auto"/>
              <w:rPr>
                <w:rFonts w:ascii="Arial"/>
              </w:rPr>
            </w:pPr>
          </w:p>
          <w:p w14:paraId="2FFFA9DD">
            <w:pPr>
              <w:spacing w:line="279" w:lineRule="auto"/>
              <w:rPr>
                <w:rFonts w:ascii="Arial"/>
              </w:rPr>
            </w:pPr>
          </w:p>
          <w:p w14:paraId="307DF215">
            <w:pPr>
              <w:pStyle w:val="235"/>
              <w:spacing w:before="61" w:line="190" w:lineRule="auto"/>
              <w:ind w:left="209"/>
              <w:rPr>
                <w:rFonts w:hint="eastAsia"/>
              </w:rPr>
            </w:pPr>
            <w:r>
              <w:rPr>
                <w:spacing w:val="-7"/>
              </w:rPr>
              <w:t>13</w:t>
            </w:r>
          </w:p>
        </w:tc>
        <w:tc>
          <w:tcPr>
            <w:tcW w:w="1275" w:type="dxa"/>
          </w:tcPr>
          <w:p w14:paraId="4EE7BC68">
            <w:pPr>
              <w:spacing w:line="325" w:lineRule="auto"/>
              <w:rPr>
                <w:rFonts w:ascii="Arial"/>
              </w:rPr>
            </w:pPr>
          </w:p>
          <w:p w14:paraId="7CF32FEC">
            <w:pPr>
              <w:spacing w:line="326" w:lineRule="auto"/>
              <w:rPr>
                <w:rFonts w:ascii="Arial"/>
              </w:rPr>
            </w:pPr>
          </w:p>
          <w:p w14:paraId="4A1C7BF9">
            <w:pPr>
              <w:pStyle w:val="235"/>
              <w:spacing w:before="62" w:line="289" w:lineRule="auto"/>
              <w:ind w:left="16" w:right="8" w:firstLine="2"/>
              <w:rPr>
                <w:rFonts w:hint="eastAsia"/>
              </w:rPr>
            </w:pPr>
            <w:r>
              <w:rPr>
                <w:spacing w:val="4"/>
              </w:rPr>
              <w:t>★A020911</w:t>
            </w:r>
            <w:r>
              <w:rPr>
                <w:spacing w:val="-44"/>
              </w:rPr>
              <w:t xml:space="preserve"> </w:t>
            </w:r>
            <w:r>
              <w:rPr>
                <w:spacing w:val="4"/>
              </w:rPr>
              <w:t>视</w:t>
            </w:r>
            <w:r>
              <w:t xml:space="preserve"> </w:t>
            </w:r>
            <w:r>
              <w:rPr>
                <w:spacing w:val="6"/>
              </w:rPr>
              <w:t>频设备</w:t>
            </w:r>
          </w:p>
        </w:tc>
        <w:tc>
          <w:tcPr>
            <w:tcW w:w="1967" w:type="dxa"/>
          </w:tcPr>
          <w:p w14:paraId="5755AE58">
            <w:pPr>
              <w:spacing w:line="325" w:lineRule="auto"/>
              <w:rPr>
                <w:rFonts w:ascii="Arial"/>
              </w:rPr>
            </w:pPr>
          </w:p>
          <w:p w14:paraId="0FD36F40">
            <w:pPr>
              <w:spacing w:line="326" w:lineRule="auto"/>
              <w:rPr>
                <w:rFonts w:ascii="Arial"/>
              </w:rPr>
            </w:pPr>
          </w:p>
          <w:p w14:paraId="568CE044">
            <w:pPr>
              <w:pStyle w:val="235"/>
              <w:spacing w:before="62" w:line="289" w:lineRule="auto"/>
              <w:ind w:left="18" w:right="10" w:hanging="9"/>
              <w:rPr>
                <w:rFonts w:hint="eastAsia"/>
              </w:rPr>
            </w:pPr>
            <w:r>
              <w:rPr>
                <w:spacing w:val="4"/>
              </w:rPr>
              <w:t>A02091107 视频监控</w:t>
            </w:r>
            <w:r>
              <w:rPr>
                <w:spacing w:val="7"/>
              </w:rPr>
              <w:t xml:space="preserve"> </w:t>
            </w:r>
            <w:r>
              <w:rPr>
                <w:spacing w:val="3"/>
              </w:rPr>
              <w:t>设备</w:t>
            </w:r>
          </w:p>
        </w:tc>
        <w:tc>
          <w:tcPr>
            <w:tcW w:w="2093" w:type="dxa"/>
          </w:tcPr>
          <w:p w14:paraId="4E922D52">
            <w:pPr>
              <w:spacing w:line="268" w:lineRule="auto"/>
              <w:rPr>
                <w:rFonts w:ascii="Arial"/>
              </w:rPr>
            </w:pPr>
          </w:p>
          <w:p w14:paraId="4B6B8537">
            <w:pPr>
              <w:spacing w:line="269" w:lineRule="auto"/>
              <w:rPr>
                <w:rFonts w:ascii="Arial"/>
              </w:rPr>
            </w:pPr>
          </w:p>
          <w:p w14:paraId="5F4AED72">
            <w:pPr>
              <w:spacing w:line="269" w:lineRule="auto"/>
              <w:rPr>
                <w:rFonts w:ascii="Arial"/>
              </w:rPr>
            </w:pPr>
          </w:p>
          <w:p w14:paraId="2C031CED">
            <w:pPr>
              <w:pStyle w:val="235"/>
              <w:spacing w:before="62" w:line="230" w:lineRule="auto"/>
              <w:ind w:left="17"/>
              <w:rPr>
                <w:rFonts w:hint="eastAsia"/>
              </w:rPr>
            </w:pPr>
            <w:r>
              <w:rPr>
                <w:spacing w:val="6"/>
              </w:rPr>
              <w:t>监视器</w:t>
            </w:r>
          </w:p>
        </w:tc>
        <w:tc>
          <w:tcPr>
            <w:tcW w:w="3247" w:type="dxa"/>
          </w:tcPr>
          <w:p w14:paraId="2261E91E">
            <w:pPr>
              <w:pStyle w:val="235"/>
              <w:spacing w:before="94" w:line="293" w:lineRule="auto"/>
              <w:ind w:left="17" w:right="11" w:firstLine="23"/>
              <w:rPr>
                <w:rFonts w:hint="eastAsia"/>
                <w:lang w:eastAsia="zh-CN"/>
              </w:rPr>
            </w:pPr>
            <w:r>
              <w:rPr>
                <w:spacing w:val="18"/>
                <w:lang w:eastAsia="zh-CN"/>
              </w:rPr>
              <w:t>以射频信号为主要信号输入的监</w:t>
            </w:r>
            <w:r>
              <w:rPr>
                <w:lang w:eastAsia="zh-CN"/>
              </w:rPr>
              <w:t xml:space="preserve"> </w:t>
            </w:r>
            <w:r>
              <w:rPr>
                <w:spacing w:val="5"/>
                <w:lang w:eastAsia="zh-CN"/>
              </w:rPr>
              <w:t>视器应符合《平板电视能效限定值</w:t>
            </w:r>
            <w:r>
              <w:rPr>
                <w:spacing w:val="7"/>
                <w:lang w:eastAsia="zh-CN"/>
              </w:rPr>
              <w:t xml:space="preserve"> </w:t>
            </w:r>
            <w:r>
              <w:rPr>
                <w:spacing w:val="8"/>
                <w:lang w:eastAsia="zh-CN"/>
              </w:rPr>
              <w:t>及能效等级》（</w:t>
            </w:r>
            <w:r>
              <w:rPr>
                <w:lang w:eastAsia="zh-CN"/>
              </w:rPr>
              <w:t>GB</w:t>
            </w:r>
            <w:r>
              <w:rPr>
                <w:spacing w:val="8"/>
                <w:lang w:eastAsia="zh-CN"/>
              </w:rPr>
              <w:t xml:space="preserve"> 24850</w:t>
            </w:r>
            <w:r>
              <w:rPr>
                <w:lang w:eastAsia="zh-CN"/>
              </w:rPr>
              <w:t>），</w:t>
            </w:r>
          </w:p>
          <w:p w14:paraId="07909998">
            <w:pPr>
              <w:pStyle w:val="235"/>
              <w:spacing w:before="31" w:line="290" w:lineRule="auto"/>
              <w:ind w:left="17" w:right="11" w:firstLine="23"/>
              <w:rPr>
                <w:rFonts w:hint="eastAsia"/>
                <w:lang w:eastAsia="zh-CN"/>
              </w:rPr>
            </w:pPr>
            <w:r>
              <w:rPr>
                <w:spacing w:val="18"/>
                <w:lang w:eastAsia="zh-CN"/>
              </w:rPr>
              <w:t>以数字信号为主要信号输入的监</w:t>
            </w:r>
            <w:r>
              <w:rPr>
                <w:lang w:eastAsia="zh-CN"/>
              </w:rPr>
              <w:t xml:space="preserve"> </w:t>
            </w:r>
            <w:r>
              <w:rPr>
                <w:spacing w:val="5"/>
                <w:lang w:eastAsia="zh-CN"/>
              </w:rPr>
              <w:t>视器应符合《计算机显示器能效限</w:t>
            </w:r>
            <w:r>
              <w:rPr>
                <w:spacing w:val="7"/>
                <w:lang w:eastAsia="zh-CN"/>
              </w:rPr>
              <w:t xml:space="preserve"> 定值及能效等级》（</w:t>
            </w:r>
            <w:r>
              <w:rPr>
                <w:lang w:eastAsia="zh-CN"/>
              </w:rPr>
              <w:t>GB</w:t>
            </w:r>
            <w:r>
              <w:rPr>
                <w:spacing w:val="7"/>
                <w:lang w:eastAsia="zh-CN"/>
              </w:rPr>
              <w:t xml:space="preserve"> 21520）</w:t>
            </w:r>
          </w:p>
        </w:tc>
      </w:tr>
      <w:tr w14:paraId="50C38A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jc w:val="center"/>
        </w:trPr>
        <w:tc>
          <w:tcPr>
            <w:tcW w:w="632" w:type="dxa"/>
          </w:tcPr>
          <w:p w14:paraId="7E606459">
            <w:pPr>
              <w:spacing w:line="265" w:lineRule="auto"/>
              <w:rPr>
                <w:rFonts w:ascii="Arial"/>
              </w:rPr>
            </w:pPr>
          </w:p>
          <w:p w14:paraId="1EF86C3E">
            <w:pPr>
              <w:pStyle w:val="235"/>
              <w:spacing w:before="62" w:line="190" w:lineRule="auto"/>
              <w:ind w:left="209"/>
              <w:rPr>
                <w:rFonts w:hint="eastAsia"/>
              </w:rPr>
            </w:pPr>
            <w:r>
              <w:rPr>
                <w:spacing w:val="-7"/>
              </w:rPr>
              <w:t>14</w:t>
            </w:r>
          </w:p>
        </w:tc>
        <w:tc>
          <w:tcPr>
            <w:tcW w:w="1275" w:type="dxa"/>
          </w:tcPr>
          <w:p w14:paraId="788955BA">
            <w:pPr>
              <w:pStyle w:val="235"/>
              <w:spacing w:before="141" w:line="288" w:lineRule="auto"/>
              <w:ind w:left="15" w:right="8" w:hanging="6"/>
              <w:rPr>
                <w:rFonts w:hint="eastAsia"/>
              </w:rPr>
            </w:pPr>
            <w:r>
              <w:rPr>
                <w:spacing w:val="5"/>
              </w:rPr>
              <w:t>A031210</w:t>
            </w:r>
            <w:r>
              <w:rPr>
                <w:spacing w:val="-43"/>
              </w:rPr>
              <w:t xml:space="preserve"> </w:t>
            </w:r>
            <w:r>
              <w:rPr>
                <w:spacing w:val="5"/>
              </w:rPr>
              <w:t>饮食</w:t>
            </w:r>
            <w:r>
              <w:t xml:space="preserve"> </w:t>
            </w:r>
            <w:r>
              <w:rPr>
                <w:spacing w:val="7"/>
              </w:rPr>
              <w:t>炊事机械</w:t>
            </w:r>
          </w:p>
        </w:tc>
        <w:tc>
          <w:tcPr>
            <w:tcW w:w="1967" w:type="dxa"/>
          </w:tcPr>
          <w:p w14:paraId="1CF3F46D">
            <w:pPr>
              <w:pStyle w:val="235"/>
              <w:spacing w:before="297" w:line="230" w:lineRule="auto"/>
              <w:ind w:left="19"/>
              <w:rPr>
                <w:rFonts w:hint="eastAsia"/>
              </w:rPr>
            </w:pPr>
            <w:r>
              <w:rPr>
                <w:spacing w:val="7"/>
              </w:rPr>
              <w:t>商用燃气灶具</w:t>
            </w:r>
          </w:p>
        </w:tc>
        <w:tc>
          <w:tcPr>
            <w:tcW w:w="2093" w:type="dxa"/>
          </w:tcPr>
          <w:p w14:paraId="76FA2440">
            <w:pPr>
              <w:rPr>
                <w:rFonts w:ascii="Arial"/>
              </w:rPr>
            </w:pPr>
          </w:p>
        </w:tc>
        <w:tc>
          <w:tcPr>
            <w:tcW w:w="3247" w:type="dxa"/>
          </w:tcPr>
          <w:p w14:paraId="71B4ED40">
            <w:pPr>
              <w:pStyle w:val="235"/>
              <w:spacing w:before="142" w:line="288" w:lineRule="auto"/>
              <w:ind w:left="22" w:right="11"/>
              <w:rPr>
                <w:rFonts w:hint="eastAsia"/>
                <w:lang w:eastAsia="zh-CN"/>
              </w:rPr>
            </w:pPr>
            <w:r>
              <w:rPr>
                <w:spacing w:val="19"/>
                <w:lang w:eastAsia="zh-CN"/>
              </w:rPr>
              <w:t>《商用燃气灶具能效限定值及能</w:t>
            </w:r>
            <w:r>
              <w:rPr>
                <w:spacing w:val="2"/>
                <w:lang w:eastAsia="zh-CN"/>
              </w:rPr>
              <w:t xml:space="preserve"> </w:t>
            </w:r>
            <w:r>
              <w:rPr>
                <w:spacing w:val="6"/>
                <w:lang w:eastAsia="zh-CN"/>
              </w:rPr>
              <w:t>效等级》（</w:t>
            </w:r>
            <w:r>
              <w:rPr>
                <w:lang w:eastAsia="zh-CN"/>
              </w:rPr>
              <w:t>GB</w:t>
            </w:r>
            <w:r>
              <w:rPr>
                <w:spacing w:val="6"/>
                <w:lang w:eastAsia="zh-CN"/>
              </w:rPr>
              <w:t xml:space="preserve"> 30531）</w:t>
            </w:r>
          </w:p>
        </w:tc>
      </w:tr>
      <w:tr w14:paraId="3E5D31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jc w:val="center"/>
        </w:trPr>
        <w:tc>
          <w:tcPr>
            <w:tcW w:w="632" w:type="dxa"/>
            <w:vMerge w:val="restart"/>
            <w:tcBorders>
              <w:bottom w:val="nil"/>
            </w:tcBorders>
          </w:tcPr>
          <w:p w14:paraId="23A89FCF">
            <w:pPr>
              <w:spacing w:line="298" w:lineRule="auto"/>
              <w:rPr>
                <w:rFonts w:ascii="Arial"/>
              </w:rPr>
            </w:pPr>
          </w:p>
          <w:p w14:paraId="69BA8EF9">
            <w:pPr>
              <w:spacing w:line="298" w:lineRule="auto"/>
              <w:rPr>
                <w:rFonts w:ascii="Arial"/>
              </w:rPr>
            </w:pPr>
          </w:p>
          <w:p w14:paraId="7DFF692F">
            <w:pPr>
              <w:spacing w:line="298" w:lineRule="auto"/>
              <w:rPr>
                <w:rFonts w:ascii="Arial"/>
              </w:rPr>
            </w:pPr>
          </w:p>
          <w:p w14:paraId="4FBBB43B">
            <w:pPr>
              <w:spacing w:line="299" w:lineRule="auto"/>
              <w:rPr>
                <w:rFonts w:ascii="Arial"/>
              </w:rPr>
            </w:pPr>
          </w:p>
          <w:p w14:paraId="1C5F103E">
            <w:pPr>
              <w:pStyle w:val="235"/>
              <w:spacing w:before="62" w:line="190" w:lineRule="auto"/>
              <w:ind w:left="209"/>
              <w:rPr>
                <w:rFonts w:hint="eastAsia"/>
              </w:rPr>
            </w:pPr>
            <w:r>
              <w:rPr>
                <w:spacing w:val="-7"/>
              </w:rPr>
              <w:t>15</w:t>
            </w:r>
          </w:p>
        </w:tc>
        <w:tc>
          <w:tcPr>
            <w:tcW w:w="1275" w:type="dxa"/>
            <w:vMerge w:val="restart"/>
            <w:tcBorders>
              <w:bottom w:val="nil"/>
            </w:tcBorders>
          </w:tcPr>
          <w:p w14:paraId="797A0F13">
            <w:pPr>
              <w:spacing w:line="251" w:lineRule="auto"/>
              <w:rPr>
                <w:rFonts w:ascii="Arial"/>
              </w:rPr>
            </w:pPr>
          </w:p>
          <w:p w14:paraId="1689F579">
            <w:pPr>
              <w:spacing w:line="251" w:lineRule="auto"/>
              <w:rPr>
                <w:rFonts w:ascii="Arial"/>
              </w:rPr>
            </w:pPr>
          </w:p>
          <w:p w14:paraId="21FE7FD0">
            <w:pPr>
              <w:spacing w:line="252" w:lineRule="auto"/>
              <w:rPr>
                <w:rFonts w:ascii="Arial"/>
              </w:rPr>
            </w:pPr>
          </w:p>
          <w:p w14:paraId="55978262">
            <w:pPr>
              <w:pStyle w:val="235"/>
              <w:spacing w:before="62" w:line="291" w:lineRule="auto"/>
              <w:ind w:left="15" w:right="8" w:firstLine="3"/>
              <w:rPr>
                <w:rFonts w:hint="eastAsia"/>
              </w:rPr>
            </w:pPr>
            <w:r>
              <w:rPr>
                <w:spacing w:val="3"/>
              </w:rPr>
              <w:t>★A060805</w:t>
            </w:r>
            <w:r>
              <w:rPr>
                <w:spacing w:val="-35"/>
              </w:rPr>
              <w:t xml:space="preserve"> </w:t>
            </w:r>
            <w:r>
              <w:rPr>
                <w:spacing w:val="3"/>
              </w:rPr>
              <w:t>便</w:t>
            </w:r>
            <w:r>
              <w:t xml:space="preserve"> </w:t>
            </w:r>
            <w:r>
              <w:rPr>
                <w:spacing w:val="1"/>
              </w:rPr>
              <w:t>器</w:t>
            </w:r>
          </w:p>
        </w:tc>
        <w:tc>
          <w:tcPr>
            <w:tcW w:w="1967" w:type="dxa"/>
          </w:tcPr>
          <w:p w14:paraId="62833C9B">
            <w:pPr>
              <w:spacing w:line="282" w:lineRule="auto"/>
              <w:rPr>
                <w:rFonts w:ascii="Arial"/>
              </w:rPr>
            </w:pPr>
          </w:p>
          <w:p w14:paraId="6646E9F3">
            <w:pPr>
              <w:pStyle w:val="235"/>
              <w:spacing w:before="62" w:line="229" w:lineRule="auto"/>
              <w:ind w:left="16"/>
              <w:rPr>
                <w:rFonts w:hint="eastAsia"/>
              </w:rPr>
            </w:pPr>
            <w:r>
              <w:rPr>
                <w:spacing w:val="6"/>
              </w:rPr>
              <w:t>坐便器</w:t>
            </w:r>
          </w:p>
        </w:tc>
        <w:tc>
          <w:tcPr>
            <w:tcW w:w="2093" w:type="dxa"/>
          </w:tcPr>
          <w:p w14:paraId="48DCD0D0">
            <w:pPr>
              <w:rPr>
                <w:rFonts w:ascii="Arial"/>
              </w:rPr>
            </w:pPr>
          </w:p>
        </w:tc>
        <w:tc>
          <w:tcPr>
            <w:tcW w:w="3247" w:type="dxa"/>
          </w:tcPr>
          <w:p w14:paraId="48E837D1">
            <w:pPr>
              <w:pStyle w:val="235"/>
              <w:spacing w:before="189" w:line="295" w:lineRule="auto"/>
              <w:ind w:left="27" w:hanging="4"/>
              <w:rPr>
                <w:rFonts w:hint="eastAsia"/>
                <w:lang w:eastAsia="zh-CN"/>
              </w:rPr>
            </w:pPr>
            <w:r>
              <w:rPr>
                <w:spacing w:val="6"/>
                <w:lang w:eastAsia="zh-CN"/>
              </w:rPr>
              <w:t>《坐便器水效限定值及水效等级》</w:t>
            </w:r>
            <w:r>
              <w:rPr>
                <w:lang w:eastAsia="zh-CN"/>
              </w:rPr>
              <w:t xml:space="preserve"> </w:t>
            </w:r>
            <w:r>
              <w:rPr>
                <w:spacing w:val="1"/>
                <w:lang w:eastAsia="zh-CN"/>
              </w:rPr>
              <w:t>（</w:t>
            </w:r>
            <w:r>
              <w:rPr>
                <w:lang w:eastAsia="zh-CN"/>
              </w:rPr>
              <w:t>GB</w:t>
            </w:r>
            <w:r>
              <w:rPr>
                <w:spacing w:val="15"/>
                <w:lang w:eastAsia="zh-CN"/>
              </w:rPr>
              <w:t xml:space="preserve"> </w:t>
            </w:r>
            <w:r>
              <w:rPr>
                <w:spacing w:val="1"/>
                <w:lang w:eastAsia="zh-CN"/>
              </w:rPr>
              <w:t>25502）</w:t>
            </w:r>
          </w:p>
        </w:tc>
      </w:tr>
      <w:tr w14:paraId="2004D4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jc w:val="center"/>
        </w:trPr>
        <w:tc>
          <w:tcPr>
            <w:tcW w:w="632" w:type="dxa"/>
            <w:vMerge w:val="continue"/>
            <w:tcBorders>
              <w:top w:val="nil"/>
              <w:bottom w:val="nil"/>
            </w:tcBorders>
          </w:tcPr>
          <w:p w14:paraId="284C969C">
            <w:pPr>
              <w:rPr>
                <w:rFonts w:ascii="Arial"/>
              </w:rPr>
            </w:pPr>
          </w:p>
        </w:tc>
        <w:tc>
          <w:tcPr>
            <w:tcW w:w="1275" w:type="dxa"/>
            <w:vMerge w:val="continue"/>
            <w:tcBorders>
              <w:top w:val="nil"/>
              <w:bottom w:val="nil"/>
            </w:tcBorders>
          </w:tcPr>
          <w:p w14:paraId="20B8B2F1">
            <w:pPr>
              <w:rPr>
                <w:rFonts w:ascii="Arial"/>
              </w:rPr>
            </w:pPr>
          </w:p>
        </w:tc>
        <w:tc>
          <w:tcPr>
            <w:tcW w:w="1967" w:type="dxa"/>
          </w:tcPr>
          <w:p w14:paraId="5CACCA16">
            <w:pPr>
              <w:spacing w:line="283" w:lineRule="auto"/>
              <w:rPr>
                <w:rFonts w:ascii="Arial"/>
              </w:rPr>
            </w:pPr>
          </w:p>
          <w:p w14:paraId="04D74A8B">
            <w:pPr>
              <w:pStyle w:val="235"/>
              <w:spacing w:before="62" w:line="229" w:lineRule="auto"/>
              <w:ind w:left="14"/>
              <w:rPr>
                <w:rFonts w:hint="eastAsia"/>
              </w:rPr>
            </w:pPr>
            <w:r>
              <w:rPr>
                <w:spacing w:val="6"/>
              </w:rPr>
              <w:t>蹲便器</w:t>
            </w:r>
          </w:p>
        </w:tc>
        <w:tc>
          <w:tcPr>
            <w:tcW w:w="2093" w:type="dxa"/>
          </w:tcPr>
          <w:p w14:paraId="5AEA6912">
            <w:pPr>
              <w:rPr>
                <w:rFonts w:ascii="Arial"/>
              </w:rPr>
            </w:pPr>
          </w:p>
        </w:tc>
        <w:tc>
          <w:tcPr>
            <w:tcW w:w="3247" w:type="dxa"/>
          </w:tcPr>
          <w:p w14:paraId="56A7D831">
            <w:pPr>
              <w:pStyle w:val="235"/>
              <w:spacing w:before="191" w:line="288" w:lineRule="auto"/>
              <w:ind w:left="22" w:right="11"/>
              <w:rPr>
                <w:rFonts w:hint="eastAsia"/>
                <w:lang w:eastAsia="zh-CN"/>
              </w:rPr>
            </w:pPr>
            <w:r>
              <w:rPr>
                <w:spacing w:val="19"/>
                <w:lang w:eastAsia="zh-CN"/>
              </w:rPr>
              <w:t>《蹲便器用水效率限定值及用水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30717）</w:t>
            </w:r>
          </w:p>
        </w:tc>
      </w:tr>
      <w:tr w14:paraId="05EF71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jc w:val="center"/>
        </w:trPr>
        <w:tc>
          <w:tcPr>
            <w:tcW w:w="632" w:type="dxa"/>
            <w:vMerge w:val="continue"/>
            <w:tcBorders>
              <w:top w:val="nil"/>
            </w:tcBorders>
          </w:tcPr>
          <w:p w14:paraId="573C26A1">
            <w:pPr>
              <w:rPr>
                <w:rFonts w:ascii="Arial"/>
              </w:rPr>
            </w:pPr>
          </w:p>
        </w:tc>
        <w:tc>
          <w:tcPr>
            <w:tcW w:w="1275" w:type="dxa"/>
            <w:vMerge w:val="continue"/>
            <w:tcBorders>
              <w:top w:val="nil"/>
            </w:tcBorders>
          </w:tcPr>
          <w:p w14:paraId="095522DB">
            <w:pPr>
              <w:rPr>
                <w:rFonts w:ascii="Arial"/>
              </w:rPr>
            </w:pPr>
          </w:p>
        </w:tc>
        <w:tc>
          <w:tcPr>
            <w:tcW w:w="1967" w:type="dxa"/>
          </w:tcPr>
          <w:p w14:paraId="6A6D10C9">
            <w:pPr>
              <w:spacing w:line="284" w:lineRule="auto"/>
              <w:rPr>
                <w:rFonts w:ascii="Arial"/>
              </w:rPr>
            </w:pPr>
          </w:p>
          <w:p w14:paraId="10A1D81F">
            <w:pPr>
              <w:pStyle w:val="235"/>
              <w:spacing w:before="61" w:line="229" w:lineRule="auto"/>
              <w:ind w:left="20"/>
              <w:rPr>
                <w:rFonts w:hint="eastAsia"/>
              </w:rPr>
            </w:pPr>
            <w:r>
              <w:rPr>
                <w:spacing w:val="4"/>
              </w:rPr>
              <w:t>小便器</w:t>
            </w:r>
          </w:p>
        </w:tc>
        <w:tc>
          <w:tcPr>
            <w:tcW w:w="2093" w:type="dxa"/>
          </w:tcPr>
          <w:p w14:paraId="351CADAC">
            <w:pPr>
              <w:rPr>
                <w:rFonts w:ascii="Arial"/>
              </w:rPr>
            </w:pPr>
          </w:p>
        </w:tc>
        <w:tc>
          <w:tcPr>
            <w:tcW w:w="3247" w:type="dxa"/>
          </w:tcPr>
          <w:p w14:paraId="1E59CFFE">
            <w:pPr>
              <w:pStyle w:val="235"/>
              <w:spacing w:before="191" w:line="288" w:lineRule="auto"/>
              <w:ind w:left="22" w:right="11"/>
              <w:rPr>
                <w:rFonts w:hint="eastAsia"/>
                <w:lang w:eastAsia="zh-CN"/>
              </w:rPr>
            </w:pPr>
            <w:r>
              <w:rPr>
                <w:spacing w:val="19"/>
                <w:lang w:eastAsia="zh-CN"/>
              </w:rPr>
              <w:t>《小便器用水效率限定值及用水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28377）</w:t>
            </w:r>
          </w:p>
        </w:tc>
      </w:tr>
    </w:tbl>
    <w:p w14:paraId="236BA5A1">
      <w:pPr>
        <w:rPr>
          <w:rFonts w:ascii="Arial"/>
        </w:rPr>
      </w:pPr>
    </w:p>
    <w:p w14:paraId="5ACBAF90">
      <w:pPr>
        <w:rPr>
          <w:rFonts w:ascii="Arial" w:hAnsi="Arial" w:eastAsia="Arial" w:cs="Arial"/>
          <w:szCs w:val="21"/>
        </w:rPr>
        <w:sectPr>
          <w:pgSz w:w="11906" w:h="16838"/>
          <w:pgMar w:top="1431" w:right="1691" w:bottom="0" w:left="1783" w:header="850" w:footer="0" w:gutter="0"/>
          <w:cols w:space="720" w:num="1"/>
        </w:sectPr>
      </w:pPr>
    </w:p>
    <w:p w14:paraId="4CE85285">
      <w:pPr>
        <w:spacing w:line="91" w:lineRule="auto"/>
        <w:rPr>
          <w:rFonts w:ascii="Arial"/>
          <w:sz w:val="2"/>
        </w:rPr>
      </w:pPr>
    </w:p>
    <w:tbl>
      <w:tblPr>
        <w:tblStyle w:val="236"/>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14:paraId="0F8684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jc w:val="center"/>
        </w:trPr>
        <w:tc>
          <w:tcPr>
            <w:tcW w:w="632" w:type="dxa"/>
          </w:tcPr>
          <w:p w14:paraId="556D551A">
            <w:pPr>
              <w:spacing w:line="342" w:lineRule="auto"/>
              <w:rPr>
                <w:rFonts w:ascii="Arial"/>
              </w:rPr>
            </w:pPr>
          </w:p>
          <w:p w14:paraId="216035A7">
            <w:pPr>
              <w:pStyle w:val="235"/>
              <w:spacing w:before="62" w:line="190" w:lineRule="auto"/>
              <w:ind w:left="209"/>
              <w:rPr>
                <w:rFonts w:hint="eastAsia"/>
              </w:rPr>
            </w:pPr>
            <w:r>
              <w:rPr>
                <w:spacing w:val="-7"/>
              </w:rPr>
              <w:t>16</w:t>
            </w:r>
          </w:p>
        </w:tc>
        <w:tc>
          <w:tcPr>
            <w:tcW w:w="1275" w:type="dxa"/>
          </w:tcPr>
          <w:p w14:paraId="1AA41343">
            <w:pPr>
              <w:pStyle w:val="235"/>
              <w:spacing w:before="220" w:line="288" w:lineRule="auto"/>
              <w:ind w:left="22" w:right="8" w:hanging="4"/>
              <w:rPr>
                <w:rFonts w:hint="eastAsia"/>
              </w:rPr>
            </w:pPr>
            <w:r>
              <w:rPr>
                <w:spacing w:val="3"/>
              </w:rPr>
              <w:t>★A060806</w:t>
            </w:r>
            <w:r>
              <w:rPr>
                <w:spacing w:val="-35"/>
              </w:rPr>
              <w:t xml:space="preserve"> </w:t>
            </w:r>
            <w:r>
              <w:rPr>
                <w:spacing w:val="3"/>
              </w:rPr>
              <w:t>水</w:t>
            </w:r>
            <w:r>
              <w:t xml:space="preserve"> 嘴</w:t>
            </w:r>
          </w:p>
        </w:tc>
        <w:tc>
          <w:tcPr>
            <w:tcW w:w="1967" w:type="dxa"/>
          </w:tcPr>
          <w:p w14:paraId="64D5046B">
            <w:pPr>
              <w:rPr>
                <w:rFonts w:ascii="Arial"/>
              </w:rPr>
            </w:pPr>
          </w:p>
        </w:tc>
        <w:tc>
          <w:tcPr>
            <w:tcW w:w="2093" w:type="dxa"/>
          </w:tcPr>
          <w:p w14:paraId="6AAD5F1E">
            <w:pPr>
              <w:rPr>
                <w:rFonts w:ascii="Arial"/>
              </w:rPr>
            </w:pPr>
          </w:p>
        </w:tc>
        <w:tc>
          <w:tcPr>
            <w:tcW w:w="3247" w:type="dxa"/>
          </w:tcPr>
          <w:p w14:paraId="6B8C4C5C">
            <w:pPr>
              <w:pStyle w:val="235"/>
              <w:spacing w:before="220" w:line="288" w:lineRule="auto"/>
              <w:ind w:left="19" w:right="11" w:firstLine="3"/>
              <w:rPr>
                <w:rFonts w:hint="eastAsia"/>
                <w:lang w:eastAsia="zh-CN"/>
              </w:rPr>
            </w:pPr>
            <w:r>
              <w:rPr>
                <w:spacing w:val="19"/>
                <w:lang w:eastAsia="zh-CN"/>
              </w:rPr>
              <w:t>《水嘴用水效率限定值及用水效</w:t>
            </w:r>
            <w:r>
              <w:rPr>
                <w:spacing w:val="2"/>
                <w:lang w:eastAsia="zh-CN"/>
              </w:rPr>
              <w:t xml:space="preserve"> </w:t>
            </w:r>
            <w:r>
              <w:rPr>
                <w:spacing w:val="6"/>
                <w:lang w:eastAsia="zh-CN"/>
              </w:rPr>
              <w:t>率等级》（</w:t>
            </w:r>
            <w:r>
              <w:rPr>
                <w:lang w:eastAsia="zh-CN"/>
              </w:rPr>
              <w:t>GB</w:t>
            </w:r>
            <w:r>
              <w:rPr>
                <w:spacing w:val="6"/>
                <w:lang w:eastAsia="zh-CN"/>
              </w:rPr>
              <w:t xml:space="preserve"> 25501）</w:t>
            </w:r>
          </w:p>
        </w:tc>
      </w:tr>
      <w:tr w14:paraId="763B96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jc w:val="center"/>
        </w:trPr>
        <w:tc>
          <w:tcPr>
            <w:tcW w:w="632" w:type="dxa"/>
          </w:tcPr>
          <w:p w14:paraId="636AEE77">
            <w:pPr>
              <w:spacing w:line="299" w:lineRule="auto"/>
              <w:rPr>
                <w:rFonts w:ascii="Arial"/>
              </w:rPr>
            </w:pPr>
          </w:p>
          <w:p w14:paraId="2A1BF369">
            <w:pPr>
              <w:pStyle w:val="235"/>
              <w:spacing w:before="62" w:line="190" w:lineRule="auto"/>
              <w:ind w:left="209"/>
              <w:rPr>
                <w:rFonts w:hint="eastAsia"/>
              </w:rPr>
            </w:pPr>
            <w:r>
              <w:rPr>
                <w:spacing w:val="-7"/>
              </w:rPr>
              <w:t>17</w:t>
            </w:r>
          </w:p>
        </w:tc>
        <w:tc>
          <w:tcPr>
            <w:tcW w:w="1275" w:type="dxa"/>
          </w:tcPr>
          <w:p w14:paraId="50CD61A7">
            <w:pPr>
              <w:pStyle w:val="235"/>
              <w:spacing w:before="176" w:line="289" w:lineRule="auto"/>
              <w:ind w:left="15" w:right="8" w:hanging="6"/>
              <w:rPr>
                <w:rFonts w:hint="eastAsia"/>
              </w:rPr>
            </w:pPr>
            <w:r>
              <w:rPr>
                <w:spacing w:val="5"/>
              </w:rPr>
              <w:t>A060807</w:t>
            </w:r>
            <w:r>
              <w:rPr>
                <w:spacing w:val="-43"/>
              </w:rPr>
              <w:t xml:space="preserve"> </w:t>
            </w:r>
            <w:r>
              <w:rPr>
                <w:spacing w:val="5"/>
              </w:rPr>
              <w:t>便器</w:t>
            </w:r>
            <w:r>
              <w:t xml:space="preserve"> </w:t>
            </w:r>
            <w:r>
              <w:rPr>
                <w:spacing w:val="6"/>
              </w:rPr>
              <w:t>冲洗阀</w:t>
            </w:r>
          </w:p>
        </w:tc>
        <w:tc>
          <w:tcPr>
            <w:tcW w:w="1967" w:type="dxa"/>
          </w:tcPr>
          <w:p w14:paraId="37A03AC7">
            <w:pPr>
              <w:rPr>
                <w:rFonts w:ascii="Arial"/>
              </w:rPr>
            </w:pPr>
          </w:p>
        </w:tc>
        <w:tc>
          <w:tcPr>
            <w:tcW w:w="2093" w:type="dxa"/>
          </w:tcPr>
          <w:p w14:paraId="3583CE15">
            <w:pPr>
              <w:rPr>
                <w:rFonts w:ascii="Arial"/>
              </w:rPr>
            </w:pPr>
          </w:p>
        </w:tc>
        <w:tc>
          <w:tcPr>
            <w:tcW w:w="3247" w:type="dxa"/>
          </w:tcPr>
          <w:p w14:paraId="42308827">
            <w:pPr>
              <w:pStyle w:val="235"/>
              <w:spacing w:before="176" w:line="288" w:lineRule="auto"/>
              <w:ind w:left="19" w:right="11" w:firstLine="3"/>
              <w:rPr>
                <w:rFonts w:hint="eastAsia"/>
                <w:lang w:eastAsia="zh-CN"/>
              </w:rPr>
            </w:pPr>
            <w:r>
              <w:rPr>
                <w:spacing w:val="19"/>
                <w:lang w:eastAsia="zh-CN"/>
              </w:rPr>
              <w:t>《便器冲洗阀用水效率限定值及</w:t>
            </w:r>
            <w:r>
              <w:rPr>
                <w:spacing w:val="2"/>
                <w:lang w:eastAsia="zh-CN"/>
              </w:rPr>
              <w:t xml:space="preserve"> </w:t>
            </w:r>
            <w:r>
              <w:rPr>
                <w:spacing w:val="7"/>
                <w:lang w:eastAsia="zh-CN"/>
              </w:rPr>
              <w:t>用水效率等级》（</w:t>
            </w:r>
            <w:r>
              <w:rPr>
                <w:lang w:eastAsia="zh-CN"/>
              </w:rPr>
              <w:t>GB</w:t>
            </w:r>
            <w:r>
              <w:rPr>
                <w:spacing w:val="7"/>
                <w:lang w:eastAsia="zh-CN"/>
              </w:rPr>
              <w:t xml:space="preserve"> 28379）</w:t>
            </w:r>
          </w:p>
        </w:tc>
      </w:tr>
      <w:tr w14:paraId="392DE9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0" w:hRule="atLeast"/>
          <w:jc w:val="center"/>
        </w:trPr>
        <w:tc>
          <w:tcPr>
            <w:tcW w:w="632" w:type="dxa"/>
          </w:tcPr>
          <w:p w14:paraId="5B8643D1">
            <w:pPr>
              <w:spacing w:line="320" w:lineRule="auto"/>
              <w:rPr>
                <w:rFonts w:ascii="Arial"/>
              </w:rPr>
            </w:pPr>
          </w:p>
          <w:p w14:paraId="1D0D3CC5">
            <w:pPr>
              <w:pStyle w:val="235"/>
              <w:spacing w:before="61" w:line="190" w:lineRule="auto"/>
              <w:ind w:left="209"/>
              <w:rPr>
                <w:rFonts w:hint="eastAsia"/>
              </w:rPr>
            </w:pPr>
            <w:r>
              <w:rPr>
                <w:spacing w:val="-7"/>
              </w:rPr>
              <w:t>18</w:t>
            </w:r>
          </w:p>
        </w:tc>
        <w:tc>
          <w:tcPr>
            <w:tcW w:w="1275" w:type="dxa"/>
          </w:tcPr>
          <w:p w14:paraId="4DBBC51D">
            <w:pPr>
              <w:pStyle w:val="235"/>
              <w:spacing w:before="196" w:line="291" w:lineRule="auto"/>
              <w:ind w:left="15" w:right="8" w:hanging="6"/>
              <w:rPr>
                <w:rFonts w:hint="eastAsia"/>
              </w:rPr>
            </w:pPr>
            <w:r>
              <w:rPr>
                <w:spacing w:val="4"/>
              </w:rPr>
              <w:t>A060810</w:t>
            </w:r>
            <w:r>
              <w:rPr>
                <w:spacing w:val="-34"/>
              </w:rPr>
              <w:t xml:space="preserve"> </w:t>
            </w:r>
            <w:r>
              <w:rPr>
                <w:spacing w:val="4"/>
              </w:rPr>
              <w:t>淋浴</w:t>
            </w:r>
            <w:r>
              <w:t xml:space="preserve"> </w:t>
            </w:r>
            <w:r>
              <w:rPr>
                <w:spacing w:val="1"/>
              </w:rPr>
              <w:t>器</w:t>
            </w:r>
          </w:p>
        </w:tc>
        <w:tc>
          <w:tcPr>
            <w:tcW w:w="1967" w:type="dxa"/>
          </w:tcPr>
          <w:p w14:paraId="63F4C45B">
            <w:pPr>
              <w:rPr>
                <w:rFonts w:ascii="Arial"/>
              </w:rPr>
            </w:pPr>
          </w:p>
        </w:tc>
        <w:tc>
          <w:tcPr>
            <w:tcW w:w="2093" w:type="dxa"/>
          </w:tcPr>
          <w:p w14:paraId="4ABFF306">
            <w:pPr>
              <w:rPr>
                <w:rFonts w:ascii="Arial"/>
              </w:rPr>
            </w:pPr>
          </w:p>
        </w:tc>
        <w:tc>
          <w:tcPr>
            <w:tcW w:w="3247" w:type="dxa"/>
          </w:tcPr>
          <w:p w14:paraId="04AEBD46">
            <w:pPr>
              <w:pStyle w:val="235"/>
              <w:spacing w:before="197" w:line="288" w:lineRule="auto"/>
              <w:ind w:left="22" w:right="11"/>
              <w:rPr>
                <w:rFonts w:hint="eastAsia"/>
                <w:lang w:eastAsia="zh-CN"/>
              </w:rPr>
            </w:pPr>
            <w:r>
              <w:rPr>
                <w:spacing w:val="19"/>
                <w:lang w:eastAsia="zh-CN"/>
              </w:rPr>
              <w:t>《淋浴器用水效率限定值及用水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28378）</w:t>
            </w:r>
          </w:p>
        </w:tc>
      </w:tr>
    </w:tbl>
    <w:p w14:paraId="5F2704A9">
      <w:pPr>
        <w:pStyle w:val="19"/>
        <w:spacing w:before="56" w:line="249" w:lineRule="auto"/>
        <w:ind w:left="27" w:hanging="2"/>
        <w:rPr>
          <w:rFonts w:hint="eastAsia" w:ascii="仿宋_GB2312" w:hAnsi="仿宋_GB2312" w:eastAsia="仿宋_GB2312" w:cs="仿宋_GB2312"/>
        </w:rPr>
      </w:pPr>
      <w:r>
        <w:rPr>
          <w:rFonts w:hint="eastAsia" w:ascii="仿宋_GB2312" w:hAnsi="仿宋_GB2312" w:eastAsia="仿宋_GB2312" w:cs="仿宋_GB2312"/>
          <w:spacing w:val="-2"/>
        </w:rPr>
        <w:t>注：1.节能产品认证应依据相关国家标准的最新版</w:t>
      </w:r>
      <w:r>
        <w:rPr>
          <w:rFonts w:hint="eastAsia" w:ascii="仿宋_GB2312" w:hAnsi="仿宋_GB2312" w:eastAsia="仿宋_GB2312" w:cs="仿宋_GB2312"/>
          <w:spacing w:val="-3"/>
        </w:rPr>
        <w:t>本，依据国家标准中二级能效（水效）</w:t>
      </w:r>
      <w:r>
        <w:rPr>
          <w:rFonts w:hint="eastAsia" w:ascii="仿宋_GB2312" w:hAnsi="仿宋_GB2312" w:eastAsia="仿宋_GB2312" w:cs="仿宋_GB2312"/>
        </w:rPr>
        <w:t xml:space="preserve"> </w:t>
      </w:r>
      <w:r>
        <w:rPr>
          <w:rFonts w:hint="eastAsia" w:ascii="仿宋_GB2312" w:hAnsi="仿宋_GB2312" w:eastAsia="仿宋_GB2312" w:cs="仿宋_GB2312"/>
          <w:spacing w:val="-4"/>
        </w:rPr>
        <w:t>指标。</w:t>
      </w:r>
    </w:p>
    <w:p w14:paraId="5C9391F8">
      <w:pPr>
        <w:pStyle w:val="19"/>
        <w:spacing w:before="31" w:line="248" w:lineRule="auto"/>
        <w:ind w:left="25" w:right="97" w:firstLine="444"/>
        <w:rPr>
          <w:rFonts w:hint="eastAsia" w:ascii="仿宋_GB2312" w:hAnsi="仿宋_GB2312" w:eastAsia="仿宋_GB2312" w:cs="仿宋_GB2312"/>
        </w:rPr>
      </w:pPr>
      <w:r>
        <w:rPr>
          <w:rFonts w:hint="eastAsia" w:ascii="仿宋_GB2312" w:hAnsi="仿宋_GB2312" w:eastAsia="仿宋_GB2312" w:cs="仿宋_GB2312"/>
          <w:spacing w:val="1"/>
        </w:rPr>
        <w:t>2.上述产品中认证标准发生变更的，依据原认</w:t>
      </w:r>
      <w:r>
        <w:rPr>
          <w:rFonts w:hint="eastAsia" w:ascii="仿宋_GB2312" w:hAnsi="仿宋_GB2312" w:eastAsia="仿宋_GB2312" w:cs="仿宋_GB2312"/>
        </w:rPr>
        <w:t xml:space="preserve">证标准获得的、仍在有效期内的认证 </w:t>
      </w:r>
      <w:r>
        <w:rPr>
          <w:rFonts w:hint="eastAsia" w:ascii="仿宋_GB2312" w:hAnsi="仿宋_GB2312" w:eastAsia="仿宋_GB2312" w:cs="仿宋_GB2312"/>
          <w:spacing w:val="-8"/>
        </w:rPr>
        <w:t>证书可使用至</w:t>
      </w:r>
      <w:r>
        <w:rPr>
          <w:rFonts w:hint="eastAsia" w:ascii="仿宋_GB2312" w:hAnsi="仿宋_GB2312" w:eastAsia="仿宋_GB2312" w:cs="仿宋_GB2312"/>
          <w:spacing w:val="-37"/>
        </w:rPr>
        <w:t xml:space="preserve"> </w:t>
      </w:r>
      <w:r>
        <w:rPr>
          <w:rFonts w:hint="eastAsia" w:ascii="仿宋_GB2312" w:hAnsi="仿宋_GB2312" w:eastAsia="仿宋_GB2312" w:cs="仿宋_GB2312"/>
          <w:spacing w:val="-8"/>
        </w:rPr>
        <w:t>2019</w:t>
      </w:r>
      <w:r>
        <w:rPr>
          <w:rFonts w:hint="eastAsia" w:ascii="仿宋_GB2312" w:hAnsi="仿宋_GB2312" w:eastAsia="仿宋_GB2312" w:cs="仿宋_GB2312"/>
          <w:spacing w:val="-46"/>
        </w:rPr>
        <w:t xml:space="preserve"> </w:t>
      </w:r>
      <w:r>
        <w:rPr>
          <w:rFonts w:hint="eastAsia" w:ascii="仿宋_GB2312" w:hAnsi="仿宋_GB2312" w:eastAsia="仿宋_GB2312" w:cs="仿宋_GB2312"/>
          <w:spacing w:val="-8"/>
        </w:rPr>
        <w:t>年</w:t>
      </w:r>
      <w:r>
        <w:rPr>
          <w:rFonts w:hint="eastAsia" w:ascii="仿宋_GB2312" w:hAnsi="仿宋_GB2312" w:eastAsia="仿宋_GB2312" w:cs="仿宋_GB2312"/>
          <w:spacing w:val="-44"/>
        </w:rPr>
        <w:t xml:space="preserve"> </w:t>
      </w:r>
      <w:r>
        <w:rPr>
          <w:rFonts w:hint="eastAsia" w:ascii="仿宋_GB2312" w:hAnsi="仿宋_GB2312" w:eastAsia="仿宋_GB2312" w:cs="仿宋_GB2312"/>
          <w:spacing w:val="-8"/>
        </w:rPr>
        <w:t>6</w:t>
      </w:r>
      <w:r>
        <w:rPr>
          <w:rFonts w:hint="eastAsia" w:ascii="仿宋_GB2312" w:hAnsi="仿宋_GB2312" w:eastAsia="仿宋_GB2312" w:cs="仿宋_GB2312"/>
          <w:spacing w:val="-44"/>
        </w:rPr>
        <w:t xml:space="preserve"> </w:t>
      </w:r>
      <w:r>
        <w:rPr>
          <w:rFonts w:hint="eastAsia" w:ascii="仿宋_GB2312" w:hAnsi="仿宋_GB2312" w:eastAsia="仿宋_GB2312" w:cs="仿宋_GB2312"/>
          <w:spacing w:val="-8"/>
        </w:rPr>
        <w:t>月</w:t>
      </w:r>
      <w:r>
        <w:rPr>
          <w:rFonts w:hint="eastAsia" w:ascii="仿宋_GB2312" w:hAnsi="仿宋_GB2312" w:eastAsia="仿宋_GB2312" w:cs="仿宋_GB2312"/>
          <w:spacing w:val="-29"/>
        </w:rPr>
        <w:t xml:space="preserve"> </w:t>
      </w:r>
      <w:r>
        <w:rPr>
          <w:rFonts w:hint="eastAsia" w:ascii="仿宋_GB2312" w:hAnsi="仿宋_GB2312" w:eastAsia="仿宋_GB2312" w:cs="仿宋_GB2312"/>
          <w:spacing w:val="-8"/>
        </w:rPr>
        <w:t>1 日。</w:t>
      </w:r>
    </w:p>
    <w:p w14:paraId="67043EE2">
      <w:pPr>
        <w:pStyle w:val="19"/>
        <w:spacing w:before="33" w:line="220" w:lineRule="auto"/>
        <w:ind w:left="471"/>
        <w:rPr>
          <w:rFonts w:hint="eastAsia" w:ascii="仿宋_GB2312" w:hAnsi="仿宋_GB2312" w:eastAsia="仿宋_GB2312" w:cs="仿宋_GB2312"/>
        </w:rPr>
      </w:pPr>
      <w:r>
        <w:rPr>
          <w:rFonts w:hint="eastAsia" w:ascii="仿宋_GB2312" w:hAnsi="仿宋_GB2312" w:eastAsia="仿宋_GB2312" w:cs="仿宋_GB2312"/>
          <w:spacing w:val="-3"/>
        </w:rPr>
        <w:t>3.以“★</w:t>
      </w:r>
      <w:r>
        <w:rPr>
          <w:rFonts w:hint="eastAsia" w:ascii="仿宋_GB2312" w:hAnsi="仿宋_GB2312" w:eastAsia="仿宋_GB2312" w:cs="仿宋_GB2312"/>
          <w:spacing w:val="-68"/>
        </w:rPr>
        <w:t xml:space="preserve"> </w:t>
      </w:r>
      <w:r>
        <w:rPr>
          <w:rFonts w:hint="eastAsia" w:ascii="仿宋_GB2312" w:hAnsi="仿宋_GB2312" w:eastAsia="仿宋_GB2312" w:cs="仿宋_GB2312"/>
          <w:spacing w:val="-3"/>
        </w:rPr>
        <w:t>”标注的为政府强制采购产品。</w:t>
      </w:r>
    </w:p>
    <w:p w14:paraId="7111A5EA">
      <w:pPr>
        <w:rPr>
          <w:rFonts w:hint="eastAsia" w:ascii="仿宋_GB2312" w:hAnsi="仿宋_GB2312" w:eastAsia="仿宋_GB2312" w:cs="仿宋_GB2312"/>
          <w:sz w:val="24"/>
          <w:highlight w:val="none"/>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highlight w:val="none"/>
        </w:rPr>
        <w:t xml:space="preserve">  4.若表格有变动，按最新政策执行。</w:t>
      </w:r>
    </w:p>
    <w:p w14:paraId="32CC9707">
      <w:pPr>
        <w:widowControl/>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br w:type="page"/>
      </w:r>
    </w:p>
    <w:p w14:paraId="27CE7B0F">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附件二</w:t>
      </w:r>
    </w:p>
    <w:p w14:paraId="76FE7852">
      <w:pPr>
        <w:spacing w:before="342" w:line="175" w:lineRule="auto"/>
        <w:jc w:val="center"/>
        <w:rPr>
          <w:rFonts w:hint="eastAsia" w:ascii="微软雅黑" w:hAnsi="微软雅黑" w:eastAsia="微软雅黑" w:cs="微软雅黑"/>
          <w:spacing w:val="-2"/>
          <w:sz w:val="40"/>
          <w:szCs w:val="40"/>
        </w:rPr>
      </w:pPr>
      <w:bookmarkStart w:id="98" w:name="_Toc9572"/>
      <w:r>
        <w:rPr>
          <w:rFonts w:ascii="微软雅黑" w:hAnsi="微软雅黑" w:eastAsia="微软雅黑" w:cs="微软雅黑"/>
          <w:spacing w:val="-2"/>
          <w:sz w:val="40"/>
          <w:szCs w:val="40"/>
        </w:rPr>
        <w:t>环境标志产品政府采购品目清单</w:t>
      </w:r>
      <w:bookmarkEnd w:id="98"/>
    </w:p>
    <w:p w14:paraId="4ACE1217">
      <w:pPr>
        <w:spacing w:before="41"/>
      </w:pPr>
    </w:p>
    <w:tbl>
      <w:tblPr>
        <w:tblStyle w:val="236"/>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0"/>
        <w:gridCol w:w="1343"/>
        <w:gridCol w:w="2324"/>
        <w:gridCol w:w="1956"/>
        <w:gridCol w:w="3081"/>
      </w:tblGrid>
      <w:tr w14:paraId="7C0D94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10" w:type="dxa"/>
          </w:tcPr>
          <w:p w14:paraId="09EEE4EA">
            <w:pPr>
              <w:pStyle w:val="235"/>
              <w:spacing w:before="71" w:line="283" w:lineRule="auto"/>
              <w:ind w:left="114" w:right="107" w:firstLine="15"/>
              <w:rPr>
                <w:rFonts w:hint="eastAsia"/>
              </w:rPr>
            </w:pPr>
            <w:r>
              <w:rPr>
                <w:b/>
                <w:bCs/>
                <w:spacing w:val="-12"/>
              </w:rPr>
              <w:t>品目</w:t>
            </w:r>
            <w:r>
              <w:t xml:space="preserve"> </w:t>
            </w:r>
            <w:r>
              <w:rPr>
                <w:b/>
                <w:bCs/>
                <w:spacing w:val="-4"/>
              </w:rPr>
              <w:t>序号</w:t>
            </w:r>
          </w:p>
        </w:tc>
        <w:tc>
          <w:tcPr>
            <w:tcW w:w="5623" w:type="dxa"/>
            <w:gridSpan w:val="3"/>
          </w:tcPr>
          <w:p w14:paraId="2CC4F924">
            <w:pPr>
              <w:pStyle w:val="235"/>
              <w:spacing w:before="224" w:line="222" w:lineRule="auto"/>
              <w:ind w:left="3054"/>
              <w:rPr>
                <w:rFonts w:hint="eastAsia"/>
              </w:rPr>
            </w:pPr>
            <w:r>
              <w:rPr>
                <w:b/>
                <w:bCs/>
                <w:spacing w:val="-6"/>
              </w:rPr>
              <w:t>名称</w:t>
            </w:r>
          </w:p>
        </w:tc>
        <w:tc>
          <w:tcPr>
            <w:tcW w:w="3081" w:type="dxa"/>
          </w:tcPr>
          <w:p w14:paraId="2BCFFD6B">
            <w:pPr>
              <w:pStyle w:val="235"/>
              <w:spacing w:before="224" w:line="219" w:lineRule="auto"/>
              <w:ind w:left="1325"/>
              <w:rPr>
                <w:rFonts w:hint="eastAsia"/>
              </w:rPr>
            </w:pPr>
            <w:r>
              <w:rPr>
                <w:b/>
                <w:bCs/>
                <w:spacing w:val="-4"/>
              </w:rPr>
              <w:t>依据的标准</w:t>
            </w:r>
          </w:p>
        </w:tc>
      </w:tr>
      <w:tr w14:paraId="425B96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10" w:type="dxa"/>
            <w:vMerge w:val="restart"/>
            <w:tcBorders>
              <w:bottom w:val="nil"/>
            </w:tcBorders>
          </w:tcPr>
          <w:p w14:paraId="0F1C88B8">
            <w:pPr>
              <w:pStyle w:val="235"/>
              <w:spacing w:before="93" w:line="184" w:lineRule="auto"/>
              <w:ind w:left="128"/>
              <w:rPr>
                <w:rFonts w:hint="eastAsia"/>
              </w:rPr>
            </w:pPr>
            <w:r>
              <w:t>1</w:t>
            </w:r>
          </w:p>
        </w:tc>
        <w:tc>
          <w:tcPr>
            <w:tcW w:w="1343" w:type="dxa"/>
            <w:vMerge w:val="restart"/>
            <w:tcBorders>
              <w:bottom w:val="nil"/>
            </w:tcBorders>
          </w:tcPr>
          <w:p w14:paraId="60450B21">
            <w:pPr>
              <w:pStyle w:val="235"/>
              <w:spacing w:before="66" w:line="307" w:lineRule="auto"/>
              <w:ind w:left="110" w:right="108" w:hanging="8"/>
              <w:rPr>
                <w:rFonts w:hint="eastAsia"/>
              </w:rPr>
            </w:pPr>
            <w:r>
              <w:rPr>
                <w:spacing w:val="3"/>
              </w:rPr>
              <w:t>A020101</w:t>
            </w:r>
            <w:r>
              <w:rPr>
                <w:spacing w:val="34"/>
              </w:rPr>
              <w:t xml:space="preserve"> </w:t>
            </w:r>
            <w:r>
              <w:rPr>
                <w:spacing w:val="3"/>
              </w:rPr>
              <w:t>计算机</w:t>
            </w:r>
            <w:r>
              <w:t xml:space="preserve"> </w:t>
            </w:r>
            <w:r>
              <w:rPr>
                <w:spacing w:val="-3"/>
              </w:rPr>
              <w:t>设备</w:t>
            </w:r>
          </w:p>
        </w:tc>
        <w:tc>
          <w:tcPr>
            <w:tcW w:w="2324" w:type="dxa"/>
          </w:tcPr>
          <w:p w14:paraId="36A2CC19">
            <w:pPr>
              <w:pStyle w:val="235"/>
              <w:spacing w:before="66" w:line="220" w:lineRule="auto"/>
              <w:ind w:left="103"/>
              <w:rPr>
                <w:rFonts w:hint="eastAsia"/>
              </w:rPr>
            </w:pPr>
            <w:r>
              <w:rPr>
                <w:spacing w:val="-1"/>
              </w:rPr>
              <w:t>A02010103</w:t>
            </w:r>
            <w:r>
              <w:rPr>
                <w:spacing w:val="-32"/>
              </w:rPr>
              <w:t xml:space="preserve"> </w:t>
            </w:r>
            <w:r>
              <w:rPr>
                <w:spacing w:val="-1"/>
              </w:rPr>
              <w:t>服务器</w:t>
            </w:r>
          </w:p>
        </w:tc>
        <w:tc>
          <w:tcPr>
            <w:tcW w:w="1956" w:type="dxa"/>
          </w:tcPr>
          <w:p w14:paraId="05E85A78">
            <w:pPr>
              <w:rPr>
                <w:rFonts w:ascii="Arial"/>
              </w:rPr>
            </w:pPr>
          </w:p>
        </w:tc>
        <w:tc>
          <w:tcPr>
            <w:tcW w:w="3081" w:type="dxa"/>
          </w:tcPr>
          <w:p w14:paraId="7B17F607">
            <w:pPr>
              <w:pStyle w:val="235"/>
              <w:spacing w:before="66" w:line="219" w:lineRule="auto"/>
              <w:ind w:left="109"/>
              <w:rPr>
                <w:rFonts w:hint="eastAsia"/>
              </w:rPr>
            </w:pPr>
            <w:r>
              <w:rPr>
                <w:spacing w:val="-2"/>
              </w:rPr>
              <w:t>HJ2507</w:t>
            </w:r>
            <w:r>
              <w:rPr>
                <w:spacing w:val="-20"/>
              </w:rPr>
              <w:t xml:space="preserve"> </w:t>
            </w:r>
            <w:r>
              <w:rPr>
                <w:spacing w:val="-2"/>
              </w:rPr>
              <w:t>网络服务器</w:t>
            </w:r>
          </w:p>
        </w:tc>
      </w:tr>
      <w:tr w14:paraId="3E4A8D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14:paraId="02CB6ACE">
            <w:pPr>
              <w:rPr>
                <w:rFonts w:ascii="Arial"/>
              </w:rPr>
            </w:pPr>
          </w:p>
        </w:tc>
        <w:tc>
          <w:tcPr>
            <w:tcW w:w="1343" w:type="dxa"/>
            <w:vMerge w:val="continue"/>
            <w:tcBorders>
              <w:top w:val="nil"/>
              <w:bottom w:val="nil"/>
            </w:tcBorders>
          </w:tcPr>
          <w:p w14:paraId="68663893">
            <w:pPr>
              <w:rPr>
                <w:rFonts w:ascii="Arial"/>
              </w:rPr>
            </w:pPr>
          </w:p>
        </w:tc>
        <w:tc>
          <w:tcPr>
            <w:tcW w:w="2324" w:type="dxa"/>
          </w:tcPr>
          <w:p w14:paraId="7E356070">
            <w:pPr>
              <w:pStyle w:val="235"/>
              <w:spacing w:before="65" w:line="219" w:lineRule="auto"/>
              <w:ind w:left="103"/>
              <w:rPr>
                <w:rFonts w:hint="eastAsia"/>
              </w:rPr>
            </w:pPr>
            <w:r>
              <w:rPr>
                <w:spacing w:val="-2"/>
              </w:rPr>
              <w:t>A02010104</w:t>
            </w:r>
            <w:r>
              <w:rPr>
                <w:spacing w:val="-14"/>
              </w:rPr>
              <w:t xml:space="preserve"> </w:t>
            </w:r>
            <w:r>
              <w:rPr>
                <w:spacing w:val="-2"/>
              </w:rPr>
              <w:t>台式计算机</w:t>
            </w:r>
          </w:p>
        </w:tc>
        <w:tc>
          <w:tcPr>
            <w:tcW w:w="1956" w:type="dxa"/>
          </w:tcPr>
          <w:p w14:paraId="09DD80DF">
            <w:pPr>
              <w:rPr>
                <w:rFonts w:ascii="Arial"/>
              </w:rPr>
            </w:pPr>
          </w:p>
        </w:tc>
        <w:tc>
          <w:tcPr>
            <w:tcW w:w="3081" w:type="dxa"/>
          </w:tcPr>
          <w:p w14:paraId="09C170FC">
            <w:pPr>
              <w:pStyle w:val="235"/>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14:paraId="058100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14:paraId="79ABBDE5">
            <w:pPr>
              <w:rPr>
                <w:rFonts w:ascii="Arial"/>
              </w:rPr>
            </w:pPr>
          </w:p>
        </w:tc>
        <w:tc>
          <w:tcPr>
            <w:tcW w:w="1343" w:type="dxa"/>
            <w:vMerge w:val="continue"/>
            <w:tcBorders>
              <w:top w:val="nil"/>
              <w:bottom w:val="nil"/>
            </w:tcBorders>
          </w:tcPr>
          <w:p w14:paraId="65D9BD3A">
            <w:pPr>
              <w:rPr>
                <w:rFonts w:ascii="Arial"/>
              </w:rPr>
            </w:pPr>
          </w:p>
        </w:tc>
        <w:tc>
          <w:tcPr>
            <w:tcW w:w="2324" w:type="dxa"/>
          </w:tcPr>
          <w:p w14:paraId="4D740D23">
            <w:pPr>
              <w:pStyle w:val="235"/>
              <w:spacing w:before="64" w:line="219" w:lineRule="auto"/>
              <w:ind w:left="103"/>
              <w:rPr>
                <w:rFonts w:hint="eastAsia"/>
              </w:rPr>
            </w:pPr>
            <w:r>
              <w:rPr>
                <w:spacing w:val="-1"/>
              </w:rPr>
              <w:t>A02010105</w:t>
            </w:r>
            <w:r>
              <w:rPr>
                <w:spacing w:val="-30"/>
              </w:rPr>
              <w:t xml:space="preserve"> </w:t>
            </w:r>
            <w:r>
              <w:rPr>
                <w:spacing w:val="-1"/>
              </w:rPr>
              <w:t>便携式计算机</w:t>
            </w:r>
          </w:p>
        </w:tc>
        <w:tc>
          <w:tcPr>
            <w:tcW w:w="1956" w:type="dxa"/>
          </w:tcPr>
          <w:p w14:paraId="1E10ECE1">
            <w:pPr>
              <w:rPr>
                <w:rFonts w:ascii="Arial"/>
              </w:rPr>
            </w:pPr>
          </w:p>
        </w:tc>
        <w:tc>
          <w:tcPr>
            <w:tcW w:w="3081" w:type="dxa"/>
          </w:tcPr>
          <w:p w14:paraId="400533B7">
            <w:pPr>
              <w:pStyle w:val="235"/>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14:paraId="48CDFC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14:paraId="5D4F68EA">
            <w:pPr>
              <w:rPr>
                <w:rFonts w:ascii="Arial"/>
              </w:rPr>
            </w:pPr>
          </w:p>
        </w:tc>
        <w:tc>
          <w:tcPr>
            <w:tcW w:w="1343" w:type="dxa"/>
            <w:vMerge w:val="continue"/>
            <w:tcBorders>
              <w:top w:val="nil"/>
              <w:bottom w:val="nil"/>
            </w:tcBorders>
          </w:tcPr>
          <w:p w14:paraId="17C36684">
            <w:pPr>
              <w:rPr>
                <w:rFonts w:ascii="Arial"/>
              </w:rPr>
            </w:pPr>
          </w:p>
        </w:tc>
        <w:tc>
          <w:tcPr>
            <w:tcW w:w="2324" w:type="dxa"/>
          </w:tcPr>
          <w:p w14:paraId="7296139A">
            <w:pPr>
              <w:pStyle w:val="235"/>
              <w:spacing w:before="64" w:line="219" w:lineRule="auto"/>
              <w:ind w:left="103"/>
              <w:rPr>
                <w:rFonts w:hint="eastAsia"/>
              </w:rPr>
            </w:pPr>
            <w:r>
              <w:rPr>
                <w:spacing w:val="-1"/>
              </w:rPr>
              <w:t>A02010107</w:t>
            </w:r>
            <w:r>
              <w:rPr>
                <w:spacing w:val="-28"/>
              </w:rPr>
              <w:t xml:space="preserve"> </w:t>
            </w:r>
            <w:r>
              <w:rPr>
                <w:spacing w:val="-1"/>
              </w:rPr>
              <w:t>平板式微型计算机</w:t>
            </w:r>
          </w:p>
        </w:tc>
        <w:tc>
          <w:tcPr>
            <w:tcW w:w="1956" w:type="dxa"/>
          </w:tcPr>
          <w:p w14:paraId="45963D37">
            <w:pPr>
              <w:rPr>
                <w:rFonts w:ascii="Arial"/>
              </w:rPr>
            </w:pPr>
          </w:p>
        </w:tc>
        <w:tc>
          <w:tcPr>
            <w:tcW w:w="3081" w:type="dxa"/>
          </w:tcPr>
          <w:p w14:paraId="2B0122C3">
            <w:pPr>
              <w:pStyle w:val="235"/>
              <w:spacing w:before="63"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14:paraId="7807B8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14:paraId="23583F9D">
            <w:pPr>
              <w:rPr>
                <w:rFonts w:ascii="Arial"/>
              </w:rPr>
            </w:pPr>
          </w:p>
        </w:tc>
        <w:tc>
          <w:tcPr>
            <w:tcW w:w="1343" w:type="dxa"/>
            <w:vMerge w:val="continue"/>
            <w:tcBorders>
              <w:top w:val="nil"/>
              <w:bottom w:val="nil"/>
            </w:tcBorders>
          </w:tcPr>
          <w:p w14:paraId="27FDAA8A">
            <w:pPr>
              <w:rPr>
                <w:rFonts w:ascii="Arial"/>
              </w:rPr>
            </w:pPr>
          </w:p>
        </w:tc>
        <w:tc>
          <w:tcPr>
            <w:tcW w:w="2324" w:type="dxa"/>
          </w:tcPr>
          <w:p w14:paraId="211E9A04">
            <w:pPr>
              <w:pStyle w:val="235"/>
              <w:spacing w:before="65" w:line="219" w:lineRule="auto"/>
              <w:ind w:left="103"/>
              <w:rPr>
                <w:rFonts w:hint="eastAsia"/>
              </w:rPr>
            </w:pPr>
            <w:r>
              <w:rPr>
                <w:spacing w:val="-2"/>
              </w:rPr>
              <w:t>A02010108</w:t>
            </w:r>
            <w:r>
              <w:rPr>
                <w:spacing w:val="32"/>
              </w:rPr>
              <w:t xml:space="preserve"> </w:t>
            </w:r>
            <w:r>
              <w:rPr>
                <w:spacing w:val="-2"/>
              </w:rPr>
              <w:t>网络计算机</w:t>
            </w:r>
          </w:p>
        </w:tc>
        <w:tc>
          <w:tcPr>
            <w:tcW w:w="1956" w:type="dxa"/>
          </w:tcPr>
          <w:p w14:paraId="134BE9A2">
            <w:pPr>
              <w:rPr>
                <w:rFonts w:ascii="Arial"/>
              </w:rPr>
            </w:pPr>
          </w:p>
        </w:tc>
        <w:tc>
          <w:tcPr>
            <w:tcW w:w="3081" w:type="dxa"/>
          </w:tcPr>
          <w:p w14:paraId="3ADDD572">
            <w:pPr>
              <w:pStyle w:val="235"/>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14:paraId="00A091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14:paraId="5F990E19">
            <w:pPr>
              <w:rPr>
                <w:rFonts w:ascii="Arial"/>
              </w:rPr>
            </w:pPr>
          </w:p>
        </w:tc>
        <w:tc>
          <w:tcPr>
            <w:tcW w:w="1343" w:type="dxa"/>
            <w:vMerge w:val="continue"/>
            <w:tcBorders>
              <w:top w:val="nil"/>
              <w:bottom w:val="nil"/>
            </w:tcBorders>
          </w:tcPr>
          <w:p w14:paraId="4A3A25DF">
            <w:pPr>
              <w:rPr>
                <w:rFonts w:ascii="Arial"/>
              </w:rPr>
            </w:pPr>
          </w:p>
        </w:tc>
        <w:tc>
          <w:tcPr>
            <w:tcW w:w="2324" w:type="dxa"/>
          </w:tcPr>
          <w:p w14:paraId="0F022E23">
            <w:pPr>
              <w:pStyle w:val="235"/>
              <w:spacing w:before="64" w:line="219" w:lineRule="auto"/>
              <w:ind w:left="103"/>
              <w:rPr>
                <w:rFonts w:hint="eastAsia"/>
              </w:rPr>
            </w:pPr>
            <w:r>
              <w:t>A02010109 计算机工作站</w:t>
            </w:r>
          </w:p>
        </w:tc>
        <w:tc>
          <w:tcPr>
            <w:tcW w:w="1956" w:type="dxa"/>
          </w:tcPr>
          <w:p w14:paraId="613916D3">
            <w:pPr>
              <w:rPr>
                <w:rFonts w:ascii="Arial"/>
              </w:rPr>
            </w:pPr>
          </w:p>
        </w:tc>
        <w:tc>
          <w:tcPr>
            <w:tcW w:w="3081" w:type="dxa"/>
          </w:tcPr>
          <w:p w14:paraId="77D585EC">
            <w:pPr>
              <w:pStyle w:val="235"/>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14:paraId="5B453D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tcBorders>
          </w:tcPr>
          <w:p w14:paraId="001CF238">
            <w:pPr>
              <w:rPr>
                <w:rFonts w:ascii="Arial"/>
              </w:rPr>
            </w:pPr>
          </w:p>
        </w:tc>
        <w:tc>
          <w:tcPr>
            <w:tcW w:w="1343" w:type="dxa"/>
            <w:vMerge w:val="continue"/>
            <w:tcBorders>
              <w:top w:val="nil"/>
            </w:tcBorders>
          </w:tcPr>
          <w:p w14:paraId="59E6DCDA">
            <w:pPr>
              <w:rPr>
                <w:rFonts w:ascii="Arial"/>
              </w:rPr>
            </w:pPr>
          </w:p>
        </w:tc>
        <w:tc>
          <w:tcPr>
            <w:tcW w:w="2324" w:type="dxa"/>
          </w:tcPr>
          <w:p w14:paraId="27842CBC">
            <w:pPr>
              <w:pStyle w:val="235"/>
              <w:spacing w:before="64" w:line="219" w:lineRule="auto"/>
              <w:ind w:left="103"/>
              <w:rPr>
                <w:rFonts w:hint="eastAsia"/>
              </w:rPr>
            </w:pPr>
            <w:r>
              <w:rPr>
                <w:spacing w:val="-1"/>
              </w:rPr>
              <w:t>A02010199</w:t>
            </w:r>
            <w:r>
              <w:rPr>
                <w:spacing w:val="-29"/>
              </w:rPr>
              <w:t xml:space="preserve"> </w:t>
            </w:r>
            <w:r>
              <w:rPr>
                <w:spacing w:val="-1"/>
              </w:rPr>
              <w:t>其他计算机设备</w:t>
            </w:r>
          </w:p>
        </w:tc>
        <w:tc>
          <w:tcPr>
            <w:tcW w:w="1956" w:type="dxa"/>
          </w:tcPr>
          <w:p w14:paraId="042707E5">
            <w:pPr>
              <w:rPr>
                <w:rFonts w:ascii="Arial"/>
              </w:rPr>
            </w:pPr>
          </w:p>
        </w:tc>
        <w:tc>
          <w:tcPr>
            <w:tcW w:w="3081" w:type="dxa"/>
          </w:tcPr>
          <w:p w14:paraId="333486FB">
            <w:pPr>
              <w:pStyle w:val="235"/>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14:paraId="721DE4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14:paraId="5E2E3EF3">
            <w:pPr>
              <w:pStyle w:val="235"/>
              <w:spacing w:before="93" w:line="183" w:lineRule="auto"/>
              <w:ind w:left="116"/>
              <w:rPr>
                <w:rFonts w:hint="eastAsia"/>
              </w:rPr>
            </w:pPr>
            <w:r>
              <w:t>2</w:t>
            </w:r>
          </w:p>
        </w:tc>
        <w:tc>
          <w:tcPr>
            <w:tcW w:w="1343" w:type="dxa"/>
            <w:vMerge w:val="restart"/>
            <w:tcBorders>
              <w:bottom w:val="nil"/>
            </w:tcBorders>
          </w:tcPr>
          <w:p w14:paraId="00F79075">
            <w:pPr>
              <w:pStyle w:val="235"/>
              <w:spacing w:before="65" w:line="307" w:lineRule="auto"/>
              <w:ind w:left="123" w:right="108" w:hanging="21"/>
              <w:rPr>
                <w:rFonts w:hint="eastAsia"/>
              </w:rPr>
            </w:pPr>
            <w:r>
              <w:rPr>
                <w:spacing w:val="3"/>
              </w:rPr>
              <w:t>A020106</w:t>
            </w:r>
            <w:r>
              <w:rPr>
                <w:spacing w:val="34"/>
              </w:rPr>
              <w:t xml:space="preserve"> </w:t>
            </w:r>
            <w:r>
              <w:rPr>
                <w:spacing w:val="3"/>
              </w:rPr>
              <w:t>输入输</w:t>
            </w:r>
            <w:r>
              <w:rPr>
                <w:spacing w:val="-5"/>
              </w:rPr>
              <w:t>出设备</w:t>
            </w:r>
          </w:p>
        </w:tc>
        <w:tc>
          <w:tcPr>
            <w:tcW w:w="2324" w:type="dxa"/>
            <w:vMerge w:val="restart"/>
            <w:tcBorders>
              <w:bottom w:val="nil"/>
            </w:tcBorders>
          </w:tcPr>
          <w:p w14:paraId="31B2FECD">
            <w:pPr>
              <w:pStyle w:val="235"/>
              <w:spacing w:before="64" w:line="220" w:lineRule="auto"/>
              <w:ind w:left="103"/>
              <w:rPr>
                <w:rFonts w:hint="eastAsia"/>
              </w:rPr>
            </w:pPr>
            <w:r>
              <w:rPr>
                <w:spacing w:val="-1"/>
              </w:rPr>
              <w:t>A02010601</w:t>
            </w:r>
            <w:r>
              <w:rPr>
                <w:spacing w:val="-31"/>
              </w:rPr>
              <w:t xml:space="preserve"> </w:t>
            </w:r>
            <w:r>
              <w:rPr>
                <w:spacing w:val="-1"/>
              </w:rPr>
              <w:t>打印设备</w:t>
            </w:r>
          </w:p>
        </w:tc>
        <w:tc>
          <w:tcPr>
            <w:tcW w:w="1956" w:type="dxa"/>
          </w:tcPr>
          <w:p w14:paraId="76F53E6C">
            <w:pPr>
              <w:pStyle w:val="235"/>
              <w:spacing w:before="65" w:line="219" w:lineRule="auto"/>
              <w:ind w:left="105"/>
              <w:rPr>
                <w:rFonts w:hint="eastAsia"/>
              </w:rPr>
            </w:pPr>
            <w:r>
              <w:t>A0201060101 喷墨打印机</w:t>
            </w:r>
          </w:p>
        </w:tc>
        <w:tc>
          <w:tcPr>
            <w:tcW w:w="3081" w:type="dxa"/>
          </w:tcPr>
          <w:p w14:paraId="2A8B9632">
            <w:pPr>
              <w:pStyle w:val="235"/>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14:paraId="1A61BC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14:paraId="6CF7F126">
            <w:pPr>
              <w:rPr>
                <w:rFonts w:ascii="Arial"/>
              </w:rPr>
            </w:pPr>
          </w:p>
        </w:tc>
        <w:tc>
          <w:tcPr>
            <w:tcW w:w="1343" w:type="dxa"/>
            <w:vMerge w:val="continue"/>
            <w:tcBorders>
              <w:top w:val="nil"/>
              <w:bottom w:val="nil"/>
            </w:tcBorders>
          </w:tcPr>
          <w:p w14:paraId="0CC550CC">
            <w:pPr>
              <w:rPr>
                <w:rFonts w:ascii="Arial"/>
              </w:rPr>
            </w:pPr>
          </w:p>
        </w:tc>
        <w:tc>
          <w:tcPr>
            <w:tcW w:w="2324" w:type="dxa"/>
            <w:vMerge w:val="continue"/>
            <w:tcBorders>
              <w:top w:val="nil"/>
              <w:bottom w:val="nil"/>
            </w:tcBorders>
          </w:tcPr>
          <w:p w14:paraId="06F94497">
            <w:pPr>
              <w:rPr>
                <w:rFonts w:ascii="Arial"/>
              </w:rPr>
            </w:pPr>
          </w:p>
        </w:tc>
        <w:tc>
          <w:tcPr>
            <w:tcW w:w="1956" w:type="dxa"/>
          </w:tcPr>
          <w:p w14:paraId="2FE3F5B6">
            <w:pPr>
              <w:pStyle w:val="235"/>
              <w:spacing w:before="64" w:line="219" w:lineRule="auto"/>
              <w:ind w:left="105"/>
              <w:rPr>
                <w:rFonts w:hint="eastAsia"/>
              </w:rPr>
            </w:pPr>
            <w:r>
              <w:t>A0201060102 激光打印机</w:t>
            </w:r>
          </w:p>
        </w:tc>
        <w:tc>
          <w:tcPr>
            <w:tcW w:w="3081" w:type="dxa"/>
          </w:tcPr>
          <w:p w14:paraId="0EB0A386">
            <w:pPr>
              <w:pStyle w:val="235"/>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14:paraId="260688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14:paraId="30F8722B">
            <w:pPr>
              <w:rPr>
                <w:rFonts w:ascii="Arial"/>
              </w:rPr>
            </w:pPr>
          </w:p>
        </w:tc>
        <w:tc>
          <w:tcPr>
            <w:tcW w:w="1343" w:type="dxa"/>
            <w:vMerge w:val="continue"/>
            <w:tcBorders>
              <w:top w:val="nil"/>
              <w:bottom w:val="nil"/>
            </w:tcBorders>
          </w:tcPr>
          <w:p w14:paraId="22F94ED9">
            <w:pPr>
              <w:rPr>
                <w:rFonts w:ascii="Arial"/>
              </w:rPr>
            </w:pPr>
          </w:p>
        </w:tc>
        <w:tc>
          <w:tcPr>
            <w:tcW w:w="2324" w:type="dxa"/>
            <w:vMerge w:val="continue"/>
            <w:tcBorders>
              <w:top w:val="nil"/>
              <w:bottom w:val="nil"/>
            </w:tcBorders>
          </w:tcPr>
          <w:p w14:paraId="4CCC5750">
            <w:pPr>
              <w:rPr>
                <w:rFonts w:ascii="Arial"/>
              </w:rPr>
            </w:pPr>
          </w:p>
        </w:tc>
        <w:tc>
          <w:tcPr>
            <w:tcW w:w="1956" w:type="dxa"/>
          </w:tcPr>
          <w:p w14:paraId="29CEFCD8">
            <w:pPr>
              <w:pStyle w:val="235"/>
              <w:spacing w:before="64" w:line="219" w:lineRule="auto"/>
              <w:ind w:left="105"/>
              <w:rPr>
                <w:rFonts w:hint="eastAsia"/>
              </w:rPr>
            </w:pPr>
            <w:r>
              <w:t>A0201060103 热式打印机</w:t>
            </w:r>
          </w:p>
        </w:tc>
        <w:tc>
          <w:tcPr>
            <w:tcW w:w="3081" w:type="dxa"/>
          </w:tcPr>
          <w:p w14:paraId="6335516C">
            <w:pPr>
              <w:pStyle w:val="235"/>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14:paraId="14D0A6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14:paraId="1753109F">
            <w:pPr>
              <w:rPr>
                <w:rFonts w:ascii="Arial"/>
              </w:rPr>
            </w:pPr>
          </w:p>
        </w:tc>
        <w:tc>
          <w:tcPr>
            <w:tcW w:w="1343" w:type="dxa"/>
            <w:vMerge w:val="continue"/>
            <w:tcBorders>
              <w:top w:val="nil"/>
              <w:bottom w:val="nil"/>
            </w:tcBorders>
          </w:tcPr>
          <w:p w14:paraId="305CF991">
            <w:pPr>
              <w:rPr>
                <w:rFonts w:ascii="Arial"/>
              </w:rPr>
            </w:pPr>
          </w:p>
        </w:tc>
        <w:tc>
          <w:tcPr>
            <w:tcW w:w="2324" w:type="dxa"/>
            <w:vMerge w:val="continue"/>
            <w:tcBorders>
              <w:top w:val="nil"/>
            </w:tcBorders>
          </w:tcPr>
          <w:p w14:paraId="61457DA9">
            <w:pPr>
              <w:rPr>
                <w:rFonts w:ascii="Arial"/>
              </w:rPr>
            </w:pPr>
          </w:p>
        </w:tc>
        <w:tc>
          <w:tcPr>
            <w:tcW w:w="1956" w:type="dxa"/>
          </w:tcPr>
          <w:p w14:paraId="524E2827">
            <w:pPr>
              <w:pStyle w:val="235"/>
              <w:spacing w:before="65" w:line="219" w:lineRule="auto"/>
              <w:ind w:left="105"/>
              <w:rPr>
                <w:rFonts w:hint="eastAsia"/>
              </w:rPr>
            </w:pPr>
            <w:r>
              <w:t>A0201060104 针式打印机</w:t>
            </w:r>
          </w:p>
        </w:tc>
        <w:tc>
          <w:tcPr>
            <w:tcW w:w="3081" w:type="dxa"/>
          </w:tcPr>
          <w:p w14:paraId="5E102D00">
            <w:pPr>
              <w:pStyle w:val="235"/>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14:paraId="7F3A8F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14:paraId="6EFA06C3">
            <w:pPr>
              <w:rPr>
                <w:rFonts w:ascii="Arial"/>
              </w:rPr>
            </w:pPr>
          </w:p>
        </w:tc>
        <w:tc>
          <w:tcPr>
            <w:tcW w:w="1343" w:type="dxa"/>
            <w:vMerge w:val="continue"/>
            <w:tcBorders>
              <w:top w:val="nil"/>
              <w:bottom w:val="nil"/>
            </w:tcBorders>
          </w:tcPr>
          <w:p w14:paraId="4E96AF0C">
            <w:pPr>
              <w:rPr>
                <w:rFonts w:ascii="Arial"/>
              </w:rPr>
            </w:pPr>
          </w:p>
        </w:tc>
        <w:tc>
          <w:tcPr>
            <w:tcW w:w="2324" w:type="dxa"/>
            <w:vMerge w:val="restart"/>
            <w:tcBorders>
              <w:bottom w:val="nil"/>
            </w:tcBorders>
          </w:tcPr>
          <w:p w14:paraId="5D496C77">
            <w:pPr>
              <w:pStyle w:val="235"/>
              <w:spacing w:before="64" w:line="222" w:lineRule="auto"/>
              <w:ind w:left="103"/>
              <w:rPr>
                <w:rFonts w:hint="eastAsia"/>
              </w:rPr>
            </w:pPr>
            <w:r>
              <w:t>A02010604 显示设备</w:t>
            </w:r>
          </w:p>
        </w:tc>
        <w:tc>
          <w:tcPr>
            <w:tcW w:w="1956" w:type="dxa"/>
          </w:tcPr>
          <w:p w14:paraId="0616F963">
            <w:pPr>
              <w:pStyle w:val="235"/>
              <w:spacing w:before="64" w:line="221" w:lineRule="auto"/>
              <w:ind w:left="105"/>
              <w:rPr>
                <w:rFonts w:hint="eastAsia"/>
              </w:rPr>
            </w:pPr>
            <w:r>
              <w:t>A0201060401 液晶显示器</w:t>
            </w:r>
          </w:p>
        </w:tc>
        <w:tc>
          <w:tcPr>
            <w:tcW w:w="3081" w:type="dxa"/>
          </w:tcPr>
          <w:p w14:paraId="5AC4743A">
            <w:pPr>
              <w:pStyle w:val="235"/>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14:paraId="08B1FA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14:paraId="244338EE">
            <w:pPr>
              <w:rPr>
                <w:rFonts w:ascii="Arial"/>
              </w:rPr>
            </w:pPr>
          </w:p>
        </w:tc>
        <w:tc>
          <w:tcPr>
            <w:tcW w:w="1343" w:type="dxa"/>
            <w:vMerge w:val="continue"/>
            <w:tcBorders>
              <w:top w:val="nil"/>
              <w:bottom w:val="nil"/>
            </w:tcBorders>
          </w:tcPr>
          <w:p w14:paraId="6C6EE78D">
            <w:pPr>
              <w:rPr>
                <w:rFonts w:ascii="Arial"/>
              </w:rPr>
            </w:pPr>
          </w:p>
        </w:tc>
        <w:tc>
          <w:tcPr>
            <w:tcW w:w="2324" w:type="dxa"/>
            <w:vMerge w:val="continue"/>
            <w:tcBorders>
              <w:top w:val="nil"/>
            </w:tcBorders>
          </w:tcPr>
          <w:p w14:paraId="030EFEB8">
            <w:pPr>
              <w:rPr>
                <w:rFonts w:ascii="Arial"/>
              </w:rPr>
            </w:pPr>
          </w:p>
        </w:tc>
        <w:tc>
          <w:tcPr>
            <w:tcW w:w="1956" w:type="dxa"/>
          </w:tcPr>
          <w:p w14:paraId="7187F9D2">
            <w:pPr>
              <w:pStyle w:val="235"/>
              <w:spacing w:before="64" w:line="221" w:lineRule="auto"/>
              <w:ind w:left="105"/>
              <w:rPr>
                <w:rFonts w:hint="eastAsia"/>
              </w:rPr>
            </w:pPr>
            <w:r>
              <w:t>A0201060499 其他显示器</w:t>
            </w:r>
          </w:p>
        </w:tc>
        <w:tc>
          <w:tcPr>
            <w:tcW w:w="3081" w:type="dxa"/>
          </w:tcPr>
          <w:p w14:paraId="6DB9B813">
            <w:pPr>
              <w:pStyle w:val="235"/>
              <w:spacing w:before="63"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14:paraId="308B6B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14:paraId="422F76D6">
            <w:pPr>
              <w:rPr>
                <w:rFonts w:ascii="Arial"/>
              </w:rPr>
            </w:pPr>
          </w:p>
        </w:tc>
        <w:tc>
          <w:tcPr>
            <w:tcW w:w="1343" w:type="dxa"/>
            <w:vMerge w:val="continue"/>
            <w:tcBorders>
              <w:top w:val="nil"/>
            </w:tcBorders>
          </w:tcPr>
          <w:p w14:paraId="4290F408">
            <w:pPr>
              <w:rPr>
                <w:rFonts w:ascii="Arial"/>
              </w:rPr>
            </w:pPr>
          </w:p>
        </w:tc>
        <w:tc>
          <w:tcPr>
            <w:tcW w:w="2324" w:type="dxa"/>
          </w:tcPr>
          <w:p w14:paraId="409B6969">
            <w:pPr>
              <w:pStyle w:val="235"/>
              <w:spacing w:before="64" w:line="220" w:lineRule="auto"/>
              <w:ind w:left="103"/>
              <w:rPr>
                <w:rFonts w:hint="eastAsia"/>
              </w:rPr>
            </w:pPr>
            <w:r>
              <w:rPr>
                <w:spacing w:val="-2"/>
              </w:rPr>
              <w:t>A02010609</w:t>
            </w:r>
            <w:r>
              <w:rPr>
                <w:spacing w:val="-9"/>
              </w:rPr>
              <w:t xml:space="preserve"> </w:t>
            </w:r>
            <w:r>
              <w:rPr>
                <w:spacing w:val="-2"/>
              </w:rPr>
              <w:t>图形图像输入设备</w:t>
            </w:r>
          </w:p>
        </w:tc>
        <w:tc>
          <w:tcPr>
            <w:tcW w:w="1956" w:type="dxa"/>
          </w:tcPr>
          <w:p w14:paraId="1678ED39">
            <w:pPr>
              <w:pStyle w:val="235"/>
              <w:spacing w:before="64" w:line="220" w:lineRule="auto"/>
              <w:ind w:left="105"/>
              <w:rPr>
                <w:rFonts w:hint="eastAsia"/>
              </w:rPr>
            </w:pPr>
            <w:r>
              <w:t>A0201060901 扫描仪</w:t>
            </w:r>
          </w:p>
        </w:tc>
        <w:tc>
          <w:tcPr>
            <w:tcW w:w="3081" w:type="dxa"/>
          </w:tcPr>
          <w:p w14:paraId="73B57010">
            <w:pPr>
              <w:pStyle w:val="235"/>
              <w:spacing w:before="64" w:line="219" w:lineRule="auto"/>
              <w:ind w:left="109"/>
              <w:rPr>
                <w:rFonts w:hint="eastAsia"/>
              </w:rPr>
            </w:pPr>
            <w:r>
              <w:rPr>
                <w:spacing w:val="-1"/>
              </w:rPr>
              <w:t>HJ2517</w:t>
            </w:r>
            <w:r>
              <w:rPr>
                <w:spacing w:val="-34"/>
              </w:rPr>
              <w:t xml:space="preserve"> </w:t>
            </w:r>
            <w:r>
              <w:rPr>
                <w:spacing w:val="-1"/>
              </w:rPr>
              <w:t>扫描仪</w:t>
            </w:r>
          </w:p>
        </w:tc>
      </w:tr>
      <w:tr w14:paraId="357B04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tcPr>
          <w:p w14:paraId="38DD5B62">
            <w:pPr>
              <w:pStyle w:val="235"/>
              <w:spacing w:before="93" w:line="183" w:lineRule="auto"/>
              <w:ind w:left="118"/>
              <w:rPr>
                <w:rFonts w:hint="eastAsia"/>
              </w:rPr>
            </w:pPr>
            <w:r>
              <w:t>3</w:t>
            </w:r>
          </w:p>
        </w:tc>
        <w:tc>
          <w:tcPr>
            <w:tcW w:w="1343" w:type="dxa"/>
          </w:tcPr>
          <w:p w14:paraId="4C849851">
            <w:pPr>
              <w:pStyle w:val="235"/>
              <w:spacing w:before="64" w:line="220" w:lineRule="auto"/>
              <w:ind w:left="102"/>
              <w:rPr>
                <w:rFonts w:hint="eastAsia"/>
              </w:rPr>
            </w:pPr>
            <w:r>
              <w:rPr>
                <w:spacing w:val="-1"/>
              </w:rPr>
              <w:t>A020202</w:t>
            </w:r>
            <w:r>
              <w:rPr>
                <w:spacing w:val="-33"/>
              </w:rPr>
              <w:t xml:space="preserve"> </w:t>
            </w:r>
            <w:r>
              <w:rPr>
                <w:spacing w:val="-1"/>
              </w:rPr>
              <w:t>投影仪</w:t>
            </w:r>
          </w:p>
        </w:tc>
        <w:tc>
          <w:tcPr>
            <w:tcW w:w="2324" w:type="dxa"/>
          </w:tcPr>
          <w:p w14:paraId="05CCC513">
            <w:pPr>
              <w:rPr>
                <w:rFonts w:ascii="Arial"/>
              </w:rPr>
            </w:pPr>
          </w:p>
        </w:tc>
        <w:tc>
          <w:tcPr>
            <w:tcW w:w="1956" w:type="dxa"/>
          </w:tcPr>
          <w:p w14:paraId="5AC4C7A1">
            <w:pPr>
              <w:rPr>
                <w:rFonts w:ascii="Arial"/>
              </w:rPr>
            </w:pPr>
          </w:p>
        </w:tc>
        <w:tc>
          <w:tcPr>
            <w:tcW w:w="3081" w:type="dxa"/>
          </w:tcPr>
          <w:p w14:paraId="7E0E68E9">
            <w:pPr>
              <w:pStyle w:val="235"/>
              <w:spacing w:before="64" w:line="219" w:lineRule="auto"/>
              <w:ind w:left="109"/>
              <w:rPr>
                <w:rFonts w:hint="eastAsia"/>
              </w:rPr>
            </w:pPr>
            <w:r>
              <w:rPr>
                <w:spacing w:val="-1"/>
              </w:rPr>
              <w:t>HJ2516</w:t>
            </w:r>
            <w:r>
              <w:rPr>
                <w:spacing w:val="-34"/>
              </w:rPr>
              <w:t xml:space="preserve"> </w:t>
            </w:r>
            <w:r>
              <w:rPr>
                <w:spacing w:val="-1"/>
              </w:rPr>
              <w:t>投影仪</w:t>
            </w:r>
          </w:p>
        </w:tc>
      </w:tr>
      <w:tr w14:paraId="03473B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10" w:type="dxa"/>
          </w:tcPr>
          <w:p w14:paraId="4A1D2D37">
            <w:pPr>
              <w:pStyle w:val="235"/>
              <w:spacing w:before="92" w:line="183" w:lineRule="auto"/>
              <w:ind w:left="114"/>
              <w:rPr>
                <w:rFonts w:hint="eastAsia"/>
              </w:rPr>
            </w:pPr>
            <w:r>
              <w:t>4</w:t>
            </w:r>
          </w:p>
        </w:tc>
        <w:tc>
          <w:tcPr>
            <w:tcW w:w="1343" w:type="dxa"/>
          </w:tcPr>
          <w:p w14:paraId="643FB1EB">
            <w:pPr>
              <w:pStyle w:val="235"/>
              <w:spacing w:before="64" w:line="219" w:lineRule="auto"/>
              <w:ind w:left="102"/>
              <w:rPr>
                <w:rFonts w:hint="eastAsia"/>
              </w:rPr>
            </w:pPr>
            <w:r>
              <w:rPr>
                <w:spacing w:val="-1"/>
              </w:rPr>
              <w:t>A020201</w:t>
            </w:r>
            <w:r>
              <w:rPr>
                <w:spacing w:val="-32"/>
              </w:rPr>
              <w:t xml:space="preserve"> </w:t>
            </w:r>
            <w:r>
              <w:rPr>
                <w:spacing w:val="-1"/>
              </w:rPr>
              <w:t>复印机</w:t>
            </w:r>
          </w:p>
        </w:tc>
        <w:tc>
          <w:tcPr>
            <w:tcW w:w="2324" w:type="dxa"/>
          </w:tcPr>
          <w:p w14:paraId="1DE4DAEA">
            <w:pPr>
              <w:rPr>
                <w:rFonts w:ascii="Arial"/>
              </w:rPr>
            </w:pPr>
          </w:p>
        </w:tc>
        <w:tc>
          <w:tcPr>
            <w:tcW w:w="1956" w:type="dxa"/>
          </w:tcPr>
          <w:p w14:paraId="3AE06D49">
            <w:pPr>
              <w:rPr>
                <w:rFonts w:ascii="Arial"/>
              </w:rPr>
            </w:pPr>
          </w:p>
        </w:tc>
        <w:tc>
          <w:tcPr>
            <w:tcW w:w="3081" w:type="dxa"/>
          </w:tcPr>
          <w:p w14:paraId="6FA7E313">
            <w:pPr>
              <w:pStyle w:val="235"/>
              <w:spacing w:before="64" w:line="219" w:lineRule="auto"/>
              <w:ind w:left="109"/>
              <w:rPr>
                <w:rFonts w:hint="eastAsia"/>
                <w:lang w:eastAsia="zh-CN"/>
              </w:rPr>
            </w:pPr>
            <w:r>
              <w:rPr>
                <w:lang w:eastAsia="zh-CN"/>
              </w:rPr>
              <w:t>HJ424 数字式复印（包括多功能）设备</w:t>
            </w:r>
          </w:p>
        </w:tc>
      </w:tr>
      <w:tr w14:paraId="5F5CEE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14:paraId="6DD0192C">
            <w:pPr>
              <w:pStyle w:val="235"/>
              <w:spacing w:before="94" w:line="182" w:lineRule="auto"/>
              <w:ind w:left="118"/>
              <w:rPr>
                <w:rFonts w:hint="eastAsia"/>
              </w:rPr>
            </w:pPr>
            <w:r>
              <w:t>5</w:t>
            </w:r>
          </w:p>
        </w:tc>
        <w:tc>
          <w:tcPr>
            <w:tcW w:w="1343" w:type="dxa"/>
          </w:tcPr>
          <w:p w14:paraId="06E67032">
            <w:pPr>
              <w:pStyle w:val="235"/>
              <w:spacing w:before="64" w:line="284" w:lineRule="auto"/>
              <w:ind w:left="110" w:right="108" w:hanging="8"/>
              <w:rPr>
                <w:rFonts w:hint="eastAsia"/>
              </w:rPr>
            </w:pPr>
            <w:r>
              <w:rPr>
                <w:spacing w:val="2"/>
              </w:rPr>
              <w:t>A020204</w:t>
            </w:r>
            <w:r>
              <w:rPr>
                <w:spacing w:val="44"/>
              </w:rPr>
              <w:t xml:space="preserve"> </w:t>
            </w:r>
            <w:r>
              <w:rPr>
                <w:spacing w:val="2"/>
              </w:rPr>
              <w:t>多功能</w:t>
            </w:r>
            <w:r>
              <w:rPr>
                <w:spacing w:val="-4"/>
              </w:rPr>
              <w:t>一体机</w:t>
            </w:r>
          </w:p>
        </w:tc>
        <w:tc>
          <w:tcPr>
            <w:tcW w:w="2324" w:type="dxa"/>
          </w:tcPr>
          <w:p w14:paraId="5DC4C5CB">
            <w:pPr>
              <w:rPr>
                <w:rFonts w:ascii="Arial"/>
              </w:rPr>
            </w:pPr>
          </w:p>
        </w:tc>
        <w:tc>
          <w:tcPr>
            <w:tcW w:w="1956" w:type="dxa"/>
          </w:tcPr>
          <w:p w14:paraId="3E5C752A">
            <w:pPr>
              <w:rPr>
                <w:rFonts w:ascii="Arial"/>
              </w:rPr>
            </w:pPr>
          </w:p>
        </w:tc>
        <w:tc>
          <w:tcPr>
            <w:tcW w:w="3081" w:type="dxa"/>
          </w:tcPr>
          <w:p w14:paraId="0393E6E2">
            <w:pPr>
              <w:pStyle w:val="235"/>
              <w:spacing w:before="64" w:line="219" w:lineRule="auto"/>
              <w:ind w:left="109"/>
              <w:rPr>
                <w:rFonts w:hint="eastAsia"/>
                <w:lang w:eastAsia="zh-CN"/>
              </w:rPr>
            </w:pPr>
            <w:r>
              <w:rPr>
                <w:lang w:eastAsia="zh-CN"/>
              </w:rPr>
              <w:t>HJ424 数字式复印（包括多功能）设备</w:t>
            </w:r>
          </w:p>
        </w:tc>
      </w:tr>
      <w:tr w14:paraId="2D558C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14:paraId="3D16FC33">
            <w:pPr>
              <w:pStyle w:val="235"/>
              <w:spacing w:before="94" w:line="183" w:lineRule="auto"/>
              <w:ind w:left="116"/>
              <w:rPr>
                <w:rFonts w:hint="eastAsia"/>
              </w:rPr>
            </w:pPr>
            <w:r>
              <w:t>6</w:t>
            </w:r>
          </w:p>
        </w:tc>
        <w:tc>
          <w:tcPr>
            <w:tcW w:w="1343" w:type="dxa"/>
          </w:tcPr>
          <w:p w14:paraId="5CB5AC4C">
            <w:pPr>
              <w:pStyle w:val="235"/>
              <w:spacing w:before="66" w:line="283" w:lineRule="auto"/>
              <w:ind w:left="109" w:right="108" w:hanging="7"/>
              <w:rPr>
                <w:rFonts w:hint="eastAsia"/>
              </w:rPr>
            </w:pPr>
            <w:r>
              <w:rPr>
                <w:spacing w:val="-1"/>
              </w:rPr>
              <w:t>A020210</w:t>
            </w:r>
            <w:r>
              <w:rPr>
                <w:spacing w:val="32"/>
              </w:rPr>
              <w:t xml:space="preserve"> </w:t>
            </w:r>
            <w:r>
              <w:rPr>
                <w:spacing w:val="-1"/>
              </w:rPr>
              <w:t>文</w:t>
            </w:r>
            <w:r>
              <w:rPr>
                <w:spacing w:val="-48"/>
              </w:rPr>
              <w:t xml:space="preserve"> </w:t>
            </w:r>
            <w:r>
              <w:rPr>
                <w:spacing w:val="-1"/>
              </w:rPr>
              <w:t>印设</w:t>
            </w:r>
            <w:r>
              <w:t xml:space="preserve"> 备</w:t>
            </w:r>
          </w:p>
        </w:tc>
        <w:tc>
          <w:tcPr>
            <w:tcW w:w="2324" w:type="dxa"/>
          </w:tcPr>
          <w:p w14:paraId="6B00E922">
            <w:pPr>
              <w:pStyle w:val="235"/>
              <w:spacing w:before="65" w:line="219" w:lineRule="auto"/>
              <w:ind w:left="103"/>
              <w:rPr>
                <w:rFonts w:hint="eastAsia"/>
              </w:rPr>
            </w:pPr>
            <w:r>
              <w:t>A02021001 速印机</w:t>
            </w:r>
          </w:p>
        </w:tc>
        <w:tc>
          <w:tcPr>
            <w:tcW w:w="1956" w:type="dxa"/>
          </w:tcPr>
          <w:p w14:paraId="6E52B463">
            <w:pPr>
              <w:rPr>
                <w:rFonts w:ascii="Arial"/>
              </w:rPr>
            </w:pPr>
          </w:p>
        </w:tc>
        <w:tc>
          <w:tcPr>
            <w:tcW w:w="3081" w:type="dxa"/>
          </w:tcPr>
          <w:p w14:paraId="5AA9393C">
            <w:pPr>
              <w:pStyle w:val="235"/>
              <w:spacing w:before="65" w:line="219" w:lineRule="auto"/>
              <w:ind w:left="109"/>
              <w:rPr>
                <w:rFonts w:hint="eastAsia"/>
                <w:lang w:eastAsia="zh-CN"/>
              </w:rPr>
            </w:pPr>
            <w:r>
              <w:rPr>
                <w:spacing w:val="-1"/>
                <w:lang w:eastAsia="zh-CN"/>
              </w:rPr>
              <w:t>HJ472 数字式一体化速印机</w:t>
            </w:r>
          </w:p>
        </w:tc>
      </w:tr>
      <w:tr w14:paraId="3AEEE3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510" w:type="dxa"/>
          </w:tcPr>
          <w:p w14:paraId="16803D27">
            <w:pPr>
              <w:pStyle w:val="235"/>
              <w:spacing w:before="95" w:line="182" w:lineRule="auto"/>
              <w:ind w:left="119"/>
              <w:rPr>
                <w:rFonts w:hint="eastAsia"/>
              </w:rPr>
            </w:pPr>
            <w:r>
              <w:t>7</w:t>
            </w:r>
          </w:p>
        </w:tc>
        <w:tc>
          <w:tcPr>
            <w:tcW w:w="1343" w:type="dxa"/>
          </w:tcPr>
          <w:p w14:paraId="730CE10A">
            <w:pPr>
              <w:pStyle w:val="235"/>
              <w:spacing w:before="67" w:line="301" w:lineRule="auto"/>
              <w:ind w:left="109" w:right="32" w:hanging="7"/>
              <w:rPr>
                <w:rFonts w:hint="eastAsia"/>
                <w:lang w:eastAsia="zh-CN"/>
              </w:rPr>
            </w:pPr>
            <w:r>
              <w:rPr>
                <w:spacing w:val="3"/>
                <w:lang w:eastAsia="zh-CN"/>
              </w:rPr>
              <w:t>A020301</w:t>
            </w:r>
            <w:r>
              <w:rPr>
                <w:spacing w:val="34"/>
                <w:lang w:eastAsia="zh-CN"/>
              </w:rPr>
              <w:t xml:space="preserve"> </w:t>
            </w:r>
            <w:r>
              <w:rPr>
                <w:spacing w:val="3"/>
                <w:lang w:eastAsia="zh-CN"/>
              </w:rPr>
              <w:t>载货汽</w:t>
            </w:r>
            <w:r>
              <w:rPr>
                <w:lang w:eastAsia="zh-CN"/>
              </w:rPr>
              <w:t xml:space="preserve">  </w:t>
            </w:r>
            <w:r>
              <w:rPr>
                <w:spacing w:val="-6"/>
                <w:lang w:eastAsia="zh-CN"/>
              </w:rPr>
              <w:t>车（含自卸汽车）</w:t>
            </w:r>
          </w:p>
        </w:tc>
        <w:tc>
          <w:tcPr>
            <w:tcW w:w="2324" w:type="dxa"/>
          </w:tcPr>
          <w:p w14:paraId="71017569">
            <w:pPr>
              <w:rPr>
                <w:rFonts w:ascii="Arial"/>
              </w:rPr>
            </w:pPr>
          </w:p>
        </w:tc>
        <w:tc>
          <w:tcPr>
            <w:tcW w:w="1956" w:type="dxa"/>
          </w:tcPr>
          <w:p w14:paraId="7CD4F57F">
            <w:pPr>
              <w:rPr>
                <w:rFonts w:ascii="Arial"/>
              </w:rPr>
            </w:pPr>
          </w:p>
        </w:tc>
        <w:tc>
          <w:tcPr>
            <w:tcW w:w="3081" w:type="dxa"/>
          </w:tcPr>
          <w:p w14:paraId="06B0A5DE">
            <w:pPr>
              <w:pStyle w:val="235"/>
              <w:spacing w:before="65" w:line="219" w:lineRule="auto"/>
              <w:ind w:left="109"/>
              <w:rPr>
                <w:rFonts w:hint="eastAsia"/>
              </w:rPr>
            </w:pPr>
            <w:r>
              <w:rPr>
                <w:spacing w:val="-1"/>
              </w:rPr>
              <w:t>HJ2532</w:t>
            </w:r>
            <w:r>
              <w:rPr>
                <w:spacing w:val="-35"/>
              </w:rPr>
              <w:t xml:space="preserve"> </w:t>
            </w:r>
            <w:r>
              <w:rPr>
                <w:spacing w:val="-1"/>
              </w:rPr>
              <w:t>轻型汽车</w:t>
            </w:r>
          </w:p>
        </w:tc>
      </w:tr>
      <w:tr w14:paraId="1E60EF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jc w:val="center"/>
        </w:trPr>
        <w:tc>
          <w:tcPr>
            <w:tcW w:w="510" w:type="dxa"/>
            <w:vMerge w:val="restart"/>
            <w:tcBorders>
              <w:bottom w:val="nil"/>
            </w:tcBorders>
          </w:tcPr>
          <w:p w14:paraId="634473B9">
            <w:pPr>
              <w:pStyle w:val="235"/>
              <w:spacing w:before="95" w:line="183" w:lineRule="auto"/>
              <w:ind w:left="115"/>
              <w:rPr>
                <w:rFonts w:hint="eastAsia"/>
              </w:rPr>
            </w:pPr>
            <w:r>
              <w:t>8</w:t>
            </w:r>
          </w:p>
        </w:tc>
        <w:tc>
          <w:tcPr>
            <w:tcW w:w="1343" w:type="dxa"/>
            <w:vMerge w:val="restart"/>
            <w:tcBorders>
              <w:bottom w:val="nil"/>
            </w:tcBorders>
          </w:tcPr>
          <w:p w14:paraId="29005C81">
            <w:pPr>
              <w:pStyle w:val="235"/>
              <w:spacing w:before="65" w:line="307" w:lineRule="auto"/>
              <w:ind w:left="112" w:right="108" w:hanging="10"/>
              <w:rPr>
                <w:rFonts w:hint="eastAsia"/>
              </w:rPr>
            </w:pPr>
            <w:r>
              <w:rPr>
                <w:spacing w:val="3"/>
              </w:rPr>
              <w:t>A020305</w:t>
            </w:r>
            <w:r>
              <w:rPr>
                <w:spacing w:val="34"/>
              </w:rPr>
              <w:t xml:space="preserve"> </w:t>
            </w:r>
            <w:r>
              <w:rPr>
                <w:spacing w:val="3"/>
              </w:rPr>
              <w:t>乘用车</w:t>
            </w:r>
            <w:r>
              <w:rPr>
                <w:spacing w:val="-3"/>
              </w:rPr>
              <w:t>（轿车）</w:t>
            </w:r>
          </w:p>
        </w:tc>
        <w:tc>
          <w:tcPr>
            <w:tcW w:w="2324" w:type="dxa"/>
          </w:tcPr>
          <w:p w14:paraId="2857F40D">
            <w:pPr>
              <w:pStyle w:val="235"/>
              <w:spacing w:before="66" w:line="220" w:lineRule="auto"/>
              <w:ind w:left="103"/>
              <w:rPr>
                <w:rFonts w:hint="eastAsia"/>
              </w:rPr>
            </w:pPr>
            <w:r>
              <w:t>A02030501 轿车</w:t>
            </w:r>
          </w:p>
        </w:tc>
        <w:tc>
          <w:tcPr>
            <w:tcW w:w="1956" w:type="dxa"/>
          </w:tcPr>
          <w:p w14:paraId="29FE8510">
            <w:pPr>
              <w:rPr>
                <w:rFonts w:ascii="Arial"/>
              </w:rPr>
            </w:pPr>
          </w:p>
        </w:tc>
        <w:tc>
          <w:tcPr>
            <w:tcW w:w="3081" w:type="dxa"/>
          </w:tcPr>
          <w:p w14:paraId="19532829">
            <w:pPr>
              <w:pStyle w:val="235"/>
              <w:spacing w:before="66" w:line="219" w:lineRule="auto"/>
              <w:ind w:left="109"/>
              <w:rPr>
                <w:rFonts w:hint="eastAsia"/>
              </w:rPr>
            </w:pPr>
            <w:r>
              <w:rPr>
                <w:spacing w:val="-1"/>
              </w:rPr>
              <w:t>HJ2532</w:t>
            </w:r>
            <w:r>
              <w:rPr>
                <w:spacing w:val="-35"/>
              </w:rPr>
              <w:t xml:space="preserve"> </w:t>
            </w:r>
            <w:r>
              <w:rPr>
                <w:spacing w:val="-1"/>
              </w:rPr>
              <w:t>轻型汽车</w:t>
            </w:r>
          </w:p>
        </w:tc>
      </w:tr>
      <w:tr w14:paraId="1BE565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14:paraId="40FB357C">
            <w:pPr>
              <w:rPr>
                <w:rFonts w:ascii="Arial"/>
              </w:rPr>
            </w:pPr>
          </w:p>
        </w:tc>
        <w:tc>
          <w:tcPr>
            <w:tcW w:w="1343" w:type="dxa"/>
            <w:vMerge w:val="continue"/>
            <w:tcBorders>
              <w:top w:val="nil"/>
            </w:tcBorders>
          </w:tcPr>
          <w:p w14:paraId="38A7E379">
            <w:pPr>
              <w:rPr>
                <w:rFonts w:ascii="Arial"/>
              </w:rPr>
            </w:pPr>
          </w:p>
        </w:tc>
        <w:tc>
          <w:tcPr>
            <w:tcW w:w="2324" w:type="dxa"/>
          </w:tcPr>
          <w:p w14:paraId="650DF9BC">
            <w:pPr>
              <w:pStyle w:val="235"/>
              <w:spacing w:before="66" w:line="220" w:lineRule="auto"/>
              <w:ind w:left="103"/>
              <w:rPr>
                <w:rFonts w:hint="eastAsia"/>
              </w:rPr>
            </w:pPr>
            <w:r>
              <w:rPr>
                <w:spacing w:val="-1"/>
              </w:rPr>
              <w:t>A02030599</w:t>
            </w:r>
            <w:r>
              <w:rPr>
                <w:spacing w:val="-28"/>
              </w:rPr>
              <w:t xml:space="preserve"> </w:t>
            </w:r>
            <w:r>
              <w:rPr>
                <w:spacing w:val="-1"/>
              </w:rPr>
              <w:t>其他乘用车（轿车）</w:t>
            </w:r>
          </w:p>
        </w:tc>
        <w:tc>
          <w:tcPr>
            <w:tcW w:w="1956" w:type="dxa"/>
          </w:tcPr>
          <w:p w14:paraId="69C5A175">
            <w:pPr>
              <w:rPr>
                <w:rFonts w:ascii="Arial"/>
              </w:rPr>
            </w:pPr>
          </w:p>
        </w:tc>
        <w:tc>
          <w:tcPr>
            <w:tcW w:w="3081" w:type="dxa"/>
          </w:tcPr>
          <w:p w14:paraId="1C0E8740">
            <w:pPr>
              <w:pStyle w:val="235"/>
              <w:spacing w:before="66" w:line="219" w:lineRule="auto"/>
              <w:ind w:left="109"/>
              <w:rPr>
                <w:rFonts w:hint="eastAsia"/>
              </w:rPr>
            </w:pPr>
            <w:r>
              <w:rPr>
                <w:spacing w:val="-1"/>
              </w:rPr>
              <w:t>HJ2532</w:t>
            </w:r>
            <w:r>
              <w:rPr>
                <w:spacing w:val="-35"/>
              </w:rPr>
              <w:t xml:space="preserve"> </w:t>
            </w:r>
            <w:r>
              <w:rPr>
                <w:spacing w:val="-1"/>
              </w:rPr>
              <w:t>轻型汽车</w:t>
            </w:r>
          </w:p>
        </w:tc>
      </w:tr>
      <w:tr w14:paraId="2D43AB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tcPr>
          <w:p w14:paraId="2514C937">
            <w:pPr>
              <w:pStyle w:val="235"/>
              <w:spacing w:before="94" w:line="183" w:lineRule="auto"/>
              <w:ind w:left="115"/>
              <w:rPr>
                <w:rFonts w:hint="eastAsia"/>
              </w:rPr>
            </w:pPr>
            <w:r>
              <w:t>9</w:t>
            </w:r>
          </w:p>
        </w:tc>
        <w:tc>
          <w:tcPr>
            <w:tcW w:w="1343" w:type="dxa"/>
          </w:tcPr>
          <w:p w14:paraId="628BE797">
            <w:pPr>
              <w:pStyle w:val="235"/>
              <w:spacing w:before="66" w:line="220" w:lineRule="auto"/>
              <w:ind w:left="102"/>
              <w:rPr>
                <w:rFonts w:hint="eastAsia"/>
              </w:rPr>
            </w:pPr>
            <w:r>
              <w:rPr>
                <w:spacing w:val="-1"/>
              </w:rPr>
              <w:t>A020306</w:t>
            </w:r>
            <w:r>
              <w:rPr>
                <w:spacing w:val="-33"/>
              </w:rPr>
              <w:t xml:space="preserve"> </w:t>
            </w:r>
            <w:r>
              <w:rPr>
                <w:spacing w:val="-1"/>
              </w:rPr>
              <w:t>客车</w:t>
            </w:r>
          </w:p>
        </w:tc>
        <w:tc>
          <w:tcPr>
            <w:tcW w:w="2324" w:type="dxa"/>
          </w:tcPr>
          <w:p w14:paraId="6D58626F">
            <w:pPr>
              <w:pStyle w:val="235"/>
              <w:spacing w:before="66" w:line="220" w:lineRule="auto"/>
              <w:ind w:left="103"/>
              <w:rPr>
                <w:rFonts w:hint="eastAsia"/>
              </w:rPr>
            </w:pPr>
            <w:r>
              <w:rPr>
                <w:spacing w:val="-1"/>
              </w:rPr>
              <w:t>A02030601</w:t>
            </w:r>
            <w:r>
              <w:rPr>
                <w:spacing w:val="-30"/>
              </w:rPr>
              <w:t xml:space="preserve"> </w:t>
            </w:r>
            <w:r>
              <w:rPr>
                <w:spacing w:val="-1"/>
              </w:rPr>
              <w:t>小型客车</w:t>
            </w:r>
          </w:p>
        </w:tc>
        <w:tc>
          <w:tcPr>
            <w:tcW w:w="1956" w:type="dxa"/>
          </w:tcPr>
          <w:p w14:paraId="0E611A60">
            <w:pPr>
              <w:rPr>
                <w:rFonts w:ascii="Arial"/>
              </w:rPr>
            </w:pPr>
          </w:p>
        </w:tc>
        <w:tc>
          <w:tcPr>
            <w:tcW w:w="3081" w:type="dxa"/>
          </w:tcPr>
          <w:p w14:paraId="380A6A04">
            <w:pPr>
              <w:pStyle w:val="235"/>
              <w:spacing w:before="66" w:line="219" w:lineRule="auto"/>
              <w:ind w:left="109"/>
              <w:rPr>
                <w:rFonts w:hint="eastAsia"/>
              </w:rPr>
            </w:pPr>
            <w:r>
              <w:rPr>
                <w:spacing w:val="-1"/>
              </w:rPr>
              <w:t>HJ2532</w:t>
            </w:r>
            <w:r>
              <w:rPr>
                <w:spacing w:val="-35"/>
              </w:rPr>
              <w:t xml:space="preserve"> </w:t>
            </w:r>
            <w:r>
              <w:rPr>
                <w:spacing w:val="-1"/>
              </w:rPr>
              <w:t>轻型汽车</w:t>
            </w:r>
          </w:p>
        </w:tc>
      </w:tr>
      <w:tr w14:paraId="4B70F3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14:paraId="6827CCBB">
            <w:pPr>
              <w:pStyle w:val="235"/>
              <w:spacing w:before="94" w:line="184" w:lineRule="auto"/>
              <w:ind w:left="128"/>
              <w:rPr>
                <w:rFonts w:hint="eastAsia"/>
              </w:rPr>
            </w:pPr>
            <w:r>
              <w:rPr>
                <w:spacing w:val="-10"/>
              </w:rPr>
              <w:t>10</w:t>
            </w:r>
          </w:p>
        </w:tc>
        <w:tc>
          <w:tcPr>
            <w:tcW w:w="1343" w:type="dxa"/>
          </w:tcPr>
          <w:p w14:paraId="7DFD307B">
            <w:pPr>
              <w:pStyle w:val="235"/>
              <w:spacing w:before="66" w:line="283" w:lineRule="auto"/>
              <w:ind w:left="106" w:right="108" w:hanging="4"/>
              <w:rPr>
                <w:rFonts w:hint="eastAsia"/>
              </w:rPr>
            </w:pPr>
            <w:r>
              <w:rPr>
                <w:spacing w:val="3"/>
              </w:rPr>
              <w:t>A020307</w:t>
            </w:r>
            <w:r>
              <w:rPr>
                <w:spacing w:val="34"/>
              </w:rPr>
              <w:t xml:space="preserve"> </w:t>
            </w:r>
            <w:r>
              <w:rPr>
                <w:spacing w:val="3"/>
              </w:rPr>
              <w:t>专用车</w:t>
            </w:r>
            <w:r>
              <w:t xml:space="preserve"> 辆</w:t>
            </w:r>
          </w:p>
        </w:tc>
        <w:tc>
          <w:tcPr>
            <w:tcW w:w="2324" w:type="dxa"/>
          </w:tcPr>
          <w:p w14:paraId="46D98145">
            <w:pPr>
              <w:pStyle w:val="235"/>
              <w:spacing w:before="66" w:line="220" w:lineRule="auto"/>
              <w:ind w:left="103"/>
              <w:rPr>
                <w:rFonts w:hint="eastAsia"/>
              </w:rPr>
            </w:pPr>
            <w:r>
              <w:rPr>
                <w:spacing w:val="-1"/>
              </w:rPr>
              <w:t>A02030799</w:t>
            </w:r>
            <w:r>
              <w:rPr>
                <w:spacing w:val="-30"/>
              </w:rPr>
              <w:t xml:space="preserve"> </w:t>
            </w:r>
            <w:r>
              <w:rPr>
                <w:spacing w:val="-1"/>
              </w:rPr>
              <w:t>其他专用汽车</w:t>
            </w:r>
          </w:p>
        </w:tc>
        <w:tc>
          <w:tcPr>
            <w:tcW w:w="1956" w:type="dxa"/>
          </w:tcPr>
          <w:p w14:paraId="0E5F016C">
            <w:pPr>
              <w:rPr>
                <w:rFonts w:ascii="Arial"/>
              </w:rPr>
            </w:pPr>
          </w:p>
        </w:tc>
        <w:tc>
          <w:tcPr>
            <w:tcW w:w="3081" w:type="dxa"/>
          </w:tcPr>
          <w:p w14:paraId="3E33D3DF">
            <w:pPr>
              <w:pStyle w:val="235"/>
              <w:spacing w:before="66" w:line="219" w:lineRule="auto"/>
              <w:ind w:left="109"/>
              <w:rPr>
                <w:rFonts w:hint="eastAsia"/>
              </w:rPr>
            </w:pPr>
            <w:r>
              <w:rPr>
                <w:spacing w:val="-1"/>
              </w:rPr>
              <w:t>HJ2532</w:t>
            </w:r>
            <w:r>
              <w:rPr>
                <w:spacing w:val="-35"/>
              </w:rPr>
              <w:t xml:space="preserve"> </w:t>
            </w:r>
            <w:r>
              <w:rPr>
                <w:spacing w:val="-1"/>
              </w:rPr>
              <w:t>轻型汽车</w:t>
            </w:r>
          </w:p>
        </w:tc>
      </w:tr>
      <w:tr w14:paraId="62C272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jc w:val="center"/>
        </w:trPr>
        <w:tc>
          <w:tcPr>
            <w:tcW w:w="510" w:type="dxa"/>
            <w:vMerge w:val="restart"/>
            <w:tcBorders>
              <w:bottom w:val="nil"/>
            </w:tcBorders>
          </w:tcPr>
          <w:p w14:paraId="3C9CCAC5">
            <w:pPr>
              <w:pStyle w:val="235"/>
              <w:spacing w:before="97" w:line="184" w:lineRule="auto"/>
              <w:ind w:left="128"/>
              <w:rPr>
                <w:rFonts w:hint="eastAsia"/>
              </w:rPr>
            </w:pPr>
            <w:r>
              <w:rPr>
                <w:spacing w:val="-10"/>
              </w:rPr>
              <w:t>11</w:t>
            </w:r>
          </w:p>
        </w:tc>
        <w:tc>
          <w:tcPr>
            <w:tcW w:w="1343" w:type="dxa"/>
            <w:vMerge w:val="restart"/>
            <w:tcBorders>
              <w:bottom w:val="nil"/>
            </w:tcBorders>
          </w:tcPr>
          <w:p w14:paraId="7C0853C2">
            <w:pPr>
              <w:pStyle w:val="235"/>
              <w:spacing w:before="70" w:line="307" w:lineRule="auto"/>
              <w:ind w:left="109" w:right="108" w:hanging="7"/>
              <w:rPr>
                <w:rFonts w:hint="eastAsia"/>
              </w:rPr>
            </w:pPr>
            <w:r>
              <w:rPr>
                <w:spacing w:val="3"/>
              </w:rPr>
              <w:t>A020523</w:t>
            </w:r>
            <w:r>
              <w:rPr>
                <w:spacing w:val="34"/>
              </w:rPr>
              <w:t xml:space="preserve"> </w:t>
            </w:r>
            <w:r>
              <w:rPr>
                <w:spacing w:val="3"/>
              </w:rPr>
              <w:t>制冷空</w:t>
            </w:r>
            <w:r>
              <w:rPr>
                <w:spacing w:val="-2"/>
              </w:rPr>
              <w:t>调设备</w:t>
            </w:r>
          </w:p>
        </w:tc>
        <w:tc>
          <w:tcPr>
            <w:tcW w:w="2324" w:type="dxa"/>
          </w:tcPr>
          <w:p w14:paraId="462D2193">
            <w:pPr>
              <w:pStyle w:val="235"/>
              <w:spacing w:before="70" w:line="219" w:lineRule="auto"/>
              <w:ind w:left="103"/>
              <w:rPr>
                <w:rFonts w:hint="eastAsia"/>
              </w:rPr>
            </w:pPr>
            <w:r>
              <w:t>A02052301 制冷压缩机</w:t>
            </w:r>
          </w:p>
        </w:tc>
        <w:tc>
          <w:tcPr>
            <w:tcW w:w="1956" w:type="dxa"/>
          </w:tcPr>
          <w:p w14:paraId="476A5768">
            <w:pPr>
              <w:rPr>
                <w:rFonts w:ascii="Arial"/>
              </w:rPr>
            </w:pPr>
          </w:p>
        </w:tc>
        <w:tc>
          <w:tcPr>
            <w:tcW w:w="3081" w:type="dxa"/>
          </w:tcPr>
          <w:p w14:paraId="331892A0">
            <w:pPr>
              <w:pStyle w:val="235"/>
              <w:spacing w:before="69" w:line="219" w:lineRule="auto"/>
              <w:ind w:left="109"/>
              <w:rPr>
                <w:rFonts w:hint="eastAsia"/>
              </w:rPr>
            </w:pPr>
            <w:r>
              <w:rPr>
                <w:spacing w:val="-1"/>
              </w:rPr>
              <w:t>HJ2531</w:t>
            </w:r>
            <w:r>
              <w:rPr>
                <w:spacing w:val="-32"/>
              </w:rPr>
              <w:t xml:space="preserve"> </w:t>
            </w:r>
            <w:r>
              <w:rPr>
                <w:spacing w:val="-1"/>
              </w:rPr>
              <w:t>工商用制冷设备</w:t>
            </w:r>
          </w:p>
        </w:tc>
      </w:tr>
      <w:tr w14:paraId="274F1C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10" w:type="dxa"/>
            <w:vMerge w:val="continue"/>
            <w:tcBorders>
              <w:top w:val="nil"/>
              <w:bottom w:val="nil"/>
            </w:tcBorders>
          </w:tcPr>
          <w:p w14:paraId="31F8AC03">
            <w:pPr>
              <w:rPr>
                <w:rFonts w:ascii="Arial"/>
              </w:rPr>
            </w:pPr>
          </w:p>
        </w:tc>
        <w:tc>
          <w:tcPr>
            <w:tcW w:w="1343" w:type="dxa"/>
            <w:vMerge w:val="continue"/>
            <w:tcBorders>
              <w:top w:val="nil"/>
              <w:bottom w:val="nil"/>
            </w:tcBorders>
          </w:tcPr>
          <w:p w14:paraId="3CB5A9DD">
            <w:pPr>
              <w:rPr>
                <w:rFonts w:ascii="Arial"/>
              </w:rPr>
            </w:pPr>
          </w:p>
        </w:tc>
        <w:tc>
          <w:tcPr>
            <w:tcW w:w="2324" w:type="dxa"/>
          </w:tcPr>
          <w:p w14:paraId="6F8BC7C0">
            <w:pPr>
              <w:pStyle w:val="235"/>
              <w:spacing w:before="67" w:line="219" w:lineRule="auto"/>
              <w:ind w:left="103"/>
              <w:rPr>
                <w:rFonts w:hint="eastAsia"/>
              </w:rPr>
            </w:pPr>
            <w:r>
              <w:t>A02052305 空调机组</w:t>
            </w:r>
          </w:p>
        </w:tc>
        <w:tc>
          <w:tcPr>
            <w:tcW w:w="1956" w:type="dxa"/>
          </w:tcPr>
          <w:p w14:paraId="78B12AD8">
            <w:pPr>
              <w:rPr>
                <w:rFonts w:ascii="Arial"/>
              </w:rPr>
            </w:pPr>
          </w:p>
        </w:tc>
        <w:tc>
          <w:tcPr>
            <w:tcW w:w="3081" w:type="dxa"/>
          </w:tcPr>
          <w:p w14:paraId="76B8D182">
            <w:pPr>
              <w:pStyle w:val="235"/>
              <w:spacing w:before="67" w:line="219" w:lineRule="auto"/>
              <w:ind w:left="109"/>
              <w:rPr>
                <w:rFonts w:hint="eastAsia"/>
              </w:rPr>
            </w:pPr>
            <w:r>
              <w:rPr>
                <w:spacing w:val="-1"/>
              </w:rPr>
              <w:t>HJ2531</w:t>
            </w:r>
            <w:r>
              <w:rPr>
                <w:spacing w:val="-32"/>
              </w:rPr>
              <w:t xml:space="preserve"> </w:t>
            </w:r>
            <w:r>
              <w:rPr>
                <w:spacing w:val="-1"/>
              </w:rPr>
              <w:t>工商用制冷设备</w:t>
            </w:r>
          </w:p>
        </w:tc>
      </w:tr>
      <w:tr w14:paraId="58235A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10" w:type="dxa"/>
            <w:vMerge w:val="continue"/>
            <w:tcBorders>
              <w:top w:val="nil"/>
            </w:tcBorders>
          </w:tcPr>
          <w:p w14:paraId="0996CAC8">
            <w:pPr>
              <w:rPr>
                <w:rFonts w:ascii="Arial"/>
              </w:rPr>
            </w:pPr>
          </w:p>
        </w:tc>
        <w:tc>
          <w:tcPr>
            <w:tcW w:w="1343" w:type="dxa"/>
            <w:vMerge w:val="continue"/>
            <w:tcBorders>
              <w:top w:val="nil"/>
            </w:tcBorders>
          </w:tcPr>
          <w:p w14:paraId="65B0CE9F">
            <w:pPr>
              <w:rPr>
                <w:rFonts w:ascii="Arial"/>
              </w:rPr>
            </w:pPr>
          </w:p>
        </w:tc>
        <w:tc>
          <w:tcPr>
            <w:tcW w:w="2324" w:type="dxa"/>
          </w:tcPr>
          <w:p w14:paraId="72CFCD53">
            <w:pPr>
              <w:pStyle w:val="235"/>
              <w:spacing w:before="67" w:line="221" w:lineRule="auto"/>
              <w:ind w:left="103"/>
              <w:rPr>
                <w:rFonts w:hint="eastAsia"/>
                <w:lang w:eastAsia="zh-CN"/>
              </w:rPr>
            </w:pPr>
            <w:r>
              <w:rPr>
                <w:spacing w:val="-2"/>
                <w:lang w:eastAsia="zh-CN"/>
              </w:rPr>
              <w:t>A02052309</w:t>
            </w:r>
            <w:r>
              <w:rPr>
                <w:spacing w:val="-27"/>
                <w:lang w:eastAsia="zh-CN"/>
              </w:rPr>
              <w:t xml:space="preserve"> </w:t>
            </w:r>
            <w:r>
              <w:rPr>
                <w:spacing w:val="-2"/>
                <w:lang w:eastAsia="zh-CN"/>
              </w:rPr>
              <w:t>专用制冷、空调设备</w:t>
            </w:r>
          </w:p>
        </w:tc>
        <w:tc>
          <w:tcPr>
            <w:tcW w:w="1956" w:type="dxa"/>
          </w:tcPr>
          <w:p w14:paraId="21F8AD19">
            <w:pPr>
              <w:rPr>
                <w:rFonts w:ascii="Arial"/>
              </w:rPr>
            </w:pPr>
          </w:p>
        </w:tc>
        <w:tc>
          <w:tcPr>
            <w:tcW w:w="3081" w:type="dxa"/>
          </w:tcPr>
          <w:p w14:paraId="1BC8022F">
            <w:pPr>
              <w:pStyle w:val="235"/>
              <w:spacing w:before="67" w:line="219" w:lineRule="auto"/>
              <w:ind w:left="109"/>
              <w:rPr>
                <w:rFonts w:hint="eastAsia"/>
              </w:rPr>
            </w:pPr>
            <w:r>
              <w:rPr>
                <w:spacing w:val="-1"/>
              </w:rPr>
              <w:t>HJ2531</w:t>
            </w:r>
            <w:r>
              <w:rPr>
                <w:spacing w:val="-32"/>
              </w:rPr>
              <w:t xml:space="preserve"> </w:t>
            </w:r>
            <w:r>
              <w:rPr>
                <w:spacing w:val="-1"/>
              </w:rPr>
              <w:t>工商用制冷设备</w:t>
            </w:r>
          </w:p>
        </w:tc>
      </w:tr>
      <w:tr w14:paraId="5D5969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14:paraId="2F28832A">
            <w:pPr>
              <w:pStyle w:val="235"/>
              <w:spacing w:before="96" w:line="184" w:lineRule="auto"/>
              <w:ind w:left="128"/>
              <w:rPr>
                <w:rFonts w:hint="eastAsia"/>
              </w:rPr>
            </w:pPr>
            <w:r>
              <w:rPr>
                <w:spacing w:val="-10"/>
              </w:rPr>
              <w:t>12</w:t>
            </w:r>
          </w:p>
        </w:tc>
        <w:tc>
          <w:tcPr>
            <w:tcW w:w="1343" w:type="dxa"/>
            <w:vMerge w:val="restart"/>
            <w:tcBorders>
              <w:bottom w:val="nil"/>
            </w:tcBorders>
          </w:tcPr>
          <w:p w14:paraId="615BEFAA">
            <w:pPr>
              <w:pStyle w:val="235"/>
              <w:spacing w:before="68" w:line="309" w:lineRule="auto"/>
              <w:ind w:left="128" w:right="108" w:hanging="26"/>
              <w:rPr>
                <w:rFonts w:hint="eastAsia"/>
              </w:rPr>
            </w:pPr>
            <w:r>
              <w:rPr>
                <w:spacing w:val="3"/>
              </w:rPr>
              <w:t>A020618</w:t>
            </w:r>
            <w:r>
              <w:rPr>
                <w:spacing w:val="34"/>
              </w:rPr>
              <w:t xml:space="preserve"> </w:t>
            </w:r>
            <w:r>
              <w:rPr>
                <w:spacing w:val="3"/>
              </w:rPr>
              <w:t>生活用</w:t>
            </w:r>
            <w:r>
              <w:rPr>
                <w:spacing w:val="-8"/>
              </w:rPr>
              <w:t>电器</w:t>
            </w:r>
          </w:p>
        </w:tc>
        <w:tc>
          <w:tcPr>
            <w:tcW w:w="2324" w:type="dxa"/>
          </w:tcPr>
          <w:p w14:paraId="26CA3520">
            <w:pPr>
              <w:pStyle w:val="235"/>
              <w:spacing w:before="68" w:line="221" w:lineRule="auto"/>
              <w:ind w:left="103"/>
              <w:rPr>
                <w:rFonts w:hint="eastAsia"/>
              </w:rPr>
            </w:pPr>
            <w:r>
              <w:rPr>
                <w:spacing w:val="-1"/>
              </w:rPr>
              <w:t>A02061802</w:t>
            </w:r>
            <w:r>
              <w:rPr>
                <w:spacing w:val="-29"/>
              </w:rPr>
              <w:t xml:space="preserve"> </w:t>
            </w:r>
            <w:r>
              <w:rPr>
                <w:spacing w:val="-1"/>
              </w:rPr>
              <w:t>空气调节电器</w:t>
            </w:r>
          </w:p>
        </w:tc>
        <w:tc>
          <w:tcPr>
            <w:tcW w:w="1956" w:type="dxa"/>
          </w:tcPr>
          <w:p w14:paraId="4000A1B2">
            <w:pPr>
              <w:pStyle w:val="235"/>
              <w:spacing w:before="68" w:line="219" w:lineRule="auto"/>
              <w:ind w:left="105"/>
              <w:rPr>
                <w:rFonts w:hint="eastAsia"/>
              </w:rPr>
            </w:pPr>
            <w:r>
              <w:rPr>
                <w:spacing w:val="-1"/>
              </w:rPr>
              <w:t>A0206180203</w:t>
            </w:r>
            <w:r>
              <w:rPr>
                <w:spacing w:val="-28"/>
              </w:rPr>
              <w:t xml:space="preserve"> </w:t>
            </w:r>
            <w:r>
              <w:rPr>
                <w:spacing w:val="-1"/>
              </w:rPr>
              <w:t>空调机</w:t>
            </w:r>
          </w:p>
        </w:tc>
        <w:tc>
          <w:tcPr>
            <w:tcW w:w="3081" w:type="dxa"/>
          </w:tcPr>
          <w:p w14:paraId="5461573D">
            <w:pPr>
              <w:pStyle w:val="235"/>
              <w:spacing w:before="68" w:line="219" w:lineRule="auto"/>
              <w:ind w:left="109"/>
              <w:rPr>
                <w:rFonts w:hint="eastAsia"/>
              </w:rPr>
            </w:pPr>
            <w:r>
              <w:rPr>
                <w:spacing w:val="-1"/>
              </w:rPr>
              <w:t>HJ2535</w:t>
            </w:r>
            <w:r>
              <w:rPr>
                <w:spacing w:val="-32"/>
              </w:rPr>
              <w:t xml:space="preserve"> </w:t>
            </w:r>
            <w:r>
              <w:rPr>
                <w:spacing w:val="-1"/>
              </w:rPr>
              <w:t>房间空气调节器</w:t>
            </w:r>
          </w:p>
        </w:tc>
      </w:tr>
      <w:tr w14:paraId="08A5EA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jc w:val="center"/>
        </w:trPr>
        <w:tc>
          <w:tcPr>
            <w:tcW w:w="510" w:type="dxa"/>
            <w:vMerge w:val="continue"/>
            <w:tcBorders>
              <w:top w:val="nil"/>
            </w:tcBorders>
          </w:tcPr>
          <w:p w14:paraId="7D0BB95D">
            <w:pPr>
              <w:rPr>
                <w:rFonts w:ascii="Arial"/>
              </w:rPr>
            </w:pPr>
          </w:p>
        </w:tc>
        <w:tc>
          <w:tcPr>
            <w:tcW w:w="1343" w:type="dxa"/>
            <w:vMerge w:val="continue"/>
            <w:tcBorders>
              <w:top w:val="nil"/>
            </w:tcBorders>
          </w:tcPr>
          <w:p w14:paraId="4DE38A60">
            <w:pPr>
              <w:rPr>
                <w:rFonts w:ascii="Arial"/>
              </w:rPr>
            </w:pPr>
          </w:p>
        </w:tc>
        <w:tc>
          <w:tcPr>
            <w:tcW w:w="2324" w:type="dxa"/>
          </w:tcPr>
          <w:p w14:paraId="43A0FC53">
            <w:pPr>
              <w:pStyle w:val="235"/>
              <w:spacing w:before="68" w:line="220" w:lineRule="auto"/>
              <w:ind w:left="103"/>
              <w:rPr>
                <w:rFonts w:hint="eastAsia"/>
              </w:rPr>
            </w:pPr>
            <w:r>
              <w:rPr>
                <w:spacing w:val="-1"/>
              </w:rPr>
              <w:t>A02061808</w:t>
            </w:r>
            <w:r>
              <w:rPr>
                <w:spacing w:val="-31"/>
              </w:rPr>
              <w:t xml:space="preserve"> </w:t>
            </w:r>
            <w:r>
              <w:rPr>
                <w:spacing w:val="-1"/>
              </w:rPr>
              <w:t>热水器</w:t>
            </w:r>
          </w:p>
        </w:tc>
        <w:tc>
          <w:tcPr>
            <w:tcW w:w="1956" w:type="dxa"/>
          </w:tcPr>
          <w:p w14:paraId="3F06597D">
            <w:pPr>
              <w:rPr>
                <w:rFonts w:ascii="Arial"/>
              </w:rPr>
            </w:pPr>
          </w:p>
        </w:tc>
        <w:tc>
          <w:tcPr>
            <w:tcW w:w="3081" w:type="dxa"/>
          </w:tcPr>
          <w:p w14:paraId="6B0BA09D">
            <w:pPr>
              <w:pStyle w:val="235"/>
              <w:spacing w:before="67" w:line="219" w:lineRule="auto"/>
              <w:ind w:left="109"/>
              <w:rPr>
                <w:rFonts w:hint="eastAsia"/>
              </w:rPr>
            </w:pPr>
            <w:r>
              <w:rPr>
                <w:spacing w:val="-1"/>
              </w:rPr>
              <w:t>HJ/T362</w:t>
            </w:r>
            <w:r>
              <w:rPr>
                <w:spacing w:val="-33"/>
              </w:rPr>
              <w:t xml:space="preserve"> </w:t>
            </w:r>
            <w:r>
              <w:rPr>
                <w:spacing w:val="-1"/>
              </w:rPr>
              <w:t>太阳能集热器</w:t>
            </w:r>
          </w:p>
        </w:tc>
      </w:tr>
      <w:tr w14:paraId="62BB45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10" w:type="dxa"/>
          </w:tcPr>
          <w:p w14:paraId="3FAE88F5">
            <w:pPr>
              <w:pStyle w:val="235"/>
              <w:spacing w:before="95" w:line="184" w:lineRule="auto"/>
              <w:ind w:left="128"/>
              <w:rPr>
                <w:rFonts w:hint="eastAsia"/>
              </w:rPr>
            </w:pPr>
            <w:r>
              <w:rPr>
                <w:spacing w:val="-10"/>
              </w:rPr>
              <w:t>13</w:t>
            </w:r>
          </w:p>
        </w:tc>
        <w:tc>
          <w:tcPr>
            <w:tcW w:w="1343" w:type="dxa"/>
          </w:tcPr>
          <w:p w14:paraId="2610D8DE">
            <w:pPr>
              <w:pStyle w:val="235"/>
              <w:spacing w:before="69" w:line="284" w:lineRule="auto"/>
              <w:ind w:left="109" w:right="108" w:hanging="7"/>
              <w:rPr>
                <w:rFonts w:hint="eastAsia"/>
              </w:rPr>
            </w:pPr>
            <w:r>
              <w:rPr>
                <w:spacing w:val="-2"/>
              </w:rPr>
              <w:t>A020619</w:t>
            </w:r>
            <w:r>
              <w:rPr>
                <w:spacing w:val="39"/>
              </w:rPr>
              <w:t xml:space="preserve"> </w:t>
            </w:r>
            <w:r>
              <w:rPr>
                <w:spacing w:val="-2"/>
              </w:rPr>
              <w:t>照</w:t>
            </w:r>
            <w:r>
              <w:rPr>
                <w:spacing w:val="-45"/>
              </w:rPr>
              <w:t xml:space="preserve"> </w:t>
            </w:r>
            <w:r>
              <w:rPr>
                <w:spacing w:val="-2"/>
              </w:rPr>
              <w:t>明设</w:t>
            </w:r>
            <w:r>
              <w:t xml:space="preserve"> 备</w:t>
            </w:r>
          </w:p>
        </w:tc>
        <w:tc>
          <w:tcPr>
            <w:tcW w:w="2324" w:type="dxa"/>
          </w:tcPr>
          <w:p w14:paraId="0B545C16">
            <w:pPr>
              <w:pStyle w:val="235"/>
              <w:spacing w:before="68" w:line="220" w:lineRule="auto"/>
              <w:ind w:left="103"/>
              <w:rPr>
                <w:rFonts w:hint="eastAsia"/>
              </w:rPr>
            </w:pPr>
            <w:r>
              <w:rPr>
                <w:spacing w:val="-1"/>
              </w:rPr>
              <w:t>A02061908</w:t>
            </w:r>
            <w:r>
              <w:rPr>
                <w:spacing w:val="-29"/>
              </w:rPr>
              <w:t xml:space="preserve"> </w:t>
            </w:r>
            <w:r>
              <w:rPr>
                <w:spacing w:val="-1"/>
              </w:rPr>
              <w:t>室内照明灯具</w:t>
            </w:r>
          </w:p>
        </w:tc>
        <w:tc>
          <w:tcPr>
            <w:tcW w:w="1956" w:type="dxa"/>
          </w:tcPr>
          <w:p w14:paraId="424DB1BE">
            <w:pPr>
              <w:rPr>
                <w:rFonts w:ascii="Arial"/>
              </w:rPr>
            </w:pPr>
          </w:p>
        </w:tc>
        <w:tc>
          <w:tcPr>
            <w:tcW w:w="3081" w:type="dxa"/>
          </w:tcPr>
          <w:p w14:paraId="6EC44B32">
            <w:pPr>
              <w:pStyle w:val="235"/>
              <w:spacing w:before="67" w:line="219" w:lineRule="auto"/>
              <w:ind w:left="109"/>
              <w:rPr>
                <w:rFonts w:hint="eastAsia"/>
              </w:rPr>
            </w:pPr>
            <w:r>
              <w:rPr>
                <w:spacing w:val="-1"/>
              </w:rPr>
              <w:t>HJ2518</w:t>
            </w:r>
            <w:r>
              <w:rPr>
                <w:spacing w:val="-35"/>
              </w:rPr>
              <w:t xml:space="preserve"> </w:t>
            </w:r>
            <w:r>
              <w:rPr>
                <w:spacing w:val="-1"/>
              </w:rPr>
              <w:t>照明光源</w:t>
            </w:r>
          </w:p>
        </w:tc>
      </w:tr>
      <w:tr w14:paraId="1601E3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510" w:type="dxa"/>
          </w:tcPr>
          <w:p w14:paraId="276C0D65">
            <w:pPr>
              <w:pStyle w:val="235"/>
              <w:spacing w:before="91" w:line="184" w:lineRule="auto"/>
              <w:ind w:left="128"/>
              <w:rPr>
                <w:rFonts w:hint="eastAsia"/>
              </w:rPr>
            </w:pPr>
            <w:r>
              <w:rPr>
                <w:spacing w:val="-10"/>
              </w:rPr>
              <w:t>14</w:t>
            </w:r>
          </w:p>
        </w:tc>
        <w:tc>
          <w:tcPr>
            <w:tcW w:w="1343" w:type="dxa"/>
          </w:tcPr>
          <w:p w14:paraId="646D0826">
            <w:pPr>
              <w:pStyle w:val="235"/>
              <w:spacing w:before="64" w:line="296" w:lineRule="auto"/>
              <w:ind w:left="109" w:right="106" w:hanging="7"/>
              <w:rPr>
                <w:rFonts w:hint="eastAsia"/>
                <w:lang w:eastAsia="zh-CN"/>
              </w:rPr>
            </w:pPr>
            <w:r>
              <w:rPr>
                <w:spacing w:val="3"/>
                <w:lang w:eastAsia="zh-CN"/>
              </w:rPr>
              <w:t>A020810</w:t>
            </w:r>
            <w:r>
              <w:rPr>
                <w:spacing w:val="34"/>
                <w:lang w:eastAsia="zh-CN"/>
              </w:rPr>
              <w:t xml:space="preserve"> </w:t>
            </w:r>
            <w:r>
              <w:rPr>
                <w:spacing w:val="3"/>
                <w:lang w:eastAsia="zh-CN"/>
              </w:rPr>
              <w:t>传真及</w:t>
            </w:r>
            <w:r>
              <w:rPr>
                <w:lang w:eastAsia="zh-CN"/>
              </w:rPr>
              <w:t xml:space="preserve"> </w:t>
            </w:r>
            <w:r>
              <w:rPr>
                <w:spacing w:val="8"/>
                <w:lang w:eastAsia="zh-CN"/>
              </w:rPr>
              <w:t>数据数字通信设</w:t>
            </w:r>
            <w:r>
              <w:rPr>
                <w:spacing w:val="4"/>
                <w:lang w:eastAsia="zh-CN"/>
              </w:rPr>
              <w:t xml:space="preserve"> </w:t>
            </w:r>
            <w:r>
              <w:rPr>
                <w:lang w:eastAsia="zh-CN"/>
              </w:rPr>
              <w:t>备</w:t>
            </w:r>
          </w:p>
        </w:tc>
        <w:tc>
          <w:tcPr>
            <w:tcW w:w="2324" w:type="dxa"/>
          </w:tcPr>
          <w:p w14:paraId="650057ED">
            <w:pPr>
              <w:pStyle w:val="235"/>
              <w:spacing w:before="64" w:line="219" w:lineRule="auto"/>
              <w:ind w:left="103"/>
              <w:rPr>
                <w:rFonts w:hint="eastAsia"/>
              </w:rPr>
            </w:pPr>
            <w:r>
              <w:rPr>
                <w:spacing w:val="-1"/>
              </w:rPr>
              <w:t>A02081001</w:t>
            </w:r>
            <w:r>
              <w:rPr>
                <w:spacing w:val="-30"/>
              </w:rPr>
              <w:t xml:space="preserve"> </w:t>
            </w:r>
            <w:r>
              <w:rPr>
                <w:spacing w:val="-1"/>
              </w:rPr>
              <w:t>传真通信设备</w:t>
            </w:r>
          </w:p>
        </w:tc>
        <w:tc>
          <w:tcPr>
            <w:tcW w:w="1956" w:type="dxa"/>
          </w:tcPr>
          <w:p w14:paraId="5BE95C4A">
            <w:pPr>
              <w:rPr>
                <w:rFonts w:ascii="Arial"/>
              </w:rPr>
            </w:pPr>
          </w:p>
        </w:tc>
        <w:tc>
          <w:tcPr>
            <w:tcW w:w="3081" w:type="dxa"/>
          </w:tcPr>
          <w:p w14:paraId="15E7A785">
            <w:pPr>
              <w:pStyle w:val="235"/>
              <w:spacing w:before="63"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14:paraId="09FC1F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vMerge w:val="restart"/>
            <w:tcBorders>
              <w:bottom w:val="nil"/>
            </w:tcBorders>
          </w:tcPr>
          <w:p w14:paraId="63DE5738">
            <w:pPr>
              <w:pStyle w:val="235"/>
              <w:spacing w:before="92" w:line="184" w:lineRule="auto"/>
              <w:ind w:left="128"/>
              <w:rPr>
                <w:rFonts w:hint="eastAsia"/>
              </w:rPr>
            </w:pPr>
            <w:r>
              <w:rPr>
                <w:spacing w:val="-10"/>
              </w:rPr>
              <w:t>15</w:t>
            </w:r>
          </w:p>
        </w:tc>
        <w:tc>
          <w:tcPr>
            <w:tcW w:w="1343" w:type="dxa"/>
            <w:vMerge w:val="restart"/>
            <w:tcBorders>
              <w:bottom w:val="nil"/>
            </w:tcBorders>
          </w:tcPr>
          <w:p w14:paraId="3CCE6A3E">
            <w:pPr>
              <w:pStyle w:val="235"/>
              <w:spacing w:before="65" w:line="307" w:lineRule="auto"/>
              <w:ind w:left="109" w:right="108" w:hanging="7"/>
              <w:rPr>
                <w:rFonts w:hint="eastAsia"/>
              </w:rPr>
            </w:pPr>
            <w:r>
              <w:rPr>
                <w:spacing w:val="1"/>
              </w:rPr>
              <w:t>A020910</w:t>
            </w:r>
            <w:r>
              <w:rPr>
                <w:spacing w:val="54"/>
              </w:rPr>
              <w:t xml:space="preserve"> </w:t>
            </w:r>
            <w:r>
              <w:rPr>
                <w:spacing w:val="1"/>
              </w:rPr>
              <w:t>电视设</w:t>
            </w:r>
            <w:r>
              <w:t xml:space="preserve"> 备</w:t>
            </w:r>
          </w:p>
        </w:tc>
        <w:tc>
          <w:tcPr>
            <w:tcW w:w="2324" w:type="dxa"/>
          </w:tcPr>
          <w:p w14:paraId="683E5DB9">
            <w:pPr>
              <w:pStyle w:val="235"/>
              <w:spacing w:before="64" w:line="284" w:lineRule="auto"/>
              <w:ind w:left="107" w:right="107" w:hanging="4"/>
              <w:rPr>
                <w:rFonts w:hint="eastAsia"/>
                <w:lang w:eastAsia="zh-CN"/>
              </w:rPr>
            </w:pPr>
            <w:r>
              <w:rPr>
                <w:spacing w:val="-2"/>
                <w:lang w:eastAsia="zh-CN"/>
              </w:rPr>
              <w:t>A02091001</w:t>
            </w:r>
            <w:r>
              <w:rPr>
                <w:spacing w:val="-29"/>
                <w:lang w:eastAsia="zh-CN"/>
              </w:rPr>
              <w:t xml:space="preserve"> </w:t>
            </w:r>
            <w:r>
              <w:rPr>
                <w:spacing w:val="-2"/>
                <w:lang w:eastAsia="zh-CN"/>
              </w:rPr>
              <w:t>普通电视设备（电视</w:t>
            </w:r>
            <w:r>
              <w:rPr>
                <w:lang w:eastAsia="zh-CN"/>
              </w:rPr>
              <w:t xml:space="preserve"> </w:t>
            </w:r>
            <w:r>
              <w:rPr>
                <w:spacing w:val="-4"/>
                <w:lang w:eastAsia="zh-CN"/>
              </w:rPr>
              <w:t>机）</w:t>
            </w:r>
          </w:p>
        </w:tc>
        <w:tc>
          <w:tcPr>
            <w:tcW w:w="1956" w:type="dxa"/>
          </w:tcPr>
          <w:p w14:paraId="02BCCF68">
            <w:pPr>
              <w:rPr>
                <w:rFonts w:ascii="Arial"/>
              </w:rPr>
            </w:pPr>
          </w:p>
        </w:tc>
        <w:tc>
          <w:tcPr>
            <w:tcW w:w="3081" w:type="dxa"/>
          </w:tcPr>
          <w:p w14:paraId="5AE199BC">
            <w:pPr>
              <w:pStyle w:val="235"/>
              <w:spacing w:before="64" w:line="219" w:lineRule="auto"/>
              <w:ind w:left="109"/>
              <w:rPr>
                <w:rFonts w:hint="eastAsia"/>
                <w:lang w:eastAsia="zh-CN"/>
              </w:rPr>
            </w:pPr>
            <w:r>
              <w:rPr>
                <w:spacing w:val="-1"/>
                <w:lang w:eastAsia="zh-CN"/>
              </w:rPr>
              <w:t>HJ2506</w:t>
            </w:r>
            <w:r>
              <w:rPr>
                <w:spacing w:val="-31"/>
                <w:lang w:eastAsia="zh-CN"/>
              </w:rPr>
              <w:t xml:space="preserve"> </w:t>
            </w:r>
            <w:r>
              <w:rPr>
                <w:spacing w:val="-1"/>
                <w:lang w:eastAsia="zh-CN"/>
              </w:rPr>
              <w:t>彩色电视广播接收机</w:t>
            </w:r>
          </w:p>
        </w:tc>
      </w:tr>
      <w:tr w14:paraId="38A31A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510" w:type="dxa"/>
            <w:vMerge w:val="continue"/>
            <w:tcBorders>
              <w:top w:val="nil"/>
            </w:tcBorders>
          </w:tcPr>
          <w:p w14:paraId="138096D0">
            <w:pPr>
              <w:rPr>
                <w:rFonts w:ascii="Arial"/>
              </w:rPr>
            </w:pPr>
          </w:p>
        </w:tc>
        <w:tc>
          <w:tcPr>
            <w:tcW w:w="1343" w:type="dxa"/>
            <w:vMerge w:val="continue"/>
            <w:tcBorders>
              <w:top w:val="nil"/>
            </w:tcBorders>
          </w:tcPr>
          <w:p w14:paraId="1F81940C">
            <w:pPr>
              <w:rPr>
                <w:rFonts w:ascii="Arial"/>
              </w:rPr>
            </w:pPr>
          </w:p>
        </w:tc>
        <w:tc>
          <w:tcPr>
            <w:tcW w:w="2324" w:type="dxa"/>
          </w:tcPr>
          <w:p w14:paraId="0122CDAB">
            <w:pPr>
              <w:pStyle w:val="235"/>
              <w:spacing w:before="67" w:line="284" w:lineRule="auto"/>
              <w:ind w:left="111" w:right="107" w:hanging="8"/>
              <w:rPr>
                <w:rFonts w:hint="eastAsia"/>
                <w:lang w:eastAsia="zh-CN"/>
              </w:rPr>
            </w:pPr>
            <w:r>
              <w:rPr>
                <w:spacing w:val="6"/>
                <w:lang w:eastAsia="zh-CN"/>
              </w:rPr>
              <w:t>A02091003 特殊功能应用电视</w:t>
            </w:r>
            <w:r>
              <w:rPr>
                <w:spacing w:val="7"/>
                <w:lang w:eastAsia="zh-CN"/>
              </w:rPr>
              <w:t xml:space="preserve"> </w:t>
            </w:r>
            <w:r>
              <w:rPr>
                <w:spacing w:val="-3"/>
                <w:lang w:eastAsia="zh-CN"/>
              </w:rPr>
              <w:t>设备</w:t>
            </w:r>
          </w:p>
        </w:tc>
        <w:tc>
          <w:tcPr>
            <w:tcW w:w="1956" w:type="dxa"/>
          </w:tcPr>
          <w:p w14:paraId="0A588E74">
            <w:pPr>
              <w:rPr>
                <w:rFonts w:ascii="Arial"/>
              </w:rPr>
            </w:pPr>
          </w:p>
        </w:tc>
        <w:tc>
          <w:tcPr>
            <w:tcW w:w="3081" w:type="dxa"/>
          </w:tcPr>
          <w:p w14:paraId="32B67BC9">
            <w:pPr>
              <w:pStyle w:val="235"/>
              <w:spacing w:before="67" w:line="219" w:lineRule="auto"/>
              <w:ind w:left="109"/>
              <w:rPr>
                <w:rFonts w:hint="eastAsia"/>
                <w:lang w:eastAsia="zh-CN"/>
              </w:rPr>
            </w:pPr>
            <w:r>
              <w:rPr>
                <w:spacing w:val="-1"/>
                <w:lang w:eastAsia="zh-CN"/>
              </w:rPr>
              <w:t>HJ2506</w:t>
            </w:r>
            <w:r>
              <w:rPr>
                <w:spacing w:val="-31"/>
                <w:lang w:eastAsia="zh-CN"/>
              </w:rPr>
              <w:t xml:space="preserve"> </w:t>
            </w:r>
            <w:r>
              <w:rPr>
                <w:spacing w:val="-1"/>
                <w:lang w:eastAsia="zh-CN"/>
              </w:rPr>
              <w:t>彩色电视广播接收机</w:t>
            </w:r>
          </w:p>
        </w:tc>
      </w:tr>
      <w:tr w14:paraId="2A33B6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restart"/>
            <w:tcBorders>
              <w:bottom w:val="nil"/>
            </w:tcBorders>
          </w:tcPr>
          <w:p w14:paraId="085EEEE8">
            <w:pPr>
              <w:pStyle w:val="235"/>
              <w:spacing w:before="92" w:line="184" w:lineRule="auto"/>
              <w:ind w:left="128"/>
              <w:rPr>
                <w:rFonts w:hint="eastAsia"/>
              </w:rPr>
            </w:pPr>
            <w:r>
              <w:rPr>
                <w:spacing w:val="-10"/>
              </w:rPr>
              <w:t>16</w:t>
            </w:r>
          </w:p>
        </w:tc>
        <w:tc>
          <w:tcPr>
            <w:tcW w:w="1343" w:type="dxa"/>
            <w:vMerge w:val="restart"/>
            <w:tcBorders>
              <w:bottom w:val="nil"/>
            </w:tcBorders>
          </w:tcPr>
          <w:p w14:paraId="7B060FCD">
            <w:pPr>
              <w:pStyle w:val="235"/>
              <w:spacing w:before="65" w:line="220" w:lineRule="auto"/>
              <w:ind w:left="193"/>
              <w:rPr>
                <w:rFonts w:hint="eastAsia"/>
              </w:rPr>
            </w:pPr>
            <w:r>
              <w:rPr>
                <w:spacing w:val="-1"/>
              </w:rPr>
              <w:t>A0601</w:t>
            </w:r>
            <w:r>
              <w:rPr>
                <w:spacing w:val="-36"/>
              </w:rPr>
              <w:t xml:space="preserve"> </w:t>
            </w:r>
            <w:r>
              <w:rPr>
                <w:spacing w:val="-1"/>
              </w:rPr>
              <w:t>床类</w:t>
            </w:r>
          </w:p>
        </w:tc>
        <w:tc>
          <w:tcPr>
            <w:tcW w:w="2324" w:type="dxa"/>
          </w:tcPr>
          <w:p w14:paraId="312D42E3">
            <w:pPr>
              <w:pStyle w:val="235"/>
              <w:spacing w:before="65" w:line="220" w:lineRule="auto"/>
              <w:ind w:left="103"/>
              <w:rPr>
                <w:rFonts w:hint="eastAsia"/>
              </w:rPr>
            </w:pPr>
            <w:r>
              <w:rPr>
                <w:spacing w:val="-1"/>
              </w:rPr>
              <w:t>A060101</w:t>
            </w:r>
            <w:r>
              <w:rPr>
                <w:spacing w:val="-34"/>
              </w:rPr>
              <w:t xml:space="preserve"> </w:t>
            </w:r>
            <w:r>
              <w:rPr>
                <w:spacing w:val="-1"/>
              </w:rPr>
              <w:t>钢木床类</w:t>
            </w:r>
          </w:p>
        </w:tc>
        <w:tc>
          <w:tcPr>
            <w:tcW w:w="1956" w:type="dxa"/>
          </w:tcPr>
          <w:p w14:paraId="415BE48B">
            <w:pPr>
              <w:rPr>
                <w:rFonts w:ascii="Arial"/>
              </w:rPr>
            </w:pPr>
          </w:p>
        </w:tc>
        <w:tc>
          <w:tcPr>
            <w:tcW w:w="3081" w:type="dxa"/>
          </w:tcPr>
          <w:p w14:paraId="75C4C242">
            <w:pPr>
              <w:pStyle w:val="235"/>
              <w:spacing w:before="64"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20D68C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jc w:val="center"/>
        </w:trPr>
        <w:tc>
          <w:tcPr>
            <w:tcW w:w="510" w:type="dxa"/>
            <w:vMerge w:val="continue"/>
            <w:tcBorders>
              <w:top w:val="nil"/>
              <w:bottom w:val="nil"/>
            </w:tcBorders>
          </w:tcPr>
          <w:p w14:paraId="756577FD">
            <w:pPr>
              <w:rPr>
                <w:rFonts w:ascii="Arial"/>
              </w:rPr>
            </w:pPr>
          </w:p>
        </w:tc>
        <w:tc>
          <w:tcPr>
            <w:tcW w:w="1343" w:type="dxa"/>
            <w:vMerge w:val="continue"/>
            <w:tcBorders>
              <w:top w:val="nil"/>
              <w:bottom w:val="nil"/>
            </w:tcBorders>
          </w:tcPr>
          <w:p w14:paraId="7D5958CD">
            <w:pPr>
              <w:rPr>
                <w:rFonts w:ascii="Arial"/>
              </w:rPr>
            </w:pPr>
          </w:p>
        </w:tc>
        <w:tc>
          <w:tcPr>
            <w:tcW w:w="2324" w:type="dxa"/>
          </w:tcPr>
          <w:p w14:paraId="45E92DFF">
            <w:pPr>
              <w:pStyle w:val="235"/>
              <w:spacing w:before="65" w:line="220" w:lineRule="auto"/>
              <w:ind w:left="103"/>
              <w:rPr>
                <w:rFonts w:hint="eastAsia"/>
              </w:rPr>
            </w:pPr>
            <w:r>
              <w:rPr>
                <w:spacing w:val="-1"/>
              </w:rPr>
              <w:t>A060104</w:t>
            </w:r>
            <w:r>
              <w:rPr>
                <w:spacing w:val="-33"/>
              </w:rPr>
              <w:t xml:space="preserve"> </w:t>
            </w:r>
            <w:r>
              <w:rPr>
                <w:spacing w:val="-1"/>
              </w:rPr>
              <w:t>木制床类</w:t>
            </w:r>
          </w:p>
        </w:tc>
        <w:tc>
          <w:tcPr>
            <w:tcW w:w="1956" w:type="dxa"/>
          </w:tcPr>
          <w:p w14:paraId="175413ED">
            <w:pPr>
              <w:rPr>
                <w:rFonts w:ascii="Arial"/>
              </w:rPr>
            </w:pPr>
          </w:p>
        </w:tc>
        <w:tc>
          <w:tcPr>
            <w:tcW w:w="3081" w:type="dxa"/>
          </w:tcPr>
          <w:p w14:paraId="044F0D49">
            <w:pPr>
              <w:pStyle w:val="235"/>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7197EB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tcBorders>
          </w:tcPr>
          <w:p w14:paraId="3E08F9FC">
            <w:pPr>
              <w:rPr>
                <w:rFonts w:ascii="Arial"/>
              </w:rPr>
            </w:pPr>
          </w:p>
        </w:tc>
        <w:tc>
          <w:tcPr>
            <w:tcW w:w="1343" w:type="dxa"/>
            <w:vMerge w:val="continue"/>
            <w:tcBorders>
              <w:top w:val="nil"/>
            </w:tcBorders>
          </w:tcPr>
          <w:p w14:paraId="6267EBA5">
            <w:pPr>
              <w:rPr>
                <w:rFonts w:ascii="Arial"/>
              </w:rPr>
            </w:pPr>
          </w:p>
        </w:tc>
        <w:tc>
          <w:tcPr>
            <w:tcW w:w="2324" w:type="dxa"/>
          </w:tcPr>
          <w:p w14:paraId="7FA14EEE">
            <w:pPr>
              <w:pStyle w:val="235"/>
              <w:spacing w:before="65" w:line="220" w:lineRule="auto"/>
              <w:ind w:left="103"/>
              <w:rPr>
                <w:rFonts w:hint="eastAsia"/>
              </w:rPr>
            </w:pPr>
            <w:r>
              <w:rPr>
                <w:spacing w:val="-1"/>
              </w:rPr>
              <w:t>A060199</w:t>
            </w:r>
            <w:r>
              <w:rPr>
                <w:spacing w:val="-33"/>
              </w:rPr>
              <w:t xml:space="preserve"> </w:t>
            </w:r>
            <w:r>
              <w:rPr>
                <w:spacing w:val="-1"/>
              </w:rPr>
              <w:t>其他床类</w:t>
            </w:r>
          </w:p>
        </w:tc>
        <w:tc>
          <w:tcPr>
            <w:tcW w:w="1956" w:type="dxa"/>
          </w:tcPr>
          <w:p w14:paraId="4FA322D4">
            <w:pPr>
              <w:rPr>
                <w:rFonts w:ascii="Arial"/>
              </w:rPr>
            </w:pPr>
          </w:p>
        </w:tc>
        <w:tc>
          <w:tcPr>
            <w:tcW w:w="3081" w:type="dxa"/>
          </w:tcPr>
          <w:p w14:paraId="1EFE01C9">
            <w:pPr>
              <w:pStyle w:val="235"/>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041DAA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14:paraId="054A9AB1">
            <w:pPr>
              <w:pStyle w:val="235"/>
              <w:spacing w:before="93" w:line="184" w:lineRule="auto"/>
              <w:ind w:left="128"/>
              <w:rPr>
                <w:rFonts w:hint="eastAsia"/>
              </w:rPr>
            </w:pPr>
            <w:r>
              <w:rPr>
                <w:spacing w:val="-10"/>
              </w:rPr>
              <w:t>17</w:t>
            </w:r>
          </w:p>
        </w:tc>
        <w:tc>
          <w:tcPr>
            <w:tcW w:w="1343" w:type="dxa"/>
            <w:vMerge w:val="restart"/>
            <w:tcBorders>
              <w:bottom w:val="nil"/>
            </w:tcBorders>
          </w:tcPr>
          <w:p w14:paraId="318B4B0B">
            <w:pPr>
              <w:pStyle w:val="235"/>
              <w:spacing w:before="65" w:line="220" w:lineRule="auto"/>
              <w:ind w:left="102"/>
              <w:rPr>
                <w:rFonts w:hint="eastAsia"/>
              </w:rPr>
            </w:pPr>
            <w:r>
              <w:rPr>
                <w:spacing w:val="-2"/>
              </w:rPr>
              <w:t>A0602</w:t>
            </w:r>
            <w:r>
              <w:rPr>
                <w:spacing w:val="-22"/>
              </w:rPr>
              <w:t xml:space="preserve"> </w:t>
            </w:r>
            <w:r>
              <w:rPr>
                <w:spacing w:val="-2"/>
              </w:rPr>
              <w:t>台、桌类</w:t>
            </w:r>
          </w:p>
        </w:tc>
        <w:tc>
          <w:tcPr>
            <w:tcW w:w="2324" w:type="dxa"/>
          </w:tcPr>
          <w:p w14:paraId="1C3F9908">
            <w:pPr>
              <w:pStyle w:val="235"/>
              <w:spacing w:before="65" w:line="220" w:lineRule="auto"/>
              <w:ind w:left="103"/>
              <w:rPr>
                <w:rFonts w:hint="eastAsia"/>
              </w:rPr>
            </w:pPr>
            <w:r>
              <w:rPr>
                <w:spacing w:val="-1"/>
              </w:rPr>
              <w:t>A060201</w:t>
            </w:r>
            <w:r>
              <w:rPr>
                <w:spacing w:val="-29"/>
              </w:rPr>
              <w:t xml:space="preserve"> </w:t>
            </w:r>
            <w:r>
              <w:rPr>
                <w:spacing w:val="-1"/>
              </w:rPr>
              <w:t>钢木台、桌类</w:t>
            </w:r>
          </w:p>
        </w:tc>
        <w:tc>
          <w:tcPr>
            <w:tcW w:w="1956" w:type="dxa"/>
          </w:tcPr>
          <w:p w14:paraId="45A4B6B0">
            <w:pPr>
              <w:rPr>
                <w:rFonts w:ascii="Arial"/>
              </w:rPr>
            </w:pPr>
          </w:p>
        </w:tc>
        <w:tc>
          <w:tcPr>
            <w:tcW w:w="3081" w:type="dxa"/>
          </w:tcPr>
          <w:p w14:paraId="5F21B632">
            <w:pPr>
              <w:pStyle w:val="235"/>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656EDF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10" w:type="dxa"/>
            <w:vMerge w:val="continue"/>
            <w:tcBorders>
              <w:top w:val="nil"/>
              <w:bottom w:val="nil"/>
            </w:tcBorders>
          </w:tcPr>
          <w:p w14:paraId="093E9E55">
            <w:pPr>
              <w:rPr>
                <w:rFonts w:ascii="Arial"/>
              </w:rPr>
            </w:pPr>
          </w:p>
        </w:tc>
        <w:tc>
          <w:tcPr>
            <w:tcW w:w="1343" w:type="dxa"/>
            <w:vMerge w:val="continue"/>
            <w:tcBorders>
              <w:top w:val="nil"/>
              <w:bottom w:val="nil"/>
            </w:tcBorders>
          </w:tcPr>
          <w:p w14:paraId="3F4E9B3B">
            <w:pPr>
              <w:rPr>
                <w:rFonts w:ascii="Arial"/>
              </w:rPr>
            </w:pPr>
          </w:p>
        </w:tc>
        <w:tc>
          <w:tcPr>
            <w:tcW w:w="2324" w:type="dxa"/>
          </w:tcPr>
          <w:p w14:paraId="75899885">
            <w:pPr>
              <w:pStyle w:val="235"/>
              <w:spacing w:before="65" w:line="220" w:lineRule="auto"/>
              <w:ind w:left="103"/>
              <w:rPr>
                <w:rFonts w:hint="eastAsia"/>
              </w:rPr>
            </w:pPr>
            <w:r>
              <w:rPr>
                <w:spacing w:val="-1"/>
              </w:rPr>
              <w:t>A060205</w:t>
            </w:r>
            <w:r>
              <w:rPr>
                <w:spacing w:val="-29"/>
              </w:rPr>
              <w:t xml:space="preserve"> </w:t>
            </w:r>
            <w:r>
              <w:rPr>
                <w:spacing w:val="-1"/>
              </w:rPr>
              <w:t>木制台、桌类</w:t>
            </w:r>
          </w:p>
        </w:tc>
        <w:tc>
          <w:tcPr>
            <w:tcW w:w="1956" w:type="dxa"/>
          </w:tcPr>
          <w:p w14:paraId="1358FE6E">
            <w:pPr>
              <w:rPr>
                <w:rFonts w:ascii="Arial"/>
              </w:rPr>
            </w:pPr>
          </w:p>
        </w:tc>
        <w:tc>
          <w:tcPr>
            <w:tcW w:w="3081" w:type="dxa"/>
          </w:tcPr>
          <w:p w14:paraId="61293F4D">
            <w:pPr>
              <w:pStyle w:val="235"/>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4B52C5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tcBorders>
          </w:tcPr>
          <w:p w14:paraId="6B5121BD">
            <w:pPr>
              <w:rPr>
                <w:rFonts w:ascii="Arial"/>
              </w:rPr>
            </w:pPr>
          </w:p>
        </w:tc>
        <w:tc>
          <w:tcPr>
            <w:tcW w:w="1343" w:type="dxa"/>
            <w:vMerge w:val="continue"/>
            <w:tcBorders>
              <w:top w:val="nil"/>
            </w:tcBorders>
          </w:tcPr>
          <w:p w14:paraId="2CAA78E3">
            <w:pPr>
              <w:rPr>
                <w:rFonts w:ascii="Arial"/>
              </w:rPr>
            </w:pPr>
          </w:p>
        </w:tc>
        <w:tc>
          <w:tcPr>
            <w:tcW w:w="2324" w:type="dxa"/>
          </w:tcPr>
          <w:p w14:paraId="7743A7E0">
            <w:pPr>
              <w:pStyle w:val="235"/>
              <w:spacing w:before="66" w:line="220" w:lineRule="auto"/>
              <w:ind w:left="103"/>
              <w:rPr>
                <w:rFonts w:hint="eastAsia"/>
              </w:rPr>
            </w:pPr>
            <w:r>
              <w:rPr>
                <w:spacing w:val="-1"/>
              </w:rPr>
              <w:t>A060299</w:t>
            </w:r>
            <w:r>
              <w:rPr>
                <w:spacing w:val="-29"/>
              </w:rPr>
              <w:t xml:space="preserve"> </w:t>
            </w:r>
            <w:r>
              <w:rPr>
                <w:spacing w:val="-1"/>
              </w:rPr>
              <w:t>其他台、桌类</w:t>
            </w:r>
          </w:p>
        </w:tc>
        <w:tc>
          <w:tcPr>
            <w:tcW w:w="1956" w:type="dxa"/>
          </w:tcPr>
          <w:p w14:paraId="1123BCE1">
            <w:pPr>
              <w:rPr>
                <w:rFonts w:ascii="Arial"/>
              </w:rPr>
            </w:pPr>
          </w:p>
        </w:tc>
        <w:tc>
          <w:tcPr>
            <w:tcW w:w="3081" w:type="dxa"/>
          </w:tcPr>
          <w:p w14:paraId="3F22F57A">
            <w:pPr>
              <w:pStyle w:val="235"/>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3C05CD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14:paraId="4F872C7B">
            <w:pPr>
              <w:pStyle w:val="235"/>
              <w:spacing w:before="94" w:line="184" w:lineRule="auto"/>
              <w:ind w:left="128"/>
              <w:rPr>
                <w:rFonts w:hint="eastAsia"/>
              </w:rPr>
            </w:pPr>
            <w:r>
              <w:rPr>
                <w:spacing w:val="-10"/>
              </w:rPr>
              <w:t>18</w:t>
            </w:r>
          </w:p>
        </w:tc>
        <w:tc>
          <w:tcPr>
            <w:tcW w:w="1343" w:type="dxa"/>
            <w:vMerge w:val="restart"/>
            <w:tcBorders>
              <w:bottom w:val="nil"/>
            </w:tcBorders>
          </w:tcPr>
          <w:p w14:paraId="4B838F39">
            <w:pPr>
              <w:pStyle w:val="235"/>
              <w:spacing w:before="66" w:line="220" w:lineRule="auto"/>
              <w:ind w:left="102"/>
              <w:rPr>
                <w:rFonts w:hint="eastAsia"/>
              </w:rPr>
            </w:pPr>
            <w:r>
              <w:rPr>
                <w:spacing w:val="-1"/>
              </w:rPr>
              <w:t>A0603</w:t>
            </w:r>
            <w:r>
              <w:rPr>
                <w:spacing w:val="-36"/>
              </w:rPr>
              <w:t xml:space="preserve"> </w:t>
            </w:r>
            <w:r>
              <w:rPr>
                <w:spacing w:val="-1"/>
              </w:rPr>
              <w:t>椅凳类</w:t>
            </w:r>
          </w:p>
        </w:tc>
        <w:tc>
          <w:tcPr>
            <w:tcW w:w="2324" w:type="dxa"/>
          </w:tcPr>
          <w:p w14:paraId="63B7A709">
            <w:pPr>
              <w:pStyle w:val="235"/>
              <w:spacing w:before="66" w:line="220" w:lineRule="auto"/>
              <w:ind w:left="103"/>
              <w:rPr>
                <w:rFonts w:hint="eastAsia"/>
              </w:rPr>
            </w:pPr>
            <w:r>
              <w:rPr>
                <w:spacing w:val="-1"/>
              </w:rPr>
              <w:t>A060301</w:t>
            </w:r>
            <w:r>
              <w:rPr>
                <w:spacing w:val="-46"/>
              </w:rPr>
              <w:t xml:space="preserve"> </w:t>
            </w:r>
            <w:r>
              <w:rPr>
                <w:spacing w:val="-1"/>
              </w:rPr>
              <w:t>金属骨架为主的椅凳类</w:t>
            </w:r>
          </w:p>
        </w:tc>
        <w:tc>
          <w:tcPr>
            <w:tcW w:w="1956" w:type="dxa"/>
          </w:tcPr>
          <w:p w14:paraId="04D76748">
            <w:pPr>
              <w:rPr>
                <w:rFonts w:ascii="Arial"/>
              </w:rPr>
            </w:pPr>
          </w:p>
        </w:tc>
        <w:tc>
          <w:tcPr>
            <w:tcW w:w="3081" w:type="dxa"/>
          </w:tcPr>
          <w:p w14:paraId="27A2C4A1">
            <w:pPr>
              <w:pStyle w:val="235"/>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21F905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10" w:type="dxa"/>
            <w:vMerge w:val="continue"/>
            <w:tcBorders>
              <w:top w:val="nil"/>
              <w:bottom w:val="nil"/>
            </w:tcBorders>
          </w:tcPr>
          <w:p w14:paraId="2E492918">
            <w:pPr>
              <w:rPr>
                <w:rFonts w:ascii="Arial"/>
              </w:rPr>
            </w:pPr>
          </w:p>
        </w:tc>
        <w:tc>
          <w:tcPr>
            <w:tcW w:w="1343" w:type="dxa"/>
            <w:vMerge w:val="continue"/>
            <w:tcBorders>
              <w:top w:val="nil"/>
              <w:bottom w:val="nil"/>
            </w:tcBorders>
          </w:tcPr>
          <w:p w14:paraId="2A6B6069">
            <w:pPr>
              <w:rPr>
                <w:rFonts w:ascii="Arial"/>
              </w:rPr>
            </w:pPr>
          </w:p>
        </w:tc>
        <w:tc>
          <w:tcPr>
            <w:tcW w:w="2324" w:type="dxa"/>
          </w:tcPr>
          <w:p w14:paraId="4CED61E8">
            <w:pPr>
              <w:pStyle w:val="235"/>
              <w:spacing w:before="66" w:line="220" w:lineRule="auto"/>
              <w:ind w:left="103"/>
              <w:rPr>
                <w:rFonts w:hint="eastAsia"/>
              </w:rPr>
            </w:pPr>
            <w:r>
              <w:rPr>
                <w:spacing w:val="-1"/>
              </w:rPr>
              <w:t>A060302</w:t>
            </w:r>
            <w:r>
              <w:rPr>
                <w:spacing w:val="-29"/>
              </w:rPr>
              <w:t xml:space="preserve"> </w:t>
            </w:r>
            <w:r>
              <w:rPr>
                <w:spacing w:val="-1"/>
              </w:rPr>
              <w:t>木骨架为主的椅凳类</w:t>
            </w:r>
          </w:p>
        </w:tc>
        <w:tc>
          <w:tcPr>
            <w:tcW w:w="1956" w:type="dxa"/>
          </w:tcPr>
          <w:p w14:paraId="7B5D4152">
            <w:pPr>
              <w:rPr>
                <w:rFonts w:ascii="Arial"/>
              </w:rPr>
            </w:pPr>
          </w:p>
        </w:tc>
        <w:tc>
          <w:tcPr>
            <w:tcW w:w="3081" w:type="dxa"/>
          </w:tcPr>
          <w:p w14:paraId="6A7B3813">
            <w:pPr>
              <w:pStyle w:val="235"/>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44A6D3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tcBorders>
          </w:tcPr>
          <w:p w14:paraId="6D991DA3">
            <w:pPr>
              <w:rPr>
                <w:rFonts w:ascii="Arial"/>
              </w:rPr>
            </w:pPr>
          </w:p>
        </w:tc>
        <w:tc>
          <w:tcPr>
            <w:tcW w:w="1343" w:type="dxa"/>
            <w:vMerge w:val="continue"/>
            <w:tcBorders>
              <w:top w:val="nil"/>
            </w:tcBorders>
          </w:tcPr>
          <w:p w14:paraId="41AB2CCF">
            <w:pPr>
              <w:rPr>
                <w:rFonts w:ascii="Arial"/>
              </w:rPr>
            </w:pPr>
          </w:p>
        </w:tc>
        <w:tc>
          <w:tcPr>
            <w:tcW w:w="2324" w:type="dxa"/>
          </w:tcPr>
          <w:p w14:paraId="68DED54B">
            <w:pPr>
              <w:pStyle w:val="235"/>
              <w:spacing w:before="67" w:line="220" w:lineRule="auto"/>
              <w:ind w:left="103"/>
              <w:rPr>
                <w:rFonts w:hint="eastAsia"/>
              </w:rPr>
            </w:pPr>
            <w:r>
              <w:rPr>
                <w:spacing w:val="-1"/>
              </w:rPr>
              <w:t>A060399</w:t>
            </w:r>
            <w:r>
              <w:rPr>
                <w:spacing w:val="-33"/>
              </w:rPr>
              <w:t xml:space="preserve"> </w:t>
            </w:r>
            <w:r>
              <w:rPr>
                <w:spacing w:val="-1"/>
              </w:rPr>
              <w:t>其他椅凳类</w:t>
            </w:r>
          </w:p>
        </w:tc>
        <w:tc>
          <w:tcPr>
            <w:tcW w:w="1956" w:type="dxa"/>
          </w:tcPr>
          <w:p w14:paraId="748AA461">
            <w:pPr>
              <w:rPr>
                <w:rFonts w:ascii="Arial"/>
              </w:rPr>
            </w:pPr>
          </w:p>
        </w:tc>
        <w:tc>
          <w:tcPr>
            <w:tcW w:w="3081" w:type="dxa"/>
          </w:tcPr>
          <w:p w14:paraId="3B336E69">
            <w:pPr>
              <w:pStyle w:val="235"/>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2EF892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tcPr>
          <w:p w14:paraId="3D281DFF">
            <w:pPr>
              <w:pStyle w:val="235"/>
              <w:spacing w:before="95" w:line="184" w:lineRule="auto"/>
              <w:ind w:left="128"/>
              <w:rPr>
                <w:rFonts w:hint="eastAsia"/>
              </w:rPr>
            </w:pPr>
            <w:r>
              <w:rPr>
                <w:spacing w:val="-10"/>
              </w:rPr>
              <w:t>19</w:t>
            </w:r>
          </w:p>
        </w:tc>
        <w:tc>
          <w:tcPr>
            <w:tcW w:w="1343" w:type="dxa"/>
          </w:tcPr>
          <w:p w14:paraId="093AB9A8">
            <w:pPr>
              <w:pStyle w:val="235"/>
              <w:spacing w:before="67" w:line="220" w:lineRule="auto"/>
              <w:ind w:left="102"/>
              <w:rPr>
                <w:rFonts w:hint="eastAsia"/>
              </w:rPr>
            </w:pPr>
            <w:r>
              <w:rPr>
                <w:spacing w:val="-1"/>
              </w:rPr>
              <w:t>A0604</w:t>
            </w:r>
            <w:r>
              <w:rPr>
                <w:spacing w:val="-35"/>
              </w:rPr>
              <w:t xml:space="preserve"> </w:t>
            </w:r>
            <w:r>
              <w:rPr>
                <w:spacing w:val="-1"/>
              </w:rPr>
              <w:t>沙发类</w:t>
            </w:r>
          </w:p>
        </w:tc>
        <w:tc>
          <w:tcPr>
            <w:tcW w:w="2324" w:type="dxa"/>
          </w:tcPr>
          <w:p w14:paraId="74DED2E9">
            <w:pPr>
              <w:pStyle w:val="235"/>
              <w:spacing w:before="67" w:line="220" w:lineRule="auto"/>
              <w:ind w:left="103"/>
              <w:rPr>
                <w:rFonts w:hint="eastAsia"/>
              </w:rPr>
            </w:pPr>
            <w:r>
              <w:rPr>
                <w:spacing w:val="-1"/>
              </w:rPr>
              <w:t>A060499</w:t>
            </w:r>
            <w:r>
              <w:rPr>
                <w:spacing w:val="-33"/>
              </w:rPr>
              <w:t xml:space="preserve"> </w:t>
            </w:r>
            <w:r>
              <w:rPr>
                <w:spacing w:val="-1"/>
              </w:rPr>
              <w:t>其他沙发类</w:t>
            </w:r>
          </w:p>
        </w:tc>
        <w:tc>
          <w:tcPr>
            <w:tcW w:w="1956" w:type="dxa"/>
          </w:tcPr>
          <w:p w14:paraId="2DAC307D">
            <w:pPr>
              <w:rPr>
                <w:rFonts w:ascii="Arial"/>
              </w:rPr>
            </w:pPr>
          </w:p>
        </w:tc>
        <w:tc>
          <w:tcPr>
            <w:tcW w:w="3081" w:type="dxa"/>
          </w:tcPr>
          <w:p w14:paraId="7F48AF58">
            <w:pPr>
              <w:pStyle w:val="235"/>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0F3B92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14:paraId="787F1C4E">
            <w:pPr>
              <w:pStyle w:val="235"/>
              <w:spacing w:before="96" w:line="183" w:lineRule="auto"/>
              <w:ind w:left="116"/>
              <w:rPr>
                <w:rFonts w:hint="eastAsia"/>
              </w:rPr>
            </w:pPr>
            <w:r>
              <w:rPr>
                <w:spacing w:val="-4"/>
              </w:rPr>
              <w:t>20</w:t>
            </w:r>
          </w:p>
        </w:tc>
        <w:tc>
          <w:tcPr>
            <w:tcW w:w="1343" w:type="dxa"/>
            <w:vMerge w:val="restart"/>
            <w:tcBorders>
              <w:bottom w:val="nil"/>
            </w:tcBorders>
          </w:tcPr>
          <w:p w14:paraId="71E7B04B">
            <w:pPr>
              <w:pStyle w:val="235"/>
              <w:spacing w:before="67" w:line="220" w:lineRule="auto"/>
              <w:ind w:left="193"/>
              <w:rPr>
                <w:rFonts w:hint="eastAsia"/>
              </w:rPr>
            </w:pPr>
            <w:r>
              <w:rPr>
                <w:spacing w:val="-1"/>
              </w:rPr>
              <w:t>A0605</w:t>
            </w:r>
            <w:r>
              <w:rPr>
                <w:spacing w:val="-36"/>
              </w:rPr>
              <w:t xml:space="preserve"> </w:t>
            </w:r>
            <w:r>
              <w:rPr>
                <w:spacing w:val="-1"/>
              </w:rPr>
              <w:t>柜类</w:t>
            </w:r>
          </w:p>
        </w:tc>
        <w:tc>
          <w:tcPr>
            <w:tcW w:w="2324" w:type="dxa"/>
          </w:tcPr>
          <w:p w14:paraId="04000FCE">
            <w:pPr>
              <w:pStyle w:val="235"/>
              <w:spacing w:before="67" w:line="220" w:lineRule="auto"/>
              <w:ind w:left="103"/>
              <w:rPr>
                <w:rFonts w:hint="eastAsia"/>
              </w:rPr>
            </w:pPr>
            <w:r>
              <w:rPr>
                <w:spacing w:val="-1"/>
              </w:rPr>
              <w:t>A060501</w:t>
            </w:r>
            <w:r>
              <w:rPr>
                <w:spacing w:val="-33"/>
              </w:rPr>
              <w:t xml:space="preserve"> </w:t>
            </w:r>
            <w:r>
              <w:rPr>
                <w:spacing w:val="-1"/>
              </w:rPr>
              <w:t>木质柜类</w:t>
            </w:r>
          </w:p>
        </w:tc>
        <w:tc>
          <w:tcPr>
            <w:tcW w:w="1956" w:type="dxa"/>
          </w:tcPr>
          <w:p w14:paraId="689C85DA">
            <w:pPr>
              <w:rPr>
                <w:rFonts w:ascii="Arial"/>
              </w:rPr>
            </w:pPr>
          </w:p>
        </w:tc>
        <w:tc>
          <w:tcPr>
            <w:tcW w:w="3081" w:type="dxa"/>
          </w:tcPr>
          <w:p w14:paraId="6579C400">
            <w:pPr>
              <w:pStyle w:val="235"/>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23C2E6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14:paraId="5827B275">
            <w:pPr>
              <w:rPr>
                <w:rFonts w:ascii="Arial"/>
              </w:rPr>
            </w:pPr>
          </w:p>
        </w:tc>
        <w:tc>
          <w:tcPr>
            <w:tcW w:w="1343" w:type="dxa"/>
            <w:vMerge w:val="continue"/>
            <w:tcBorders>
              <w:top w:val="nil"/>
              <w:bottom w:val="nil"/>
            </w:tcBorders>
          </w:tcPr>
          <w:p w14:paraId="40DCE47D">
            <w:pPr>
              <w:rPr>
                <w:rFonts w:ascii="Arial"/>
              </w:rPr>
            </w:pPr>
          </w:p>
        </w:tc>
        <w:tc>
          <w:tcPr>
            <w:tcW w:w="2324" w:type="dxa"/>
          </w:tcPr>
          <w:p w14:paraId="65029FA0">
            <w:pPr>
              <w:pStyle w:val="235"/>
              <w:spacing w:before="67" w:line="220" w:lineRule="auto"/>
              <w:ind w:left="103"/>
              <w:rPr>
                <w:rFonts w:hint="eastAsia"/>
              </w:rPr>
            </w:pPr>
            <w:r>
              <w:rPr>
                <w:spacing w:val="-1"/>
              </w:rPr>
              <w:t>A060503</w:t>
            </w:r>
            <w:r>
              <w:rPr>
                <w:spacing w:val="-32"/>
              </w:rPr>
              <w:t xml:space="preserve"> </w:t>
            </w:r>
            <w:r>
              <w:rPr>
                <w:spacing w:val="-1"/>
              </w:rPr>
              <w:t>金属质柜类</w:t>
            </w:r>
          </w:p>
        </w:tc>
        <w:tc>
          <w:tcPr>
            <w:tcW w:w="1956" w:type="dxa"/>
          </w:tcPr>
          <w:p w14:paraId="7DD0EEF7">
            <w:pPr>
              <w:rPr>
                <w:rFonts w:ascii="Arial"/>
              </w:rPr>
            </w:pPr>
          </w:p>
        </w:tc>
        <w:tc>
          <w:tcPr>
            <w:tcW w:w="3081" w:type="dxa"/>
          </w:tcPr>
          <w:p w14:paraId="6ACC18AD">
            <w:pPr>
              <w:pStyle w:val="235"/>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4C31DE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14:paraId="6347B943">
            <w:pPr>
              <w:rPr>
                <w:rFonts w:ascii="Arial"/>
              </w:rPr>
            </w:pPr>
          </w:p>
        </w:tc>
        <w:tc>
          <w:tcPr>
            <w:tcW w:w="1343" w:type="dxa"/>
            <w:vMerge w:val="continue"/>
            <w:tcBorders>
              <w:top w:val="nil"/>
            </w:tcBorders>
          </w:tcPr>
          <w:p w14:paraId="0B986C35">
            <w:pPr>
              <w:rPr>
                <w:rFonts w:ascii="Arial"/>
              </w:rPr>
            </w:pPr>
          </w:p>
        </w:tc>
        <w:tc>
          <w:tcPr>
            <w:tcW w:w="2324" w:type="dxa"/>
          </w:tcPr>
          <w:p w14:paraId="29F1C373">
            <w:pPr>
              <w:pStyle w:val="235"/>
              <w:spacing w:before="67" w:line="220" w:lineRule="auto"/>
              <w:ind w:left="103"/>
              <w:rPr>
                <w:rFonts w:hint="eastAsia"/>
              </w:rPr>
            </w:pPr>
            <w:r>
              <w:rPr>
                <w:spacing w:val="-1"/>
              </w:rPr>
              <w:t>A060599</w:t>
            </w:r>
            <w:r>
              <w:rPr>
                <w:spacing w:val="-33"/>
              </w:rPr>
              <w:t xml:space="preserve"> </w:t>
            </w:r>
            <w:r>
              <w:rPr>
                <w:spacing w:val="-1"/>
              </w:rPr>
              <w:t>其他柜类</w:t>
            </w:r>
          </w:p>
        </w:tc>
        <w:tc>
          <w:tcPr>
            <w:tcW w:w="1956" w:type="dxa"/>
          </w:tcPr>
          <w:p w14:paraId="26E11ECD">
            <w:pPr>
              <w:rPr>
                <w:rFonts w:ascii="Arial"/>
              </w:rPr>
            </w:pPr>
          </w:p>
        </w:tc>
        <w:tc>
          <w:tcPr>
            <w:tcW w:w="3081" w:type="dxa"/>
          </w:tcPr>
          <w:p w14:paraId="7AF30333">
            <w:pPr>
              <w:pStyle w:val="235"/>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425D15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14:paraId="64D2DF4D">
            <w:pPr>
              <w:pStyle w:val="235"/>
              <w:spacing w:before="94" w:line="184" w:lineRule="auto"/>
              <w:ind w:left="116"/>
              <w:rPr>
                <w:rFonts w:hint="eastAsia"/>
              </w:rPr>
            </w:pPr>
            <w:r>
              <w:rPr>
                <w:spacing w:val="-4"/>
              </w:rPr>
              <w:t>21</w:t>
            </w:r>
          </w:p>
        </w:tc>
        <w:tc>
          <w:tcPr>
            <w:tcW w:w="1343" w:type="dxa"/>
            <w:vMerge w:val="restart"/>
            <w:tcBorders>
              <w:bottom w:val="nil"/>
            </w:tcBorders>
          </w:tcPr>
          <w:p w14:paraId="2A528B2C">
            <w:pPr>
              <w:pStyle w:val="235"/>
              <w:spacing w:before="67" w:line="220" w:lineRule="auto"/>
              <w:ind w:left="102"/>
              <w:rPr>
                <w:rFonts w:hint="eastAsia"/>
              </w:rPr>
            </w:pPr>
            <w:r>
              <w:rPr>
                <w:spacing w:val="-1"/>
              </w:rPr>
              <w:t>A0606</w:t>
            </w:r>
            <w:r>
              <w:rPr>
                <w:spacing w:val="-35"/>
              </w:rPr>
              <w:t xml:space="preserve"> </w:t>
            </w:r>
            <w:r>
              <w:rPr>
                <w:spacing w:val="-1"/>
              </w:rPr>
              <w:t>架类</w:t>
            </w:r>
          </w:p>
        </w:tc>
        <w:tc>
          <w:tcPr>
            <w:tcW w:w="2324" w:type="dxa"/>
          </w:tcPr>
          <w:p w14:paraId="537DEF33">
            <w:pPr>
              <w:pStyle w:val="235"/>
              <w:spacing w:before="67" w:line="220" w:lineRule="auto"/>
              <w:ind w:left="103"/>
              <w:rPr>
                <w:rFonts w:hint="eastAsia"/>
              </w:rPr>
            </w:pPr>
            <w:r>
              <w:rPr>
                <w:spacing w:val="-1"/>
              </w:rPr>
              <w:t>A060601</w:t>
            </w:r>
            <w:r>
              <w:rPr>
                <w:spacing w:val="-33"/>
              </w:rPr>
              <w:t xml:space="preserve"> </w:t>
            </w:r>
            <w:r>
              <w:rPr>
                <w:spacing w:val="-1"/>
              </w:rPr>
              <w:t>木质架类</w:t>
            </w:r>
          </w:p>
        </w:tc>
        <w:tc>
          <w:tcPr>
            <w:tcW w:w="1956" w:type="dxa"/>
          </w:tcPr>
          <w:p w14:paraId="261CEFF4">
            <w:pPr>
              <w:rPr>
                <w:rFonts w:ascii="Arial"/>
              </w:rPr>
            </w:pPr>
          </w:p>
        </w:tc>
        <w:tc>
          <w:tcPr>
            <w:tcW w:w="3081" w:type="dxa"/>
          </w:tcPr>
          <w:p w14:paraId="303D101E">
            <w:pPr>
              <w:pStyle w:val="235"/>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3F931C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tcBorders>
          </w:tcPr>
          <w:p w14:paraId="6E8E7843">
            <w:pPr>
              <w:rPr>
                <w:rFonts w:ascii="Arial"/>
              </w:rPr>
            </w:pPr>
          </w:p>
        </w:tc>
        <w:tc>
          <w:tcPr>
            <w:tcW w:w="1343" w:type="dxa"/>
            <w:vMerge w:val="continue"/>
            <w:tcBorders>
              <w:top w:val="nil"/>
            </w:tcBorders>
          </w:tcPr>
          <w:p w14:paraId="0BB3DDE5">
            <w:pPr>
              <w:rPr>
                <w:rFonts w:ascii="Arial"/>
              </w:rPr>
            </w:pPr>
          </w:p>
        </w:tc>
        <w:tc>
          <w:tcPr>
            <w:tcW w:w="2324" w:type="dxa"/>
          </w:tcPr>
          <w:p w14:paraId="5F8FA9AD">
            <w:pPr>
              <w:pStyle w:val="235"/>
              <w:spacing w:before="67" w:line="220" w:lineRule="auto"/>
              <w:ind w:left="103"/>
              <w:rPr>
                <w:rFonts w:hint="eastAsia"/>
              </w:rPr>
            </w:pPr>
            <w:r>
              <w:rPr>
                <w:spacing w:val="-1"/>
              </w:rPr>
              <w:t>A060602</w:t>
            </w:r>
            <w:r>
              <w:rPr>
                <w:spacing w:val="-32"/>
              </w:rPr>
              <w:t xml:space="preserve"> </w:t>
            </w:r>
            <w:r>
              <w:rPr>
                <w:spacing w:val="-1"/>
              </w:rPr>
              <w:t>金属质架类</w:t>
            </w:r>
          </w:p>
        </w:tc>
        <w:tc>
          <w:tcPr>
            <w:tcW w:w="1956" w:type="dxa"/>
          </w:tcPr>
          <w:p w14:paraId="71347C29">
            <w:pPr>
              <w:rPr>
                <w:rFonts w:ascii="Arial"/>
              </w:rPr>
            </w:pPr>
          </w:p>
        </w:tc>
        <w:tc>
          <w:tcPr>
            <w:tcW w:w="3081" w:type="dxa"/>
          </w:tcPr>
          <w:p w14:paraId="6218788F">
            <w:pPr>
              <w:pStyle w:val="235"/>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39CC74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14:paraId="55BED586">
            <w:pPr>
              <w:pStyle w:val="235"/>
              <w:spacing w:before="96" w:line="183" w:lineRule="auto"/>
              <w:ind w:left="116"/>
              <w:rPr>
                <w:rFonts w:hint="eastAsia"/>
              </w:rPr>
            </w:pPr>
            <w:r>
              <w:rPr>
                <w:spacing w:val="-4"/>
              </w:rPr>
              <w:t>22</w:t>
            </w:r>
          </w:p>
        </w:tc>
        <w:tc>
          <w:tcPr>
            <w:tcW w:w="1343" w:type="dxa"/>
            <w:vMerge w:val="restart"/>
            <w:tcBorders>
              <w:bottom w:val="nil"/>
            </w:tcBorders>
          </w:tcPr>
          <w:p w14:paraId="169701A8">
            <w:pPr>
              <w:pStyle w:val="235"/>
              <w:spacing w:before="67" w:line="220" w:lineRule="auto"/>
              <w:ind w:left="102"/>
              <w:rPr>
                <w:rFonts w:hint="eastAsia"/>
              </w:rPr>
            </w:pPr>
            <w:r>
              <w:rPr>
                <w:spacing w:val="-1"/>
              </w:rPr>
              <w:t>A0607</w:t>
            </w:r>
            <w:r>
              <w:rPr>
                <w:spacing w:val="-35"/>
              </w:rPr>
              <w:t xml:space="preserve"> </w:t>
            </w:r>
            <w:r>
              <w:rPr>
                <w:spacing w:val="-1"/>
              </w:rPr>
              <w:t>屏风类</w:t>
            </w:r>
          </w:p>
        </w:tc>
        <w:tc>
          <w:tcPr>
            <w:tcW w:w="2324" w:type="dxa"/>
          </w:tcPr>
          <w:p w14:paraId="2140D270">
            <w:pPr>
              <w:pStyle w:val="235"/>
              <w:spacing w:before="67" w:line="220" w:lineRule="auto"/>
              <w:ind w:left="103"/>
              <w:rPr>
                <w:rFonts w:hint="eastAsia"/>
              </w:rPr>
            </w:pPr>
            <w:r>
              <w:rPr>
                <w:spacing w:val="-1"/>
              </w:rPr>
              <w:t>A060701</w:t>
            </w:r>
            <w:r>
              <w:rPr>
                <w:spacing w:val="-33"/>
              </w:rPr>
              <w:t xml:space="preserve"> </w:t>
            </w:r>
            <w:r>
              <w:rPr>
                <w:spacing w:val="-1"/>
              </w:rPr>
              <w:t>木质屏风类</w:t>
            </w:r>
          </w:p>
        </w:tc>
        <w:tc>
          <w:tcPr>
            <w:tcW w:w="1956" w:type="dxa"/>
          </w:tcPr>
          <w:p w14:paraId="4073DE1B">
            <w:pPr>
              <w:rPr>
                <w:rFonts w:ascii="Arial"/>
              </w:rPr>
            </w:pPr>
          </w:p>
        </w:tc>
        <w:tc>
          <w:tcPr>
            <w:tcW w:w="3081" w:type="dxa"/>
          </w:tcPr>
          <w:p w14:paraId="4251D186">
            <w:pPr>
              <w:pStyle w:val="235"/>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08ADD5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14:paraId="329619D8">
            <w:pPr>
              <w:rPr>
                <w:rFonts w:ascii="Arial"/>
              </w:rPr>
            </w:pPr>
          </w:p>
        </w:tc>
        <w:tc>
          <w:tcPr>
            <w:tcW w:w="1343" w:type="dxa"/>
            <w:vMerge w:val="continue"/>
            <w:tcBorders>
              <w:top w:val="nil"/>
            </w:tcBorders>
          </w:tcPr>
          <w:p w14:paraId="371E18D8">
            <w:pPr>
              <w:rPr>
                <w:rFonts w:ascii="Arial"/>
              </w:rPr>
            </w:pPr>
          </w:p>
        </w:tc>
        <w:tc>
          <w:tcPr>
            <w:tcW w:w="2324" w:type="dxa"/>
          </w:tcPr>
          <w:p w14:paraId="0AAA615D">
            <w:pPr>
              <w:pStyle w:val="235"/>
              <w:spacing w:before="67" w:line="220" w:lineRule="auto"/>
              <w:ind w:left="103"/>
              <w:rPr>
                <w:rFonts w:hint="eastAsia"/>
              </w:rPr>
            </w:pPr>
            <w:r>
              <w:rPr>
                <w:spacing w:val="-1"/>
              </w:rPr>
              <w:t>A060702</w:t>
            </w:r>
            <w:r>
              <w:rPr>
                <w:spacing w:val="-32"/>
              </w:rPr>
              <w:t xml:space="preserve"> </w:t>
            </w:r>
            <w:r>
              <w:rPr>
                <w:spacing w:val="-1"/>
              </w:rPr>
              <w:t>金属质屏风类</w:t>
            </w:r>
          </w:p>
        </w:tc>
        <w:tc>
          <w:tcPr>
            <w:tcW w:w="1956" w:type="dxa"/>
          </w:tcPr>
          <w:p w14:paraId="6A20474C">
            <w:pPr>
              <w:rPr>
                <w:rFonts w:ascii="Arial"/>
              </w:rPr>
            </w:pPr>
          </w:p>
        </w:tc>
        <w:tc>
          <w:tcPr>
            <w:tcW w:w="3081" w:type="dxa"/>
          </w:tcPr>
          <w:p w14:paraId="063BB63B">
            <w:pPr>
              <w:pStyle w:val="235"/>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279303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tcPr>
          <w:p w14:paraId="5DFCD782">
            <w:pPr>
              <w:pStyle w:val="235"/>
              <w:spacing w:before="95" w:line="183" w:lineRule="auto"/>
              <w:ind w:left="116"/>
              <w:rPr>
                <w:rFonts w:hint="eastAsia"/>
              </w:rPr>
            </w:pPr>
            <w:r>
              <w:rPr>
                <w:spacing w:val="-4"/>
              </w:rPr>
              <w:t>23</w:t>
            </w:r>
          </w:p>
        </w:tc>
        <w:tc>
          <w:tcPr>
            <w:tcW w:w="1343" w:type="dxa"/>
          </w:tcPr>
          <w:p w14:paraId="061DA926">
            <w:pPr>
              <w:pStyle w:val="235"/>
              <w:spacing w:before="67" w:line="220" w:lineRule="auto"/>
              <w:ind w:left="102"/>
              <w:rPr>
                <w:rFonts w:hint="eastAsia"/>
              </w:rPr>
            </w:pPr>
            <w:r>
              <w:rPr>
                <w:spacing w:val="-1"/>
              </w:rPr>
              <w:t>A060804</w:t>
            </w:r>
            <w:r>
              <w:rPr>
                <w:spacing w:val="-32"/>
              </w:rPr>
              <w:t xml:space="preserve"> </w:t>
            </w:r>
            <w:r>
              <w:rPr>
                <w:spacing w:val="-1"/>
              </w:rPr>
              <w:t>水池</w:t>
            </w:r>
          </w:p>
        </w:tc>
        <w:tc>
          <w:tcPr>
            <w:tcW w:w="2324" w:type="dxa"/>
          </w:tcPr>
          <w:p w14:paraId="18CC9154">
            <w:pPr>
              <w:rPr>
                <w:rFonts w:ascii="Arial"/>
              </w:rPr>
            </w:pPr>
          </w:p>
        </w:tc>
        <w:tc>
          <w:tcPr>
            <w:tcW w:w="1956" w:type="dxa"/>
          </w:tcPr>
          <w:p w14:paraId="29500EB4">
            <w:pPr>
              <w:rPr>
                <w:rFonts w:ascii="Arial"/>
              </w:rPr>
            </w:pPr>
          </w:p>
        </w:tc>
        <w:tc>
          <w:tcPr>
            <w:tcW w:w="3081" w:type="dxa"/>
          </w:tcPr>
          <w:p w14:paraId="34E71E98">
            <w:pPr>
              <w:pStyle w:val="235"/>
              <w:spacing w:before="66" w:line="219" w:lineRule="auto"/>
              <w:ind w:left="109"/>
              <w:rPr>
                <w:rFonts w:hint="eastAsia"/>
              </w:rPr>
            </w:pPr>
            <w:r>
              <w:rPr>
                <w:spacing w:val="-1"/>
              </w:rPr>
              <w:t>HJ/T296</w:t>
            </w:r>
            <w:r>
              <w:rPr>
                <w:spacing w:val="-34"/>
              </w:rPr>
              <w:t xml:space="preserve"> </w:t>
            </w:r>
            <w:r>
              <w:rPr>
                <w:spacing w:val="-1"/>
              </w:rPr>
              <w:t>卫生陶瓷</w:t>
            </w:r>
          </w:p>
        </w:tc>
      </w:tr>
      <w:tr w14:paraId="21F81D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tcPr>
          <w:p w14:paraId="6324A7C0">
            <w:pPr>
              <w:pStyle w:val="235"/>
              <w:spacing w:before="96" w:line="183" w:lineRule="auto"/>
              <w:ind w:left="116"/>
              <w:rPr>
                <w:rFonts w:hint="eastAsia"/>
              </w:rPr>
            </w:pPr>
            <w:r>
              <w:rPr>
                <w:spacing w:val="-4"/>
              </w:rPr>
              <w:t>24</w:t>
            </w:r>
          </w:p>
        </w:tc>
        <w:tc>
          <w:tcPr>
            <w:tcW w:w="1343" w:type="dxa"/>
          </w:tcPr>
          <w:p w14:paraId="4EBF1049">
            <w:pPr>
              <w:pStyle w:val="235"/>
              <w:spacing w:before="67" w:line="220" w:lineRule="auto"/>
              <w:ind w:left="102"/>
              <w:rPr>
                <w:rFonts w:hint="eastAsia"/>
              </w:rPr>
            </w:pPr>
            <w:r>
              <w:rPr>
                <w:spacing w:val="-1"/>
              </w:rPr>
              <w:t>A060805</w:t>
            </w:r>
            <w:r>
              <w:rPr>
                <w:spacing w:val="-33"/>
              </w:rPr>
              <w:t xml:space="preserve"> </w:t>
            </w:r>
            <w:r>
              <w:rPr>
                <w:spacing w:val="-1"/>
              </w:rPr>
              <w:t>便器</w:t>
            </w:r>
          </w:p>
        </w:tc>
        <w:tc>
          <w:tcPr>
            <w:tcW w:w="2324" w:type="dxa"/>
          </w:tcPr>
          <w:p w14:paraId="6DB087CD">
            <w:pPr>
              <w:rPr>
                <w:rFonts w:ascii="Arial"/>
              </w:rPr>
            </w:pPr>
          </w:p>
        </w:tc>
        <w:tc>
          <w:tcPr>
            <w:tcW w:w="1956" w:type="dxa"/>
          </w:tcPr>
          <w:p w14:paraId="6C59292C">
            <w:pPr>
              <w:rPr>
                <w:rFonts w:ascii="Arial"/>
              </w:rPr>
            </w:pPr>
          </w:p>
        </w:tc>
        <w:tc>
          <w:tcPr>
            <w:tcW w:w="3081" w:type="dxa"/>
          </w:tcPr>
          <w:p w14:paraId="674056B3">
            <w:pPr>
              <w:pStyle w:val="235"/>
              <w:spacing w:before="67" w:line="219" w:lineRule="auto"/>
              <w:ind w:left="109"/>
              <w:rPr>
                <w:rFonts w:hint="eastAsia"/>
              </w:rPr>
            </w:pPr>
            <w:r>
              <w:rPr>
                <w:spacing w:val="-1"/>
              </w:rPr>
              <w:t>HJ/T296</w:t>
            </w:r>
            <w:r>
              <w:rPr>
                <w:spacing w:val="-34"/>
              </w:rPr>
              <w:t xml:space="preserve"> </w:t>
            </w:r>
            <w:r>
              <w:rPr>
                <w:spacing w:val="-1"/>
              </w:rPr>
              <w:t>卫生陶瓷</w:t>
            </w:r>
          </w:p>
        </w:tc>
      </w:tr>
      <w:tr w14:paraId="4EF896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tcPr>
          <w:p w14:paraId="433AB882">
            <w:pPr>
              <w:pStyle w:val="235"/>
              <w:spacing w:before="96" w:line="183" w:lineRule="auto"/>
              <w:ind w:left="116"/>
              <w:rPr>
                <w:rFonts w:hint="eastAsia"/>
              </w:rPr>
            </w:pPr>
            <w:r>
              <w:rPr>
                <w:spacing w:val="-4"/>
              </w:rPr>
              <w:t>25</w:t>
            </w:r>
          </w:p>
        </w:tc>
        <w:tc>
          <w:tcPr>
            <w:tcW w:w="1343" w:type="dxa"/>
          </w:tcPr>
          <w:p w14:paraId="5415B49F">
            <w:pPr>
              <w:pStyle w:val="235"/>
              <w:spacing w:before="67" w:line="220" w:lineRule="auto"/>
              <w:ind w:left="102"/>
              <w:rPr>
                <w:rFonts w:hint="eastAsia"/>
              </w:rPr>
            </w:pPr>
            <w:r>
              <w:rPr>
                <w:spacing w:val="-1"/>
              </w:rPr>
              <w:t>A060806</w:t>
            </w:r>
            <w:r>
              <w:rPr>
                <w:spacing w:val="-32"/>
              </w:rPr>
              <w:t xml:space="preserve"> </w:t>
            </w:r>
            <w:r>
              <w:rPr>
                <w:spacing w:val="-1"/>
              </w:rPr>
              <w:t>水嘴</w:t>
            </w:r>
          </w:p>
        </w:tc>
        <w:tc>
          <w:tcPr>
            <w:tcW w:w="2324" w:type="dxa"/>
          </w:tcPr>
          <w:p w14:paraId="07C423D0">
            <w:pPr>
              <w:rPr>
                <w:rFonts w:ascii="Arial"/>
              </w:rPr>
            </w:pPr>
          </w:p>
        </w:tc>
        <w:tc>
          <w:tcPr>
            <w:tcW w:w="1956" w:type="dxa"/>
          </w:tcPr>
          <w:p w14:paraId="255179C9">
            <w:pPr>
              <w:rPr>
                <w:rFonts w:ascii="Arial"/>
              </w:rPr>
            </w:pPr>
          </w:p>
        </w:tc>
        <w:tc>
          <w:tcPr>
            <w:tcW w:w="3081" w:type="dxa"/>
          </w:tcPr>
          <w:p w14:paraId="6D4AA764">
            <w:pPr>
              <w:pStyle w:val="235"/>
              <w:spacing w:before="67" w:line="219" w:lineRule="auto"/>
              <w:ind w:left="109"/>
              <w:rPr>
                <w:rFonts w:hint="eastAsia"/>
              </w:rPr>
            </w:pPr>
            <w:r>
              <w:rPr>
                <w:spacing w:val="-1"/>
              </w:rPr>
              <w:t>HJ/T411</w:t>
            </w:r>
            <w:r>
              <w:rPr>
                <w:spacing w:val="-34"/>
              </w:rPr>
              <w:t xml:space="preserve"> </w:t>
            </w:r>
            <w:r>
              <w:rPr>
                <w:spacing w:val="-1"/>
              </w:rPr>
              <w:t>水嘴</w:t>
            </w:r>
          </w:p>
        </w:tc>
      </w:tr>
      <w:tr w14:paraId="7E5367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tcPr>
          <w:p w14:paraId="75469041">
            <w:pPr>
              <w:pStyle w:val="235"/>
              <w:spacing w:before="95" w:line="183" w:lineRule="auto"/>
              <w:ind w:left="116"/>
              <w:rPr>
                <w:rFonts w:hint="eastAsia"/>
              </w:rPr>
            </w:pPr>
            <w:r>
              <w:rPr>
                <w:spacing w:val="-4"/>
              </w:rPr>
              <w:t>26</w:t>
            </w:r>
          </w:p>
        </w:tc>
        <w:tc>
          <w:tcPr>
            <w:tcW w:w="1343" w:type="dxa"/>
          </w:tcPr>
          <w:p w14:paraId="47411154">
            <w:pPr>
              <w:pStyle w:val="235"/>
              <w:spacing w:before="67" w:line="221" w:lineRule="auto"/>
              <w:ind w:left="102"/>
              <w:rPr>
                <w:rFonts w:hint="eastAsia"/>
              </w:rPr>
            </w:pPr>
            <w:r>
              <w:rPr>
                <w:spacing w:val="-1"/>
              </w:rPr>
              <w:t>A0609</w:t>
            </w:r>
            <w:r>
              <w:rPr>
                <w:spacing w:val="-34"/>
              </w:rPr>
              <w:t xml:space="preserve"> </w:t>
            </w:r>
            <w:r>
              <w:rPr>
                <w:spacing w:val="-1"/>
              </w:rPr>
              <w:t>组合家具</w:t>
            </w:r>
          </w:p>
        </w:tc>
        <w:tc>
          <w:tcPr>
            <w:tcW w:w="2324" w:type="dxa"/>
          </w:tcPr>
          <w:p w14:paraId="1E03A131">
            <w:pPr>
              <w:rPr>
                <w:rFonts w:ascii="Arial"/>
              </w:rPr>
            </w:pPr>
          </w:p>
        </w:tc>
        <w:tc>
          <w:tcPr>
            <w:tcW w:w="1956" w:type="dxa"/>
          </w:tcPr>
          <w:p w14:paraId="33742031">
            <w:pPr>
              <w:rPr>
                <w:rFonts w:ascii="Arial"/>
              </w:rPr>
            </w:pPr>
          </w:p>
        </w:tc>
        <w:tc>
          <w:tcPr>
            <w:tcW w:w="3081" w:type="dxa"/>
          </w:tcPr>
          <w:p w14:paraId="647EF5CA">
            <w:pPr>
              <w:pStyle w:val="235"/>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5B5C64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14:paraId="5E33B3A3">
            <w:pPr>
              <w:pStyle w:val="235"/>
              <w:spacing w:before="96" w:line="183" w:lineRule="auto"/>
              <w:ind w:left="116"/>
              <w:rPr>
                <w:rFonts w:hint="eastAsia"/>
              </w:rPr>
            </w:pPr>
            <w:r>
              <w:rPr>
                <w:spacing w:val="-4"/>
              </w:rPr>
              <w:t>27</w:t>
            </w:r>
          </w:p>
        </w:tc>
        <w:tc>
          <w:tcPr>
            <w:tcW w:w="1343" w:type="dxa"/>
          </w:tcPr>
          <w:p w14:paraId="7B6F1237">
            <w:pPr>
              <w:pStyle w:val="235"/>
              <w:spacing w:before="68" w:line="282" w:lineRule="auto"/>
              <w:ind w:left="108" w:right="106" w:hanging="6"/>
              <w:rPr>
                <w:rFonts w:hint="eastAsia"/>
              </w:rPr>
            </w:pPr>
            <w:r>
              <w:rPr>
                <w:spacing w:val="4"/>
              </w:rPr>
              <w:t>A0610</w:t>
            </w:r>
            <w:r>
              <w:rPr>
                <w:spacing w:val="31"/>
              </w:rPr>
              <w:t xml:space="preserve"> </w:t>
            </w:r>
            <w:r>
              <w:rPr>
                <w:spacing w:val="4"/>
              </w:rPr>
              <w:t>家用家具</w:t>
            </w:r>
            <w:r>
              <w:rPr>
                <w:spacing w:val="-2"/>
              </w:rPr>
              <w:t>零配件</w:t>
            </w:r>
          </w:p>
        </w:tc>
        <w:tc>
          <w:tcPr>
            <w:tcW w:w="2324" w:type="dxa"/>
          </w:tcPr>
          <w:p w14:paraId="1E126792">
            <w:pPr>
              <w:rPr>
                <w:rFonts w:ascii="Arial"/>
              </w:rPr>
            </w:pPr>
          </w:p>
        </w:tc>
        <w:tc>
          <w:tcPr>
            <w:tcW w:w="1956" w:type="dxa"/>
          </w:tcPr>
          <w:p w14:paraId="603225D1">
            <w:pPr>
              <w:rPr>
                <w:rFonts w:ascii="Arial"/>
              </w:rPr>
            </w:pPr>
          </w:p>
        </w:tc>
        <w:tc>
          <w:tcPr>
            <w:tcW w:w="3081" w:type="dxa"/>
          </w:tcPr>
          <w:p w14:paraId="5742263A">
            <w:pPr>
              <w:pStyle w:val="235"/>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40AB0D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510" w:type="dxa"/>
          </w:tcPr>
          <w:p w14:paraId="268B27BC">
            <w:pPr>
              <w:pStyle w:val="235"/>
              <w:spacing w:before="99" w:line="183" w:lineRule="auto"/>
              <w:ind w:left="116"/>
              <w:rPr>
                <w:rFonts w:hint="eastAsia"/>
              </w:rPr>
            </w:pPr>
            <w:r>
              <w:rPr>
                <w:spacing w:val="-4"/>
              </w:rPr>
              <w:t>28</w:t>
            </w:r>
          </w:p>
        </w:tc>
        <w:tc>
          <w:tcPr>
            <w:tcW w:w="1343" w:type="dxa"/>
          </w:tcPr>
          <w:p w14:paraId="4AF44642">
            <w:pPr>
              <w:pStyle w:val="235"/>
              <w:spacing w:before="71" w:line="282" w:lineRule="auto"/>
              <w:ind w:left="109" w:right="106" w:hanging="7"/>
              <w:rPr>
                <w:rFonts w:hint="eastAsia"/>
              </w:rPr>
            </w:pPr>
            <w:r>
              <w:rPr>
                <w:spacing w:val="4"/>
              </w:rPr>
              <w:t>A0699</w:t>
            </w:r>
            <w:r>
              <w:rPr>
                <w:spacing w:val="31"/>
              </w:rPr>
              <w:t xml:space="preserve"> </w:t>
            </w:r>
            <w:r>
              <w:rPr>
                <w:spacing w:val="4"/>
              </w:rPr>
              <w:t>其他家具</w:t>
            </w:r>
            <w:r>
              <w:rPr>
                <w:spacing w:val="-3"/>
              </w:rPr>
              <w:t>用具</w:t>
            </w:r>
          </w:p>
        </w:tc>
        <w:tc>
          <w:tcPr>
            <w:tcW w:w="2324" w:type="dxa"/>
          </w:tcPr>
          <w:p w14:paraId="31EE92DA">
            <w:pPr>
              <w:rPr>
                <w:rFonts w:ascii="Arial"/>
              </w:rPr>
            </w:pPr>
          </w:p>
        </w:tc>
        <w:tc>
          <w:tcPr>
            <w:tcW w:w="1956" w:type="dxa"/>
          </w:tcPr>
          <w:p w14:paraId="28BE4C73">
            <w:pPr>
              <w:rPr>
                <w:rFonts w:ascii="Arial"/>
              </w:rPr>
            </w:pPr>
          </w:p>
        </w:tc>
        <w:tc>
          <w:tcPr>
            <w:tcW w:w="3081" w:type="dxa"/>
          </w:tcPr>
          <w:p w14:paraId="0084716C">
            <w:pPr>
              <w:pStyle w:val="235"/>
              <w:spacing w:before="70"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6F0C7D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10" w:type="dxa"/>
          </w:tcPr>
          <w:p w14:paraId="7CC72A18">
            <w:pPr>
              <w:pStyle w:val="235"/>
              <w:spacing w:before="96" w:line="183" w:lineRule="auto"/>
              <w:ind w:left="116"/>
              <w:rPr>
                <w:rFonts w:hint="eastAsia"/>
              </w:rPr>
            </w:pPr>
            <w:r>
              <w:rPr>
                <w:spacing w:val="-4"/>
              </w:rPr>
              <w:t>29</w:t>
            </w:r>
          </w:p>
        </w:tc>
        <w:tc>
          <w:tcPr>
            <w:tcW w:w="1343" w:type="dxa"/>
          </w:tcPr>
          <w:p w14:paraId="3D6569F2">
            <w:pPr>
              <w:pStyle w:val="235"/>
              <w:spacing w:before="69" w:line="284" w:lineRule="auto"/>
              <w:ind w:left="111" w:right="106" w:hanging="9"/>
              <w:rPr>
                <w:rFonts w:hint="eastAsia"/>
              </w:rPr>
            </w:pPr>
            <w:r>
              <w:rPr>
                <w:spacing w:val="-7"/>
              </w:rPr>
              <w:t>A070101</w:t>
            </w:r>
            <w:r>
              <w:rPr>
                <w:spacing w:val="-36"/>
              </w:rPr>
              <w:t xml:space="preserve"> </w:t>
            </w:r>
            <w:r>
              <w:rPr>
                <w:spacing w:val="-7"/>
              </w:rPr>
              <w:t>棉、化纤</w:t>
            </w:r>
            <w:r>
              <w:t xml:space="preserve"> </w:t>
            </w:r>
            <w:r>
              <w:rPr>
                <w:spacing w:val="-2"/>
              </w:rPr>
              <w:t>纺织及印染原料</w:t>
            </w:r>
          </w:p>
        </w:tc>
        <w:tc>
          <w:tcPr>
            <w:tcW w:w="2324" w:type="dxa"/>
          </w:tcPr>
          <w:p w14:paraId="04D65EC0">
            <w:pPr>
              <w:rPr>
                <w:rFonts w:ascii="Arial"/>
              </w:rPr>
            </w:pPr>
          </w:p>
        </w:tc>
        <w:tc>
          <w:tcPr>
            <w:tcW w:w="1956" w:type="dxa"/>
          </w:tcPr>
          <w:p w14:paraId="5AD6D751">
            <w:pPr>
              <w:rPr>
                <w:rFonts w:ascii="Arial"/>
              </w:rPr>
            </w:pPr>
          </w:p>
        </w:tc>
        <w:tc>
          <w:tcPr>
            <w:tcW w:w="3081" w:type="dxa"/>
          </w:tcPr>
          <w:p w14:paraId="3B5BCDA4">
            <w:pPr>
              <w:pStyle w:val="235"/>
              <w:spacing w:before="67" w:line="219" w:lineRule="auto"/>
              <w:ind w:left="109"/>
              <w:rPr>
                <w:rFonts w:hint="eastAsia"/>
              </w:rPr>
            </w:pPr>
            <w:r>
              <w:rPr>
                <w:spacing w:val="-1"/>
              </w:rPr>
              <w:t>HJ2546</w:t>
            </w:r>
            <w:r>
              <w:rPr>
                <w:spacing w:val="-34"/>
              </w:rPr>
              <w:t xml:space="preserve"> </w:t>
            </w:r>
            <w:r>
              <w:rPr>
                <w:spacing w:val="-1"/>
              </w:rPr>
              <w:t>纺织产品</w:t>
            </w:r>
          </w:p>
        </w:tc>
      </w:tr>
      <w:tr w14:paraId="652C3E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jc w:val="center"/>
        </w:trPr>
        <w:tc>
          <w:tcPr>
            <w:tcW w:w="510" w:type="dxa"/>
          </w:tcPr>
          <w:p w14:paraId="446A2DE8">
            <w:pPr>
              <w:pStyle w:val="235"/>
              <w:spacing w:before="96" w:line="183" w:lineRule="auto"/>
              <w:ind w:left="118"/>
              <w:rPr>
                <w:rFonts w:hint="eastAsia"/>
              </w:rPr>
            </w:pPr>
            <w:r>
              <w:rPr>
                <w:spacing w:val="-5"/>
              </w:rPr>
              <w:t>30</w:t>
            </w:r>
          </w:p>
        </w:tc>
        <w:tc>
          <w:tcPr>
            <w:tcW w:w="1343" w:type="dxa"/>
          </w:tcPr>
          <w:p w14:paraId="295E5FF0">
            <w:pPr>
              <w:pStyle w:val="235"/>
              <w:spacing w:before="69" w:line="296" w:lineRule="auto"/>
              <w:ind w:left="109" w:right="106" w:hanging="7"/>
              <w:rPr>
                <w:rFonts w:hint="eastAsia"/>
              </w:rPr>
            </w:pPr>
            <w:r>
              <w:rPr>
                <w:spacing w:val="-2"/>
              </w:rPr>
              <w:t>A090101</w:t>
            </w:r>
            <w:r>
              <w:rPr>
                <w:spacing w:val="42"/>
              </w:rPr>
              <w:t xml:space="preserve"> </w:t>
            </w:r>
            <w:r>
              <w:rPr>
                <w:spacing w:val="-2"/>
              </w:rPr>
              <w:t>复</w:t>
            </w:r>
            <w:r>
              <w:rPr>
                <w:spacing w:val="-48"/>
              </w:rPr>
              <w:t xml:space="preserve"> </w:t>
            </w:r>
            <w:r>
              <w:rPr>
                <w:spacing w:val="-2"/>
              </w:rPr>
              <w:t>印纸</w:t>
            </w:r>
            <w:r>
              <w:t xml:space="preserve"> </w:t>
            </w:r>
            <w:r>
              <w:rPr>
                <w:spacing w:val="8"/>
              </w:rPr>
              <w:t>（包括再生复印</w:t>
            </w:r>
            <w:r>
              <w:rPr>
                <w:spacing w:val="4"/>
              </w:rPr>
              <w:t xml:space="preserve"> </w:t>
            </w:r>
            <w:r>
              <w:rPr>
                <w:spacing w:val="-5"/>
              </w:rPr>
              <w:t>纸）</w:t>
            </w:r>
          </w:p>
        </w:tc>
        <w:tc>
          <w:tcPr>
            <w:tcW w:w="2324" w:type="dxa"/>
          </w:tcPr>
          <w:p w14:paraId="6C9DDB7B">
            <w:pPr>
              <w:rPr>
                <w:rFonts w:ascii="Arial"/>
              </w:rPr>
            </w:pPr>
          </w:p>
        </w:tc>
        <w:tc>
          <w:tcPr>
            <w:tcW w:w="1956" w:type="dxa"/>
          </w:tcPr>
          <w:p w14:paraId="4BA058DB">
            <w:pPr>
              <w:rPr>
                <w:rFonts w:ascii="Arial"/>
              </w:rPr>
            </w:pPr>
          </w:p>
        </w:tc>
        <w:tc>
          <w:tcPr>
            <w:tcW w:w="3081" w:type="dxa"/>
          </w:tcPr>
          <w:p w14:paraId="0C49CE17">
            <w:pPr>
              <w:pStyle w:val="235"/>
              <w:spacing w:before="67" w:line="219" w:lineRule="auto"/>
              <w:ind w:left="109"/>
              <w:rPr>
                <w:rFonts w:hint="eastAsia"/>
              </w:rPr>
            </w:pPr>
            <w:r>
              <w:rPr>
                <w:spacing w:val="-2"/>
              </w:rPr>
              <w:t>HJ410</w:t>
            </w:r>
            <w:r>
              <w:rPr>
                <w:spacing w:val="-27"/>
              </w:rPr>
              <w:t xml:space="preserve"> </w:t>
            </w:r>
            <w:r>
              <w:rPr>
                <w:spacing w:val="-2"/>
              </w:rPr>
              <w:t>文化用纸</w:t>
            </w:r>
          </w:p>
        </w:tc>
      </w:tr>
      <w:tr w14:paraId="752E62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510" w:type="dxa"/>
          </w:tcPr>
          <w:p w14:paraId="0FCA7DBE">
            <w:pPr>
              <w:pStyle w:val="235"/>
              <w:spacing w:before="91" w:line="184" w:lineRule="auto"/>
              <w:ind w:left="118"/>
              <w:rPr>
                <w:rFonts w:hint="eastAsia"/>
              </w:rPr>
            </w:pPr>
            <w:r>
              <w:rPr>
                <w:spacing w:val="-5"/>
              </w:rPr>
              <w:t>31</w:t>
            </w:r>
          </w:p>
        </w:tc>
        <w:tc>
          <w:tcPr>
            <w:tcW w:w="1343" w:type="dxa"/>
          </w:tcPr>
          <w:p w14:paraId="5250E3D1">
            <w:pPr>
              <w:pStyle w:val="235"/>
              <w:spacing w:before="64" w:line="296" w:lineRule="auto"/>
              <w:ind w:left="109" w:right="106" w:hanging="7"/>
              <w:rPr>
                <w:rFonts w:hint="eastAsia"/>
              </w:rPr>
            </w:pPr>
            <w:r>
              <w:rPr>
                <w:spacing w:val="3"/>
              </w:rPr>
              <w:t>A090201</w:t>
            </w:r>
            <w:r>
              <w:rPr>
                <w:spacing w:val="34"/>
              </w:rPr>
              <w:t xml:space="preserve"> </w:t>
            </w:r>
            <w:r>
              <w:rPr>
                <w:spacing w:val="3"/>
              </w:rPr>
              <w:t>鼓粉盒</w:t>
            </w:r>
            <w:r>
              <w:t xml:space="preserve"> </w:t>
            </w:r>
            <w:r>
              <w:rPr>
                <w:spacing w:val="8"/>
              </w:rPr>
              <w:t>（包括再生鼓粉</w:t>
            </w:r>
            <w:r>
              <w:rPr>
                <w:spacing w:val="4"/>
              </w:rPr>
              <w:t xml:space="preserve"> </w:t>
            </w:r>
            <w:r>
              <w:rPr>
                <w:spacing w:val="-5"/>
              </w:rPr>
              <w:t>盒）</w:t>
            </w:r>
          </w:p>
        </w:tc>
        <w:tc>
          <w:tcPr>
            <w:tcW w:w="2324" w:type="dxa"/>
          </w:tcPr>
          <w:p w14:paraId="6B142DEF">
            <w:pPr>
              <w:rPr>
                <w:rFonts w:ascii="Arial"/>
              </w:rPr>
            </w:pPr>
          </w:p>
        </w:tc>
        <w:tc>
          <w:tcPr>
            <w:tcW w:w="1956" w:type="dxa"/>
          </w:tcPr>
          <w:p w14:paraId="2F90A459">
            <w:pPr>
              <w:rPr>
                <w:rFonts w:ascii="Arial"/>
              </w:rPr>
            </w:pPr>
          </w:p>
        </w:tc>
        <w:tc>
          <w:tcPr>
            <w:tcW w:w="3081" w:type="dxa"/>
          </w:tcPr>
          <w:p w14:paraId="4F07542A">
            <w:pPr>
              <w:pStyle w:val="235"/>
              <w:spacing w:before="63" w:line="219" w:lineRule="auto"/>
              <w:ind w:left="109"/>
              <w:rPr>
                <w:rFonts w:hint="eastAsia"/>
              </w:rPr>
            </w:pPr>
            <w:r>
              <w:rPr>
                <w:spacing w:val="-1"/>
              </w:rPr>
              <w:t>HJ/T413</w:t>
            </w:r>
            <w:r>
              <w:rPr>
                <w:spacing w:val="-34"/>
              </w:rPr>
              <w:t xml:space="preserve"> </w:t>
            </w:r>
            <w:r>
              <w:rPr>
                <w:spacing w:val="-1"/>
              </w:rPr>
              <w:t>再生鼓粉盒</w:t>
            </w:r>
          </w:p>
        </w:tc>
      </w:tr>
      <w:tr w14:paraId="5E0F7F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jc w:val="center"/>
        </w:trPr>
        <w:tc>
          <w:tcPr>
            <w:tcW w:w="510" w:type="dxa"/>
            <w:vMerge w:val="restart"/>
            <w:tcBorders>
              <w:bottom w:val="nil"/>
            </w:tcBorders>
          </w:tcPr>
          <w:p w14:paraId="6CFC28E2">
            <w:pPr>
              <w:pStyle w:val="235"/>
              <w:spacing w:before="93" w:line="183" w:lineRule="auto"/>
              <w:ind w:left="118"/>
              <w:rPr>
                <w:rFonts w:hint="eastAsia"/>
              </w:rPr>
            </w:pPr>
            <w:r>
              <w:rPr>
                <w:spacing w:val="-5"/>
              </w:rPr>
              <w:t>32</w:t>
            </w:r>
          </w:p>
        </w:tc>
        <w:tc>
          <w:tcPr>
            <w:tcW w:w="1343" w:type="dxa"/>
            <w:vMerge w:val="restart"/>
            <w:tcBorders>
              <w:bottom w:val="nil"/>
            </w:tcBorders>
          </w:tcPr>
          <w:p w14:paraId="09B5AD6E">
            <w:pPr>
              <w:pStyle w:val="235"/>
              <w:spacing w:before="64" w:line="219" w:lineRule="auto"/>
              <w:ind w:left="102"/>
              <w:rPr>
                <w:rFonts w:hint="eastAsia"/>
              </w:rPr>
            </w:pPr>
            <w:r>
              <w:rPr>
                <w:spacing w:val="-1"/>
              </w:rPr>
              <w:t>A100203</w:t>
            </w:r>
            <w:r>
              <w:rPr>
                <w:spacing w:val="-33"/>
              </w:rPr>
              <w:t xml:space="preserve"> </w:t>
            </w:r>
            <w:r>
              <w:rPr>
                <w:spacing w:val="-1"/>
              </w:rPr>
              <w:t>人造板</w:t>
            </w:r>
          </w:p>
        </w:tc>
        <w:tc>
          <w:tcPr>
            <w:tcW w:w="2324" w:type="dxa"/>
          </w:tcPr>
          <w:p w14:paraId="76F025FC">
            <w:pPr>
              <w:pStyle w:val="235"/>
              <w:spacing w:before="64" w:line="219" w:lineRule="auto"/>
              <w:ind w:left="103"/>
              <w:rPr>
                <w:rFonts w:hint="eastAsia"/>
              </w:rPr>
            </w:pPr>
            <w:r>
              <w:rPr>
                <w:spacing w:val="-1"/>
              </w:rPr>
              <w:t>A10020301</w:t>
            </w:r>
            <w:r>
              <w:rPr>
                <w:spacing w:val="-32"/>
              </w:rPr>
              <w:t xml:space="preserve"> </w:t>
            </w:r>
            <w:r>
              <w:rPr>
                <w:spacing w:val="-1"/>
              </w:rPr>
              <w:t>胶合板</w:t>
            </w:r>
          </w:p>
        </w:tc>
        <w:tc>
          <w:tcPr>
            <w:tcW w:w="1956" w:type="dxa"/>
          </w:tcPr>
          <w:p w14:paraId="64936247">
            <w:pPr>
              <w:rPr>
                <w:rFonts w:ascii="Arial"/>
              </w:rPr>
            </w:pPr>
          </w:p>
        </w:tc>
        <w:tc>
          <w:tcPr>
            <w:tcW w:w="3081" w:type="dxa"/>
          </w:tcPr>
          <w:p w14:paraId="4DDF1A14">
            <w:pPr>
              <w:pStyle w:val="235"/>
              <w:spacing w:before="64" w:line="219" w:lineRule="auto"/>
              <w:ind w:left="109"/>
              <w:rPr>
                <w:rFonts w:hint="eastAsia"/>
              </w:rPr>
            </w:pPr>
            <w:r>
              <w:rPr>
                <w:spacing w:val="-1"/>
              </w:rPr>
              <w:t>HJ571</w:t>
            </w:r>
            <w:r>
              <w:rPr>
                <w:spacing w:val="-34"/>
              </w:rPr>
              <w:t xml:space="preserve"> </w:t>
            </w:r>
            <w:r>
              <w:rPr>
                <w:spacing w:val="-1"/>
              </w:rPr>
              <w:t>人造板及其制品</w:t>
            </w:r>
          </w:p>
        </w:tc>
      </w:tr>
      <w:tr w14:paraId="04A31C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14:paraId="5D9E8FAE">
            <w:pPr>
              <w:rPr>
                <w:rFonts w:ascii="Arial"/>
              </w:rPr>
            </w:pPr>
          </w:p>
        </w:tc>
        <w:tc>
          <w:tcPr>
            <w:tcW w:w="1343" w:type="dxa"/>
            <w:vMerge w:val="continue"/>
            <w:tcBorders>
              <w:top w:val="nil"/>
              <w:bottom w:val="nil"/>
            </w:tcBorders>
          </w:tcPr>
          <w:p w14:paraId="2D98673C">
            <w:pPr>
              <w:rPr>
                <w:rFonts w:ascii="Arial"/>
              </w:rPr>
            </w:pPr>
          </w:p>
        </w:tc>
        <w:tc>
          <w:tcPr>
            <w:tcW w:w="2324" w:type="dxa"/>
          </w:tcPr>
          <w:p w14:paraId="245EFA24">
            <w:pPr>
              <w:pStyle w:val="235"/>
              <w:spacing w:before="65" w:line="219" w:lineRule="auto"/>
              <w:ind w:left="103"/>
              <w:rPr>
                <w:rFonts w:hint="eastAsia"/>
              </w:rPr>
            </w:pPr>
            <w:r>
              <w:rPr>
                <w:spacing w:val="-1"/>
              </w:rPr>
              <w:t>A10020302</w:t>
            </w:r>
            <w:r>
              <w:rPr>
                <w:spacing w:val="-30"/>
              </w:rPr>
              <w:t xml:space="preserve"> </w:t>
            </w:r>
            <w:r>
              <w:rPr>
                <w:spacing w:val="-1"/>
              </w:rPr>
              <w:t>纤维板</w:t>
            </w:r>
          </w:p>
        </w:tc>
        <w:tc>
          <w:tcPr>
            <w:tcW w:w="1956" w:type="dxa"/>
          </w:tcPr>
          <w:p w14:paraId="3C734D43">
            <w:pPr>
              <w:rPr>
                <w:rFonts w:ascii="Arial"/>
              </w:rPr>
            </w:pPr>
          </w:p>
        </w:tc>
        <w:tc>
          <w:tcPr>
            <w:tcW w:w="3081" w:type="dxa"/>
          </w:tcPr>
          <w:p w14:paraId="21D39BC3">
            <w:pPr>
              <w:pStyle w:val="235"/>
              <w:spacing w:before="64" w:line="219" w:lineRule="auto"/>
              <w:ind w:left="109"/>
              <w:rPr>
                <w:rFonts w:hint="eastAsia"/>
              </w:rPr>
            </w:pPr>
            <w:r>
              <w:rPr>
                <w:spacing w:val="-1"/>
              </w:rPr>
              <w:t>HJ571</w:t>
            </w:r>
            <w:r>
              <w:rPr>
                <w:spacing w:val="-34"/>
              </w:rPr>
              <w:t xml:space="preserve"> </w:t>
            </w:r>
            <w:r>
              <w:rPr>
                <w:spacing w:val="-1"/>
              </w:rPr>
              <w:t>人造板及其制品</w:t>
            </w:r>
          </w:p>
        </w:tc>
      </w:tr>
      <w:tr w14:paraId="00DE1B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14:paraId="1A3559DA">
            <w:pPr>
              <w:rPr>
                <w:rFonts w:ascii="Arial"/>
              </w:rPr>
            </w:pPr>
          </w:p>
        </w:tc>
        <w:tc>
          <w:tcPr>
            <w:tcW w:w="1343" w:type="dxa"/>
            <w:vMerge w:val="continue"/>
            <w:tcBorders>
              <w:top w:val="nil"/>
              <w:bottom w:val="nil"/>
            </w:tcBorders>
          </w:tcPr>
          <w:p w14:paraId="56BF280C">
            <w:pPr>
              <w:rPr>
                <w:rFonts w:ascii="Arial"/>
              </w:rPr>
            </w:pPr>
          </w:p>
        </w:tc>
        <w:tc>
          <w:tcPr>
            <w:tcW w:w="2324" w:type="dxa"/>
          </w:tcPr>
          <w:p w14:paraId="46587262">
            <w:pPr>
              <w:pStyle w:val="235"/>
              <w:spacing w:before="65" w:line="219" w:lineRule="auto"/>
              <w:ind w:left="103"/>
              <w:rPr>
                <w:rFonts w:hint="eastAsia"/>
              </w:rPr>
            </w:pPr>
            <w:r>
              <w:rPr>
                <w:spacing w:val="-1"/>
              </w:rPr>
              <w:t>A10020303</w:t>
            </w:r>
            <w:r>
              <w:rPr>
                <w:spacing w:val="-32"/>
              </w:rPr>
              <w:t xml:space="preserve"> </w:t>
            </w:r>
            <w:r>
              <w:rPr>
                <w:spacing w:val="-1"/>
              </w:rPr>
              <w:t>刨花板</w:t>
            </w:r>
          </w:p>
        </w:tc>
        <w:tc>
          <w:tcPr>
            <w:tcW w:w="1956" w:type="dxa"/>
          </w:tcPr>
          <w:p w14:paraId="36F5C157">
            <w:pPr>
              <w:rPr>
                <w:rFonts w:ascii="Arial"/>
              </w:rPr>
            </w:pPr>
          </w:p>
        </w:tc>
        <w:tc>
          <w:tcPr>
            <w:tcW w:w="3081" w:type="dxa"/>
          </w:tcPr>
          <w:p w14:paraId="5BE9E964">
            <w:pPr>
              <w:pStyle w:val="235"/>
              <w:spacing w:before="64" w:line="219" w:lineRule="auto"/>
              <w:ind w:left="109"/>
              <w:rPr>
                <w:rFonts w:hint="eastAsia"/>
              </w:rPr>
            </w:pPr>
            <w:r>
              <w:rPr>
                <w:spacing w:val="-1"/>
              </w:rPr>
              <w:t>HJ571</w:t>
            </w:r>
            <w:r>
              <w:rPr>
                <w:spacing w:val="-34"/>
              </w:rPr>
              <w:t xml:space="preserve"> </w:t>
            </w:r>
            <w:r>
              <w:rPr>
                <w:spacing w:val="-1"/>
              </w:rPr>
              <w:t>人造板及其制品</w:t>
            </w:r>
          </w:p>
        </w:tc>
      </w:tr>
      <w:tr w14:paraId="2DFA71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14:paraId="3C8975AA">
            <w:pPr>
              <w:rPr>
                <w:rFonts w:ascii="Arial"/>
              </w:rPr>
            </w:pPr>
          </w:p>
        </w:tc>
        <w:tc>
          <w:tcPr>
            <w:tcW w:w="1343" w:type="dxa"/>
            <w:vMerge w:val="continue"/>
            <w:tcBorders>
              <w:top w:val="nil"/>
              <w:bottom w:val="nil"/>
            </w:tcBorders>
          </w:tcPr>
          <w:p w14:paraId="5A4EE6B6">
            <w:pPr>
              <w:rPr>
                <w:rFonts w:ascii="Arial"/>
              </w:rPr>
            </w:pPr>
          </w:p>
        </w:tc>
        <w:tc>
          <w:tcPr>
            <w:tcW w:w="2324" w:type="dxa"/>
          </w:tcPr>
          <w:p w14:paraId="66304B9B">
            <w:pPr>
              <w:pStyle w:val="235"/>
              <w:spacing w:before="68" w:line="219" w:lineRule="auto"/>
              <w:ind w:left="103"/>
              <w:rPr>
                <w:rFonts w:hint="eastAsia"/>
              </w:rPr>
            </w:pPr>
            <w:r>
              <w:rPr>
                <w:spacing w:val="-1"/>
              </w:rPr>
              <w:t>A10020304</w:t>
            </w:r>
            <w:r>
              <w:rPr>
                <w:spacing w:val="-31"/>
              </w:rPr>
              <w:t xml:space="preserve"> </w:t>
            </w:r>
            <w:r>
              <w:rPr>
                <w:spacing w:val="-1"/>
              </w:rPr>
              <w:t>细木工板</w:t>
            </w:r>
          </w:p>
        </w:tc>
        <w:tc>
          <w:tcPr>
            <w:tcW w:w="1956" w:type="dxa"/>
          </w:tcPr>
          <w:p w14:paraId="108DE6A4">
            <w:pPr>
              <w:rPr>
                <w:rFonts w:ascii="Arial"/>
              </w:rPr>
            </w:pPr>
          </w:p>
        </w:tc>
        <w:tc>
          <w:tcPr>
            <w:tcW w:w="3081" w:type="dxa"/>
          </w:tcPr>
          <w:p w14:paraId="2A442DA0">
            <w:pPr>
              <w:pStyle w:val="235"/>
              <w:spacing w:before="67" w:line="219" w:lineRule="auto"/>
              <w:ind w:left="109"/>
              <w:rPr>
                <w:rFonts w:hint="eastAsia"/>
              </w:rPr>
            </w:pPr>
            <w:r>
              <w:rPr>
                <w:spacing w:val="-1"/>
              </w:rPr>
              <w:t>HJ571</w:t>
            </w:r>
            <w:r>
              <w:rPr>
                <w:spacing w:val="-34"/>
              </w:rPr>
              <w:t xml:space="preserve"> </w:t>
            </w:r>
            <w:r>
              <w:rPr>
                <w:spacing w:val="-1"/>
              </w:rPr>
              <w:t>人造板及其制品</w:t>
            </w:r>
          </w:p>
        </w:tc>
      </w:tr>
      <w:tr w14:paraId="7955B6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14:paraId="2C7B5A3D">
            <w:pPr>
              <w:rPr>
                <w:rFonts w:ascii="Arial"/>
              </w:rPr>
            </w:pPr>
          </w:p>
        </w:tc>
        <w:tc>
          <w:tcPr>
            <w:tcW w:w="1343" w:type="dxa"/>
            <w:vMerge w:val="continue"/>
            <w:tcBorders>
              <w:top w:val="nil"/>
            </w:tcBorders>
          </w:tcPr>
          <w:p w14:paraId="31B53F30">
            <w:pPr>
              <w:rPr>
                <w:rFonts w:ascii="Arial"/>
              </w:rPr>
            </w:pPr>
          </w:p>
        </w:tc>
        <w:tc>
          <w:tcPr>
            <w:tcW w:w="2324" w:type="dxa"/>
          </w:tcPr>
          <w:p w14:paraId="6AFE7CE6">
            <w:pPr>
              <w:pStyle w:val="235"/>
              <w:spacing w:before="65" w:line="219" w:lineRule="auto"/>
              <w:ind w:left="103"/>
              <w:rPr>
                <w:rFonts w:hint="eastAsia"/>
              </w:rPr>
            </w:pPr>
            <w:r>
              <w:rPr>
                <w:spacing w:val="-1"/>
              </w:rPr>
              <w:t>A10020399</w:t>
            </w:r>
            <w:r>
              <w:rPr>
                <w:spacing w:val="-31"/>
              </w:rPr>
              <w:t xml:space="preserve"> </w:t>
            </w:r>
            <w:r>
              <w:rPr>
                <w:spacing w:val="-1"/>
              </w:rPr>
              <w:t>其他人造板</w:t>
            </w:r>
          </w:p>
        </w:tc>
        <w:tc>
          <w:tcPr>
            <w:tcW w:w="1956" w:type="dxa"/>
          </w:tcPr>
          <w:p w14:paraId="5933B8A3">
            <w:pPr>
              <w:rPr>
                <w:rFonts w:ascii="Arial"/>
              </w:rPr>
            </w:pPr>
          </w:p>
        </w:tc>
        <w:tc>
          <w:tcPr>
            <w:tcW w:w="3081" w:type="dxa"/>
          </w:tcPr>
          <w:p w14:paraId="3E9CE725">
            <w:pPr>
              <w:pStyle w:val="235"/>
              <w:spacing w:before="64" w:line="219" w:lineRule="auto"/>
              <w:ind w:left="109"/>
              <w:rPr>
                <w:rFonts w:hint="eastAsia"/>
              </w:rPr>
            </w:pPr>
            <w:r>
              <w:rPr>
                <w:spacing w:val="-1"/>
              </w:rPr>
              <w:t>HJ571</w:t>
            </w:r>
            <w:r>
              <w:rPr>
                <w:spacing w:val="-34"/>
              </w:rPr>
              <w:t xml:space="preserve"> </w:t>
            </w:r>
            <w:r>
              <w:rPr>
                <w:spacing w:val="-1"/>
              </w:rPr>
              <w:t>人造板及其制品</w:t>
            </w:r>
          </w:p>
        </w:tc>
      </w:tr>
      <w:tr w14:paraId="5D0430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jc w:val="center"/>
        </w:trPr>
        <w:tc>
          <w:tcPr>
            <w:tcW w:w="510" w:type="dxa"/>
            <w:vMerge w:val="restart"/>
            <w:tcBorders>
              <w:bottom w:val="nil"/>
            </w:tcBorders>
          </w:tcPr>
          <w:p w14:paraId="5A33668C">
            <w:pPr>
              <w:pStyle w:val="235"/>
              <w:spacing w:before="93" w:line="183" w:lineRule="auto"/>
              <w:ind w:left="118"/>
              <w:rPr>
                <w:rFonts w:hint="eastAsia"/>
              </w:rPr>
            </w:pPr>
            <w:r>
              <w:rPr>
                <w:spacing w:val="-5"/>
              </w:rPr>
              <w:t>33</w:t>
            </w:r>
          </w:p>
        </w:tc>
        <w:tc>
          <w:tcPr>
            <w:tcW w:w="1343" w:type="dxa"/>
            <w:vMerge w:val="restart"/>
            <w:tcBorders>
              <w:bottom w:val="nil"/>
            </w:tcBorders>
          </w:tcPr>
          <w:p w14:paraId="4549905C">
            <w:pPr>
              <w:pStyle w:val="235"/>
              <w:spacing w:before="65" w:line="305" w:lineRule="auto"/>
              <w:ind w:left="109" w:right="108" w:hanging="7"/>
              <w:rPr>
                <w:rFonts w:hint="eastAsia"/>
              </w:rPr>
            </w:pPr>
            <w:r>
              <w:rPr>
                <w:spacing w:val="3"/>
              </w:rPr>
              <w:t>A100204</w:t>
            </w:r>
            <w:r>
              <w:rPr>
                <w:spacing w:val="34"/>
              </w:rPr>
              <w:t xml:space="preserve"> </w:t>
            </w:r>
            <w:r>
              <w:rPr>
                <w:spacing w:val="3"/>
              </w:rPr>
              <w:t>二次加</w:t>
            </w:r>
            <w:r>
              <w:rPr>
                <w:spacing w:val="-2"/>
              </w:rPr>
              <w:t>工材,相关板材</w:t>
            </w:r>
          </w:p>
        </w:tc>
        <w:tc>
          <w:tcPr>
            <w:tcW w:w="2324" w:type="dxa"/>
          </w:tcPr>
          <w:p w14:paraId="0941498E">
            <w:pPr>
              <w:pStyle w:val="235"/>
              <w:spacing w:before="65" w:line="219" w:lineRule="auto"/>
              <w:ind w:left="103"/>
              <w:rPr>
                <w:rFonts w:hint="eastAsia"/>
              </w:rPr>
            </w:pPr>
            <w:r>
              <w:rPr>
                <w:spacing w:val="-1"/>
              </w:rPr>
              <w:t>A10020404</w:t>
            </w:r>
            <w:r>
              <w:rPr>
                <w:spacing w:val="-28"/>
              </w:rPr>
              <w:t xml:space="preserve"> </w:t>
            </w:r>
            <w:r>
              <w:rPr>
                <w:spacing w:val="-1"/>
              </w:rPr>
              <w:t>人造板表面装饰板</w:t>
            </w:r>
          </w:p>
        </w:tc>
        <w:tc>
          <w:tcPr>
            <w:tcW w:w="1956" w:type="dxa"/>
          </w:tcPr>
          <w:p w14:paraId="5C3CC940">
            <w:pPr>
              <w:rPr>
                <w:rFonts w:ascii="Arial"/>
              </w:rPr>
            </w:pPr>
          </w:p>
        </w:tc>
        <w:tc>
          <w:tcPr>
            <w:tcW w:w="3081" w:type="dxa"/>
          </w:tcPr>
          <w:p w14:paraId="1B5924FD">
            <w:pPr>
              <w:pStyle w:val="235"/>
              <w:spacing w:before="64" w:line="219" w:lineRule="auto"/>
              <w:ind w:left="109"/>
              <w:rPr>
                <w:rFonts w:hint="eastAsia"/>
              </w:rPr>
            </w:pPr>
            <w:r>
              <w:rPr>
                <w:spacing w:val="-1"/>
              </w:rPr>
              <w:t>HJ571</w:t>
            </w:r>
            <w:r>
              <w:rPr>
                <w:spacing w:val="-30"/>
              </w:rPr>
              <w:t xml:space="preserve"> </w:t>
            </w:r>
            <w:r>
              <w:rPr>
                <w:spacing w:val="-1"/>
              </w:rPr>
              <w:t>人造板及其制品/HJ2540</w:t>
            </w:r>
            <w:r>
              <w:rPr>
                <w:spacing w:val="-38"/>
              </w:rPr>
              <w:t xml:space="preserve"> </w:t>
            </w:r>
            <w:r>
              <w:rPr>
                <w:spacing w:val="-1"/>
              </w:rPr>
              <w:t>木塑制品</w:t>
            </w:r>
          </w:p>
        </w:tc>
      </w:tr>
      <w:tr w14:paraId="40C7DA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510" w:type="dxa"/>
            <w:vMerge w:val="continue"/>
            <w:tcBorders>
              <w:top w:val="nil"/>
            </w:tcBorders>
          </w:tcPr>
          <w:p w14:paraId="3E86D1C6">
            <w:pPr>
              <w:rPr>
                <w:rFonts w:ascii="Arial"/>
              </w:rPr>
            </w:pPr>
          </w:p>
        </w:tc>
        <w:tc>
          <w:tcPr>
            <w:tcW w:w="1343" w:type="dxa"/>
            <w:vMerge w:val="continue"/>
            <w:tcBorders>
              <w:top w:val="nil"/>
            </w:tcBorders>
          </w:tcPr>
          <w:p w14:paraId="6EDF76AD">
            <w:pPr>
              <w:rPr>
                <w:rFonts w:ascii="Arial"/>
              </w:rPr>
            </w:pPr>
          </w:p>
        </w:tc>
        <w:tc>
          <w:tcPr>
            <w:tcW w:w="2324" w:type="dxa"/>
          </w:tcPr>
          <w:p w14:paraId="3033ADC0">
            <w:pPr>
              <w:pStyle w:val="235"/>
              <w:spacing w:before="67" w:line="284" w:lineRule="auto"/>
              <w:ind w:left="113" w:right="107" w:hanging="10"/>
              <w:rPr>
                <w:rFonts w:hint="eastAsia"/>
              </w:rPr>
            </w:pPr>
            <w:r>
              <w:rPr>
                <w:spacing w:val="5"/>
              </w:rPr>
              <w:t>A10020404</w:t>
            </w:r>
            <w:r>
              <w:rPr>
                <w:spacing w:val="30"/>
              </w:rPr>
              <w:t xml:space="preserve"> </w:t>
            </w:r>
            <w:r>
              <w:rPr>
                <w:spacing w:val="5"/>
              </w:rPr>
              <w:t>人造板表面装饰板</w:t>
            </w:r>
            <w:r>
              <w:t xml:space="preserve"> </w:t>
            </w:r>
            <w:r>
              <w:rPr>
                <w:spacing w:val="-3"/>
              </w:rPr>
              <w:t>（地板）</w:t>
            </w:r>
          </w:p>
        </w:tc>
        <w:tc>
          <w:tcPr>
            <w:tcW w:w="1956" w:type="dxa"/>
          </w:tcPr>
          <w:p w14:paraId="748E9E5C">
            <w:pPr>
              <w:rPr>
                <w:rFonts w:ascii="Arial"/>
              </w:rPr>
            </w:pPr>
          </w:p>
        </w:tc>
        <w:tc>
          <w:tcPr>
            <w:tcW w:w="3081" w:type="dxa"/>
          </w:tcPr>
          <w:p w14:paraId="3217758B">
            <w:pPr>
              <w:pStyle w:val="235"/>
              <w:spacing w:before="67" w:line="219" w:lineRule="auto"/>
              <w:ind w:left="109"/>
              <w:rPr>
                <w:rFonts w:hint="eastAsia"/>
              </w:rPr>
            </w:pPr>
            <w:r>
              <w:rPr>
                <w:spacing w:val="-1"/>
              </w:rPr>
              <w:t>HJ571</w:t>
            </w:r>
            <w:r>
              <w:rPr>
                <w:spacing w:val="-30"/>
              </w:rPr>
              <w:t xml:space="preserve"> </w:t>
            </w:r>
            <w:r>
              <w:rPr>
                <w:spacing w:val="-1"/>
              </w:rPr>
              <w:t>人造板及其制品/HJ2540</w:t>
            </w:r>
            <w:r>
              <w:rPr>
                <w:spacing w:val="-38"/>
              </w:rPr>
              <w:t xml:space="preserve"> </w:t>
            </w:r>
            <w:r>
              <w:rPr>
                <w:spacing w:val="-1"/>
              </w:rPr>
              <w:t>木塑制品</w:t>
            </w:r>
          </w:p>
        </w:tc>
      </w:tr>
      <w:tr w14:paraId="4DB409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14:paraId="48E644C1">
            <w:pPr>
              <w:pStyle w:val="235"/>
              <w:spacing w:before="93" w:line="183" w:lineRule="auto"/>
              <w:ind w:left="118"/>
              <w:rPr>
                <w:rFonts w:hint="eastAsia"/>
              </w:rPr>
            </w:pPr>
            <w:r>
              <w:rPr>
                <w:spacing w:val="-5"/>
              </w:rPr>
              <w:t>34</w:t>
            </w:r>
          </w:p>
        </w:tc>
        <w:tc>
          <w:tcPr>
            <w:tcW w:w="1343" w:type="dxa"/>
          </w:tcPr>
          <w:p w14:paraId="7AC96BD5">
            <w:pPr>
              <w:pStyle w:val="235"/>
              <w:spacing w:before="66" w:line="283" w:lineRule="auto"/>
              <w:ind w:left="107" w:right="108" w:hanging="5"/>
              <w:rPr>
                <w:rFonts w:hint="eastAsia"/>
              </w:rPr>
            </w:pPr>
            <w:r>
              <w:rPr>
                <w:spacing w:val="3"/>
              </w:rPr>
              <w:t>A100301</w:t>
            </w:r>
            <w:r>
              <w:rPr>
                <w:spacing w:val="34"/>
              </w:rPr>
              <w:t xml:space="preserve"> </w:t>
            </w:r>
            <w:r>
              <w:rPr>
                <w:spacing w:val="3"/>
              </w:rPr>
              <w:t>水泥熟</w:t>
            </w:r>
            <w:r>
              <w:rPr>
                <w:spacing w:val="-2"/>
              </w:rPr>
              <w:t>料及水泥</w:t>
            </w:r>
          </w:p>
        </w:tc>
        <w:tc>
          <w:tcPr>
            <w:tcW w:w="2324" w:type="dxa"/>
          </w:tcPr>
          <w:p w14:paraId="2011D867">
            <w:pPr>
              <w:pStyle w:val="235"/>
              <w:spacing w:before="65" w:line="220" w:lineRule="auto"/>
              <w:ind w:left="103"/>
              <w:rPr>
                <w:rFonts w:hint="eastAsia"/>
              </w:rPr>
            </w:pPr>
            <w:r>
              <w:rPr>
                <w:spacing w:val="-1"/>
              </w:rPr>
              <w:t>A10030102</w:t>
            </w:r>
            <w:r>
              <w:rPr>
                <w:spacing w:val="-31"/>
              </w:rPr>
              <w:t xml:space="preserve"> </w:t>
            </w:r>
            <w:r>
              <w:rPr>
                <w:spacing w:val="-1"/>
              </w:rPr>
              <w:t>水泥</w:t>
            </w:r>
          </w:p>
        </w:tc>
        <w:tc>
          <w:tcPr>
            <w:tcW w:w="1956" w:type="dxa"/>
          </w:tcPr>
          <w:p w14:paraId="493C8FF2">
            <w:pPr>
              <w:rPr>
                <w:rFonts w:ascii="Arial"/>
              </w:rPr>
            </w:pPr>
          </w:p>
        </w:tc>
        <w:tc>
          <w:tcPr>
            <w:tcW w:w="3081" w:type="dxa"/>
          </w:tcPr>
          <w:p w14:paraId="2B29B1EC">
            <w:pPr>
              <w:pStyle w:val="235"/>
              <w:spacing w:before="64" w:line="219" w:lineRule="auto"/>
              <w:ind w:left="109"/>
              <w:rPr>
                <w:rFonts w:hint="eastAsia"/>
              </w:rPr>
            </w:pPr>
            <w:r>
              <w:rPr>
                <w:spacing w:val="-1"/>
              </w:rPr>
              <w:t>HJ2519</w:t>
            </w:r>
            <w:r>
              <w:rPr>
                <w:spacing w:val="-34"/>
              </w:rPr>
              <w:t xml:space="preserve"> </w:t>
            </w:r>
            <w:r>
              <w:rPr>
                <w:spacing w:val="-1"/>
              </w:rPr>
              <w:t>水泥</w:t>
            </w:r>
          </w:p>
        </w:tc>
      </w:tr>
      <w:tr w14:paraId="70B56F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14:paraId="3510AC5C">
            <w:pPr>
              <w:pStyle w:val="235"/>
              <w:spacing w:before="94" w:line="183" w:lineRule="auto"/>
              <w:ind w:left="118"/>
              <w:rPr>
                <w:rFonts w:hint="eastAsia"/>
              </w:rPr>
            </w:pPr>
            <w:r>
              <w:rPr>
                <w:spacing w:val="-5"/>
              </w:rPr>
              <w:t>35</w:t>
            </w:r>
          </w:p>
        </w:tc>
        <w:tc>
          <w:tcPr>
            <w:tcW w:w="1343" w:type="dxa"/>
          </w:tcPr>
          <w:p w14:paraId="29026E0B">
            <w:pPr>
              <w:pStyle w:val="235"/>
              <w:spacing w:before="66" w:line="283" w:lineRule="auto"/>
              <w:ind w:left="106" w:right="108" w:hanging="4"/>
              <w:rPr>
                <w:rFonts w:hint="eastAsia"/>
              </w:rPr>
            </w:pPr>
            <w:r>
              <w:rPr>
                <w:spacing w:val="3"/>
              </w:rPr>
              <w:t>A100303</w:t>
            </w:r>
            <w:r>
              <w:rPr>
                <w:spacing w:val="34"/>
              </w:rPr>
              <w:t xml:space="preserve"> </w:t>
            </w:r>
            <w:r>
              <w:rPr>
                <w:spacing w:val="3"/>
              </w:rPr>
              <w:t>水泥混</w:t>
            </w:r>
            <w:r>
              <w:rPr>
                <w:spacing w:val="-2"/>
              </w:rPr>
              <w:t>凝土制品</w:t>
            </w:r>
          </w:p>
        </w:tc>
        <w:tc>
          <w:tcPr>
            <w:tcW w:w="2324" w:type="dxa"/>
          </w:tcPr>
          <w:p w14:paraId="24D1699A">
            <w:pPr>
              <w:pStyle w:val="235"/>
              <w:spacing w:before="65" w:line="221" w:lineRule="auto"/>
              <w:ind w:left="103"/>
              <w:rPr>
                <w:rFonts w:hint="eastAsia"/>
              </w:rPr>
            </w:pPr>
            <w:r>
              <w:rPr>
                <w:spacing w:val="-1"/>
              </w:rPr>
              <w:t>A10030301</w:t>
            </w:r>
            <w:r>
              <w:rPr>
                <w:spacing w:val="-30"/>
              </w:rPr>
              <w:t xml:space="preserve"> </w:t>
            </w:r>
            <w:r>
              <w:rPr>
                <w:spacing w:val="-1"/>
              </w:rPr>
              <w:t>商品混凝土</w:t>
            </w:r>
          </w:p>
        </w:tc>
        <w:tc>
          <w:tcPr>
            <w:tcW w:w="1956" w:type="dxa"/>
          </w:tcPr>
          <w:p w14:paraId="00B629C7">
            <w:pPr>
              <w:rPr>
                <w:rFonts w:ascii="Arial"/>
              </w:rPr>
            </w:pPr>
          </w:p>
        </w:tc>
        <w:tc>
          <w:tcPr>
            <w:tcW w:w="3081" w:type="dxa"/>
          </w:tcPr>
          <w:p w14:paraId="2CBA4B28">
            <w:pPr>
              <w:pStyle w:val="235"/>
              <w:spacing w:before="65" w:line="219" w:lineRule="auto"/>
              <w:ind w:left="109"/>
              <w:rPr>
                <w:rFonts w:hint="eastAsia"/>
              </w:rPr>
            </w:pPr>
            <w:r>
              <w:rPr>
                <w:spacing w:val="-1"/>
              </w:rPr>
              <w:t>HJ/T412</w:t>
            </w:r>
            <w:r>
              <w:rPr>
                <w:spacing w:val="-34"/>
              </w:rPr>
              <w:t xml:space="preserve"> </w:t>
            </w:r>
            <w:r>
              <w:rPr>
                <w:spacing w:val="-1"/>
              </w:rPr>
              <w:t>预拌混凝土</w:t>
            </w:r>
          </w:p>
        </w:tc>
      </w:tr>
      <w:tr w14:paraId="57EBCF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14:paraId="5A2489A7">
            <w:pPr>
              <w:pStyle w:val="235"/>
              <w:spacing w:before="94" w:line="183" w:lineRule="auto"/>
              <w:ind w:left="118"/>
              <w:rPr>
                <w:rFonts w:hint="eastAsia"/>
              </w:rPr>
            </w:pPr>
            <w:r>
              <w:rPr>
                <w:spacing w:val="-5"/>
              </w:rPr>
              <w:t>36</w:t>
            </w:r>
          </w:p>
        </w:tc>
        <w:tc>
          <w:tcPr>
            <w:tcW w:w="1343" w:type="dxa"/>
            <w:vMerge w:val="restart"/>
            <w:tcBorders>
              <w:bottom w:val="nil"/>
            </w:tcBorders>
          </w:tcPr>
          <w:p w14:paraId="27410CF7">
            <w:pPr>
              <w:pStyle w:val="235"/>
              <w:spacing w:before="65" w:line="307" w:lineRule="auto"/>
              <w:ind w:left="111" w:right="108" w:hanging="9"/>
              <w:rPr>
                <w:rFonts w:hint="eastAsia"/>
              </w:rPr>
            </w:pPr>
            <w:r>
              <w:rPr>
                <w:spacing w:val="3"/>
              </w:rPr>
              <w:t>A100304</w:t>
            </w:r>
            <w:r>
              <w:rPr>
                <w:spacing w:val="35"/>
              </w:rPr>
              <w:t xml:space="preserve"> </w:t>
            </w:r>
            <w:r>
              <w:rPr>
                <w:spacing w:val="3"/>
              </w:rPr>
              <w:t>纤维增</w:t>
            </w:r>
            <w:r>
              <w:rPr>
                <w:spacing w:val="-2"/>
              </w:rPr>
              <w:t>强水泥制品</w:t>
            </w:r>
          </w:p>
        </w:tc>
        <w:tc>
          <w:tcPr>
            <w:tcW w:w="2324" w:type="dxa"/>
          </w:tcPr>
          <w:p w14:paraId="5212DA7B">
            <w:pPr>
              <w:pStyle w:val="235"/>
              <w:spacing w:before="66" w:line="219" w:lineRule="auto"/>
              <w:ind w:left="103"/>
              <w:rPr>
                <w:rFonts w:hint="eastAsia"/>
              </w:rPr>
            </w:pPr>
            <w:r>
              <w:rPr>
                <w:spacing w:val="-1"/>
              </w:rPr>
              <w:t>A10030402</w:t>
            </w:r>
            <w:r>
              <w:rPr>
                <w:spacing w:val="-28"/>
              </w:rPr>
              <w:t xml:space="preserve"> </w:t>
            </w:r>
            <w:r>
              <w:rPr>
                <w:spacing w:val="-1"/>
              </w:rPr>
              <w:t>纤维增强硅酸钙板</w:t>
            </w:r>
          </w:p>
        </w:tc>
        <w:tc>
          <w:tcPr>
            <w:tcW w:w="1956" w:type="dxa"/>
          </w:tcPr>
          <w:p w14:paraId="5824E3BA">
            <w:pPr>
              <w:rPr>
                <w:rFonts w:ascii="Arial"/>
              </w:rPr>
            </w:pPr>
          </w:p>
        </w:tc>
        <w:tc>
          <w:tcPr>
            <w:tcW w:w="3081" w:type="dxa"/>
          </w:tcPr>
          <w:p w14:paraId="39E4D006">
            <w:pPr>
              <w:pStyle w:val="235"/>
              <w:spacing w:before="66" w:line="219" w:lineRule="auto"/>
              <w:ind w:left="109"/>
              <w:rPr>
                <w:rFonts w:hint="eastAsia"/>
              </w:rPr>
            </w:pPr>
            <w:r>
              <w:rPr>
                <w:spacing w:val="-1"/>
              </w:rPr>
              <w:t>HJ/T223</w:t>
            </w:r>
            <w:r>
              <w:rPr>
                <w:spacing w:val="-33"/>
              </w:rPr>
              <w:t xml:space="preserve"> </w:t>
            </w:r>
            <w:r>
              <w:rPr>
                <w:spacing w:val="-1"/>
              </w:rPr>
              <w:t>轻质墙体板材</w:t>
            </w:r>
          </w:p>
        </w:tc>
      </w:tr>
      <w:tr w14:paraId="0F1CA9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tcBorders>
          </w:tcPr>
          <w:p w14:paraId="588D6AFE">
            <w:pPr>
              <w:rPr>
                <w:rFonts w:ascii="Arial"/>
              </w:rPr>
            </w:pPr>
          </w:p>
        </w:tc>
        <w:tc>
          <w:tcPr>
            <w:tcW w:w="1343" w:type="dxa"/>
            <w:vMerge w:val="continue"/>
            <w:tcBorders>
              <w:top w:val="nil"/>
            </w:tcBorders>
          </w:tcPr>
          <w:p w14:paraId="4960895B">
            <w:pPr>
              <w:rPr>
                <w:rFonts w:ascii="Arial"/>
              </w:rPr>
            </w:pPr>
          </w:p>
        </w:tc>
        <w:tc>
          <w:tcPr>
            <w:tcW w:w="2324" w:type="dxa"/>
          </w:tcPr>
          <w:p w14:paraId="066F115B">
            <w:pPr>
              <w:pStyle w:val="235"/>
              <w:spacing w:before="66" w:line="220" w:lineRule="auto"/>
              <w:ind w:left="103"/>
              <w:rPr>
                <w:rFonts w:hint="eastAsia"/>
              </w:rPr>
            </w:pPr>
            <w:r>
              <w:rPr>
                <w:spacing w:val="-1"/>
              </w:rPr>
              <w:t>A10030403</w:t>
            </w:r>
            <w:r>
              <w:rPr>
                <w:spacing w:val="-45"/>
              </w:rPr>
              <w:t xml:space="preserve"> </w:t>
            </w:r>
            <w:r>
              <w:rPr>
                <w:spacing w:val="-1"/>
              </w:rPr>
              <w:t>无石棉纤维水泥制品</w:t>
            </w:r>
          </w:p>
        </w:tc>
        <w:tc>
          <w:tcPr>
            <w:tcW w:w="1956" w:type="dxa"/>
          </w:tcPr>
          <w:p w14:paraId="4C07B689">
            <w:pPr>
              <w:rPr>
                <w:rFonts w:ascii="Arial"/>
              </w:rPr>
            </w:pPr>
          </w:p>
        </w:tc>
        <w:tc>
          <w:tcPr>
            <w:tcW w:w="3081" w:type="dxa"/>
          </w:tcPr>
          <w:p w14:paraId="0EA4F689">
            <w:pPr>
              <w:pStyle w:val="235"/>
              <w:spacing w:before="66" w:line="219" w:lineRule="auto"/>
              <w:ind w:left="109"/>
              <w:rPr>
                <w:rFonts w:hint="eastAsia"/>
              </w:rPr>
            </w:pPr>
            <w:r>
              <w:rPr>
                <w:spacing w:val="-1"/>
              </w:rPr>
              <w:t>HJ/T223</w:t>
            </w:r>
            <w:r>
              <w:rPr>
                <w:spacing w:val="-33"/>
              </w:rPr>
              <w:t xml:space="preserve"> </w:t>
            </w:r>
            <w:r>
              <w:rPr>
                <w:spacing w:val="-1"/>
              </w:rPr>
              <w:t>轻质墙体板材</w:t>
            </w:r>
          </w:p>
        </w:tc>
      </w:tr>
      <w:tr w14:paraId="7FDCE3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14:paraId="72A2C872">
            <w:pPr>
              <w:pStyle w:val="235"/>
              <w:spacing w:before="95" w:line="183" w:lineRule="auto"/>
              <w:ind w:left="118"/>
              <w:rPr>
                <w:rFonts w:hint="eastAsia"/>
              </w:rPr>
            </w:pPr>
            <w:r>
              <w:rPr>
                <w:spacing w:val="-5"/>
              </w:rPr>
              <w:t>37</w:t>
            </w:r>
          </w:p>
        </w:tc>
        <w:tc>
          <w:tcPr>
            <w:tcW w:w="1343" w:type="dxa"/>
            <w:vMerge w:val="restart"/>
            <w:tcBorders>
              <w:bottom w:val="nil"/>
            </w:tcBorders>
          </w:tcPr>
          <w:p w14:paraId="248CA224">
            <w:pPr>
              <w:pStyle w:val="235"/>
              <w:spacing w:before="67" w:line="306" w:lineRule="auto"/>
              <w:ind w:left="109" w:right="108" w:hanging="7"/>
              <w:rPr>
                <w:rFonts w:hint="eastAsia"/>
              </w:rPr>
            </w:pPr>
            <w:r>
              <w:rPr>
                <w:spacing w:val="3"/>
              </w:rPr>
              <w:t>A100305</w:t>
            </w:r>
            <w:r>
              <w:rPr>
                <w:spacing w:val="34"/>
              </w:rPr>
              <w:t xml:space="preserve"> </w:t>
            </w:r>
            <w:r>
              <w:rPr>
                <w:spacing w:val="3"/>
              </w:rPr>
              <w:t>轻质建</w:t>
            </w:r>
            <w:r>
              <w:rPr>
                <w:spacing w:val="-2"/>
              </w:rPr>
              <w:t>筑材料及制品</w:t>
            </w:r>
          </w:p>
        </w:tc>
        <w:tc>
          <w:tcPr>
            <w:tcW w:w="2324" w:type="dxa"/>
          </w:tcPr>
          <w:p w14:paraId="63265971">
            <w:pPr>
              <w:pStyle w:val="235"/>
              <w:spacing w:before="67" w:line="219" w:lineRule="auto"/>
              <w:ind w:left="103"/>
              <w:rPr>
                <w:rFonts w:hint="eastAsia"/>
              </w:rPr>
            </w:pPr>
            <w:r>
              <w:rPr>
                <w:spacing w:val="-1"/>
              </w:rPr>
              <w:t>A10030501</w:t>
            </w:r>
            <w:r>
              <w:rPr>
                <w:spacing w:val="-32"/>
              </w:rPr>
              <w:t xml:space="preserve"> </w:t>
            </w:r>
            <w:r>
              <w:rPr>
                <w:spacing w:val="-1"/>
              </w:rPr>
              <w:t>石膏板</w:t>
            </w:r>
          </w:p>
        </w:tc>
        <w:tc>
          <w:tcPr>
            <w:tcW w:w="1956" w:type="dxa"/>
          </w:tcPr>
          <w:p w14:paraId="7E979B21">
            <w:pPr>
              <w:rPr>
                <w:rFonts w:ascii="Arial"/>
              </w:rPr>
            </w:pPr>
          </w:p>
        </w:tc>
        <w:tc>
          <w:tcPr>
            <w:tcW w:w="3081" w:type="dxa"/>
          </w:tcPr>
          <w:p w14:paraId="4EBDB630">
            <w:pPr>
              <w:pStyle w:val="235"/>
              <w:spacing w:before="66" w:line="219" w:lineRule="auto"/>
              <w:ind w:left="109"/>
              <w:rPr>
                <w:rFonts w:hint="eastAsia"/>
              </w:rPr>
            </w:pPr>
            <w:r>
              <w:rPr>
                <w:spacing w:val="-1"/>
              </w:rPr>
              <w:t>HJ/T223</w:t>
            </w:r>
            <w:r>
              <w:rPr>
                <w:spacing w:val="-33"/>
              </w:rPr>
              <w:t xml:space="preserve"> </w:t>
            </w:r>
            <w:r>
              <w:rPr>
                <w:spacing w:val="-1"/>
              </w:rPr>
              <w:t>轻质墙体板材</w:t>
            </w:r>
          </w:p>
        </w:tc>
      </w:tr>
      <w:tr w14:paraId="36E074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jc w:val="center"/>
        </w:trPr>
        <w:tc>
          <w:tcPr>
            <w:tcW w:w="510" w:type="dxa"/>
            <w:vMerge w:val="continue"/>
            <w:tcBorders>
              <w:top w:val="nil"/>
            </w:tcBorders>
          </w:tcPr>
          <w:p w14:paraId="7BC8D072">
            <w:pPr>
              <w:rPr>
                <w:rFonts w:ascii="Arial"/>
              </w:rPr>
            </w:pPr>
          </w:p>
        </w:tc>
        <w:tc>
          <w:tcPr>
            <w:tcW w:w="1343" w:type="dxa"/>
            <w:vMerge w:val="continue"/>
            <w:tcBorders>
              <w:top w:val="nil"/>
            </w:tcBorders>
          </w:tcPr>
          <w:p w14:paraId="0796FF84">
            <w:pPr>
              <w:rPr>
                <w:rFonts w:ascii="Arial"/>
              </w:rPr>
            </w:pPr>
          </w:p>
        </w:tc>
        <w:tc>
          <w:tcPr>
            <w:tcW w:w="2324" w:type="dxa"/>
          </w:tcPr>
          <w:p w14:paraId="7AD7ED9A">
            <w:pPr>
              <w:pStyle w:val="235"/>
              <w:spacing w:before="66" w:line="219" w:lineRule="auto"/>
              <w:ind w:left="103"/>
              <w:rPr>
                <w:rFonts w:hint="eastAsia"/>
              </w:rPr>
            </w:pPr>
            <w:r>
              <w:rPr>
                <w:spacing w:val="-1"/>
              </w:rPr>
              <w:t>A10030503</w:t>
            </w:r>
            <w:r>
              <w:rPr>
                <w:spacing w:val="-30"/>
              </w:rPr>
              <w:t xml:space="preserve"> </w:t>
            </w:r>
            <w:r>
              <w:rPr>
                <w:spacing w:val="-1"/>
              </w:rPr>
              <w:t>轻质隔墙条板</w:t>
            </w:r>
          </w:p>
        </w:tc>
        <w:tc>
          <w:tcPr>
            <w:tcW w:w="1956" w:type="dxa"/>
          </w:tcPr>
          <w:p w14:paraId="36860F2A">
            <w:pPr>
              <w:rPr>
                <w:rFonts w:ascii="Arial"/>
              </w:rPr>
            </w:pPr>
          </w:p>
        </w:tc>
        <w:tc>
          <w:tcPr>
            <w:tcW w:w="3081" w:type="dxa"/>
          </w:tcPr>
          <w:p w14:paraId="33101251">
            <w:pPr>
              <w:pStyle w:val="235"/>
              <w:spacing w:before="66" w:line="219" w:lineRule="auto"/>
              <w:ind w:left="109"/>
              <w:rPr>
                <w:rFonts w:hint="eastAsia"/>
              </w:rPr>
            </w:pPr>
            <w:r>
              <w:rPr>
                <w:spacing w:val="-1"/>
              </w:rPr>
              <w:t>HJ/T223</w:t>
            </w:r>
            <w:r>
              <w:rPr>
                <w:spacing w:val="-33"/>
              </w:rPr>
              <w:t xml:space="preserve"> </w:t>
            </w:r>
            <w:r>
              <w:rPr>
                <w:spacing w:val="-1"/>
              </w:rPr>
              <w:t>轻质墙体板材</w:t>
            </w:r>
          </w:p>
        </w:tc>
      </w:tr>
      <w:tr w14:paraId="618D44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14:paraId="68F1119F">
            <w:pPr>
              <w:pStyle w:val="235"/>
              <w:spacing w:before="95" w:line="183" w:lineRule="auto"/>
              <w:ind w:left="118"/>
              <w:rPr>
                <w:rFonts w:hint="eastAsia"/>
              </w:rPr>
            </w:pPr>
            <w:r>
              <w:rPr>
                <w:spacing w:val="-5"/>
              </w:rPr>
              <w:t>38</w:t>
            </w:r>
          </w:p>
        </w:tc>
        <w:tc>
          <w:tcPr>
            <w:tcW w:w="1343" w:type="dxa"/>
            <w:vMerge w:val="restart"/>
            <w:tcBorders>
              <w:bottom w:val="nil"/>
            </w:tcBorders>
          </w:tcPr>
          <w:p w14:paraId="07C07D07">
            <w:pPr>
              <w:pStyle w:val="235"/>
              <w:spacing w:before="66" w:line="307" w:lineRule="auto"/>
              <w:ind w:left="111" w:right="108" w:hanging="9"/>
              <w:rPr>
                <w:rFonts w:hint="eastAsia"/>
              </w:rPr>
            </w:pPr>
            <w:r>
              <w:rPr>
                <w:spacing w:val="-1"/>
              </w:rPr>
              <w:t>A100307</w:t>
            </w:r>
            <w:r>
              <w:rPr>
                <w:spacing w:val="36"/>
              </w:rPr>
              <w:t xml:space="preserve"> </w:t>
            </w:r>
            <w:r>
              <w:rPr>
                <w:spacing w:val="-1"/>
              </w:rPr>
              <w:t>建筑</w:t>
            </w:r>
            <w:r>
              <w:rPr>
                <w:spacing w:val="-52"/>
              </w:rPr>
              <w:t xml:space="preserve"> </w:t>
            </w:r>
            <w:r>
              <w:rPr>
                <w:spacing w:val="-1"/>
              </w:rPr>
              <w:t>陶</w:t>
            </w:r>
            <w:r>
              <w:t xml:space="preserve"> </w:t>
            </w:r>
            <w:r>
              <w:rPr>
                <w:spacing w:val="-3"/>
              </w:rPr>
              <w:t>瓷制品</w:t>
            </w:r>
          </w:p>
        </w:tc>
        <w:tc>
          <w:tcPr>
            <w:tcW w:w="2324" w:type="dxa"/>
          </w:tcPr>
          <w:p w14:paraId="2037E190">
            <w:pPr>
              <w:pStyle w:val="235"/>
              <w:spacing w:before="66" w:line="221" w:lineRule="auto"/>
              <w:ind w:left="103"/>
              <w:rPr>
                <w:rFonts w:hint="eastAsia"/>
              </w:rPr>
            </w:pPr>
            <w:r>
              <w:rPr>
                <w:spacing w:val="-1"/>
              </w:rPr>
              <w:t>A10030701</w:t>
            </w:r>
            <w:r>
              <w:rPr>
                <w:spacing w:val="-30"/>
              </w:rPr>
              <w:t xml:space="preserve"> </w:t>
            </w:r>
            <w:r>
              <w:rPr>
                <w:spacing w:val="-1"/>
              </w:rPr>
              <w:t>瓷质砖</w:t>
            </w:r>
          </w:p>
        </w:tc>
        <w:tc>
          <w:tcPr>
            <w:tcW w:w="1956" w:type="dxa"/>
          </w:tcPr>
          <w:p w14:paraId="1DBDF098">
            <w:pPr>
              <w:rPr>
                <w:rFonts w:ascii="Arial"/>
              </w:rPr>
            </w:pPr>
          </w:p>
        </w:tc>
        <w:tc>
          <w:tcPr>
            <w:tcW w:w="3081" w:type="dxa"/>
          </w:tcPr>
          <w:p w14:paraId="4A42ED6D">
            <w:pPr>
              <w:pStyle w:val="235"/>
              <w:spacing w:before="66" w:line="219" w:lineRule="auto"/>
              <w:ind w:left="109"/>
              <w:rPr>
                <w:rFonts w:hint="eastAsia"/>
              </w:rPr>
            </w:pPr>
            <w:r>
              <w:rPr>
                <w:spacing w:val="-2"/>
              </w:rPr>
              <w:t>HJ/T297</w:t>
            </w:r>
            <w:r>
              <w:rPr>
                <w:spacing w:val="-22"/>
              </w:rPr>
              <w:t xml:space="preserve"> </w:t>
            </w:r>
            <w:r>
              <w:rPr>
                <w:spacing w:val="-2"/>
              </w:rPr>
              <w:t>陶瓷砖</w:t>
            </w:r>
          </w:p>
        </w:tc>
      </w:tr>
      <w:tr w14:paraId="729838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14:paraId="1944A2FF">
            <w:pPr>
              <w:rPr>
                <w:rFonts w:ascii="Arial"/>
              </w:rPr>
            </w:pPr>
          </w:p>
        </w:tc>
        <w:tc>
          <w:tcPr>
            <w:tcW w:w="1343" w:type="dxa"/>
            <w:vMerge w:val="continue"/>
            <w:tcBorders>
              <w:top w:val="nil"/>
              <w:bottom w:val="nil"/>
            </w:tcBorders>
          </w:tcPr>
          <w:p w14:paraId="372EDBAF">
            <w:pPr>
              <w:rPr>
                <w:rFonts w:ascii="Arial"/>
              </w:rPr>
            </w:pPr>
          </w:p>
        </w:tc>
        <w:tc>
          <w:tcPr>
            <w:tcW w:w="2324" w:type="dxa"/>
          </w:tcPr>
          <w:p w14:paraId="26BFEF3D">
            <w:pPr>
              <w:pStyle w:val="235"/>
              <w:spacing w:before="66" w:line="221" w:lineRule="auto"/>
              <w:ind w:left="103"/>
              <w:rPr>
                <w:rFonts w:hint="eastAsia"/>
              </w:rPr>
            </w:pPr>
            <w:r>
              <w:t>A10030704 炻质砖</w:t>
            </w:r>
          </w:p>
        </w:tc>
        <w:tc>
          <w:tcPr>
            <w:tcW w:w="1956" w:type="dxa"/>
          </w:tcPr>
          <w:p w14:paraId="0A30170D">
            <w:pPr>
              <w:rPr>
                <w:rFonts w:ascii="Arial"/>
              </w:rPr>
            </w:pPr>
          </w:p>
        </w:tc>
        <w:tc>
          <w:tcPr>
            <w:tcW w:w="3081" w:type="dxa"/>
          </w:tcPr>
          <w:p w14:paraId="0E17D790">
            <w:pPr>
              <w:pStyle w:val="235"/>
              <w:spacing w:before="66" w:line="219" w:lineRule="auto"/>
              <w:ind w:left="109"/>
              <w:rPr>
                <w:rFonts w:hint="eastAsia"/>
              </w:rPr>
            </w:pPr>
            <w:r>
              <w:rPr>
                <w:spacing w:val="-2"/>
              </w:rPr>
              <w:t>HJ/T297</w:t>
            </w:r>
            <w:r>
              <w:rPr>
                <w:spacing w:val="-22"/>
              </w:rPr>
              <w:t xml:space="preserve"> </w:t>
            </w:r>
            <w:r>
              <w:rPr>
                <w:spacing w:val="-2"/>
              </w:rPr>
              <w:t>陶瓷砖</w:t>
            </w:r>
          </w:p>
        </w:tc>
      </w:tr>
      <w:tr w14:paraId="116B2F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14:paraId="4F7A3033">
            <w:pPr>
              <w:rPr>
                <w:rFonts w:ascii="Arial"/>
              </w:rPr>
            </w:pPr>
          </w:p>
        </w:tc>
        <w:tc>
          <w:tcPr>
            <w:tcW w:w="1343" w:type="dxa"/>
            <w:vMerge w:val="continue"/>
            <w:tcBorders>
              <w:top w:val="nil"/>
              <w:bottom w:val="nil"/>
            </w:tcBorders>
          </w:tcPr>
          <w:p w14:paraId="57E49D54">
            <w:pPr>
              <w:rPr>
                <w:rFonts w:ascii="Arial"/>
              </w:rPr>
            </w:pPr>
          </w:p>
        </w:tc>
        <w:tc>
          <w:tcPr>
            <w:tcW w:w="2324" w:type="dxa"/>
          </w:tcPr>
          <w:p w14:paraId="65E618BD">
            <w:pPr>
              <w:pStyle w:val="235"/>
              <w:spacing w:before="66" w:line="221" w:lineRule="auto"/>
              <w:ind w:left="103"/>
              <w:rPr>
                <w:rFonts w:hint="eastAsia"/>
              </w:rPr>
            </w:pPr>
            <w:r>
              <w:rPr>
                <w:spacing w:val="-2"/>
              </w:rPr>
              <w:t>A10030705</w:t>
            </w:r>
            <w:r>
              <w:rPr>
                <w:spacing w:val="-17"/>
              </w:rPr>
              <w:t xml:space="preserve"> </w:t>
            </w:r>
            <w:r>
              <w:rPr>
                <w:spacing w:val="-2"/>
              </w:rPr>
              <w:t>陶质砖</w:t>
            </w:r>
          </w:p>
        </w:tc>
        <w:tc>
          <w:tcPr>
            <w:tcW w:w="1956" w:type="dxa"/>
          </w:tcPr>
          <w:p w14:paraId="6A6F8128">
            <w:pPr>
              <w:rPr>
                <w:rFonts w:ascii="Arial"/>
              </w:rPr>
            </w:pPr>
          </w:p>
        </w:tc>
        <w:tc>
          <w:tcPr>
            <w:tcW w:w="3081" w:type="dxa"/>
          </w:tcPr>
          <w:p w14:paraId="7D895EDC">
            <w:pPr>
              <w:pStyle w:val="235"/>
              <w:spacing w:before="66" w:line="219" w:lineRule="auto"/>
              <w:ind w:left="109"/>
              <w:rPr>
                <w:rFonts w:hint="eastAsia"/>
              </w:rPr>
            </w:pPr>
            <w:r>
              <w:rPr>
                <w:spacing w:val="-2"/>
              </w:rPr>
              <w:t>HJ/T297</w:t>
            </w:r>
            <w:r>
              <w:rPr>
                <w:spacing w:val="-22"/>
              </w:rPr>
              <w:t xml:space="preserve"> </w:t>
            </w:r>
            <w:r>
              <w:rPr>
                <w:spacing w:val="-2"/>
              </w:rPr>
              <w:t>陶瓷砖</w:t>
            </w:r>
          </w:p>
        </w:tc>
      </w:tr>
      <w:tr w14:paraId="21A8B5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14:paraId="27DDB649">
            <w:pPr>
              <w:rPr>
                <w:rFonts w:ascii="Arial"/>
              </w:rPr>
            </w:pPr>
          </w:p>
        </w:tc>
        <w:tc>
          <w:tcPr>
            <w:tcW w:w="1343" w:type="dxa"/>
            <w:vMerge w:val="continue"/>
            <w:tcBorders>
              <w:top w:val="nil"/>
            </w:tcBorders>
          </w:tcPr>
          <w:p w14:paraId="478BE04C">
            <w:pPr>
              <w:rPr>
                <w:rFonts w:ascii="Arial"/>
              </w:rPr>
            </w:pPr>
          </w:p>
        </w:tc>
        <w:tc>
          <w:tcPr>
            <w:tcW w:w="2324" w:type="dxa"/>
          </w:tcPr>
          <w:p w14:paraId="11833139">
            <w:pPr>
              <w:pStyle w:val="235"/>
              <w:spacing w:before="66" w:line="221" w:lineRule="auto"/>
              <w:ind w:left="103"/>
              <w:rPr>
                <w:rFonts w:hint="eastAsia"/>
              </w:rPr>
            </w:pPr>
            <w:r>
              <w:t>A10030799 其他建筑陶瓷制品</w:t>
            </w:r>
          </w:p>
        </w:tc>
        <w:tc>
          <w:tcPr>
            <w:tcW w:w="1956" w:type="dxa"/>
          </w:tcPr>
          <w:p w14:paraId="763F0420">
            <w:pPr>
              <w:rPr>
                <w:rFonts w:ascii="Arial"/>
              </w:rPr>
            </w:pPr>
          </w:p>
        </w:tc>
        <w:tc>
          <w:tcPr>
            <w:tcW w:w="3081" w:type="dxa"/>
          </w:tcPr>
          <w:p w14:paraId="5BE3E9F4">
            <w:pPr>
              <w:pStyle w:val="235"/>
              <w:spacing w:before="66" w:line="219" w:lineRule="auto"/>
              <w:ind w:left="109"/>
              <w:rPr>
                <w:rFonts w:hint="eastAsia"/>
              </w:rPr>
            </w:pPr>
            <w:r>
              <w:rPr>
                <w:spacing w:val="-2"/>
              </w:rPr>
              <w:t>HJ/T297</w:t>
            </w:r>
            <w:r>
              <w:rPr>
                <w:spacing w:val="-22"/>
              </w:rPr>
              <w:t xml:space="preserve"> </w:t>
            </w:r>
            <w:r>
              <w:rPr>
                <w:spacing w:val="-2"/>
              </w:rPr>
              <w:t>陶瓷砖</w:t>
            </w:r>
          </w:p>
        </w:tc>
      </w:tr>
      <w:tr w14:paraId="2DB907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vMerge w:val="restart"/>
            <w:tcBorders>
              <w:bottom w:val="nil"/>
            </w:tcBorders>
          </w:tcPr>
          <w:p w14:paraId="5B951744">
            <w:pPr>
              <w:pStyle w:val="235"/>
              <w:spacing w:before="95" w:line="183" w:lineRule="auto"/>
              <w:ind w:left="118"/>
              <w:rPr>
                <w:rFonts w:hint="eastAsia"/>
              </w:rPr>
            </w:pPr>
            <w:r>
              <w:rPr>
                <w:spacing w:val="-5"/>
              </w:rPr>
              <w:t>39</w:t>
            </w:r>
          </w:p>
        </w:tc>
        <w:tc>
          <w:tcPr>
            <w:tcW w:w="1343" w:type="dxa"/>
            <w:vMerge w:val="restart"/>
            <w:tcBorders>
              <w:bottom w:val="nil"/>
            </w:tcBorders>
          </w:tcPr>
          <w:p w14:paraId="79BBA339">
            <w:pPr>
              <w:pStyle w:val="235"/>
              <w:spacing w:before="66" w:line="306" w:lineRule="auto"/>
              <w:ind w:left="109" w:right="108" w:hanging="7"/>
              <w:rPr>
                <w:rFonts w:hint="eastAsia"/>
              </w:rPr>
            </w:pPr>
            <w:r>
              <w:rPr>
                <w:spacing w:val="-1"/>
              </w:rPr>
              <w:t>A100309</w:t>
            </w:r>
            <w:r>
              <w:rPr>
                <w:spacing w:val="34"/>
                <w:w w:val="101"/>
              </w:rPr>
              <w:t xml:space="preserve"> </w:t>
            </w:r>
            <w:r>
              <w:rPr>
                <w:spacing w:val="-1"/>
              </w:rPr>
              <w:t>建筑</w:t>
            </w:r>
            <w:r>
              <w:rPr>
                <w:spacing w:val="-51"/>
              </w:rPr>
              <w:t xml:space="preserve"> </w:t>
            </w:r>
            <w:r>
              <w:rPr>
                <w:spacing w:val="-1"/>
              </w:rPr>
              <w:t>防</w:t>
            </w:r>
            <w:r>
              <w:t xml:space="preserve"> </w:t>
            </w:r>
            <w:r>
              <w:rPr>
                <w:spacing w:val="-2"/>
              </w:rPr>
              <w:t>水卷材及制品</w:t>
            </w:r>
          </w:p>
        </w:tc>
        <w:tc>
          <w:tcPr>
            <w:tcW w:w="2324" w:type="dxa"/>
          </w:tcPr>
          <w:p w14:paraId="7CA2E97C">
            <w:pPr>
              <w:pStyle w:val="235"/>
              <w:spacing w:before="66" w:line="283" w:lineRule="auto"/>
              <w:ind w:left="110" w:right="107" w:hanging="7"/>
              <w:rPr>
                <w:rFonts w:hint="eastAsia"/>
              </w:rPr>
            </w:pPr>
            <w:r>
              <w:rPr>
                <w:spacing w:val="-1"/>
              </w:rPr>
              <w:t>A10030901</w:t>
            </w:r>
            <w:r>
              <w:rPr>
                <w:spacing w:val="-47"/>
              </w:rPr>
              <w:t xml:space="preserve"> </w:t>
            </w:r>
            <w:r>
              <w:rPr>
                <w:spacing w:val="-1"/>
              </w:rPr>
              <w:t>沥青和改性沥青防水</w:t>
            </w:r>
            <w:r>
              <w:t xml:space="preserve"> </w:t>
            </w:r>
            <w:r>
              <w:rPr>
                <w:spacing w:val="-3"/>
              </w:rPr>
              <w:t>卷材</w:t>
            </w:r>
          </w:p>
        </w:tc>
        <w:tc>
          <w:tcPr>
            <w:tcW w:w="1956" w:type="dxa"/>
          </w:tcPr>
          <w:p w14:paraId="13C1E4E4">
            <w:pPr>
              <w:rPr>
                <w:rFonts w:ascii="Arial"/>
              </w:rPr>
            </w:pPr>
          </w:p>
        </w:tc>
        <w:tc>
          <w:tcPr>
            <w:tcW w:w="3081" w:type="dxa"/>
          </w:tcPr>
          <w:p w14:paraId="5D483ECC">
            <w:pPr>
              <w:pStyle w:val="235"/>
              <w:spacing w:before="66" w:line="219" w:lineRule="auto"/>
              <w:ind w:left="109"/>
              <w:rPr>
                <w:rFonts w:hint="eastAsia"/>
              </w:rPr>
            </w:pPr>
            <w:r>
              <w:rPr>
                <w:spacing w:val="-2"/>
              </w:rPr>
              <w:t>HJ455</w:t>
            </w:r>
            <w:r>
              <w:rPr>
                <w:spacing w:val="-25"/>
              </w:rPr>
              <w:t xml:space="preserve"> </w:t>
            </w:r>
            <w:r>
              <w:rPr>
                <w:spacing w:val="-2"/>
              </w:rPr>
              <w:t>防水卷材</w:t>
            </w:r>
          </w:p>
        </w:tc>
      </w:tr>
      <w:tr w14:paraId="636BE4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14:paraId="050BD827">
            <w:pPr>
              <w:rPr>
                <w:rFonts w:ascii="Arial"/>
              </w:rPr>
            </w:pPr>
          </w:p>
        </w:tc>
        <w:tc>
          <w:tcPr>
            <w:tcW w:w="1343" w:type="dxa"/>
            <w:vMerge w:val="continue"/>
            <w:tcBorders>
              <w:top w:val="nil"/>
              <w:bottom w:val="nil"/>
            </w:tcBorders>
          </w:tcPr>
          <w:p w14:paraId="7A5A010B">
            <w:pPr>
              <w:rPr>
                <w:rFonts w:ascii="Arial"/>
              </w:rPr>
            </w:pPr>
          </w:p>
        </w:tc>
        <w:tc>
          <w:tcPr>
            <w:tcW w:w="2324" w:type="dxa"/>
          </w:tcPr>
          <w:p w14:paraId="723605AB">
            <w:pPr>
              <w:pStyle w:val="235"/>
              <w:spacing w:before="67" w:line="219" w:lineRule="auto"/>
              <w:ind w:left="103"/>
              <w:rPr>
                <w:rFonts w:hint="eastAsia"/>
              </w:rPr>
            </w:pPr>
            <w:r>
              <w:rPr>
                <w:spacing w:val="-2"/>
              </w:rPr>
              <w:t>A10030903</w:t>
            </w:r>
            <w:r>
              <w:rPr>
                <w:spacing w:val="36"/>
              </w:rPr>
              <w:t xml:space="preserve"> </w:t>
            </w:r>
            <w:r>
              <w:rPr>
                <w:spacing w:val="-2"/>
              </w:rPr>
              <w:t>自粘防水卷材</w:t>
            </w:r>
          </w:p>
        </w:tc>
        <w:tc>
          <w:tcPr>
            <w:tcW w:w="1956" w:type="dxa"/>
          </w:tcPr>
          <w:p w14:paraId="45EA1DBC">
            <w:pPr>
              <w:rPr>
                <w:rFonts w:ascii="Arial"/>
              </w:rPr>
            </w:pPr>
          </w:p>
        </w:tc>
        <w:tc>
          <w:tcPr>
            <w:tcW w:w="3081" w:type="dxa"/>
          </w:tcPr>
          <w:p w14:paraId="4FA94787">
            <w:pPr>
              <w:pStyle w:val="235"/>
              <w:spacing w:before="66" w:line="219" w:lineRule="auto"/>
              <w:ind w:left="109"/>
              <w:rPr>
                <w:rFonts w:hint="eastAsia"/>
              </w:rPr>
            </w:pPr>
            <w:r>
              <w:rPr>
                <w:spacing w:val="-2"/>
              </w:rPr>
              <w:t>HJ455</w:t>
            </w:r>
            <w:r>
              <w:rPr>
                <w:spacing w:val="-25"/>
              </w:rPr>
              <w:t xml:space="preserve"> </w:t>
            </w:r>
            <w:r>
              <w:rPr>
                <w:spacing w:val="-2"/>
              </w:rPr>
              <w:t>防水卷材</w:t>
            </w:r>
          </w:p>
        </w:tc>
      </w:tr>
      <w:tr w14:paraId="5A9374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vMerge w:val="continue"/>
            <w:tcBorders>
              <w:top w:val="nil"/>
            </w:tcBorders>
          </w:tcPr>
          <w:p w14:paraId="6F58E635">
            <w:pPr>
              <w:rPr>
                <w:rFonts w:ascii="Arial"/>
              </w:rPr>
            </w:pPr>
          </w:p>
        </w:tc>
        <w:tc>
          <w:tcPr>
            <w:tcW w:w="1343" w:type="dxa"/>
            <w:vMerge w:val="continue"/>
            <w:tcBorders>
              <w:top w:val="nil"/>
            </w:tcBorders>
          </w:tcPr>
          <w:p w14:paraId="27812259">
            <w:pPr>
              <w:rPr>
                <w:rFonts w:ascii="Arial"/>
              </w:rPr>
            </w:pPr>
          </w:p>
        </w:tc>
        <w:tc>
          <w:tcPr>
            <w:tcW w:w="2324" w:type="dxa"/>
          </w:tcPr>
          <w:p w14:paraId="539A7DAD">
            <w:pPr>
              <w:pStyle w:val="235"/>
              <w:spacing w:before="66" w:line="283" w:lineRule="auto"/>
              <w:ind w:left="108" w:right="102" w:hanging="5"/>
              <w:rPr>
                <w:rFonts w:hint="eastAsia"/>
              </w:rPr>
            </w:pPr>
            <w:r>
              <w:rPr>
                <w:spacing w:val="-2"/>
              </w:rPr>
              <w:t>A10030906</w:t>
            </w:r>
            <w:r>
              <w:rPr>
                <w:spacing w:val="-24"/>
              </w:rPr>
              <w:t xml:space="preserve"> </w:t>
            </w:r>
            <w:r>
              <w:rPr>
                <w:spacing w:val="-2"/>
              </w:rPr>
              <w:t>高分子防水卷（片）</w:t>
            </w:r>
            <w:r>
              <w:t xml:space="preserve"> 材</w:t>
            </w:r>
          </w:p>
        </w:tc>
        <w:tc>
          <w:tcPr>
            <w:tcW w:w="1956" w:type="dxa"/>
          </w:tcPr>
          <w:p w14:paraId="1F40FE6C">
            <w:pPr>
              <w:rPr>
                <w:rFonts w:ascii="Arial"/>
              </w:rPr>
            </w:pPr>
          </w:p>
        </w:tc>
        <w:tc>
          <w:tcPr>
            <w:tcW w:w="3081" w:type="dxa"/>
          </w:tcPr>
          <w:p w14:paraId="7387703F">
            <w:pPr>
              <w:pStyle w:val="235"/>
              <w:spacing w:before="66" w:line="219" w:lineRule="auto"/>
              <w:ind w:left="109"/>
              <w:rPr>
                <w:rFonts w:hint="eastAsia"/>
              </w:rPr>
            </w:pPr>
            <w:r>
              <w:rPr>
                <w:spacing w:val="-2"/>
              </w:rPr>
              <w:t>HJ455</w:t>
            </w:r>
            <w:r>
              <w:rPr>
                <w:spacing w:val="-25"/>
              </w:rPr>
              <w:t xml:space="preserve"> </w:t>
            </w:r>
            <w:r>
              <w:rPr>
                <w:spacing w:val="-2"/>
              </w:rPr>
              <w:t>防水卷材</w:t>
            </w:r>
          </w:p>
        </w:tc>
      </w:tr>
      <w:tr w14:paraId="4FBE5F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vMerge w:val="restart"/>
            <w:tcBorders>
              <w:bottom w:val="nil"/>
            </w:tcBorders>
          </w:tcPr>
          <w:p w14:paraId="27645A6F">
            <w:pPr>
              <w:pStyle w:val="235"/>
              <w:spacing w:before="95" w:line="183" w:lineRule="auto"/>
              <w:ind w:left="114"/>
              <w:rPr>
                <w:rFonts w:hint="eastAsia"/>
              </w:rPr>
            </w:pPr>
            <w:r>
              <w:rPr>
                <w:spacing w:val="-3"/>
              </w:rPr>
              <w:t>40</w:t>
            </w:r>
          </w:p>
        </w:tc>
        <w:tc>
          <w:tcPr>
            <w:tcW w:w="1343" w:type="dxa"/>
            <w:vMerge w:val="restart"/>
            <w:tcBorders>
              <w:bottom w:val="nil"/>
            </w:tcBorders>
          </w:tcPr>
          <w:p w14:paraId="4F27F23D">
            <w:pPr>
              <w:pStyle w:val="235"/>
              <w:spacing w:before="68" w:line="311" w:lineRule="auto"/>
              <w:ind w:left="106" w:right="106" w:hanging="4"/>
              <w:rPr>
                <w:rFonts w:hint="eastAsia"/>
              </w:rPr>
            </w:pPr>
            <w:r>
              <w:rPr>
                <w:spacing w:val="-8"/>
              </w:rPr>
              <w:t>A100310</w:t>
            </w:r>
            <w:r>
              <w:rPr>
                <w:spacing w:val="-25"/>
              </w:rPr>
              <w:t xml:space="preserve"> </w:t>
            </w:r>
            <w:r>
              <w:rPr>
                <w:spacing w:val="-8"/>
              </w:rPr>
              <w:t>隔热、隔</w:t>
            </w:r>
            <w:r>
              <w:t xml:space="preserve"> </w:t>
            </w:r>
            <w:r>
              <w:rPr>
                <w:spacing w:val="9"/>
              </w:rPr>
              <w:t>音人造矿物材料</w:t>
            </w:r>
            <w:r>
              <w:rPr>
                <w:spacing w:val="-2"/>
              </w:rPr>
              <w:t>及其制品</w:t>
            </w:r>
          </w:p>
        </w:tc>
        <w:tc>
          <w:tcPr>
            <w:tcW w:w="2324" w:type="dxa"/>
          </w:tcPr>
          <w:p w14:paraId="019956A7">
            <w:pPr>
              <w:pStyle w:val="235"/>
              <w:spacing w:before="68" w:line="282" w:lineRule="auto"/>
              <w:ind w:left="108" w:right="107" w:hanging="5"/>
              <w:rPr>
                <w:rFonts w:hint="eastAsia"/>
                <w:lang w:eastAsia="zh-CN"/>
              </w:rPr>
            </w:pPr>
            <w:r>
              <w:rPr>
                <w:spacing w:val="6"/>
                <w:lang w:eastAsia="zh-CN"/>
              </w:rPr>
              <w:t>A10031001 矿物绝热和吸声材</w:t>
            </w:r>
            <w:r>
              <w:rPr>
                <w:spacing w:val="7"/>
                <w:lang w:eastAsia="zh-CN"/>
              </w:rPr>
              <w:t xml:space="preserve"> </w:t>
            </w:r>
            <w:r>
              <w:rPr>
                <w:lang w:eastAsia="zh-CN"/>
              </w:rPr>
              <w:t>料</w:t>
            </w:r>
          </w:p>
        </w:tc>
        <w:tc>
          <w:tcPr>
            <w:tcW w:w="1956" w:type="dxa"/>
          </w:tcPr>
          <w:p w14:paraId="0E76CD94">
            <w:pPr>
              <w:rPr>
                <w:rFonts w:ascii="Arial"/>
              </w:rPr>
            </w:pPr>
          </w:p>
        </w:tc>
        <w:tc>
          <w:tcPr>
            <w:tcW w:w="3081" w:type="dxa"/>
          </w:tcPr>
          <w:p w14:paraId="3D10590B">
            <w:pPr>
              <w:pStyle w:val="235"/>
              <w:spacing w:before="67" w:line="219" w:lineRule="auto"/>
              <w:ind w:left="109"/>
              <w:rPr>
                <w:rFonts w:hint="eastAsia"/>
              </w:rPr>
            </w:pPr>
            <w:r>
              <w:rPr>
                <w:spacing w:val="-1"/>
              </w:rPr>
              <w:t>HJ/T223</w:t>
            </w:r>
            <w:r>
              <w:rPr>
                <w:spacing w:val="-33"/>
              </w:rPr>
              <w:t xml:space="preserve"> </w:t>
            </w:r>
            <w:r>
              <w:rPr>
                <w:spacing w:val="-1"/>
              </w:rPr>
              <w:t>轻质墙体板材</w:t>
            </w:r>
          </w:p>
        </w:tc>
      </w:tr>
      <w:tr w14:paraId="08BA63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14:paraId="046831F0">
            <w:pPr>
              <w:rPr>
                <w:rFonts w:ascii="Arial"/>
              </w:rPr>
            </w:pPr>
          </w:p>
        </w:tc>
        <w:tc>
          <w:tcPr>
            <w:tcW w:w="1343" w:type="dxa"/>
            <w:vMerge w:val="continue"/>
            <w:tcBorders>
              <w:top w:val="nil"/>
            </w:tcBorders>
          </w:tcPr>
          <w:p w14:paraId="30E52B32">
            <w:pPr>
              <w:rPr>
                <w:rFonts w:ascii="Arial"/>
              </w:rPr>
            </w:pPr>
          </w:p>
        </w:tc>
        <w:tc>
          <w:tcPr>
            <w:tcW w:w="2324" w:type="dxa"/>
          </w:tcPr>
          <w:p w14:paraId="26C0E433">
            <w:pPr>
              <w:pStyle w:val="235"/>
              <w:spacing w:before="68" w:line="219" w:lineRule="auto"/>
              <w:ind w:left="103"/>
              <w:rPr>
                <w:rFonts w:hint="eastAsia"/>
              </w:rPr>
            </w:pPr>
            <w:r>
              <w:rPr>
                <w:spacing w:val="-1"/>
              </w:rPr>
              <w:t>A10031002</w:t>
            </w:r>
            <w:r>
              <w:rPr>
                <w:spacing w:val="-30"/>
              </w:rPr>
              <w:t xml:space="preserve"> </w:t>
            </w:r>
            <w:r>
              <w:rPr>
                <w:spacing w:val="-1"/>
              </w:rPr>
              <w:t>矿物材料制品</w:t>
            </w:r>
          </w:p>
        </w:tc>
        <w:tc>
          <w:tcPr>
            <w:tcW w:w="1956" w:type="dxa"/>
          </w:tcPr>
          <w:p w14:paraId="06684710">
            <w:pPr>
              <w:rPr>
                <w:rFonts w:ascii="Arial"/>
              </w:rPr>
            </w:pPr>
          </w:p>
        </w:tc>
        <w:tc>
          <w:tcPr>
            <w:tcW w:w="3081" w:type="dxa"/>
          </w:tcPr>
          <w:p w14:paraId="50A215CA">
            <w:pPr>
              <w:pStyle w:val="235"/>
              <w:spacing w:before="67" w:line="219" w:lineRule="auto"/>
              <w:ind w:left="109"/>
              <w:rPr>
                <w:rFonts w:hint="eastAsia"/>
              </w:rPr>
            </w:pPr>
            <w:r>
              <w:rPr>
                <w:spacing w:val="-1"/>
              </w:rPr>
              <w:t>HJ/T223</w:t>
            </w:r>
            <w:r>
              <w:rPr>
                <w:spacing w:val="-33"/>
              </w:rPr>
              <w:t xml:space="preserve"> </w:t>
            </w:r>
            <w:r>
              <w:rPr>
                <w:spacing w:val="-1"/>
              </w:rPr>
              <w:t>轻质墙体板材</w:t>
            </w:r>
          </w:p>
        </w:tc>
      </w:tr>
      <w:tr w14:paraId="352B46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14:paraId="5786722B">
            <w:pPr>
              <w:pStyle w:val="235"/>
              <w:spacing w:before="95" w:line="184" w:lineRule="auto"/>
              <w:ind w:left="114"/>
              <w:rPr>
                <w:rFonts w:hint="eastAsia"/>
              </w:rPr>
            </w:pPr>
            <w:r>
              <w:rPr>
                <w:spacing w:val="-3"/>
              </w:rPr>
              <w:t>41</w:t>
            </w:r>
          </w:p>
        </w:tc>
        <w:tc>
          <w:tcPr>
            <w:tcW w:w="1343" w:type="dxa"/>
          </w:tcPr>
          <w:p w14:paraId="0AAF34CF">
            <w:pPr>
              <w:pStyle w:val="235"/>
              <w:spacing w:before="68" w:line="282" w:lineRule="auto"/>
              <w:ind w:left="109" w:right="108" w:hanging="7"/>
              <w:rPr>
                <w:rFonts w:hint="eastAsia"/>
              </w:rPr>
            </w:pPr>
            <w:r>
              <w:rPr>
                <w:spacing w:val="3"/>
              </w:rPr>
              <w:t>A100601</w:t>
            </w:r>
            <w:r>
              <w:rPr>
                <w:spacing w:val="34"/>
              </w:rPr>
              <w:t xml:space="preserve"> </w:t>
            </w:r>
            <w:r>
              <w:rPr>
                <w:spacing w:val="3"/>
              </w:rPr>
              <w:t>功能性</w:t>
            </w:r>
            <w:r>
              <w:t xml:space="preserve"> </w:t>
            </w:r>
            <w:r>
              <w:rPr>
                <w:spacing w:val="-2"/>
              </w:rPr>
              <w:t>建筑涂料</w:t>
            </w:r>
          </w:p>
        </w:tc>
        <w:tc>
          <w:tcPr>
            <w:tcW w:w="2324" w:type="dxa"/>
          </w:tcPr>
          <w:p w14:paraId="0688B439">
            <w:pPr>
              <w:rPr>
                <w:rFonts w:ascii="Arial"/>
              </w:rPr>
            </w:pPr>
          </w:p>
        </w:tc>
        <w:tc>
          <w:tcPr>
            <w:tcW w:w="1956" w:type="dxa"/>
          </w:tcPr>
          <w:p w14:paraId="31542722">
            <w:pPr>
              <w:rPr>
                <w:rFonts w:ascii="Arial"/>
              </w:rPr>
            </w:pPr>
          </w:p>
        </w:tc>
        <w:tc>
          <w:tcPr>
            <w:tcW w:w="3081" w:type="dxa"/>
          </w:tcPr>
          <w:p w14:paraId="2656AE3A">
            <w:pPr>
              <w:pStyle w:val="235"/>
              <w:spacing w:before="67" w:line="219" w:lineRule="auto"/>
              <w:ind w:left="109"/>
              <w:rPr>
                <w:rFonts w:hint="eastAsia"/>
              </w:rPr>
            </w:pPr>
            <w:r>
              <w:rPr>
                <w:spacing w:val="-1"/>
              </w:rPr>
              <w:t>HJ2537</w:t>
            </w:r>
            <w:r>
              <w:rPr>
                <w:spacing w:val="-34"/>
              </w:rPr>
              <w:t xml:space="preserve"> </w:t>
            </w:r>
            <w:r>
              <w:rPr>
                <w:spacing w:val="-1"/>
              </w:rPr>
              <w:t>水性涂料</w:t>
            </w:r>
          </w:p>
        </w:tc>
      </w:tr>
      <w:tr w14:paraId="32F181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10" w:type="dxa"/>
          </w:tcPr>
          <w:p w14:paraId="41452E6B">
            <w:pPr>
              <w:pStyle w:val="235"/>
              <w:spacing w:before="97" w:line="183" w:lineRule="auto"/>
              <w:ind w:left="114"/>
              <w:rPr>
                <w:rFonts w:hint="eastAsia"/>
              </w:rPr>
            </w:pPr>
            <w:r>
              <w:rPr>
                <w:spacing w:val="-3"/>
              </w:rPr>
              <w:t>42</w:t>
            </w:r>
          </w:p>
        </w:tc>
        <w:tc>
          <w:tcPr>
            <w:tcW w:w="1343" w:type="dxa"/>
          </w:tcPr>
          <w:p w14:paraId="3C5EB2A0">
            <w:pPr>
              <w:pStyle w:val="235"/>
              <w:spacing w:before="69" w:line="284" w:lineRule="auto"/>
              <w:ind w:left="109" w:right="106" w:firstLine="84"/>
              <w:rPr>
                <w:rFonts w:hint="eastAsia"/>
              </w:rPr>
            </w:pPr>
            <w:r>
              <w:rPr>
                <w:spacing w:val="-1"/>
              </w:rPr>
              <w:t>A100399</w:t>
            </w:r>
            <w:r>
              <w:rPr>
                <w:spacing w:val="-15"/>
              </w:rPr>
              <w:t xml:space="preserve"> </w:t>
            </w:r>
            <w:r>
              <w:rPr>
                <w:spacing w:val="-1"/>
              </w:rPr>
              <w:t>其他非</w:t>
            </w:r>
            <w:r>
              <w:t xml:space="preserve"> </w:t>
            </w:r>
            <w:r>
              <w:rPr>
                <w:spacing w:val="-2"/>
              </w:rPr>
              <w:t>金属矿物制品</w:t>
            </w:r>
          </w:p>
        </w:tc>
        <w:tc>
          <w:tcPr>
            <w:tcW w:w="2324" w:type="dxa"/>
          </w:tcPr>
          <w:p w14:paraId="521742B5">
            <w:pPr>
              <w:pStyle w:val="235"/>
              <w:spacing w:before="68" w:line="219" w:lineRule="auto"/>
              <w:ind w:left="103"/>
              <w:rPr>
                <w:rFonts w:hint="eastAsia"/>
              </w:rPr>
            </w:pPr>
            <w:r>
              <w:rPr>
                <w:spacing w:val="-1"/>
              </w:rPr>
              <w:t>A10039901</w:t>
            </w:r>
            <w:r>
              <w:rPr>
                <w:spacing w:val="-45"/>
              </w:rPr>
              <w:t xml:space="preserve"> </w:t>
            </w:r>
            <w:r>
              <w:rPr>
                <w:spacing w:val="-1"/>
              </w:rPr>
              <w:t>其他非金属建筑材料</w:t>
            </w:r>
          </w:p>
        </w:tc>
        <w:tc>
          <w:tcPr>
            <w:tcW w:w="1956" w:type="dxa"/>
          </w:tcPr>
          <w:p w14:paraId="4803702C">
            <w:pPr>
              <w:rPr>
                <w:rFonts w:ascii="Arial"/>
              </w:rPr>
            </w:pPr>
          </w:p>
        </w:tc>
        <w:tc>
          <w:tcPr>
            <w:tcW w:w="3081" w:type="dxa"/>
          </w:tcPr>
          <w:p w14:paraId="0142BEB4">
            <w:pPr>
              <w:pStyle w:val="235"/>
              <w:spacing w:before="68" w:line="219" w:lineRule="auto"/>
              <w:ind w:left="109"/>
              <w:rPr>
                <w:rFonts w:hint="eastAsia"/>
              </w:rPr>
            </w:pPr>
            <w:r>
              <w:rPr>
                <w:spacing w:val="-2"/>
              </w:rPr>
              <w:t>HJ456</w:t>
            </w:r>
            <w:r>
              <w:rPr>
                <w:spacing w:val="-23"/>
              </w:rPr>
              <w:t xml:space="preserve"> </w:t>
            </w:r>
            <w:r>
              <w:rPr>
                <w:spacing w:val="-2"/>
              </w:rPr>
              <w:t>刚性防水材料</w:t>
            </w:r>
          </w:p>
        </w:tc>
      </w:tr>
      <w:tr w14:paraId="3F7F39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10" w:type="dxa"/>
            <w:vMerge w:val="restart"/>
            <w:tcBorders>
              <w:bottom w:val="nil"/>
            </w:tcBorders>
          </w:tcPr>
          <w:p w14:paraId="4E2186C3">
            <w:pPr>
              <w:pStyle w:val="235"/>
              <w:spacing w:before="96" w:line="183" w:lineRule="auto"/>
              <w:ind w:left="114"/>
              <w:rPr>
                <w:rFonts w:hint="eastAsia"/>
              </w:rPr>
            </w:pPr>
            <w:r>
              <w:rPr>
                <w:spacing w:val="-3"/>
              </w:rPr>
              <w:t>43</w:t>
            </w:r>
          </w:p>
        </w:tc>
        <w:tc>
          <w:tcPr>
            <w:tcW w:w="1343" w:type="dxa"/>
            <w:vMerge w:val="restart"/>
            <w:tcBorders>
              <w:bottom w:val="nil"/>
            </w:tcBorders>
          </w:tcPr>
          <w:p w14:paraId="1E3F87BF">
            <w:pPr>
              <w:pStyle w:val="235"/>
              <w:spacing w:before="68" w:line="307" w:lineRule="auto"/>
              <w:ind w:left="107" w:right="108" w:hanging="5"/>
              <w:rPr>
                <w:rFonts w:hint="eastAsia"/>
              </w:rPr>
            </w:pPr>
            <w:r>
              <w:rPr>
                <w:spacing w:val="3"/>
              </w:rPr>
              <w:t>A100602</w:t>
            </w:r>
            <w:r>
              <w:rPr>
                <w:spacing w:val="34"/>
              </w:rPr>
              <w:t xml:space="preserve"> </w:t>
            </w:r>
            <w:r>
              <w:rPr>
                <w:spacing w:val="3"/>
              </w:rPr>
              <w:t>墙面涂</w:t>
            </w:r>
            <w:r>
              <w:t xml:space="preserve"> 料</w:t>
            </w:r>
          </w:p>
        </w:tc>
        <w:tc>
          <w:tcPr>
            <w:tcW w:w="2324" w:type="dxa"/>
          </w:tcPr>
          <w:p w14:paraId="0374AB50">
            <w:pPr>
              <w:pStyle w:val="235"/>
              <w:spacing w:before="69" w:line="284" w:lineRule="auto"/>
              <w:ind w:left="108" w:right="107" w:hanging="5"/>
              <w:rPr>
                <w:rFonts w:hint="eastAsia"/>
              </w:rPr>
            </w:pPr>
            <w:r>
              <w:rPr>
                <w:spacing w:val="-1"/>
              </w:rPr>
              <w:t>A10060202</w:t>
            </w:r>
            <w:r>
              <w:rPr>
                <w:spacing w:val="-47"/>
              </w:rPr>
              <w:t xml:space="preserve"> </w:t>
            </w:r>
            <w:r>
              <w:rPr>
                <w:spacing w:val="-1"/>
              </w:rPr>
              <w:t>合成树脂乳液内墙涂</w:t>
            </w:r>
            <w:r>
              <w:t xml:space="preserve"> 料</w:t>
            </w:r>
          </w:p>
        </w:tc>
        <w:tc>
          <w:tcPr>
            <w:tcW w:w="1956" w:type="dxa"/>
          </w:tcPr>
          <w:p w14:paraId="75206C83">
            <w:pPr>
              <w:rPr>
                <w:rFonts w:ascii="Arial"/>
              </w:rPr>
            </w:pPr>
          </w:p>
        </w:tc>
        <w:tc>
          <w:tcPr>
            <w:tcW w:w="3081" w:type="dxa"/>
          </w:tcPr>
          <w:p w14:paraId="30789EBD">
            <w:pPr>
              <w:pStyle w:val="235"/>
              <w:spacing w:before="67" w:line="219" w:lineRule="auto"/>
              <w:ind w:left="109"/>
              <w:rPr>
                <w:rFonts w:hint="eastAsia"/>
              </w:rPr>
            </w:pPr>
            <w:r>
              <w:rPr>
                <w:spacing w:val="-1"/>
              </w:rPr>
              <w:t>HJ2537</w:t>
            </w:r>
            <w:r>
              <w:rPr>
                <w:spacing w:val="-34"/>
              </w:rPr>
              <w:t xml:space="preserve"> </w:t>
            </w:r>
            <w:r>
              <w:rPr>
                <w:spacing w:val="-1"/>
              </w:rPr>
              <w:t>水性涂料</w:t>
            </w:r>
          </w:p>
        </w:tc>
      </w:tr>
      <w:tr w14:paraId="3AA5B1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vMerge w:val="continue"/>
            <w:tcBorders>
              <w:top w:val="nil"/>
              <w:bottom w:val="nil"/>
            </w:tcBorders>
          </w:tcPr>
          <w:p w14:paraId="7A90B259">
            <w:pPr>
              <w:rPr>
                <w:rFonts w:ascii="Arial"/>
              </w:rPr>
            </w:pPr>
          </w:p>
        </w:tc>
        <w:tc>
          <w:tcPr>
            <w:tcW w:w="1343" w:type="dxa"/>
            <w:vMerge w:val="continue"/>
            <w:tcBorders>
              <w:top w:val="nil"/>
              <w:bottom w:val="nil"/>
            </w:tcBorders>
          </w:tcPr>
          <w:p w14:paraId="7FF42B5B">
            <w:pPr>
              <w:rPr>
                <w:rFonts w:ascii="Arial"/>
              </w:rPr>
            </w:pPr>
          </w:p>
        </w:tc>
        <w:tc>
          <w:tcPr>
            <w:tcW w:w="2324" w:type="dxa"/>
          </w:tcPr>
          <w:p w14:paraId="50EB198F">
            <w:pPr>
              <w:pStyle w:val="235"/>
              <w:spacing w:before="64" w:line="284" w:lineRule="auto"/>
              <w:ind w:left="108" w:right="107" w:hanging="5"/>
              <w:rPr>
                <w:rFonts w:hint="eastAsia"/>
              </w:rPr>
            </w:pPr>
            <w:r>
              <w:rPr>
                <w:spacing w:val="-1"/>
              </w:rPr>
              <w:t>A10060203</w:t>
            </w:r>
            <w:r>
              <w:rPr>
                <w:spacing w:val="-47"/>
              </w:rPr>
              <w:t xml:space="preserve"> </w:t>
            </w:r>
            <w:r>
              <w:rPr>
                <w:spacing w:val="-1"/>
              </w:rPr>
              <w:t>合成树脂乳液外墙涂</w:t>
            </w:r>
            <w:r>
              <w:t xml:space="preserve"> 料</w:t>
            </w:r>
          </w:p>
        </w:tc>
        <w:tc>
          <w:tcPr>
            <w:tcW w:w="1956" w:type="dxa"/>
          </w:tcPr>
          <w:p w14:paraId="25D01DF8">
            <w:pPr>
              <w:rPr>
                <w:rFonts w:ascii="Arial"/>
              </w:rPr>
            </w:pPr>
          </w:p>
        </w:tc>
        <w:tc>
          <w:tcPr>
            <w:tcW w:w="3081" w:type="dxa"/>
          </w:tcPr>
          <w:p w14:paraId="10B887E2">
            <w:pPr>
              <w:pStyle w:val="235"/>
              <w:spacing w:before="63" w:line="219" w:lineRule="auto"/>
              <w:ind w:left="109"/>
              <w:rPr>
                <w:rFonts w:hint="eastAsia"/>
              </w:rPr>
            </w:pPr>
            <w:r>
              <w:rPr>
                <w:spacing w:val="-1"/>
              </w:rPr>
              <w:t>HJ2537</w:t>
            </w:r>
            <w:r>
              <w:rPr>
                <w:spacing w:val="-34"/>
              </w:rPr>
              <w:t xml:space="preserve"> </w:t>
            </w:r>
            <w:r>
              <w:rPr>
                <w:spacing w:val="-1"/>
              </w:rPr>
              <w:t>水性涂料</w:t>
            </w:r>
          </w:p>
        </w:tc>
      </w:tr>
      <w:tr w14:paraId="58BAD3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10" w:type="dxa"/>
            <w:vMerge w:val="continue"/>
            <w:tcBorders>
              <w:top w:val="nil"/>
            </w:tcBorders>
          </w:tcPr>
          <w:p w14:paraId="121E1664">
            <w:pPr>
              <w:rPr>
                <w:rFonts w:ascii="Arial"/>
              </w:rPr>
            </w:pPr>
          </w:p>
        </w:tc>
        <w:tc>
          <w:tcPr>
            <w:tcW w:w="1343" w:type="dxa"/>
            <w:vMerge w:val="continue"/>
            <w:tcBorders>
              <w:top w:val="nil"/>
            </w:tcBorders>
          </w:tcPr>
          <w:p w14:paraId="66907840">
            <w:pPr>
              <w:rPr>
                <w:rFonts w:ascii="Arial"/>
              </w:rPr>
            </w:pPr>
          </w:p>
        </w:tc>
        <w:tc>
          <w:tcPr>
            <w:tcW w:w="2324" w:type="dxa"/>
          </w:tcPr>
          <w:p w14:paraId="79135146">
            <w:pPr>
              <w:pStyle w:val="235"/>
              <w:spacing w:before="64" w:line="221" w:lineRule="auto"/>
              <w:ind w:left="103"/>
              <w:rPr>
                <w:rFonts w:hint="eastAsia"/>
              </w:rPr>
            </w:pPr>
            <w:r>
              <w:rPr>
                <w:spacing w:val="-1"/>
              </w:rPr>
              <w:t>A10060299</w:t>
            </w:r>
            <w:r>
              <w:rPr>
                <w:spacing w:val="-30"/>
              </w:rPr>
              <w:t xml:space="preserve"> </w:t>
            </w:r>
            <w:r>
              <w:rPr>
                <w:spacing w:val="-1"/>
              </w:rPr>
              <w:t>其他墙面涂料</w:t>
            </w:r>
          </w:p>
        </w:tc>
        <w:tc>
          <w:tcPr>
            <w:tcW w:w="1956" w:type="dxa"/>
          </w:tcPr>
          <w:p w14:paraId="02E2759E">
            <w:pPr>
              <w:rPr>
                <w:rFonts w:ascii="Arial"/>
              </w:rPr>
            </w:pPr>
          </w:p>
        </w:tc>
        <w:tc>
          <w:tcPr>
            <w:tcW w:w="3081" w:type="dxa"/>
          </w:tcPr>
          <w:p w14:paraId="7C429586">
            <w:pPr>
              <w:pStyle w:val="235"/>
              <w:spacing w:before="64" w:line="219" w:lineRule="auto"/>
              <w:ind w:left="109"/>
              <w:rPr>
                <w:rFonts w:hint="eastAsia"/>
              </w:rPr>
            </w:pPr>
            <w:r>
              <w:rPr>
                <w:spacing w:val="-1"/>
              </w:rPr>
              <w:t>HJ2537</w:t>
            </w:r>
            <w:r>
              <w:rPr>
                <w:spacing w:val="-34"/>
              </w:rPr>
              <w:t xml:space="preserve"> </w:t>
            </w:r>
            <w:r>
              <w:rPr>
                <w:spacing w:val="-1"/>
              </w:rPr>
              <w:t>水性涂料</w:t>
            </w:r>
          </w:p>
        </w:tc>
      </w:tr>
      <w:tr w14:paraId="4DCB80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14:paraId="6E76B13B">
            <w:pPr>
              <w:pStyle w:val="235"/>
              <w:spacing w:before="93" w:line="183" w:lineRule="auto"/>
              <w:ind w:left="114"/>
              <w:rPr>
                <w:rFonts w:hint="eastAsia"/>
              </w:rPr>
            </w:pPr>
            <w:r>
              <w:rPr>
                <w:spacing w:val="-3"/>
              </w:rPr>
              <w:t>44</w:t>
            </w:r>
          </w:p>
        </w:tc>
        <w:tc>
          <w:tcPr>
            <w:tcW w:w="1343" w:type="dxa"/>
          </w:tcPr>
          <w:p w14:paraId="4E05033F">
            <w:pPr>
              <w:pStyle w:val="235"/>
              <w:spacing w:before="66" w:line="283" w:lineRule="auto"/>
              <w:ind w:left="107" w:right="108" w:hanging="5"/>
              <w:rPr>
                <w:rFonts w:hint="eastAsia"/>
              </w:rPr>
            </w:pPr>
            <w:r>
              <w:rPr>
                <w:spacing w:val="2"/>
              </w:rPr>
              <w:t>A100604</w:t>
            </w:r>
            <w:r>
              <w:rPr>
                <w:spacing w:val="44"/>
              </w:rPr>
              <w:t xml:space="preserve"> </w:t>
            </w:r>
            <w:r>
              <w:rPr>
                <w:spacing w:val="2"/>
              </w:rPr>
              <w:t>防水涂</w:t>
            </w:r>
            <w:r>
              <w:t xml:space="preserve"> 料</w:t>
            </w:r>
          </w:p>
        </w:tc>
        <w:tc>
          <w:tcPr>
            <w:tcW w:w="2324" w:type="dxa"/>
          </w:tcPr>
          <w:p w14:paraId="167E7AD4">
            <w:pPr>
              <w:pStyle w:val="235"/>
              <w:spacing w:before="65" w:line="220" w:lineRule="auto"/>
              <w:ind w:left="103"/>
              <w:rPr>
                <w:rFonts w:hint="eastAsia"/>
              </w:rPr>
            </w:pPr>
            <w:r>
              <w:rPr>
                <w:spacing w:val="-1"/>
              </w:rPr>
              <w:t>A10060499</w:t>
            </w:r>
            <w:r>
              <w:rPr>
                <w:spacing w:val="-30"/>
              </w:rPr>
              <w:t xml:space="preserve"> </w:t>
            </w:r>
            <w:r>
              <w:rPr>
                <w:spacing w:val="-1"/>
              </w:rPr>
              <w:t>其他防水涂料</w:t>
            </w:r>
          </w:p>
        </w:tc>
        <w:tc>
          <w:tcPr>
            <w:tcW w:w="1956" w:type="dxa"/>
          </w:tcPr>
          <w:p w14:paraId="1F62B752">
            <w:pPr>
              <w:rPr>
                <w:rFonts w:ascii="Arial"/>
              </w:rPr>
            </w:pPr>
          </w:p>
        </w:tc>
        <w:tc>
          <w:tcPr>
            <w:tcW w:w="3081" w:type="dxa"/>
          </w:tcPr>
          <w:p w14:paraId="1A8B4430">
            <w:pPr>
              <w:pStyle w:val="235"/>
              <w:spacing w:before="65" w:line="219" w:lineRule="auto"/>
              <w:ind w:left="109"/>
              <w:rPr>
                <w:rFonts w:hint="eastAsia"/>
              </w:rPr>
            </w:pPr>
            <w:r>
              <w:rPr>
                <w:spacing w:val="-1"/>
              </w:rPr>
              <w:t>HJ2537</w:t>
            </w:r>
            <w:r>
              <w:rPr>
                <w:spacing w:val="-34"/>
              </w:rPr>
              <w:t xml:space="preserve"> </w:t>
            </w:r>
            <w:r>
              <w:rPr>
                <w:spacing w:val="-1"/>
              </w:rPr>
              <w:t>水性涂料</w:t>
            </w:r>
          </w:p>
        </w:tc>
      </w:tr>
      <w:tr w14:paraId="35A714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14:paraId="4F77A083">
            <w:pPr>
              <w:pStyle w:val="235"/>
              <w:spacing w:before="94" w:line="183" w:lineRule="auto"/>
              <w:ind w:left="114"/>
              <w:rPr>
                <w:rFonts w:hint="eastAsia"/>
              </w:rPr>
            </w:pPr>
            <w:r>
              <w:rPr>
                <w:spacing w:val="-3"/>
              </w:rPr>
              <w:t>45</w:t>
            </w:r>
          </w:p>
        </w:tc>
        <w:tc>
          <w:tcPr>
            <w:tcW w:w="1343" w:type="dxa"/>
          </w:tcPr>
          <w:p w14:paraId="3E8C9486">
            <w:pPr>
              <w:pStyle w:val="235"/>
              <w:spacing w:before="66" w:line="283" w:lineRule="auto"/>
              <w:ind w:left="109" w:right="108" w:hanging="7"/>
              <w:rPr>
                <w:rFonts w:hint="eastAsia"/>
              </w:rPr>
            </w:pPr>
            <w:r>
              <w:rPr>
                <w:spacing w:val="3"/>
              </w:rPr>
              <w:t>A100699</w:t>
            </w:r>
            <w:r>
              <w:rPr>
                <w:spacing w:val="34"/>
              </w:rPr>
              <w:t xml:space="preserve"> </w:t>
            </w:r>
            <w:r>
              <w:rPr>
                <w:spacing w:val="3"/>
              </w:rPr>
              <w:t>其他建</w:t>
            </w:r>
            <w:r>
              <w:rPr>
                <w:spacing w:val="-2"/>
              </w:rPr>
              <w:t>筑涂料</w:t>
            </w:r>
          </w:p>
        </w:tc>
        <w:tc>
          <w:tcPr>
            <w:tcW w:w="2324" w:type="dxa"/>
          </w:tcPr>
          <w:p w14:paraId="10BD2116">
            <w:pPr>
              <w:rPr>
                <w:rFonts w:ascii="Arial"/>
              </w:rPr>
            </w:pPr>
          </w:p>
        </w:tc>
        <w:tc>
          <w:tcPr>
            <w:tcW w:w="1956" w:type="dxa"/>
          </w:tcPr>
          <w:p w14:paraId="79154D7B">
            <w:pPr>
              <w:rPr>
                <w:rFonts w:ascii="Arial"/>
              </w:rPr>
            </w:pPr>
          </w:p>
        </w:tc>
        <w:tc>
          <w:tcPr>
            <w:tcW w:w="3081" w:type="dxa"/>
          </w:tcPr>
          <w:p w14:paraId="17951FAD">
            <w:pPr>
              <w:pStyle w:val="235"/>
              <w:spacing w:before="65" w:line="219" w:lineRule="auto"/>
              <w:ind w:left="109"/>
              <w:rPr>
                <w:rFonts w:hint="eastAsia"/>
              </w:rPr>
            </w:pPr>
            <w:r>
              <w:rPr>
                <w:spacing w:val="-1"/>
              </w:rPr>
              <w:t>HJ2537</w:t>
            </w:r>
            <w:r>
              <w:rPr>
                <w:spacing w:val="-34"/>
              </w:rPr>
              <w:t xml:space="preserve"> </w:t>
            </w:r>
            <w:r>
              <w:rPr>
                <w:spacing w:val="-1"/>
              </w:rPr>
              <w:t>水性涂料</w:t>
            </w:r>
          </w:p>
        </w:tc>
      </w:tr>
      <w:tr w14:paraId="7CD8CF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510" w:type="dxa"/>
          </w:tcPr>
          <w:p w14:paraId="48B0060D">
            <w:pPr>
              <w:pStyle w:val="235"/>
              <w:spacing w:before="95" w:line="183" w:lineRule="auto"/>
              <w:ind w:left="114"/>
              <w:rPr>
                <w:rFonts w:hint="eastAsia"/>
              </w:rPr>
            </w:pPr>
            <w:r>
              <w:rPr>
                <w:spacing w:val="-3"/>
              </w:rPr>
              <w:t>46</w:t>
            </w:r>
          </w:p>
        </w:tc>
        <w:tc>
          <w:tcPr>
            <w:tcW w:w="1343" w:type="dxa"/>
          </w:tcPr>
          <w:p w14:paraId="4F78F94D">
            <w:pPr>
              <w:pStyle w:val="235"/>
              <w:spacing w:before="66" w:line="222" w:lineRule="auto"/>
              <w:ind w:left="102"/>
              <w:rPr>
                <w:rFonts w:hint="eastAsia"/>
              </w:rPr>
            </w:pPr>
            <w:r>
              <w:rPr>
                <w:spacing w:val="-8"/>
              </w:rPr>
              <w:t>A100701</w:t>
            </w:r>
            <w:r>
              <w:rPr>
                <w:spacing w:val="-12"/>
              </w:rPr>
              <w:t xml:space="preserve"> </w:t>
            </w:r>
            <w:r>
              <w:rPr>
                <w:spacing w:val="-8"/>
              </w:rPr>
              <w:t>门、门槛</w:t>
            </w:r>
          </w:p>
        </w:tc>
        <w:tc>
          <w:tcPr>
            <w:tcW w:w="2324" w:type="dxa"/>
          </w:tcPr>
          <w:p w14:paraId="44130AF3">
            <w:pPr>
              <w:rPr>
                <w:rFonts w:ascii="Arial"/>
              </w:rPr>
            </w:pPr>
          </w:p>
        </w:tc>
        <w:tc>
          <w:tcPr>
            <w:tcW w:w="1956" w:type="dxa"/>
          </w:tcPr>
          <w:p w14:paraId="7C068CFC">
            <w:pPr>
              <w:rPr>
                <w:rFonts w:ascii="Arial"/>
              </w:rPr>
            </w:pPr>
          </w:p>
        </w:tc>
        <w:tc>
          <w:tcPr>
            <w:tcW w:w="3081" w:type="dxa"/>
          </w:tcPr>
          <w:p w14:paraId="5FF1B9F3">
            <w:pPr>
              <w:pStyle w:val="235"/>
              <w:spacing w:before="66" w:line="219" w:lineRule="auto"/>
              <w:ind w:left="109"/>
              <w:rPr>
                <w:rFonts w:hint="eastAsia"/>
                <w:lang w:eastAsia="zh-CN"/>
              </w:rPr>
            </w:pPr>
            <w:r>
              <w:rPr>
                <w:spacing w:val="-1"/>
                <w:lang w:eastAsia="zh-CN"/>
              </w:rPr>
              <w:t>HJ/T 237</w:t>
            </w:r>
            <w:r>
              <w:rPr>
                <w:spacing w:val="-32"/>
                <w:lang w:eastAsia="zh-CN"/>
              </w:rPr>
              <w:t xml:space="preserve"> </w:t>
            </w:r>
            <w:r>
              <w:rPr>
                <w:spacing w:val="-1"/>
                <w:lang w:eastAsia="zh-CN"/>
              </w:rPr>
              <w:t>塑料门窗/HJ459</w:t>
            </w:r>
            <w:r>
              <w:rPr>
                <w:spacing w:val="-37"/>
                <w:lang w:eastAsia="zh-CN"/>
              </w:rPr>
              <w:t xml:space="preserve"> </w:t>
            </w:r>
            <w:r>
              <w:rPr>
                <w:spacing w:val="-1"/>
                <w:lang w:eastAsia="zh-CN"/>
              </w:rPr>
              <w:t>木</w:t>
            </w:r>
            <w:r>
              <w:rPr>
                <w:spacing w:val="-2"/>
                <w:lang w:eastAsia="zh-CN"/>
              </w:rPr>
              <w:t>质门和钢质门</w:t>
            </w:r>
          </w:p>
        </w:tc>
      </w:tr>
      <w:tr w14:paraId="5A610A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tcPr>
          <w:p w14:paraId="422674C7">
            <w:pPr>
              <w:pStyle w:val="235"/>
              <w:spacing w:before="95" w:line="183" w:lineRule="auto"/>
              <w:ind w:left="114"/>
              <w:rPr>
                <w:rFonts w:hint="eastAsia"/>
              </w:rPr>
            </w:pPr>
            <w:r>
              <w:rPr>
                <w:spacing w:val="-3"/>
              </w:rPr>
              <w:t>47</w:t>
            </w:r>
          </w:p>
        </w:tc>
        <w:tc>
          <w:tcPr>
            <w:tcW w:w="1343" w:type="dxa"/>
          </w:tcPr>
          <w:p w14:paraId="3C131AB5">
            <w:pPr>
              <w:pStyle w:val="235"/>
              <w:spacing w:before="66" w:line="221" w:lineRule="auto"/>
              <w:ind w:left="102"/>
              <w:rPr>
                <w:rFonts w:hint="eastAsia"/>
              </w:rPr>
            </w:pPr>
            <w:r>
              <w:rPr>
                <w:spacing w:val="-1"/>
              </w:rPr>
              <w:t>A100702</w:t>
            </w:r>
            <w:r>
              <w:rPr>
                <w:spacing w:val="-24"/>
              </w:rPr>
              <w:t xml:space="preserve"> </w:t>
            </w:r>
            <w:r>
              <w:rPr>
                <w:spacing w:val="-1"/>
              </w:rPr>
              <w:t>窗</w:t>
            </w:r>
          </w:p>
        </w:tc>
        <w:tc>
          <w:tcPr>
            <w:tcW w:w="2324" w:type="dxa"/>
          </w:tcPr>
          <w:p w14:paraId="06F77E30">
            <w:pPr>
              <w:rPr>
                <w:rFonts w:ascii="Arial"/>
              </w:rPr>
            </w:pPr>
          </w:p>
        </w:tc>
        <w:tc>
          <w:tcPr>
            <w:tcW w:w="1956" w:type="dxa"/>
          </w:tcPr>
          <w:p w14:paraId="517441DC">
            <w:pPr>
              <w:rPr>
                <w:rFonts w:ascii="Arial"/>
              </w:rPr>
            </w:pPr>
          </w:p>
        </w:tc>
        <w:tc>
          <w:tcPr>
            <w:tcW w:w="3081" w:type="dxa"/>
          </w:tcPr>
          <w:p w14:paraId="1AD55D4F">
            <w:pPr>
              <w:pStyle w:val="235"/>
              <w:spacing w:before="66" w:line="219" w:lineRule="auto"/>
              <w:ind w:left="109"/>
              <w:rPr>
                <w:rFonts w:hint="eastAsia"/>
              </w:rPr>
            </w:pPr>
            <w:r>
              <w:rPr>
                <w:spacing w:val="-1"/>
              </w:rPr>
              <w:t>HJ/T237</w:t>
            </w:r>
            <w:r>
              <w:rPr>
                <w:spacing w:val="-33"/>
              </w:rPr>
              <w:t xml:space="preserve"> </w:t>
            </w:r>
            <w:r>
              <w:rPr>
                <w:spacing w:val="-1"/>
              </w:rPr>
              <w:t>塑料门窗</w:t>
            </w:r>
          </w:p>
        </w:tc>
      </w:tr>
      <w:tr w14:paraId="226D96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jc w:val="center"/>
        </w:trPr>
        <w:tc>
          <w:tcPr>
            <w:tcW w:w="510" w:type="dxa"/>
          </w:tcPr>
          <w:p w14:paraId="650AB4A0">
            <w:pPr>
              <w:pStyle w:val="235"/>
              <w:spacing w:before="98" w:line="183" w:lineRule="auto"/>
              <w:ind w:left="114"/>
              <w:rPr>
                <w:rFonts w:hint="eastAsia"/>
              </w:rPr>
            </w:pPr>
            <w:r>
              <w:rPr>
                <w:spacing w:val="-3"/>
              </w:rPr>
              <w:t>48</w:t>
            </w:r>
          </w:p>
        </w:tc>
        <w:tc>
          <w:tcPr>
            <w:tcW w:w="1343" w:type="dxa"/>
          </w:tcPr>
          <w:p w14:paraId="0B080986">
            <w:pPr>
              <w:pStyle w:val="235"/>
              <w:spacing w:before="70" w:line="282" w:lineRule="auto"/>
              <w:ind w:left="109" w:right="106" w:hanging="7"/>
              <w:rPr>
                <w:rFonts w:hint="eastAsia"/>
              </w:rPr>
            </w:pPr>
            <w:r>
              <w:rPr>
                <w:spacing w:val="-8"/>
              </w:rPr>
              <w:t>A170108</w:t>
            </w:r>
            <w:r>
              <w:rPr>
                <w:spacing w:val="-25"/>
              </w:rPr>
              <w:t xml:space="preserve"> </w:t>
            </w:r>
            <w:r>
              <w:rPr>
                <w:spacing w:val="-8"/>
              </w:rPr>
              <w:t>涂料（建</w:t>
            </w:r>
            <w:r>
              <w:t xml:space="preserve"> </w:t>
            </w:r>
            <w:r>
              <w:rPr>
                <w:spacing w:val="-2"/>
              </w:rPr>
              <w:t>筑涂料除外）</w:t>
            </w:r>
          </w:p>
        </w:tc>
        <w:tc>
          <w:tcPr>
            <w:tcW w:w="2324" w:type="dxa"/>
          </w:tcPr>
          <w:p w14:paraId="6F414313">
            <w:pPr>
              <w:rPr>
                <w:rFonts w:ascii="Arial"/>
              </w:rPr>
            </w:pPr>
          </w:p>
        </w:tc>
        <w:tc>
          <w:tcPr>
            <w:tcW w:w="1956" w:type="dxa"/>
          </w:tcPr>
          <w:p w14:paraId="253BA9DB">
            <w:pPr>
              <w:rPr>
                <w:rFonts w:ascii="Arial"/>
              </w:rPr>
            </w:pPr>
          </w:p>
        </w:tc>
        <w:tc>
          <w:tcPr>
            <w:tcW w:w="3081" w:type="dxa"/>
          </w:tcPr>
          <w:p w14:paraId="24BBA1ED">
            <w:pPr>
              <w:pStyle w:val="235"/>
              <w:spacing w:before="69" w:line="219" w:lineRule="auto"/>
              <w:ind w:left="109"/>
              <w:rPr>
                <w:rFonts w:hint="eastAsia"/>
              </w:rPr>
            </w:pPr>
            <w:r>
              <w:rPr>
                <w:spacing w:val="-1"/>
              </w:rPr>
              <w:t>HJ2537</w:t>
            </w:r>
            <w:r>
              <w:rPr>
                <w:spacing w:val="-34"/>
              </w:rPr>
              <w:t xml:space="preserve"> </w:t>
            </w:r>
            <w:r>
              <w:rPr>
                <w:spacing w:val="-1"/>
              </w:rPr>
              <w:t>水性涂料</w:t>
            </w:r>
          </w:p>
        </w:tc>
      </w:tr>
      <w:tr w14:paraId="07BA6D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14:paraId="33BCBC46">
            <w:pPr>
              <w:pStyle w:val="235"/>
              <w:spacing w:before="96" w:line="183" w:lineRule="auto"/>
              <w:ind w:left="114"/>
              <w:rPr>
                <w:rFonts w:hint="eastAsia"/>
              </w:rPr>
            </w:pPr>
            <w:r>
              <w:rPr>
                <w:spacing w:val="-3"/>
              </w:rPr>
              <w:t>49</w:t>
            </w:r>
          </w:p>
        </w:tc>
        <w:tc>
          <w:tcPr>
            <w:tcW w:w="1343" w:type="dxa"/>
          </w:tcPr>
          <w:p w14:paraId="5C60F8B6">
            <w:pPr>
              <w:pStyle w:val="235"/>
              <w:spacing w:before="68" w:line="282" w:lineRule="auto"/>
              <w:ind w:left="109" w:right="108" w:hanging="7"/>
              <w:rPr>
                <w:rFonts w:hint="eastAsia"/>
              </w:rPr>
            </w:pPr>
            <w:r>
              <w:rPr>
                <w:spacing w:val="3"/>
              </w:rPr>
              <w:t>A170112</w:t>
            </w:r>
            <w:r>
              <w:rPr>
                <w:spacing w:val="34"/>
              </w:rPr>
              <w:t xml:space="preserve"> </w:t>
            </w:r>
            <w:r>
              <w:rPr>
                <w:spacing w:val="3"/>
              </w:rPr>
              <w:t>密封用</w:t>
            </w:r>
            <w:r>
              <w:t xml:space="preserve"> </w:t>
            </w:r>
            <w:r>
              <w:rPr>
                <w:spacing w:val="-2"/>
              </w:rPr>
              <w:t>填料及类似品</w:t>
            </w:r>
          </w:p>
        </w:tc>
        <w:tc>
          <w:tcPr>
            <w:tcW w:w="2324" w:type="dxa"/>
          </w:tcPr>
          <w:p w14:paraId="749AA612">
            <w:pPr>
              <w:rPr>
                <w:rFonts w:ascii="Arial"/>
              </w:rPr>
            </w:pPr>
          </w:p>
        </w:tc>
        <w:tc>
          <w:tcPr>
            <w:tcW w:w="1956" w:type="dxa"/>
          </w:tcPr>
          <w:p w14:paraId="26265DFC">
            <w:pPr>
              <w:rPr>
                <w:rFonts w:ascii="Arial"/>
              </w:rPr>
            </w:pPr>
          </w:p>
        </w:tc>
        <w:tc>
          <w:tcPr>
            <w:tcW w:w="3081" w:type="dxa"/>
          </w:tcPr>
          <w:p w14:paraId="6A2EB18E">
            <w:pPr>
              <w:pStyle w:val="235"/>
              <w:spacing w:before="67" w:line="219" w:lineRule="auto"/>
              <w:ind w:left="109"/>
              <w:rPr>
                <w:rFonts w:hint="eastAsia"/>
              </w:rPr>
            </w:pPr>
            <w:r>
              <w:rPr>
                <w:spacing w:val="-1"/>
              </w:rPr>
              <w:t>HJ2541</w:t>
            </w:r>
            <w:r>
              <w:rPr>
                <w:spacing w:val="-35"/>
              </w:rPr>
              <w:t xml:space="preserve"> </w:t>
            </w:r>
            <w:r>
              <w:rPr>
                <w:spacing w:val="-1"/>
              </w:rPr>
              <w:t>胶粘剂</w:t>
            </w:r>
          </w:p>
        </w:tc>
      </w:tr>
      <w:tr w14:paraId="74E86B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10" w:type="dxa"/>
          </w:tcPr>
          <w:p w14:paraId="5C935E15">
            <w:pPr>
              <w:pStyle w:val="235"/>
              <w:spacing w:before="97" w:line="183" w:lineRule="auto"/>
              <w:ind w:left="118"/>
              <w:rPr>
                <w:rFonts w:hint="eastAsia"/>
              </w:rPr>
            </w:pPr>
            <w:r>
              <w:rPr>
                <w:spacing w:val="-5"/>
              </w:rPr>
              <w:t>50</w:t>
            </w:r>
          </w:p>
        </w:tc>
        <w:tc>
          <w:tcPr>
            <w:tcW w:w="1343" w:type="dxa"/>
          </w:tcPr>
          <w:p w14:paraId="17525860">
            <w:pPr>
              <w:pStyle w:val="235"/>
              <w:spacing w:before="69" w:line="284" w:lineRule="auto"/>
              <w:ind w:left="122" w:right="108" w:hanging="20"/>
              <w:rPr>
                <w:rFonts w:hint="eastAsia"/>
              </w:rPr>
            </w:pPr>
            <w:r>
              <w:rPr>
                <w:spacing w:val="3"/>
              </w:rPr>
              <w:t>A180201</w:t>
            </w:r>
            <w:r>
              <w:rPr>
                <w:spacing w:val="34"/>
              </w:rPr>
              <w:t xml:space="preserve"> </w:t>
            </w:r>
            <w:r>
              <w:rPr>
                <w:spacing w:val="3"/>
              </w:rPr>
              <w:t>塑料制</w:t>
            </w:r>
            <w:r>
              <w:t xml:space="preserve"> 品</w:t>
            </w:r>
          </w:p>
        </w:tc>
        <w:tc>
          <w:tcPr>
            <w:tcW w:w="2324" w:type="dxa"/>
          </w:tcPr>
          <w:p w14:paraId="671B916C">
            <w:pPr>
              <w:rPr>
                <w:rFonts w:ascii="Arial"/>
              </w:rPr>
            </w:pPr>
          </w:p>
        </w:tc>
        <w:tc>
          <w:tcPr>
            <w:tcW w:w="1956" w:type="dxa"/>
          </w:tcPr>
          <w:p w14:paraId="52527806">
            <w:pPr>
              <w:rPr>
                <w:rFonts w:ascii="Arial"/>
              </w:rPr>
            </w:pPr>
          </w:p>
        </w:tc>
        <w:tc>
          <w:tcPr>
            <w:tcW w:w="3081" w:type="dxa"/>
          </w:tcPr>
          <w:p w14:paraId="12E81A26">
            <w:pPr>
              <w:pStyle w:val="235"/>
              <w:spacing w:before="69" w:line="284" w:lineRule="auto"/>
              <w:ind w:left="113" w:right="104" w:hanging="4"/>
              <w:rPr>
                <w:rFonts w:hint="eastAsia"/>
              </w:rPr>
            </w:pPr>
            <w:r>
              <w:t>HJ/T226 建筑用塑料管材/HJ/</w:t>
            </w:r>
            <w:r>
              <w:rPr>
                <w:spacing w:val="-1"/>
              </w:rPr>
              <w:t>T231 再生塑</w:t>
            </w:r>
            <w:r>
              <w:t xml:space="preserve"> </w:t>
            </w:r>
            <w:r>
              <w:rPr>
                <w:spacing w:val="-2"/>
              </w:rPr>
              <w:t>料制品</w:t>
            </w:r>
          </w:p>
        </w:tc>
      </w:tr>
    </w:tbl>
    <w:p w14:paraId="56CE6CCE">
      <w:pPr>
        <w:spacing w:line="91" w:lineRule="auto"/>
        <w:rPr>
          <w:rFonts w:ascii="Arial"/>
          <w:sz w:val="2"/>
        </w:rPr>
      </w:pPr>
    </w:p>
    <w:p w14:paraId="536A8625">
      <w:pPr>
        <w:rPr>
          <w:rFonts w:hint="eastAsia" w:ascii="仿宋" w:hAnsi="仿宋" w:eastAsia="仿宋" w:cs="仿宋"/>
          <w:spacing w:val="-1"/>
          <w:sz w:val="24"/>
        </w:rPr>
      </w:pPr>
      <w:r>
        <w:rPr>
          <w:rFonts w:ascii="仿宋" w:hAnsi="仿宋" w:eastAsia="仿宋" w:cs="仿宋"/>
          <w:spacing w:val="-1"/>
          <w:sz w:val="24"/>
        </w:rPr>
        <w:t>注：环境标志产品认证应依据相关标准的最新版本</w:t>
      </w:r>
      <w:r>
        <w:rPr>
          <w:rFonts w:hint="eastAsia" w:ascii="仿宋" w:hAnsi="仿宋" w:eastAsia="仿宋" w:cs="仿宋"/>
          <w:spacing w:val="-1"/>
          <w:sz w:val="24"/>
        </w:rPr>
        <w:t>。</w:t>
      </w:r>
    </w:p>
    <w:p w14:paraId="3AF1E992">
      <w:pPr>
        <w:adjustRightInd w:val="0"/>
        <w:spacing w:line="400" w:lineRule="exact"/>
        <w:ind w:firstLine="422" w:firstLineChars="200"/>
        <w:jc w:val="left"/>
        <w:textAlignment w:val="baseline"/>
        <w:rPr>
          <w:rFonts w:hint="eastAsia" w:hAnsi="宋体"/>
          <w:b/>
          <w:bCs/>
        </w:rPr>
        <w:sectPr>
          <w:pgSz w:w="11906" w:h="16838"/>
          <w:pgMar w:top="1440" w:right="566" w:bottom="1440" w:left="851" w:header="851" w:footer="992" w:gutter="0"/>
          <w:cols w:space="720" w:num="1"/>
          <w:docGrid w:linePitch="312" w:charSpace="0"/>
        </w:sectPr>
      </w:pPr>
    </w:p>
    <w:p w14:paraId="4537BA94">
      <w:pPr>
        <w:pStyle w:val="3"/>
        <w:jc w:val="both"/>
        <w:rPr>
          <w:rFonts w:hint="eastAsia"/>
          <w:sz w:val="30"/>
          <w:szCs w:val="30"/>
        </w:rPr>
      </w:pPr>
      <w:bookmarkStart w:id="99" w:name="_Toc497578453"/>
    </w:p>
    <w:p w14:paraId="11788E77">
      <w:pPr>
        <w:pStyle w:val="3"/>
        <w:jc w:val="both"/>
        <w:rPr>
          <w:rFonts w:hint="eastAsia"/>
          <w:sz w:val="30"/>
          <w:szCs w:val="30"/>
        </w:rPr>
      </w:pPr>
    </w:p>
    <w:p w14:paraId="5744ADC3">
      <w:pPr>
        <w:pStyle w:val="3"/>
        <w:jc w:val="both"/>
        <w:rPr>
          <w:rFonts w:hint="eastAsia"/>
          <w:sz w:val="30"/>
          <w:szCs w:val="30"/>
        </w:rPr>
      </w:pPr>
    </w:p>
    <w:p w14:paraId="6AB236F3">
      <w:pPr>
        <w:pStyle w:val="3"/>
        <w:jc w:val="both"/>
        <w:rPr>
          <w:rFonts w:hint="eastAsia"/>
          <w:sz w:val="30"/>
          <w:szCs w:val="30"/>
        </w:rPr>
      </w:pPr>
    </w:p>
    <w:p w14:paraId="7F490FCD">
      <w:pPr>
        <w:pStyle w:val="3"/>
        <w:jc w:val="both"/>
        <w:rPr>
          <w:rFonts w:hint="eastAsia"/>
          <w:sz w:val="30"/>
          <w:szCs w:val="30"/>
        </w:rPr>
      </w:pPr>
    </w:p>
    <w:p w14:paraId="2C0FFE54">
      <w:pPr>
        <w:pStyle w:val="3"/>
        <w:jc w:val="center"/>
        <w:rPr>
          <w:rFonts w:ascii="仿宋_GB2312" w:eastAsia="仿宋_GB2312"/>
          <w:b w:val="0"/>
          <w:bCs w:val="0"/>
          <w:sz w:val="32"/>
          <w:szCs w:val="32"/>
        </w:rPr>
      </w:pPr>
      <w:bookmarkStart w:id="100" w:name="_Toc5380"/>
      <w:r>
        <w:rPr>
          <w:rFonts w:hint="eastAsia"/>
          <w:sz w:val="30"/>
          <w:szCs w:val="30"/>
        </w:rPr>
        <w:t>第五章 合同主要条款格式及广西壮族自治区政府采购项目合同验收书格式</w:t>
      </w:r>
      <w:bookmarkEnd w:id="99"/>
      <w:bookmarkEnd w:id="100"/>
    </w:p>
    <w:p w14:paraId="369BB367">
      <w:pPr>
        <w:snapToGrid w:val="0"/>
        <w:jc w:val="center"/>
        <w:rPr>
          <w:rFonts w:hint="eastAsia" w:ascii="仿宋_GB2312" w:hAnsi="华文中宋" w:eastAsia="仿宋_GB2312"/>
          <w:bCs/>
          <w:sz w:val="32"/>
          <w:szCs w:val="32"/>
        </w:rPr>
      </w:pPr>
    </w:p>
    <w:p w14:paraId="7BAD702D">
      <w:pPr>
        <w:snapToGrid w:val="0"/>
        <w:jc w:val="center"/>
        <w:rPr>
          <w:rFonts w:hint="eastAsia" w:ascii="仿宋_GB2312" w:hAnsi="华文中宋" w:eastAsia="仿宋_GB2312"/>
          <w:bCs/>
          <w:sz w:val="32"/>
          <w:szCs w:val="32"/>
        </w:rPr>
      </w:pPr>
    </w:p>
    <w:p w14:paraId="7853F8D2">
      <w:pPr>
        <w:snapToGrid w:val="0"/>
        <w:jc w:val="center"/>
        <w:rPr>
          <w:rFonts w:hint="eastAsia" w:ascii="仿宋_GB2312" w:hAnsi="华文中宋" w:eastAsia="仿宋_GB2312"/>
          <w:bCs/>
          <w:sz w:val="32"/>
          <w:szCs w:val="32"/>
        </w:rPr>
      </w:pPr>
    </w:p>
    <w:p w14:paraId="66B6E7CC">
      <w:pPr>
        <w:snapToGrid w:val="0"/>
        <w:jc w:val="center"/>
        <w:rPr>
          <w:rFonts w:hint="eastAsia" w:ascii="仿宋_GB2312" w:hAnsi="华文中宋" w:eastAsia="仿宋_GB2312"/>
          <w:bCs/>
          <w:sz w:val="32"/>
          <w:szCs w:val="32"/>
        </w:rPr>
      </w:pPr>
    </w:p>
    <w:p w14:paraId="0D5A758A">
      <w:pPr>
        <w:snapToGrid w:val="0"/>
        <w:jc w:val="center"/>
        <w:rPr>
          <w:rFonts w:hint="eastAsia" w:ascii="仿宋_GB2312" w:hAnsi="华文中宋" w:eastAsia="仿宋_GB2312"/>
          <w:bCs/>
          <w:sz w:val="32"/>
          <w:szCs w:val="32"/>
        </w:rPr>
      </w:pPr>
    </w:p>
    <w:p w14:paraId="12DED049">
      <w:pPr>
        <w:snapToGrid w:val="0"/>
        <w:jc w:val="center"/>
        <w:rPr>
          <w:rFonts w:hint="eastAsia" w:ascii="仿宋_GB2312" w:hAnsi="华文中宋" w:eastAsia="仿宋_GB2312"/>
          <w:bCs/>
          <w:sz w:val="32"/>
          <w:szCs w:val="32"/>
        </w:rPr>
      </w:pPr>
    </w:p>
    <w:p w14:paraId="5833D742">
      <w:pPr>
        <w:snapToGrid w:val="0"/>
        <w:jc w:val="center"/>
        <w:rPr>
          <w:rFonts w:hint="eastAsia" w:ascii="仿宋_GB2312" w:hAnsi="华文中宋" w:eastAsia="仿宋_GB2312"/>
          <w:bCs/>
          <w:sz w:val="32"/>
          <w:szCs w:val="32"/>
        </w:rPr>
      </w:pPr>
    </w:p>
    <w:p w14:paraId="281FF3D2">
      <w:pPr>
        <w:snapToGrid w:val="0"/>
        <w:rPr>
          <w:rFonts w:hint="eastAsia" w:ascii="仿宋_GB2312" w:hAnsi="华文中宋" w:eastAsia="仿宋_GB2312"/>
          <w:bCs/>
          <w:sz w:val="32"/>
          <w:szCs w:val="32"/>
        </w:rPr>
      </w:pPr>
    </w:p>
    <w:p w14:paraId="7BF47C57">
      <w:pPr>
        <w:snapToGrid w:val="0"/>
        <w:rPr>
          <w:rFonts w:hint="eastAsia" w:ascii="仿宋_GB2312" w:hAnsi="华文中宋" w:eastAsia="仿宋_GB2312"/>
          <w:bCs/>
          <w:sz w:val="32"/>
          <w:szCs w:val="32"/>
        </w:rPr>
      </w:pPr>
    </w:p>
    <w:p w14:paraId="0A78FD65">
      <w:pPr>
        <w:snapToGrid w:val="0"/>
        <w:jc w:val="left"/>
        <w:rPr>
          <w:rFonts w:ascii="仿宋_GB2312" w:eastAsia="仿宋_GB2312"/>
          <w:b/>
          <w:color w:val="FF0000"/>
          <w:sz w:val="24"/>
        </w:rPr>
      </w:pPr>
      <w:r>
        <w:rPr>
          <w:rFonts w:hint="eastAsia" w:ascii="仿宋_GB2312" w:eastAsia="仿宋_GB2312"/>
          <w:b/>
          <w:sz w:val="24"/>
        </w:rPr>
        <w:br w:type="page"/>
      </w:r>
      <w:bookmarkStart w:id="101" w:name="_Hlk93681122"/>
      <w:bookmarkStart w:id="102" w:name="_Hlk93681333"/>
    </w:p>
    <w:p w14:paraId="3F2F79BF">
      <w:pPr>
        <w:snapToGrid w:val="0"/>
        <w:ind w:firstLine="482" w:firstLineChars="200"/>
        <w:jc w:val="left"/>
        <w:rPr>
          <w:rFonts w:ascii="仿宋_GB2312" w:eastAsia="仿宋_GB2312"/>
          <w:b/>
          <w:sz w:val="24"/>
        </w:rPr>
      </w:pPr>
      <w:r>
        <w:rPr>
          <w:rFonts w:hint="eastAsia" w:ascii="仿宋_GB2312" w:eastAsia="仿宋_GB2312"/>
          <w:b/>
          <w:sz w:val="24"/>
        </w:rPr>
        <w:t>合同使用说明：本合同</w:t>
      </w:r>
      <w:bookmarkStart w:id="103" w:name="_Hlk102729543"/>
      <w:r>
        <w:rPr>
          <w:rFonts w:ascii="仿宋_GB2312" w:eastAsia="仿宋_GB2312"/>
          <w:b/>
          <w:sz w:val="24"/>
        </w:rPr>
        <w:t>非中小企业</w:t>
      </w:r>
      <w:bookmarkEnd w:id="103"/>
      <w:r>
        <w:rPr>
          <w:rFonts w:hint="eastAsia" w:ascii="仿宋_GB2312" w:eastAsia="仿宋_GB2312"/>
          <w:b/>
          <w:sz w:val="24"/>
        </w:rPr>
        <w:t>预留合同。</w:t>
      </w:r>
    </w:p>
    <w:p w14:paraId="674E8D96">
      <w:pPr>
        <w:pStyle w:val="26"/>
        <w:spacing w:line="400" w:lineRule="exact"/>
        <w:jc w:val="left"/>
        <w:rPr>
          <w:b/>
          <w:sz w:val="32"/>
        </w:rPr>
      </w:pPr>
    </w:p>
    <w:p w14:paraId="2F18625A">
      <w:pPr>
        <w:snapToGrid w:val="0"/>
        <w:jc w:val="center"/>
        <w:rPr>
          <w:rFonts w:hint="eastAsia" w:ascii="仿宋_GB2312" w:hAnsi="宋体" w:eastAsia="仿宋_GB2312"/>
          <w:b/>
          <w:bCs/>
          <w:sz w:val="44"/>
          <w:szCs w:val="44"/>
        </w:rPr>
      </w:pPr>
      <w:r>
        <w:rPr>
          <w:rFonts w:hint="eastAsia" w:ascii="仿宋_GB2312" w:hAnsi="宋体" w:eastAsia="仿宋_GB2312"/>
          <w:b/>
          <w:bCs/>
          <w:sz w:val="44"/>
          <w:szCs w:val="44"/>
        </w:rPr>
        <w:t>政府采购合同</w:t>
      </w:r>
    </w:p>
    <w:p w14:paraId="74C6873C">
      <w:pPr>
        <w:snapToGrid w:val="0"/>
        <w:jc w:val="center"/>
        <w:rPr>
          <w:rFonts w:hint="eastAsia" w:ascii="仿宋_GB2312" w:hAnsi="宋体" w:eastAsia="仿宋_GB2312"/>
          <w:b/>
          <w:bCs/>
          <w:sz w:val="36"/>
          <w:szCs w:val="36"/>
        </w:rPr>
      </w:pPr>
      <w:r>
        <w:rPr>
          <w:rFonts w:hint="eastAsia" w:ascii="仿宋_GB2312" w:hAnsi="宋体" w:eastAsia="仿宋_GB2312"/>
          <w:b/>
          <w:bCs/>
          <w:sz w:val="36"/>
          <w:szCs w:val="36"/>
        </w:rPr>
        <w:t>（一般货物类）</w:t>
      </w:r>
    </w:p>
    <w:p w14:paraId="65A1C33E">
      <w:pPr>
        <w:wordWrap w:val="0"/>
        <w:snapToGrid w:val="0"/>
        <w:jc w:val="right"/>
        <w:rPr>
          <w:rFonts w:hint="eastAsia" w:ascii="仿宋_GB2312" w:hAnsi="宋体" w:eastAsia="仿宋_GB2312"/>
          <w:bCs/>
          <w:sz w:val="24"/>
          <w:u w:val="single"/>
        </w:rPr>
      </w:pPr>
      <w:r>
        <w:rPr>
          <w:rFonts w:hint="eastAsia" w:ascii="仿宋_GB2312" w:hAnsi="宋体" w:eastAsia="仿宋_GB2312"/>
          <w:bCs/>
          <w:sz w:val="24"/>
        </w:rPr>
        <w:t xml:space="preserve">合同编号：            </w:t>
      </w:r>
    </w:p>
    <w:p w14:paraId="0D918052">
      <w:pPr>
        <w:snapToGrid w:val="0"/>
        <w:rPr>
          <w:rFonts w:hint="eastAsia" w:ascii="仿宋_GB2312" w:hAnsi="宋体" w:eastAsia="仿宋_GB2312"/>
          <w:sz w:val="24"/>
        </w:rPr>
      </w:pPr>
    </w:p>
    <w:p w14:paraId="772C16EB">
      <w:pPr>
        <w:snapToGrid w:val="0"/>
        <w:spacing w:line="320" w:lineRule="exact"/>
        <w:ind w:right="-470" w:rightChars="-224"/>
        <w:rPr>
          <w:rFonts w:hint="eastAsia" w:ascii="仿宋_GB2312" w:hAnsi="宋体" w:eastAsia="仿宋_GB2312"/>
          <w:sz w:val="24"/>
          <w:u w:val="single"/>
        </w:rPr>
      </w:pPr>
      <w:r>
        <w:rPr>
          <w:rFonts w:hint="eastAsia" w:ascii="仿宋_GB2312" w:hAnsi="宋体" w:eastAsia="仿宋_GB2312"/>
          <w:sz w:val="24"/>
        </w:rPr>
        <w:t>采购单位（甲方）：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rPr>
        <w:t>采购计划表编号：</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14:paraId="1858BE4E">
      <w:pPr>
        <w:snapToGrid w:val="0"/>
        <w:spacing w:line="320" w:lineRule="exact"/>
        <w:ind w:right="-470" w:rightChars="-224"/>
        <w:rPr>
          <w:rFonts w:hint="eastAsia" w:ascii="仿宋_GB2312" w:hAnsi="宋体" w:eastAsia="仿宋_GB2312"/>
          <w:sz w:val="24"/>
          <w:u w:val="single"/>
        </w:rPr>
      </w:pPr>
      <w:r>
        <w:rPr>
          <w:rFonts w:hint="eastAsia" w:ascii="仿宋_GB2312" w:hAnsi="宋体" w:eastAsia="仿宋_GB2312"/>
          <w:sz w:val="24"/>
        </w:rPr>
        <w:t>供 应 商（乙方）：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项目名称及编号</w:t>
      </w:r>
      <w:r>
        <w:rPr>
          <w:rFonts w:hint="eastAsia" w:ascii="仿宋_GB2312" w:hAnsi="宋体" w:eastAsia="仿宋_GB2312"/>
          <w:spacing w:val="-20"/>
          <w:sz w:val="24"/>
        </w:rPr>
        <w:t>：</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rPr>
        <w:t xml:space="preserve">     </w:t>
      </w:r>
    </w:p>
    <w:p w14:paraId="313DBC6C">
      <w:pPr>
        <w:snapToGrid w:val="0"/>
        <w:spacing w:line="320" w:lineRule="exact"/>
        <w:ind w:right="-470" w:rightChars="-224"/>
        <w:rPr>
          <w:rFonts w:hint="eastAsia" w:ascii="仿宋_GB2312" w:hAnsi="宋体" w:eastAsia="仿宋_GB2312"/>
          <w:sz w:val="24"/>
          <w:u w:val="single"/>
        </w:rPr>
      </w:pPr>
      <w:r>
        <w:rPr>
          <w:rFonts w:hint="eastAsia" w:ascii="仿宋_GB2312" w:hAnsi="宋体" w:eastAsia="仿宋_GB2312"/>
          <w:sz w:val="24"/>
        </w:rPr>
        <w:t>签  订  地  点 ：</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pacing w:val="38"/>
          <w:sz w:val="24"/>
        </w:rPr>
        <w:t>签订时间：</w:t>
      </w:r>
      <w:r>
        <w:rPr>
          <w:rFonts w:hint="eastAsia" w:ascii="仿宋_GB2312" w:hAnsi="宋体" w:eastAsia="仿宋_GB2312"/>
          <w:sz w:val="24"/>
          <w:u w:val="single"/>
        </w:rPr>
        <w:t xml:space="preserve">     年   月   日   </w:t>
      </w:r>
    </w:p>
    <w:p w14:paraId="4325FCAC">
      <w:pPr>
        <w:snapToGrid w:val="0"/>
        <w:spacing w:line="320" w:lineRule="exact"/>
        <w:ind w:right="-470" w:rightChars="-224" w:firstLine="480" w:firstLineChars="200"/>
        <w:rPr>
          <w:rFonts w:hint="eastAsia" w:ascii="仿宋_GB2312" w:hAnsi="宋体" w:eastAsia="仿宋_GB2312"/>
          <w:color w:val="000000" w:themeColor="text1"/>
          <w:sz w:val="24"/>
          <w14:textFill>
            <w14:solidFill>
              <w14:schemeClr w14:val="tx1"/>
            </w14:solidFill>
          </w14:textFill>
        </w:rPr>
      </w:pPr>
      <w:r>
        <w:rPr>
          <w:rFonts w:hint="eastAsia" w:ascii="仿宋_GB2312" w:eastAsia="仿宋_GB2312"/>
          <w:sz w:val="24"/>
          <w:highlight w:val="none"/>
        </w:rPr>
        <w:t>根据《中华人民共和国政府采购法》、《中华人民共和国民法典》等法律、法规规定，按照招标文件规定条款和中标</w:t>
      </w:r>
      <w:r>
        <w:rPr>
          <w:rFonts w:hint="eastAsia" w:ascii="仿宋_GB2312" w:eastAsia="仿宋_GB2312"/>
          <w:sz w:val="24"/>
          <w:highlight w:val="none"/>
          <w:lang w:eastAsia="zh-CN"/>
        </w:rPr>
        <w:t>人</w:t>
      </w:r>
      <w:r>
        <w:rPr>
          <w:rFonts w:hint="eastAsia" w:ascii="仿宋_GB2312" w:eastAsia="仿宋_GB2312"/>
          <w:sz w:val="24"/>
          <w:highlight w:val="none"/>
          <w:lang w:val="en-US" w:eastAsia="zh-CN"/>
        </w:rPr>
        <w:t>投标文件及</w:t>
      </w:r>
      <w:r>
        <w:rPr>
          <w:rFonts w:hint="eastAsia" w:ascii="仿宋_GB2312" w:eastAsia="仿宋_GB2312"/>
          <w:sz w:val="24"/>
          <w:highlight w:val="none"/>
        </w:rPr>
        <w:t>承诺</w:t>
      </w:r>
      <w:r>
        <w:rPr>
          <w:rFonts w:hint="eastAsia" w:ascii="仿宋_GB2312" w:hAnsi="宋体" w:eastAsia="仿宋_GB2312"/>
          <w:color w:val="000000" w:themeColor="text1"/>
          <w:sz w:val="24"/>
          <w14:textFill>
            <w14:solidFill>
              <w14:schemeClr w14:val="tx1"/>
            </w14:solidFill>
          </w14:textFill>
        </w:rPr>
        <w:t>，甲乙双方签订本合同。</w:t>
      </w:r>
    </w:p>
    <w:p w14:paraId="6C42E1EE">
      <w:pPr>
        <w:snapToGrid w:val="0"/>
        <w:spacing w:line="320" w:lineRule="exact"/>
        <w:ind w:right="-470" w:rightChars="-224" w:firstLine="482" w:firstLineChars="200"/>
        <w:rPr>
          <w:rFonts w:hint="eastAsia" w:ascii="仿宋_GB2312" w:hAnsi="宋体" w:eastAsia="仿宋_GB2312"/>
          <w:b/>
          <w:color w:val="000000" w:themeColor="text1"/>
          <w:sz w:val="24"/>
          <w14:textFill>
            <w14:solidFill>
              <w14:schemeClr w14:val="tx1"/>
            </w14:solidFill>
          </w14:textFill>
        </w:rPr>
      </w:pPr>
      <w:r>
        <w:rPr>
          <w:rFonts w:hint="eastAsia" w:ascii="仿宋_GB2312" w:eastAsia="仿宋_GB2312"/>
          <w:b/>
          <w:color w:val="000000" w:themeColor="text1"/>
          <w:sz w:val="24"/>
          <w14:textFill>
            <w14:solidFill>
              <w14:schemeClr w14:val="tx1"/>
            </w14:solidFill>
          </w14:textFill>
        </w:rPr>
        <w:t xml:space="preserve"> </w:t>
      </w:r>
      <w:r>
        <w:rPr>
          <w:rFonts w:hint="eastAsia" w:ascii="仿宋_GB2312" w:hAnsi="宋体" w:eastAsia="仿宋_GB2312"/>
          <w:b/>
          <w:color w:val="000000" w:themeColor="text1"/>
          <w:sz w:val="24"/>
          <w14:textFill>
            <w14:solidFill>
              <w14:schemeClr w14:val="tx1"/>
            </w14:solidFill>
          </w14:textFill>
        </w:rPr>
        <w:t>第一条　合同标的</w:t>
      </w:r>
    </w:p>
    <w:p w14:paraId="54930BE7">
      <w:pPr>
        <w:snapToGrid w:val="0"/>
        <w:spacing w:line="320" w:lineRule="exact"/>
        <w:ind w:right="-470" w:rightChars="-224" w:firstLine="480" w:firstLineChars="200"/>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1.供货一览表</w:t>
      </w:r>
    </w:p>
    <w:tbl>
      <w:tblPr>
        <w:tblStyle w:val="49"/>
        <w:tblW w:w="98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207"/>
        <w:gridCol w:w="1134"/>
        <w:gridCol w:w="1037"/>
        <w:gridCol w:w="1161"/>
        <w:gridCol w:w="903"/>
        <w:gridCol w:w="892"/>
        <w:gridCol w:w="1422"/>
        <w:gridCol w:w="1418"/>
      </w:tblGrid>
      <w:tr w14:paraId="57EDD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636" w:type="dxa"/>
            <w:vAlign w:val="center"/>
          </w:tcPr>
          <w:p w14:paraId="4CC4214A">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序号</w:t>
            </w:r>
          </w:p>
        </w:tc>
        <w:tc>
          <w:tcPr>
            <w:tcW w:w="1207" w:type="dxa"/>
            <w:vAlign w:val="center"/>
          </w:tcPr>
          <w:p w14:paraId="31938447">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产品名称</w:t>
            </w:r>
          </w:p>
        </w:tc>
        <w:tc>
          <w:tcPr>
            <w:tcW w:w="1134" w:type="dxa"/>
            <w:vAlign w:val="center"/>
          </w:tcPr>
          <w:p w14:paraId="0391E7B4">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商标品牌</w:t>
            </w:r>
          </w:p>
        </w:tc>
        <w:tc>
          <w:tcPr>
            <w:tcW w:w="1037" w:type="dxa"/>
            <w:vAlign w:val="center"/>
          </w:tcPr>
          <w:p w14:paraId="23E1BB8C">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规格型号</w:t>
            </w:r>
          </w:p>
        </w:tc>
        <w:tc>
          <w:tcPr>
            <w:tcW w:w="1161" w:type="dxa"/>
            <w:vAlign w:val="center"/>
          </w:tcPr>
          <w:p w14:paraId="3B8E02D7">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生产厂家</w:t>
            </w:r>
          </w:p>
        </w:tc>
        <w:tc>
          <w:tcPr>
            <w:tcW w:w="903" w:type="dxa"/>
            <w:vAlign w:val="center"/>
          </w:tcPr>
          <w:p w14:paraId="717B7D8F">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数量</w:t>
            </w:r>
          </w:p>
        </w:tc>
        <w:tc>
          <w:tcPr>
            <w:tcW w:w="892" w:type="dxa"/>
            <w:vAlign w:val="center"/>
          </w:tcPr>
          <w:p w14:paraId="0E7E13CA">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单位</w:t>
            </w:r>
          </w:p>
        </w:tc>
        <w:tc>
          <w:tcPr>
            <w:tcW w:w="1422" w:type="dxa"/>
            <w:vAlign w:val="center"/>
          </w:tcPr>
          <w:p w14:paraId="185FA08B">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单价（元）</w:t>
            </w:r>
          </w:p>
        </w:tc>
        <w:tc>
          <w:tcPr>
            <w:tcW w:w="1418" w:type="dxa"/>
            <w:vAlign w:val="center"/>
          </w:tcPr>
          <w:p w14:paraId="127B799E">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金额（元）</w:t>
            </w:r>
          </w:p>
        </w:tc>
      </w:tr>
      <w:tr w14:paraId="2C30F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14:paraId="0437EE66">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1</w:t>
            </w:r>
          </w:p>
        </w:tc>
        <w:tc>
          <w:tcPr>
            <w:tcW w:w="1207" w:type="dxa"/>
            <w:vAlign w:val="center"/>
          </w:tcPr>
          <w:p w14:paraId="28BA71D6">
            <w:pPr>
              <w:snapToGrid w:val="0"/>
              <w:spacing w:line="320" w:lineRule="exact"/>
              <w:jc w:val="center"/>
              <w:rPr>
                <w:rFonts w:hint="eastAsia" w:ascii="仿宋_GB2312" w:hAnsi="宋体" w:eastAsia="仿宋_GB2312"/>
                <w:sz w:val="24"/>
              </w:rPr>
            </w:pPr>
          </w:p>
        </w:tc>
        <w:tc>
          <w:tcPr>
            <w:tcW w:w="1134" w:type="dxa"/>
            <w:vAlign w:val="center"/>
          </w:tcPr>
          <w:p w14:paraId="4C1EA16C">
            <w:pPr>
              <w:snapToGrid w:val="0"/>
              <w:spacing w:line="320" w:lineRule="exact"/>
              <w:jc w:val="center"/>
              <w:rPr>
                <w:rFonts w:hint="eastAsia" w:ascii="仿宋_GB2312" w:hAnsi="宋体" w:eastAsia="仿宋_GB2312"/>
                <w:sz w:val="24"/>
              </w:rPr>
            </w:pPr>
          </w:p>
        </w:tc>
        <w:tc>
          <w:tcPr>
            <w:tcW w:w="1037" w:type="dxa"/>
            <w:vAlign w:val="center"/>
          </w:tcPr>
          <w:p w14:paraId="79B26724">
            <w:pPr>
              <w:snapToGrid w:val="0"/>
              <w:spacing w:line="320" w:lineRule="exact"/>
              <w:jc w:val="center"/>
              <w:rPr>
                <w:rFonts w:hint="eastAsia" w:ascii="仿宋_GB2312" w:hAnsi="宋体" w:eastAsia="仿宋_GB2312"/>
                <w:sz w:val="24"/>
              </w:rPr>
            </w:pPr>
          </w:p>
        </w:tc>
        <w:tc>
          <w:tcPr>
            <w:tcW w:w="1161" w:type="dxa"/>
            <w:vAlign w:val="center"/>
          </w:tcPr>
          <w:p w14:paraId="3EB035C6">
            <w:pPr>
              <w:snapToGrid w:val="0"/>
              <w:spacing w:line="320" w:lineRule="exact"/>
              <w:jc w:val="center"/>
              <w:rPr>
                <w:rFonts w:hint="eastAsia" w:ascii="仿宋_GB2312" w:hAnsi="宋体" w:eastAsia="仿宋_GB2312"/>
                <w:sz w:val="24"/>
              </w:rPr>
            </w:pPr>
          </w:p>
        </w:tc>
        <w:tc>
          <w:tcPr>
            <w:tcW w:w="903" w:type="dxa"/>
            <w:vAlign w:val="center"/>
          </w:tcPr>
          <w:p w14:paraId="2F13B3F9">
            <w:pPr>
              <w:snapToGrid w:val="0"/>
              <w:spacing w:line="320" w:lineRule="exact"/>
              <w:jc w:val="center"/>
              <w:rPr>
                <w:rFonts w:hint="eastAsia" w:ascii="仿宋_GB2312" w:hAnsi="宋体" w:eastAsia="仿宋_GB2312"/>
                <w:sz w:val="24"/>
              </w:rPr>
            </w:pPr>
          </w:p>
        </w:tc>
        <w:tc>
          <w:tcPr>
            <w:tcW w:w="892" w:type="dxa"/>
            <w:vAlign w:val="center"/>
          </w:tcPr>
          <w:p w14:paraId="0FF2363A">
            <w:pPr>
              <w:snapToGrid w:val="0"/>
              <w:spacing w:line="320" w:lineRule="exact"/>
              <w:jc w:val="center"/>
              <w:rPr>
                <w:rFonts w:hint="eastAsia" w:ascii="仿宋_GB2312" w:hAnsi="宋体" w:eastAsia="仿宋_GB2312"/>
                <w:sz w:val="24"/>
              </w:rPr>
            </w:pPr>
          </w:p>
        </w:tc>
        <w:tc>
          <w:tcPr>
            <w:tcW w:w="1422" w:type="dxa"/>
            <w:vAlign w:val="center"/>
          </w:tcPr>
          <w:p w14:paraId="56DEA30E">
            <w:pPr>
              <w:snapToGrid w:val="0"/>
              <w:spacing w:line="320" w:lineRule="exact"/>
              <w:jc w:val="center"/>
              <w:rPr>
                <w:rFonts w:hint="eastAsia" w:ascii="仿宋_GB2312" w:hAnsi="宋体" w:eastAsia="仿宋_GB2312"/>
                <w:sz w:val="24"/>
              </w:rPr>
            </w:pPr>
          </w:p>
        </w:tc>
        <w:tc>
          <w:tcPr>
            <w:tcW w:w="1418" w:type="dxa"/>
            <w:vAlign w:val="center"/>
          </w:tcPr>
          <w:p w14:paraId="3E721C06">
            <w:pPr>
              <w:snapToGrid w:val="0"/>
              <w:spacing w:line="320" w:lineRule="exact"/>
              <w:jc w:val="center"/>
              <w:rPr>
                <w:rFonts w:hint="eastAsia" w:ascii="仿宋_GB2312" w:hAnsi="宋体" w:eastAsia="仿宋_GB2312"/>
                <w:sz w:val="24"/>
              </w:rPr>
            </w:pPr>
          </w:p>
        </w:tc>
      </w:tr>
      <w:tr w14:paraId="34ECD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14:paraId="4534CDC6">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2</w:t>
            </w:r>
          </w:p>
        </w:tc>
        <w:tc>
          <w:tcPr>
            <w:tcW w:w="1207" w:type="dxa"/>
            <w:vAlign w:val="center"/>
          </w:tcPr>
          <w:p w14:paraId="20F699EF">
            <w:pPr>
              <w:snapToGrid w:val="0"/>
              <w:spacing w:line="320" w:lineRule="exact"/>
              <w:jc w:val="center"/>
              <w:rPr>
                <w:rFonts w:hint="eastAsia" w:ascii="仿宋_GB2312" w:hAnsi="宋体" w:eastAsia="仿宋_GB2312"/>
                <w:sz w:val="24"/>
              </w:rPr>
            </w:pPr>
          </w:p>
        </w:tc>
        <w:tc>
          <w:tcPr>
            <w:tcW w:w="1134" w:type="dxa"/>
            <w:vAlign w:val="center"/>
          </w:tcPr>
          <w:p w14:paraId="14F9A336">
            <w:pPr>
              <w:snapToGrid w:val="0"/>
              <w:spacing w:line="320" w:lineRule="exact"/>
              <w:jc w:val="center"/>
              <w:rPr>
                <w:rFonts w:hint="eastAsia" w:ascii="仿宋_GB2312" w:hAnsi="宋体" w:eastAsia="仿宋_GB2312"/>
                <w:sz w:val="24"/>
              </w:rPr>
            </w:pPr>
          </w:p>
        </w:tc>
        <w:tc>
          <w:tcPr>
            <w:tcW w:w="1037" w:type="dxa"/>
            <w:vAlign w:val="center"/>
          </w:tcPr>
          <w:p w14:paraId="1ABA8815">
            <w:pPr>
              <w:snapToGrid w:val="0"/>
              <w:spacing w:line="320" w:lineRule="exact"/>
              <w:jc w:val="center"/>
              <w:rPr>
                <w:rFonts w:hint="eastAsia" w:ascii="仿宋_GB2312" w:hAnsi="宋体" w:eastAsia="仿宋_GB2312"/>
                <w:sz w:val="24"/>
              </w:rPr>
            </w:pPr>
          </w:p>
        </w:tc>
        <w:tc>
          <w:tcPr>
            <w:tcW w:w="1161" w:type="dxa"/>
            <w:vAlign w:val="center"/>
          </w:tcPr>
          <w:p w14:paraId="3948B652">
            <w:pPr>
              <w:snapToGrid w:val="0"/>
              <w:spacing w:line="320" w:lineRule="exact"/>
              <w:jc w:val="center"/>
              <w:rPr>
                <w:rFonts w:hint="eastAsia" w:ascii="仿宋_GB2312" w:hAnsi="宋体" w:eastAsia="仿宋_GB2312"/>
                <w:sz w:val="24"/>
              </w:rPr>
            </w:pPr>
          </w:p>
        </w:tc>
        <w:tc>
          <w:tcPr>
            <w:tcW w:w="903" w:type="dxa"/>
            <w:vAlign w:val="center"/>
          </w:tcPr>
          <w:p w14:paraId="7D3E7B4C">
            <w:pPr>
              <w:snapToGrid w:val="0"/>
              <w:spacing w:line="320" w:lineRule="exact"/>
              <w:jc w:val="center"/>
              <w:rPr>
                <w:rFonts w:hint="eastAsia" w:ascii="仿宋_GB2312" w:hAnsi="宋体" w:eastAsia="仿宋_GB2312"/>
                <w:sz w:val="24"/>
              </w:rPr>
            </w:pPr>
          </w:p>
        </w:tc>
        <w:tc>
          <w:tcPr>
            <w:tcW w:w="892" w:type="dxa"/>
            <w:vAlign w:val="center"/>
          </w:tcPr>
          <w:p w14:paraId="32800B0A">
            <w:pPr>
              <w:snapToGrid w:val="0"/>
              <w:spacing w:line="320" w:lineRule="exact"/>
              <w:jc w:val="center"/>
              <w:rPr>
                <w:rFonts w:hint="eastAsia" w:ascii="仿宋_GB2312" w:hAnsi="宋体" w:eastAsia="仿宋_GB2312"/>
                <w:sz w:val="24"/>
              </w:rPr>
            </w:pPr>
          </w:p>
        </w:tc>
        <w:tc>
          <w:tcPr>
            <w:tcW w:w="1422" w:type="dxa"/>
            <w:vAlign w:val="center"/>
          </w:tcPr>
          <w:p w14:paraId="6E4A57E0">
            <w:pPr>
              <w:snapToGrid w:val="0"/>
              <w:spacing w:line="320" w:lineRule="exact"/>
              <w:jc w:val="center"/>
              <w:rPr>
                <w:rFonts w:hint="eastAsia" w:ascii="仿宋_GB2312" w:hAnsi="宋体" w:eastAsia="仿宋_GB2312"/>
                <w:sz w:val="24"/>
              </w:rPr>
            </w:pPr>
          </w:p>
        </w:tc>
        <w:tc>
          <w:tcPr>
            <w:tcW w:w="1418" w:type="dxa"/>
            <w:vAlign w:val="center"/>
          </w:tcPr>
          <w:p w14:paraId="49AF76DF">
            <w:pPr>
              <w:snapToGrid w:val="0"/>
              <w:spacing w:line="320" w:lineRule="exact"/>
              <w:jc w:val="center"/>
              <w:rPr>
                <w:rFonts w:hint="eastAsia" w:ascii="仿宋_GB2312" w:hAnsi="宋体" w:eastAsia="仿宋_GB2312"/>
                <w:sz w:val="24"/>
              </w:rPr>
            </w:pPr>
          </w:p>
        </w:tc>
      </w:tr>
      <w:tr w14:paraId="7251F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14:paraId="602ED430">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w:t>
            </w:r>
          </w:p>
        </w:tc>
        <w:tc>
          <w:tcPr>
            <w:tcW w:w="1207" w:type="dxa"/>
            <w:vAlign w:val="center"/>
          </w:tcPr>
          <w:p w14:paraId="27BB1375">
            <w:pPr>
              <w:snapToGrid w:val="0"/>
              <w:spacing w:line="320" w:lineRule="exact"/>
              <w:jc w:val="center"/>
              <w:rPr>
                <w:rFonts w:hint="eastAsia" w:ascii="仿宋_GB2312" w:hAnsi="宋体" w:eastAsia="仿宋_GB2312"/>
                <w:sz w:val="24"/>
              </w:rPr>
            </w:pPr>
          </w:p>
        </w:tc>
        <w:tc>
          <w:tcPr>
            <w:tcW w:w="1134" w:type="dxa"/>
            <w:vAlign w:val="center"/>
          </w:tcPr>
          <w:p w14:paraId="75EAA613">
            <w:pPr>
              <w:snapToGrid w:val="0"/>
              <w:spacing w:line="320" w:lineRule="exact"/>
              <w:jc w:val="center"/>
              <w:rPr>
                <w:rFonts w:hint="eastAsia" w:ascii="仿宋_GB2312" w:hAnsi="宋体" w:eastAsia="仿宋_GB2312"/>
                <w:sz w:val="24"/>
              </w:rPr>
            </w:pPr>
          </w:p>
        </w:tc>
        <w:tc>
          <w:tcPr>
            <w:tcW w:w="1037" w:type="dxa"/>
            <w:vAlign w:val="center"/>
          </w:tcPr>
          <w:p w14:paraId="0F807F1D">
            <w:pPr>
              <w:snapToGrid w:val="0"/>
              <w:spacing w:line="320" w:lineRule="exact"/>
              <w:jc w:val="center"/>
              <w:rPr>
                <w:rFonts w:hint="eastAsia" w:ascii="仿宋_GB2312" w:hAnsi="宋体" w:eastAsia="仿宋_GB2312"/>
                <w:sz w:val="24"/>
              </w:rPr>
            </w:pPr>
          </w:p>
        </w:tc>
        <w:tc>
          <w:tcPr>
            <w:tcW w:w="1161" w:type="dxa"/>
            <w:vAlign w:val="center"/>
          </w:tcPr>
          <w:p w14:paraId="17963DE2">
            <w:pPr>
              <w:snapToGrid w:val="0"/>
              <w:spacing w:line="320" w:lineRule="exact"/>
              <w:jc w:val="center"/>
              <w:rPr>
                <w:rFonts w:hint="eastAsia" w:ascii="仿宋_GB2312" w:hAnsi="宋体" w:eastAsia="仿宋_GB2312"/>
                <w:sz w:val="24"/>
              </w:rPr>
            </w:pPr>
          </w:p>
        </w:tc>
        <w:tc>
          <w:tcPr>
            <w:tcW w:w="903" w:type="dxa"/>
            <w:vAlign w:val="center"/>
          </w:tcPr>
          <w:p w14:paraId="1CF9D8CC">
            <w:pPr>
              <w:snapToGrid w:val="0"/>
              <w:spacing w:line="320" w:lineRule="exact"/>
              <w:jc w:val="center"/>
              <w:rPr>
                <w:rFonts w:hint="eastAsia" w:ascii="仿宋_GB2312" w:hAnsi="宋体" w:eastAsia="仿宋_GB2312"/>
                <w:sz w:val="24"/>
              </w:rPr>
            </w:pPr>
          </w:p>
        </w:tc>
        <w:tc>
          <w:tcPr>
            <w:tcW w:w="892" w:type="dxa"/>
            <w:vAlign w:val="center"/>
          </w:tcPr>
          <w:p w14:paraId="58AD86D9">
            <w:pPr>
              <w:snapToGrid w:val="0"/>
              <w:spacing w:line="320" w:lineRule="exact"/>
              <w:jc w:val="center"/>
              <w:rPr>
                <w:rFonts w:hint="eastAsia" w:ascii="仿宋_GB2312" w:hAnsi="宋体" w:eastAsia="仿宋_GB2312"/>
                <w:sz w:val="24"/>
              </w:rPr>
            </w:pPr>
          </w:p>
        </w:tc>
        <w:tc>
          <w:tcPr>
            <w:tcW w:w="1422" w:type="dxa"/>
            <w:vAlign w:val="center"/>
          </w:tcPr>
          <w:p w14:paraId="4E846D1A">
            <w:pPr>
              <w:snapToGrid w:val="0"/>
              <w:spacing w:line="320" w:lineRule="exact"/>
              <w:jc w:val="center"/>
              <w:rPr>
                <w:rFonts w:hint="eastAsia" w:ascii="仿宋_GB2312" w:hAnsi="宋体" w:eastAsia="仿宋_GB2312"/>
                <w:sz w:val="24"/>
              </w:rPr>
            </w:pPr>
          </w:p>
        </w:tc>
        <w:tc>
          <w:tcPr>
            <w:tcW w:w="1418" w:type="dxa"/>
            <w:vAlign w:val="center"/>
          </w:tcPr>
          <w:p w14:paraId="4CC4D44F">
            <w:pPr>
              <w:snapToGrid w:val="0"/>
              <w:spacing w:line="320" w:lineRule="exact"/>
              <w:jc w:val="center"/>
              <w:rPr>
                <w:rFonts w:hint="eastAsia" w:ascii="仿宋_GB2312" w:hAnsi="宋体" w:eastAsia="仿宋_GB2312"/>
                <w:sz w:val="24"/>
              </w:rPr>
            </w:pPr>
          </w:p>
        </w:tc>
      </w:tr>
      <w:tr w14:paraId="62DCE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14:paraId="5D526BD1">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N</w:t>
            </w:r>
          </w:p>
        </w:tc>
        <w:tc>
          <w:tcPr>
            <w:tcW w:w="1207" w:type="dxa"/>
            <w:vAlign w:val="center"/>
          </w:tcPr>
          <w:p w14:paraId="11CC719E">
            <w:pPr>
              <w:snapToGrid w:val="0"/>
              <w:spacing w:line="320" w:lineRule="exact"/>
              <w:jc w:val="center"/>
              <w:rPr>
                <w:rFonts w:hint="eastAsia" w:ascii="仿宋_GB2312" w:hAnsi="宋体" w:eastAsia="仿宋_GB2312"/>
                <w:sz w:val="24"/>
              </w:rPr>
            </w:pPr>
          </w:p>
        </w:tc>
        <w:tc>
          <w:tcPr>
            <w:tcW w:w="1134" w:type="dxa"/>
            <w:vAlign w:val="center"/>
          </w:tcPr>
          <w:p w14:paraId="40793050">
            <w:pPr>
              <w:snapToGrid w:val="0"/>
              <w:spacing w:line="320" w:lineRule="exact"/>
              <w:jc w:val="center"/>
              <w:rPr>
                <w:rFonts w:hint="eastAsia" w:ascii="仿宋_GB2312" w:hAnsi="宋体" w:eastAsia="仿宋_GB2312"/>
                <w:sz w:val="24"/>
              </w:rPr>
            </w:pPr>
          </w:p>
        </w:tc>
        <w:tc>
          <w:tcPr>
            <w:tcW w:w="1037" w:type="dxa"/>
            <w:vAlign w:val="center"/>
          </w:tcPr>
          <w:p w14:paraId="2CD0D215">
            <w:pPr>
              <w:snapToGrid w:val="0"/>
              <w:spacing w:line="320" w:lineRule="exact"/>
              <w:jc w:val="center"/>
              <w:rPr>
                <w:rFonts w:hint="eastAsia" w:ascii="仿宋_GB2312" w:hAnsi="宋体" w:eastAsia="仿宋_GB2312"/>
                <w:sz w:val="24"/>
              </w:rPr>
            </w:pPr>
          </w:p>
        </w:tc>
        <w:tc>
          <w:tcPr>
            <w:tcW w:w="1161" w:type="dxa"/>
            <w:vAlign w:val="center"/>
          </w:tcPr>
          <w:p w14:paraId="706E6770">
            <w:pPr>
              <w:snapToGrid w:val="0"/>
              <w:spacing w:line="320" w:lineRule="exact"/>
              <w:jc w:val="center"/>
              <w:rPr>
                <w:rFonts w:hint="eastAsia" w:ascii="仿宋_GB2312" w:hAnsi="宋体" w:eastAsia="仿宋_GB2312"/>
                <w:sz w:val="24"/>
              </w:rPr>
            </w:pPr>
          </w:p>
        </w:tc>
        <w:tc>
          <w:tcPr>
            <w:tcW w:w="903" w:type="dxa"/>
            <w:vAlign w:val="center"/>
          </w:tcPr>
          <w:p w14:paraId="1234FB8D">
            <w:pPr>
              <w:snapToGrid w:val="0"/>
              <w:spacing w:line="320" w:lineRule="exact"/>
              <w:jc w:val="center"/>
              <w:rPr>
                <w:rFonts w:hint="eastAsia" w:ascii="仿宋_GB2312" w:hAnsi="宋体" w:eastAsia="仿宋_GB2312"/>
                <w:sz w:val="24"/>
              </w:rPr>
            </w:pPr>
          </w:p>
        </w:tc>
        <w:tc>
          <w:tcPr>
            <w:tcW w:w="892" w:type="dxa"/>
            <w:vAlign w:val="center"/>
          </w:tcPr>
          <w:p w14:paraId="0131E83C">
            <w:pPr>
              <w:snapToGrid w:val="0"/>
              <w:spacing w:line="320" w:lineRule="exact"/>
              <w:jc w:val="center"/>
              <w:rPr>
                <w:rFonts w:hint="eastAsia" w:ascii="仿宋_GB2312" w:hAnsi="宋体" w:eastAsia="仿宋_GB2312"/>
                <w:sz w:val="24"/>
              </w:rPr>
            </w:pPr>
          </w:p>
        </w:tc>
        <w:tc>
          <w:tcPr>
            <w:tcW w:w="1422" w:type="dxa"/>
            <w:vAlign w:val="center"/>
          </w:tcPr>
          <w:p w14:paraId="69B71564">
            <w:pPr>
              <w:snapToGrid w:val="0"/>
              <w:spacing w:line="320" w:lineRule="exact"/>
              <w:jc w:val="center"/>
              <w:rPr>
                <w:rFonts w:hint="eastAsia" w:ascii="仿宋_GB2312" w:hAnsi="宋体" w:eastAsia="仿宋_GB2312"/>
                <w:sz w:val="24"/>
              </w:rPr>
            </w:pPr>
          </w:p>
        </w:tc>
        <w:tc>
          <w:tcPr>
            <w:tcW w:w="1418" w:type="dxa"/>
            <w:vAlign w:val="center"/>
          </w:tcPr>
          <w:p w14:paraId="552F7ECC">
            <w:pPr>
              <w:snapToGrid w:val="0"/>
              <w:spacing w:line="320" w:lineRule="exact"/>
              <w:jc w:val="center"/>
              <w:rPr>
                <w:rFonts w:hint="eastAsia" w:ascii="仿宋_GB2312" w:hAnsi="宋体" w:eastAsia="仿宋_GB2312"/>
                <w:sz w:val="24"/>
              </w:rPr>
            </w:pPr>
          </w:p>
        </w:tc>
      </w:tr>
      <w:tr w14:paraId="4B406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810" w:type="dxa"/>
            <w:gridSpan w:val="9"/>
            <w:vAlign w:val="center"/>
          </w:tcPr>
          <w:p w14:paraId="03951DAF">
            <w:pPr>
              <w:snapToGrid w:val="0"/>
              <w:spacing w:line="320" w:lineRule="exact"/>
              <w:rPr>
                <w:rFonts w:hint="eastAsia" w:ascii="仿宋_GB2312" w:hAnsi="宋体" w:eastAsia="仿宋_GB2312"/>
                <w:sz w:val="24"/>
              </w:rPr>
            </w:pPr>
            <w:r>
              <w:rPr>
                <w:rFonts w:hint="eastAsia" w:ascii="仿宋_GB2312" w:hAnsi="宋体" w:eastAsia="仿宋_GB2312"/>
                <w:sz w:val="24"/>
              </w:rPr>
              <w:t>人民币合计金额（大写） ：                         （小写）：¥</w:t>
            </w:r>
            <w:r>
              <w:rPr>
                <w:rFonts w:hint="eastAsia" w:ascii="仿宋_GB2312" w:hAnsi="宋体" w:eastAsia="仿宋_GB2312"/>
                <w:sz w:val="24"/>
                <w:u w:val="single"/>
              </w:rPr>
              <w:t xml:space="preserve">               </w:t>
            </w:r>
          </w:p>
        </w:tc>
      </w:tr>
    </w:tbl>
    <w:p w14:paraId="502C2B9B">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合同合计金额包括货物价款，标准附件、备品备件、专用工具、包装、运输、装卸、保险、税金、办理免税手续相关费用、货到就位以及安装、调试、培训、保修等一切税金和费用。如招投标文件对其另有规定的，从其规定。</w:t>
      </w:r>
    </w:p>
    <w:p w14:paraId="1EEC2900">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第二条　质量保证</w:t>
      </w:r>
    </w:p>
    <w:p w14:paraId="6EF9170B">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1.乙方所提供的货物型号、技术规格、技术参数等质量必须与招投标文件和承诺相一致。乙方提供的节能和环保产品必须是列入政府采购清单的产品。</w:t>
      </w:r>
    </w:p>
    <w:p w14:paraId="6B637ADE">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2.乙方所提供的货物必须是全新、未使用的原装产品，且在正常安装、使用和保养条件下，其使用寿命期内各项指标均达到质量要求。</w:t>
      </w:r>
    </w:p>
    <w:p w14:paraId="535D1A6D">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第三条　权利保证</w:t>
      </w:r>
    </w:p>
    <w:p w14:paraId="72FC4108">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1.乙方应保证所提供货物在使用时不会侵犯任何第三方的专利权、商标权、工业设计权或其他权利。</w:t>
      </w:r>
    </w:p>
    <w:p w14:paraId="13FAF97B">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2.乙方应按招标文件规定的时间向甲方提供使用货物的有关技术资料。</w:t>
      </w:r>
    </w:p>
    <w:p w14:paraId="66E2D946">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05A9387B">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4.乙方保证所交付的货物的所有权完全属于乙方且无任何抵押、查封等产权瑕疵。</w:t>
      </w:r>
    </w:p>
    <w:p w14:paraId="0CE75AD0">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第四条　包装和运输</w:t>
      </w:r>
    </w:p>
    <w:p w14:paraId="05F401A9">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1.乙方提供的货物均应按招投标文件要求的包装材料、包装标准、包装方式进行包装，每一包装单元内应附详细的装箱单和质量合格证。</w:t>
      </w:r>
    </w:p>
    <w:p w14:paraId="26F9C94D">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2.货物的运输方式：</w:t>
      </w:r>
      <w:r>
        <w:rPr>
          <w:rFonts w:hint="eastAsia" w:ascii="仿宋_GB2312" w:hAnsi="宋体" w:eastAsia="仿宋_GB2312"/>
          <w:sz w:val="24"/>
          <w:u w:val="single"/>
        </w:rPr>
        <w:t xml:space="preserve">                            </w:t>
      </w:r>
      <w:r>
        <w:rPr>
          <w:rFonts w:hint="eastAsia" w:ascii="仿宋_GB2312" w:hAnsi="宋体" w:eastAsia="仿宋_GB2312"/>
          <w:sz w:val="24"/>
        </w:rPr>
        <w:t>。</w:t>
      </w:r>
    </w:p>
    <w:p w14:paraId="30D43AA5">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3.乙方负责货物运输，货物运输合理损耗及计算方法：</w:t>
      </w:r>
      <w:r>
        <w:rPr>
          <w:rFonts w:hint="eastAsia" w:ascii="仿宋_GB2312" w:hAnsi="宋体" w:eastAsia="仿宋_GB2312"/>
          <w:sz w:val="24"/>
          <w:u w:val="single"/>
        </w:rPr>
        <w:t xml:space="preserve">                                   </w:t>
      </w:r>
      <w:r>
        <w:rPr>
          <w:rFonts w:hint="eastAsia" w:ascii="仿宋_GB2312" w:hAnsi="宋体" w:eastAsia="仿宋_GB2312"/>
          <w:sz w:val="24"/>
        </w:rPr>
        <w:t>。</w:t>
      </w:r>
    </w:p>
    <w:p w14:paraId="7DFBAE11">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第五条　交付和验收</w:t>
      </w:r>
    </w:p>
    <w:p w14:paraId="2FDF35BE">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1.交货时间：</w:t>
      </w:r>
      <w:r>
        <w:rPr>
          <w:rFonts w:hint="eastAsia" w:ascii="仿宋_GB2312" w:hAnsi="宋体" w:eastAsia="仿宋_GB2312"/>
          <w:sz w:val="24"/>
          <w:u w:val="single"/>
        </w:rPr>
        <w:t xml:space="preserve">                                  </w:t>
      </w:r>
      <w:r>
        <w:rPr>
          <w:rFonts w:hint="eastAsia" w:ascii="仿宋_GB2312" w:hAnsi="宋体" w:eastAsia="仿宋_GB2312"/>
          <w:sz w:val="24"/>
        </w:rPr>
        <w:t>、地点：</w:t>
      </w:r>
      <w:r>
        <w:rPr>
          <w:rFonts w:hint="eastAsia" w:ascii="仿宋_GB2312" w:hAnsi="宋体" w:eastAsia="仿宋_GB2312"/>
          <w:sz w:val="24"/>
          <w:u w:val="single"/>
        </w:rPr>
        <w:t xml:space="preserve">                             </w:t>
      </w:r>
      <w:r>
        <w:rPr>
          <w:rFonts w:hint="eastAsia" w:ascii="仿宋_GB2312" w:hAnsi="宋体" w:eastAsia="仿宋_GB2312"/>
          <w:sz w:val="24"/>
        </w:rPr>
        <w:t>。</w:t>
      </w:r>
    </w:p>
    <w:p w14:paraId="2DE77C33">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2.乙方提供不符合招投标文件和本合同规定的货物，甲方有权拒绝接受。</w:t>
      </w:r>
    </w:p>
    <w:p w14:paraId="3E4B3EC7">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3.乙方应将所提供货物的装箱清单、用户手册、原厂保修卡、随机资料、工具和备品、备件等交付给甲方，如有缺失应及时补齐，否则视为逾期交货。</w:t>
      </w:r>
    </w:p>
    <w:p w14:paraId="2210846C">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4.甲方应当在到货（安装、调试完）后七个工作日内进行验收，逾期不验收的，乙方可视同验收合格。验收合格后由甲乙双方签署货物验收单并加盖采购单位公章，甲乙双方各执一份。</w:t>
      </w:r>
    </w:p>
    <w:p w14:paraId="231E2056">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5.采购人委托政府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5F9BCC3B">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6.甲方对验收有异议的，在验收后五个工作日内以书面形式向乙方提出，乙方应自收到甲方书面异议后</w:t>
      </w:r>
      <w:r>
        <w:rPr>
          <w:rFonts w:hint="eastAsia" w:ascii="仿宋_GB2312" w:hAnsi="仿宋" w:eastAsia="仿宋_GB2312"/>
          <w:sz w:val="24"/>
          <w:u w:val="single"/>
        </w:rPr>
        <w:t>五</w:t>
      </w:r>
      <w:r>
        <w:rPr>
          <w:rFonts w:hint="eastAsia" w:ascii="仿宋_GB2312" w:hAnsi="宋体" w:eastAsia="仿宋_GB2312"/>
          <w:sz w:val="24"/>
        </w:rPr>
        <w:t>日内及时予以解决。</w:t>
      </w:r>
    </w:p>
    <w:p w14:paraId="4A78345B">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第六条　安装和培训</w:t>
      </w:r>
    </w:p>
    <w:p w14:paraId="21A4EC5F">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1.甲方应提供必要安装条件（如场地、电源、水源等）。</w:t>
      </w:r>
    </w:p>
    <w:p w14:paraId="6BE4821F">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2.乙方负责甲方有关人员的培训。培训时间、地点：</w:t>
      </w:r>
      <w:r>
        <w:rPr>
          <w:rFonts w:hint="eastAsia" w:ascii="仿宋_GB2312" w:hAnsi="宋体" w:eastAsia="仿宋_GB2312"/>
          <w:sz w:val="24"/>
          <w:u w:val="single"/>
        </w:rPr>
        <w:t>与甲方商议</w:t>
      </w:r>
      <w:r>
        <w:rPr>
          <w:rFonts w:hint="eastAsia" w:ascii="仿宋_GB2312" w:hAnsi="宋体" w:eastAsia="仿宋_GB2312"/>
          <w:sz w:val="24"/>
        </w:rPr>
        <w:t>。</w:t>
      </w:r>
    </w:p>
    <w:p w14:paraId="34FBDB7A">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第七条  售后服务</w:t>
      </w:r>
    </w:p>
    <w:p w14:paraId="504234D7">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1.乙方应按照国家有关法律法规和“三包”规定以及招投标文件和本合同所附的《服务承诺》，为甲方提供售后服务。</w:t>
      </w:r>
    </w:p>
    <w:p w14:paraId="710A4EA1">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2.货物保修期：</w:t>
      </w:r>
      <w:r>
        <w:rPr>
          <w:rFonts w:hint="eastAsia" w:ascii="仿宋_GB2312" w:hAnsi="宋体" w:eastAsia="仿宋_GB2312"/>
          <w:sz w:val="24"/>
          <w:u w:val="single"/>
        </w:rPr>
        <w:t>详见投标文件及合同附件。</w:t>
      </w:r>
    </w:p>
    <w:p w14:paraId="312CF47E">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3.乙方提供的服务承诺和售后服务及保修期责任等其它具体约定事项。（见合同附件）</w:t>
      </w:r>
    </w:p>
    <w:p w14:paraId="477222BC">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4.售后服务、保修时间从项目整体验收合格之日起计算。</w:t>
      </w:r>
    </w:p>
    <w:p w14:paraId="155902A1">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第八条　付款方式</w:t>
      </w:r>
    </w:p>
    <w:p w14:paraId="5D0654DC">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1.当采购数量与实际使用数量不一致时，乙方应根据实际使用量供货，合同的最终结算金额按实际使用量乘以成交单价进行计算。</w:t>
      </w:r>
    </w:p>
    <w:p w14:paraId="615C95B0">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2.资金性质：财政性资金。</w:t>
      </w:r>
    </w:p>
    <w:p w14:paraId="0A8A5347">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3.付款方式：财政性资金按财政国库集中支付规定程序办理。货物验收合格正常使用后    工作日支付合同总金额的</w:t>
      </w:r>
      <w:r>
        <w:rPr>
          <w:rFonts w:hint="eastAsia" w:ascii="仿宋_GB2312" w:hAnsi="宋体" w:eastAsia="仿宋_GB2312"/>
          <w:sz w:val="24"/>
          <w:u w:val="single"/>
        </w:rPr>
        <w:t xml:space="preserve">        </w:t>
      </w:r>
      <w:r>
        <w:rPr>
          <w:rFonts w:hint="eastAsia" w:ascii="仿宋_GB2312" w:hAnsi="宋体" w:eastAsia="仿宋_GB2312"/>
          <w:sz w:val="24"/>
        </w:rPr>
        <w:t>%，余下的</w:t>
      </w:r>
      <w:r>
        <w:rPr>
          <w:rFonts w:hint="eastAsia" w:ascii="仿宋_GB2312" w:hAnsi="宋体" w:eastAsia="仿宋_GB2312"/>
          <w:sz w:val="24"/>
          <w:u w:val="single"/>
        </w:rPr>
        <w:t xml:space="preserve">        </w:t>
      </w:r>
      <w:r>
        <w:rPr>
          <w:rFonts w:hint="eastAsia" w:ascii="仿宋_GB2312" w:hAnsi="宋体" w:eastAsia="仿宋_GB2312"/>
          <w:sz w:val="24"/>
        </w:rPr>
        <w:t>%在质量保证期过后五个工作日内一次性付清。</w:t>
      </w:r>
    </w:p>
    <w:p w14:paraId="7FAEC7A8">
      <w:pPr>
        <w:snapToGrid w:val="0"/>
        <w:spacing w:line="276" w:lineRule="auto"/>
        <w:ind w:firstLine="482" w:firstLineChars="200"/>
        <w:rPr>
          <w:rFonts w:hint="eastAsia" w:ascii="仿宋_GB2312" w:hAnsi="宋体" w:eastAsia="仿宋_GB2312"/>
          <w:b/>
          <w:sz w:val="24"/>
        </w:rPr>
      </w:pPr>
      <w:r>
        <w:rPr>
          <w:rFonts w:hint="eastAsia" w:ascii="仿宋_GB2312" w:hAnsi="宋体" w:eastAsia="仿宋_GB2312"/>
          <w:b/>
          <w:sz w:val="24"/>
        </w:rPr>
        <w:t>第九条  税费</w:t>
      </w:r>
    </w:p>
    <w:p w14:paraId="67C683BB">
      <w:pPr>
        <w:snapToGrid w:val="0"/>
        <w:spacing w:line="276" w:lineRule="auto"/>
        <w:ind w:firstLine="480" w:firstLineChars="200"/>
        <w:rPr>
          <w:rFonts w:hint="eastAsia" w:ascii="仿宋_GB2312" w:hAnsi="宋体" w:eastAsia="仿宋_GB2312"/>
          <w:sz w:val="24"/>
        </w:rPr>
      </w:pPr>
      <w:r>
        <w:rPr>
          <w:rFonts w:hint="eastAsia" w:ascii="仿宋_GB2312" w:hAnsi="宋体" w:eastAsia="仿宋_GB2312"/>
          <w:sz w:val="24"/>
        </w:rPr>
        <w:t>本合同执行中相关的一切税费均由乙方负担。</w:t>
      </w:r>
    </w:p>
    <w:p w14:paraId="1B606B33">
      <w:pPr>
        <w:snapToGrid w:val="0"/>
        <w:spacing w:line="276" w:lineRule="auto"/>
        <w:ind w:firstLine="482" w:firstLineChars="200"/>
        <w:rPr>
          <w:rFonts w:hint="eastAsia" w:ascii="仿宋_GB2312" w:hAnsi="宋体" w:eastAsia="仿宋_GB2312"/>
          <w:b/>
          <w:sz w:val="24"/>
        </w:rPr>
      </w:pPr>
      <w:r>
        <w:rPr>
          <w:rFonts w:hint="eastAsia" w:ascii="仿宋_GB2312" w:hAnsi="宋体" w:eastAsia="仿宋_GB2312"/>
          <w:b/>
          <w:sz w:val="24"/>
        </w:rPr>
        <w:t>第十条  质量保证及售后服务</w:t>
      </w:r>
    </w:p>
    <w:p w14:paraId="31D730D3">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1.乙方应按招标文件规定的货物性能、技术要求、质量标准向甲方提供未经使用的全新产品。不符合要求的，根据实际情况，经双方协商，可按以下办法处理：</w:t>
      </w:r>
    </w:p>
    <w:p w14:paraId="6A2DB32F">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⑴更换：由乙方承担所发生的全部费用。</w:t>
      </w:r>
    </w:p>
    <w:p w14:paraId="4593F047">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⑵贬值处理：由甲乙双方合议定价。</w:t>
      </w:r>
    </w:p>
    <w:p w14:paraId="22F32941">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⑶退货处理：乙方应退还甲方支付的合同款，同时应承担该货物的直接费用（运输、保险、检验、货款利息及银行手续费等）。</w:t>
      </w:r>
    </w:p>
    <w:p w14:paraId="50B9131A">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2.如在使用过程中发生质量问题，乙方在接到甲方通知后在</w:t>
      </w:r>
      <w:r>
        <w:rPr>
          <w:rFonts w:hint="eastAsia" w:ascii="仿宋_GB2312" w:hAnsi="宋体" w:eastAsia="仿宋_GB2312" w:cs="Courier New"/>
          <w:sz w:val="24"/>
          <w:u w:val="single"/>
        </w:rPr>
        <w:t xml:space="preserve">    </w:t>
      </w:r>
      <w:r>
        <w:rPr>
          <w:rFonts w:hint="eastAsia" w:ascii="仿宋_GB2312" w:hAnsi="宋体" w:eastAsia="仿宋_GB2312" w:cs="Courier New"/>
          <w:sz w:val="24"/>
        </w:rPr>
        <w:t>小时内到达甲方现场。</w:t>
      </w:r>
    </w:p>
    <w:p w14:paraId="18E5DB4A">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3.在质保期内，乙方应对货物出现的质量及安全问题负责处理解决并承担一切费用。</w:t>
      </w:r>
    </w:p>
    <w:p w14:paraId="541175EB">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4.上述的货物免费保修期为</w:t>
      </w:r>
      <w:r>
        <w:rPr>
          <w:rFonts w:hint="eastAsia" w:ascii="仿宋_GB2312" w:hAnsi="宋体" w:eastAsia="仿宋_GB2312" w:cs="Courier New"/>
          <w:sz w:val="24"/>
          <w:u w:val="single"/>
        </w:rPr>
        <w:t xml:space="preserve">     </w:t>
      </w:r>
      <w:r>
        <w:rPr>
          <w:rFonts w:hint="eastAsia" w:ascii="仿宋_GB2312" w:hAnsi="宋体" w:eastAsia="仿宋_GB2312" w:cs="Courier New"/>
          <w:sz w:val="24"/>
        </w:rPr>
        <w:t>年，因人为因素出现的故障不在免费保修范围内。超过保修期的机器设备，终生维修，维修时只收部件成本费。</w:t>
      </w:r>
    </w:p>
    <w:p w14:paraId="4AC9F1EE">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第十一条  调试和验收</w:t>
      </w:r>
    </w:p>
    <w:p w14:paraId="216B9262">
      <w:pPr>
        <w:snapToGrid w:val="0"/>
        <w:spacing w:line="360" w:lineRule="exact"/>
        <w:ind w:right="-611" w:rightChars="-291" w:firstLine="480" w:firstLineChars="200"/>
        <w:jc w:val="left"/>
        <w:rPr>
          <w:rFonts w:hint="eastAsia" w:ascii="仿宋_GB2312" w:hAnsi="宋体" w:eastAsia="仿宋_GB2312"/>
          <w:sz w:val="24"/>
        </w:rPr>
      </w:pPr>
      <w:r>
        <w:rPr>
          <w:rFonts w:hint="eastAsia" w:ascii="仿宋_GB2312" w:hAnsi="宋体" w:eastAsia="仿宋_GB2312"/>
          <w:sz w:val="24"/>
        </w:rPr>
        <w:t>1.甲方对乙方提交的货物依据招标文件上的技术规格要求和国家有关质量标准进行现场初步验收，外观、说明书符合招标文件技术要求的，给予签收，初步验收不合格的不予签收。货到后，甲方应当在到货（安装、调试完）后七个工作日内进行验收。</w:t>
      </w:r>
    </w:p>
    <w:p w14:paraId="13705227">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2.乙方交货前应对产品作出全面检查和对验收文件进行整理，并列出清单，作为甲方收货验收和使用的技术条件依据，检验的结果应随货物交甲方。</w:t>
      </w:r>
    </w:p>
    <w:p w14:paraId="1B9271BB">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3.甲方对乙方提供的货物在使用前进行调试时，乙方需负责安装并培训甲方的使用操作人员，并协助甲方一起调试，直到符合技术要求，甲方才做最终验收。</w:t>
      </w:r>
    </w:p>
    <w:p w14:paraId="457B79D1">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4.对技术复杂的货物，甲方应请国家认可的专业检测机构参与初步验收及最终验收，并由其出具质量检测报告。</w:t>
      </w:r>
    </w:p>
    <w:p w14:paraId="2F83A662">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5.验收时乙方必须在现场，验收完毕后作出验收结果报告；验收费用由乙方负责。</w:t>
      </w:r>
    </w:p>
    <w:p w14:paraId="0559322D">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第十二条  货物包装、发运及运输</w:t>
      </w:r>
    </w:p>
    <w:p w14:paraId="038A953B">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1.乙方应在货物发运前对其进行满足运输距离、防潮、防震、防锈和防破损装卸等要求包装，以保证货物安全运达甲方指定地点。</w:t>
      </w:r>
    </w:p>
    <w:p w14:paraId="524A8920">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2.使用说明书、质量检验证明书、随配附件和工具以及清单一并附于货物内。</w:t>
      </w:r>
    </w:p>
    <w:p w14:paraId="0A9A84A8">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3.乙方在货物发运手续办理完毕后二十四小时内或货到甲方四十八小时前通知甲方，以准备接货。</w:t>
      </w:r>
    </w:p>
    <w:p w14:paraId="1C9F31C0">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4.货物在交付甲方前发生的风险均由乙方负责。</w:t>
      </w:r>
    </w:p>
    <w:p w14:paraId="7FF37212">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5.货物在规定的交付期限内由乙方送达甲方指定的地点视为交付，乙方同时需通知甲方货物已送达。</w:t>
      </w:r>
    </w:p>
    <w:p w14:paraId="4E1FE83F">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第十三条 违约责任</w:t>
      </w:r>
    </w:p>
    <w:p w14:paraId="74C7A272">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 xml:space="preserve">1.乙方所提供的货物规格、技术标准、材料等质量不合格的，应及时更换，更换不及时的按逾期交货处罚；因质量问题甲方不同意接收的或特殊情况甲方同意接收的，乙方应向甲方支付违约货款额 5%违约金并赔偿甲方经济损失。                                       </w:t>
      </w:r>
    </w:p>
    <w:p w14:paraId="151427B9">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2.乙方提供的货物如侵犯了第三方合法权益而引发的任何纠纷或诉讼，均由乙方负责交涉并承担全部责任。</w:t>
      </w:r>
    </w:p>
    <w:p w14:paraId="2533E2AD">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3.因包装、运输引起的货物损坏，按质量不合格处理。</w:t>
      </w:r>
    </w:p>
    <w:p w14:paraId="5F58DE63">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4.甲方无故延期接收货物、乙方逾期交货的，每天向对方偿付违约货款额3‰违约金，但违约金累计不得超过违约货款额</w:t>
      </w:r>
      <w:r>
        <w:rPr>
          <w:rFonts w:hint="eastAsia" w:ascii="仿宋_GB2312" w:hAnsi="宋体" w:eastAsia="仿宋_GB2312"/>
          <w:sz w:val="24"/>
          <w:u w:val="single"/>
        </w:rPr>
        <w:t>5%</w:t>
      </w:r>
      <w:r>
        <w:rPr>
          <w:rFonts w:hint="eastAsia" w:ascii="仿宋_GB2312" w:hAnsi="宋体" w:eastAsia="仿宋_GB2312"/>
          <w:sz w:val="24"/>
        </w:rPr>
        <w:t xml:space="preserve">，超过 </w:t>
      </w:r>
      <w:r>
        <w:rPr>
          <w:rFonts w:hint="eastAsia" w:ascii="仿宋_GB2312" w:hAnsi="宋体" w:eastAsia="仿宋_GB2312"/>
          <w:sz w:val="24"/>
          <w:u w:val="single"/>
        </w:rPr>
        <w:t xml:space="preserve">   </w:t>
      </w:r>
      <w:r>
        <w:rPr>
          <w:rFonts w:hint="eastAsia" w:ascii="仿宋_GB2312" w:hAnsi="宋体" w:eastAsia="仿宋_GB2312"/>
          <w:sz w:val="24"/>
        </w:rPr>
        <w:t>天对方有权解除合同，违约方承担因此给对方造成的经济损失；甲方延期付货款的，每天向乙方偿付延期货款额3‰滞纳金，但滞纳金累计不得超过延期货款额</w:t>
      </w:r>
      <w:r>
        <w:rPr>
          <w:rFonts w:hint="eastAsia" w:ascii="仿宋_GB2312" w:hAnsi="宋体" w:eastAsia="仿宋_GB2312"/>
          <w:sz w:val="24"/>
          <w:u w:val="single"/>
        </w:rPr>
        <w:t>5%</w:t>
      </w:r>
      <w:r>
        <w:rPr>
          <w:rFonts w:hint="eastAsia" w:ascii="仿宋_GB2312" w:hAnsi="宋体" w:eastAsia="仿宋_GB2312"/>
          <w:sz w:val="24"/>
        </w:rPr>
        <w:t>。</w:t>
      </w:r>
    </w:p>
    <w:p w14:paraId="746A2E08">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5.乙方未按本合同和投标文件中规定的服务承诺提供售后服务的，乙方应按本合同合计金额5%向甲方支付违约金。</w:t>
      </w:r>
    </w:p>
    <w:p w14:paraId="6F6DAFFE">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6.乙方提供的货物在质量保证期内，因设计、工艺或材料的缺陷和其它质量原因造成的问题，由乙方负责，费用从未付款项中扣除，不足另补。</w:t>
      </w:r>
    </w:p>
    <w:p w14:paraId="282BE84D">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7.其它违约行为按违约货款额5%收取违约金并赔偿经济损失。</w:t>
      </w:r>
    </w:p>
    <w:p w14:paraId="78941743">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第十四条 不可抗力事件处理</w:t>
      </w:r>
    </w:p>
    <w:p w14:paraId="553464F9">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1.在合同有效期内，任何一方因不可抗力事件导致不能履行合同，则合同履行期可延长，其延长期与不可抗力影响期相同。</w:t>
      </w:r>
    </w:p>
    <w:p w14:paraId="236445B6">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2.不可抗力事件发生后，应立即通知对方，并寄送有关权威机构出具的证明。</w:t>
      </w:r>
    </w:p>
    <w:p w14:paraId="07E00A01">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3.不可抗力事件延续一百二十天以上，双方应通过友好协商，确定是否继续履行合同。</w:t>
      </w:r>
    </w:p>
    <w:p w14:paraId="5ECE3348">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第十五条  合同争议解决</w:t>
      </w:r>
    </w:p>
    <w:p w14:paraId="75DC29CB">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1.因货物质量问题发生争议的，应邀请国家认可的质量检测机构对货物质量进行鉴定。货物符合标准的，鉴定费由甲方承担；货物不符合标准的，鉴定费由乙方承担。</w:t>
      </w:r>
    </w:p>
    <w:p w14:paraId="3443A590">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2.因履行本合同引起的或与本合同有关的争议，甲乙双方应首先通过友好协商解决，如果协商不能解决，可向甲方所在地的人民法院提起诉讼。</w:t>
      </w:r>
    </w:p>
    <w:p w14:paraId="5825EFBC">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3.诉讼期间，本合同继续履行。</w:t>
      </w:r>
    </w:p>
    <w:p w14:paraId="08A52923">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第十六条  合同生效及其它</w:t>
      </w:r>
    </w:p>
    <w:p w14:paraId="7BB80B15">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1.合同经双方法定代表人或授权代表签字并加盖单位公章后生效。</w:t>
      </w:r>
    </w:p>
    <w:p w14:paraId="7D7C7AF7">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2.本合同未尽事宜，遵照《</w:t>
      </w:r>
      <w:r>
        <w:rPr>
          <w:rFonts w:hint="eastAsia" w:ascii="仿宋_GB2312" w:eastAsia="仿宋_GB2312"/>
          <w:sz w:val="24"/>
        </w:rPr>
        <w:t>中华人民共和国民法典</w:t>
      </w:r>
      <w:r>
        <w:rPr>
          <w:rFonts w:hint="eastAsia" w:ascii="仿宋_GB2312" w:hAnsi="宋体" w:eastAsia="仿宋_GB2312"/>
          <w:sz w:val="24"/>
        </w:rPr>
        <w:t>》有关条文执行。</w:t>
      </w:r>
    </w:p>
    <w:p w14:paraId="09DF84C7">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第十七条　合同的变更、终止与转让</w:t>
      </w:r>
    </w:p>
    <w:p w14:paraId="2E427B11">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1.除《中华人民共和国政府采购法》第五十条规定的情形外，本合同一经签订，甲乙双方不得擅自变更、中止或终止。</w:t>
      </w:r>
    </w:p>
    <w:p w14:paraId="54E5276E">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2.乙方不得擅自转让（无进口资格的供应商委托进口货物除外）其应履行的合同义务。</w:t>
      </w:r>
    </w:p>
    <w:p w14:paraId="79742360">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第十八条　签订本合同依据</w:t>
      </w:r>
    </w:p>
    <w:p w14:paraId="593127F2">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1.政府采购招标文件；</w:t>
      </w:r>
    </w:p>
    <w:p w14:paraId="0D70A43F">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2.乙方提供的采购投标（或应答）文件；</w:t>
      </w:r>
    </w:p>
    <w:p w14:paraId="089F11DB">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3.投标承诺书；</w:t>
      </w:r>
    </w:p>
    <w:p w14:paraId="7EEC5AB6">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4.中标或成交通知书。</w:t>
      </w:r>
    </w:p>
    <w:p w14:paraId="4C31E8CB">
      <w:pPr>
        <w:snapToGrid w:val="0"/>
        <w:spacing w:line="360" w:lineRule="exact"/>
        <w:ind w:right="-754" w:rightChars="-359" w:firstLine="482" w:firstLineChars="200"/>
        <w:rPr>
          <w:rFonts w:hint="eastAsia" w:ascii="仿宋_GB2312" w:hAnsi="宋体" w:eastAsia="仿宋_GB2312"/>
          <w:sz w:val="24"/>
        </w:rPr>
      </w:pPr>
      <w:r>
        <w:rPr>
          <w:rFonts w:hint="eastAsia" w:ascii="仿宋_GB2312" w:hAnsi="宋体" w:eastAsia="仿宋_GB2312"/>
          <w:b/>
          <w:sz w:val="24"/>
        </w:rPr>
        <w:t>第十九条</w:t>
      </w:r>
      <w:r>
        <w:rPr>
          <w:rFonts w:hint="eastAsia" w:ascii="楷体_GB2312" w:hAnsi="宋体" w:eastAsia="楷体_GB2312"/>
          <w:b/>
          <w:szCs w:val="21"/>
        </w:rPr>
        <w:t>　</w:t>
      </w:r>
      <w:r>
        <w:rPr>
          <w:rFonts w:hint="eastAsia" w:ascii="仿宋_GB2312" w:hAnsi="宋体" w:eastAsia="仿宋_GB2312"/>
          <w:sz w:val="24"/>
        </w:rPr>
        <w:t>本合同一式</w:t>
      </w:r>
      <w:r>
        <w:rPr>
          <w:rFonts w:hint="eastAsia" w:ascii="仿宋_GB2312" w:hAnsi="宋体" w:eastAsia="仿宋_GB2312"/>
          <w:sz w:val="24"/>
          <w:u w:val="single"/>
        </w:rPr>
        <w:t xml:space="preserve">  </w:t>
      </w:r>
      <w:r>
        <w:rPr>
          <w:rFonts w:hint="eastAsia" w:ascii="仿宋_GB2312" w:hAnsi="宋体" w:eastAsia="仿宋_GB2312"/>
          <w:sz w:val="24"/>
        </w:rPr>
        <w:t>份，具有同等法律效力，采购代理机构</w:t>
      </w:r>
      <w:r>
        <w:rPr>
          <w:rFonts w:hint="eastAsia" w:ascii="仿宋_GB2312" w:hAnsi="宋体" w:eastAsia="仿宋_GB2312"/>
          <w:sz w:val="24"/>
          <w:u w:val="single"/>
        </w:rPr>
        <w:t xml:space="preserve">  </w:t>
      </w:r>
      <w:r>
        <w:rPr>
          <w:rFonts w:hint="eastAsia" w:ascii="仿宋_GB2312" w:hAnsi="宋体" w:eastAsia="仿宋_GB2312"/>
          <w:sz w:val="24"/>
        </w:rPr>
        <w:t>份，甲方</w:t>
      </w:r>
      <w:r>
        <w:rPr>
          <w:rFonts w:hint="eastAsia" w:ascii="仿宋_GB2312" w:hAnsi="宋体" w:eastAsia="仿宋_GB2312"/>
          <w:sz w:val="24"/>
          <w:u w:val="single"/>
        </w:rPr>
        <w:t xml:space="preserve">  </w:t>
      </w:r>
      <w:r>
        <w:rPr>
          <w:rFonts w:hint="eastAsia" w:ascii="仿宋_GB2312" w:hAnsi="宋体" w:eastAsia="仿宋_GB2312"/>
          <w:sz w:val="24"/>
        </w:rPr>
        <w:t>份，乙方</w:t>
      </w:r>
      <w:r>
        <w:rPr>
          <w:rFonts w:hint="eastAsia" w:ascii="仿宋_GB2312" w:hAnsi="宋体" w:eastAsia="仿宋_GB2312"/>
          <w:sz w:val="24"/>
          <w:u w:val="single"/>
        </w:rPr>
        <w:t xml:space="preserve">   </w:t>
      </w:r>
      <w:r>
        <w:rPr>
          <w:rFonts w:hint="eastAsia" w:ascii="仿宋_GB2312" w:hAnsi="宋体" w:eastAsia="仿宋_GB2312"/>
          <w:sz w:val="24"/>
        </w:rPr>
        <w:t>份（可根据需要另增加）。</w:t>
      </w:r>
    </w:p>
    <w:tbl>
      <w:tblPr>
        <w:tblStyle w:val="49"/>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2"/>
        <w:gridCol w:w="4690"/>
      </w:tblGrid>
      <w:tr w14:paraId="5CB66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552" w:type="dxa"/>
            <w:vAlign w:val="center"/>
          </w:tcPr>
          <w:p w14:paraId="669BDA07">
            <w:pPr>
              <w:snapToGrid w:val="0"/>
              <w:spacing w:line="320" w:lineRule="exact"/>
              <w:rPr>
                <w:rFonts w:ascii="仿宋_GB2312" w:eastAsia="仿宋_GB2312"/>
                <w:sz w:val="24"/>
              </w:rPr>
            </w:pPr>
            <w:r>
              <w:rPr>
                <w:rFonts w:hint="eastAsia" w:ascii="仿宋_GB2312" w:eastAsia="仿宋_GB2312"/>
                <w:sz w:val="24"/>
              </w:rPr>
              <w:t xml:space="preserve">甲方（章）           </w:t>
            </w:r>
          </w:p>
          <w:p w14:paraId="5901040D">
            <w:pPr>
              <w:snapToGrid w:val="0"/>
              <w:spacing w:line="320" w:lineRule="exact"/>
              <w:ind w:firstLine="480" w:firstLineChars="200"/>
              <w:rPr>
                <w:rFonts w:ascii="仿宋_GB2312" w:eastAsia="仿宋_GB2312"/>
                <w:sz w:val="24"/>
              </w:rPr>
            </w:pPr>
          </w:p>
          <w:p w14:paraId="69CBD2F8">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c>
          <w:tcPr>
            <w:tcW w:w="4690" w:type="dxa"/>
            <w:vAlign w:val="center"/>
          </w:tcPr>
          <w:p w14:paraId="6BA07596">
            <w:pPr>
              <w:snapToGrid w:val="0"/>
              <w:spacing w:line="320" w:lineRule="exact"/>
              <w:rPr>
                <w:rFonts w:ascii="仿宋_GB2312" w:eastAsia="仿宋_GB2312"/>
                <w:sz w:val="24"/>
              </w:rPr>
            </w:pPr>
            <w:r>
              <w:rPr>
                <w:rFonts w:hint="eastAsia" w:ascii="仿宋_GB2312" w:eastAsia="仿宋_GB2312"/>
                <w:sz w:val="24"/>
              </w:rPr>
              <w:t xml:space="preserve">乙方（章）              </w:t>
            </w:r>
          </w:p>
          <w:p w14:paraId="2476B464">
            <w:pPr>
              <w:snapToGrid w:val="0"/>
              <w:spacing w:line="320" w:lineRule="exact"/>
              <w:ind w:firstLine="480" w:firstLineChars="200"/>
              <w:rPr>
                <w:rFonts w:ascii="仿宋_GB2312" w:eastAsia="仿宋_GB2312"/>
                <w:sz w:val="24"/>
              </w:rPr>
            </w:pPr>
          </w:p>
          <w:p w14:paraId="2C17D0DA">
            <w:pPr>
              <w:snapToGrid w:val="0"/>
              <w:spacing w:line="320" w:lineRule="exact"/>
              <w:ind w:firstLine="480" w:firstLineChars="200"/>
              <w:jc w:val="right"/>
              <w:rPr>
                <w:rFonts w:ascii="仿宋_GB2312" w:eastAsia="仿宋_GB2312"/>
                <w:sz w:val="24"/>
              </w:rPr>
            </w:pPr>
            <w:r>
              <w:rPr>
                <w:rFonts w:hint="eastAsia" w:ascii="仿宋_GB2312" w:eastAsia="仿宋_GB2312"/>
                <w:sz w:val="24"/>
              </w:rPr>
              <w:t xml:space="preserve"> 年   月   日</w:t>
            </w:r>
          </w:p>
        </w:tc>
      </w:tr>
      <w:tr w14:paraId="30EA0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552" w:type="dxa"/>
            <w:vAlign w:val="center"/>
          </w:tcPr>
          <w:p w14:paraId="30F34224">
            <w:pPr>
              <w:snapToGrid w:val="0"/>
              <w:spacing w:line="320" w:lineRule="exact"/>
              <w:rPr>
                <w:rFonts w:ascii="仿宋_GB2312" w:eastAsia="仿宋_GB2312"/>
                <w:sz w:val="24"/>
              </w:rPr>
            </w:pPr>
            <w:r>
              <w:rPr>
                <w:rFonts w:hint="eastAsia" w:ascii="仿宋_GB2312" w:eastAsia="仿宋_GB2312"/>
                <w:sz w:val="24"/>
              </w:rPr>
              <w:t>单位地址：</w:t>
            </w:r>
          </w:p>
        </w:tc>
        <w:tc>
          <w:tcPr>
            <w:tcW w:w="4690" w:type="dxa"/>
            <w:vAlign w:val="center"/>
          </w:tcPr>
          <w:p w14:paraId="6B38A69E">
            <w:pPr>
              <w:snapToGrid w:val="0"/>
              <w:spacing w:line="320" w:lineRule="exact"/>
              <w:rPr>
                <w:rFonts w:ascii="仿宋_GB2312" w:eastAsia="仿宋_GB2312"/>
                <w:sz w:val="24"/>
              </w:rPr>
            </w:pPr>
            <w:r>
              <w:rPr>
                <w:rFonts w:hint="eastAsia" w:ascii="仿宋_GB2312" w:eastAsia="仿宋_GB2312"/>
                <w:sz w:val="24"/>
              </w:rPr>
              <w:t>单位地址：</w:t>
            </w:r>
          </w:p>
        </w:tc>
      </w:tr>
      <w:tr w14:paraId="4E3A2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552" w:type="dxa"/>
            <w:vAlign w:val="center"/>
          </w:tcPr>
          <w:p w14:paraId="0D8F1E31">
            <w:pPr>
              <w:snapToGrid w:val="0"/>
              <w:spacing w:line="320" w:lineRule="exact"/>
              <w:rPr>
                <w:rFonts w:ascii="仿宋_GB2312" w:eastAsia="仿宋_GB2312"/>
                <w:sz w:val="24"/>
              </w:rPr>
            </w:pPr>
            <w:r>
              <w:rPr>
                <w:rFonts w:hint="eastAsia" w:ascii="仿宋_GB2312" w:eastAsia="仿宋_GB2312"/>
                <w:sz w:val="24"/>
              </w:rPr>
              <w:t>法定代表人：</w:t>
            </w:r>
          </w:p>
        </w:tc>
        <w:tc>
          <w:tcPr>
            <w:tcW w:w="4690" w:type="dxa"/>
            <w:vAlign w:val="center"/>
          </w:tcPr>
          <w:p w14:paraId="42EFC78F">
            <w:pPr>
              <w:snapToGrid w:val="0"/>
              <w:spacing w:line="320" w:lineRule="exact"/>
              <w:rPr>
                <w:rFonts w:ascii="仿宋_GB2312" w:eastAsia="仿宋_GB2312"/>
                <w:sz w:val="24"/>
              </w:rPr>
            </w:pPr>
            <w:r>
              <w:rPr>
                <w:rFonts w:hint="eastAsia" w:ascii="仿宋_GB2312" w:eastAsia="仿宋_GB2312"/>
                <w:sz w:val="24"/>
              </w:rPr>
              <w:t>法定代表人：</w:t>
            </w:r>
          </w:p>
        </w:tc>
      </w:tr>
      <w:tr w14:paraId="766E0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552" w:type="dxa"/>
            <w:vAlign w:val="center"/>
          </w:tcPr>
          <w:p w14:paraId="78CA017C">
            <w:pPr>
              <w:snapToGrid w:val="0"/>
              <w:spacing w:line="320" w:lineRule="exact"/>
              <w:rPr>
                <w:rFonts w:ascii="仿宋_GB2312" w:eastAsia="仿宋_GB2312"/>
                <w:sz w:val="24"/>
              </w:rPr>
            </w:pPr>
            <w:r>
              <w:rPr>
                <w:rFonts w:hint="eastAsia" w:ascii="仿宋_GB2312" w:eastAsia="仿宋_GB2312"/>
                <w:sz w:val="24"/>
              </w:rPr>
              <w:t>委托代理人：</w:t>
            </w:r>
          </w:p>
        </w:tc>
        <w:tc>
          <w:tcPr>
            <w:tcW w:w="4690" w:type="dxa"/>
            <w:vAlign w:val="center"/>
          </w:tcPr>
          <w:p w14:paraId="21031350">
            <w:pPr>
              <w:snapToGrid w:val="0"/>
              <w:spacing w:line="320" w:lineRule="exact"/>
              <w:rPr>
                <w:rFonts w:ascii="仿宋_GB2312" w:eastAsia="仿宋_GB2312"/>
                <w:sz w:val="24"/>
              </w:rPr>
            </w:pPr>
            <w:r>
              <w:rPr>
                <w:rFonts w:hint="eastAsia" w:ascii="仿宋_GB2312" w:eastAsia="仿宋_GB2312"/>
                <w:sz w:val="24"/>
              </w:rPr>
              <w:t>委托代理人：</w:t>
            </w:r>
          </w:p>
        </w:tc>
      </w:tr>
      <w:tr w14:paraId="1886D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552" w:type="dxa"/>
            <w:vAlign w:val="center"/>
          </w:tcPr>
          <w:p w14:paraId="3C7AB576">
            <w:pPr>
              <w:snapToGrid w:val="0"/>
              <w:spacing w:line="320" w:lineRule="exact"/>
              <w:rPr>
                <w:rFonts w:ascii="仿宋_GB2312" w:eastAsia="仿宋_GB2312"/>
                <w:sz w:val="24"/>
              </w:rPr>
            </w:pPr>
            <w:r>
              <w:rPr>
                <w:rFonts w:hint="eastAsia" w:ascii="仿宋_GB2312" w:eastAsia="仿宋_GB2312"/>
                <w:sz w:val="24"/>
              </w:rPr>
              <w:t>电    话：</w:t>
            </w:r>
          </w:p>
        </w:tc>
        <w:tc>
          <w:tcPr>
            <w:tcW w:w="4690" w:type="dxa"/>
            <w:vAlign w:val="center"/>
          </w:tcPr>
          <w:p w14:paraId="7DAC5ED8">
            <w:pPr>
              <w:snapToGrid w:val="0"/>
              <w:spacing w:line="320" w:lineRule="exact"/>
              <w:rPr>
                <w:rFonts w:ascii="仿宋_GB2312" w:eastAsia="仿宋_GB2312"/>
                <w:sz w:val="24"/>
              </w:rPr>
            </w:pPr>
            <w:r>
              <w:rPr>
                <w:rFonts w:hint="eastAsia" w:ascii="仿宋_GB2312" w:eastAsia="仿宋_GB2312"/>
                <w:sz w:val="24"/>
              </w:rPr>
              <w:t>电    话：</w:t>
            </w:r>
          </w:p>
        </w:tc>
      </w:tr>
      <w:tr w14:paraId="55804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552" w:type="dxa"/>
            <w:vAlign w:val="center"/>
          </w:tcPr>
          <w:p w14:paraId="0E4A1BF7">
            <w:pPr>
              <w:snapToGrid w:val="0"/>
              <w:spacing w:line="320" w:lineRule="exact"/>
              <w:rPr>
                <w:rFonts w:ascii="仿宋_GB2312" w:eastAsia="仿宋_GB2312"/>
                <w:sz w:val="24"/>
              </w:rPr>
            </w:pPr>
            <w:r>
              <w:rPr>
                <w:rFonts w:hint="eastAsia" w:ascii="仿宋_GB2312" w:eastAsia="仿宋_GB2312"/>
                <w:sz w:val="24"/>
              </w:rPr>
              <w:t>电子邮箱：</w:t>
            </w:r>
          </w:p>
        </w:tc>
        <w:tc>
          <w:tcPr>
            <w:tcW w:w="4690" w:type="dxa"/>
            <w:vAlign w:val="center"/>
          </w:tcPr>
          <w:p w14:paraId="01BD85D5">
            <w:pPr>
              <w:snapToGrid w:val="0"/>
              <w:spacing w:line="320" w:lineRule="exact"/>
              <w:rPr>
                <w:rFonts w:ascii="仿宋_GB2312" w:eastAsia="仿宋_GB2312"/>
                <w:sz w:val="24"/>
              </w:rPr>
            </w:pPr>
            <w:r>
              <w:rPr>
                <w:rFonts w:hint="eastAsia" w:ascii="仿宋_GB2312" w:eastAsia="仿宋_GB2312"/>
                <w:sz w:val="24"/>
              </w:rPr>
              <w:t>电子邮箱：</w:t>
            </w:r>
          </w:p>
        </w:tc>
      </w:tr>
      <w:tr w14:paraId="7EFA0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52" w:type="dxa"/>
            <w:vAlign w:val="center"/>
          </w:tcPr>
          <w:p w14:paraId="466D4847">
            <w:pPr>
              <w:snapToGrid w:val="0"/>
              <w:spacing w:line="320" w:lineRule="exact"/>
              <w:rPr>
                <w:rFonts w:ascii="仿宋_GB2312" w:eastAsia="仿宋_GB2312"/>
                <w:sz w:val="24"/>
              </w:rPr>
            </w:pPr>
            <w:r>
              <w:rPr>
                <w:rFonts w:hint="eastAsia" w:ascii="仿宋_GB2312" w:eastAsia="仿宋_GB2312"/>
                <w:sz w:val="24"/>
              </w:rPr>
              <w:t>开户银行：</w:t>
            </w:r>
          </w:p>
        </w:tc>
        <w:tc>
          <w:tcPr>
            <w:tcW w:w="4690" w:type="dxa"/>
            <w:vAlign w:val="center"/>
          </w:tcPr>
          <w:p w14:paraId="12854466">
            <w:pPr>
              <w:snapToGrid w:val="0"/>
              <w:spacing w:line="320" w:lineRule="exact"/>
              <w:rPr>
                <w:rFonts w:ascii="仿宋_GB2312" w:eastAsia="仿宋_GB2312"/>
                <w:sz w:val="24"/>
              </w:rPr>
            </w:pPr>
            <w:r>
              <w:rPr>
                <w:rFonts w:hint="eastAsia" w:ascii="仿宋_GB2312" w:eastAsia="仿宋_GB2312"/>
                <w:sz w:val="24"/>
              </w:rPr>
              <w:t>开户银行：</w:t>
            </w:r>
          </w:p>
        </w:tc>
      </w:tr>
      <w:tr w14:paraId="32AA8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552" w:type="dxa"/>
            <w:vAlign w:val="center"/>
          </w:tcPr>
          <w:p w14:paraId="087799D8">
            <w:pPr>
              <w:snapToGrid w:val="0"/>
              <w:spacing w:line="320" w:lineRule="exact"/>
              <w:rPr>
                <w:rFonts w:ascii="仿宋_GB2312" w:eastAsia="仿宋_GB2312"/>
                <w:sz w:val="24"/>
              </w:rPr>
            </w:pPr>
            <w:r>
              <w:rPr>
                <w:rFonts w:hint="eastAsia" w:ascii="仿宋_GB2312" w:eastAsia="仿宋_GB2312"/>
                <w:sz w:val="24"/>
              </w:rPr>
              <w:t>账    号：</w:t>
            </w:r>
          </w:p>
        </w:tc>
        <w:tc>
          <w:tcPr>
            <w:tcW w:w="4690" w:type="dxa"/>
            <w:vAlign w:val="center"/>
          </w:tcPr>
          <w:p w14:paraId="3E930DEE">
            <w:pPr>
              <w:snapToGrid w:val="0"/>
              <w:spacing w:line="320" w:lineRule="exact"/>
              <w:rPr>
                <w:rFonts w:ascii="仿宋_GB2312" w:eastAsia="仿宋_GB2312"/>
                <w:sz w:val="24"/>
              </w:rPr>
            </w:pPr>
            <w:r>
              <w:rPr>
                <w:rFonts w:hint="eastAsia" w:ascii="仿宋_GB2312" w:eastAsia="仿宋_GB2312"/>
                <w:sz w:val="24"/>
              </w:rPr>
              <w:t>账    号：</w:t>
            </w:r>
          </w:p>
        </w:tc>
      </w:tr>
      <w:tr w14:paraId="122D6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552" w:type="dxa"/>
            <w:vAlign w:val="center"/>
          </w:tcPr>
          <w:p w14:paraId="04305FBD">
            <w:pPr>
              <w:snapToGrid w:val="0"/>
              <w:spacing w:line="320" w:lineRule="exact"/>
              <w:rPr>
                <w:rFonts w:ascii="仿宋_GB2312" w:eastAsia="仿宋_GB2312"/>
                <w:sz w:val="24"/>
              </w:rPr>
            </w:pPr>
            <w:r>
              <w:rPr>
                <w:rFonts w:hint="eastAsia" w:ascii="仿宋_GB2312" w:eastAsia="仿宋_GB2312"/>
                <w:sz w:val="24"/>
              </w:rPr>
              <w:t>邮政编码：</w:t>
            </w:r>
          </w:p>
        </w:tc>
        <w:tc>
          <w:tcPr>
            <w:tcW w:w="4690" w:type="dxa"/>
            <w:vAlign w:val="center"/>
          </w:tcPr>
          <w:p w14:paraId="3D8CD173">
            <w:pPr>
              <w:snapToGrid w:val="0"/>
              <w:spacing w:line="320" w:lineRule="exact"/>
              <w:rPr>
                <w:rFonts w:ascii="仿宋_GB2312" w:eastAsia="仿宋_GB2312"/>
                <w:sz w:val="24"/>
              </w:rPr>
            </w:pPr>
            <w:r>
              <w:rPr>
                <w:rFonts w:hint="eastAsia" w:ascii="仿宋_GB2312" w:eastAsia="仿宋_GB2312"/>
                <w:sz w:val="24"/>
              </w:rPr>
              <w:t>邮政编码：</w:t>
            </w:r>
          </w:p>
        </w:tc>
      </w:tr>
      <w:tr w14:paraId="1E52F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242" w:type="dxa"/>
            <w:gridSpan w:val="2"/>
          </w:tcPr>
          <w:p w14:paraId="7F4AFD87">
            <w:pPr>
              <w:snapToGrid w:val="0"/>
              <w:spacing w:line="320" w:lineRule="exact"/>
              <w:rPr>
                <w:rFonts w:ascii="仿宋_GB2312" w:eastAsia="仿宋_GB2312"/>
                <w:sz w:val="24"/>
              </w:rPr>
            </w:pPr>
            <w:r>
              <w:rPr>
                <w:rFonts w:hint="eastAsia" w:ascii="仿宋_GB2312" w:eastAsia="仿宋_GB2312"/>
                <w:sz w:val="24"/>
              </w:rPr>
              <w:t>经办人：</w:t>
            </w:r>
          </w:p>
          <w:p w14:paraId="7F16B0A9">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r>
    </w:tbl>
    <w:p w14:paraId="5FF318F9">
      <w:pPr>
        <w:spacing w:line="360" w:lineRule="exact"/>
        <w:ind w:left="420" w:leftChars="200" w:firstLine="360" w:firstLineChars="150"/>
        <w:jc w:val="left"/>
        <w:rPr>
          <w:rFonts w:ascii="仿宋_GB2312" w:eastAsia="仿宋_GB2312"/>
          <w:sz w:val="24"/>
        </w:rPr>
      </w:pPr>
    </w:p>
    <w:p w14:paraId="740D7805">
      <w:pPr>
        <w:snapToGrid w:val="0"/>
        <w:jc w:val="center"/>
        <w:rPr>
          <w:rFonts w:hint="eastAsia" w:ascii="仿宋_GB2312" w:eastAsia="仿宋_GB2312"/>
          <w:b/>
          <w:sz w:val="28"/>
          <w:szCs w:val="28"/>
        </w:rPr>
      </w:pPr>
    </w:p>
    <w:p w14:paraId="02CE4B60">
      <w:pPr>
        <w:snapToGrid w:val="0"/>
        <w:jc w:val="center"/>
        <w:rPr>
          <w:rFonts w:hint="eastAsia" w:ascii="仿宋_GB2312" w:eastAsia="仿宋_GB2312"/>
          <w:b/>
          <w:sz w:val="28"/>
          <w:szCs w:val="28"/>
        </w:rPr>
      </w:pPr>
    </w:p>
    <w:p w14:paraId="76C85970">
      <w:pPr>
        <w:snapToGrid w:val="0"/>
        <w:jc w:val="center"/>
        <w:rPr>
          <w:rFonts w:hint="eastAsia" w:ascii="仿宋_GB2312" w:eastAsia="仿宋_GB2312"/>
          <w:b/>
          <w:sz w:val="28"/>
          <w:szCs w:val="28"/>
        </w:rPr>
      </w:pPr>
    </w:p>
    <w:p w14:paraId="41CC9B54">
      <w:pPr>
        <w:snapToGrid w:val="0"/>
        <w:jc w:val="center"/>
        <w:rPr>
          <w:rFonts w:hint="eastAsia" w:ascii="仿宋_GB2312" w:eastAsia="仿宋_GB2312"/>
          <w:b/>
          <w:sz w:val="28"/>
          <w:szCs w:val="28"/>
        </w:rPr>
      </w:pPr>
    </w:p>
    <w:p w14:paraId="148C137F">
      <w:pPr>
        <w:snapToGrid w:val="0"/>
        <w:jc w:val="center"/>
        <w:rPr>
          <w:rFonts w:hint="eastAsia" w:ascii="仿宋_GB2312" w:eastAsia="仿宋_GB2312"/>
          <w:b/>
          <w:sz w:val="28"/>
          <w:szCs w:val="28"/>
        </w:rPr>
      </w:pPr>
    </w:p>
    <w:p w14:paraId="6927FCC1">
      <w:pPr>
        <w:snapToGrid w:val="0"/>
        <w:jc w:val="center"/>
        <w:rPr>
          <w:rFonts w:hint="eastAsia" w:ascii="仿宋_GB2312" w:eastAsia="仿宋_GB2312"/>
          <w:b/>
          <w:sz w:val="28"/>
          <w:szCs w:val="28"/>
        </w:rPr>
      </w:pPr>
    </w:p>
    <w:p w14:paraId="76C8CDA6">
      <w:pPr>
        <w:snapToGrid w:val="0"/>
        <w:jc w:val="center"/>
        <w:rPr>
          <w:rFonts w:hint="eastAsia" w:ascii="仿宋_GB2312" w:eastAsia="仿宋_GB2312"/>
          <w:b/>
          <w:sz w:val="28"/>
          <w:szCs w:val="28"/>
        </w:rPr>
      </w:pPr>
    </w:p>
    <w:p w14:paraId="4AE1D3BF">
      <w:pPr>
        <w:snapToGrid w:val="0"/>
        <w:jc w:val="center"/>
        <w:rPr>
          <w:rFonts w:hint="eastAsia" w:ascii="仿宋_GB2312" w:eastAsia="仿宋_GB2312"/>
          <w:b/>
          <w:sz w:val="28"/>
          <w:szCs w:val="28"/>
        </w:rPr>
      </w:pPr>
    </w:p>
    <w:p w14:paraId="02B60354">
      <w:pPr>
        <w:snapToGrid w:val="0"/>
        <w:jc w:val="center"/>
        <w:rPr>
          <w:rFonts w:hint="eastAsia" w:ascii="仿宋_GB2312" w:eastAsia="仿宋_GB2312"/>
          <w:b/>
          <w:sz w:val="28"/>
          <w:szCs w:val="28"/>
        </w:rPr>
      </w:pPr>
    </w:p>
    <w:p w14:paraId="62999322">
      <w:pPr>
        <w:pStyle w:val="38"/>
        <w:rPr>
          <w:rFonts w:hint="eastAsia" w:ascii="仿宋_GB2312" w:eastAsia="仿宋_GB2312"/>
          <w:b/>
          <w:sz w:val="28"/>
          <w:szCs w:val="28"/>
        </w:rPr>
      </w:pPr>
    </w:p>
    <w:p w14:paraId="63A41D10">
      <w:pPr>
        <w:pStyle w:val="38"/>
        <w:rPr>
          <w:rFonts w:hint="eastAsia" w:ascii="仿宋_GB2312" w:eastAsia="仿宋_GB2312"/>
          <w:b/>
          <w:sz w:val="28"/>
          <w:szCs w:val="28"/>
        </w:rPr>
      </w:pPr>
    </w:p>
    <w:p w14:paraId="3863B197">
      <w:pPr>
        <w:pStyle w:val="38"/>
        <w:rPr>
          <w:rFonts w:hint="eastAsia" w:ascii="仿宋_GB2312" w:eastAsia="仿宋_GB2312"/>
          <w:b/>
          <w:sz w:val="28"/>
          <w:szCs w:val="28"/>
        </w:rPr>
      </w:pPr>
    </w:p>
    <w:p w14:paraId="6F8BC972">
      <w:pPr>
        <w:pStyle w:val="38"/>
        <w:rPr>
          <w:rFonts w:hint="eastAsia" w:ascii="仿宋_GB2312" w:eastAsia="仿宋_GB2312"/>
          <w:b/>
          <w:sz w:val="28"/>
          <w:szCs w:val="28"/>
        </w:rPr>
      </w:pPr>
    </w:p>
    <w:p w14:paraId="5F8E214A">
      <w:pPr>
        <w:snapToGrid w:val="0"/>
        <w:jc w:val="center"/>
        <w:rPr>
          <w:rFonts w:hint="eastAsia" w:ascii="仿宋_GB2312" w:eastAsia="仿宋_GB2312"/>
          <w:b/>
          <w:sz w:val="28"/>
          <w:szCs w:val="28"/>
        </w:rPr>
      </w:pPr>
    </w:p>
    <w:p w14:paraId="080C5716">
      <w:pPr>
        <w:snapToGrid w:val="0"/>
        <w:jc w:val="center"/>
        <w:rPr>
          <w:rFonts w:hint="eastAsia" w:ascii="仿宋_GB2312" w:eastAsia="仿宋_GB2312"/>
          <w:b/>
          <w:sz w:val="28"/>
          <w:szCs w:val="28"/>
        </w:rPr>
      </w:pPr>
    </w:p>
    <w:p w14:paraId="0C8DA42E">
      <w:pPr>
        <w:snapToGrid w:val="0"/>
        <w:jc w:val="center"/>
        <w:rPr>
          <w:rFonts w:hint="eastAsia" w:ascii="仿宋_GB2312" w:eastAsia="仿宋_GB2312"/>
          <w:b/>
          <w:sz w:val="28"/>
          <w:szCs w:val="28"/>
        </w:rPr>
      </w:pPr>
    </w:p>
    <w:p w14:paraId="37764262">
      <w:pPr>
        <w:snapToGrid w:val="0"/>
        <w:jc w:val="center"/>
        <w:rPr>
          <w:rFonts w:hint="eastAsia" w:ascii="仿宋_GB2312" w:eastAsia="仿宋_GB2312"/>
          <w:b/>
          <w:sz w:val="28"/>
          <w:szCs w:val="28"/>
        </w:rPr>
      </w:pPr>
    </w:p>
    <w:p w14:paraId="45B7473A">
      <w:pPr>
        <w:snapToGrid w:val="0"/>
        <w:jc w:val="center"/>
        <w:rPr>
          <w:rFonts w:hint="eastAsia" w:ascii="仿宋_GB2312" w:eastAsia="仿宋_GB2312"/>
          <w:b/>
          <w:sz w:val="28"/>
          <w:szCs w:val="28"/>
        </w:rPr>
      </w:pPr>
    </w:p>
    <w:p w14:paraId="0EC88095">
      <w:pPr>
        <w:snapToGrid w:val="0"/>
        <w:jc w:val="center"/>
        <w:rPr>
          <w:rFonts w:ascii="仿宋_GB2312" w:eastAsia="仿宋_GB2312"/>
          <w:b/>
          <w:sz w:val="28"/>
          <w:szCs w:val="28"/>
        </w:rPr>
      </w:pPr>
      <w:r>
        <w:rPr>
          <w:rFonts w:hint="eastAsia" w:ascii="仿宋_GB2312" w:eastAsia="仿宋_GB2312"/>
          <w:b/>
          <w:sz w:val="28"/>
          <w:szCs w:val="28"/>
        </w:rPr>
        <w:t>合 同 附 件</w:t>
      </w:r>
    </w:p>
    <w:p w14:paraId="1575B6F2">
      <w:pPr>
        <w:snapToGrid w:val="0"/>
        <w:ind w:firstLine="240" w:firstLineChars="100"/>
        <w:rPr>
          <w:rFonts w:ascii="仿宋_GB2312" w:eastAsia="仿宋_GB2312"/>
          <w:b/>
          <w:sz w:val="24"/>
        </w:rPr>
      </w:pPr>
      <w:r>
        <w:rPr>
          <w:rFonts w:hint="eastAsia" w:ascii="仿宋_GB2312" w:eastAsia="仿宋_GB2312"/>
          <w:sz w:val="24"/>
        </w:rPr>
        <w:t>一般货物类</w:t>
      </w:r>
      <w:bookmarkStart w:id="104" w:name="_GoBack"/>
      <w:bookmarkEnd w:id="104"/>
    </w:p>
    <w:tbl>
      <w:tblPr>
        <w:tblStyle w:val="49"/>
        <w:tblW w:w="9072" w:type="dxa"/>
        <w:tblInd w:w="108" w:type="dxa"/>
        <w:tblLayout w:type="fixed"/>
        <w:tblCellMar>
          <w:top w:w="0" w:type="dxa"/>
          <w:left w:w="108" w:type="dxa"/>
          <w:bottom w:w="0" w:type="dxa"/>
          <w:right w:w="108" w:type="dxa"/>
        </w:tblCellMar>
      </w:tblPr>
      <w:tblGrid>
        <w:gridCol w:w="4678"/>
        <w:gridCol w:w="4394"/>
      </w:tblGrid>
      <w:tr w14:paraId="0539F59B">
        <w:tblPrEx>
          <w:tblCellMar>
            <w:top w:w="0" w:type="dxa"/>
            <w:left w:w="108" w:type="dxa"/>
            <w:bottom w:w="0" w:type="dxa"/>
            <w:right w:w="108" w:type="dxa"/>
          </w:tblCellMar>
        </w:tblPrEx>
        <w:trPr>
          <w:trHeight w:val="2072" w:hRule="atLeast"/>
        </w:trPr>
        <w:tc>
          <w:tcPr>
            <w:tcW w:w="9072" w:type="dxa"/>
            <w:gridSpan w:val="2"/>
            <w:tcBorders>
              <w:top w:val="single" w:color="auto" w:sz="4" w:space="0"/>
              <w:left w:val="single" w:color="auto" w:sz="4" w:space="0"/>
              <w:bottom w:val="nil"/>
              <w:right w:val="single" w:color="auto" w:sz="4" w:space="0"/>
            </w:tcBorders>
          </w:tcPr>
          <w:p w14:paraId="5296C043">
            <w:pPr>
              <w:snapToGrid w:val="0"/>
              <w:rPr>
                <w:rFonts w:ascii="仿宋_GB2312" w:eastAsia="仿宋_GB2312"/>
                <w:sz w:val="24"/>
              </w:rPr>
            </w:pPr>
            <w:r>
              <w:rPr>
                <w:rFonts w:hint="eastAsia" w:ascii="仿宋_GB2312" w:eastAsia="仿宋_GB2312"/>
                <w:sz w:val="24"/>
              </w:rPr>
              <w:t>1</w:t>
            </w:r>
            <w:r>
              <w:rPr>
                <w:rFonts w:hint="eastAsia" w:ascii="仿宋_GB2312" w:hAnsi="宋体" w:eastAsia="仿宋_GB2312"/>
                <w:sz w:val="24"/>
              </w:rPr>
              <w:t>.</w:t>
            </w:r>
            <w:r>
              <w:rPr>
                <w:rFonts w:hint="eastAsia" w:ascii="仿宋_GB2312" w:eastAsia="仿宋_GB2312"/>
                <w:sz w:val="24"/>
              </w:rPr>
              <w:t>供应商承诺具体事项：</w:t>
            </w:r>
          </w:p>
          <w:p w14:paraId="0E349430">
            <w:pPr>
              <w:snapToGrid w:val="0"/>
              <w:spacing w:line="276" w:lineRule="auto"/>
              <w:rPr>
                <w:rFonts w:ascii="仿宋_GB2312" w:eastAsia="仿宋_GB2312"/>
                <w:sz w:val="24"/>
              </w:rPr>
            </w:pPr>
            <w:r>
              <w:rPr>
                <w:rFonts w:hint="eastAsia" w:ascii="仿宋_GB2312" w:eastAsia="仿宋_GB2312"/>
                <w:sz w:val="24"/>
              </w:rPr>
              <w:t xml:space="preserve">    </w:t>
            </w:r>
          </w:p>
        </w:tc>
      </w:tr>
      <w:tr w14:paraId="57F79D71">
        <w:tblPrEx>
          <w:tblCellMar>
            <w:top w:w="0" w:type="dxa"/>
            <w:left w:w="108" w:type="dxa"/>
            <w:bottom w:w="0" w:type="dxa"/>
            <w:right w:w="108" w:type="dxa"/>
          </w:tblCellMar>
        </w:tblPrEx>
        <w:trPr>
          <w:trHeight w:val="2133" w:hRule="atLeast"/>
        </w:trPr>
        <w:tc>
          <w:tcPr>
            <w:tcW w:w="9072" w:type="dxa"/>
            <w:gridSpan w:val="2"/>
            <w:tcBorders>
              <w:top w:val="single" w:color="auto" w:sz="4" w:space="0"/>
              <w:left w:val="single" w:color="auto" w:sz="4" w:space="0"/>
              <w:bottom w:val="nil"/>
              <w:right w:val="single" w:color="auto" w:sz="4" w:space="0"/>
            </w:tcBorders>
          </w:tcPr>
          <w:p w14:paraId="21285855">
            <w:pPr>
              <w:snapToGrid w:val="0"/>
              <w:rPr>
                <w:rFonts w:ascii="仿宋_GB2312" w:eastAsia="仿宋_GB2312"/>
                <w:sz w:val="24"/>
              </w:rPr>
            </w:pPr>
            <w:r>
              <w:rPr>
                <w:rFonts w:hint="eastAsia" w:ascii="仿宋_GB2312" w:eastAsia="仿宋_GB2312"/>
                <w:sz w:val="24"/>
              </w:rPr>
              <w:t>2</w:t>
            </w:r>
            <w:r>
              <w:rPr>
                <w:rFonts w:hint="eastAsia" w:ascii="仿宋_GB2312" w:hAnsi="宋体" w:eastAsia="仿宋_GB2312"/>
                <w:sz w:val="24"/>
              </w:rPr>
              <w:t>.</w:t>
            </w:r>
            <w:r>
              <w:rPr>
                <w:rFonts w:hint="eastAsia" w:ascii="仿宋_GB2312" w:eastAsia="仿宋_GB2312"/>
                <w:sz w:val="24"/>
              </w:rPr>
              <w:t>售后服务具体事项：</w:t>
            </w:r>
          </w:p>
          <w:p w14:paraId="71C846D3">
            <w:pPr>
              <w:snapToGrid w:val="0"/>
              <w:spacing w:line="276" w:lineRule="auto"/>
              <w:rPr>
                <w:rFonts w:ascii="仿宋_GB2312" w:eastAsia="仿宋_GB2312"/>
                <w:sz w:val="24"/>
              </w:rPr>
            </w:pPr>
            <w:r>
              <w:rPr>
                <w:rFonts w:hint="eastAsia" w:ascii="仿宋_GB2312" w:eastAsia="仿宋_GB2312"/>
                <w:sz w:val="24"/>
              </w:rPr>
              <w:t xml:space="preserve">    </w:t>
            </w:r>
          </w:p>
        </w:tc>
      </w:tr>
      <w:tr w14:paraId="1F0FC249">
        <w:tblPrEx>
          <w:tblCellMar>
            <w:top w:w="0" w:type="dxa"/>
            <w:left w:w="108" w:type="dxa"/>
            <w:bottom w:w="0" w:type="dxa"/>
            <w:right w:w="108" w:type="dxa"/>
          </w:tblCellMar>
        </w:tblPrEx>
        <w:trPr>
          <w:trHeight w:val="1820" w:hRule="atLeast"/>
        </w:trPr>
        <w:tc>
          <w:tcPr>
            <w:tcW w:w="9072" w:type="dxa"/>
            <w:gridSpan w:val="2"/>
            <w:tcBorders>
              <w:top w:val="single" w:color="auto" w:sz="4" w:space="0"/>
              <w:left w:val="single" w:color="auto" w:sz="4" w:space="0"/>
              <w:bottom w:val="nil"/>
              <w:right w:val="single" w:color="auto" w:sz="4" w:space="0"/>
            </w:tcBorders>
          </w:tcPr>
          <w:p w14:paraId="28E8B049">
            <w:pPr>
              <w:snapToGrid w:val="0"/>
              <w:rPr>
                <w:rFonts w:ascii="仿宋_GB2312" w:eastAsia="仿宋_GB2312"/>
                <w:sz w:val="24"/>
              </w:rPr>
            </w:pPr>
            <w:r>
              <w:rPr>
                <w:rFonts w:hint="eastAsia" w:ascii="仿宋_GB2312" w:eastAsia="仿宋_GB2312"/>
                <w:sz w:val="24"/>
              </w:rPr>
              <w:t>3</w:t>
            </w:r>
            <w:r>
              <w:rPr>
                <w:rFonts w:hint="eastAsia" w:ascii="仿宋_GB2312" w:hAnsi="宋体" w:eastAsia="仿宋_GB2312"/>
                <w:sz w:val="24"/>
              </w:rPr>
              <w:t>.</w:t>
            </w:r>
            <w:r>
              <w:rPr>
                <w:rFonts w:hint="eastAsia" w:ascii="仿宋_GB2312" w:eastAsia="仿宋_GB2312"/>
                <w:sz w:val="24"/>
              </w:rPr>
              <w:t>保修期责任：</w:t>
            </w:r>
          </w:p>
          <w:p w14:paraId="0095453B">
            <w:pPr>
              <w:snapToGrid w:val="0"/>
              <w:spacing w:line="276" w:lineRule="auto"/>
              <w:rPr>
                <w:rFonts w:ascii="仿宋_GB2312" w:eastAsia="仿宋_GB2312"/>
                <w:sz w:val="24"/>
              </w:rPr>
            </w:pPr>
            <w:r>
              <w:rPr>
                <w:rFonts w:hint="eastAsia" w:ascii="仿宋_GB2312" w:eastAsia="仿宋_GB2312"/>
                <w:sz w:val="24"/>
              </w:rPr>
              <w:t xml:space="preserve">    </w:t>
            </w:r>
          </w:p>
        </w:tc>
      </w:tr>
      <w:tr w14:paraId="37BF948B">
        <w:tblPrEx>
          <w:tblCellMar>
            <w:top w:w="0" w:type="dxa"/>
            <w:left w:w="108" w:type="dxa"/>
            <w:bottom w:w="0" w:type="dxa"/>
            <w:right w:w="108" w:type="dxa"/>
          </w:tblCellMar>
        </w:tblPrEx>
        <w:trPr>
          <w:trHeight w:val="2702" w:hRule="atLeast"/>
        </w:trPr>
        <w:tc>
          <w:tcPr>
            <w:tcW w:w="9072" w:type="dxa"/>
            <w:gridSpan w:val="2"/>
            <w:tcBorders>
              <w:top w:val="single" w:color="auto" w:sz="4" w:space="0"/>
              <w:left w:val="single" w:color="auto" w:sz="4" w:space="0"/>
              <w:bottom w:val="nil"/>
              <w:right w:val="single" w:color="auto" w:sz="4" w:space="0"/>
            </w:tcBorders>
          </w:tcPr>
          <w:p w14:paraId="74F3BF77">
            <w:pPr>
              <w:snapToGrid w:val="0"/>
              <w:rPr>
                <w:rFonts w:ascii="仿宋_GB2312" w:eastAsia="仿宋_GB2312"/>
                <w:sz w:val="24"/>
              </w:rPr>
            </w:pPr>
            <w:r>
              <w:rPr>
                <w:rFonts w:hint="eastAsia" w:ascii="仿宋_GB2312" w:eastAsia="仿宋_GB2312"/>
                <w:sz w:val="24"/>
              </w:rPr>
              <w:t>4</w:t>
            </w:r>
            <w:r>
              <w:rPr>
                <w:rFonts w:hint="eastAsia" w:ascii="仿宋_GB2312" w:hAnsi="宋体" w:eastAsia="仿宋_GB2312"/>
                <w:sz w:val="24"/>
              </w:rPr>
              <w:t>.</w:t>
            </w:r>
            <w:r>
              <w:rPr>
                <w:rFonts w:hint="eastAsia" w:ascii="仿宋_GB2312" w:eastAsia="仿宋_GB2312"/>
                <w:sz w:val="24"/>
              </w:rPr>
              <w:t>其他具体事项：</w:t>
            </w:r>
          </w:p>
          <w:p w14:paraId="24C0EB22">
            <w:pPr>
              <w:snapToGrid w:val="0"/>
              <w:rPr>
                <w:rFonts w:ascii="仿宋_GB2312" w:eastAsia="仿宋_GB2312"/>
                <w:sz w:val="24"/>
              </w:rPr>
            </w:pPr>
          </w:p>
        </w:tc>
      </w:tr>
      <w:tr w14:paraId="7F345696">
        <w:tblPrEx>
          <w:tblCellMar>
            <w:top w:w="0" w:type="dxa"/>
            <w:left w:w="108" w:type="dxa"/>
            <w:bottom w:w="0" w:type="dxa"/>
            <w:right w:w="108" w:type="dxa"/>
          </w:tblCellMar>
        </w:tblPrEx>
        <w:trPr>
          <w:trHeight w:val="2577" w:hRule="atLeast"/>
        </w:trPr>
        <w:tc>
          <w:tcPr>
            <w:tcW w:w="4678" w:type="dxa"/>
            <w:tcBorders>
              <w:top w:val="single" w:color="auto" w:sz="4" w:space="0"/>
              <w:left w:val="single" w:color="auto" w:sz="4" w:space="0"/>
              <w:bottom w:val="single" w:color="auto" w:sz="4" w:space="0"/>
              <w:right w:val="single" w:color="auto" w:sz="4" w:space="0"/>
            </w:tcBorders>
            <w:vAlign w:val="center"/>
          </w:tcPr>
          <w:p w14:paraId="74EF1AFA">
            <w:pPr>
              <w:snapToGrid w:val="0"/>
              <w:spacing w:line="276" w:lineRule="auto"/>
              <w:rPr>
                <w:rFonts w:ascii="仿宋_GB2312" w:eastAsia="仿宋_GB2312"/>
                <w:sz w:val="24"/>
              </w:rPr>
            </w:pPr>
            <w:r>
              <w:rPr>
                <w:rFonts w:hint="eastAsia" w:ascii="仿宋_GB2312" w:eastAsia="仿宋_GB2312"/>
                <w:sz w:val="24"/>
              </w:rPr>
              <w:t>甲方（章）</w:t>
            </w:r>
          </w:p>
          <w:p w14:paraId="7707AAF7">
            <w:pPr>
              <w:snapToGrid w:val="0"/>
              <w:spacing w:line="276" w:lineRule="auto"/>
              <w:ind w:firstLine="480" w:firstLineChars="200"/>
              <w:rPr>
                <w:rFonts w:ascii="仿宋_GB2312" w:eastAsia="仿宋_GB2312"/>
                <w:sz w:val="24"/>
              </w:rPr>
            </w:pPr>
          </w:p>
          <w:p w14:paraId="1860026D">
            <w:pPr>
              <w:snapToGrid w:val="0"/>
              <w:spacing w:line="276" w:lineRule="auto"/>
              <w:ind w:firstLine="480" w:firstLineChars="200"/>
              <w:rPr>
                <w:rFonts w:ascii="仿宋_GB2312" w:eastAsia="仿宋_GB2312"/>
                <w:sz w:val="24"/>
              </w:rPr>
            </w:pPr>
          </w:p>
          <w:p w14:paraId="47876B42">
            <w:pPr>
              <w:snapToGrid w:val="0"/>
              <w:spacing w:line="276" w:lineRule="auto"/>
              <w:ind w:firstLine="480" w:firstLineChars="200"/>
              <w:rPr>
                <w:rFonts w:ascii="仿宋_GB2312" w:eastAsia="仿宋_GB2312"/>
                <w:sz w:val="24"/>
              </w:rPr>
            </w:pPr>
          </w:p>
          <w:p w14:paraId="14EA375D">
            <w:pPr>
              <w:snapToGrid w:val="0"/>
              <w:spacing w:line="276" w:lineRule="auto"/>
              <w:ind w:firstLine="480" w:firstLineChars="200"/>
              <w:rPr>
                <w:rFonts w:ascii="仿宋_GB2312" w:eastAsia="仿宋_GB2312"/>
                <w:sz w:val="24"/>
              </w:rPr>
            </w:pPr>
          </w:p>
          <w:p w14:paraId="3A275696">
            <w:pPr>
              <w:snapToGrid w:val="0"/>
              <w:spacing w:line="276" w:lineRule="auto"/>
              <w:ind w:firstLine="480" w:firstLineChars="200"/>
              <w:rPr>
                <w:rFonts w:ascii="仿宋_GB2312" w:eastAsia="仿宋_GB2312"/>
                <w:sz w:val="24"/>
              </w:rPr>
            </w:pPr>
          </w:p>
          <w:p w14:paraId="19621BE6">
            <w:pPr>
              <w:snapToGrid w:val="0"/>
              <w:spacing w:line="276" w:lineRule="auto"/>
              <w:ind w:firstLine="480" w:firstLineChars="200"/>
              <w:rPr>
                <w:rFonts w:ascii="仿宋_GB2312" w:eastAsia="仿宋_GB2312"/>
                <w:sz w:val="24"/>
              </w:rPr>
            </w:pPr>
          </w:p>
          <w:p w14:paraId="41B393ED">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 </w:t>
            </w:r>
          </w:p>
        </w:tc>
        <w:tc>
          <w:tcPr>
            <w:tcW w:w="4394" w:type="dxa"/>
            <w:tcBorders>
              <w:top w:val="single" w:color="auto" w:sz="4" w:space="0"/>
              <w:left w:val="single" w:color="auto" w:sz="4" w:space="0"/>
              <w:bottom w:val="single" w:color="auto" w:sz="4" w:space="0"/>
              <w:right w:val="single" w:color="auto" w:sz="4" w:space="0"/>
            </w:tcBorders>
            <w:vAlign w:val="center"/>
          </w:tcPr>
          <w:p w14:paraId="1D7083B1">
            <w:pPr>
              <w:snapToGrid w:val="0"/>
              <w:spacing w:line="276" w:lineRule="auto"/>
              <w:rPr>
                <w:rFonts w:ascii="仿宋_GB2312" w:eastAsia="仿宋_GB2312"/>
                <w:sz w:val="24"/>
              </w:rPr>
            </w:pPr>
            <w:r>
              <w:rPr>
                <w:rFonts w:hint="eastAsia" w:ascii="仿宋_GB2312" w:eastAsia="仿宋_GB2312"/>
                <w:sz w:val="24"/>
              </w:rPr>
              <w:t>乙方（章）</w:t>
            </w:r>
          </w:p>
          <w:p w14:paraId="6E50AA1B">
            <w:pPr>
              <w:snapToGrid w:val="0"/>
              <w:spacing w:line="276" w:lineRule="auto"/>
              <w:ind w:firstLine="480" w:firstLineChars="200"/>
              <w:rPr>
                <w:rFonts w:ascii="仿宋_GB2312" w:eastAsia="仿宋_GB2312"/>
                <w:sz w:val="24"/>
              </w:rPr>
            </w:pPr>
          </w:p>
          <w:p w14:paraId="52D00C54">
            <w:pPr>
              <w:snapToGrid w:val="0"/>
              <w:spacing w:line="276" w:lineRule="auto"/>
              <w:ind w:firstLine="480" w:firstLineChars="200"/>
              <w:rPr>
                <w:rFonts w:ascii="仿宋_GB2312" w:eastAsia="仿宋_GB2312"/>
                <w:sz w:val="24"/>
              </w:rPr>
            </w:pPr>
          </w:p>
          <w:p w14:paraId="2252D073">
            <w:pPr>
              <w:snapToGrid w:val="0"/>
              <w:spacing w:line="276" w:lineRule="auto"/>
              <w:ind w:firstLine="480" w:firstLineChars="200"/>
              <w:rPr>
                <w:rFonts w:ascii="仿宋_GB2312" w:eastAsia="仿宋_GB2312"/>
                <w:sz w:val="24"/>
              </w:rPr>
            </w:pPr>
          </w:p>
          <w:p w14:paraId="1F30916F">
            <w:pPr>
              <w:snapToGrid w:val="0"/>
              <w:spacing w:line="276" w:lineRule="auto"/>
              <w:ind w:firstLine="480" w:firstLineChars="200"/>
              <w:rPr>
                <w:rFonts w:ascii="仿宋_GB2312" w:eastAsia="仿宋_GB2312"/>
                <w:sz w:val="24"/>
              </w:rPr>
            </w:pPr>
          </w:p>
          <w:p w14:paraId="0CB46750">
            <w:pPr>
              <w:snapToGrid w:val="0"/>
              <w:spacing w:line="276" w:lineRule="auto"/>
              <w:ind w:firstLine="480" w:firstLineChars="200"/>
              <w:rPr>
                <w:rFonts w:ascii="仿宋_GB2312" w:eastAsia="仿宋_GB2312"/>
                <w:sz w:val="24"/>
              </w:rPr>
            </w:pPr>
          </w:p>
          <w:p w14:paraId="7FFF7658">
            <w:pPr>
              <w:snapToGrid w:val="0"/>
              <w:spacing w:line="276" w:lineRule="auto"/>
              <w:ind w:firstLine="480" w:firstLineChars="200"/>
              <w:rPr>
                <w:rFonts w:ascii="仿宋_GB2312" w:eastAsia="仿宋_GB2312"/>
                <w:sz w:val="24"/>
              </w:rPr>
            </w:pPr>
          </w:p>
          <w:p w14:paraId="7F4ABDCC">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w:t>
            </w:r>
          </w:p>
        </w:tc>
      </w:tr>
    </w:tbl>
    <w:p w14:paraId="203622CB">
      <w:pPr>
        <w:snapToGrid w:val="0"/>
        <w:ind w:firstLine="480" w:firstLineChars="200"/>
        <w:rPr>
          <w:rFonts w:ascii="仿宋_GB2312" w:eastAsia="仿宋_GB2312"/>
          <w:sz w:val="24"/>
        </w:rPr>
      </w:pPr>
      <w:r>
        <w:rPr>
          <w:rFonts w:hint="eastAsia" w:ascii="仿宋_GB2312" w:eastAsia="仿宋_GB2312"/>
          <w:sz w:val="24"/>
        </w:rPr>
        <w:t>注：售后服务事项填不下时可另加附页</w:t>
      </w:r>
    </w:p>
    <w:p w14:paraId="2BB4E0B0">
      <w:pPr>
        <w:snapToGrid w:val="0"/>
        <w:ind w:firstLine="480" w:firstLineChars="200"/>
        <w:rPr>
          <w:rFonts w:ascii="仿宋_GB2312" w:eastAsia="仿宋_GB2312"/>
          <w:sz w:val="24"/>
        </w:rPr>
        <w:sectPr>
          <w:pgSz w:w="11906" w:h="16838"/>
          <w:pgMar w:top="1440" w:right="1440" w:bottom="1440" w:left="1440" w:header="851" w:footer="992" w:gutter="0"/>
          <w:cols w:space="720" w:num="1"/>
          <w:docGrid w:linePitch="312" w:charSpace="0"/>
        </w:sectPr>
      </w:pPr>
    </w:p>
    <w:p w14:paraId="46F46CF6">
      <w:pPr>
        <w:spacing w:before="120" w:beforeLines="50" w:after="480" w:afterLines="200" w:line="340" w:lineRule="exact"/>
        <w:jc w:val="center"/>
        <w:rPr>
          <w:b/>
          <w:kern w:val="0"/>
          <w:sz w:val="32"/>
          <w:szCs w:val="32"/>
        </w:rPr>
      </w:pPr>
      <w:r>
        <w:rPr>
          <w:rFonts w:hint="eastAsia"/>
          <w:b/>
          <w:bCs/>
          <w:kern w:val="0"/>
          <w:sz w:val="32"/>
          <w:szCs w:val="32"/>
        </w:rPr>
        <w:t>广西壮族自治区政府采购项目</w:t>
      </w:r>
      <w:r>
        <w:rPr>
          <w:rFonts w:hint="eastAsia"/>
          <w:b/>
          <w:kern w:val="0"/>
          <w:sz w:val="32"/>
          <w:szCs w:val="32"/>
        </w:rPr>
        <w:t>合同验收书（格式）</w:t>
      </w:r>
    </w:p>
    <w:p w14:paraId="40893102">
      <w:pPr>
        <w:spacing w:line="340" w:lineRule="exact"/>
        <w:ind w:firstLine="420" w:firstLineChars="200"/>
        <w:rPr>
          <w:rFonts w:ascii="仿宋_GB2312" w:eastAsia="仿宋_GB2312"/>
          <w:kern w:val="0"/>
          <w:szCs w:val="21"/>
        </w:rPr>
      </w:pPr>
      <w:r>
        <w:rPr>
          <w:rFonts w:hint="eastAsia" w:ascii="仿宋_GB2312" w:eastAsia="仿宋_GB2312"/>
          <w:kern w:val="0"/>
          <w:szCs w:val="21"/>
        </w:rPr>
        <w:t>根据政府采购项目（采购合同编号：</w:t>
      </w:r>
      <w:r>
        <w:rPr>
          <w:rFonts w:hint="eastAsia" w:ascii="仿宋_GB2312" w:eastAsia="仿宋_GB2312"/>
          <w:kern w:val="0"/>
          <w:szCs w:val="21"/>
        </w:rPr>
        <w:softHyphen/>
      </w:r>
      <w:r>
        <w:rPr>
          <w:rFonts w:hint="eastAsia" w:eastAsia="仿宋_GB2312"/>
          <w:kern w:val="0"/>
          <w:szCs w:val="21"/>
        </w:rPr>
        <w:t>   </w:t>
      </w:r>
      <w:r>
        <w:rPr>
          <w:rFonts w:hint="eastAsia" w:ascii="仿宋_GB2312" w:eastAsia="仿宋_GB2312"/>
          <w:kern w:val="0"/>
          <w:szCs w:val="21"/>
        </w:rPr>
        <w:t>）的约定，我单位对</w:t>
      </w:r>
      <w:r>
        <w:rPr>
          <w:rFonts w:hint="eastAsia" w:ascii="仿宋_GB2312" w:eastAsia="仿宋_GB2312"/>
          <w:kern w:val="0"/>
          <w:szCs w:val="21"/>
          <w:u w:val="single"/>
        </w:rPr>
        <w:t>（ 项目名称 ）</w:t>
      </w:r>
      <w:r>
        <w:rPr>
          <w:rFonts w:hint="eastAsia" w:ascii="仿宋_GB2312" w:eastAsia="仿宋_GB2312"/>
          <w:kern w:val="0"/>
          <w:szCs w:val="21"/>
        </w:rPr>
        <w:t>政府采购项目中标供应商</w:t>
      </w:r>
      <w:r>
        <w:rPr>
          <w:rFonts w:hint="eastAsia" w:ascii="仿宋_GB2312" w:eastAsia="仿宋_GB2312"/>
          <w:kern w:val="0"/>
          <w:szCs w:val="21"/>
          <w:u w:val="single"/>
        </w:rPr>
        <w:t>（ 公司名称 ）</w:t>
      </w:r>
      <w:r>
        <w:rPr>
          <w:rFonts w:hint="eastAsia" w:ascii="仿宋_GB2312" w:eastAsia="仿宋_GB2312"/>
          <w:kern w:val="0"/>
          <w:szCs w:val="21"/>
        </w:rPr>
        <w:t>提供的货物进行了验收，验收情况如下：</w:t>
      </w:r>
    </w:p>
    <w:tbl>
      <w:tblPr>
        <w:tblStyle w:val="4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984"/>
        <w:gridCol w:w="426"/>
        <w:gridCol w:w="2551"/>
        <w:gridCol w:w="98"/>
        <w:gridCol w:w="1556"/>
        <w:gridCol w:w="1487"/>
      </w:tblGrid>
      <w:tr w14:paraId="64410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gridSpan w:val="2"/>
            <w:tcBorders>
              <w:top w:val="single" w:color="auto" w:sz="4" w:space="0"/>
              <w:left w:val="single" w:color="auto" w:sz="4" w:space="0"/>
              <w:bottom w:val="single" w:color="auto" w:sz="4" w:space="0"/>
              <w:right w:val="single" w:color="auto" w:sz="4" w:space="0"/>
            </w:tcBorders>
          </w:tcPr>
          <w:p w14:paraId="3A09E584">
            <w:pPr>
              <w:spacing w:line="340" w:lineRule="exact"/>
              <w:jc w:val="center"/>
              <w:rPr>
                <w:rFonts w:ascii="仿宋_GB2312" w:eastAsia="仿宋_GB2312"/>
                <w:b/>
                <w:szCs w:val="21"/>
              </w:rPr>
            </w:pPr>
            <w:r>
              <w:rPr>
                <w:rFonts w:hint="eastAsia" w:ascii="仿宋_GB2312" w:eastAsia="仿宋_GB2312"/>
                <w:kern w:val="0"/>
                <w:szCs w:val="21"/>
              </w:rPr>
              <w:t>验收方式：</w:t>
            </w:r>
          </w:p>
        </w:tc>
        <w:tc>
          <w:tcPr>
            <w:tcW w:w="6118" w:type="dxa"/>
            <w:gridSpan w:val="5"/>
            <w:tcBorders>
              <w:top w:val="single" w:color="auto" w:sz="4" w:space="0"/>
              <w:left w:val="single" w:color="auto" w:sz="4" w:space="0"/>
              <w:bottom w:val="single" w:color="auto" w:sz="4" w:space="0"/>
              <w:right w:val="single" w:color="auto" w:sz="4" w:space="0"/>
            </w:tcBorders>
          </w:tcPr>
          <w:p w14:paraId="6CEABA66">
            <w:pPr>
              <w:spacing w:line="340" w:lineRule="exact"/>
              <w:jc w:val="center"/>
              <w:rPr>
                <w:rFonts w:ascii="仿宋_GB2312" w:eastAsia="仿宋_GB2312"/>
                <w:b/>
                <w:szCs w:val="21"/>
              </w:rPr>
            </w:pPr>
            <w:r>
              <w:rPr>
                <w:rFonts w:hint="eastAsia" w:ascii="仿宋_GB2312" w:eastAsia="仿宋_GB2312"/>
                <w:kern w:val="0"/>
                <w:szCs w:val="21"/>
              </w:rPr>
              <w:t>□自行验收</w:t>
            </w:r>
            <w:r>
              <w:rPr>
                <w:rFonts w:eastAsia="仿宋_GB2312"/>
                <w:kern w:val="0"/>
                <w:szCs w:val="21"/>
              </w:rPr>
              <w:t>    </w:t>
            </w:r>
            <w:r>
              <w:rPr>
                <w:rFonts w:hint="eastAsia" w:ascii="仿宋_GB2312" w:eastAsia="仿宋_GB2312"/>
                <w:kern w:val="0"/>
                <w:szCs w:val="21"/>
              </w:rPr>
              <w:t>□委托验收</w:t>
            </w:r>
          </w:p>
        </w:tc>
      </w:tr>
      <w:tr w14:paraId="28651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14:paraId="042E9184">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序号</w:t>
            </w:r>
          </w:p>
        </w:tc>
        <w:tc>
          <w:tcPr>
            <w:tcW w:w="1984" w:type="dxa"/>
            <w:tcBorders>
              <w:top w:val="single" w:color="auto" w:sz="4" w:space="0"/>
              <w:left w:val="single" w:color="auto" w:sz="4" w:space="0"/>
              <w:bottom w:val="single" w:color="auto" w:sz="4" w:space="0"/>
              <w:right w:val="single" w:color="auto" w:sz="4" w:space="0"/>
            </w:tcBorders>
            <w:vAlign w:val="center"/>
          </w:tcPr>
          <w:p w14:paraId="6C09279A">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名</w:t>
            </w:r>
            <w:r>
              <w:rPr>
                <w:rFonts w:eastAsia="仿宋_GB2312"/>
                <w:kern w:val="0"/>
                <w:szCs w:val="21"/>
              </w:rPr>
              <w:t> </w:t>
            </w:r>
            <w:r>
              <w:rPr>
                <w:rFonts w:hint="eastAsia" w:ascii="仿宋_GB2312" w:eastAsia="仿宋_GB2312"/>
                <w:kern w:val="0"/>
                <w:szCs w:val="21"/>
              </w:rPr>
              <w:t>称</w:t>
            </w:r>
          </w:p>
        </w:tc>
        <w:tc>
          <w:tcPr>
            <w:tcW w:w="3075" w:type="dxa"/>
            <w:gridSpan w:val="3"/>
            <w:tcBorders>
              <w:top w:val="single" w:color="auto" w:sz="4" w:space="0"/>
              <w:left w:val="single" w:color="auto" w:sz="4" w:space="0"/>
              <w:bottom w:val="single" w:color="auto" w:sz="4" w:space="0"/>
              <w:right w:val="single" w:color="auto" w:sz="4" w:space="0"/>
            </w:tcBorders>
            <w:vAlign w:val="center"/>
          </w:tcPr>
          <w:p w14:paraId="5EDE0395">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货物型号规格、标准及配置等</w:t>
            </w:r>
          </w:p>
        </w:tc>
        <w:tc>
          <w:tcPr>
            <w:tcW w:w="1556" w:type="dxa"/>
            <w:tcBorders>
              <w:top w:val="single" w:color="auto" w:sz="4" w:space="0"/>
              <w:left w:val="single" w:color="auto" w:sz="4" w:space="0"/>
              <w:bottom w:val="single" w:color="auto" w:sz="4" w:space="0"/>
              <w:right w:val="single" w:color="auto" w:sz="4" w:space="0"/>
            </w:tcBorders>
            <w:vAlign w:val="center"/>
          </w:tcPr>
          <w:p w14:paraId="0BA383F1">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数量</w:t>
            </w:r>
          </w:p>
        </w:tc>
        <w:tc>
          <w:tcPr>
            <w:tcW w:w="1487" w:type="dxa"/>
            <w:tcBorders>
              <w:top w:val="single" w:color="auto" w:sz="4" w:space="0"/>
              <w:left w:val="single" w:color="auto" w:sz="4" w:space="0"/>
              <w:bottom w:val="single" w:color="auto" w:sz="4" w:space="0"/>
              <w:right w:val="single" w:color="auto" w:sz="4" w:space="0"/>
            </w:tcBorders>
            <w:vAlign w:val="center"/>
          </w:tcPr>
          <w:p w14:paraId="0FDFE9F4">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金</w:t>
            </w:r>
            <w:r>
              <w:rPr>
                <w:rFonts w:eastAsia="仿宋_GB2312"/>
                <w:kern w:val="0"/>
                <w:szCs w:val="21"/>
              </w:rPr>
              <w:t> </w:t>
            </w:r>
            <w:r>
              <w:rPr>
                <w:rFonts w:hint="eastAsia" w:ascii="仿宋_GB2312" w:eastAsia="仿宋_GB2312"/>
                <w:kern w:val="0"/>
                <w:szCs w:val="21"/>
              </w:rPr>
              <w:t>额</w:t>
            </w:r>
          </w:p>
        </w:tc>
      </w:tr>
      <w:tr w14:paraId="38564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14:paraId="32BEF36E">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14:paraId="18BB3E9D">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14:paraId="0DC2243F">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14:paraId="7D42816E">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14:paraId="6C84AE7E">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75BA9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14:paraId="598CEB57">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14:paraId="53B1B87B">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14:paraId="23F21E90">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14:paraId="7CC03503">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14:paraId="365BF6AD">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4B580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14:paraId="4AF88F16">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14:paraId="2509E744">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14:paraId="441116D3">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14:paraId="0DD5ADBE">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14:paraId="7D64C0BD">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0D042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5" w:type="dxa"/>
            <w:gridSpan w:val="5"/>
            <w:tcBorders>
              <w:top w:val="single" w:color="auto" w:sz="4" w:space="0"/>
              <w:left w:val="single" w:color="auto" w:sz="4" w:space="0"/>
              <w:bottom w:val="single" w:color="auto" w:sz="4" w:space="0"/>
              <w:right w:val="single" w:color="auto" w:sz="4" w:space="0"/>
            </w:tcBorders>
            <w:vAlign w:val="center"/>
          </w:tcPr>
          <w:p w14:paraId="3C01C70A">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w:t>
            </w:r>
            <w:r>
              <w:rPr>
                <w:rFonts w:eastAsia="仿宋_GB2312"/>
                <w:kern w:val="0"/>
                <w:szCs w:val="21"/>
              </w:rPr>
              <w:t>  </w:t>
            </w:r>
            <w:r>
              <w:rPr>
                <w:rFonts w:hint="eastAsia" w:ascii="仿宋_GB2312" w:eastAsia="仿宋_GB2312"/>
                <w:kern w:val="0"/>
                <w:szCs w:val="21"/>
              </w:rPr>
              <w:t>计</w:t>
            </w:r>
          </w:p>
        </w:tc>
        <w:tc>
          <w:tcPr>
            <w:tcW w:w="1556" w:type="dxa"/>
            <w:tcBorders>
              <w:top w:val="single" w:color="auto" w:sz="4" w:space="0"/>
              <w:left w:val="single" w:color="auto" w:sz="4" w:space="0"/>
              <w:bottom w:val="single" w:color="auto" w:sz="4" w:space="0"/>
              <w:right w:val="single" w:color="auto" w:sz="4" w:space="0"/>
            </w:tcBorders>
            <w:vAlign w:val="center"/>
          </w:tcPr>
          <w:p w14:paraId="5D4D7585">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14:paraId="46719E36">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255AC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14:paraId="2B2CDB29">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合计大写金额：</w:t>
            </w:r>
            <w:r>
              <w:rPr>
                <w:rFonts w:eastAsia="仿宋_GB2312"/>
                <w:kern w:val="0"/>
                <w:szCs w:val="21"/>
              </w:rPr>
              <w:t> </w:t>
            </w:r>
            <w:r>
              <w:rPr>
                <w:rFonts w:hint="eastAsia" w:ascii="仿宋_GB2312" w:eastAsia="仿宋_GB2312"/>
                <w:kern w:val="0"/>
                <w:szCs w:val="21"/>
              </w:rPr>
              <w:t xml:space="preserve"> </w:t>
            </w:r>
          </w:p>
        </w:tc>
      </w:tr>
      <w:tr w14:paraId="05F3B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26" w:type="dxa"/>
            <w:tcBorders>
              <w:top w:val="single" w:color="auto" w:sz="4" w:space="0"/>
              <w:left w:val="single" w:color="auto" w:sz="4" w:space="0"/>
              <w:bottom w:val="single" w:color="auto" w:sz="4" w:space="0"/>
              <w:right w:val="single" w:color="auto" w:sz="4" w:space="0"/>
            </w:tcBorders>
            <w:vAlign w:val="center"/>
          </w:tcPr>
          <w:p w14:paraId="5D73F859">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实际供货日期</w:t>
            </w:r>
          </w:p>
        </w:tc>
        <w:tc>
          <w:tcPr>
            <w:tcW w:w="2410" w:type="dxa"/>
            <w:gridSpan w:val="2"/>
            <w:tcBorders>
              <w:top w:val="single" w:color="auto" w:sz="4" w:space="0"/>
              <w:left w:val="single" w:color="auto" w:sz="4" w:space="0"/>
              <w:bottom w:val="single" w:color="auto" w:sz="4" w:space="0"/>
              <w:right w:val="single" w:color="auto" w:sz="4" w:space="0"/>
            </w:tcBorders>
            <w:vAlign w:val="center"/>
          </w:tcPr>
          <w:p w14:paraId="1B138D5E">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551" w:type="dxa"/>
            <w:tcBorders>
              <w:top w:val="single" w:color="auto" w:sz="4" w:space="0"/>
              <w:left w:val="single" w:color="auto" w:sz="4" w:space="0"/>
              <w:bottom w:val="single" w:color="auto" w:sz="4" w:space="0"/>
              <w:right w:val="single" w:color="auto" w:sz="4" w:space="0"/>
            </w:tcBorders>
            <w:vAlign w:val="center"/>
          </w:tcPr>
          <w:p w14:paraId="47A72635">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合同交货验收日期</w:t>
            </w:r>
          </w:p>
        </w:tc>
        <w:tc>
          <w:tcPr>
            <w:tcW w:w="3141" w:type="dxa"/>
            <w:gridSpan w:val="3"/>
            <w:tcBorders>
              <w:top w:val="single" w:color="auto" w:sz="4" w:space="0"/>
              <w:left w:val="single" w:color="auto" w:sz="4" w:space="0"/>
              <w:bottom w:val="single" w:color="auto" w:sz="4" w:space="0"/>
              <w:right w:val="single" w:color="auto" w:sz="4" w:space="0"/>
            </w:tcBorders>
            <w:vAlign w:val="center"/>
          </w:tcPr>
          <w:p w14:paraId="21CECFAC">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72FF5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26" w:type="dxa"/>
            <w:tcBorders>
              <w:top w:val="single" w:color="auto" w:sz="4" w:space="0"/>
              <w:left w:val="single" w:color="auto" w:sz="4" w:space="0"/>
              <w:bottom w:val="single" w:color="auto" w:sz="4" w:space="0"/>
              <w:right w:val="single" w:color="auto" w:sz="4" w:space="0"/>
            </w:tcBorders>
            <w:vAlign w:val="center"/>
          </w:tcPr>
          <w:p w14:paraId="7AED4841">
            <w:pPr>
              <w:widowControl/>
              <w:snapToGrid w:val="0"/>
              <w:spacing w:before="100" w:beforeAutospacing="1" w:after="100" w:afterAutospacing="1" w:line="320" w:lineRule="atLeast"/>
              <w:ind w:firstLine="2"/>
              <w:jc w:val="left"/>
              <w:rPr>
                <w:rFonts w:ascii="仿宋_GB2312" w:eastAsia="仿宋_GB2312"/>
                <w:kern w:val="0"/>
                <w:szCs w:val="21"/>
              </w:rPr>
            </w:pPr>
          </w:p>
        </w:tc>
        <w:tc>
          <w:tcPr>
            <w:tcW w:w="2410" w:type="dxa"/>
            <w:gridSpan w:val="2"/>
            <w:tcBorders>
              <w:top w:val="single" w:color="auto" w:sz="4" w:space="0"/>
              <w:left w:val="single" w:color="auto" w:sz="4" w:space="0"/>
              <w:bottom w:val="single" w:color="auto" w:sz="4" w:space="0"/>
              <w:right w:val="single" w:color="auto" w:sz="4" w:space="0"/>
            </w:tcBorders>
            <w:vAlign w:val="center"/>
          </w:tcPr>
          <w:p w14:paraId="4BEE2FE2">
            <w:pPr>
              <w:widowControl/>
              <w:snapToGrid w:val="0"/>
              <w:spacing w:before="100" w:beforeAutospacing="1" w:after="100" w:afterAutospacing="1" w:line="320" w:lineRule="atLeast"/>
              <w:ind w:firstLine="2"/>
              <w:jc w:val="left"/>
              <w:rPr>
                <w:rFonts w:ascii="仿宋_GB2312" w:eastAsia="仿宋_GB2312"/>
                <w:kern w:val="0"/>
                <w:szCs w:val="21"/>
              </w:rPr>
            </w:pPr>
          </w:p>
        </w:tc>
        <w:tc>
          <w:tcPr>
            <w:tcW w:w="2551" w:type="dxa"/>
            <w:tcBorders>
              <w:top w:val="single" w:color="auto" w:sz="4" w:space="0"/>
              <w:left w:val="single" w:color="auto" w:sz="4" w:space="0"/>
              <w:bottom w:val="single" w:color="auto" w:sz="4" w:space="0"/>
              <w:right w:val="single" w:color="auto" w:sz="4" w:space="0"/>
            </w:tcBorders>
            <w:vAlign w:val="center"/>
          </w:tcPr>
          <w:p w14:paraId="7FF5754F">
            <w:pPr>
              <w:widowControl/>
              <w:snapToGrid w:val="0"/>
              <w:spacing w:before="100" w:beforeAutospacing="1" w:after="100" w:afterAutospacing="1" w:line="320" w:lineRule="atLeast"/>
              <w:ind w:firstLine="2"/>
              <w:jc w:val="left"/>
              <w:rPr>
                <w:rFonts w:ascii="仿宋_GB2312" w:eastAsia="仿宋_GB2312"/>
                <w:kern w:val="0"/>
                <w:szCs w:val="21"/>
              </w:rPr>
            </w:pPr>
          </w:p>
        </w:tc>
        <w:tc>
          <w:tcPr>
            <w:tcW w:w="3141" w:type="dxa"/>
            <w:gridSpan w:val="3"/>
            <w:tcBorders>
              <w:top w:val="single" w:color="auto" w:sz="4" w:space="0"/>
              <w:left w:val="single" w:color="auto" w:sz="4" w:space="0"/>
              <w:bottom w:val="single" w:color="auto" w:sz="4" w:space="0"/>
              <w:right w:val="single" w:color="auto" w:sz="4" w:space="0"/>
            </w:tcBorders>
            <w:vAlign w:val="center"/>
          </w:tcPr>
          <w:p w14:paraId="2665C6AF">
            <w:pPr>
              <w:widowControl/>
              <w:snapToGrid w:val="0"/>
              <w:spacing w:before="100" w:beforeAutospacing="1" w:after="100" w:afterAutospacing="1" w:line="320" w:lineRule="atLeast"/>
              <w:ind w:firstLine="2"/>
              <w:jc w:val="left"/>
              <w:rPr>
                <w:rFonts w:ascii="仿宋_GB2312" w:eastAsia="仿宋_GB2312"/>
                <w:kern w:val="0"/>
                <w:szCs w:val="21"/>
              </w:rPr>
            </w:pPr>
          </w:p>
        </w:tc>
      </w:tr>
      <w:tr w14:paraId="4CC01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526" w:type="dxa"/>
            <w:tcBorders>
              <w:top w:val="single" w:color="auto" w:sz="4" w:space="0"/>
              <w:left w:val="single" w:color="auto" w:sz="4" w:space="0"/>
              <w:bottom w:val="single" w:color="auto" w:sz="4" w:space="0"/>
              <w:right w:val="single" w:color="auto" w:sz="4" w:space="0"/>
            </w:tcBorders>
            <w:vAlign w:val="center"/>
          </w:tcPr>
          <w:p w14:paraId="1DB3966A">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验收具体内容</w:t>
            </w:r>
          </w:p>
        </w:tc>
        <w:tc>
          <w:tcPr>
            <w:tcW w:w="8102" w:type="dxa"/>
            <w:gridSpan w:val="6"/>
            <w:tcBorders>
              <w:top w:val="single" w:color="auto" w:sz="4" w:space="0"/>
              <w:left w:val="single" w:color="auto" w:sz="4" w:space="0"/>
              <w:bottom w:val="single" w:color="auto" w:sz="4" w:space="0"/>
              <w:right w:val="single" w:color="auto" w:sz="4" w:space="0"/>
            </w:tcBorders>
            <w:vAlign w:val="center"/>
          </w:tcPr>
          <w:p w14:paraId="20FBCD21">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hAnsi="宋体" w:eastAsia="仿宋_GB2312" w:cs="宋体"/>
                <w:kern w:val="0"/>
                <w:szCs w:val="21"/>
              </w:rPr>
              <w:t>（应按采购合同、采购文件、投标文件及验收方案等进行验收；并核对中标供应商在安装调试等方面是否违反合同约定或服务规范要求、提供的质量保证证明材料是否齐全、应有的配件及附件是否达到合同约定等。可附件)</w:t>
            </w:r>
          </w:p>
        </w:tc>
      </w:tr>
      <w:tr w14:paraId="15026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526" w:type="dxa"/>
            <w:vMerge w:val="restart"/>
            <w:tcBorders>
              <w:top w:val="single" w:color="auto" w:sz="4" w:space="0"/>
              <w:left w:val="single" w:color="auto" w:sz="4" w:space="0"/>
              <w:bottom w:val="single" w:color="auto" w:sz="4" w:space="0"/>
              <w:right w:val="single" w:color="auto" w:sz="4" w:space="0"/>
            </w:tcBorders>
            <w:vAlign w:val="center"/>
          </w:tcPr>
          <w:p w14:paraId="1C99A487">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验收小组意见</w:t>
            </w:r>
          </w:p>
        </w:tc>
        <w:tc>
          <w:tcPr>
            <w:tcW w:w="8102" w:type="dxa"/>
            <w:gridSpan w:val="6"/>
            <w:tcBorders>
              <w:top w:val="single" w:color="auto" w:sz="4" w:space="0"/>
              <w:left w:val="single" w:color="auto" w:sz="4" w:space="0"/>
              <w:bottom w:val="single" w:color="auto" w:sz="4" w:space="0"/>
              <w:right w:val="single" w:color="auto" w:sz="4" w:space="0"/>
            </w:tcBorders>
            <w:vAlign w:val="center"/>
          </w:tcPr>
          <w:p w14:paraId="1F49407F">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验收结论性意见：</w:t>
            </w:r>
          </w:p>
          <w:p w14:paraId="60518613">
            <w:pPr>
              <w:widowControl/>
              <w:snapToGrid w:val="0"/>
              <w:spacing w:before="100" w:beforeAutospacing="1" w:after="100" w:afterAutospacing="1" w:line="320" w:lineRule="atLeast"/>
              <w:jc w:val="left"/>
              <w:rPr>
                <w:rFonts w:ascii="仿宋_GB2312" w:eastAsia="仿宋_GB2312"/>
                <w:kern w:val="0"/>
                <w:szCs w:val="21"/>
              </w:rPr>
            </w:pPr>
          </w:p>
        </w:tc>
      </w:tr>
      <w:tr w14:paraId="4EA43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tcBorders>
              <w:top w:val="single" w:color="auto" w:sz="4" w:space="0"/>
              <w:left w:val="single" w:color="auto" w:sz="4" w:space="0"/>
              <w:bottom w:val="single" w:color="auto" w:sz="4" w:space="0"/>
              <w:right w:val="single" w:color="auto" w:sz="4" w:space="0"/>
            </w:tcBorders>
            <w:vAlign w:val="center"/>
          </w:tcPr>
          <w:p w14:paraId="203D36C2">
            <w:pPr>
              <w:widowControl/>
              <w:jc w:val="left"/>
              <w:rPr>
                <w:rFonts w:ascii="仿宋_GB2312" w:eastAsia="仿宋_GB2312"/>
                <w:kern w:val="0"/>
                <w:szCs w:val="21"/>
              </w:rPr>
            </w:pPr>
          </w:p>
        </w:tc>
        <w:tc>
          <w:tcPr>
            <w:tcW w:w="8102" w:type="dxa"/>
            <w:gridSpan w:val="6"/>
            <w:tcBorders>
              <w:top w:val="single" w:color="auto" w:sz="4" w:space="0"/>
              <w:left w:val="single" w:color="auto" w:sz="4" w:space="0"/>
              <w:bottom w:val="single" w:color="auto" w:sz="4" w:space="0"/>
              <w:right w:val="single" w:color="auto" w:sz="4" w:space="0"/>
            </w:tcBorders>
            <w:vAlign w:val="center"/>
          </w:tcPr>
          <w:p w14:paraId="6A0F5710">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有异议的意见和说明理由：</w:t>
            </w:r>
          </w:p>
          <w:p w14:paraId="67C1C26E">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 xml:space="preserve">            签字：</w:t>
            </w:r>
          </w:p>
        </w:tc>
      </w:tr>
      <w:tr w14:paraId="45132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628" w:type="dxa"/>
            <w:gridSpan w:val="7"/>
            <w:tcBorders>
              <w:top w:val="single" w:color="auto" w:sz="4" w:space="0"/>
              <w:left w:val="single" w:color="auto" w:sz="4" w:space="0"/>
              <w:bottom w:val="single" w:color="auto" w:sz="4" w:space="0"/>
              <w:right w:val="single" w:color="auto" w:sz="4" w:space="0"/>
            </w:tcBorders>
            <w:vAlign w:val="center"/>
          </w:tcPr>
          <w:p w14:paraId="4BAA4B0B">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验收小组成员签字：</w:t>
            </w:r>
          </w:p>
        </w:tc>
      </w:tr>
      <w:tr w14:paraId="4A488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14:paraId="3029FA9A">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监督人员或其他相关人员签字：</w:t>
            </w:r>
          </w:p>
          <w:p w14:paraId="1D3C7ADE">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或受邀机构的意见（盖章）：</w:t>
            </w:r>
          </w:p>
        </w:tc>
      </w:tr>
      <w:tr w14:paraId="067EE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14:paraId="424CF580">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中标供应商负责人签字或者盖章：               </w:t>
            </w:r>
            <w:r>
              <w:rPr>
                <w:rFonts w:eastAsia="仿宋_GB2312"/>
                <w:kern w:val="0"/>
                <w:szCs w:val="21"/>
              </w:rPr>
              <w:t> </w:t>
            </w:r>
            <w:r>
              <w:rPr>
                <w:rFonts w:hint="eastAsia" w:ascii="仿宋_GB2312" w:eastAsia="仿宋_GB2312"/>
                <w:kern w:val="0"/>
                <w:szCs w:val="21"/>
              </w:rPr>
              <w:t>采购人或受托机构的意见（盖章）：</w:t>
            </w:r>
          </w:p>
          <w:p w14:paraId="1153C29E">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联系电话： </w:t>
            </w:r>
            <w:r>
              <w:rPr>
                <w:rFonts w:eastAsia="仿宋_GB2312"/>
                <w:kern w:val="0"/>
                <w:szCs w:val="21"/>
              </w:rPr>
              <w:t>  </w:t>
            </w:r>
            <w:r>
              <w:rPr>
                <w:rFonts w:hint="eastAsia" w:ascii="仿宋_GB2312" w:eastAsia="仿宋_GB2312"/>
                <w:kern w:val="0"/>
                <w:szCs w:val="21"/>
              </w:rPr>
              <w:t xml:space="preserve">  </w:t>
            </w:r>
            <w:r>
              <w:rPr>
                <w:rFonts w:eastAsia="仿宋_GB2312"/>
                <w:kern w:val="0"/>
                <w:szCs w:val="21"/>
              </w:rPr>
              <w:t>  </w:t>
            </w:r>
            <w:r>
              <w:rPr>
                <w:rFonts w:hint="eastAsia" w:ascii="仿宋_GB2312" w:eastAsia="仿宋_GB2312"/>
                <w:kern w:val="0"/>
                <w:szCs w:val="21"/>
              </w:rPr>
              <w:t xml:space="preserve"> 年</w:t>
            </w:r>
            <w:r>
              <w:rPr>
                <w:rFonts w:eastAsia="仿宋_GB2312"/>
                <w:kern w:val="0"/>
                <w:szCs w:val="21"/>
              </w:rPr>
              <w:t>  </w:t>
            </w:r>
            <w:r>
              <w:rPr>
                <w:rFonts w:hint="eastAsia" w:ascii="仿宋_GB2312" w:eastAsia="仿宋_GB2312"/>
                <w:kern w:val="0"/>
                <w:szCs w:val="21"/>
              </w:rPr>
              <w:t xml:space="preserve"> 月</w:t>
            </w:r>
            <w:r>
              <w:rPr>
                <w:rFonts w:eastAsia="仿宋_GB2312"/>
                <w:kern w:val="0"/>
                <w:szCs w:val="21"/>
              </w:rPr>
              <w:t>  </w:t>
            </w:r>
            <w:r>
              <w:rPr>
                <w:rFonts w:hint="eastAsia" w:ascii="仿宋_GB2312" w:eastAsia="仿宋_GB2312"/>
                <w:kern w:val="0"/>
                <w:szCs w:val="21"/>
              </w:rPr>
              <w:t xml:space="preserve"> 日                     联系电话： </w:t>
            </w:r>
            <w:r>
              <w:rPr>
                <w:rFonts w:eastAsia="仿宋_GB2312"/>
                <w:kern w:val="0"/>
                <w:szCs w:val="21"/>
              </w:rPr>
              <w:t>       </w:t>
            </w:r>
            <w:r>
              <w:rPr>
                <w:rFonts w:hint="eastAsia" w:ascii="仿宋_GB2312" w:eastAsia="仿宋_GB2312"/>
                <w:kern w:val="0"/>
                <w:szCs w:val="21"/>
              </w:rPr>
              <w:t xml:space="preserve"> 年</w:t>
            </w:r>
            <w:r>
              <w:rPr>
                <w:rFonts w:eastAsia="仿宋_GB2312"/>
                <w:kern w:val="0"/>
                <w:szCs w:val="21"/>
              </w:rPr>
              <w:t>  </w:t>
            </w:r>
            <w:r>
              <w:rPr>
                <w:rFonts w:hint="eastAsia" w:ascii="仿宋_GB2312" w:eastAsia="仿宋_GB2312"/>
                <w:kern w:val="0"/>
                <w:szCs w:val="21"/>
              </w:rPr>
              <w:t xml:space="preserve"> 月</w:t>
            </w:r>
            <w:r>
              <w:rPr>
                <w:rFonts w:eastAsia="仿宋_GB2312"/>
                <w:kern w:val="0"/>
                <w:szCs w:val="21"/>
              </w:rPr>
              <w:t>  </w:t>
            </w:r>
            <w:r>
              <w:rPr>
                <w:rFonts w:hint="eastAsia" w:ascii="仿宋_GB2312" w:eastAsia="仿宋_GB2312"/>
                <w:kern w:val="0"/>
                <w:szCs w:val="21"/>
              </w:rPr>
              <w:t xml:space="preserve"> 日</w:t>
            </w:r>
          </w:p>
        </w:tc>
      </w:tr>
    </w:tbl>
    <w:p w14:paraId="105E57FC">
      <w:pPr>
        <w:spacing w:line="276" w:lineRule="auto"/>
        <w:jc w:val="left"/>
        <w:rPr>
          <w:rFonts w:hint="eastAsia" w:ascii="仿宋_GB2312" w:hAnsi="华文中宋" w:eastAsia="仿宋_GB2312"/>
          <w:bCs/>
          <w:szCs w:val="21"/>
        </w:rPr>
      </w:pPr>
    </w:p>
    <w:p w14:paraId="3210BA36">
      <w:pPr>
        <w:ind w:firstLine="422" w:firstLineChars="200"/>
        <w:jc w:val="left"/>
        <w:rPr>
          <w:rFonts w:ascii="仿宋_GB2312" w:eastAsia="仿宋_GB2312"/>
          <w:b/>
          <w:bCs/>
          <w:sz w:val="32"/>
          <w:szCs w:val="32"/>
        </w:rPr>
      </w:pPr>
      <w:r>
        <w:rPr>
          <w:rFonts w:hint="eastAsia" w:ascii="仿宋_GB2312" w:hAnsi="华文中宋" w:eastAsia="仿宋_GB2312"/>
          <w:b/>
          <w:bCs/>
          <w:szCs w:val="21"/>
        </w:rPr>
        <w:t>备注：本验收书一式三份（采购人一份、中标人一份、采购代理机构一份）</w:t>
      </w:r>
      <w:bookmarkEnd w:id="101"/>
      <w:bookmarkEnd w:id="102"/>
    </w:p>
    <w:sectPr>
      <w:footerReference r:id="rId8" w:type="default"/>
      <w:pgSz w:w="11906" w:h="16838"/>
      <w:pgMar w:top="1440" w:right="1440" w:bottom="1440"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003" w:usb1="288F0000" w:usb2="00000006" w:usb3="00000000" w:csb0="00040001" w:csb1="00000000"/>
  </w:font>
  <w:font w:name="Verdana">
    <w:panose1 w:val="020B0604030504040204"/>
    <w:charset w:val="00"/>
    <w:family w:val="swiss"/>
    <w:pitch w:val="default"/>
    <w:sig w:usb0="A1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大黑简体2.">
    <w:altName w:val="黑体"/>
    <w:panose1 w:val="00000000000000000000"/>
    <w:charset w:val="86"/>
    <w:family w:val="swiss"/>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13BC5">
    <w:pPr>
      <w:pStyle w:val="31"/>
      <w:framePr w:wrap="around" w:vAnchor="text" w:hAnchor="margin" w:xAlign="center" w:y="1"/>
      <w:rPr>
        <w:rStyle w:val="53"/>
      </w:rPr>
    </w:pPr>
    <w:r>
      <w:fldChar w:fldCharType="begin"/>
    </w:r>
    <w:r>
      <w:rPr>
        <w:rStyle w:val="53"/>
      </w:rPr>
      <w:instrText xml:space="preserve">PAGE  </w:instrText>
    </w:r>
    <w:r>
      <w:fldChar w:fldCharType="separate"/>
    </w:r>
    <w:r>
      <w:rPr>
        <w:rStyle w:val="53"/>
      </w:rPr>
      <w:t>1</w:t>
    </w:r>
    <w:r>
      <w:fldChar w:fldCharType="end"/>
    </w:r>
  </w:p>
  <w:p w14:paraId="17968891">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8233A">
    <w:pPr>
      <w:pStyle w:val="31"/>
      <w:tabs>
        <w:tab w:val="left" w:pos="6787"/>
        <w:tab w:val="center" w:pos="6979"/>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64179">
    <w:pPr>
      <w:pStyle w:val="31"/>
      <w:tabs>
        <w:tab w:val="left" w:pos="6787"/>
        <w:tab w:val="center" w:pos="6979"/>
      </w:tabs>
      <w:jc w:val="center"/>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p w14:paraId="245A93F4"/>
  <w:p w14:paraId="317E8B32"/>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BA751A">
    <w:pPr>
      <w:pStyle w:val="31"/>
      <w:jc w:val="center"/>
    </w:pPr>
    <w:r>
      <w:rPr>
        <w:rFonts w:hint="eastAsia"/>
      </w:rPr>
      <w:fldChar w:fldCharType="begin"/>
    </w:r>
    <w:r>
      <w:rPr>
        <w:rFonts w:hint="eastAsia"/>
      </w:rPr>
      <w:instrText xml:space="preserve"> PAGE  \* MERGEFORMAT </w:instrText>
    </w:r>
    <w:r>
      <w:rPr>
        <w:rFonts w:hint="eastAsia"/>
      </w:rPr>
      <w:fldChar w:fldCharType="separate"/>
    </w:r>
    <w:r>
      <w:t>46</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A4440">
    <w:pPr>
      <w:pStyle w:val="32"/>
    </w:pPr>
    <w:r>
      <w:rPr>
        <w:rFonts w:hint="eastAsia"/>
        <w:b/>
      </w:rPr>
      <w:t xml:space="preserve">柳州市政府集中采购中心  </w:t>
    </w:r>
    <w:r>
      <w:rPr>
        <w:rFonts w:hint="eastAsia"/>
        <w:b/>
        <w:i/>
      </w:rPr>
      <w:t xml:space="preserve">                            柳州市政府集中采购综合管理系统开发服务采购</w:t>
    </w:r>
    <w:r>
      <w:rPr>
        <w:rFonts w:hint="eastAsia"/>
        <w:b/>
        <w:color w:val="000000"/>
      </w:rPr>
      <w:t>（LZG18-945）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8A7DB3">
    <w:pPr>
      <w:pStyle w:val="32"/>
      <w:jc w:val="right"/>
      <w:rPr>
        <w:b/>
        <w:color w:val="000000"/>
      </w:rPr>
    </w:pPr>
    <w:r>
      <w:rPr>
        <w:b/>
      </w:rPr>
      <w:t>信息化设备基础建设采购</w:t>
    </w:r>
    <w:r>
      <w:rPr>
        <w:rFonts w:hint="eastAsia"/>
        <w:b/>
      </w:rPr>
      <w:t>（</w:t>
    </w:r>
    <w:r>
      <w:rPr>
        <w:rFonts w:hint="eastAsia"/>
        <w:b/>
        <w:lang w:val="en-US" w:eastAsia="zh-CN"/>
      </w:rPr>
      <w:t>LZZC2025-G1-990823-LZSZ</w:t>
    </w:r>
    <w:r>
      <w:rPr>
        <w:rFonts w:hint="eastAsia"/>
        <w:b/>
      </w:rPr>
      <w:t xml:space="preserve">）   </w:t>
    </w:r>
    <w:r>
      <w:rPr>
        <w:rFonts w:hint="eastAsia"/>
        <w:b/>
        <w: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FD0A51"/>
    <w:multiLevelType w:val="multilevel"/>
    <w:tmpl w:val="08FD0A51"/>
    <w:lvl w:ilvl="0" w:tentative="0">
      <w:start w:val="1"/>
      <w:numFmt w:val="decimal"/>
      <w:suff w:val="nothing"/>
      <w:lvlText w:val="（%1）"/>
      <w:lvlJc w:val="left"/>
      <w:pPr>
        <w:ind w:left="0" w:firstLine="430"/>
      </w:pPr>
      <w:rPr>
        <w:rFonts w:hint="eastAsia"/>
      </w:rPr>
    </w:lvl>
    <w:lvl w:ilvl="1" w:tentative="0">
      <w:start w:val="1"/>
      <w:numFmt w:val="lowerLetter"/>
      <w:lvlText w:val="%2)"/>
      <w:lvlJc w:val="left"/>
      <w:pPr>
        <w:tabs>
          <w:tab w:val="left" w:pos="1470"/>
        </w:tabs>
        <w:ind w:left="1470" w:hanging="420"/>
      </w:pPr>
      <w:rPr>
        <w:rFonts w:hint="eastAsia"/>
      </w:rPr>
    </w:lvl>
    <w:lvl w:ilvl="2" w:tentative="0">
      <w:start w:val="1"/>
      <w:numFmt w:val="lowerRoman"/>
      <w:lvlText w:val="%3."/>
      <w:lvlJc w:val="right"/>
      <w:pPr>
        <w:tabs>
          <w:tab w:val="left" w:pos="1890"/>
        </w:tabs>
        <w:ind w:left="1890" w:hanging="420"/>
      </w:pPr>
      <w:rPr>
        <w:rFonts w:hint="eastAsia"/>
      </w:rPr>
    </w:lvl>
    <w:lvl w:ilvl="3" w:tentative="0">
      <w:start w:val="1"/>
      <w:numFmt w:val="decimal"/>
      <w:lvlText w:val="%4."/>
      <w:lvlJc w:val="left"/>
      <w:pPr>
        <w:tabs>
          <w:tab w:val="left" w:pos="2310"/>
        </w:tabs>
        <w:ind w:left="2310" w:hanging="420"/>
      </w:pPr>
      <w:rPr>
        <w:rFonts w:hint="eastAsia"/>
      </w:rPr>
    </w:lvl>
    <w:lvl w:ilvl="4" w:tentative="0">
      <w:start w:val="1"/>
      <w:numFmt w:val="lowerLetter"/>
      <w:lvlText w:val="%5)"/>
      <w:lvlJc w:val="left"/>
      <w:pPr>
        <w:tabs>
          <w:tab w:val="left" w:pos="2730"/>
        </w:tabs>
        <w:ind w:left="2730" w:hanging="420"/>
      </w:pPr>
      <w:rPr>
        <w:rFonts w:hint="eastAsia"/>
      </w:rPr>
    </w:lvl>
    <w:lvl w:ilvl="5" w:tentative="0">
      <w:start w:val="1"/>
      <w:numFmt w:val="lowerRoman"/>
      <w:lvlText w:val="%6."/>
      <w:lvlJc w:val="right"/>
      <w:pPr>
        <w:tabs>
          <w:tab w:val="left" w:pos="3150"/>
        </w:tabs>
        <w:ind w:left="3150" w:hanging="420"/>
      </w:pPr>
      <w:rPr>
        <w:rFonts w:hint="eastAsia"/>
      </w:rPr>
    </w:lvl>
    <w:lvl w:ilvl="6" w:tentative="0">
      <w:start w:val="1"/>
      <w:numFmt w:val="decimal"/>
      <w:lvlText w:val="%7."/>
      <w:lvlJc w:val="left"/>
      <w:pPr>
        <w:tabs>
          <w:tab w:val="left" w:pos="3570"/>
        </w:tabs>
        <w:ind w:left="3570" w:hanging="420"/>
      </w:pPr>
      <w:rPr>
        <w:rFonts w:hint="eastAsia"/>
      </w:rPr>
    </w:lvl>
    <w:lvl w:ilvl="7" w:tentative="0">
      <w:start w:val="1"/>
      <w:numFmt w:val="lowerLetter"/>
      <w:lvlText w:val="%8)"/>
      <w:lvlJc w:val="left"/>
      <w:pPr>
        <w:tabs>
          <w:tab w:val="left" w:pos="3990"/>
        </w:tabs>
        <w:ind w:left="3990" w:hanging="420"/>
      </w:pPr>
      <w:rPr>
        <w:rFonts w:hint="eastAsia"/>
      </w:rPr>
    </w:lvl>
    <w:lvl w:ilvl="8" w:tentative="0">
      <w:start w:val="1"/>
      <w:numFmt w:val="lowerRoman"/>
      <w:lvlText w:val="%9."/>
      <w:lvlJc w:val="right"/>
      <w:pPr>
        <w:tabs>
          <w:tab w:val="left" w:pos="4410"/>
        </w:tabs>
        <w:ind w:left="4410" w:hanging="420"/>
      </w:pPr>
      <w:rPr>
        <w:rFonts w:hint="eastAsia"/>
      </w:rPr>
    </w:lvl>
  </w:abstractNum>
  <w:abstractNum w:abstractNumId="1">
    <w:nsid w:val="09256FDA"/>
    <w:multiLevelType w:val="multilevel"/>
    <w:tmpl w:val="09256FDA"/>
    <w:lvl w:ilvl="0" w:tentative="0">
      <w:start w:val="1"/>
      <w:numFmt w:val="chineseCountingThousand"/>
      <w:pStyle w:val="101"/>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7"/>
      <w:lvlText w:val="%5)"/>
      <w:lvlJc w:val="left"/>
      <w:pPr>
        <w:ind w:left="2580" w:hanging="420"/>
      </w:pPr>
    </w:lvl>
    <w:lvl w:ilvl="5" w:tentative="0">
      <w:start w:val="1"/>
      <w:numFmt w:val="lowerRoman"/>
      <w:pStyle w:val="9"/>
      <w:lvlText w:val="%6."/>
      <w:lvlJc w:val="right"/>
      <w:pPr>
        <w:ind w:left="3000" w:hanging="420"/>
      </w:pPr>
    </w:lvl>
    <w:lvl w:ilvl="6" w:tentative="0">
      <w:start w:val="1"/>
      <w:numFmt w:val="decimal"/>
      <w:pStyle w:val="10"/>
      <w:lvlText w:val="%7."/>
      <w:lvlJc w:val="left"/>
      <w:pPr>
        <w:ind w:left="3420" w:hanging="420"/>
      </w:pPr>
    </w:lvl>
    <w:lvl w:ilvl="7" w:tentative="0">
      <w:start w:val="1"/>
      <w:numFmt w:val="lowerLetter"/>
      <w:pStyle w:val="11"/>
      <w:lvlText w:val="%8)"/>
      <w:lvlJc w:val="left"/>
      <w:pPr>
        <w:ind w:left="3840" w:hanging="420"/>
      </w:pPr>
    </w:lvl>
    <w:lvl w:ilvl="8" w:tentative="0">
      <w:start w:val="1"/>
      <w:numFmt w:val="lowerRoman"/>
      <w:pStyle w:val="12"/>
      <w:lvlText w:val="%9."/>
      <w:lvlJc w:val="right"/>
      <w:pPr>
        <w:ind w:left="42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98"/>
    <w:rsid w:val="00000235"/>
    <w:rsid w:val="00000BE6"/>
    <w:rsid w:val="00000F70"/>
    <w:rsid w:val="00001419"/>
    <w:rsid w:val="00001E3D"/>
    <w:rsid w:val="0000234F"/>
    <w:rsid w:val="000031DB"/>
    <w:rsid w:val="0000367B"/>
    <w:rsid w:val="000043C7"/>
    <w:rsid w:val="00004F6D"/>
    <w:rsid w:val="00006D60"/>
    <w:rsid w:val="00007042"/>
    <w:rsid w:val="000070F9"/>
    <w:rsid w:val="00007A45"/>
    <w:rsid w:val="00007B12"/>
    <w:rsid w:val="00007FF7"/>
    <w:rsid w:val="0001002C"/>
    <w:rsid w:val="00010AB6"/>
    <w:rsid w:val="00011112"/>
    <w:rsid w:val="00011DB7"/>
    <w:rsid w:val="000120AA"/>
    <w:rsid w:val="000124DA"/>
    <w:rsid w:val="00012763"/>
    <w:rsid w:val="00014960"/>
    <w:rsid w:val="00015568"/>
    <w:rsid w:val="000157B1"/>
    <w:rsid w:val="00015FB9"/>
    <w:rsid w:val="00016048"/>
    <w:rsid w:val="00016E1D"/>
    <w:rsid w:val="00016E4A"/>
    <w:rsid w:val="00017814"/>
    <w:rsid w:val="00017B02"/>
    <w:rsid w:val="00017C23"/>
    <w:rsid w:val="000210A2"/>
    <w:rsid w:val="000219E7"/>
    <w:rsid w:val="00022A08"/>
    <w:rsid w:val="0002382C"/>
    <w:rsid w:val="000239AF"/>
    <w:rsid w:val="00023AD3"/>
    <w:rsid w:val="00024119"/>
    <w:rsid w:val="0002412E"/>
    <w:rsid w:val="0002485B"/>
    <w:rsid w:val="00024AEC"/>
    <w:rsid w:val="000252EF"/>
    <w:rsid w:val="0002533B"/>
    <w:rsid w:val="000257AA"/>
    <w:rsid w:val="00026874"/>
    <w:rsid w:val="000269D2"/>
    <w:rsid w:val="00026A4B"/>
    <w:rsid w:val="00026E44"/>
    <w:rsid w:val="0002705C"/>
    <w:rsid w:val="0002739D"/>
    <w:rsid w:val="000275A8"/>
    <w:rsid w:val="00030068"/>
    <w:rsid w:val="000303E1"/>
    <w:rsid w:val="00031417"/>
    <w:rsid w:val="000317C1"/>
    <w:rsid w:val="00031C8D"/>
    <w:rsid w:val="00033587"/>
    <w:rsid w:val="00033A5E"/>
    <w:rsid w:val="000345B3"/>
    <w:rsid w:val="0003560F"/>
    <w:rsid w:val="00035DE8"/>
    <w:rsid w:val="00036947"/>
    <w:rsid w:val="00036DAE"/>
    <w:rsid w:val="00036F4B"/>
    <w:rsid w:val="000374B1"/>
    <w:rsid w:val="00037604"/>
    <w:rsid w:val="00037959"/>
    <w:rsid w:val="00040330"/>
    <w:rsid w:val="00041165"/>
    <w:rsid w:val="000413E7"/>
    <w:rsid w:val="0004189A"/>
    <w:rsid w:val="00041B52"/>
    <w:rsid w:val="000420F5"/>
    <w:rsid w:val="000424E0"/>
    <w:rsid w:val="00043441"/>
    <w:rsid w:val="00043DAB"/>
    <w:rsid w:val="000442D2"/>
    <w:rsid w:val="000448D9"/>
    <w:rsid w:val="00045374"/>
    <w:rsid w:val="00045718"/>
    <w:rsid w:val="00045B7B"/>
    <w:rsid w:val="00045D55"/>
    <w:rsid w:val="00045D9F"/>
    <w:rsid w:val="00045ED7"/>
    <w:rsid w:val="000466B9"/>
    <w:rsid w:val="00046CD4"/>
    <w:rsid w:val="00046F87"/>
    <w:rsid w:val="00047D7E"/>
    <w:rsid w:val="000514DD"/>
    <w:rsid w:val="00051A31"/>
    <w:rsid w:val="000525BC"/>
    <w:rsid w:val="0005300B"/>
    <w:rsid w:val="0005314B"/>
    <w:rsid w:val="000532B5"/>
    <w:rsid w:val="00053582"/>
    <w:rsid w:val="00053BE0"/>
    <w:rsid w:val="00053ECC"/>
    <w:rsid w:val="000542B6"/>
    <w:rsid w:val="00054E25"/>
    <w:rsid w:val="0005591B"/>
    <w:rsid w:val="00056A5C"/>
    <w:rsid w:val="00056AC9"/>
    <w:rsid w:val="00057806"/>
    <w:rsid w:val="00057D70"/>
    <w:rsid w:val="00057E18"/>
    <w:rsid w:val="00057E4E"/>
    <w:rsid w:val="000606E0"/>
    <w:rsid w:val="000614CE"/>
    <w:rsid w:val="00061AB0"/>
    <w:rsid w:val="00061CC0"/>
    <w:rsid w:val="00062121"/>
    <w:rsid w:val="000623FE"/>
    <w:rsid w:val="00062573"/>
    <w:rsid w:val="00062808"/>
    <w:rsid w:val="000630CD"/>
    <w:rsid w:val="00063149"/>
    <w:rsid w:val="00063816"/>
    <w:rsid w:val="0006471C"/>
    <w:rsid w:val="00066221"/>
    <w:rsid w:val="0006731E"/>
    <w:rsid w:val="00070B46"/>
    <w:rsid w:val="00071A83"/>
    <w:rsid w:val="00072BCC"/>
    <w:rsid w:val="00073315"/>
    <w:rsid w:val="000733DE"/>
    <w:rsid w:val="00074052"/>
    <w:rsid w:val="00074393"/>
    <w:rsid w:val="00075F03"/>
    <w:rsid w:val="0007640E"/>
    <w:rsid w:val="000805E3"/>
    <w:rsid w:val="00080A21"/>
    <w:rsid w:val="00080C67"/>
    <w:rsid w:val="00080EB2"/>
    <w:rsid w:val="00080F5E"/>
    <w:rsid w:val="00083B58"/>
    <w:rsid w:val="000847DA"/>
    <w:rsid w:val="0008491C"/>
    <w:rsid w:val="00084BE6"/>
    <w:rsid w:val="00084CBA"/>
    <w:rsid w:val="00085CB2"/>
    <w:rsid w:val="00086CCF"/>
    <w:rsid w:val="00087839"/>
    <w:rsid w:val="00090591"/>
    <w:rsid w:val="000915D8"/>
    <w:rsid w:val="0009163A"/>
    <w:rsid w:val="00091A5B"/>
    <w:rsid w:val="00092194"/>
    <w:rsid w:val="00093209"/>
    <w:rsid w:val="00093BF6"/>
    <w:rsid w:val="00093F42"/>
    <w:rsid w:val="00094599"/>
    <w:rsid w:val="000947E3"/>
    <w:rsid w:val="00095137"/>
    <w:rsid w:val="00095545"/>
    <w:rsid w:val="00095686"/>
    <w:rsid w:val="0009631E"/>
    <w:rsid w:val="00096585"/>
    <w:rsid w:val="0009699D"/>
    <w:rsid w:val="000969C2"/>
    <w:rsid w:val="00096E5F"/>
    <w:rsid w:val="00097250"/>
    <w:rsid w:val="00097575"/>
    <w:rsid w:val="00097FF1"/>
    <w:rsid w:val="000A0086"/>
    <w:rsid w:val="000A05BD"/>
    <w:rsid w:val="000A0C46"/>
    <w:rsid w:val="000A1982"/>
    <w:rsid w:val="000A2813"/>
    <w:rsid w:val="000A2980"/>
    <w:rsid w:val="000A3B7B"/>
    <w:rsid w:val="000A3D56"/>
    <w:rsid w:val="000A4485"/>
    <w:rsid w:val="000A4CF3"/>
    <w:rsid w:val="000A4D42"/>
    <w:rsid w:val="000A5208"/>
    <w:rsid w:val="000A5BAA"/>
    <w:rsid w:val="000A5CA2"/>
    <w:rsid w:val="000A62D8"/>
    <w:rsid w:val="000A649C"/>
    <w:rsid w:val="000A65CD"/>
    <w:rsid w:val="000A71DC"/>
    <w:rsid w:val="000A74C1"/>
    <w:rsid w:val="000A757D"/>
    <w:rsid w:val="000A77C2"/>
    <w:rsid w:val="000B0168"/>
    <w:rsid w:val="000B0C44"/>
    <w:rsid w:val="000B1306"/>
    <w:rsid w:val="000B32EE"/>
    <w:rsid w:val="000B360E"/>
    <w:rsid w:val="000B3B37"/>
    <w:rsid w:val="000B3B9E"/>
    <w:rsid w:val="000B3C9E"/>
    <w:rsid w:val="000B3F01"/>
    <w:rsid w:val="000B4453"/>
    <w:rsid w:val="000B4A85"/>
    <w:rsid w:val="000B5598"/>
    <w:rsid w:val="000B5644"/>
    <w:rsid w:val="000B5B1A"/>
    <w:rsid w:val="000B5B38"/>
    <w:rsid w:val="000B5D37"/>
    <w:rsid w:val="000B6530"/>
    <w:rsid w:val="000B6BF8"/>
    <w:rsid w:val="000C0059"/>
    <w:rsid w:val="000C0454"/>
    <w:rsid w:val="000C09EA"/>
    <w:rsid w:val="000C1070"/>
    <w:rsid w:val="000C12B4"/>
    <w:rsid w:val="000C1CA4"/>
    <w:rsid w:val="000C2FE2"/>
    <w:rsid w:val="000C363F"/>
    <w:rsid w:val="000C53F9"/>
    <w:rsid w:val="000C5F9A"/>
    <w:rsid w:val="000C65E7"/>
    <w:rsid w:val="000C679A"/>
    <w:rsid w:val="000D0DBD"/>
    <w:rsid w:val="000D19B9"/>
    <w:rsid w:val="000D1B36"/>
    <w:rsid w:val="000D24E6"/>
    <w:rsid w:val="000D266C"/>
    <w:rsid w:val="000D27B9"/>
    <w:rsid w:val="000D2ED8"/>
    <w:rsid w:val="000D4981"/>
    <w:rsid w:val="000D4D01"/>
    <w:rsid w:val="000D589B"/>
    <w:rsid w:val="000D5E63"/>
    <w:rsid w:val="000D6747"/>
    <w:rsid w:val="000D6DAD"/>
    <w:rsid w:val="000D75FD"/>
    <w:rsid w:val="000D78A2"/>
    <w:rsid w:val="000D78E1"/>
    <w:rsid w:val="000D7925"/>
    <w:rsid w:val="000D7E20"/>
    <w:rsid w:val="000E0700"/>
    <w:rsid w:val="000E179D"/>
    <w:rsid w:val="000E2962"/>
    <w:rsid w:val="000E2C47"/>
    <w:rsid w:val="000E2DED"/>
    <w:rsid w:val="000E31BF"/>
    <w:rsid w:val="000E321F"/>
    <w:rsid w:val="000E37ED"/>
    <w:rsid w:val="000E37F4"/>
    <w:rsid w:val="000E383E"/>
    <w:rsid w:val="000E3948"/>
    <w:rsid w:val="000E41F0"/>
    <w:rsid w:val="000E4595"/>
    <w:rsid w:val="000E45B8"/>
    <w:rsid w:val="000E4776"/>
    <w:rsid w:val="000E478A"/>
    <w:rsid w:val="000E4E7E"/>
    <w:rsid w:val="000E54B2"/>
    <w:rsid w:val="000E55C0"/>
    <w:rsid w:val="000E5B54"/>
    <w:rsid w:val="000E6995"/>
    <w:rsid w:val="000F0043"/>
    <w:rsid w:val="000F1028"/>
    <w:rsid w:val="000F32BC"/>
    <w:rsid w:val="000F397F"/>
    <w:rsid w:val="000F3B93"/>
    <w:rsid w:val="000F40BA"/>
    <w:rsid w:val="000F43EB"/>
    <w:rsid w:val="000F4885"/>
    <w:rsid w:val="000F53BD"/>
    <w:rsid w:val="000F5D4C"/>
    <w:rsid w:val="000F6A30"/>
    <w:rsid w:val="000F7931"/>
    <w:rsid w:val="000F7C55"/>
    <w:rsid w:val="00100233"/>
    <w:rsid w:val="00100C36"/>
    <w:rsid w:val="00101727"/>
    <w:rsid w:val="00101B32"/>
    <w:rsid w:val="0010269D"/>
    <w:rsid w:val="00102711"/>
    <w:rsid w:val="00102894"/>
    <w:rsid w:val="00102B16"/>
    <w:rsid w:val="00102B75"/>
    <w:rsid w:val="0010348F"/>
    <w:rsid w:val="001034A6"/>
    <w:rsid w:val="0010388D"/>
    <w:rsid w:val="00103D5A"/>
    <w:rsid w:val="00104C63"/>
    <w:rsid w:val="001064D2"/>
    <w:rsid w:val="0010686F"/>
    <w:rsid w:val="0010717F"/>
    <w:rsid w:val="00107881"/>
    <w:rsid w:val="001106E1"/>
    <w:rsid w:val="0011175F"/>
    <w:rsid w:val="00111A85"/>
    <w:rsid w:val="0011312C"/>
    <w:rsid w:val="001132FF"/>
    <w:rsid w:val="001139F7"/>
    <w:rsid w:val="00114253"/>
    <w:rsid w:val="00114844"/>
    <w:rsid w:val="00114E59"/>
    <w:rsid w:val="0011544C"/>
    <w:rsid w:val="00115C23"/>
    <w:rsid w:val="00115EA5"/>
    <w:rsid w:val="00116042"/>
    <w:rsid w:val="001161C6"/>
    <w:rsid w:val="00116772"/>
    <w:rsid w:val="00116AC0"/>
    <w:rsid w:val="00117558"/>
    <w:rsid w:val="0011780D"/>
    <w:rsid w:val="00117BB9"/>
    <w:rsid w:val="0012009A"/>
    <w:rsid w:val="001204FE"/>
    <w:rsid w:val="0012087C"/>
    <w:rsid w:val="00120B9F"/>
    <w:rsid w:val="00120E6A"/>
    <w:rsid w:val="0012216B"/>
    <w:rsid w:val="001223E2"/>
    <w:rsid w:val="0012259A"/>
    <w:rsid w:val="0012444B"/>
    <w:rsid w:val="00125976"/>
    <w:rsid w:val="00126535"/>
    <w:rsid w:val="00126A2C"/>
    <w:rsid w:val="001276BD"/>
    <w:rsid w:val="00127D60"/>
    <w:rsid w:val="00131D50"/>
    <w:rsid w:val="00131E0E"/>
    <w:rsid w:val="00132238"/>
    <w:rsid w:val="00133A8C"/>
    <w:rsid w:val="00133E96"/>
    <w:rsid w:val="00134C03"/>
    <w:rsid w:val="001353A6"/>
    <w:rsid w:val="001361A9"/>
    <w:rsid w:val="00136235"/>
    <w:rsid w:val="00136A54"/>
    <w:rsid w:val="00136AE6"/>
    <w:rsid w:val="00140691"/>
    <w:rsid w:val="00140BE5"/>
    <w:rsid w:val="0014127E"/>
    <w:rsid w:val="001421C2"/>
    <w:rsid w:val="001423AB"/>
    <w:rsid w:val="0014380F"/>
    <w:rsid w:val="00143C68"/>
    <w:rsid w:val="00143D98"/>
    <w:rsid w:val="00143E53"/>
    <w:rsid w:val="00145440"/>
    <w:rsid w:val="00145754"/>
    <w:rsid w:val="00145F94"/>
    <w:rsid w:val="00145FFF"/>
    <w:rsid w:val="0014656A"/>
    <w:rsid w:val="00146586"/>
    <w:rsid w:val="00147305"/>
    <w:rsid w:val="00147975"/>
    <w:rsid w:val="0015026F"/>
    <w:rsid w:val="00150892"/>
    <w:rsid w:val="0015124C"/>
    <w:rsid w:val="00151300"/>
    <w:rsid w:val="00151D0E"/>
    <w:rsid w:val="00152305"/>
    <w:rsid w:val="001525EC"/>
    <w:rsid w:val="001531A9"/>
    <w:rsid w:val="00153202"/>
    <w:rsid w:val="00153516"/>
    <w:rsid w:val="00153C46"/>
    <w:rsid w:val="001543A4"/>
    <w:rsid w:val="00155647"/>
    <w:rsid w:val="00155704"/>
    <w:rsid w:val="00155CB2"/>
    <w:rsid w:val="001568F0"/>
    <w:rsid w:val="00156C77"/>
    <w:rsid w:val="00157122"/>
    <w:rsid w:val="001571BF"/>
    <w:rsid w:val="001572C3"/>
    <w:rsid w:val="00157C3C"/>
    <w:rsid w:val="00160102"/>
    <w:rsid w:val="001601B3"/>
    <w:rsid w:val="00160649"/>
    <w:rsid w:val="0016070E"/>
    <w:rsid w:val="0016124F"/>
    <w:rsid w:val="00161436"/>
    <w:rsid w:val="001617A1"/>
    <w:rsid w:val="00161BB0"/>
    <w:rsid w:val="0016213C"/>
    <w:rsid w:val="00162310"/>
    <w:rsid w:val="001633E2"/>
    <w:rsid w:val="001642FC"/>
    <w:rsid w:val="00164ACB"/>
    <w:rsid w:val="00164B24"/>
    <w:rsid w:val="00164B39"/>
    <w:rsid w:val="00164C55"/>
    <w:rsid w:val="00164F73"/>
    <w:rsid w:val="00165209"/>
    <w:rsid w:val="00165437"/>
    <w:rsid w:val="00165A0E"/>
    <w:rsid w:val="0016645A"/>
    <w:rsid w:val="00167185"/>
    <w:rsid w:val="00167E04"/>
    <w:rsid w:val="00167EB1"/>
    <w:rsid w:val="0017048B"/>
    <w:rsid w:val="00170FE6"/>
    <w:rsid w:val="001716C5"/>
    <w:rsid w:val="0017196C"/>
    <w:rsid w:val="00171C8D"/>
    <w:rsid w:val="00171F94"/>
    <w:rsid w:val="001720B1"/>
    <w:rsid w:val="00172A27"/>
    <w:rsid w:val="00173927"/>
    <w:rsid w:val="00173BC2"/>
    <w:rsid w:val="00174215"/>
    <w:rsid w:val="00174827"/>
    <w:rsid w:val="0017492B"/>
    <w:rsid w:val="00175156"/>
    <w:rsid w:val="00175800"/>
    <w:rsid w:val="001762C2"/>
    <w:rsid w:val="0017656B"/>
    <w:rsid w:val="00176F1C"/>
    <w:rsid w:val="0017768B"/>
    <w:rsid w:val="00180483"/>
    <w:rsid w:val="00180DC0"/>
    <w:rsid w:val="001816F7"/>
    <w:rsid w:val="00181C17"/>
    <w:rsid w:val="00182090"/>
    <w:rsid w:val="00182986"/>
    <w:rsid w:val="00182C2B"/>
    <w:rsid w:val="001834E5"/>
    <w:rsid w:val="00183B9A"/>
    <w:rsid w:val="00183E42"/>
    <w:rsid w:val="00183EFC"/>
    <w:rsid w:val="00184962"/>
    <w:rsid w:val="00186E9E"/>
    <w:rsid w:val="00187998"/>
    <w:rsid w:val="00187C13"/>
    <w:rsid w:val="00187D3D"/>
    <w:rsid w:val="00191153"/>
    <w:rsid w:val="00191B8A"/>
    <w:rsid w:val="00192F2B"/>
    <w:rsid w:val="0019303A"/>
    <w:rsid w:val="00193238"/>
    <w:rsid w:val="0019436B"/>
    <w:rsid w:val="001946B0"/>
    <w:rsid w:val="00194D99"/>
    <w:rsid w:val="00195327"/>
    <w:rsid w:val="00195BB9"/>
    <w:rsid w:val="00195F1C"/>
    <w:rsid w:val="00196050"/>
    <w:rsid w:val="00196479"/>
    <w:rsid w:val="00196F4A"/>
    <w:rsid w:val="001975C8"/>
    <w:rsid w:val="001978B8"/>
    <w:rsid w:val="001A00C0"/>
    <w:rsid w:val="001A0933"/>
    <w:rsid w:val="001A16D8"/>
    <w:rsid w:val="001A1907"/>
    <w:rsid w:val="001A1A8D"/>
    <w:rsid w:val="001A2AC9"/>
    <w:rsid w:val="001A3177"/>
    <w:rsid w:val="001A385A"/>
    <w:rsid w:val="001A3ADA"/>
    <w:rsid w:val="001A3F47"/>
    <w:rsid w:val="001A4709"/>
    <w:rsid w:val="001A5246"/>
    <w:rsid w:val="001A54C0"/>
    <w:rsid w:val="001A55F5"/>
    <w:rsid w:val="001A565F"/>
    <w:rsid w:val="001A5EA4"/>
    <w:rsid w:val="001A6204"/>
    <w:rsid w:val="001A67DD"/>
    <w:rsid w:val="001A6E38"/>
    <w:rsid w:val="001A721C"/>
    <w:rsid w:val="001A73A5"/>
    <w:rsid w:val="001B0078"/>
    <w:rsid w:val="001B08C2"/>
    <w:rsid w:val="001B0A0D"/>
    <w:rsid w:val="001B135E"/>
    <w:rsid w:val="001B1E8E"/>
    <w:rsid w:val="001B2988"/>
    <w:rsid w:val="001B2B8F"/>
    <w:rsid w:val="001B5498"/>
    <w:rsid w:val="001B73EF"/>
    <w:rsid w:val="001B7435"/>
    <w:rsid w:val="001B754B"/>
    <w:rsid w:val="001B7A9A"/>
    <w:rsid w:val="001C126D"/>
    <w:rsid w:val="001C20C2"/>
    <w:rsid w:val="001C2180"/>
    <w:rsid w:val="001C28DD"/>
    <w:rsid w:val="001C2D8A"/>
    <w:rsid w:val="001C30A8"/>
    <w:rsid w:val="001C3889"/>
    <w:rsid w:val="001C39E2"/>
    <w:rsid w:val="001C45A6"/>
    <w:rsid w:val="001C4A21"/>
    <w:rsid w:val="001C4FCF"/>
    <w:rsid w:val="001C5B7F"/>
    <w:rsid w:val="001C5E29"/>
    <w:rsid w:val="001C66F0"/>
    <w:rsid w:val="001D00FF"/>
    <w:rsid w:val="001D07EE"/>
    <w:rsid w:val="001D1126"/>
    <w:rsid w:val="001D1635"/>
    <w:rsid w:val="001D1B5F"/>
    <w:rsid w:val="001D257B"/>
    <w:rsid w:val="001D280A"/>
    <w:rsid w:val="001D2EA7"/>
    <w:rsid w:val="001D33CB"/>
    <w:rsid w:val="001D3E7E"/>
    <w:rsid w:val="001D4ED3"/>
    <w:rsid w:val="001D6104"/>
    <w:rsid w:val="001D65CA"/>
    <w:rsid w:val="001D7F37"/>
    <w:rsid w:val="001E0888"/>
    <w:rsid w:val="001E08AC"/>
    <w:rsid w:val="001E2E15"/>
    <w:rsid w:val="001E3547"/>
    <w:rsid w:val="001E4177"/>
    <w:rsid w:val="001E41D3"/>
    <w:rsid w:val="001E424E"/>
    <w:rsid w:val="001E4491"/>
    <w:rsid w:val="001E46AC"/>
    <w:rsid w:val="001E4B32"/>
    <w:rsid w:val="001E59AD"/>
    <w:rsid w:val="001E70E4"/>
    <w:rsid w:val="001E764E"/>
    <w:rsid w:val="001F0973"/>
    <w:rsid w:val="001F18BC"/>
    <w:rsid w:val="001F2518"/>
    <w:rsid w:val="001F25C4"/>
    <w:rsid w:val="001F2B35"/>
    <w:rsid w:val="001F3AC3"/>
    <w:rsid w:val="001F3F32"/>
    <w:rsid w:val="001F4C8B"/>
    <w:rsid w:val="001F502E"/>
    <w:rsid w:val="001F5596"/>
    <w:rsid w:val="001F56B5"/>
    <w:rsid w:val="001F5AA5"/>
    <w:rsid w:val="001F5D09"/>
    <w:rsid w:val="001F611B"/>
    <w:rsid w:val="001F6DD6"/>
    <w:rsid w:val="001F715F"/>
    <w:rsid w:val="001F777F"/>
    <w:rsid w:val="0020068B"/>
    <w:rsid w:val="00201E57"/>
    <w:rsid w:val="00203125"/>
    <w:rsid w:val="002034CD"/>
    <w:rsid w:val="0020361C"/>
    <w:rsid w:val="00203B3F"/>
    <w:rsid w:val="00204053"/>
    <w:rsid w:val="0020446D"/>
    <w:rsid w:val="002050AB"/>
    <w:rsid w:val="0020543A"/>
    <w:rsid w:val="002056BA"/>
    <w:rsid w:val="00206512"/>
    <w:rsid w:val="002072CF"/>
    <w:rsid w:val="002075C3"/>
    <w:rsid w:val="00207A15"/>
    <w:rsid w:val="00210778"/>
    <w:rsid w:val="002111E3"/>
    <w:rsid w:val="002113D1"/>
    <w:rsid w:val="002123FA"/>
    <w:rsid w:val="00212C1C"/>
    <w:rsid w:val="00213F98"/>
    <w:rsid w:val="002140BD"/>
    <w:rsid w:val="00214416"/>
    <w:rsid w:val="0021554B"/>
    <w:rsid w:val="00215F0C"/>
    <w:rsid w:val="00215FF9"/>
    <w:rsid w:val="002161A1"/>
    <w:rsid w:val="00216F6F"/>
    <w:rsid w:val="00217658"/>
    <w:rsid w:val="0022104E"/>
    <w:rsid w:val="00221498"/>
    <w:rsid w:val="00221529"/>
    <w:rsid w:val="00221D6D"/>
    <w:rsid w:val="00222671"/>
    <w:rsid w:val="00223947"/>
    <w:rsid w:val="00223CC6"/>
    <w:rsid w:val="00223DF4"/>
    <w:rsid w:val="002246F4"/>
    <w:rsid w:val="0022555F"/>
    <w:rsid w:val="002255EB"/>
    <w:rsid w:val="00225E4E"/>
    <w:rsid w:val="0022650F"/>
    <w:rsid w:val="00226800"/>
    <w:rsid w:val="0023284D"/>
    <w:rsid w:val="00232D72"/>
    <w:rsid w:val="0023383D"/>
    <w:rsid w:val="00233DB3"/>
    <w:rsid w:val="00233F41"/>
    <w:rsid w:val="00233F99"/>
    <w:rsid w:val="002341AB"/>
    <w:rsid w:val="00234F6F"/>
    <w:rsid w:val="00236BE8"/>
    <w:rsid w:val="00236E28"/>
    <w:rsid w:val="00237627"/>
    <w:rsid w:val="0023779B"/>
    <w:rsid w:val="00240A82"/>
    <w:rsid w:val="00240AFA"/>
    <w:rsid w:val="00240E70"/>
    <w:rsid w:val="0024301B"/>
    <w:rsid w:val="002436C0"/>
    <w:rsid w:val="00244697"/>
    <w:rsid w:val="00244A63"/>
    <w:rsid w:val="0024527E"/>
    <w:rsid w:val="0024550D"/>
    <w:rsid w:val="00245AFC"/>
    <w:rsid w:val="00245E5C"/>
    <w:rsid w:val="00245FB5"/>
    <w:rsid w:val="00246548"/>
    <w:rsid w:val="00246D33"/>
    <w:rsid w:val="00247100"/>
    <w:rsid w:val="00247A2E"/>
    <w:rsid w:val="00247A40"/>
    <w:rsid w:val="00247C61"/>
    <w:rsid w:val="00247DF3"/>
    <w:rsid w:val="0025069C"/>
    <w:rsid w:val="00250889"/>
    <w:rsid w:val="00251BD0"/>
    <w:rsid w:val="00252C91"/>
    <w:rsid w:val="00252F53"/>
    <w:rsid w:val="00253110"/>
    <w:rsid w:val="00254E9E"/>
    <w:rsid w:val="002575BB"/>
    <w:rsid w:val="00257967"/>
    <w:rsid w:val="00257FB5"/>
    <w:rsid w:val="00260A57"/>
    <w:rsid w:val="002611C7"/>
    <w:rsid w:val="00261536"/>
    <w:rsid w:val="002621B7"/>
    <w:rsid w:val="00262474"/>
    <w:rsid w:val="00262869"/>
    <w:rsid w:val="0026287B"/>
    <w:rsid w:val="002638A0"/>
    <w:rsid w:val="0026494F"/>
    <w:rsid w:val="0026552A"/>
    <w:rsid w:val="00265F0B"/>
    <w:rsid w:val="002702BB"/>
    <w:rsid w:val="00270A0D"/>
    <w:rsid w:val="00270B92"/>
    <w:rsid w:val="00271866"/>
    <w:rsid w:val="002730C4"/>
    <w:rsid w:val="00273525"/>
    <w:rsid w:val="002743CA"/>
    <w:rsid w:val="0027468C"/>
    <w:rsid w:val="002746F5"/>
    <w:rsid w:val="00274BB8"/>
    <w:rsid w:val="002752FA"/>
    <w:rsid w:val="002758C9"/>
    <w:rsid w:val="002759E7"/>
    <w:rsid w:val="002763BA"/>
    <w:rsid w:val="002765AC"/>
    <w:rsid w:val="0027678C"/>
    <w:rsid w:val="002767FA"/>
    <w:rsid w:val="00276BFB"/>
    <w:rsid w:val="002771A4"/>
    <w:rsid w:val="002774C6"/>
    <w:rsid w:val="00277D29"/>
    <w:rsid w:val="00281682"/>
    <w:rsid w:val="00281FD2"/>
    <w:rsid w:val="002825D0"/>
    <w:rsid w:val="00282812"/>
    <w:rsid w:val="00282913"/>
    <w:rsid w:val="00283D06"/>
    <w:rsid w:val="00284152"/>
    <w:rsid w:val="002855CF"/>
    <w:rsid w:val="00285661"/>
    <w:rsid w:val="00285AA7"/>
    <w:rsid w:val="00286A92"/>
    <w:rsid w:val="002877F4"/>
    <w:rsid w:val="00287C65"/>
    <w:rsid w:val="002918DC"/>
    <w:rsid w:val="00291996"/>
    <w:rsid w:val="00291D56"/>
    <w:rsid w:val="00291D83"/>
    <w:rsid w:val="00292030"/>
    <w:rsid w:val="002921DD"/>
    <w:rsid w:val="00292512"/>
    <w:rsid w:val="002928A1"/>
    <w:rsid w:val="00292975"/>
    <w:rsid w:val="0029297B"/>
    <w:rsid w:val="00292A18"/>
    <w:rsid w:val="00292DBA"/>
    <w:rsid w:val="0029364C"/>
    <w:rsid w:val="00293655"/>
    <w:rsid w:val="00293841"/>
    <w:rsid w:val="002943B6"/>
    <w:rsid w:val="00294501"/>
    <w:rsid w:val="002956ED"/>
    <w:rsid w:val="00295D3C"/>
    <w:rsid w:val="00295E73"/>
    <w:rsid w:val="0029600D"/>
    <w:rsid w:val="002962B2"/>
    <w:rsid w:val="00297224"/>
    <w:rsid w:val="002976D1"/>
    <w:rsid w:val="00297F5F"/>
    <w:rsid w:val="002A0AF6"/>
    <w:rsid w:val="002A15B5"/>
    <w:rsid w:val="002A1C3D"/>
    <w:rsid w:val="002A3246"/>
    <w:rsid w:val="002A37F6"/>
    <w:rsid w:val="002A3B3F"/>
    <w:rsid w:val="002A3DEA"/>
    <w:rsid w:val="002A45BD"/>
    <w:rsid w:val="002A4F1D"/>
    <w:rsid w:val="002A5CB2"/>
    <w:rsid w:val="002A6021"/>
    <w:rsid w:val="002A6BAC"/>
    <w:rsid w:val="002A7AD7"/>
    <w:rsid w:val="002A7E3E"/>
    <w:rsid w:val="002B1420"/>
    <w:rsid w:val="002B171E"/>
    <w:rsid w:val="002B2986"/>
    <w:rsid w:val="002B2C59"/>
    <w:rsid w:val="002B2F84"/>
    <w:rsid w:val="002B3A2B"/>
    <w:rsid w:val="002B4296"/>
    <w:rsid w:val="002B4306"/>
    <w:rsid w:val="002B463E"/>
    <w:rsid w:val="002B464A"/>
    <w:rsid w:val="002B4721"/>
    <w:rsid w:val="002B4DDD"/>
    <w:rsid w:val="002B50A0"/>
    <w:rsid w:val="002B5C96"/>
    <w:rsid w:val="002B5E09"/>
    <w:rsid w:val="002B6A63"/>
    <w:rsid w:val="002B786D"/>
    <w:rsid w:val="002B7CFF"/>
    <w:rsid w:val="002C0572"/>
    <w:rsid w:val="002C1485"/>
    <w:rsid w:val="002C1AFF"/>
    <w:rsid w:val="002C269C"/>
    <w:rsid w:val="002C28DE"/>
    <w:rsid w:val="002C34AA"/>
    <w:rsid w:val="002C3562"/>
    <w:rsid w:val="002C4488"/>
    <w:rsid w:val="002C493F"/>
    <w:rsid w:val="002C51D1"/>
    <w:rsid w:val="002C5495"/>
    <w:rsid w:val="002C6097"/>
    <w:rsid w:val="002C6158"/>
    <w:rsid w:val="002C6BA9"/>
    <w:rsid w:val="002C7665"/>
    <w:rsid w:val="002C7F86"/>
    <w:rsid w:val="002D0B49"/>
    <w:rsid w:val="002D0FDA"/>
    <w:rsid w:val="002D1825"/>
    <w:rsid w:val="002D1C41"/>
    <w:rsid w:val="002D1F2F"/>
    <w:rsid w:val="002D32FB"/>
    <w:rsid w:val="002D3368"/>
    <w:rsid w:val="002D3671"/>
    <w:rsid w:val="002D3EB1"/>
    <w:rsid w:val="002D407F"/>
    <w:rsid w:val="002D414E"/>
    <w:rsid w:val="002D654B"/>
    <w:rsid w:val="002D670D"/>
    <w:rsid w:val="002E010F"/>
    <w:rsid w:val="002E03B2"/>
    <w:rsid w:val="002E051E"/>
    <w:rsid w:val="002E11E5"/>
    <w:rsid w:val="002E156A"/>
    <w:rsid w:val="002E158C"/>
    <w:rsid w:val="002E18A0"/>
    <w:rsid w:val="002E1B50"/>
    <w:rsid w:val="002E2C23"/>
    <w:rsid w:val="002E3044"/>
    <w:rsid w:val="002E352C"/>
    <w:rsid w:val="002E3FCE"/>
    <w:rsid w:val="002E416E"/>
    <w:rsid w:val="002E5478"/>
    <w:rsid w:val="002E5DB2"/>
    <w:rsid w:val="002E6620"/>
    <w:rsid w:val="002E69C7"/>
    <w:rsid w:val="002E6AA9"/>
    <w:rsid w:val="002E6AF0"/>
    <w:rsid w:val="002E7110"/>
    <w:rsid w:val="002E73C7"/>
    <w:rsid w:val="002E74DC"/>
    <w:rsid w:val="002E7A79"/>
    <w:rsid w:val="002E7F24"/>
    <w:rsid w:val="002F0193"/>
    <w:rsid w:val="002F0A2F"/>
    <w:rsid w:val="002F0EBA"/>
    <w:rsid w:val="002F1045"/>
    <w:rsid w:val="002F123E"/>
    <w:rsid w:val="002F15FC"/>
    <w:rsid w:val="002F1B94"/>
    <w:rsid w:val="002F2A27"/>
    <w:rsid w:val="002F2C1A"/>
    <w:rsid w:val="002F3454"/>
    <w:rsid w:val="002F446C"/>
    <w:rsid w:val="002F48F1"/>
    <w:rsid w:val="002F525A"/>
    <w:rsid w:val="002F63F7"/>
    <w:rsid w:val="002F673E"/>
    <w:rsid w:val="002F6A83"/>
    <w:rsid w:val="002F6C21"/>
    <w:rsid w:val="002F784D"/>
    <w:rsid w:val="002F79BD"/>
    <w:rsid w:val="002F7AE1"/>
    <w:rsid w:val="00300A57"/>
    <w:rsid w:val="00300AFD"/>
    <w:rsid w:val="00300DB7"/>
    <w:rsid w:val="0030136E"/>
    <w:rsid w:val="00301CB4"/>
    <w:rsid w:val="00302DFC"/>
    <w:rsid w:val="00303698"/>
    <w:rsid w:val="00303ADC"/>
    <w:rsid w:val="00304059"/>
    <w:rsid w:val="00304365"/>
    <w:rsid w:val="003057E9"/>
    <w:rsid w:val="003060EE"/>
    <w:rsid w:val="00306620"/>
    <w:rsid w:val="0030793E"/>
    <w:rsid w:val="00307A8B"/>
    <w:rsid w:val="00307EA1"/>
    <w:rsid w:val="003117F4"/>
    <w:rsid w:val="00312163"/>
    <w:rsid w:val="003139BB"/>
    <w:rsid w:val="00313E9A"/>
    <w:rsid w:val="0031504C"/>
    <w:rsid w:val="00315844"/>
    <w:rsid w:val="00315F6E"/>
    <w:rsid w:val="0031601D"/>
    <w:rsid w:val="00316239"/>
    <w:rsid w:val="00316254"/>
    <w:rsid w:val="00316447"/>
    <w:rsid w:val="00317CAD"/>
    <w:rsid w:val="00320CF1"/>
    <w:rsid w:val="00320F73"/>
    <w:rsid w:val="00321191"/>
    <w:rsid w:val="00321801"/>
    <w:rsid w:val="003218C7"/>
    <w:rsid w:val="00321998"/>
    <w:rsid w:val="00321DED"/>
    <w:rsid w:val="003223D7"/>
    <w:rsid w:val="00323321"/>
    <w:rsid w:val="00323A38"/>
    <w:rsid w:val="003247E0"/>
    <w:rsid w:val="0032632F"/>
    <w:rsid w:val="0032639C"/>
    <w:rsid w:val="00326773"/>
    <w:rsid w:val="00326B01"/>
    <w:rsid w:val="00326F15"/>
    <w:rsid w:val="0032712C"/>
    <w:rsid w:val="003279A9"/>
    <w:rsid w:val="003302F6"/>
    <w:rsid w:val="003304BD"/>
    <w:rsid w:val="0033150C"/>
    <w:rsid w:val="00332572"/>
    <w:rsid w:val="0033258E"/>
    <w:rsid w:val="003333BA"/>
    <w:rsid w:val="0033380F"/>
    <w:rsid w:val="00333D73"/>
    <w:rsid w:val="00333E84"/>
    <w:rsid w:val="00333EE8"/>
    <w:rsid w:val="003341F3"/>
    <w:rsid w:val="00334986"/>
    <w:rsid w:val="00334F74"/>
    <w:rsid w:val="003358B1"/>
    <w:rsid w:val="00335ECB"/>
    <w:rsid w:val="00336829"/>
    <w:rsid w:val="00336F8D"/>
    <w:rsid w:val="003371DE"/>
    <w:rsid w:val="00337571"/>
    <w:rsid w:val="003407A5"/>
    <w:rsid w:val="00340972"/>
    <w:rsid w:val="003409E6"/>
    <w:rsid w:val="00341250"/>
    <w:rsid w:val="003417A7"/>
    <w:rsid w:val="00342562"/>
    <w:rsid w:val="003426EC"/>
    <w:rsid w:val="00342EDC"/>
    <w:rsid w:val="0034355C"/>
    <w:rsid w:val="00343B56"/>
    <w:rsid w:val="00344356"/>
    <w:rsid w:val="00344E1D"/>
    <w:rsid w:val="00345FA2"/>
    <w:rsid w:val="003463BF"/>
    <w:rsid w:val="00346517"/>
    <w:rsid w:val="00346F75"/>
    <w:rsid w:val="00347049"/>
    <w:rsid w:val="0035036B"/>
    <w:rsid w:val="003509DD"/>
    <w:rsid w:val="00350FE4"/>
    <w:rsid w:val="003510D1"/>
    <w:rsid w:val="00351CD1"/>
    <w:rsid w:val="003521C6"/>
    <w:rsid w:val="00352883"/>
    <w:rsid w:val="003529B9"/>
    <w:rsid w:val="00352A74"/>
    <w:rsid w:val="003530DD"/>
    <w:rsid w:val="0035340B"/>
    <w:rsid w:val="00353A39"/>
    <w:rsid w:val="00353C2C"/>
    <w:rsid w:val="00354F72"/>
    <w:rsid w:val="00355668"/>
    <w:rsid w:val="003559F7"/>
    <w:rsid w:val="00355B0A"/>
    <w:rsid w:val="00356D6E"/>
    <w:rsid w:val="0035760F"/>
    <w:rsid w:val="003578FC"/>
    <w:rsid w:val="00357A5C"/>
    <w:rsid w:val="00360F24"/>
    <w:rsid w:val="00362003"/>
    <w:rsid w:val="00362619"/>
    <w:rsid w:val="003629EA"/>
    <w:rsid w:val="00362A11"/>
    <w:rsid w:val="00363365"/>
    <w:rsid w:val="003654D9"/>
    <w:rsid w:val="00366044"/>
    <w:rsid w:val="00366B82"/>
    <w:rsid w:val="003707BD"/>
    <w:rsid w:val="0037262E"/>
    <w:rsid w:val="00373D22"/>
    <w:rsid w:val="00374B60"/>
    <w:rsid w:val="003773B7"/>
    <w:rsid w:val="00380066"/>
    <w:rsid w:val="00380744"/>
    <w:rsid w:val="00380E79"/>
    <w:rsid w:val="003810C1"/>
    <w:rsid w:val="00382074"/>
    <w:rsid w:val="0038216B"/>
    <w:rsid w:val="003824E7"/>
    <w:rsid w:val="00382B18"/>
    <w:rsid w:val="003834EA"/>
    <w:rsid w:val="00383C28"/>
    <w:rsid w:val="00384D20"/>
    <w:rsid w:val="00384DD1"/>
    <w:rsid w:val="003879C8"/>
    <w:rsid w:val="003902CF"/>
    <w:rsid w:val="00390B43"/>
    <w:rsid w:val="00390C7B"/>
    <w:rsid w:val="003930BA"/>
    <w:rsid w:val="003937F5"/>
    <w:rsid w:val="0039419A"/>
    <w:rsid w:val="00394206"/>
    <w:rsid w:val="003942B5"/>
    <w:rsid w:val="00394975"/>
    <w:rsid w:val="0039737E"/>
    <w:rsid w:val="00397E53"/>
    <w:rsid w:val="003A0373"/>
    <w:rsid w:val="003A21B5"/>
    <w:rsid w:val="003A225A"/>
    <w:rsid w:val="003A2C1E"/>
    <w:rsid w:val="003A34E1"/>
    <w:rsid w:val="003A3B0B"/>
    <w:rsid w:val="003A3B16"/>
    <w:rsid w:val="003A3B82"/>
    <w:rsid w:val="003A3D05"/>
    <w:rsid w:val="003A5007"/>
    <w:rsid w:val="003A50C9"/>
    <w:rsid w:val="003A52A2"/>
    <w:rsid w:val="003A564B"/>
    <w:rsid w:val="003A5D47"/>
    <w:rsid w:val="003A6B21"/>
    <w:rsid w:val="003A6FBC"/>
    <w:rsid w:val="003A7116"/>
    <w:rsid w:val="003B02C4"/>
    <w:rsid w:val="003B0497"/>
    <w:rsid w:val="003B0BD3"/>
    <w:rsid w:val="003B1B30"/>
    <w:rsid w:val="003B1CE5"/>
    <w:rsid w:val="003B25B3"/>
    <w:rsid w:val="003B304E"/>
    <w:rsid w:val="003B309A"/>
    <w:rsid w:val="003B3FDC"/>
    <w:rsid w:val="003B4132"/>
    <w:rsid w:val="003B459C"/>
    <w:rsid w:val="003B476F"/>
    <w:rsid w:val="003B4CEC"/>
    <w:rsid w:val="003B4E14"/>
    <w:rsid w:val="003B53FF"/>
    <w:rsid w:val="003B5631"/>
    <w:rsid w:val="003B6EC7"/>
    <w:rsid w:val="003C02BF"/>
    <w:rsid w:val="003C0EDC"/>
    <w:rsid w:val="003C175C"/>
    <w:rsid w:val="003C2105"/>
    <w:rsid w:val="003C2149"/>
    <w:rsid w:val="003C225E"/>
    <w:rsid w:val="003C23B7"/>
    <w:rsid w:val="003C2C23"/>
    <w:rsid w:val="003C3065"/>
    <w:rsid w:val="003C337C"/>
    <w:rsid w:val="003C37FB"/>
    <w:rsid w:val="003C4227"/>
    <w:rsid w:val="003C447F"/>
    <w:rsid w:val="003C5DFF"/>
    <w:rsid w:val="003C7001"/>
    <w:rsid w:val="003C7D07"/>
    <w:rsid w:val="003C7D98"/>
    <w:rsid w:val="003C7EA7"/>
    <w:rsid w:val="003D0C20"/>
    <w:rsid w:val="003D0D9B"/>
    <w:rsid w:val="003D179A"/>
    <w:rsid w:val="003D1935"/>
    <w:rsid w:val="003D3566"/>
    <w:rsid w:val="003D3B13"/>
    <w:rsid w:val="003D3D79"/>
    <w:rsid w:val="003D4381"/>
    <w:rsid w:val="003D4423"/>
    <w:rsid w:val="003D4A54"/>
    <w:rsid w:val="003D4ADC"/>
    <w:rsid w:val="003D4D59"/>
    <w:rsid w:val="003D4E77"/>
    <w:rsid w:val="003D4FDC"/>
    <w:rsid w:val="003E00AD"/>
    <w:rsid w:val="003E107B"/>
    <w:rsid w:val="003E10AB"/>
    <w:rsid w:val="003E248D"/>
    <w:rsid w:val="003E24F5"/>
    <w:rsid w:val="003E3860"/>
    <w:rsid w:val="003E3EA4"/>
    <w:rsid w:val="003E4B1F"/>
    <w:rsid w:val="003E4E9A"/>
    <w:rsid w:val="003E4FB4"/>
    <w:rsid w:val="003E5FB0"/>
    <w:rsid w:val="003E7092"/>
    <w:rsid w:val="003E7A0A"/>
    <w:rsid w:val="003E7C9F"/>
    <w:rsid w:val="003F2075"/>
    <w:rsid w:val="003F253D"/>
    <w:rsid w:val="003F290B"/>
    <w:rsid w:val="003F2F8C"/>
    <w:rsid w:val="003F47D6"/>
    <w:rsid w:val="003F4C1A"/>
    <w:rsid w:val="003F5CCB"/>
    <w:rsid w:val="003F7E2A"/>
    <w:rsid w:val="00400211"/>
    <w:rsid w:val="004008E0"/>
    <w:rsid w:val="00400F46"/>
    <w:rsid w:val="00402154"/>
    <w:rsid w:val="00403825"/>
    <w:rsid w:val="0040439F"/>
    <w:rsid w:val="004055CC"/>
    <w:rsid w:val="00405CEC"/>
    <w:rsid w:val="0040682B"/>
    <w:rsid w:val="00406958"/>
    <w:rsid w:val="00406FD0"/>
    <w:rsid w:val="004100E0"/>
    <w:rsid w:val="00410627"/>
    <w:rsid w:val="0041072A"/>
    <w:rsid w:val="00410A55"/>
    <w:rsid w:val="0041116D"/>
    <w:rsid w:val="004112D2"/>
    <w:rsid w:val="004112E7"/>
    <w:rsid w:val="00411430"/>
    <w:rsid w:val="00412073"/>
    <w:rsid w:val="00413275"/>
    <w:rsid w:val="00413F82"/>
    <w:rsid w:val="00414275"/>
    <w:rsid w:val="004142F0"/>
    <w:rsid w:val="0041431F"/>
    <w:rsid w:val="004143D9"/>
    <w:rsid w:val="004144DB"/>
    <w:rsid w:val="004145E7"/>
    <w:rsid w:val="00415091"/>
    <w:rsid w:val="00416173"/>
    <w:rsid w:val="00416259"/>
    <w:rsid w:val="00416531"/>
    <w:rsid w:val="00417FE6"/>
    <w:rsid w:val="0042086E"/>
    <w:rsid w:val="00420890"/>
    <w:rsid w:val="00420A26"/>
    <w:rsid w:val="004217B4"/>
    <w:rsid w:val="00421A66"/>
    <w:rsid w:val="00421A9E"/>
    <w:rsid w:val="004225E5"/>
    <w:rsid w:val="00422864"/>
    <w:rsid w:val="00422B70"/>
    <w:rsid w:val="004235F0"/>
    <w:rsid w:val="00423E53"/>
    <w:rsid w:val="0042484B"/>
    <w:rsid w:val="00424B34"/>
    <w:rsid w:val="004252D9"/>
    <w:rsid w:val="00425B9E"/>
    <w:rsid w:val="00426015"/>
    <w:rsid w:val="004263B4"/>
    <w:rsid w:val="004265A9"/>
    <w:rsid w:val="00427520"/>
    <w:rsid w:val="004276EF"/>
    <w:rsid w:val="0043053B"/>
    <w:rsid w:val="00430B7B"/>
    <w:rsid w:val="00430D11"/>
    <w:rsid w:val="00432B0A"/>
    <w:rsid w:val="00432D53"/>
    <w:rsid w:val="0043318B"/>
    <w:rsid w:val="00433631"/>
    <w:rsid w:val="00433633"/>
    <w:rsid w:val="00434340"/>
    <w:rsid w:val="0043449E"/>
    <w:rsid w:val="00434DA0"/>
    <w:rsid w:val="00435E5E"/>
    <w:rsid w:val="0043619E"/>
    <w:rsid w:val="004361E1"/>
    <w:rsid w:val="00436911"/>
    <w:rsid w:val="00436C86"/>
    <w:rsid w:val="00436E5D"/>
    <w:rsid w:val="00436E85"/>
    <w:rsid w:val="0043701D"/>
    <w:rsid w:val="004404D3"/>
    <w:rsid w:val="00440A9E"/>
    <w:rsid w:val="00440ADC"/>
    <w:rsid w:val="004417FD"/>
    <w:rsid w:val="004419FF"/>
    <w:rsid w:val="00442FD1"/>
    <w:rsid w:val="00443126"/>
    <w:rsid w:val="00443969"/>
    <w:rsid w:val="0044398C"/>
    <w:rsid w:val="004449A3"/>
    <w:rsid w:val="00444EA9"/>
    <w:rsid w:val="00444EF7"/>
    <w:rsid w:val="00445712"/>
    <w:rsid w:val="00445946"/>
    <w:rsid w:val="00445EB6"/>
    <w:rsid w:val="00446193"/>
    <w:rsid w:val="00446D6F"/>
    <w:rsid w:val="00447543"/>
    <w:rsid w:val="004506F7"/>
    <w:rsid w:val="00450FFC"/>
    <w:rsid w:val="004514BA"/>
    <w:rsid w:val="00451C71"/>
    <w:rsid w:val="00451D18"/>
    <w:rsid w:val="004529AC"/>
    <w:rsid w:val="00452C7A"/>
    <w:rsid w:val="004541BE"/>
    <w:rsid w:val="00454438"/>
    <w:rsid w:val="004561B5"/>
    <w:rsid w:val="004566E8"/>
    <w:rsid w:val="00456DD4"/>
    <w:rsid w:val="004570C1"/>
    <w:rsid w:val="00457495"/>
    <w:rsid w:val="004574D2"/>
    <w:rsid w:val="00457893"/>
    <w:rsid w:val="00457B3C"/>
    <w:rsid w:val="00462797"/>
    <w:rsid w:val="00462BC4"/>
    <w:rsid w:val="00462CA7"/>
    <w:rsid w:val="004636B3"/>
    <w:rsid w:val="004638AE"/>
    <w:rsid w:val="004639D3"/>
    <w:rsid w:val="00463A20"/>
    <w:rsid w:val="004641B4"/>
    <w:rsid w:val="004642CD"/>
    <w:rsid w:val="004643CB"/>
    <w:rsid w:val="0046614A"/>
    <w:rsid w:val="00467A61"/>
    <w:rsid w:val="00467A86"/>
    <w:rsid w:val="00467D33"/>
    <w:rsid w:val="00471176"/>
    <w:rsid w:val="004711FA"/>
    <w:rsid w:val="00471355"/>
    <w:rsid w:val="0047149E"/>
    <w:rsid w:val="0047173E"/>
    <w:rsid w:val="00471DE3"/>
    <w:rsid w:val="00471F6E"/>
    <w:rsid w:val="004722AA"/>
    <w:rsid w:val="004728E1"/>
    <w:rsid w:val="004736EF"/>
    <w:rsid w:val="00473DCB"/>
    <w:rsid w:val="0047496D"/>
    <w:rsid w:val="0047599C"/>
    <w:rsid w:val="0047652D"/>
    <w:rsid w:val="00476741"/>
    <w:rsid w:val="00476991"/>
    <w:rsid w:val="00476FFE"/>
    <w:rsid w:val="00477947"/>
    <w:rsid w:val="00477A17"/>
    <w:rsid w:val="00477B82"/>
    <w:rsid w:val="004800F9"/>
    <w:rsid w:val="0048013E"/>
    <w:rsid w:val="004805D5"/>
    <w:rsid w:val="00481259"/>
    <w:rsid w:val="00481386"/>
    <w:rsid w:val="00481E82"/>
    <w:rsid w:val="00482241"/>
    <w:rsid w:val="00482FE1"/>
    <w:rsid w:val="0048303A"/>
    <w:rsid w:val="00483C2C"/>
    <w:rsid w:val="0048445D"/>
    <w:rsid w:val="00484A78"/>
    <w:rsid w:val="004852EA"/>
    <w:rsid w:val="00485381"/>
    <w:rsid w:val="00485ED2"/>
    <w:rsid w:val="00486140"/>
    <w:rsid w:val="004866BC"/>
    <w:rsid w:val="00486B36"/>
    <w:rsid w:val="00486D60"/>
    <w:rsid w:val="00486F9A"/>
    <w:rsid w:val="00487689"/>
    <w:rsid w:val="00490420"/>
    <w:rsid w:val="00491180"/>
    <w:rsid w:val="00491295"/>
    <w:rsid w:val="004912A6"/>
    <w:rsid w:val="00491881"/>
    <w:rsid w:val="0049224A"/>
    <w:rsid w:val="0049261A"/>
    <w:rsid w:val="00492823"/>
    <w:rsid w:val="00492E57"/>
    <w:rsid w:val="0049376C"/>
    <w:rsid w:val="00494EEA"/>
    <w:rsid w:val="00494F25"/>
    <w:rsid w:val="0049535A"/>
    <w:rsid w:val="00496A5E"/>
    <w:rsid w:val="004975F9"/>
    <w:rsid w:val="004A27CB"/>
    <w:rsid w:val="004A30CB"/>
    <w:rsid w:val="004A31F2"/>
    <w:rsid w:val="004A423A"/>
    <w:rsid w:val="004A4539"/>
    <w:rsid w:val="004A46C3"/>
    <w:rsid w:val="004A501E"/>
    <w:rsid w:val="004A5D26"/>
    <w:rsid w:val="004A6B76"/>
    <w:rsid w:val="004A72A3"/>
    <w:rsid w:val="004B14D7"/>
    <w:rsid w:val="004B2137"/>
    <w:rsid w:val="004B25D5"/>
    <w:rsid w:val="004B2C6C"/>
    <w:rsid w:val="004B4637"/>
    <w:rsid w:val="004B4AED"/>
    <w:rsid w:val="004B4F11"/>
    <w:rsid w:val="004B5A05"/>
    <w:rsid w:val="004B6157"/>
    <w:rsid w:val="004B61E8"/>
    <w:rsid w:val="004B6488"/>
    <w:rsid w:val="004B6E5C"/>
    <w:rsid w:val="004B708A"/>
    <w:rsid w:val="004B7659"/>
    <w:rsid w:val="004B7907"/>
    <w:rsid w:val="004B7D52"/>
    <w:rsid w:val="004B7EB0"/>
    <w:rsid w:val="004C0518"/>
    <w:rsid w:val="004C0F0C"/>
    <w:rsid w:val="004C1AD3"/>
    <w:rsid w:val="004C1C8D"/>
    <w:rsid w:val="004C2E6F"/>
    <w:rsid w:val="004C33FD"/>
    <w:rsid w:val="004C3697"/>
    <w:rsid w:val="004C3976"/>
    <w:rsid w:val="004C3AA3"/>
    <w:rsid w:val="004C4065"/>
    <w:rsid w:val="004C51F6"/>
    <w:rsid w:val="004C624C"/>
    <w:rsid w:val="004C7803"/>
    <w:rsid w:val="004C785E"/>
    <w:rsid w:val="004C797F"/>
    <w:rsid w:val="004D0CF4"/>
    <w:rsid w:val="004D166C"/>
    <w:rsid w:val="004D1843"/>
    <w:rsid w:val="004D1D65"/>
    <w:rsid w:val="004D1F00"/>
    <w:rsid w:val="004D1F1A"/>
    <w:rsid w:val="004D2864"/>
    <w:rsid w:val="004D2A94"/>
    <w:rsid w:val="004D33C3"/>
    <w:rsid w:val="004D3A5F"/>
    <w:rsid w:val="004D489D"/>
    <w:rsid w:val="004D4938"/>
    <w:rsid w:val="004D547B"/>
    <w:rsid w:val="004D797C"/>
    <w:rsid w:val="004E003E"/>
    <w:rsid w:val="004E014B"/>
    <w:rsid w:val="004E067F"/>
    <w:rsid w:val="004E08BA"/>
    <w:rsid w:val="004E0E47"/>
    <w:rsid w:val="004E1098"/>
    <w:rsid w:val="004E10FF"/>
    <w:rsid w:val="004E16BF"/>
    <w:rsid w:val="004E1BA7"/>
    <w:rsid w:val="004E1F19"/>
    <w:rsid w:val="004E2131"/>
    <w:rsid w:val="004E2187"/>
    <w:rsid w:val="004E28FD"/>
    <w:rsid w:val="004E2EF9"/>
    <w:rsid w:val="004E30F8"/>
    <w:rsid w:val="004E30FB"/>
    <w:rsid w:val="004E3139"/>
    <w:rsid w:val="004E3FDB"/>
    <w:rsid w:val="004E4016"/>
    <w:rsid w:val="004E4A11"/>
    <w:rsid w:val="004E5073"/>
    <w:rsid w:val="004E514C"/>
    <w:rsid w:val="004E5363"/>
    <w:rsid w:val="004E5568"/>
    <w:rsid w:val="004E5997"/>
    <w:rsid w:val="004E5D2B"/>
    <w:rsid w:val="004E5D9F"/>
    <w:rsid w:val="004E5EEC"/>
    <w:rsid w:val="004E6645"/>
    <w:rsid w:val="004E7195"/>
    <w:rsid w:val="004E753C"/>
    <w:rsid w:val="004F0624"/>
    <w:rsid w:val="004F0786"/>
    <w:rsid w:val="004F134E"/>
    <w:rsid w:val="004F2376"/>
    <w:rsid w:val="004F322F"/>
    <w:rsid w:val="004F3418"/>
    <w:rsid w:val="004F37AE"/>
    <w:rsid w:val="004F3839"/>
    <w:rsid w:val="004F4108"/>
    <w:rsid w:val="004F4414"/>
    <w:rsid w:val="004F4840"/>
    <w:rsid w:val="004F5161"/>
    <w:rsid w:val="004F518B"/>
    <w:rsid w:val="004F5251"/>
    <w:rsid w:val="004F592C"/>
    <w:rsid w:val="004F5E28"/>
    <w:rsid w:val="004F5FD9"/>
    <w:rsid w:val="004F612D"/>
    <w:rsid w:val="004F615F"/>
    <w:rsid w:val="004F6C1D"/>
    <w:rsid w:val="004F6D33"/>
    <w:rsid w:val="004F6E42"/>
    <w:rsid w:val="004F7447"/>
    <w:rsid w:val="004F76F6"/>
    <w:rsid w:val="004F79D7"/>
    <w:rsid w:val="00500475"/>
    <w:rsid w:val="005004A5"/>
    <w:rsid w:val="00501018"/>
    <w:rsid w:val="005010F5"/>
    <w:rsid w:val="00501AC6"/>
    <w:rsid w:val="00501D18"/>
    <w:rsid w:val="00501DEC"/>
    <w:rsid w:val="00501E56"/>
    <w:rsid w:val="00501EA7"/>
    <w:rsid w:val="00502832"/>
    <w:rsid w:val="00502B36"/>
    <w:rsid w:val="00502FE7"/>
    <w:rsid w:val="00503752"/>
    <w:rsid w:val="00504BC4"/>
    <w:rsid w:val="0050529C"/>
    <w:rsid w:val="005054C4"/>
    <w:rsid w:val="00505E36"/>
    <w:rsid w:val="00505F51"/>
    <w:rsid w:val="005066BE"/>
    <w:rsid w:val="00506A57"/>
    <w:rsid w:val="00507404"/>
    <w:rsid w:val="00512490"/>
    <w:rsid w:val="005124B7"/>
    <w:rsid w:val="00513355"/>
    <w:rsid w:val="00513BDB"/>
    <w:rsid w:val="0051528D"/>
    <w:rsid w:val="005156A6"/>
    <w:rsid w:val="005159C3"/>
    <w:rsid w:val="00515CBC"/>
    <w:rsid w:val="00515E33"/>
    <w:rsid w:val="00516224"/>
    <w:rsid w:val="00516282"/>
    <w:rsid w:val="00516E83"/>
    <w:rsid w:val="0051727A"/>
    <w:rsid w:val="00517D0E"/>
    <w:rsid w:val="00520A6F"/>
    <w:rsid w:val="00521416"/>
    <w:rsid w:val="005234A3"/>
    <w:rsid w:val="005237B9"/>
    <w:rsid w:val="00524684"/>
    <w:rsid w:val="00524C7B"/>
    <w:rsid w:val="005269CC"/>
    <w:rsid w:val="00526E43"/>
    <w:rsid w:val="00527FBE"/>
    <w:rsid w:val="00530BE0"/>
    <w:rsid w:val="0053132E"/>
    <w:rsid w:val="00531F15"/>
    <w:rsid w:val="0053289B"/>
    <w:rsid w:val="00532FB3"/>
    <w:rsid w:val="0053333D"/>
    <w:rsid w:val="005336C2"/>
    <w:rsid w:val="00533922"/>
    <w:rsid w:val="00533B2C"/>
    <w:rsid w:val="00533B37"/>
    <w:rsid w:val="0053425C"/>
    <w:rsid w:val="00534B93"/>
    <w:rsid w:val="00534CE1"/>
    <w:rsid w:val="005354AF"/>
    <w:rsid w:val="0053590F"/>
    <w:rsid w:val="005368B4"/>
    <w:rsid w:val="00536D93"/>
    <w:rsid w:val="00537721"/>
    <w:rsid w:val="00540AC4"/>
    <w:rsid w:val="00541613"/>
    <w:rsid w:val="0054231D"/>
    <w:rsid w:val="0054235F"/>
    <w:rsid w:val="00543BED"/>
    <w:rsid w:val="00543C4A"/>
    <w:rsid w:val="005453C4"/>
    <w:rsid w:val="0054587E"/>
    <w:rsid w:val="00545B71"/>
    <w:rsid w:val="00546081"/>
    <w:rsid w:val="0054668E"/>
    <w:rsid w:val="0054718A"/>
    <w:rsid w:val="00547EB1"/>
    <w:rsid w:val="00550BBE"/>
    <w:rsid w:val="0055135B"/>
    <w:rsid w:val="00551C60"/>
    <w:rsid w:val="00552338"/>
    <w:rsid w:val="00552AFF"/>
    <w:rsid w:val="00553711"/>
    <w:rsid w:val="00553A8F"/>
    <w:rsid w:val="00553AD3"/>
    <w:rsid w:val="00553C94"/>
    <w:rsid w:val="00553E70"/>
    <w:rsid w:val="00554B5A"/>
    <w:rsid w:val="00554E06"/>
    <w:rsid w:val="00555747"/>
    <w:rsid w:val="0055593A"/>
    <w:rsid w:val="005559AA"/>
    <w:rsid w:val="00555F47"/>
    <w:rsid w:val="005561B1"/>
    <w:rsid w:val="005567B6"/>
    <w:rsid w:val="00556AE0"/>
    <w:rsid w:val="00556FB7"/>
    <w:rsid w:val="005573DA"/>
    <w:rsid w:val="00557A93"/>
    <w:rsid w:val="00560067"/>
    <w:rsid w:val="00560593"/>
    <w:rsid w:val="00560F1A"/>
    <w:rsid w:val="00561EB4"/>
    <w:rsid w:val="00563509"/>
    <w:rsid w:val="00564EA5"/>
    <w:rsid w:val="0056589C"/>
    <w:rsid w:val="005669BD"/>
    <w:rsid w:val="00567218"/>
    <w:rsid w:val="005675CA"/>
    <w:rsid w:val="00567886"/>
    <w:rsid w:val="00567B95"/>
    <w:rsid w:val="00567EAB"/>
    <w:rsid w:val="00567F11"/>
    <w:rsid w:val="005702D2"/>
    <w:rsid w:val="00570581"/>
    <w:rsid w:val="0057071B"/>
    <w:rsid w:val="005709DA"/>
    <w:rsid w:val="0057134B"/>
    <w:rsid w:val="00571CD3"/>
    <w:rsid w:val="00571F84"/>
    <w:rsid w:val="005730BB"/>
    <w:rsid w:val="005748E8"/>
    <w:rsid w:val="00574D0D"/>
    <w:rsid w:val="0057529A"/>
    <w:rsid w:val="00575D51"/>
    <w:rsid w:val="005769FC"/>
    <w:rsid w:val="00576B69"/>
    <w:rsid w:val="00576DC7"/>
    <w:rsid w:val="0057713D"/>
    <w:rsid w:val="00577436"/>
    <w:rsid w:val="00577538"/>
    <w:rsid w:val="00580B68"/>
    <w:rsid w:val="0058133E"/>
    <w:rsid w:val="005818F7"/>
    <w:rsid w:val="00581972"/>
    <w:rsid w:val="0058198F"/>
    <w:rsid w:val="00581CE7"/>
    <w:rsid w:val="00581F67"/>
    <w:rsid w:val="00583E3F"/>
    <w:rsid w:val="00584E0C"/>
    <w:rsid w:val="0058522C"/>
    <w:rsid w:val="0058577A"/>
    <w:rsid w:val="005865B5"/>
    <w:rsid w:val="00586818"/>
    <w:rsid w:val="00586C82"/>
    <w:rsid w:val="00586CF4"/>
    <w:rsid w:val="0058758B"/>
    <w:rsid w:val="00587D39"/>
    <w:rsid w:val="00590078"/>
    <w:rsid w:val="00590595"/>
    <w:rsid w:val="00590766"/>
    <w:rsid w:val="00590F89"/>
    <w:rsid w:val="00591226"/>
    <w:rsid w:val="0059220D"/>
    <w:rsid w:val="005922A2"/>
    <w:rsid w:val="00592E28"/>
    <w:rsid w:val="005938B3"/>
    <w:rsid w:val="00593A4B"/>
    <w:rsid w:val="00593D7E"/>
    <w:rsid w:val="0059430A"/>
    <w:rsid w:val="00594503"/>
    <w:rsid w:val="005945C4"/>
    <w:rsid w:val="00594680"/>
    <w:rsid w:val="00595102"/>
    <w:rsid w:val="005952B2"/>
    <w:rsid w:val="00595BBE"/>
    <w:rsid w:val="00595FEB"/>
    <w:rsid w:val="005960ED"/>
    <w:rsid w:val="00596857"/>
    <w:rsid w:val="00596BEA"/>
    <w:rsid w:val="00596C5A"/>
    <w:rsid w:val="00597D69"/>
    <w:rsid w:val="005A066E"/>
    <w:rsid w:val="005A0726"/>
    <w:rsid w:val="005A1CD3"/>
    <w:rsid w:val="005A2123"/>
    <w:rsid w:val="005A2A9F"/>
    <w:rsid w:val="005A42A9"/>
    <w:rsid w:val="005A46A4"/>
    <w:rsid w:val="005A499F"/>
    <w:rsid w:val="005A58C2"/>
    <w:rsid w:val="005A58E7"/>
    <w:rsid w:val="005A6146"/>
    <w:rsid w:val="005A7297"/>
    <w:rsid w:val="005B042B"/>
    <w:rsid w:val="005B0959"/>
    <w:rsid w:val="005B0D86"/>
    <w:rsid w:val="005B13A4"/>
    <w:rsid w:val="005B1492"/>
    <w:rsid w:val="005B1C3D"/>
    <w:rsid w:val="005B29B2"/>
    <w:rsid w:val="005B34A2"/>
    <w:rsid w:val="005B35CC"/>
    <w:rsid w:val="005B36AA"/>
    <w:rsid w:val="005B4019"/>
    <w:rsid w:val="005B5681"/>
    <w:rsid w:val="005B634D"/>
    <w:rsid w:val="005B6A02"/>
    <w:rsid w:val="005B6A11"/>
    <w:rsid w:val="005B6F02"/>
    <w:rsid w:val="005B7651"/>
    <w:rsid w:val="005B7703"/>
    <w:rsid w:val="005B78E3"/>
    <w:rsid w:val="005B7B70"/>
    <w:rsid w:val="005B7F08"/>
    <w:rsid w:val="005B7F4B"/>
    <w:rsid w:val="005C0B74"/>
    <w:rsid w:val="005C122B"/>
    <w:rsid w:val="005C276A"/>
    <w:rsid w:val="005C2B3A"/>
    <w:rsid w:val="005C2BFA"/>
    <w:rsid w:val="005C55A9"/>
    <w:rsid w:val="005C5D14"/>
    <w:rsid w:val="005C6587"/>
    <w:rsid w:val="005C7C43"/>
    <w:rsid w:val="005D04AA"/>
    <w:rsid w:val="005D0ADC"/>
    <w:rsid w:val="005D0C07"/>
    <w:rsid w:val="005D11DB"/>
    <w:rsid w:val="005D156E"/>
    <w:rsid w:val="005D1E89"/>
    <w:rsid w:val="005D2586"/>
    <w:rsid w:val="005D3826"/>
    <w:rsid w:val="005D3B26"/>
    <w:rsid w:val="005D3B3A"/>
    <w:rsid w:val="005D488A"/>
    <w:rsid w:val="005D5566"/>
    <w:rsid w:val="005D670B"/>
    <w:rsid w:val="005D6884"/>
    <w:rsid w:val="005D7B57"/>
    <w:rsid w:val="005D7E7F"/>
    <w:rsid w:val="005E1E32"/>
    <w:rsid w:val="005E2090"/>
    <w:rsid w:val="005E2679"/>
    <w:rsid w:val="005E2D86"/>
    <w:rsid w:val="005E4429"/>
    <w:rsid w:val="005E4AA7"/>
    <w:rsid w:val="005E5292"/>
    <w:rsid w:val="005E6232"/>
    <w:rsid w:val="005E69CF"/>
    <w:rsid w:val="005E6EAB"/>
    <w:rsid w:val="005E7163"/>
    <w:rsid w:val="005E7598"/>
    <w:rsid w:val="005E7C1B"/>
    <w:rsid w:val="005F20DE"/>
    <w:rsid w:val="005F2B6C"/>
    <w:rsid w:val="005F382E"/>
    <w:rsid w:val="005F4115"/>
    <w:rsid w:val="005F46AA"/>
    <w:rsid w:val="005F4A00"/>
    <w:rsid w:val="005F507B"/>
    <w:rsid w:val="005F55D4"/>
    <w:rsid w:val="005F5618"/>
    <w:rsid w:val="005F5B5E"/>
    <w:rsid w:val="005F73F6"/>
    <w:rsid w:val="0060033B"/>
    <w:rsid w:val="00600485"/>
    <w:rsid w:val="006016F3"/>
    <w:rsid w:val="006018A7"/>
    <w:rsid w:val="00602042"/>
    <w:rsid w:val="00602050"/>
    <w:rsid w:val="0060225F"/>
    <w:rsid w:val="00602580"/>
    <w:rsid w:val="006028F8"/>
    <w:rsid w:val="00602A24"/>
    <w:rsid w:val="0060347B"/>
    <w:rsid w:val="0060385D"/>
    <w:rsid w:val="00603C56"/>
    <w:rsid w:val="00603F32"/>
    <w:rsid w:val="0060411C"/>
    <w:rsid w:val="006042EF"/>
    <w:rsid w:val="006044A1"/>
    <w:rsid w:val="00605885"/>
    <w:rsid w:val="00606682"/>
    <w:rsid w:val="00610400"/>
    <w:rsid w:val="00610EC4"/>
    <w:rsid w:val="00611216"/>
    <w:rsid w:val="00611235"/>
    <w:rsid w:val="006116A9"/>
    <w:rsid w:val="00611ABD"/>
    <w:rsid w:val="00611BAC"/>
    <w:rsid w:val="00611BBE"/>
    <w:rsid w:val="0061241B"/>
    <w:rsid w:val="00613075"/>
    <w:rsid w:val="00613B41"/>
    <w:rsid w:val="00613E9A"/>
    <w:rsid w:val="00613F7B"/>
    <w:rsid w:val="00614651"/>
    <w:rsid w:val="00615474"/>
    <w:rsid w:val="006155A1"/>
    <w:rsid w:val="00615C71"/>
    <w:rsid w:val="00615F24"/>
    <w:rsid w:val="006160FB"/>
    <w:rsid w:val="0061622D"/>
    <w:rsid w:val="00616C0C"/>
    <w:rsid w:val="00616C0F"/>
    <w:rsid w:val="00616F7E"/>
    <w:rsid w:val="00617FB1"/>
    <w:rsid w:val="00617FDE"/>
    <w:rsid w:val="0062005F"/>
    <w:rsid w:val="00620AD8"/>
    <w:rsid w:val="00620C8F"/>
    <w:rsid w:val="00620E48"/>
    <w:rsid w:val="00621282"/>
    <w:rsid w:val="00621822"/>
    <w:rsid w:val="00622341"/>
    <w:rsid w:val="00622E44"/>
    <w:rsid w:val="00623728"/>
    <w:rsid w:val="00623896"/>
    <w:rsid w:val="006242AD"/>
    <w:rsid w:val="006246D3"/>
    <w:rsid w:val="00624AA0"/>
    <w:rsid w:val="0062654E"/>
    <w:rsid w:val="00626F4B"/>
    <w:rsid w:val="00627632"/>
    <w:rsid w:val="0063014C"/>
    <w:rsid w:val="00631AB3"/>
    <w:rsid w:val="00631F47"/>
    <w:rsid w:val="006337D8"/>
    <w:rsid w:val="006351E1"/>
    <w:rsid w:val="0063642A"/>
    <w:rsid w:val="00636E98"/>
    <w:rsid w:val="00636F88"/>
    <w:rsid w:val="006371AF"/>
    <w:rsid w:val="00637FAD"/>
    <w:rsid w:val="00640C0C"/>
    <w:rsid w:val="006428A6"/>
    <w:rsid w:val="0064310B"/>
    <w:rsid w:val="00643F9C"/>
    <w:rsid w:val="006442A2"/>
    <w:rsid w:val="0064611C"/>
    <w:rsid w:val="00646459"/>
    <w:rsid w:val="00646CC8"/>
    <w:rsid w:val="00646D32"/>
    <w:rsid w:val="00647AAF"/>
    <w:rsid w:val="00647BAE"/>
    <w:rsid w:val="00647D60"/>
    <w:rsid w:val="006500D3"/>
    <w:rsid w:val="006515AD"/>
    <w:rsid w:val="00652715"/>
    <w:rsid w:val="006528A8"/>
    <w:rsid w:val="0065292D"/>
    <w:rsid w:val="00654447"/>
    <w:rsid w:val="00654583"/>
    <w:rsid w:val="00654A3B"/>
    <w:rsid w:val="00655053"/>
    <w:rsid w:val="006550DB"/>
    <w:rsid w:val="00656319"/>
    <w:rsid w:val="006563EF"/>
    <w:rsid w:val="006565E1"/>
    <w:rsid w:val="00656E6F"/>
    <w:rsid w:val="00657364"/>
    <w:rsid w:val="00657A3F"/>
    <w:rsid w:val="00657D37"/>
    <w:rsid w:val="00661C30"/>
    <w:rsid w:val="00661E30"/>
    <w:rsid w:val="00661F03"/>
    <w:rsid w:val="006625D6"/>
    <w:rsid w:val="00662B6C"/>
    <w:rsid w:val="00662C71"/>
    <w:rsid w:val="006637F7"/>
    <w:rsid w:val="00663A61"/>
    <w:rsid w:val="00663D31"/>
    <w:rsid w:val="0066443D"/>
    <w:rsid w:val="0066536D"/>
    <w:rsid w:val="00665B35"/>
    <w:rsid w:val="00666F2A"/>
    <w:rsid w:val="0066754C"/>
    <w:rsid w:val="00667614"/>
    <w:rsid w:val="006707C7"/>
    <w:rsid w:val="00670CE1"/>
    <w:rsid w:val="00670F03"/>
    <w:rsid w:val="0067172D"/>
    <w:rsid w:val="0067177D"/>
    <w:rsid w:val="00671DD0"/>
    <w:rsid w:val="00672937"/>
    <w:rsid w:val="00673C5E"/>
    <w:rsid w:val="00674107"/>
    <w:rsid w:val="006747D9"/>
    <w:rsid w:val="00674C1F"/>
    <w:rsid w:val="00675C18"/>
    <w:rsid w:val="006765C0"/>
    <w:rsid w:val="006769DF"/>
    <w:rsid w:val="006777EE"/>
    <w:rsid w:val="0068034D"/>
    <w:rsid w:val="00680782"/>
    <w:rsid w:val="00680AEA"/>
    <w:rsid w:val="00680D8C"/>
    <w:rsid w:val="006820D0"/>
    <w:rsid w:val="006828C5"/>
    <w:rsid w:val="0068330D"/>
    <w:rsid w:val="006847A2"/>
    <w:rsid w:val="00684B17"/>
    <w:rsid w:val="00684C14"/>
    <w:rsid w:val="00684D1E"/>
    <w:rsid w:val="0068566E"/>
    <w:rsid w:val="00685753"/>
    <w:rsid w:val="00685852"/>
    <w:rsid w:val="006858BF"/>
    <w:rsid w:val="00685E71"/>
    <w:rsid w:val="0069098B"/>
    <w:rsid w:val="0069118D"/>
    <w:rsid w:val="006915F6"/>
    <w:rsid w:val="006915FA"/>
    <w:rsid w:val="00691BFC"/>
    <w:rsid w:val="00691C3F"/>
    <w:rsid w:val="00691DEE"/>
    <w:rsid w:val="00691DF9"/>
    <w:rsid w:val="0069218D"/>
    <w:rsid w:val="00692C84"/>
    <w:rsid w:val="006932A2"/>
    <w:rsid w:val="00693DCD"/>
    <w:rsid w:val="00694276"/>
    <w:rsid w:val="00694BD1"/>
    <w:rsid w:val="006954F9"/>
    <w:rsid w:val="00695960"/>
    <w:rsid w:val="00695BC7"/>
    <w:rsid w:val="00695C8F"/>
    <w:rsid w:val="00696ED1"/>
    <w:rsid w:val="00697327"/>
    <w:rsid w:val="006977A2"/>
    <w:rsid w:val="006A0446"/>
    <w:rsid w:val="006A0520"/>
    <w:rsid w:val="006A0AC2"/>
    <w:rsid w:val="006A181E"/>
    <w:rsid w:val="006A1F4E"/>
    <w:rsid w:val="006A22A4"/>
    <w:rsid w:val="006A2C98"/>
    <w:rsid w:val="006A2F1D"/>
    <w:rsid w:val="006A37C9"/>
    <w:rsid w:val="006A4065"/>
    <w:rsid w:val="006A4237"/>
    <w:rsid w:val="006A6263"/>
    <w:rsid w:val="006A76C9"/>
    <w:rsid w:val="006B018F"/>
    <w:rsid w:val="006B1151"/>
    <w:rsid w:val="006B19D5"/>
    <w:rsid w:val="006B23E2"/>
    <w:rsid w:val="006B2921"/>
    <w:rsid w:val="006B29C9"/>
    <w:rsid w:val="006B35A4"/>
    <w:rsid w:val="006B3BE9"/>
    <w:rsid w:val="006B3E92"/>
    <w:rsid w:val="006B47BD"/>
    <w:rsid w:val="006B4C22"/>
    <w:rsid w:val="006B547C"/>
    <w:rsid w:val="006B5C01"/>
    <w:rsid w:val="006B64ED"/>
    <w:rsid w:val="006B6CAB"/>
    <w:rsid w:val="006B6E84"/>
    <w:rsid w:val="006B7023"/>
    <w:rsid w:val="006B77C2"/>
    <w:rsid w:val="006C01A7"/>
    <w:rsid w:val="006C0276"/>
    <w:rsid w:val="006C043B"/>
    <w:rsid w:val="006C0CB1"/>
    <w:rsid w:val="006C0E0A"/>
    <w:rsid w:val="006C12E8"/>
    <w:rsid w:val="006C167D"/>
    <w:rsid w:val="006C1E7D"/>
    <w:rsid w:val="006C20B0"/>
    <w:rsid w:val="006C2712"/>
    <w:rsid w:val="006C29E8"/>
    <w:rsid w:val="006C2A91"/>
    <w:rsid w:val="006C2E65"/>
    <w:rsid w:val="006C31A7"/>
    <w:rsid w:val="006C4063"/>
    <w:rsid w:val="006C42C6"/>
    <w:rsid w:val="006C483A"/>
    <w:rsid w:val="006C54A6"/>
    <w:rsid w:val="006C550F"/>
    <w:rsid w:val="006C6191"/>
    <w:rsid w:val="006C6C91"/>
    <w:rsid w:val="006C71AF"/>
    <w:rsid w:val="006C7C19"/>
    <w:rsid w:val="006D003F"/>
    <w:rsid w:val="006D07DD"/>
    <w:rsid w:val="006D0970"/>
    <w:rsid w:val="006D13B7"/>
    <w:rsid w:val="006D15E4"/>
    <w:rsid w:val="006D16E9"/>
    <w:rsid w:val="006D1E6E"/>
    <w:rsid w:val="006D24AC"/>
    <w:rsid w:val="006D3E35"/>
    <w:rsid w:val="006D47C4"/>
    <w:rsid w:val="006D5B34"/>
    <w:rsid w:val="006D5E0A"/>
    <w:rsid w:val="006D6530"/>
    <w:rsid w:val="006D6FB3"/>
    <w:rsid w:val="006D7CEB"/>
    <w:rsid w:val="006D7D96"/>
    <w:rsid w:val="006D7EC8"/>
    <w:rsid w:val="006E0669"/>
    <w:rsid w:val="006E0E16"/>
    <w:rsid w:val="006E1C39"/>
    <w:rsid w:val="006E1CF0"/>
    <w:rsid w:val="006E1CF7"/>
    <w:rsid w:val="006E2464"/>
    <w:rsid w:val="006E3798"/>
    <w:rsid w:val="006E47BE"/>
    <w:rsid w:val="006E55F4"/>
    <w:rsid w:val="006E5DE7"/>
    <w:rsid w:val="006E718B"/>
    <w:rsid w:val="006E7441"/>
    <w:rsid w:val="006E7672"/>
    <w:rsid w:val="006E7E95"/>
    <w:rsid w:val="006F073B"/>
    <w:rsid w:val="006F083D"/>
    <w:rsid w:val="006F0E50"/>
    <w:rsid w:val="006F1502"/>
    <w:rsid w:val="006F19E4"/>
    <w:rsid w:val="006F24C6"/>
    <w:rsid w:val="006F2B76"/>
    <w:rsid w:val="006F2F24"/>
    <w:rsid w:val="006F3CD5"/>
    <w:rsid w:val="006F48C8"/>
    <w:rsid w:val="006F5904"/>
    <w:rsid w:val="006F6851"/>
    <w:rsid w:val="006F6E71"/>
    <w:rsid w:val="006F798A"/>
    <w:rsid w:val="006F7F62"/>
    <w:rsid w:val="006F7FF7"/>
    <w:rsid w:val="007025B7"/>
    <w:rsid w:val="00702D1B"/>
    <w:rsid w:val="0070331E"/>
    <w:rsid w:val="00704F3A"/>
    <w:rsid w:val="00705ED7"/>
    <w:rsid w:val="00706013"/>
    <w:rsid w:val="007069D2"/>
    <w:rsid w:val="00706BEB"/>
    <w:rsid w:val="00710CA3"/>
    <w:rsid w:val="007111F3"/>
    <w:rsid w:val="00711D64"/>
    <w:rsid w:val="00711F51"/>
    <w:rsid w:val="007126F4"/>
    <w:rsid w:val="00712C91"/>
    <w:rsid w:val="00712ECE"/>
    <w:rsid w:val="007133FC"/>
    <w:rsid w:val="00714D44"/>
    <w:rsid w:val="00714DAA"/>
    <w:rsid w:val="00714E5E"/>
    <w:rsid w:val="00715268"/>
    <w:rsid w:val="00715302"/>
    <w:rsid w:val="00715C29"/>
    <w:rsid w:val="0071641B"/>
    <w:rsid w:val="007168E0"/>
    <w:rsid w:val="00716B6D"/>
    <w:rsid w:val="00716F01"/>
    <w:rsid w:val="0071732C"/>
    <w:rsid w:val="00717A0D"/>
    <w:rsid w:val="0072059A"/>
    <w:rsid w:val="0072083A"/>
    <w:rsid w:val="00721039"/>
    <w:rsid w:val="00721519"/>
    <w:rsid w:val="00721FF3"/>
    <w:rsid w:val="00722336"/>
    <w:rsid w:val="00722798"/>
    <w:rsid w:val="00722C6D"/>
    <w:rsid w:val="00723898"/>
    <w:rsid w:val="00723E32"/>
    <w:rsid w:val="00723F5D"/>
    <w:rsid w:val="0072427D"/>
    <w:rsid w:val="0072534A"/>
    <w:rsid w:val="00725802"/>
    <w:rsid w:val="00725AD7"/>
    <w:rsid w:val="00726337"/>
    <w:rsid w:val="007264D6"/>
    <w:rsid w:val="0072699D"/>
    <w:rsid w:val="00726CEB"/>
    <w:rsid w:val="00727D40"/>
    <w:rsid w:val="007302A9"/>
    <w:rsid w:val="007302F1"/>
    <w:rsid w:val="00730C28"/>
    <w:rsid w:val="0073151F"/>
    <w:rsid w:val="00731886"/>
    <w:rsid w:val="00731B42"/>
    <w:rsid w:val="00731DF1"/>
    <w:rsid w:val="007329F5"/>
    <w:rsid w:val="0073372C"/>
    <w:rsid w:val="00733CE9"/>
    <w:rsid w:val="00733EF9"/>
    <w:rsid w:val="007346CB"/>
    <w:rsid w:val="007362E9"/>
    <w:rsid w:val="00737277"/>
    <w:rsid w:val="007377D1"/>
    <w:rsid w:val="00740246"/>
    <w:rsid w:val="00740528"/>
    <w:rsid w:val="0074098B"/>
    <w:rsid w:val="00743178"/>
    <w:rsid w:val="00743837"/>
    <w:rsid w:val="007439E9"/>
    <w:rsid w:val="00744508"/>
    <w:rsid w:val="0074556C"/>
    <w:rsid w:val="007456C7"/>
    <w:rsid w:val="00745A71"/>
    <w:rsid w:val="00745C00"/>
    <w:rsid w:val="007460B4"/>
    <w:rsid w:val="00746A4A"/>
    <w:rsid w:val="00746E25"/>
    <w:rsid w:val="00747227"/>
    <w:rsid w:val="0074746C"/>
    <w:rsid w:val="00750098"/>
    <w:rsid w:val="00750D28"/>
    <w:rsid w:val="007510DC"/>
    <w:rsid w:val="007518D2"/>
    <w:rsid w:val="00751FA4"/>
    <w:rsid w:val="0075255B"/>
    <w:rsid w:val="007533C6"/>
    <w:rsid w:val="00753E5F"/>
    <w:rsid w:val="00753FEC"/>
    <w:rsid w:val="007569F2"/>
    <w:rsid w:val="007570EC"/>
    <w:rsid w:val="007573DF"/>
    <w:rsid w:val="00760696"/>
    <w:rsid w:val="0076103F"/>
    <w:rsid w:val="0076110F"/>
    <w:rsid w:val="00761693"/>
    <w:rsid w:val="00762312"/>
    <w:rsid w:val="007627DE"/>
    <w:rsid w:val="007629F5"/>
    <w:rsid w:val="00762AF8"/>
    <w:rsid w:val="00762D79"/>
    <w:rsid w:val="00762EE5"/>
    <w:rsid w:val="00762F97"/>
    <w:rsid w:val="00763148"/>
    <w:rsid w:val="0076397D"/>
    <w:rsid w:val="00763ABA"/>
    <w:rsid w:val="00763C07"/>
    <w:rsid w:val="00766040"/>
    <w:rsid w:val="007664B3"/>
    <w:rsid w:val="00766792"/>
    <w:rsid w:val="00766F9A"/>
    <w:rsid w:val="00767759"/>
    <w:rsid w:val="00767DEB"/>
    <w:rsid w:val="00770151"/>
    <w:rsid w:val="00770159"/>
    <w:rsid w:val="007703D4"/>
    <w:rsid w:val="00770C0C"/>
    <w:rsid w:val="00770CD5"/>
    <w:rsid w:val="00771397"/>
    <w:rsid w:val="00771DEA"/>
    <w:rsid w:val="00771E21"/>
    <w:rsid w:val="00772036"/>
    <w:rsid w:val="00772B59"/>
    <w:rsid w:val="00772BD4"/>
    <w:rsid w:val="00772C3B"/>
    <w:rsid w:val="00772C47"/>
    <w:rsid w:val="00772F90"/>
    <w:rsid w:val="00773A6C"/>
    <w:rsid w:val="00773BC8"/>
    <w:rsid w:val="00774AB6"/>
    <w:rsid w:val="007754AF"/>
    <w:rsid w:val="00775586"/>
    <w:rsid w:val="0077576F"/>
    <w:rsid w:val="00775D9B"/>
    <w:rsid w:val="00777BEF"/>
    <w:rsid w:val="0078133E"/>
    <w:rsid w:val="00781D8E"/>
    <w:rsid w:val="00782494"/>
    <w:rsid w:val="007825D7"/>
    <w:rsid w:val="00782F16"/>
    <w:rsid w:val="007830C8"/>
    <w:rsid w:val="00784836"/>
    <w:rsid w:val="00784DC0"/>
    <w:rsid w:val="00785292"/>
    <w:rsid w:val="0078584E"/>
    <w:rsid w:val="00786497"/>
    <w:rsid w:val="007866D6"/>
    <w:rsid w:val="00786ACA"/>
    <w:rsid w:val="007870CC"/>
    <w:rsid w:val="00790FF9"/>
    <w:rsid w:val="00791752"/>
    <w:rsid w:val="00791BC1"/>
    <w:rsid w:val="00791C9A"/>
    <w:rsid w:val="0079250A"/>
    <w:rsid w:val="007928DB"/>
    <w:rsid w:val="007937AF"/>
    <w:rsid w:val="00794FAB"/>
    <w:rsid w:val="00795080"/>
    <w:rsid w:val="007955F0"/>
    <w:rsid w:val="0079623D"/>
    <w:rsid w:val="00796BB9"/>
    <w:rsid w:val="00796D9C"/>
    <w:rsid w:val="00797782"/>
    <w:rsid w:val="00797A43"/>
    <w:rsid w:val="00797B61"/>
    <w:rsid w:val="00797BC5"/>
    <w:rsid w:val="007A040D"/>
    <w:rsid w:val="007A0A0D"/>
    <w:rsid w:val="007A0E18"/>
    <w:rsid w:val="007A0E77"/>
    <w:rsid w:val="007A247F"/>
    <w:rsid w:val="007A4264"/>
    <w:rsid w:val="007A49D0"/>
    <w:rsid w:val="007A4D12"/>
    <w:rsid w:val="007A5D06"/>
    <w:rsid w:val="007A6304"/>
    <w:rsid w:val="007A68A8"/>
    <w:rsid w:val="007A7DE6"/>
    <w:rsid w:val="007B0041"/>
    <w:rsid w:val="007B073F"/>
    <w:rsid w:val="007B0D9B"/>
    <w:rsid w:val="007B1C22"/>
    <w:rsid w:val="007B2593"/>
    <w:rsid w:val="007B397E"/>
    <w:rsid w:val="007B4B93"/>
    <w:rsid w:val="007B60E5"/>
    <w:rsid w:val="007B63CD"/>
    <w:rsid w:val="007B6410"/>
    <w:rsid w:val="007B6553"/>
    <w:rsid w:val="007B7285"/>
    <w:rsid w:val="007B7DE5"/>
    <w:rsid w:val="007B7ECD"/>
    <w:rsid w:val="007C0953"/>
    <w:rsid w:val="007C0BE7"/>
    <w:rsid w:val="007C0EA6"/>
    <w:rsid w:val="007C1077"/>
    <w:rsid w:val="007C1A0C"/>
    <w:rsid w:val="007C1BBF"/>
    <w:rsid w:val="007C28E3"/>
    <w:rsid w:val="007C294D"/>
    <w:rsid w:val="007C37D4"/>
    <w:rsid w:val="007C401C"/>
    <w:rsid w:val="007C43A0"/>
    <w:rsid w:val="007C44A8"/>
    <w:rsid w:val="007C5A84"/>
    <w:rsid w:val="007C62E5"/>
    <w:rsid w:val="007C6402"/>
    <w:rsid w:val="007C64E5"/>
    <w:rsid w:val="007C6C62"/>
    <w:rsid w:val="007C7147"/>
    <w:rsid w:val="007C7222"/>
    <w:rsid w:val="007C74EB"/>
    <w:rsid w:val="007C7766"/>
    <w:rsid w:val="007C7F65"/>
    <w:rsid w:val="007D00B3"/>
    <w:rsid w:val="007D0FBC"/>
    <w:rsid w:val="007D21F0"/>
    <w:rsid w:val="007D2808"/>
    <w:rsid w:val="007D49B9"/>
    <w:rsid w:val="007D4C48"/>
    <w:rsid w:val="007D515D"/>
    <w:rsid w:val="007D61DD"/>
    <w:rsid w:val="007D7219"/>
    <w:rsid w:val="007D77F4"/>
    <w:rsid w:val="007D7896"/>
    <w:rsid w:val="007D7B02"/>
    <w:rsid w:val="007D7F04"/>
    <w:rsid w:val="007E017B"/>
    <w:rsid w:val="007E0649"/>
    <w:rsid w:val="007E079B"/>
    <w:rsid w:val="007E09D8"/>
    <w:rsid w:val="007E1880"/>
    <w:rsid w:val="007E2142"/>
    <w:rsid w:val="007E2223"/>
    <w:rsid w:val="007E3237"/>
    <w:rsid w:val="007E358B"/>
    <w:rsid w:val="007E37E6"/>
    <w:rsid w:val="007E4556"/>
    <w:rsid w:val="007E45D4"/>
    <w:rsid w:val="007E4AE5"/>
    <w:rsid w:val="007E5011"/>
    <w:rsid w:val="007E53FE"/>
    <w:rsid w:val="007E5716"/>
    <w:rsid w:val="007E57CB"/>
    <w:rsid w:val="007E7BA7"/>
    <w:rsid w:val="007F0450"/>
    <w:rsid w:val="007F0534"/>
    <w:rsid w:val="007F10D5"/>
    <w:rsid w:val="007F1771"/>
    <w:rsid w:val="007F24DB"/>
    <w:rsid w:val="007F353E"/>
    <w:rsid w:val="007F48F2"/>
    <w:rsid w:val="007F5AE9"/>
    <w:rsid w:val="007F606C"/>
    <w:rsid w:val="007F61B5"/>
    <w:rsid w:val="007F7D06"/>
    <w:rsid w:val="008006FF"/>
    <w:rsid w:val="0080111D"/>
    <w:rsid w:val="0080137B"/>
    <w:rsid w:val="0080198A"/>
    <w:rsid w:val="00802118"/>
    <w:rsid w:val="0080231F"/>
    <w:rsid w:val="00802A26"/>
    <w:rsid w:val="00802BCB"/>
    <w:rsid w:val="00802F77"/>
    <w:rsid w:val="00802F93"/>
    <w:rsid w:val="008039A3"/>
    <w:rsid w:val="00803F57"/>
    <w:rsid w:val="008046AA"/>
    <w:rsid w:val="00804897"/>
    <w:rsid w:val="00804C50"/>
    <w:rsid w:val="00805D39"/>
    <w:rsid w:val="00805D4A"/>
    <w:rsid w:val="00805E79"/>
    <w:rsid w:val="00806216"/>
    <w:rsid w:val="0080628C"/>
    <w:rsid w:val="008077B7"/>
    <w:rsid w:val="008077CA"/>
    <w:rsid w:val="00810669"/>
    <w:rsid w:val="008107AF"/>
    <w:rsid w:val="00811CA6"/>
    <w:rsid w:val="008128F9"/>
    <w:rsid w:val="00813478"/>
    <w:rsid w:val="008141C1"/>
    <w:rsid w:val="00815472"/>
    <w:rsid w:val="0081557C"/>
    <w:rsid w:val="008156BB"/>
    <w:rsid w:val="00815EC1"/>
    <w:rsid w:val="0081663E"/>
    <w:rsid w:val="008170ED"/>
    <w:rsid w:val="0081774A"/>
    <w:rsid w:val="00817AC1"/>
    <w:rsid w:val="00820319"/>
    <w:rsid w:val="00821095"/>
    <w:rsid w:val="00821846"/>
    <w:rsid w:val="00821F92"/>
    <w:rsid w:val="00823E51"/>
    <w:rsid w:val="0082447E"/>
    <w:rsid w:val="008244BF"/>
    <w:rsid w:val="00824F4C"/>
    <w:rsid w:val="00824FA1"/>
    <w:rsid w:val="00825A07"/>
    <w:rsid w:val="0083091D"/>
    <w:rsid w:val="00830A92"/>
    <w:rsid w:val="00832440"/>
    <w:rsid w:val="00832637"/>
    <w:rsid w:val="00832C2E"/>
    <w:rsid w:val="00832C70"/>
    <w:rsid w:val="00832CD9"/>
    <w:rsid w:val="00833291"/>
    <w:rsid w:val="008339FE"/>
    <w:rsid w:val="00833B7D"/>
    <w:rsid w:val="00833FA0"/>
    <w:rsid w:val="0083472A"/>
    <w:rsid w:val="00835509"/>
    <w:rsid w:val="008364D7"/>
    <w:rsid w:val="00836AD1"/>
    <w:rsid w:val="00837307"/>
    <w:rsid w:val="00840502"/>
    <w:rsid w:val="00841EB7"/>
    <w:rsid w:val="00842C26"/>
    <w:rsid w:val="0084328E"/>
    <w:rsid w:val="00843F68"/>
    <w:rsid w:val="008450A4"/>
    <w:rsid w:val="00845230"/>
    <w:rsid w:val="00845748"/>
    <w:rsid w:val="00845CB0"/>
    <w:rsid w:val="008468DA"/>
    <w:rsid w:val="00847000"/>
    <w:rsid w:val="008470CB"/>
    <w:rsid w:val="008477D7"/>
    <w:rsid w:val="008503A8"/>
    <w:rsid w:val="0085134D"/>
    <w:rsid w:val="00851D36"/>
    <w:rsid w:val="00851D66"/>
    <w:rsid w:val="008524A5"/>
    <w:rsid w:val="008529D8"/>
    <w:rsid w:val="00852C6B"/>
    <w:rsid w:val="00852E04"/>
    <w:rsid w:val="00853B17"/>
    <w:rsid w:val="00854341"/>
    <w:rsid w:val="0085434D"/>
    <w:rsid w:val="00855AC4"/>
    <w:rsid w:val="00857E72"/>
    <w:rsid w:val="00860451"/>
    <w:rsid w:val="008605DA"/>
    <w:rsid w:val="008606B2"/>
    <w:rsid w:val="00861190"/>
    <w:rsid w:val="00861504"/>
    <w:rsid w:val="00861680"/>
    <w:rsid w:val="00861925"/>
    <w:rsid w:val="00861A20"/>
    <w:rsid w:val="00861C74"/>
    <w:rsid w:val="00861CF3"/>
    <w:rsid w:val="0086231F"/>
    <w:rsid w:val="008624B8"/>
    <w:rsid w:val="00862572"/>
    <w:rsid w:val="00862BF4"/>
    <w:rsid w:val="00863340"/>
    <w:rsid w:val="008633CD"/>
    <w:rsid w:val="008650A9"/>
    <w:rsid w:val="0086524B"/>
    <w:rsid w:val="008655A3"/>
    <w:rsid w:val="00865B4A"/>
    <w:rsid w:val="00865C08"/>
    <w:rsid w:val="00865F9F"/>
    <w:rsid w:val="00866CF3"/>
    <w:rsid w:val="00866CF6"/>
    <w:rsid w:val="00867146"/>
    <w:rsid w:val="00867257"/>
    <w:rsid w:val="00867BBA"/>
    <w:rsid w:val="0087040B"/>
    <w:rsid w:val="00870B95"/>
    <w:rsid w:val="00870E0F"/>
    <w:rsid w:val="0087140F"/>
    <w:rsid w:val="0087141D"/>
    <w:rsid w:val="0087195D"/>
    <w:rsid w:val="00871A89"/>
    <w:rsid w:val="00871C3D"/>
    <w:rsid w:val="00872E6C"/>
    <w:rsid w:val="00873523"/>
    <w:rsid w:val="00874145"/>
    <w:rsid w:val="00874155"/>
    <w:rsid w:val="008749C1"/>
    <w:rsid w:val="00874AD6"/>
    <w:rsid w:val="00874C38"/>
    <w:rsid w:val="00875206"/>
    <w:rsid w:val="008766A6"/>
    <w:rsid w:val="00876ED6"/>
    <w:rsid w:val="00877048"/>
    <w:rsid w:val="008775C4"/>
    <w:rsid w:val="00877814"/>
    <w:rsid w:val="008779AD"/>
    <w:rsid w:val="00877BED"/>
    <w:rsid w:val="0088020C"/>
    <w:rsid w:val="00880D17"/>
    <w:rsid w:val="0088123D"/>
    <w:rsid w:val="00881953"/>
    <w:rsid w:val="0088212B"/>
    <w:rsid w:val="008822BA"/>
    <w:rsid w:val="00882B3E"/>
    <w:rsid w:val="0088349E"/>
    <w:rsid w:val="0088495B"/>
    <w:rsid w:val="0088497A"/>
    <w:rsid w:val="0088509B"/>
    <w:rsid w:val="00885719"/>
    <w:rsid w:val="008862AB"/>
    <w:rsid w:val="00886C02"/>
    <w:rsid w:val="00886FDE"/>
    <w:rsid w:val="008877E3"/>
    <w:rsid w:val="00887EE5"/>
    <w:rsid w:val="008904CC"/>
    <w:rsid w:val="00890CCD"/>
    <w:rsid w:val="00891656"/>
    <w:rsid w:val="00891D6A"/>
    <w:rsid w:val="00892E96"/>
    <w:rsid w:val="0089334C"/>
    <w:rsid w:val="00893A90"/>
    <w:rsid w:val="00894448"/>
    <w:rsid w:val="00895325"/>
    <w:rsid w:val="00895880"/>
    <w:rsid w:val="00896850"/>
    <w:rsid w:val="00897696"/>
    <w:rsid w:val="00897E31"/>
    <w:rsid w:val="00897F3C"/>
    <w:rsid w:val="008A01AC"/>
    <w:rsid w:val="008A032B"/>
    <w:rsid w:val="008A0588"/>
    <w:rsid w:val="008A0675"/>
    <w:rsid w:val="008A1C13"/>
    <w:rsid w:val="008A1C6B"/>
    <w:rsid w:val="008A2FEE"/>
    <w:rsid w:val="008A3860"/>
    <w:rsid w:val="008A4550"/>
    <w:rsid w:val="008A4A15"/>
    <w:rsid w:val="008A4E0D"/>
    <w:rsid w:val="008A544C"/>
    <w:rsid w:val="008A582D"/>
    <w:rsid w:val="008A5A3E"/>
    <w:rsid w:val="008A6D98"/>
    <w:rsid w:val="008A6EC9"/>
    <w:rsid w:val="008A7351"/>
    <w:rsid w:val="008A7A56"/>
    <w:rsid w:val="008A7B69"/>
    <w:rsid w:val="008B01D4"/>
    <w:rsid w:val="008B029C"/>
    <w:rsid w:val="008B0336"/>
    <w:rsid w:val="008B046B"/>
    <w:rsid w:val="008B0D36"/>
    <w:rsid w:val="008B1BA6"/>
    <w:rsid w:val="008B27BC"/>
    <w:rsid w:val="008B29A8"/>
    <w:rsid w:val="008B36EF"/>
    <w:rsid w:val="008B3FAB"/>
    <w:rsid w:val="008B5A61"/>
    <w:rsid w:val="008B6812"/>
    <w:rsid w:val="008B7C63"/>
    <w:rsid w:val="008B7CB8"/>
    <w:rsid w:val="008C012B"/>
    <w:rsid w:val="008C021B"/>
    <w:rsid w:val="008C02E9"/>
    <w:rsid w:val="008C067D"/>
    <w:rsid w:val="008C143F"/>
    <w:rsid w:val="008C2670"/>
    <w:rsid w:val="008C2F78"/>
    <w:rsid w:val="008C3933"/>
    <w:rsid w:val="008C3D2F"/>
    <w:rsid w:val="008C3D41"/>
    <w:rsid w:val="008C3E0C"/>
    <w:rsid w:val="008C429C"/>
    <w:rsid w:val="008C4503"/>
    <w:rsid w:val="008C6827"/>
    <w:rsid w:val="008C6991"/>
    <w:rsid w:val="008C7F51"/>
    <w:rsid w:val="008C7FCA"/>
    <w:rsid w:val="008D00B8"/>
    <w:rsid w:val="008D0B93"/>
    <w:rsid w:val="008D1BB8"/>
    <w:rsid w:val="008D2442"/>
    <w:rsid w:val="008D26C6"/>
    <w:rsid w:val="008D2D5F"/>
    <w:rsid w:val="008D39F7"/>
    <w:rsid w:val="008D4780"/>
    <w:rsid w:val="008D5114"/>
    <w:rsid w:val="008D513A"/>
    <w:rsid w:val="008D543E"/>
    <w:rsid w:val="008D6332"/>
    <w:rsid w:val="008D73CB"/>
    <w:rsid w:val="008D7504"/>
    <w:rsid w:val="008D771C"/>
    <w:rsid w:val="008D78D7"/>
    <w:rsid w:val="008D7B3B"/>
    <w:rsid w:val="008D7F12"/>
    <w:rsid w:val="008E03CC"/>
    <w:rsid w:val="008E06E0"/>
    <w:rsid w:val="008E06E7"/>
    <w:rsid w:val="008E136C"/>
    <w:rsid w:val="008E1C4A"/>
    <w:rsid w:val="008E2186"/>
    <w:rsid w:val="008E4E0A"/>
    <w:rsid w:val="008E5D83"/>
    <w:rsid w:val="008E6924"/>
    <w:rsid w:val="008E6D32"/>
    <w:rsid w:val="008E7005"/>
    <w:rsid w:val="008F043D"/>
    <w:rsid w:val="008F05FE"/>
    <w:rsid w:val="008F0F24"/>
    <w:rsid w:val="008F112D"/>
    <w:rsid w:val="008F1F55"/>
    <w:rsid w:val="008F21E9"/>
    <w:rsid w:val="008F273B"/>
    <w:rsid w:val="008F3665"/>
    <w:rsid w:val="008F4046"/>
    <w:rsid w:val="008F4A7D"/>
    <w:rsid w:val="008F4DB1"/>
    <w:rsid w:val="008F506E"/>
    <w:rsid w:val="008F5361"/>
    <w:rsid w:val="008F549E"/>
    <w:rsid w:val="008F6CB4"/>
    <w:rsid w:val="009007F6"/>
    <w:rsid w:val="00901816"/>
    <w:rsid w:val="009021A6"/>
    <w:rsid w:val="00902F17"/>
    <w:rsid w:val="009032BB"/>
    <w:rsid w:val="00903757"/>
    <w:rsid w:val="009037DE"/>
    <w:rsid w:val="00903C91"/>
    <w:rsid w:val="0090405D"/>
    <w:rsid w:val="00904228"/>
    <w:rsid w:val="00904A88"/>
    <w:rsid w:val="00904D5E"/>
    <w:rsid w:val="0090522E"/>
    <w:rsid w:val="00905735"/>
    <w:rsid w:val="00906091"/>
    <w:rsid w:val="009070C5"/>
    <w:rsid w:val="0090726F"/>
    <w:rsid w:val="009113DC"/>
    <w:rsid w:val="0091236E"/>
    <w:rsid w:val="00912376"/>
    <w:rsid w:val="009125EC"/>
    <w:rsid w:val="00913029"/>
    <w:rsid w:val="009137C2"/>
    <w:rsid w:val="00913DF7"/>
    <w:rsid w:val="009140DC"/>
    <w:rsid w:val="0091442E"/>
    <w:rsid w:val="00914819"/>
    <w:rsid w:val="00914B4A"/>
    <w:rsid w:val="00914B80"/>
    <w:rsid w:val="00914C27"/>
    <w:rsid w:val="009150E1"/>
    <w:rsid w:val="00915A34"/>
    <w:rsid w:val="00917CA7"/>
    <w:rsid w:val="00920E6D"/>
    <w:rsid w:val="009216A2"/>
    <w:rsid w:val="00922E97"/>
    <w:rsid w:val="00925BC4"/>
    <w:rsid w:val="009261E6"/>
    <w:rsid w:val="00927DA2"/>
    <w:rsid w:val="0093027C"/>
    <w:rsid w:val="00930312"/>
    <w:rsid w:val="00930E00"/>
    <w:rsid w:val="0093186F"/>
    <w:rsid w:val="0093187D"/>
    <w:rsid w:val="00931E46"/>
    <w:rsid w:val="00932276"/>
    <w:rsid w:val="0093244B"/>
    <w:rsid w:val="00932479"/>
    <w:rsid w:val="00932B5D"/>
    <w:rsid w:val="00932D82"/>
    <w:rsid w:val="009343AE"/>
    <w:rsid w:val="00934886"/>
    <w:rsid w:val="009349FA"/>
    <w:rsid w:val="00934A14"/>
    <w:rsid w:val="00935470"/>
    <w:rsid w:val="0093547C"/>
    <w:rsid w:val="009354BD"/>
    <w:rsid w:val="00937117"/>
    <w:rsid w:val="00937732"/>
    <w:rsid w:val="009400CF"/>
    <w:rsid w:val="00940617"/>
    <w:rsid w:val="009411B2"/>
    <w:rsid w:val="0094380D"/>
    <w:rsid w:val="009442FA"/>
    <w:rsid w:val="0094439C"/>
    <w:rsid w:val="00944492"/>
    <w:rsid w:val="00945259"/>
    <w:rsid w:val="00945B83"/>
    <w:rsid w:val="009466AC"/>
    <w:rsid w:val="0094758E"/>
    <w:rsid w:val="0095016A"/>
    <w:rsid w:val="009501C4"/>
    <w:rsid w:val="00950657"/>
    <w:rsid w:val="00951399"/>
    <w:rsid w:val="009513EE"/>
    <w:rsid w:val="0095146E"/>
    <w:rsid w:val="0095162A"/>
    <w:rsid w:val="00951F21"/>
    <w:rsid w:val="0095211A"/>
    <w:rsid w:val="0095433D"/>
    <w:rsid w:val="00954609"/>
    <w:rsid w:val="009549CA"/>
    <w:rsid w:val="009549F9"/>
    <w:rsid w:val="00954B49"/>
    <w:rsid w:val="0095511A"/>
    <w:rsid w:val="009560C4"/>
    <w:rsid w:val="00956E69"/>
    <w:rsid w:val="00956F31"/>
    <w:rsid w:val="0095797F"/>
    <w:rsid w:val="009607A2"/>
    <w:rsid w:val="0096083F"/>
    <w:rsid w:val="00961D17"/>
    <w:rsid w:val="00962503"/>
    <w:rsid w:val="00962C4F"/>
    <w:rsid w:val="00963E6D"/>
    <w:rsid w:val="009646B1"/>
    <w:rsid w:val="0096496F"/>
    <w:rsid w:val="0096549F"/>
    <w:rsid w:val="00966466"/>
    <w:rsid w:val="00966A20"/>
    <w:rsid w:val="00967E8B"/>
    <w:rsid w:val="00970AC9"/>
    <w:rsid w:val="00970AD7"/>
    <w:rsid w:val="00970E94"/>
    <w:rsid w:val="00970FC6"/>
    <w:rsid w:val="00971068"/>
    <w:rsid w:val="009712E9"/>
    <w:rsid w:val="00971377"/>
    <w:rsid w:val="00972DEC"/>
    <w:rsid w:val="0097388C"/>
    <w:rsid w:val="00973FF6"/>
    <w:rsid w:val="009749D9"/>
    <w:rsid w:val="00974E45"/>
    <w:rsid w:val="0097548C"/>
    <w:rsid w:val="009765B2"/>
    <w:rsid w:val="009770F4"/>
    <w:rsid w:val="00977E14"/>
    <w:rsid w:val="009803F5"/>
    <w:rsid w:val="00980BF9"/>
    <w:rsid w:val="0098119D"/>
    <w:rsid w:val="0098294C"/>
    <w:rsid w:val="009829B4"/>
    <w:rsid w:val="00982A60"/>
    <w:rsid w:val="00982F8D"/>
    <w:rsid w:val="0098326F"/>
    <w:rsid w:val="0098341E"/>
    <w:rsid w:val="00983910"/>
    <w:rsid w:val="00984168"/>
    <w:rsid w:val="00984255"/>
    <w:rsid w:val="00984DDC"/>
    <w:rsid w:val="00984EBF"/>
    <w:rsid w:val="009858A4"/>
    <w:rsid w:val="00985921"/>
    <w:rsid w:val="00985F8B"/>
    <w:rsid w:val="0098624B"/>
    <w:rsid w:val="00986B97"/>
    <w:rsid w:val="009879C4"/>
    <w:rsid w:val="009901B2"/>
    <w:rsid w:val="0099131C"/>
    <w:rsid w:val="009913ED"/>
    <w:rsid w:val="00992016"/>
    <w:rsid w:val="0099255D"/>
    <w:rsid w:val="0099256B"/>
    <w:rsid w:val="009931F7"/>
    <w:rsid w:val="0099378B"/>
    <w:rsid w:val="0099495B"/>
    <w:rsid w:val="0099588D"/>
    <w:rsid w:val="00996EEB"/>
    <w:rsid w:val="0099735D"/>
    <w:rsid w:val="00997547"/>
    <w:rsid w:val="00997703"/>
    <w:rsid w:val="00997C5E"/>
    <w:rsid w:val="009A0A8D"/>
    <w:rsid w:val="009A0FED"/>
    <w:rsid w:val="009A331B"/>
    <w:rsid w:val="009A33C9"/>
    <w:rsid w:val="009A3B85"/>
    <w:rsid w:val="009A4F28"/>
    <w:rsid w:val="009A7DF2"/>
    <w:rsid w:val="009B0106"/>
    <w:rsid w:val="009B089F"/>
    <w:rsid w:val="009B08D0"/>
    <w:rsid w:val="009B0A68"/>
    <w:rsid w:val="009B0F39"/>
    <w:rsid w:val="009B1E68"/>
    <w:rsid w:val="009B2B5E"/>
    <w:rsid w:val="009B3D41"/>
    <w:rsid w:val="009B3DB1"/>
    <w:rsid w:val="009B3E00"/>
    <w:rsid w:val="009B3EE6"/>
    <w:rsid w:val="009B4231"/>
    <w:rsid w:val="009B457E"/>
    <w:rsid w:val="009B6C3A"/>
    <w:rsid w:val="009B7370"/>
    <w:rsid w:val="009B749E"/>
    <w:rsid w:val="009C0541"/>
    <w:rsid w:val="009C06CC"/>
    <w:rsid w:val="009C078A"/>
    <w:rsid w:val="009C0B36"/>
    <w:rsid w:val="009C1B66"/>
    <w:rsid w:val="009C2B7C"/>
    <w:rsid w:val="009C373F"/>
    <w:rsid w:val="009C40C4"/>
    <w:rsid w:val="009C422B"/>
    <w:rsid w:val="009C4A52"/>
    <w:rsid w:val="009C4C79"/>
    <w:rsid w:val="009C5CBC"/>
    <w:rsid w:val="009C7148"/>
    <w:rsid w:val="009C7307"/>
    <w:rsid w:val="009C74A9"/>
    <w:rsid w:val="009D06CD"/>
    <w:rsid w:val="009D0C95"/>
    <w:rsid w:val="009D155F"/>
    <w:rsid w:val="009D25AB"/>
    <w:rsid w:val="009D2852"/>
    <w:rsid w:val="009D301A"/>
    <w:rsid w:val="009D337A"/>
    <w:rsid w:val="009D3596"/>
    <w:rsid w:val="009D3828"/>
    <w:rsid w:val="009D4800"/>
    <w:rsid w:val="009D497D"/>
    <w:rsid w:val="009D526B"/>
    <w:rsid w:val="009D52D1"/>
    <w:rsid w:val="009D56C6"/>
    <w:rsid w:val="009D62A2"/>
    <w:rsid w:val="009D65B3"/>
    <w:rsid w:val="009D7096"/>
    <w:rsid w:val="009D7AC8"/>
    <w:rsid w:val="009E143B"/>
    <w:rsid w:val="009E198A"/>
    <w:rsid w:val="009E19DD"/>
    <w:rsid w:val="009E25D4"/>
    <w:rsid w:val="009E328E"/>
    <w:rsid w:val="009E3B83"/>
    <w:rsid w:val="009E4CEE"/>
    <w:rsid w:val="009E5417"/>
    <w:rsid w:val="009E54BF"/>
    <w:rsid w:val="009E5664"/>
    <w:rsid w:val="009E59B9"/>
    <w:rsid w:val="009E5A3D"/>
    <w:rsid w:val="009E6081"/>
    <w:rsid w:val="009E6170"/>
    <w:rsid w:val="009E6854"/>
    <w:rsid w:val="009E7001"/>
    <w:rsid w:val="009E7544"/>
    <w:rsid w:val="009E7EB3"/>
    <w:rsid w:val="009F05C3"/>
    <w:rsid w:val="009F1C93"/>
    <w:rsid w:val="009F2873"/>
    <w:rsid w:val="009F36AA"/>
    <w:rsid w:val="009F4451"/>
    <w:rsid w:val="009F4ADD"/>
    <w:rsid w:val="009F6779"/>
    <w:rsid w:val="009F6F12"/>
    <w:rsid w:val="009F73D5"/>
    <w:rsid w:val="009F7D0C"/>
    <w:rsid w:val="00A00048"/>
    <w:rsid w:val="00A008D5"/>
    <w:rsid w:val="00A00D53"/>
    <w:rsid w:val="00A0268E"/>
    <w:rsid w:val="00A05231"/>
    <w:rsid w:val="00A05824"/>
    <w:rsid w:val="00A06E54"/>
    <w:rsid w:val="00A07D41"/>
    <w:rsid w:val="00A07DCD"/>
    <w:rsid w:val="00A07E93"/>
    <w:rsid w:val="00A1008D"/>
    <w:rsid w:val="00A10245"/>
    <w:rsid w:val="00A10AF8"/>
    <w:rsid w:val="00A1120C"/>
    <w:rsid w:val="00A11240"/>
    <w:rsid w:val="00A114CE"/>
    <w:rsid w:val="00A11F2D"/>
    <w:rsid w:val="00A122F2"/>
    <w:rsid w:val="00A12C3C"/>
    <w:rsid w:val="00A13410"/>
    <w:rsid w:val="00A14212"/>
    <w:rsid w:val="00A144EA"/>
    <w:rsid w:val="00A14B1A"/>
    <w:rsid w:val="00A15636"/>
    <w:rsid w:val="00A156B4"/>
    <w:rsid w:val="00A1644F"/>
    <w:rsid w:val="00A16ECE"/>
    <w:rsid w:val="00A17941"/>
    <w:rsid w:val="00A17B0B"/>
    <w:rsid w:val="00A17F28"/>
    <w:rsid w:val="00A205B4"/>
    <w:rsid w:val="00A20C2D"/>
    <w:rsid w:val="00A23332"/>
    <w:rsid w:val="00A24042"/>
    <w:rsid w:val="00A2642A"/>
    <w:rsid w:val="00A27897"/>
    <w:rsid w:val="00A278BB"/>
    <w:rsid w:val="00A30669"/>
    <w:rsid w:val="00A30D7A"/>
    <w:rsid w:val="00A30DC3"/>
    <w:rsid w:val="00A31204"/>
    <w:rsid w:val="00A31FA7"/>
    <w:rsid w:val="00A327D6"/>
    <w:rsid w:val="00A332EA"/>
    <w:rsid w:val="00A33E0A"/>
    <w:rsid w:val="00A34403"/>
    <w:rsid w:val="00A34581"/>
    <w:rsid w:val="00A34883"/>
    <w:rsid w:val="00A35421"/>
    <w:rsid w:val="00A35A5A"/>
    <w:rsid w:val="00A36AC0"/>
    <w:rsid w:val="00A3736C"/>
    <w:rsid w:val="00A37A85"/>
    <w:rsid w:val="00A37C9F"/>
    <w:rsid w:val="00A406DF"/>
    <w:rsid w:val="00A410E8"/>
    <w:rsid w:val="00A41300"/>
    <w:rsid w:val="00A41D74"/>
    <w:rsid w:val="00A41E15"/>
    <w:rsid w:val="00A45132"/>
    <w:rsid w:val="00A452E5"/>
    <w:rsid w:val="00A453D1"/>
    <w:rsid w:val="00A45589"/>
    <w:rsid w:val="00A46016"/>
    <w:rsid w:val="00A4666A"/>
    <w:rsid w:val="00A46C09"/>
    <w:rsid w:val="00A47BE2"/>
    <w:rsid w:val="00A47C00"/>
    <w:rsid w:val="00A5064A"/>
    <w:rsid w:val="00A528BE"/>
    <w:rsid w:val="00A528CD"/>
    <w:rsid w:val="00A530B5"/>
    <w:rsid w:val="00A5336A"/>
    <w:rsid w:val="00A5380C"/>
    <w:rsid w:val="00A539D5"/>
    <w:rsid w:val="00A53B20"/>
    <w:rsid w:val="00A54B23"/>
    <w:rsid w:val="00A55311"/>
    <w:rsid w:val="00A55376"/>
    <w:rsid w:val="00A553F5"/>
    <w:rsid w:val="00A5574B"/>
    <w:rsid w:val="00A558A3"/>
    <w:rsid w:val="00A5649F"/>
    <w:rsid w:val="00A57B74"/>
    <w:rsid w:val="00A60840"/>
    <w:rsid w:val="00A61353"/>
    <w:rsid w:val="00A613CB"/>
    <w:rsid w:val="00A61658"/>
    <w:rsid w:val="00A620BE"/>
    <w:rsid w:val="00A6223C"/>
    <w:rsid w:val="00A62C9A"/>
    <w:rsid w:val="00A63994"/>
    <w:rsid w:val="00A6416B"/>
    <w:rsid w:val="00A64209"/>
    <w:rsid w:val="00A65023"/>
    <w:rsid w:val="00A65EBC"/>
    <w:rsid w:val="00A66872"/>
    <w:rsid w:val="00A67543"/>
    <w:rsid w:val="00A67DA8"/>
    <w:rsid w:val="00A70BC9"/>
    <w:rsid w:val="00A7122E"/>
    <w:rsid w:val="00A7215B"/>
    <w:rsid w:val="00A729A2"/>
    <w:rsid w:val="00A729E9"/>
    <w:rsid w:val="00A72EAD"/>
    <w:rsid w:val="00A72ECC"/>
    <w:rsid w:val="00A72FED"/>
    <w:rsid w:val="00A73C67"/>
    <w:rsid w:val="00A74225"/>
    <w:rsid w:val="00A74710"/>
    <w:rsid w:val="00A74E90"/>
    <w:rsid w:val="00A74FD7"/>
    <w:rsid w:val="00A75510"/>
    <w:rsid w:val="00A7593B"/>
    <w:rsid w:val="00A760E7"/>
    <w:rsid w:val="00A76103"/>
    <w:rsid w:val="00A766F4"/>
    <w:rsid w:val="00A77162"/>
    <w:rsid w:val="00A776F6"/>
    <w:rsid w:val="00A77A5A"/>
    <w:rsid w:val="00A808F0"/>
    <w:rsid w:val="00A8103F"/>
    <w:rsid w:val="00A81166"/>
    <w:rsid w:val="00A8166D"/>
    <w:rsid w:val="00A82B66"/>
    <w:rsid w:val="00A83EBA"/>
    <w:rsid w:val="00A842B4"/>
    <w:rsid w:val="00A843BD"/>
    <w:rsid w:val="00A84FF7"/>
    <w:rsid w:val="00A85064"/>
    <w:rsid w:val="00A85364"/>
    <w:rsid w:val="00A8541D"/>
    <w:rsid w:val="00A85B0A"/>
    <w:rsid w:val="00A86BDB"/>
    <w:rsid w:val="00A86CE1"/>
    <w:rsid w:val="00A87468"/>
    <w:rsid w:val="00A87BE1"/>
    <w:rsid w:val="00A9082C"/>
    <w:rsid w:val="00A90838"/>
    <w:rsid w:val="00A90D68"/>
    <w:rsid w:val="00A911A4"/>
    <w:rsid w:val="00A9222E"/>
    <w:rsid w:val="00A9282E"/>
    <w:rsid w:val="00A939DC"/>
    <w:rsid w:val="00A93A4B"/>
    <w:rsid w:val="00A93D67"/>
    <w:rsid w:val="00A94A2C"/>
    <w:rsid w:val="00A95567"/>
    <w:rsid w:val="00A95F43"/>
    <w:rsid w:val="00A9684A"/>
    <w:rsid w:val="00A96F7E"/>
    <w:rsid w:val="00A9731D"/>
    <w:rsid w:val="00A97C23"/>
    <w:rsid w:val="00A97FD2"/>
    <w:rsid w:val="00AA0097"/>
    <w:rsid w:val="00AA090D"/>
    <w:rsid w:val="00AA173A"/>
    <w:rsid w:val="00AA1937"/>
    <w:rsid w:val="00AA1A4F"/>
    <w:rsid w:val="00AA1C22"/>
    <w:rsid w:val="00AA1F67"/>
    <w:rsid w:val="00AA267F"/>
    <w:rsid w:val="00AA2C7E"/>
    <w:rsid w:val="00AA2CE3"/>
    <w:rsid w:val="00AA3353"/>
    <w:rsid w:val="00AA36F5"/>
    <w:rsid w:val="00AA3845"/>
    <w:rsid w:val="00AA4512"/>
    <w:rsid w:val="00AA4919"/>
    <w:rsid w:val="00AA5366"/>
    <w:rsid w:val="00AA541F"/>
    <w:rsid w:val="00AA59B0"/>
    <w:rsid w:val="00AA60DD"/>
    <w:rsid w:val="00AB037B"/>
    <w:rsid w:val="00AB05C2"/>
    <w:rsid w:val="00AB0EB2"/>
    <w:rsid w:val="00AB0F3A"/>
    <w:rsid w:val="00AB0F47"/>
    <w:rsid w:val="00AB0F9B"/>
    <w:rsid w:val="00AB10A2"/>
    <w:rsid w:val="00AB18A3"/>
    <w:rsid w:val="00AB2A5E"/>
    <w:rsid w:val="00AB2B6D"/>
    <w:rsid w:val="00AB3807"/>
    <w:rsid w:val="00AB3C2D"/>
    <w:rsid w:val="00AB3F1B"/>
    <w:rsid w:val="00AB4542"/>
    <w:rsid w:val="00AB4984"/>
    <w:rsid w:val="00AB4C03"/>
    <w:rsid w:val="00AB5125"/>
    <w:rsid w:val="00AB5525"/>
    <w:rsid w:val="00AB60BB"/>
    <w:rsid w:val="00AB638F"/>
    <w:rsid w:val="00AB64E3"/>
    <w:rsid w:val="00AB6657"/>
    <w:rsid w:val="00AB6A83"/>
    <w:rsid w:val="00AB6C28"/>
    <w:rsid w:val="00AC00A0"/>
    <w:rsid w:val="00AC153D"/>
    <w:rsid w:val="00AC1815"/>
    <w:rsid w:val="00AC1850"/>
    <w:rsid w:val="00AC1A29"/>
    <w:rsid w:val="00AC2365"/>
    <w:rsid w:val="00AC3B33"/>
    <w:rsid w:val="00AC3C32"/>
    <w:rsid w:val="00AC482D"/>
    <w:rsid w:val="00AC4B06"/>
    <w:rsid w:val="00AC4F6F"/>
    <w:rsid w:val="00AC50D3"/>
    <w:rsid w:val="00AC56C9"/>
    <w:rsid w:val="00AC5999"/>
    <w:rsid w:val="00AC5E72"/>
    <w:rsid w:val="00AC64FF"/>
    <w:rsid w:val="00AC7278"/>
    <w:rsid w:val="00AC7673"/>
    <w:rsid w:val="00AC7DF3"/>
    <w:rsid w:val="00AD09DA"/>
    <w:rsid w:val="00AD0C48"/>
    <w:rsid w:val="00AD0E4F"/>
    <w:rsid w:val="00AD1CB3"/>
    <w:rsid w:val="00AD21D3"/>
    <w:rsid w:val="00AD2983"/>
    <w:rsid w:val="00AD2CD1"/>
    <w:rsid w:val="00AD325C"/>
    <w:rsid w:val="00AD34B2"/>
    <w:rsid w:val="00AD4CEB"/>
    <w:rsid w:val="00AD50BE"/>
    <w:rsid w:val="00AD59D4"/>
    <w:rsid w:val="00AD62D1"/>
    <w:rsid w:val="00AD63BB"/>
    <w:rsid w:val="00AD73D4"/>
    <w:rsid w:val="00AD7BF0"/>
    <w:rsid w:val="00AE0981"/>
    <w:rsid w:val="00AE0F22"/>
    <w:rsid w:val="00AE120A"/>
    <w:rsid w:val="00AE14FB"/>
    <w:rsid w:val="00AE1A8A"/>
    <w:rsid w:val="00AE2497"/>
    <w:rsid w:val="00AE252F"/>
    <w:rsid w:val="00AE2B3D"/>
    <w:rsid w:val="00AE3593"/>
    <w:rsid w:val="00AE4105"/>
    <w:rsid w:val="00AE45B9"/>
    <w:rsid w:val="00AE51C7"/>
    <w:rsid w:val="00AE5470"/>
    <w:rsid w:val="00AE5475"/>
    <w:rsid w:val="00AE56EE"/>
    <w:rsid w:val="00AE5A63"/>
    <w:rsid w:val="00AE5D6F"/>
    <w:rsid w:val="00AE6D71"/>
    <w:rsid w:val="00AE7512"/>
    <w:rsid w:val="00AE7929"/>
    <w:rsid w:val="00AF0299"/>
    <w:rsid w:val="00AF0B43"/>
    <w:rsid w:val="00AF144C"/>
    <w:rsid w:val="00AF2B7F"/>
    <w:rsid w:val="00AF2BDF"/>
    <w:rsid w:val="00AF3736"/>
    <w:rsid w:val="00AF384C"/>
    <w:rsid w:val="00AF393B"/>
    <w:rsid w:val="00AF4504"/>
    <w:rsid w:val="00AF4674"/>
    <w:rsid w:val="00AF5B6B"/>
    <w:rsid w:val="00AF5B76"/>
    <w:rsid w:val="00AF724D"/>
    <w:rsid w:val="00AF72AA"/>
    <w:rsid w:val="00AF73EF"/>
    <w:rsid w:val="00AF775E"/>
    <w:rsid w:val="00AF7B67"/>
    <w:rsid w:val="00B00635"/>
    <w:rsid w:val="00B027C6"/>
    <w:rsid w:val="00B03802"/>
    <w:rsid w:val="00B04C47"/>
    <w:rsid w:val="00B050CB"/>
    <w:rsid w:val="00B06A3E"/>
    <w:rsid w:val="00B06E05"/>
    <w:rsid w:val="00B07131"/>
    <w:rsid w:val="00B076A2"/>
    <w:rsid w:val="00B10140"/>
    <w:rsid w:val="00B10756"/>
    <w:rsid w:val="00B11B31"/>
    <w:rsid w:val="00B12180"/>
    <w:rsid w:val="00B1234C"/>
    <w:rsid w:val="00B132BD"/>
    <w:rsid w:val="00B154DC"/>
    <w:rsid w:val="00B16DEA"/>
    <w:rsid w:val="00B16EB4"/>
    <w:rsid w:val="00B17C24"/>
    <w:rsid w:val="00B202AF"/>
    <w:rsid w:val="00B203E1"/>
    <w:rsid w:val="00B205F0"/>
    <w:rsid w:val="00B21B65"/>
    <w:rsid w:val="00B22363"/>
    <w:rsid w:val="00B22C42"/>
    <w:rsid w:val="00B2329E"/>
    <w:rsid w:val="00B23600"/>
    <w:rsid w:val="00B23A23"/>
    <w:rsid w:val="00B23B60"/>
    <w:rsid w:val="00B23E3A"/>
    <w:rsid w:val="00B24948"/>
    <w:rsid w:val="00B2498B"/>
    <w:rsid w:val="00B24DDB"/>
    <w:rsid w:val="00B25287"/>
    <w:rsid w:val="00B25E81"/>
    <w:rsid w:val="00B26649"/>
    <w:rsid w:val="00B26925"/>
    <w:rsid w:val="00B26B7F"/>
    <w:rsid w:val="00B26C46"/>
    <w:rsid w:val="00B27A1C"/>
    <w:rsid w:val="00B304E2"/>
    <w:rsid w:val="00B309B4"/>
    <w:rsid w:val="00B31AA8"/>
    <w:rsid w:val="00B31CAA"/>
    <w:rsid w:val="00B3267F"/>
    <w:rsid w:val="00B32924"/>
    <w:rsid w:val="00B337B2"/>
    <w:rsid w:val="00B33DA1"/>
    <w:rsid w:val="00B34260"/>
    <w:rsid w:val="00B3459F"/>
    <w:rsid w:val="00B35C7F"/>
    <w:rsid w:val="00B35EFE"/>
    <w:rsid w:val="00B36227"/>
    <w:rsid w:val="00B3696E"/>
    <w:rsid w:val="00B40A37"/>
    <w:rsid w:val="00B4153F"/>
    <w:rsid w:val="00B42113"/>
    <w:rsid w:val="00B42131"/>
    <w:rsid w:val="00B42BB8"/>
    <w:rsid w:val="00B43244"/>
    <w:rsid w:val="00B438DB"/>
    <w:rsid w:val="00B4446E"/>
    <w:rsid w:val="00B444EF"/>
    <w:rsid w:val="00B446E8"/>
    <w:rsid w:val="00B44C23"/>
    <w:rsid w:val="00B44D72"/>
    <w:rsid w:val="00B44EC8"/>
    <w:rsid w:val="00B45500"/>
    <w:rsid w:val="00B45C9D"/>
    <w:rsid w:val="00B4669A"/>
    <w:rsid w:val="00B46C0B"/>
    <w:rsid w:val="00B47267"/>
    <w:rsid w:val="00B50CEE"/>
    <w:rsid w:val="00B515CA"/>
    <w:rsid w:val="00B515F1"/>
    <w:rsid w:val="00B518DF"/>
    <w:rsid w:val="00B51B35"/>
    <w:rsid w:val="00B5226E"/>
    <w:rsid w:val="00B525ED"/>
    <w:rsid w:val="00B53138"/>
    <w:rsid w:val="00B53B3A"/>
    <w:rsid w:val="00B53E20"/>
    <w:rsid w:val="00B54214"/>
    <w:rsid w:val="00B55076"/>
    <w:rsid w:val="00B551F1"/>
    <w:rsid w:val="00B55276"/>
    <w:rsid w:val="00B578E7"/>
    <w:rsid w:val="00B60087"/>
    <w:rsid w:val="00B60A98"/>
    <w:rsid w:val="00B60CE9"/>
    <w:rsid w:val="00B60EAA"/>
    <w:rsid w:val="00B60FB9"/>
    <w:rsid w:val="00B61874"/>
    <w:rsid w:val="00B63743"/>
    <w:rsid w:val="00B63B26"/>
    <w:rsid w:val="00B64AA3"/>
    <w:rsid w:val="00B64BE5"/>
    <w:rsid w:val="00B64D94"/>
    <w:rsid w:val="00B65B2A"/>
    <w:rsid w:val="00B66D19"/>
    <w:rsid w:val="00B6706B"/>
    <w:rsid w:val="00B67A3D"/>
    <w:rsid w:val="00B67D03"/>
    <w:rsid w:val="00B70138"/>
    <w:rsid w:val="00B709DD"/>
    <w:rsid w:val="00B715A5"/>
    <w:rsid w:val="00B7239B"/>
    <w:rsid w:val="00B72FDB"/>
    <w:rsid w:val="00B76754"/>
    <w:rsid w:val="00B776B2"/>
    <w:rsid w:val="00B77E2B"/>
    <w:rsid w:val="00B803E2"/>
    <w:rsid w:val="00B81314"/>
    <w:rsid w:val="00B8153D"/>
    <w:rsid w:val="00B81BE4"/>
    <w:rsid w:val="00B82CED"/>
    <w:rsid w:val="00B82EA6"/>
    <w:rsid w:val="00B8319D"/>
    <w:rsid w:val="00B83356"/>
    <w:rsid w:val="00B8339C"/>
    <w:rsid w:val="00B838B8"/>
    <w:rsid w:val="00B839B8"/>
    <w:rsid w:val="00B83ABA"/>
    <w:rsid w:val="00B83B34"/>
    <w:rsid w:val="00B83B7E"/>
    <w:rsid w:val="00B83E26"/>
    <w:rsid w:val="00B8412A"/>
    <w:rsid w:val="00B85388"/>
    <w:rsid w:val="00B85F90"/>
    <w:rsid w:val="00B86322"/>
    <w:rsid w:val="00B8760D"/>
    <w:rsid w:val="00B87AD9"/>
    <w:rsid w:val="00B91880"/>
    <w:rsid w:val="00B918B2"/>
    <w:rsid w:val="00B91FCE"/>
    <w:rsid w:val="00B9214C"/>
    <w:rsid w:val="00B9274B"/>
    <w:rsid w:val="00B929A3"/>
    <w:rsid w:val="00B938AF"/>
    <w:rsid w:val="00B940CB"/>
    <w:rsid w:val="00B9453B"/>
    <w:rsid w:val="00B9544C"/>
    <w:rsid w:val="00B95F19"/>
    <w:rsid w:val="00B96F2A"/>
    <w:rsid w:val="00B975A7"/>
    <w:rsid w:val="00B97FE1"/>
    <w:rsid w:val="00BA02A3"/>
    <w:rsid w:val="00BA0F23"/>
    <w:rsid w:val="00BA0FC9"/>
    <w:rsid w:val="00BA163C"/>
    <w:rsid w:val="00BA2133"/>
    <w:rsid w:val="00BA22A2"/>
    <w:rsid w:val="00BA22CE"/>
    <w:rsid w:val="00BA45F5"/>
    <w:rsid w:val="00BA4BE9"/>
    <w:rsid w:val="00BA5373"/>
    <w:rsid w:val="00BA55E6"/>
    <w:rsid w:val="00BA560A"/>
    <w:rsid w:val="00BA626F"/>
    <w:rsid w:val="00BA6E15"/>
    <w:rsid w:val="00BA6E9D"/>
    <w:rsid w:val="00BA6F7A"/>
    <w:rsid w:val="00BA703C"/>
    <w:rsid w:val="00BA77A6"/>
    <w:rsid w:val="00BA78E3"/>
    <w:rsid w:val="00BA796F"/>
    <w:rsid w:val="00BA7F09"/>
    <w:rsid w:val="00BB0036"/>
    <w:rsid w:val="00BB064D"/>
    <w:rsid w:val="00BB0B29"/>
    <w:rsid w:val="00BB18CE"/>
    <w:rsid w:val="00BB1D66"/>
    <w:rsid w:val="00BB254F"/>
    <w:rsid w:val="00BB2A88"/>
    <w:rsid w:val="00BB4ADE"/>
    <w:rsid w:val="00BB5271"/>
    <w:rsid w:val="00BB52C1"/>
    <w:rsid w:val="00BB52F9"/>
    <w:rsid w:val="00BB5EC7"/>
    <w:rsid w:val="00BB67BA"/>
    <w:rsid w:val="00BB7523"/>
    <w:rsid w:val="00BC1D6D"/>
    <w:rsid w:val="00BC2650"/>
    <w:rsid w:val="00BC274B"/>
    <w:rsid w:val="00BC4076"/>
    <w:rsid w:val="00BC4853"/>
    <w:rsid w:val="00BC4857"/>
    <w:rsid w:val="00BC4984"/>
    <w:rsid w:val="00BC612D"/>
    <w:rsid w:val="00BC62A4"/>
    <w:rsid w:val="00BC69AD"/>
    <w:rsid w:val="00BC69C2"/>
    <w:rsid w:val="00BC6BEE"/>
    <w:rsid w:val="00BC6E90"/>
    <w:rsid w:val="00BC70CF"/>
    <w:rsid w:val="00BC7100"/>
    <w:rsid w:val="00BC7419"/>
    <w:rsid w:val="00BD0683"/>
    <w:rsid w:val="00BD0BBB"/>
    <w:rsid w:val="00BD0F2E"/>
    <w:rsid w:val="00BD12B5"/>
    <w:rsid w:val="00BD2B81"/>
    <w:rsid w:val="00BD36C4"/>
    <w:rsid w:val="00BD414F"/>
    <w:rsid w:val="00BD4363"/>
    <w:rsid w:val="00BD54AA"/>
    <w:rsid w:val="00BD5B1D"/>
    <w:rsid w:val="00BD5D12"/>
    <w:rsid w:val="00BD607B"/>
    <w:rsid w:val="00BD61A1"/>
    <w:rsid w:val="00BD67D2"/>
    <w:rsid w:val="00BD7C96"/>
    <w:rsid w:val="00BE00CA"/>
    <w:rsid w:val="00BE04F8"/>
    <w:rsid w:val="00BE065A"/>
    <w:rsid w:val="00BE082C"/>
    <w:rsid w:val="00BE0FBD"/>
    <w:rsid w:val="00BE271F"/>
    <w:rsid w:val="00BE2B71"/>
    <w:rsid w:val="00BE3145"/>
    <w:rsid w:val="00BE3EBE"/>
    <w:rsid w:val="00BE410C"/>
    <w:rsid w:val="00BE49CC"/>
    <w:rsid w:val="00BE4AB9"/>
    <w:rsid w:val="00BE4DDB"/>
    <w:rsid w:val="00BE5797"/>
    <w:rsid w:val="00BE59C0"/>
    <w:rsid w:val="00BE59E1"/>
    <w:rsid w:val="00BE5A59"/>
    <w:rsid w:val="00BE5AD5"/>
    <w:rsid w:val="00BE5EA6"/>
    <w:rsid w:val="00BE6BA2"/>
    <w:rsid w:val="00BE6FCE"/>
    <w:rsid w:val="00BE7828"/>
    <w:rsid w:val="00BE7F71"/>
    <w:rsid w:val="00BF02E5"/>
    <w:rsid w:val="00BF038E"/>
    <w:rsid w:val="00BF08AE"/>
    <w:rsid w:val="00BF0950"/>
    <w:rsid w:val="00BF0A76"/>
    <w:rsid w:val="00BF13BD"/>
    <w:rsid w:val="00BF1E79"/>
    <w:rsid w:val="00BF1ED6"/>
    <w:rsid w:val="00BF2ED3"/>
    <w:rsid w:val="00BF3679"/>
    <w:rsid w:val="00BF377D"/>
    <w:rsid w:val="00BF3CE1"/>
    <w:rsid w:val="00BF4236"/>
    <w:rsid w:val="00BF4372"/>
    <w:rsid w:val="00BF480D"/>
    <w:rsid w:val="00BF4D04"/>
    <w:rsid w:val="00BF4F44"/>
    <w:rsid w:val="00BF54FE"/>
    <w:rsid w:val="00BF581A"/>
    <w:rsid w:val="00BF698B"/>
    <w:rsid w:val="00BF6C54"/>
    <w:rsid w:val="00BF75E7"/>
    <w:rsid w:val="00BF7833"/>
    <w:rsid w:val="00BF789E"/>
    <w:rsid w:val="00BF7BC4"/>
    <w:rsid w:val="00C00ACD"/>
    <w:rsid w:val="00C00B52"/>
    <w:rsid w:val="00C00B96"/>
    <w:rsid w:val="00C00E7F"/>
    <w:rsid w:val="00C02570"/>
    <w:rsid w:val="00C02AED"/>
    <w:rsid w:val="00C0391D"/>
    <w:rsid w:val="00C03BA3"/>
    <w:rsid w:val="00C03C81"/>
    <w:rsid w:val="00C045B5"/>
    <w:rsid w:val="00C04DBA"/>
    <w:rsid w:val="00C05F5D"/>
    <w:rsid w:val="00C06232"/>
    <w:rsid w:val="00C0627F"/>
    <w:rsid w:val="00C063E0"/>
    <w:rsid w:val="00C063EF"/>
    <w:rsid w:val="00C071C5"/>
    <w:rsid w:val="00C075D0"/>
    <w:rsid w:val="00C10AA9"/>
    <w:rsid w:val="00C1301C"/>
    <w:rsid w:val="00C13623"/>
    <w:rsid w:val="00C13C9C"/>
    <w:rsid w:val="00C15032"/>
    <w:rsid w:val="00C15337"/>
    <w:rsid w:val="00C16189"/>
    <w:rsid w:val="00C16C09"/>
    <w:rsid w:val="00C171D6"/>
    <w:rsid w:val="00C17941"/>
    <w:rsid w:val="00C17F48"/>
    <w:rsid w:val="00C17F55"/>
    <w:rsid w:val="00C201D0"/>
    <w:rsid w:val="00C209BC"/>
    <w:rsid w:val="00C20F52"/>
    <w:rsid w:val="00C2158D"/>
    <w:rsid w:val="00C2196F"/>
    <w:rsid w:val="00C21F0C"/>
    <w:rsid w:val="00C23DD4"/>
    <w:rsid w:val="00C24103"/>
    <w:rsid w:val="00C24AE7"/>
    <w:rsid w:val="00C24F15"/>
    <w:rsid w:val="00C2644B"/>
    <w:rsid w:val="00C264BE"/>
    <w:rsid w:val="00C26C0F"/>
    <w:rsid w:val="00C273D9"/>
    <w:rsid w:val="00C3043A"/>
    <w:rsid w:val="00C30D2C"/>
    <w:rsid w:val="00C313C0"/>
    <w:rsid w:val="00C32B2E"/>
    <w:rsid w:val="00C33050"/>
    <w:rsid w:val="00C33F68"/>
    <w:rsid w:val="00C3455F"/>
    <w:rsid w:val="00C34F15"/>
    <w:rsid w:val="00C3530F"/>
    <w:rsid w:val="00C35B56"/>
    <w:rsid w:val="00C36081"/>
    <w:rsid w:val="00C3618F"/>
    <w:rsid w:val="00C36354"/>
    <w:rsid w:val="00C369AC"/>
    <w:rsid w:val="00C40751"/>
    <w:rsid w:val="00C40ACA"/>
    <w:rsid w:val="00C40CF6"/>
    <w:rsid w:val="00C4136A"/>
    <w:rsid w:val="00C41E83"/>
    <w:rsid w:val="00C42595"/>
    <w:rsid w:val="00C42914"/>
    <w:rsid w:val="00C42BEA"/>
    <w:rsid w:val="00C43008"/>
    <w:rsid w:val="00C43674"/>
    <w:rsid w:val="00C44ECF"/>
    <w:rsid w:val="00C451B8"/>
    <w:rsid w:val="00C459C1"/>
    <w:rsid w:val="00C4798E"/>
    <w:rsid w:val="00C47A11"/>
    <w:rsid w:val="00C47B60"/>
    <w:rsid w:val="00C47FEA"/>
    <w:rsid w:val="00C50575"/>
    <w:rsid w:val="00C51149"/>
    <w:rsid w:val="00C513B1"/>
    <w:rsid w:val="00C517E6"/>
    <w:rsid w:val="00C51B43"/>
    <w:rsid w:val="00C51CB1"/>
    <w:rsid w:val="00C52162"/>
    <w:rsid w:val="00C53068"/>
    <w:rsid w:val="00C5313B"/>
    <w:rsid w:val="00C53A23"/>
    <w:rsid w:val="00C53B79"/>
    <w:rsid w:val="00C53E15"/>
    <w:rsid w:val="00C545B0"/>
    <w:rsid w:val="00C547B2"/>
    <w:rsid w:val="00C54A30"/>
    <w:rsid w:val="00C54FCF"/>
    <w:rsid w:val="00C55606"/>
    <w:rsid w:val="00C55F1A"/>
    <w:rsid w:val="00C562E8"/>
    <w:rsid w:val="00C5665C"/>
    <w:rsid w:val="00C56ACF"/>
    <w:rsid w:val="00C56DD8"/>
    <w:rsid w:val="00C570A6"/>
    <w:rsid w:val="00C6059E"/>
    <w:rsid w:val="00C6077E"/>
    <w:rsid w:val="00C60C3B"/>
    <w:rsid w:val="00C60EA1"/>
    <w:rsid w:val="00C61758"/>
    <w:rsid w:val="00C61960"/>
    <w:rsid w:val="00C622D8"/>
    <w:rsid w:val="00C6288A"/>
    <w:rsid w:val="00C62926"/>
    <w:rsid w:val="00C62E1C"/>
    <w:rsid w:val="00C62FFA"/>
    <w:rsid w:val="00C63972"/>
    <w:rsid w:val="00C64BFE"/>
    <w:rsid w:val="00C65D07"/>
    <w:rsid w:val="00C65FDC"/>
    <w:rsid w:val="00C67708"/>
    <w:rsid w:val="00C67EB4"/>
    <w:rsid w:val="00C7019F"/>
    <w:rsid w:val="00C704D4"/>
    <w:rsid w:val="00C70FC4"/>
    <w:rsid w:val="00C72DC8"/>
    <w:rsid w:val="00C742A6"/>
    <w:rsid w:val="00C75683"/>
    <w:rsid w:val="00C75805"/>
    <w:rsid w:val="00C75F22"/>
    <w:rsid w:val="00C765D7"/>
    <w:rsid w:val="00C76886"/>
    <w:rsid w:val="00C774C0"/>
    <w:rsid w:val="00C775E3"/>
    <w:rsid w:val="00C80C0A"/>
    <w:rsid w:val="00C816BD"/>
    <w:rsid w:val="00C819CD"/>
    <w:rsid w:val="00C81AFE"/>
    <w:rsid w:val="00C81C9C"/>
    <w:rsid w:val="00C8235E"/>
    <w:rsid w:val="00C823F0"/>
    <w:rsid w:val="00C8272D"/>
    <w:rsid w:val="00C82DA1"/>
    <w:rsid w:val="00C8309E"/>
    <w:rsid w:val="00C8348D"/>
    <w:rsid w:val="00C83BC0"/>
    <w:rsid w:val="00C83C9F"/>
    <w:rsid w:val="00C84F2F"/>
    <w:rsid w:val="00C86095"/>
    <w:rsid w:val="00C86470"/>
    <w:rsid w:val="00C86CEF"/>
    <w:rsid w:val="00C86D8B"/>
    <w:rsid w:val="00C90058"/>
    <w:rsid w:val="00C905C2"/>
    <w:rsid w:val="00C90C1A"/>
    <w:rsid w:val="00C90F00"/>
    <w:rsid w:val="00C91374"/>
    <w:rsid w:val="00C9164F"/>
    <w:rsid w:val="00C91D10"/>
    <w:rsid w:val="00C91F7C"/>
    <w:rsid w:val="00C92D85"/>
    <w:rsid w:val="00C930A4"/>
    <w:rsid w:val="00C93134"/>
    <w:rsid w:val="00C937E3"/>
    <w:rsid w:val="00C93B86"/>
    <w:rsid w:val="00C94C3C"/>
    <w:rsid w:val="00C955A4"/>
    <w:rsid w:val="00C95647"/>
    <w:rsid w:val="00C966FA"/>
    <w:rsid w:val="00C97226"/>
    <w:rsid w:val="00C97C02"/>
    <w:rsid w:val="00C97C7E"/>
    <w:rsid w:val="00C97C8A"/>
    <w:rsid w:val="00C97E4B"/>
    <w:rsid w:val="00CA0986"/>
    <w:rsid w:val="00CA0CEA"/>
    <w:rsid w:val="00CA1D70"/>
    <w:rsid w:val="00CA2880"/>
    <w:rsid w:val="00CA336A"/>
    <w:rsid w:val="00CA3599"/>
    <w:rsid w:val="00CA362B"/>
    <w:rsid w:val="00CA365C"/>
    <w:rsid w:val="00CA3A91"/>
    <w:rsid w:val="00CA4329"/>
    <w:rsid w:val="00CA5123"/>
    <w:rsid w:val="00CA560E"/>
    <w:rsid w:val="00CA60D7"/>
    <w:rsid w:val="00CA6384"/>
    <w:rsid w:val="00CA63A8"/>
    <w:rsid w:val="00CA74FD"/>
    <w:rsid w:val="00CA7A3F"/>
    <w:rsid w:val="00CB034B"/>
    <w:rsid w:val="00CB0535"/>
    <w:rsid w:val="00CB09E4"/>
    <w:rsid w:val="00CB0D13"/>
    <w:rsid w:val="00CB1ED3"/>
    <w:rsid w:val="00CB2861"/>
    <w:rsid w:val="00CB4D7B"/>
    <w:rsid w:val="00CB50AE"/>
    <w:rsid w:val="00CB63FC"/>
    <w:rsid w:val="00CB71D1"/>
    <w:rsid w:val="00CB746E"/>
    <w:rsid w:val="00CB76AF"/>
    <w:rsid w:val="00CB7E88"/>
    <w:rsid w:val="00CB7F94"/>
    <w:rsid w:val="00CC028D"/>
    <w:rsid w:val="00CC1957"/>
    <w:rsid w:val="00CC2759"/>
    <w:rsid w:val="00CC29A5"/>
    <w:rsid w:val="00CC2E22"/>
    <w:rsid w:val="00CC3300"/>
    <w:rsid w:val="00CC41D2"/>
    <w:rsid w:val="00CC4F74"/>
    <w:rsid w:val="00CC50A0"/>
    <w:rsid w:val="00CC576D"/>
    <w:rsid w:val="00CC6655"/>
    <w:rsid w:val="00CC67E7"/>
    <w:rsid w:val="00CC68A3"/>
    <w:rsid w:val="00CD01BD"/>
    <w:rsid w:val="00CD08CB"/>
    <w:rsid w:val="00CD160D"/>
    <w:rsid w:val="00CD18A3"/>
    <w:rsid w:val="00CD240F"/>
    <w:rsid w:val="00CD27F5"/>
    <w:rsid w:val="00CD3056"/>
    <w:rsid w:val="00CD31CA"/>
    <w:rsid w:val="00CD3706"/>
    <w:rsid w:val="00CD3952"/>
    <w:rsid w:val="00CD395C"/>
    <w:rsid w:val="00CD584A"/>
    <w:rsid w:val="00CD5875"/>
    <w:rsid w:val="00CD6E6B"/>
    <w:rsid w:val="00CE05E7"/>
    <w:rsid w:val="00CE09B9"/>
    <w:rsid w:val="00CE0CF3"/>
    <w:rsid w:val="00CE113D"/>
    <w:rsid w:val="00CE1391"/>
    <w:rsid w:val="00CE16CB"/>
    <w:rsid w:val="00CE1F2E"/>
    <w:rsid w:val="00CE2CFA"/>
    <w:rsid w:val="00CE3816"/>
    <w:rsid w:val="00CE4CC1"/>
    <w:rsid w:val="00CE545C"/>
    <w:rsid w:val="00CE5A77"/>
    <w:rsid w:val="00CE622E"/>
    <w:rsid w:val="00CE62AD"/>
    <w:rsid w:val="00CE636F"/>
    <w:rsid w:val="00CE63F9"/>
    <w:rsid w:val="00CE6994"/>
    <w:rsid w:val="00CE6A97"/>
    <w:rsid w:val="00CE7955"/>
    <w:rsid w:val="00CF007B"/>
    <w:rsid w:val="00CF01EB"/>
    <w:rsid w:val="00CF0528"/>
    <w:rsid w:val="00CF0E8C"/>
    <w:rsid w:val="00CF0EEF"/>
    <w:rsid w:val="00CF107F"/>
    <w:rsid w:val="00CF111F"/>
    <w:rsid w:val="00CF16B1"/>
    <w:rsid w:val="00CF17F4"/>
    <w:rsid w:val="00CF2122"/>
    <w:rsid w:val="00CF226F"/>
    <w:rsid w:val="00CF251D"/>
    <w:rsid w:val="00CF253D"/>
    <w:rsid w:val="00CF255A"/>
    <w:rsid w:val="00CF3758"/>
    <w:rsid w:val="00CF3780"/>
    <w:rsid w:val="00CF3E55"/>
    <w:rsid w:val="00CF40E2"/>
    <w:rsid w:val="00CF50DF"/>
    <w:rsid w:val="00CF5424"/>
    <w:rsid w:val="00CF57A0"/>
    <w:rsid w:val="00CF607A"/>
    <w:rsid w:val="00CF70C1"/>
    <w:rsid w:val="00CF7EE1"/>
    <w:rsid w:val="00D000F5"/>
    <w:rsid w:val="00D012B0"/>
    <w:rsid w:val="00D01A18"/>
    <w:rsid w:val="00D029C9"/>
    <w:rsid w:val="00D02A7B"/>
    <w:rsid w:val="00D0324E"/>
    <w:rsid w:val="00D03ACA"/>
    <w:rsid w:val="00D03D44"/>
    <w:rsid w:val="00D052BB"/>
    <w:rsid w:val="00D054BE"/>
    <w:rsid w:val="00D05525"/>
    <w:rsid w:val="00D0583D"/>
    <w:rsid w:val="00D05BBF"/>
    <w:rsid w:val="00D06DAB"/>
    <w:rsid w:val="00D0729B"/>
    <w:rsid w:val="00D10D0B"/>
    <w:rsid w:val="00D113F5"/>
    <w:rsid w:val="00D12F2F"/>
    <w:rsid w:val="00D13322"/>
    <w:rsid w:val="00D13337"/>
    <w:rsid w:val="00D134F2"/>
    <w:rsid w:val="00D1383D"/>
    <w:rsid w:val="00D1429B"/>
    <w:rsid w:val="00D14BE8"/>
    <w:rsid w:val="00D158FB"/>
    <w:rsid w:val="00D15A4B"/>
    <w:rsid w:val="00D15C8C"/>
    <w:rsid w:val="00D16C92"/>
    <w:rsid w:val="00D16DCF"/>
    <w:rsid w:val="00D172B0"/>
    <w:rsid w:val="00D20200"/>
    <w:rsid w:val="00D20D4B"/>
    <w:rsid w:val="00D2195E"/>
    <w:rsid w:val="00D22133"/>
    <w:rsid w:val="00D2276D"/>
    <w:rsid w:val="00D2294D"/>
    <w:rsid w:val="00D2307B"/>
    <w:rsid w:val="00D23943"/>
    <w:rsid w:val="00D23DF3"/>
    <w:rsid w:val="00D24075"/>
    <w:rsid w:val="00D243AC"/>
    <w:rsid w:val="00D24C30"/>
    <w:rsid w:val="00D25E73"/>
    <w:rsid w:val="00D25F88"/>
    <w:rsid w:val="00D26474"/>
    <w:rsid w:val="00D26E92"/>
    <w:rsid w:val="00D27963"/>
    <w:rsid w:val="00D27D21"/>
    <w:rsid w:val="00D30FA3"/>
    <w:rsid w:val="00D312B0"/>
    <w:rsid w:val="00D31775"/>
    <w:rsid w:val="00D3280E"/>
    <w:rsid w:val="00D32CEB"/>
    <w:rsid w:val="00D337D5"/>
    <w:rsid w:val="00D33CB3"/>
    <w:rsid w:val="00D33D6F"/>
    <w:rsid w:val="00D3501D"/>
    <w:rsid w:val="00D35FB5"/>
    <w:rsid w:val="00D367D0"/>
    <w:rsid w:val="00D369F9"/>
    <w:rsid w:val="00D3739B"/>
    <w:rsid w:val="00D37B0B"/>
    <w:rsid w:val="00D4029B"/>
    <w:rsid w:val="00D40A40"/>
    <w:rsid w:val="00D40DAE"/>
    <w:rsid w:val="00D413E1"/>
    <w:rsid w:val="00D4184A"/>
    <w:rsid w:val="00D41C51"/>
    <w:rsid w:val="00D41E7E"/>
    <w:rsid w:val="00D41FE7"/>
    <w:rsid w:val="00D426DF"/>
    <w:rsid w:val="00D445CE"/>
    <w:rsid w:val="00D44BF7"/>
    <w:rsid w:val="00D452EB"/>
    <w:rsid w:val="00D457E9"/>
    <w:rsid w:val="00D45BF3"/>
    <w:rsid w:val="00D46A3A"/>
    <w:rsid w:val="00D46E07"/>
    <w:rsid w:val="00D47DCF"/>
    <w:rsid w:val="00D47EE6"/>
    <w:rsid w:val="00D508A4"/>
    <w:rsid w:val="00D514B2"/>
    <w:rsid w:val="00D51695"/>
    <w:rsid w:val="00D52E17"/>
    <w:rsid w:val="00D53D94"/>
    <w:rsid w:val="00D54207"/>
    <w:rsid w:val="00D54EB1"/>
    <w:rsid w:val="00D54EF2"/>
    <w:rsid w:val="00D55082"/>
    <w:rsid w:val="00D555D3"/>
    <w:rsid w:val="00D56B6F"/>
    <w:rsid w:val="00D57A95"/>
    <w:rsid w:val="00D61C5F"/>
    <w:rsid w:val="00D630DA"/>
    <w:rsid w:val="00D63FA4"/>
    <w:rsid w:val="00D64C83"/>
    <w:rsid w:val="00D64D35"/>
    <w:rsid w:val="00D65BEA"/>
    <w:rsid w:val="00D65C09"/>
    <w:rsid w:val="00D66AD7"/>
    <w:rsid w:val="00D66C60"/>
    <w:rsid w:val="00D67228"/>
    <w:rsid w:val="00D678DA"/>
    <w:rsid w:val="00D70196"/>
    <w:rsid w:val="00D72B50"/>
    <w:rsid w:val="00D732B1"/>
    <w:rsid w:val="00D736F6"/>
    <w:rsid w:val="00D736F7"/>
    <w:rsid w:val="00D747CE"/>
    <w:rsid w:val="00D756F8"/>
    <w:rsid w:val="00D75BB2"/>
    <w:rsid w:val="00D7642D"/>
    <w:rsid w:val="00D76605"/>
    <w:rsid w:val="00D80732"/>
    <w:rsid w:val="00D80843"/>
    <w:rsid w:val="00D80958"/>
    <w:rsid w:val="00D80D17"/>
    <w:rsid w:val="00D815D8"/>
    <w:rsid w:val="00D81844"/>
    <w:rsid w:val="00D82B70"/>
    <w:rsid w:val="00D83059"/>
    <w:rsid w:val="00D83DA4"/>
    <w:rsid w:val="00D83E5E"/>
    <w:rsid w:val="00D843C1"/>
    <w:rsid w:val="00D84477"/>
    <w:rsid w:val="00D85518"/>
    <w:rsid w:val="00D861F3"/>
    <w:rsid w:val="00D8636B"/>
    <w:rsid w:val="00D868D7"/>
    <w:rsid w:val="00D87628"/>
    <w:rsid w:val="00D87D41"/>
    <w:rsid w:val="00D87F56"/>
    <w:rsid w:val="00D87F8C"/>
    <w:rsid w:val="00D9078B"/>
    <w:rsid w:val="00D90FBF"/>
    <w:rsid w:val="00D915F9"/>
    <w:rsid w:val="00D91FD2"/>
    <w:rsid w:val="00D9232D"/>
    <w:rsid w:val="00D923C5"/>
    <w:rsid w:val="00D92930"/>
    <w:rsid w:val="00D92B52"/>
    <w:rsid w:val="00D933A0"/>
    <w:rsid w:val="00D9374E"/>
    <w:rsid w:val="00D93D9F"/>
    <w:rsid w:val="00D9417B"/>
    <w:rsid w:val="00D9514A"/>
    <w:rsid w:val="00D95475"/>
    <w:rsid w:val="00D95E98"/>
    <w:rsid w:val="00D97A88"/>
    <w:rsid w:val="00D97D4C"/>
    <w:rsid w:val="00D97E4B"/>
    <w:rsid w:val="00DA1C21"/>
    <w:rsid w:val="00DA3990"/>
    <w:rsid w:val="00DA3EB3"/>
    <w:rsid w:val="00DA401E"/>
    <w:rsid w:val="00DA4173"/>
    <w:rsid w:val="00DA471E"/>
    <w:rsid w:val="00DA5B7A"/>
    <w:rsid w:val="00DA6CC1"/>
    <w:rsid w:val="00DA6F8A"/>
    <w:rsid w:val="00DA6FB1"/>
    <w:rsid w:val="00DA743C"/>
    <w:rsid w:val="00DA7D52"/>
    <w:rsid w:val="00DB118D"/>
    <w:rsid w:val="00DB2C2F"/>
    <w:rsid w:val="00DB2E1F"/>
    <w:rsid w:val="00DB39E7"/>
    <w:rsid w:val="00DB3C8B"/>
    <w:rsid w:val="00DB3DED"/>
    <w:rsid w:val="00DB4339"/>
    <w:rsid w:val="00DB4403"/>
    <w:rsid w:val="00DB46F3"/>
    <w:rsid w:val="00DB4771"/>
    <w:rsid w:val="00DB5454"/>
    <w:rsid w:val="00DB5720"/>
    <w:rsid w:val="00DB6F0A"/>
    <w:rsid w:val="00DB71C8"/>
    <w:rsid w:val="00DB7BAA"/>
    <w:rsid w:val="00DB7E25"/>
    <w:rsid w:val="00DC1006"/>
    <w:rsid w:val="00DC21D5"/>
    <w:rsid w:val="00DC2537"/>
    <w:rsid w:val="00DC272A"/>
    <w:rsid w:val="00DC2E03"/>
    <w:rsid w:val="00DC2EFE"/>
    <w:rsid w:val="00DC3382"/>
    <w:rsid w:val="00DC3B55"/>
    <w:rsid w:val="00DC3EC4"/>
    <w:rsid w:val="00DC4DBA"/>
    <w:rsid w:val="00DC5010"/>
    <w:rsid w:val="00DC7432"/>
    <w:rsid w:val="00DC746B"/>
    <w:rsid w:val="00DD0AB1"/>
    <w:rsid w:val="00DD0AEC"/>
    <w:rsid w:val="00DD15C8"/>
    <w:rsid w:val="00DD4515"/>
    <w:rsid w:val="00DD567C"/>
    <w:rsid w:val="00DD579D"/>
    <w:rsid w:val="00DD5A18"/>
    <w:rsid w:val="00DD7AA5"/>
    <w:rsid w:val="00DE0067"/>
    <w:rsid w:val="00DE05FF"/>
    <w:rsid w:val="00DE063A"/>
    <w:rsid w:val="00DE06FF"/>
    <w:rsid w:val="00DE14FC"/>
    <w:rsid w:val="00DE15CE"/>
    <w:rsid w:val="00DE1C3D"/>
    <w:rsid w:val="00DE3C07"/>
    <w:rsid w:val="00DE4CC8"/>
    <w:rsid w:val="00DE659B"/>
    <w:rsid w:val="00DE7F35"/>
    <w:rsid w:val="00DF0B7A"/>
    <w:rsid w:val="00DF0E8E"/>
    <w:rsid w:val="00DF1434"/>
    <w:rsid w:val="00DF14CD"/>
    <w:rsid w:val="00DF2104"/>
    <w:rsid w:val="00DF26AE"/>
    <w:rsid w:val="00DF2DEB"/>
    <w:rsid w:val="00DF311F"/>
    <w:rsid w:val="00DF3466"/>
    <w:rsid w:val="00DF367C"/>
    <w:rsid w:val="00DF5766"/>
    <w:rsid w:val="00DF5D6B"/>
    <w:rsid w:val="00DF6228"/>
    <w:rsid w:val="00E00083"/>
    <w:rsid w:val="00E0131C"/>
    <w:rsid w:val="00E013FC"/>
    <w:rsid w:val="00E014F3"/>
    <w:rsid w:val="00E01C6E"/>
    <w:rsid w:val="00E0298E"/>
    <w:rsid w:val="00E03400"/>
    <w:rsid w:val="00E036A2"/>
    <w:rsid w:val="00E038AA"/>
    <w:rsid w:val="00E03F58"/>
    <w:rsid w:val="00E042DE"/>
    <w:rsid w:val="00E043FA"/>
    <w:rsid w:val="00E0473D"/>
    <w:rsid w:val="00E047D5"/>
    <w:rsid w:val="00E063B1"/>
    <w:rsid w:val="00E06516"/>
    <w:rsid w:val="00E067CE"/>
    <w:rsid w:val="00E06AAB"/>
    <w:rsid w:val="00E07706"/>
    <w:rsid w:val="00E07BC6"/>
    <w:rsid w:val="00E07E2D"/>
    <w:rsid w:val="00E10372"/>
    <w:rsid w:val="00E11F5D"/>
    <w:rsid w:val="00E1238A"/>
    <w:rsid w:val="00E12DBB"/>
    <w:rsid w:val="00E13A16"/>
    <w:rsid w:val="00E15826"/>
    <w:rsid w:val="00E165D6"/>
    <w:rsid w:val="00E16B76"/>
    <w:rsid w:val="00E170EA"/>
    <w:rsid w:val="00E171AC"/>
    <w:rsid w:val="00E17662"/>
    <w:rsid w:val="00E1783A"/>
    <w:rsid w:val="00E2027A"/>
    <w:rsid w:val="00E2066A"/>
    <w:rsid w:val="00E20C40"/>
    <w:rsid w:val="00E20FCA"/>
    <w:rsid w:val="00E210BF"/>
    <w:rsid w:val="00E212A6"/>
    <w:rsid w:val="00E212B3"/>
    <w:rsid w:val="00E225EB"/>
    <w:rsid w:val="00E22C07"/>
    <w:rsid w:val="00E23580"/>
    <w:rsid w:val="00E23C7B"/>
    <w:rsid w:val="00E242FE"/>
    <w:rsid w:val="00E24522"/>
    <w:rsid w:val="00E24B68"/>
    <w:rsid w:val="00E24E2A"/>
    <w:rsid w:val="00E2562C"/>
    <w:rsid w:val="00E257FB"/>
    <w:rsid w:val="00E2628D"/>
    <w:rsid w:val="00E2731D"/>
    <w:rsid w:val="00E27791"/>
    <w:rsid w:val="00E300CF"/>
    <w:rsid w:val="00E30AB5"/>
    <w:rsid w:val="00E30E36"/>
    <w:rsid w:val="00E31250"/>
    <w:rsid w:val="00E312AB"/>
    <w:rsid w:val="00E325AD"/>
    <w:rsid w:val="00E32849"/>
    <w:rsid w:val="00E33716"/>
    <w:rsid w:val="00E33BC7"/>
    <w:rsid w:val="00E33BFF"/>
    <w:rsid w:val="00E35454"/>
    <w:rsid w:val="00E35725"/>
    <w:rsid w:val="00E35C19"/>
    <w:rsid w:val="00E35C61"/>
    <w:rsid w:val="00E3782E"/>
    <w:rsid w:val="00E378EB"/>
    <w:rsid w:val="00E37F99"/>
    <w:rsid w:val="00E401F6"/>
    <w:rsid w:val="00E40445"/>
    <w:rsid w:val="00E410E7"/>
    <w:rsid w:val="00E41133"/>
    <w:rsid w:val="00E412F1"/>
    <w:rsid w:val="00E42005"/>
    <w:rsid w:val="00E426FB"/>
    <w:rsid w:val="00E42D53"/>
    <w:rsid w:val="00E432FD"/>
    <w:rsid w:val="00E43CDE"/>
    <w:rsid w:val="00E43D4F"/>
    <w:rsid w:val="00E44C0A"/>
    <w:rsid w:val="00E45267"/>
    <w:rsid w:val="00E45497"/>
    <w:rsid w:val="00E459E5"/>
    <w:rsid w:val="00E46544"/>
    <w:rsid w:val="00E473C9"/>
    <w:rsid w:val="00E47A49"/>
    <w:rsid w:val="00E52342"/>
    <w:rsid w:val="00E52BF1"/>
    <w:rsid w:val="00E54011"/>
    <w:rsid w:val="00E5480D"/>
    <w:rsid w:val="00E54DA3"/>
    <w:rsid w:val="00E54F99"/>
    <w:rsid w:val="00E54FB8"/>
    <w:rsid w:val="00E561BB"/>
    <w:rsid w:val="00E576D5"/>
    <w:rsid w:val="00E578AD"/>
    <w:rsid w:val="00E60A23"/>
    <w:rsid w:val="00E60E7B"/>
    <w:rsid w:val="00E61625"/>
    <w:rsid w:val="00E6198F"/>
    <w:rsid w:val="00E62375"/>
    <w:rsid w:val="00E62639"/>
    <w:rsid w:val="00E62BDD"/>
    <w:rsid w:val="00E63A9B"/>
    <w:rsid w:val="00E645B5"/>
    <w:rsid w:val="00E64B5A"/>
    <w:rsid w:val="00E64BDC"/>
    <w:rsid w:val="00E65D30"/>
    <w:rsid w:val="00E6650C"/>
    <w:rsid w:val="00E66844"/>
    <w:rsid w:val="00E66B28"/>
    <w:rsid w:val="00E66EE9"/>
    <w:rsid w:val="00E67946"/>
    <w:rsid w:val="00E67C58"/>
    <w:rsid w:val="00E67E67"/>
    <w:rsid w:val="00E67F6E"/>
    <w:rsid w:val="00E67F8D"/>
    <w:rsid w:val="00E705BC"/>
    <w:rsid w:val="00E708CE"/>
    <w:rsid w:val="00E70B65"/>
    <w:rsid w:val="00E716F4"/>
    <w:rsid w:val="00E71A1F"/>
    <w:rsid w:val="00E71D82"/>
    <w:rsid w:val="00E724FD"/>
    <w:rsid w:val="00E72886"/>
    <w:rsid w:val="00E729C6"/>
    <w:rsid w:val="00E73F00"/>
    <w:rsid w:val="00E7459D"/>
    <w:rsid w:val="00E748DC"/>
    <w:rsid w:val="00E753DF"/>
    <w:rsid w:val="00E763E8"/>
    <w:rsid w:val="00E768E7"/>
    <w:rsid w:val="00E76DC6"/>
    <w:rsid w:val="00E77353"/>
    <w:rsid w:val="00E776A0"/>
    <w:rsid w:val="00E801A0"/>
    <w:rsid w:val="00E8052F"/>
    <w:rsid w:val="00E8120E"/>
    <w:rsid w:val="00E81324"/>
    <w:rsid w:val="00E8135A"/>
    <w:rsid w:val="00E81929"/>
    <w:rsid w:val="00E819A6"/>
    <w:rsid w:val="00E82980"/>
    <w:rsid w:val="00E82D8D"/>
    <w:rsid w:val="00E83808"/>
    <w:rsid w:val="00E8399A"/>
    <w:rsid w:val="00E84EF6"/>
    <w:rsid w:val="00E86766"/>
    <w:rsid w:val="00E86AB6"/>
    <w:rsid w:val="00E86C55"/>
    <w:rsid w:val="00E90AFB"/>
    <w:rsid w:val="00E91349"/>
    <w:rsid w:val="00E914B5"/>
    <w:rsid w:val="00E9301F"/>
    <w:rsid w:val="00E932D0"/>
    <w:rsid w:val="00E9371E"/>
    <w:rsid w:val="00E939E3"/>
    <w:rsid w:val="00E93B15"/>
    <w:rsid w:val="00E95C66"/>
    <w:rsid w:val="00E95E1F"/>
    <w:rsid w:val="00E9608B"/>
    <w:rsid w:val="00E96B92"/>
    <w:rsid w:val="00E96C39"/>
    <w:rsid w:val="00E97133"/>
    <w:rsid w:val="00E97A08"/>
    <w:rsid w:val="00E97B24"/>
    <w:rsid w:val="00E97B55"/>
    <w:rsid w:val="00E97C73"/>
    <w:rsid w:val="00EA1522"/>
    <w:rsid w:val="00EA19F2"/>
    <w:rsid w:val="00EA2633"/>
    <w:rsid w:val="00EA2D49"/>
    <w:rsid w:val="00EA398B"/>
    <w:rsid w:val="00EA5933"/>
    <w:rsid w:val="00EA5E12"/>
    <w:rsid w:val="00EA5F6D"/>
    <w:rsid w:val="00EA6096"/>
    <w:rsid w:val="00EA6B36"/>
    <w:rsid w:val="00EA7941"/>
    <w:rsid w:val="00EB0048"/>
    <w:rsid w:val="00EB01CC"/>
    <w:rsid w:val="00EB0C88"/>
    <w:rsid w:val="00EB0F7E"/>
    <w:rsid w:val="00EB1233"/>
    <w:rsid w:val="00EB1725"/>
    <w:rsid w:val="00EB18D4"/>
    <w:rsid w:val="00EB1A28"/>
    <w:rsid w:val="00EB1CBF"/>
    <w:rsid w:val="00EB1F6A"/>
    <w:rsid w:val="00EB22B6"/>
    <w:rsid w:val="00EB2FB2"/>
    <w:rsid w:val="00EB3642"/>
    <w:rsid w:val="00EB3BE4"/>
    <w:rsid w:val="00EB3CD9"/>
    <w:rsid w:val="00EB4A41"/>
    <w:rsid w:val="00EB5F8A"/>
    <w:rsid w:val="00EB64F8"/>
    <w:rsid w:val="00EB6606"/>
    <w:rsid w:val="00EB77CC"/>
    <w:rsid w:val="00EB79AF"/>
    <w:rsid w:val="00EB7BF3"/>
    <w:rsid w:val="00EB7C53"/>
    <w:rsid w:val="00EB7E18"/>
    <w:rsid w:val="00EB7EF4"/>
    <w:rsid w:val="00EC035C"/>
    <w:rsid w:val="00EC19E3"/>
    <w:rsid w:val="00EC20D2"/>
    <w:rsid w:val="00EC26F2"/>
    <w:rsid w:val="00EC288B"/>
    <w:rsid w:val="00EC2B4A"/>
    <w:rsid w:val="00EC30C8"/>
    <w:rsid w:val="00EC3751"/>
    <w:rsid w:val="00EC4173"/>
    <w:rsid w:val="00EC4A74"/>
    <w:rsid w:val="00EC5003"/>
    <w:rsid w:val="00EC5078"/>
    <w:rsid w:val="00EC50AE"/>
    <w:rsid w:val="00EC5198"/>
    <w:rsid w:val="00EC6695"/>
    <w:rsid w:val="00EC758B"/>
    <w:rsid w:val="00EC784C"/>
    <w:rsid w:val="00ED007A"/>
    <w:rsid w:val="00ED037E"/>
    <w:rsid w:val="00ED09F8"/>
    <w:rsid w:val="00ED0A75"/>
    <w:rsid w:val="00ED101D"/>
    <w:rsid w:val="00ED114C"/>
    <w:rsid w:val="00ED2901"/>
    <w:rsid w:val="00ED2B6F"/>
    <w:rsid w:val="00ED30D8"/>
    <w:rsid w:val="00ED43EB"/>
    <w:rsid w:val="00ED52B1"/>
    <w:rsid w:val="00ED63C8"/>
    <w:rsid w:val="00ED6ED7"/>
    <w:rsid w:val="00ED7562"/>
    <w:rsid w:val="00ED76D2"/>
    <w:rsid w:val="00EE02CD"/>
    <w:rsid w:val="00EE04FC"/>
    <w:rsid w:val="00EE16F1"/>
    <w:rsid w:val="00EE1C96"/>
    <w:rsid w:val="00EE1D08"/>
    <w:rsid w:val="00EE2C75"/>
    <w:rsid w:val="00EE3327"/>
    <w:rsid w:val="00EE5C25"/>
    <w:rsid w:val="00EE75F6"/>
    <w:rsid w:val="00EE78C2"/>
    <w:rsid w:val="00EE79CE"/>
    <w:rsid w:val="00EE7B72"/>
    <w:rsid w:val="00EE7C2C"/>
    <w:rsid w:val="00EE7D36"/>
    <w:rsid w:val="00EF0438"/>
    <w:rsid w:val="00EF07F5"/>
    <w:rsid w:val="00EF0D5E"/>
    <w:rsid w:val="00EF1399"/>
    <w:rsid w:val="00EF1961"/>
    <w:rsid w:val="00EF3D5A"/>
    <w:rsid w:val="00EF46CC"/>
    <w:rsid w:val="00EF4955"/>
    <w:rsid w:val="00EF667D"/>
    <w:rsid w:val="00EF69E9"/>
    <w:rsid w:val="00EF7CC3"/>
    <w:rsid w:val="00F005C7"/>
    <w:rsid w:val="00F010BE"/>
    <w:rsid w:val="00F01153"/>
    <w:rsid w:val="00F01782"/>
    <w:rsid w:val="00F02377"/>
    <w:rsid w:val="00F031D7"/>
    <w:rsid w:val="00F034BE"/>
    <w:rsid w:val="00F0622C"/>
    <w:rsid w:val="00F06A93"/>
    <w:rsid w:val="00F06BF0"/>
    <w:rsid w:val="00F07765"/>
    <w:rsid w:val="00F10067"/>
    <w:rsid w:val="00F101F4"/>
    <w:rsid w:val="00F10643"/>
    <w:rsid w:val="00F10914"/>
    <w:rsid w:val="00F1159D"/>
    <w:rsid w:val="00F11680"/>
    <w:rsid w:val="00F11CFC"/>
    <w:rsid w:val="00F12DB6"/>
    <w:rsid w:val="00F12EFE"/>
    <w:rsid w:val="00F130B1"/>
    <w:rsid w:val="00F147E1"/>
    <w:rsid w:val="00F153B4"/>
    <w:rsid w:val="00F1583D"/>
    <w:rsid w:val="00F166A2"/>
    <w:rsid w:val="00F169A2"/>
    <w:rsid w:val="00F1760E"/>
    <w:rsid w:val="00F212DE"/>
    <w:rsid w:val="00F21E4A"/>
    <w:rsid w:val="00F2232E"/>
    <w:rsid w:val="00F2285B"/>
    <w:rsid w:val="00F2315D"/>
    <w:rsid w:val="00F2356C"/>
    <w:rsid w:val="00F23BBF"/>
    <w:rsid w:val="00F2415B"/>
    <w:rsid w:val="00F250F1"/>
    <w:rsid w:val="00F254E7"/>
    <w:rsid w:val="00F25FD1"/>
    <w:rsid w:val="00F2619F"/>
    <w:rsid w:val="00F261DB"/>
    <w:rsid w:val="00F2693C"/>
    <w:rsid w:val="00F2721E"/>
    <w:rsid w:val="00F272E8"/>
    <w:rsid w:val="00F31AA7"/>
    <w:rsid w:val="00F323BA"/>
    <w:rsid w:val="00F32A9F"/>
    <w:rsid w:val="00F32E91"/>
    <w:rsid w:val="00F32F8E"/>
    <w:rsid w:val="00F334B3"/>
    <w:rsid w:val="00F3396F"/>
    <w:rsid w:val="00F34180"/>
    <w:rsid w:val="00F3485A"/>
    <w:rsid w:val="00F35CFA"/>
    <w:rsid w:val="00F35DDE"/>
    <w:rsid w:val="00F37225"/>
    <w:rsid w:val="00F37507"/>
    <w:rsid w:val="00F375C1"/>
    <w:rsid w:val="00F377D2"/>
    <w:rsid w:val="00F40D35"/>
    <w:rsid w:val="00F40DF0"/>
    <w:rsid w:val="00F416DB"/>
    <w:rsid w:val="00F42624"/>
    <w:rsid w:val="00F4294B"/>
    <w:rsid w:val="00F42AC7"/>
    <w:rsid w:val="00F42D58"/>
    <w:rsid w:val="00F43A1D"/>
    <w:rsid w:val="00F43FDE"/>
    <w:rsid w:val="00F44464"/>
    <w:rsid w:val="00F44D7F"/>
    <w:rsid w:val="00F45366"/>
    <w:rsid w:val="00F45957"/>
    <w:rsid w:val="00F46254"/>
    <w:rsid w:val="00F463F2"/>
    <w:rsid w:val="00F46FE8"/>
    <w:rsid w:val="00F472AD"/>
    <w:rsid w:val="00F50CB8"/>
    <w:rsid w:val="00F51438"/>
    <w:rsid w:val="00F520F2"/>
    <w:rsid w:val="00F529AC"/>
    <w:rsid w:val="00F52E24"/>
    <w:rsid w:val="00F5349F"/>
    <w:rsid w:val="00F5491A"/>
    <w:rsid w:val="00F54E80"/>
    <w:rsid w:val="00F54FE5"/>
    <w:rsid w:val="00F55192"/>
    <w:rsid w:val="00F5548D"/>
    <w:rsid w:val="00F55B92"/>
    <w:rsid w:val="00F55F2B"/>
    <w:rsid w:val="00F5602F"/>
    <w:rsid w:val="00F5618F"/>
    <w:rsid w:val="00F56467"/>
    <w:rsid w:val="00F56617"/>
    <w:rsid w:val="00F567E9"/>
    <w:rsid w:val="00F573CE"/>
    <w:rsid w:val="00F57780"/>
    <w:rsid w:val="00F5795C"/>
    <w:rsid w:val="00F57DD5"/>
    <w:rsid w:val="00F600A7"/>
    <w:rsid w:val="00F60102"/>
    <w:rsid w:val="00F60737"/>
    <w:rsid w:val="00F61663"/>
    <w:rsid w:val="00F617CE"/>
    <w:rsid w:val="00F62482"/>
    <w:rsid w:val="00F62D9E"/>
    <w:rsid w:val="00F6324B"/>
    <w:rsid w:val="00F63CA9"/>
    <w:rsid w:val="00F65044"/>
    <w:rsid w:val="00F6537E"/>
    <w:rsid w:val="00F67028"/>
    <w:rsid w:val="00F670A3"/>
    <w:rsid w:val="00F724CB"/>
    <w:rsid w:val="00F74B38"/>
    <w:rsid w:val="00F75DD7"/>
    <w:rsid w:val="00F765B0"/>
    <w:rsid w:val="00F768AF"/>
    <w:rsid w:val="00F76B8D"/>
    <w:rsid w:val="00F76F9D"/>
    <w:rsid w:val="00F7716B"/>
    <w:rsid w:val="00F774D0"/>
    <w:rsid w:val="00F803A1"/>
    <w:rsid w:val="00F8059D"/>
    <w:rsid w:val="00F805D8"/>
    <w:rsid w:val="00F80EF0"/>
    <w:rsid w:val="00F81C9C"/>
    <w:rsid w:val="00F820B5"/>
    <w:rsid w:val="00F8306F"/>
    <w:rsid w:val="00F83D28"/>
    <w:rsid w:val="00F84312"/>
    <w:rsid w:val="00F849E9"/>
    <w:rsid w:val="00F85236"/>
    <w:rsid w:val="00F86D2C"/>
    <w:rsid w:val="00F87804"/>
    <w:rsid w:val="00F87B87"/>
    <w:rsid w:val="00F9134C"/>
    <w:rsid w:val="00F91BBD"/>
    <w:rsid w:val="00F91EC5"/>
    <w:rsid w:val="00F9238D"/>
    <w:rsid w:val="00F92F6D"/>
    <w:rsid w:val="00F93243"/>
    <w:rsid w:val="00F932B7"/>
    <w:rsid w:val="00F93822"/>
    <w:rsid w:val="00F93A0D"/>
    <w:rsid w:val="00F947D5"/>
    <w:rsid w:val="00F94A49"/>
    <w:rsid w:val="00F95275"/>
    <w:rsid w:val="00F9670A"/>
    <w:rsid w:val="00F96D24"/>
    <w:rsid w:val="00F96D8C"/>
    <w:rsid w:val="00F96F7F"/>
    <w:rsid w:val="00F9780A"/>
    <w:rsid w:val="00F97B01"/>
    <w:rsid w:val="00F97F77"/>
    <w:rsid w:val="00FA0600"/>
    <w:rsid w:val="00FA0DA4"/>
    <w:rsid w:val="00FA0FC8"/>
    <w:rsid w:val="00FA1D2B"/>
    <w:rsid w:val="00FA2A35"/>
    <w:rsid w:val="00FA355E"/>
    <w:rsid w:val="00FA467C"/>
    <w:rsid w:val="00FA5436"/>
    <w:rsid w:val="00FA54AB"/>
    <w:rsid w:val="00FA583E"/>
    <w:rsid w:val="00FA6818"/>
    <w:rsid w:val="00FA73E9"/>
    <w:rsid w:val="00FA77B6"/>
    <w:rsid w:val="00FB03C5"/>
    <w:rsid w:val="00FB06E5"/>
    <w:rsid w:val="00FB0BA3"/>
    <w:rsid w:val="00FB12E4"/>
    <w:rsid w:val="00FB26BE"/>
    <w:rsid w:val="00FB2FEF"/>
    <w:rsid w:val="00FB3088"/>
    <w:rsid w:val="00FB3F6E"/>
    <w:rsid w:val="00FB4447"/>
    <w:rsid w:val="00FB5493"/>
    <w:rsid w:val="00FB5DE9"/>
    <w:rsid w:val="00FB6133"/>
    <w:rsid w:val="00FB63A1"/>
    <w:rsid w:val="00FB68BA"/>
    <w:rsid w:val="00FB6F22"/>
    <w:rsid w:val="00FB78FB"/>
    <w:rsid w:val="00FB7B84"/>
    <w:rsid w:val="00FB7D8E"/>
    <w:rsid w:val="00FC04B5"/>
    <w:rsid w:val="00FC05B9"/>
    <w:rsid w:val="00FC08B8"/>
    <w:rsid w:val="00FC0F00"/>
    <w:rsid w:val="00FC0F41"/>
    <w:rsid w:val="00FC106D"/>
    <w:rsid w:val="00FC1CB0"/>
    <w:rsid w:val="00FC2F5B"/>
    <w:rsid w:val="00FC3B4A"/>
    <w:rsid w:val="00FC4273"/>
    <w:rsid w:val="00FC4889"/>
    <w:rsid w:val="00FC4F48"/>
    <w:rsid w:val="00FC5B5B"/>
    <w:rsid w:val="00FC66B5"/>
    <w:rsid w:val="00FC6842"/>
    <w:rsid w:val="00FC73B8"/>
    <w:rsid w:val="00FC7575"/>
    <w:rsid w:val="00FC7F1E"/>
    <w:rsid w:val="00FD0CE5"/>
    <w:rsid w:val="00FD0DEF"/>
    <w:rsid w:val="00FD0EC5"/>
    <w:rsid w:val="00FD270A"/>
    <w:rsid w:val="00FD37C1"/>
    <w:rsid w:val="00FD41CF"/>
    <w:rsid w:val="00FD472E"/>
    <w:rsid w:val="00FD4CE1"/>
    <w:rsid w:val="00FD5D35"/>
    <w:rsid w:val="00FD6183"/>
    <w:rsid w:val="00FE19EC"/>
    <w:rsid w:val="00FE1C43"/>
    <w:rsid w:val="00FE26F3"/>
    <w:rsid w:val="00FE2A42"/>
    <w:rsid w:val="00FE3D8C"/>
    <w:rsid w:val="00FE4054"/>
    <w:rsid w:val="00FE430E"/>
    <w:rsid w:val="00FE4642"/>
    <w:rsid w:val="00FE65BC"/>
    <w:rsid w:val="00FE6FDE"/>
    <w:rsid w:val="00FE7DC9"/>
    <w:rsid w:val="00FF0198"/>
    <w:rsid w:val="00FF0C52"/>
    <w:rsid w:val="00FF0DED"/>
    <w:rsid w:val="00FF1926"/>
    <w:rsid w:val="00FF2915"/>
    <w:rsid w:val="00FF330C"/>
    <w:rsid w:val="00FF5DBA"/>
    <w:rsid w:val="00FF6696"/>
    <w:rsid w:val="00FF7ADC"/>
    <w:rsid w:val="00FF7B2C"/>
    <w:rsid w:val="01230692"/>
    <w:rsid w:val="016247FA"/>
    <w:rsid w:val="01745EE6"/>
    <w:rsid w:val="018326A3"/>
    <w:rsid w:val="01A06A8F"/>
    <w:rsid w:val="01C6622B"/>
    <w:rsid w:val="01E07CD8"/>
    <w:rsid w:val="01EA671C"/>
    <w:rsid w:val="021673DB"/>
    <w:rsid w:val="022353B4"/>
    <w:rsid w:val="022A3557"/>
    <w:rsid w:val="024A56F5"/>
    <w:rsid w:val="026E0F2B"/>
    <w:rsid w:val="027A2F04"/>
    <w:rsid w:val="02845B9C"/>
    <w:rsid w:val="02B1196D"/>
    <w:rsid w:val="02CC60E2"/>
    <w:rsid w:val="02DD55DA"/>
    <w:rsid w:val="032A676A"/>
    <w:rsid w:val="032D7D27"/>
    <w:rsid w:val="03415224"/>
    <w:rsid w:val="03E32C2B"/>
    <w:rsid w:val="03E45FEA"/>
    <w:rsid w:val="03F375BC"/>
    <w:rsid w:val="044C3505"/>
    <w:rsid w:val="04551879"/>
    <w:rsid w:val="04704D33"/>
    <w:rsid w:val="047713FB"/>
    <w:rsid w:val="04C65B16"/>
    <w:rsid w:val="05184748"/>
    <w:rsid w:val="053A77BB"/>
    <w:rsid w:val="055B55D2"/>
    <w:rsid w:val="05DD7507"/>
    <w:rsid w:val="05FE680E"/>
    <w:rsid w:val="060824FF"/>
    <w:rsid w:val="063F11B9"/>
    <w:rsid w:val="0640772D"/>
    <w:rsid w:val="06B12657"/>
    <w:rsid w:val="070C0CAE"/>
    <w:rsid w:val="072C420B"/>
    <w:rsid w:val="07725961"/>
    <w:rsid w:val="07994F3C"/>
    <w:rsid w:val="07E04069"/>
    <w:rsid w:val="08101121"/>
    <w:rsid w:val="083945D9"/>
    <w:rsid w:val="08A14F57"/>
    <w:rsid w:val="08EE742E"/>
    <w:rsid w:val="09275B42"/>
    <w:rsid w:val="09547520"/>
    <w:rsid w:val="09697C1D"/>
    <w:rsid w:val="09CA6EA6"/>
    <w:rsid w:val="0A2B7D2A"/>
    <w:rsid w:val="0A57260B"/>
    <w:rsid w:val="0ACC1410"/>
    <w:rsid w:val="0B083D6B"/>
    <w:rsid w:val="0B141F1A"/>
    <w:rsid w:val="0B2631B4"/>
    <w:rsid w:val="0B6573F2"/>
    <w:rsid w:val="0BB958B8"/>
    <w:rsid w:val="0BC663BC"/>
    <w:rsid w:val="0BD537C3"/>
    <w:rsid w:val="0BD92474"/>
    <w:rsid w:val="0C600AAB"/>
    <w:rsid w:val="0C650670"/>
    <w:rsid w:val="0D5A60C0"/>
    <w:rsid w:val="0D9F3821"/>
    <w:rsid w:val="0DCA115E"/>
    <w:rsid w:val="0E115C8A"/>
    <w:rsid w:val="0EA30700"/>
    <w:rsid w:val="0EB31142"/>
    <w:rsid w:val="0F095504"/>
    <w:rsid w:val="0F3B2473"/>
    <w:rsid w:val="0FBA74F6"/>
    <w:rsid w:val="0FC3085C"/>
    <w:rsid w:val="0FE20946"/>
    <w:rsid w:val="10111F7C"/>
    <w:rsid w:val="1023263D"/>
    <w:rsid w:val="104F1744"/>
    <w:rsid w:val="106016F3"/>
    <w:rsid w:val="10861BA8"/>
    <w:rsid w:val="1094132B"/>
    <w:rsid w:val="10A52D12"/>
    <w:rsid w:val="10A56E7C"/>
    <w:rsid w:val="11203590"/>
    <w:rsid w:val="11332700"/>
    <w:rsid w:val="11402F73"/>
    <w:rsid w:val="11454713"/>
    <w:rsid w:val="114F5A4E"/>
    <w:rsid w:val="11612A9E"/>
    <w:rsid w:val="11807819"/>
    <w:rsid w:val="119A3B84"/>
    <w:rsid w:val="11A12C6D"/>
    <w:rsid w:val="12671F77"/>
    <w:rsid w:val="127A0FCA"/>
    <w:rsid w:val="127E4ECB"/>
    <w:rsid w:val="12BD152A"/>
    <w:rsid w:val="12EF1953"/>
    <w:rsid w:val="12F67447"/>
    <w:rsid w:val="13177D05"/>
    <w:rsid w:val="131A0221"/>
    <w:rsid w:val="1335429C"/>
    <w:rsid w:val="13540009"/>
    <w:rsid w:val="1404150D"/>
    <w:rsid w:val="141D2C0B"/>
    <w:rsid w:val="14957781"/>
    <w:rsid w:val="14B51F18"/>
    <w:rsid w:val="1593631A"/>
    <w:rsid w:val="16103820"/>
    <w:rsid w:val="161B6B1A"/>
    <w:rsid w:val="16263110"/>
    <w:rsid w:val="16B761A1"/>
    <w:rsid w:val="16E3435B"/>
    <w:rsid w:val="1711684A"/>
    <w:rsid w:val="173516EA"/>
    <w:rsid w:val="173D7D0F"/>
    <w:rsid w:val="17965F21"/>
    <w:rsid w:val="17D404BB"/>
    <w:rsid w:val="17EC4251"/>
    <w:rsid w:val="17F13463"/>
    <w:rsid w:val="187E553C"/>
    <w:rsid w:val="18E427C8"/>
    <w:rsid w:val="18E52B69"/>
    <w:rsid w:val="192223EF"/>
    <w:rsid w:val="19523A78"/>
    <w:rsid w:val="196F2052"/>
    <w:rsid w:val="197449B0"/>
    <w:rsid w:val="19AE7F28"/>
    <w:rsid w:val="19B6113F"/>
    <w:rsid w:val="19CA0989"/>
    <w:rsid w:val="19F40797"/>
    <w:rsid w:val="1A213ABD"/>
    <w:rsid w:val="1A617FFD"/>
    <w:rsid w:val="1AF71523"/>
    <w:rsid w:val="1B1A4A1C"/>
    <w:rsid w:val="1B38030C"/>
    <w:rsid w:val="1B3C1C8E"/>
    <w:rsid w:val="1B674AC7"/>
    <w:rsid w:val="1B695F6C"/>
    <w:rsid w:val="1B746B39"/>
    <w:rsid w:val="1B80541E"/>
    <w:rsid w:val="1BC50187"/>
    <w:rsid w:val="1BCA7842"/>
    <w:rsid w:val="1BE5675D"/>
    <w:rsid w:val="1C42696B"/>
    <w:rsid w:val="1C427144"/>
    <w:rsid w:val="1C4409AC"/>
    <w:rsid w:val="1C530BD0"/>
    <w:rsid w:val="1C8C20A0"/>
    <w:rsid w:val="1C8F133C"/>
    <w:rsid w:val="1CC90CBC"/>
    <w:rsid w:val="1D094F9C"/>
    <w:rsid w:val="1D0E23E7"/>
    <w:rsid w:val="1D2C6ABD"/>
    <w:rsid w:val="1D491EF1"/>
    <w:rsid w:val="1D8C2345"/>
    <w:rsid w:val="1D8D7A52"/>
    <w:rsid w:val="1DAE65F0"/>
    <w:rsid w:val="1DEF5D9F"/>
    <w:rsid w:val="1E111767"/>
    <w:rsid w:val="1E117A37"/>
    <w:rsid w:val="1E720322"/>
    <w:rsid w:val="1E8B4AEE"/>
    <w:rsid w:val="1EB142DF"/>
    <w:rsid w:val="1F035E51"/>
    <w:rsid w:val="1F656BFD"/>
    <w:rsid w:val="1F9E565E"/>
    <w:rsid w:val="1FA2333B"/>
    <w:rsid w:val="2023550C"/>
    <w:rsid w:val="203B4DB3"/>
    <w:rsid w:val="208E77B9"/>
    <w:rsid w:val="20F64BEA"/>
    <w:rsid w:val="20F75FD5"/>
    <w:rsid w:val="20FB6AEC"/>
    <w:rsid w:val="2105481C"/>
    <w:rsid w:val="21071279"/>
    <w:rsid w:val="210A2088"/>
    <w:rsid w:val="210E4642"/>
    <w:rsid w:val="213011D5"/>
    <w:rsid w:val="21B45DF5"/>
    <w:rsid w:val="21E15853"/>
    <w:rsid w:val="221211F1"/>
    <w:rsid w:val="22211C9D"/>
    <w:rsid w:val="224332AE"/>
    <w:rsid w:val="22581B32"/>
    <w:rsid w:val="22605689"/>
    <w:rsid w:val="228377FC"/>
    <w:rsid w:val="22AD589A"/>
    <w:rsid w:val="22CB794E"/>
    <w:rsid w:val="22FB72D8"/>
    <w:rsid w:val="23245B22"/>
    <w:rsid w:val="23314333"/>
    <w:rsid w:val="23360FD0"/>
    <w:rsid w:val="23C2673F"/>
    <w:rsid w:val="23CC6C6C"/>
    <w:rsid w:val="24105B34"/>
    <w:rsid w:val="24777F0B"/>
    <w:rsid w:val="24975E97"/>
    <w:rsid w:val="24D17B32"/>
    <w:rsid w:val="24FD13D3"/>
    <w:rsid w:val="253C2765"/>
    <w:rsid w:val="256652B4"/>
    <w:rsid w:val="256D377B"/>
    <w:rsid w:val="256F5ACC"/>
    <w:rsid w:val="2581184D"/>
    <w:rsid w:val="259557B7"/>
    <w:rsid w:val="25965F7C"/>
    <w:rsid w:val="25A517EF"/>
    <w:rsid w:val="25AE084C"/>
    <w:rsid w:val="26713644"/>
    <w:rsid w:val="2674362D"/>
    <w:rsid w:val="268B78D5"/>
    <w:rsid w:val="268F20C6"/>
    <w:rsid w:val="26C72B6F"/>
    <w:rsid w:val="26DA605D"/>
    <w:rsid w:val="26EC6985"/>
    <w:rsid w:val="273A63A3"/>
    <w:rsid w:val="2749444C"/>
    <w:rsid w:val="27F05A64"/>
    <w:rsid w:val="28197154"/>
    <w:rsid w:val="285033EA"/>
    <w:rsid w:val="28B65382"/>
    <w:rsid w:val="28DE02D2"/>
    <w:rsid w:val="28F84B93"/>
    <w:rsid w:val="29077D29"/>
    <w:rsid w:val="2918419C"/>
    <w:rsid w:val="294616FD"/>
    <w:rsid w:val="299576DF"/>
    <w:rsid w:val="29AB330F"/>
    <w:rsid w:val="29AC5FBF"/>
    <w:rsid w:val="29F8157A"/>
    <w:rsid w:val="29F8601B"/>
    <w:rsid w:val="2A1E335D"/>
    <w:rsid w:val="2A524FDF"/>
    <w:rsid w:val="2A753158"/>
    <w:rsid w:val="2A965B0A"/>
    <w:rsid w:val="2AAC37FB"/>
    <w:rsid w:val="2ADB2BD5"/>
    <w:rsid w:val="2BA519D8"/>
    <w:rsid w:val="2BE710A1"/>
    <w:rsid w:val="2C250B14"/>
    <w:rsid w:val="2C3B5405"/>
    <w:rsid w:val="2C4B2FA5"/>
    <w:rsid w:val="2C59031C"/>
    <w:rsid w:val="2C5907E9"/>
    <w:rsid w:val="2C650E64"/>
    <w:rsid w:val="2C6579B8"/>
    <w:rsid w:val="2CC825FC"/>
    <w:rsid w:val="2CD56F5D"/>
    <w:rsid w:val="2CF00EAC"/>
    <w:rsid w:val="2DAC19F5"/>
    <w:rsid w:val="2DE03CE6"/>
    <w:rsid w:val="2E0470F3"/>
    <w:rsid w:val="2E0D253C"/>
    <w:rsid w:val="2E486DD2"/>
    <w:rsid w:val="2E57306B"/>
    <w:rsid w:val="2F0F2DE8"/>
    <w:rsid w:val="2F1B7500"/>
    <w:rsid w:val="2F4C544D"/>
    <w:rsid w:val="2F677FF8"/>
    <w:rsid w:val="2F7067E6"/>
    <w:rsid w:val="2F757199"/>
    <w:rsid w:val="2F885A73"/>
    <w:rsid w:val="2F8922A1"/>
    <w:rsid w:val="2FDF791C"/>
    <w:rsid w:val="2FE34720"/>
    <w:rsid w:val="2FE9521D"/>
    <w:rsid w:val="2FEA60CD"/>
    <w:rsid w:val="30341FA2"/>
    <w:rsid w:val="303E25B2"/>
    <w:rsid w:val="307E7C38"/>
    <w:rsid w:val="30964951"/>
    <w:rsid w:val="3106378E"/>
    <w:rsid w:val="311D7312"/>
    <w:rsid w:val="312E2219"/>
    <w:rsid w:val="319650DD"/>
    <w:rsid w:val="31EF1640"/>
    <w:rsid w:val="3210146A"/>
    <w:rsid w:val="321C5403"/>
    <w:rsid w:val="321F5EE6"/>
    <w:rsid w:val="3234700A"/>
    <w:rsid w:val="32E22E40"/>
    <w:rsid w:val="33280090"/>
    <w:rsid w:val="334249CD"/>
    <w:rsid w:val="33982369"/>
    <w:rsid w:val="33A201DA"/>
    <w:rsid w:val="33A32A64"/>
    <w:rsid w:val="33D1015A"/>
    <w:rsid w:val="33D25DFC"/>
    <w:rsid w:val="342B3CB6"/>
    <w:rsid w:val="346B5F4A"/>
    <w:rsid w:val="346D28AC"/>
    <w:rsid w:val="34986757"/>
    <w:rsid w:val="34AE6BFF"/>
    <w:rsid w:val="34C834CB"/>
    <w:rsid w:val="34DF211F"/>
    <w:rsid w:val="35154E98"/>
    <w:rsid w:val="35186016"/>
    <w:rsid w:val="35245E9E"/>
    <w:rsid w:val="35B01E4A"/>
    <w:rsid w:val="361E2AC3"/>
    <w:rsid w:val="36496066"/>
    <w:rsid w:val="36624F0F"/>
    <w:rsid w:val="36C2714B"/>
    <w:rsid w:val="36EA2872"/>
    <w:rsid w:val="37021DBA"/>
    <w:rsid w:val="37905BEB"/>
    <w:rsid w:val="37B55A13"/>
    <w:rsid w:val="37D44F73"/>
    <w:rsid w:val="38556DEE"/>
    <w:rsid w:val="388E70B3"/>
    <w:rsid w:val="38CF612C"/>
    <w:rsid w:val="38E5008F"/>
    <w:rsid w:val="3A1E23A4"/>
    <w:rsid w:val="3A2D21AE"/>
    <w:rsid w:val="3A41153E"/>
    <w:rsid w:val="3A476958"/>
    <w:rsid w:val="3A5E004A"/>
    <w:rsid w:val="3A6409FF"/>
    <w:rsid w:val="3A9D283C"/>
    <w:rsid w:val="3AA24F6A"/>
    <w:rsid w:val="3AED0349"/>
    <w:rsid w:val="3B027B15"/>
    <w:rsid w:val="3B146EA0"/>
    <w:rsid w:val="3B1C7208"/>
    <w:rsid w:val="3B26064F"/>
    <w:rsid w:val="3BB47D76"/>
    <w:rsid w:val="3BCA3D2B"/>
    <w:rsid w:val="3BDD3D31"/>
    <w:rsid w:val="3C0C24D0"/>
    <w:rsid w:val="3C2329DE"/>
    <w:rsid w:val="3C387C13"/>
    <w:rsid w:val="3C3C148C"/>
    <w:rsid w:val="3C566D4D"/>
    <w:rsid w:val="3CF51FB8"/>
    <w:rsid w:val="3D1F45F0"/>
    <w:rsid w:val="3D676C4F"/>
    <w:rsid w:val="3D6D42D8"/>
    <w:rsid w:val="3D82706F"/>
    <w:rsid w:val="3D9764AF"/>
    <w:rsid w:val="3DCD5673"/>
    <w:rsid w:val="3DDC6D05"/>
    <w:rsid w:val="3DEB3817"/>
    <w:rsid w:val="3E01510C"/>
    <w:rsid w:val="3E6E6B8D"/>
    <w:rsid w:val="3E83228D"/>
    <w:rsid w:val="3ECD1262"/>
    <w:rsid w:val="3F216D3E"/>
    <w:rsid w:val="3F69603F"/>
    <w:rsid w:val="3FD95300"/>
    <w:rsid w:val="3FE8458F"/>
    <w:rsid w:val="3FE93DFA"/>
    <w:rsid w:val="406A7E41"/>
    <w:rsid w:val="407767B1"/>
    <w:rsid w:val="408B22E1"/>
    <w:rsid w:val="40DC1DD0"/>
    <w:rsid w:val="40EB305C"/>
    <w:rsid w:val="40FA2DBD"/>
    <w:rsid w:val="4137798B"/>
    <w:rsid w:val="413C07FF"/>
    <w:rsid w:val="414423C4"/>
    <w:rsid w:val="41755597"/>
    <w:rsid w:val="418878EA"/>
    <w:rsid w:val="41A30C6B"/>
    <w:rsid w:val="41BF5814"/>
    <w:rsid w:val="42247208"/>
    <w:rsid w:val="425B616B"/>
    <w:rsid w:val="42815EC9"/>
    <w:rsid w:val="42B34FB0"/>
    <w:rsid w:val="42F47F65"/>
    <w:rsid w:val="43256988"/>
    <w:rsid w:val="432746AE"/>
    <w:rsid w:val="433444B4"/>
    <w:rsid w:val="433E181F"/>
    <w:rsid w:val="434F194C"/>
    <w:rsid w:val="437D5F38"/>
    <w:rsid w:val="43A55A5C"/>
    <w:rsid w:val="43F63A9A"/>
    <w:rsid w:val="440D168C"/>
    <w:rsid w:val="441A5719"/>
    <w:rsid w:val="44454911"/>
    <w:rsid w:val="444570D7"/>
    <w:rsid w:val="446615E5"/>
    <w:rsid w:val="44687A88"/>
    <w:rsid w:val="44693328"/>
    <w:rsid w:val="44B741BA"/>
    <w:rsid w:val="44FD00B0"/>
    <w:rsid w:val="451106FD"/>
    <w:rsid w:val="454F554E"/>
    <w:rsid w:val="45966907"/>
    <w:rsid w:val="459906E4"/>
    <w:rsid w:val="45A76D4B"/>
    <w:rsid w:val="45BA501A"/>
    <w:rsid w:val="45F22775"/>
    <w:rsid w:val="462D281F"/>
    <w:rsid w:val="46386346"/>
    <w:rsid w:val="46857774"/>
    <w:rsid w:val="46C45A77"/>
    <w:rsid w:val="46D001A4"/>
    <w:rsid w:val="46E20A9A"/>
    <w:rsid w:val="473258A5"/>
    <w:rsid w:val="47993A99"/>
    <w:rsid w:val="47A130F5"/>
    <w:rsid w:val="47A42777"/>
    <w:rsid w:val="47AA6410"/>
    <w:rsid w:val="47E8192D"/>
    <w:rsid w:val="47F05DD2"/>
    <w:rsid w:val="47FA1031"/>
    <w:rsid w:val="481E0C0D"/>
    <w:rsid w:val="48403B96"/>
    <w:rsid w:val="48556134"/>
    <w:rsid w:val="485754EA"/>
    <w:rsid w:val="487C3FC9"/>
    <w:rsid w:val="487F367A"/>
    <w:rsid w:val="48BB4C17"/>
    <w:rsid w:val="48DD7E3B"/>
    <w:rsid w:val="492C319F"/>
    <w:rsid w:val="49542613"/>
    <w:rsid w:val="496F4763"/>
    <w:rsid w:val="49963007"/>
    <w:rsid w:val="49B10DCB"/>
    <w:rsid w:val="49F112D9"/>
    <w:rsid w:val="4A993945"/>
    <w:rsid w:val="4A9F0E3C"/>
    <w:rsid w:val="4AE43E3C"/>
    <w:rsid w:val="4B2D7D1E"/>
    <w:rsid w:val="4B323E0F"/>
    <w:rsid w:val="4B3F63AB"/>
    <w:rsid w:val="4B64236F"/>
    <w:rsid w:val="4B977869"/>
    <w:rsid w:val="4BA86EA2"/>
    <w:rsid w:val="4BB369F5"/>
    <w:rsid w:val="4BC87E09"/>
    <w:rsid w:val="4BED7415"/>
    <w:rsid w:val="4C28492A"/>
    <w:rsid w:val="4C56200A"/>
    <w:rsid w:val="4C703CC2"/>
    <w:rsid w:val="4C8D360A"/>
    <w:rsid w:val="4CA14229"/>
    <w:rsid w:val="4CC35913"/>
    <w:rsid w:val="4CD16286"/>
    <w:rsid w:val="4CEA78A8"/>
    <w:rsid w:val="4D0C3224"/>
    <w:rsid w:val="4D10391E"/>
    <w:rsid w:val="4D221CD7"/>
    <w:rsid w:val="4D6C41D0"/>
    <w:rsid w:val="4D6F32C7"/>
    <w:rsid w:val="4D8656DA"/>
    <w:rsid w:val="4DA21F45"/>
    <w:rsid w:val="4DA40E96"/>
    <w:rsid w:val="4DAF0F0C"/>
    <w:rsid w:val="4DDC7AE7"/>
    <w:rsid w:val="4DED05FC"/>
    <w:rsid w:val="4DF36CCF"/>
    <w:rsid w:val="4E1A38B1"/>
    <w:rsid w:val="4E3852C6"/>
    <w:rsid w:val="4EBC7A0C"/>
    <w:rsid w:val="4F236AC7"/>
    <w:rsid w:val="4F2D6FE8"/>
    <w:rsid w:val="4F5370C0"/>
    <w:rsid w:val="4F5438DD"/>
    <w:rsid w:val="4F581010"/>
    <w:rsid w:val="4F5B3392"/>
    <w:rsid w:val="4F726AC9"/>
    <w:rsid w:val="50045AC3"/>
    <w:rsid w:val="50244C57"/>
    <w:rsid w:val="50AB3096"/>
    <w:rsid w:val="50AD2C9D"/>
    <w:rsid w:val="50F02B8B"/>
    <w:rsid w:val="51324FD6"/>
    <w:rsid w:val="517717CD"/>
    <w:rsid w:val="52030F03"/>
    <w:rsid w:val="52091678"/>
    <w:rsid w:val="52101236"/>
    <w:rsid w:val="5212572E"/>
    <w:rsid w:val="521469DC"/>
    <w:rsid w:val="522C74B0"/>
    <w:rsid w:val="527B7A70"/>
    <w:rsid w:val="528662F8"/>
    <w:rsid w:val="52FA6F7C"/>
    <w:rsid w:val="53130BF7"/>
    <w:rsid w:val="531B1423"/>
    <w:rsid w:val="5322600D"/>
    <w:rsid w:val="533E1D0F"/>
    <w:rsid w:val="534479FE"/>
    <w:rsid w:val="5363180D"/>
    <w:rsid w:val="53B35F17"/>
    <w:rsid w:val="540D783D"/>
    <w:rsid w:val="541B65F4"/>
    <w:rsid w:val="549D73AB"/>
    <w:rsid w:val="54A02E19"/>
    <w:rsid w:val="54A414C7"/>
    <w:rsid w:val="54A746AA"/>
    <w:rsid w:val="54D0545F"/>
    <w:rsid w:val="55291121"/>
    <w:rsid w:val="5552691D"/>
    <w:rsid w:val="55566A4B"/>
    <w:rsid w:val="55A44BCF"/>
    <w:rsid w:val="55A60A43"/>
    <w:rsid w:val="55E23B6E"/>
    <w:rsid w:val="55E8379E"/>
    <w:rsid w:val="55F33C73"/>
    <w:rsid w:val="55FC278C"/>
    <w:rsid w:val="56011DF0"/>
    <w:rsid w:val="56180A5E"/>
    <w:rsid w:val="565A7DAB"/>
    <w:rsid w:val="56704542"/>
    <w:rsid w:val="56815466"/>
    <w:rsid w:val="56E6151A"/>
    <w:rsid w:val="575F25C1"/>
    <w:rsid w:val="57A03881"/>
    <w:rsid w:val="57B66DF8"/>
    <w:rsid w:val="57E2605D"/>
    <w:rsid w:val="57FD1792"/>
    <w:rsid w:val="583B339B"/>
    <w:rsid w:val="58415193"/>
    <w:rsid w:val="58481CE4"/>
    <w:rsid w:val="585711D8"/>
    <w:rsid w:val="5898636D"/>
    <w:rsid w:val="58B73B3C"/>
    <w:rsid w:val="58BA34DE"/>
    <w:rsid w:val="58BC5859"/>
    <w:rsid w:val="58C953BB"/>
    <w:rsid w:val="5926651D"/>
    <w:rsid w:val="593D497F"/>
    <w:rsid w:val="59830BF8"/>
    <w:rsid w:val="59D5057A"/>
    <w:rsid w:val="5A024091"/>
    <w:rsid w:val="5A8A6DE2"/>
    <w:rsid w:val="5AFC5479"/>
    <w:rsid w:val="5B3A4EE7"/>
    <w:rsid w:val="5B40336D"/>
    <w:rsid w:val="5B4E4486"/>
    <w:rsid w:val="5B6634E0"/>
    <w:rsid w:val="5B8C5D73"/>
    <w:rsid w:val="5B9F1E05"/>
    <w:rsid w:val="5BEE65FC"/>
    <w:rsid w:val="5BF255C4"/>
    <w:rsid w:val="5BFA36D3"/>
    <w:rsid w:val="5BFD58A1"/>
    <w:rsid w:val="5C084732"/>
    <w:rsid w:val="5C0F5926"/>
    <w:rsid w:val="5C125816"/>
    <w:rsid w:val="5C13465C"/>
    <w:rsid w:val="5C1C6FE9"/>
    <w:rsid w:val="5C2115FE"/>
    <w:rsid w:val="5C566B5C"/>
    <w:rsid w:val="5CE16196"/>
    <w:rsid w:val="5D720F98"/>
    <w:rsid w:val="5DCE0AA9"/>
    <w:rsid w:val="5DD07523"/>
    <w:rsid w:val="5DDA0FE2"/>
    <w:rsid w:val="5DE73D28"/>
    <w:rsid w:val="5E22648B"/>
    <w:rsid w:val="5E527C50"/>
    <w:rsid w:val="5E7E616D"/>
    <w:rsid w:val="5EC155FD"/>
    <w:rsid w:val="5EC703E6"/>
    <w:rsid w:val="5ECB0068"/>
    <w:rsid w:val="5EDB4F20"/>
    <w:rsid w:val="5F284E40"/>
    <w:rsid w:val="5F5641FA"/>
    <w:rsid w:val="5F6B7E2D"/>
    <w:rsid w:val="5F754BEE"/>
    <w:rsid w:val="5F89287F"/>
    <w:rsid w:val="602148BA"/>
    <w:rsid w:val="606317CC"/>
    <w:rsid w:val="607625F6"/>
    <w:rsid w:val="60A832D2"/>
    <w:rsid w:val="60EA14E8"/>
    <w:rsid w:val="61145E0F"/>
    <w:rsid w:val="61624FEF"/>
    <w:rsid w:val="61997B21"/>
    <w:rsid w:val="61BB2F63"/>
    <w:rsid w:val="61E25761"/>
    <w:rsid w:val="62030D09"/>
    <w:rsid w:val="622D4EEC"/>
    <w:rsid w:val="623D546B"/>
    <w:rsid w:val="626271F8"/>
    <w:rsid w:val="626B7569"/>
    <w:rsid w:val="62746729"/>
    <w:rsid w:val="629275AC"/>
    <w:rsid w:val="62B46A9A"/>
    <w:rsid w:val="62B603BE"/>
    <w:rsid w:val="62B836E7"/>
    <w:rsid w:val="62CD3163"/>
    <w:rsid w:val="62F55F13"/>
    <w:rsid w:val="636E3A96"/>
    <w:rsid w:val="63951267"/>
    <w:rsid w:val="63BE1A11"/>
    <w:rsid w:val="63F07EB7"/>
    <w:rsid w:val="64224B50"/>
    <w:rsid w:val="642E62DB"/>
    <w:rsid w:val="646F4906"/>
    <w:rsid w:val="64EF1EE4"/>
    <w:rsid w:val="654A3F98"/>
    <w:rsid w:val="655167DB"/>
    <w:rsid w:val="65611DD3"/>
    <w:rsid w:val="658F1C8B"/>
    <w:rsid w:val="659A53D5"/>
    <w:rsid w:val="661C031E"/>
    <w:rsid w:val="665D1497"/>
    <w:rsid w:val="66EC609B"/>
    <w:rsid w:val="67054BC5"/>
    <w:rsid w:val="67072FFE"/>
    <w:rsid w:val="671477D7"/>
    <w:rsid w:val="672958C3"/>
    <w:rsid w:val="673E73ED"/>
    <w:rsid w:val="674928AC"/>
    <w:rsid w:val="67A61BEB"/>
    <w:rsid w:val="67DF2416"/>
    <w:rsid w:val="67F61CED"/>
    <w:rsid w:val="683449CB"/>
    <w:rsid w:val="68445234"/>
    <w:rsid w:val="6887014C"/>
    <w:rsid w:val="68874674"/>
    <w:rsid w:val="688A62C1"/>
    <w:rsid w:val="68A7765D"/>
    <w:rsid w:val="68B61ACB"/>
    <w:rsid w:val="68D61FD5"/>
    <w:rsid w:val="690F3D82"/>
    <w:rsid w:val="694834FE"/>
    <w:rsid w:val="695745BC"/>
    <w:rsid w:val="69AB4CF2"/>
    <w:rsid w:val="69C94CCC"/>
    <w:rsid w:val="69D96939"/>
    <w:rsid w:val="69F53BBD"/>
    <w:rsid w:val="69F86402"/>
    <w:rsid w:val="6A006DA2"/>
    <w:rsid w:val="6A476AE4"/>
    <w:rsid w:val="6A517BC2"/>
    <w:rsid w:val="6A65224D"/>
    <w:rsid w:val="6AD03CA4"/>
    <w:rsid w:val="6B015F03"/>
    <w:rsid w:val="6B730D8D"/>
    <w:rsid w:val="6B7A5E67"/>
    <w:rsid w:val="6BC45011"/>
    <w:rsid w:val="6C4F0A89"/>
    <w:rsid w:val="6C9735EF"/>
    <w:rsid w:val="6C9B33DD"/>
    <w:rsid w:val="6CC1445E"/>
    <w:rsid w:val="6CFB6AE7"/>
    <w:rsid w:val="6D324D4E"/>
    <w:rsid w:val="6D3C62EF"/>
    <w:rsid w:val="6D3E020C"/>
    <w:rsid w:val="6D5B7C22"/>
    <w:rsid w:val="6D6D47E3"/>
    <w:rsid w:val="6D7F34AE"/>
    <w:rsid w:val="6D96073B"/>
    <w:rsid w:val="6D9F6F97"/>
    <w:rsid w:val="6DD803C3"/>
    <w:rsid w:val="6E2A03E1"/>
    <w:rsid w:val="6E3217E2"/>
    <w:rsid w:val="6E46523A"/>
    <w:rsid w:val="6E4E02CB"/>
    <w:rsid w:val="6F0F37DA"/>
    <w:rsid w:val="6F345DED"/>
    <w:rsid w:val="6F4A4CF9"/>
    <w:rsid w:val="6F4E6D96"/>
    <w:rsid w:val="6F647671"/>
    <w:rsid w:val="6F713328"/>
    <w:rsid w:val="6FD553A6"/>
    <w:rsid w:val="702173D8"/>
    <w:rsid w:val="705F6AE0"/>
    <w:rsid w:val="70C31947"/>
    <w:rsid w:val="70DA5CBA"/>
    <w:rsid w:val="71B04CB7"/>
    <w:rsid w:val="71E6401D"/>
    <w:rsid w:val="71EC6C57"/>
    <w:rsid w:val="720A1AEC"/>
    <w:rsid w:val="72377A68"/>
    <w:rsid w:val="724F6160"/>
    <w:rsid w:val="72AA2522"/>
    <w:rsid w:val="72C23555"/>
    <w:rsid w:val="72D0311E"/>
    <w:rsid w:val="72E15C27"/>
    <w:rsid w:val="733C4706"/>
    <w:rsid w:val="733D3771"/>
    <w:rsid w:val="73470CFE"/>
    <w:rsid w:val="73D3670A"/>
    <w:rsid w:val="73EC4408"/>
    <w:rsid w:val="74006B47"/>
    <w:rsid w:val="741E7F6E"/>
    <w:rsid w:val="744C66E2"/>
    <w:rsid w:val="74613231"/>
    <w:rsid w:val="74C81B3F"/>
    <w:rsid w:val="74DB1B9D"/>
    <w:rsid w:val="74EC3944"/>
    <w:rsid w:val="75076AED"/>
    <w:rsid w:val="752D39CB"/>
    <w:rsid w:val="75701CEC"/>
    <w:rsid w:val="759B20C5"/>
    <w:rsid w:val="75C62F7B"/>
    <w:rsid w:val="75E504E1"/>
    <w:rsid w:val="76565CF8"/>
    <w:rsid w:val="765D6AD9"/>
    <w:rsid w:val="7674673D"/>
    <w:rsid w:val="768C18A5"/>
    <w:rsid w:val="76E84CD0"/>
    <w:rsid w:val="771C2B72"/>
    <w:rsid w:val="773D399C"/>
    <w:rsid w:val="776E2CBE"/>
    <w:rsid w:val="778B4C48"/>
    <w:rsid w:val="77AE64E8"/>
    <w:rsid w:val="77B072BC"/>
    <w:rsid w:val="77F80F61"/>
    <w:rsid w:val="78031D58"/>
    <w:rsid w:val="78207259"/>
    <w:rsid w:val="7832110C"/>
    <w:rsid w:val="78546EFA"/>
    <w:rsid w:val="78627FD0"/>
    <w:rsid w:val="78E32DDE"/>
    <w:rsid w:val="78EF05F9"/>
    <w:rsid w:val="792A77D2"/>
    <w:rsid w:val="793F27C8"/>
    <w:rsid w:val="79645141"/>
    <w:rsid w:val="79661EFB"/>
    <w:rsid w:val="796A7017"/>
    <w:rsid w:val="796C2017"/>
    <w:rsid w:val="797125E2"/>
    <w:rsid w:val="799D2830"/>
    <w:rsid w:val="79A37060"/>
    <w:rsid w:val="79DF25E2"/>
    <w:rsid w:val="7A1F2819"/>
    <w:rsid w:val="7A591AD6"/>
    <w:rsid w:val="7A5E1396"/>
    <w:rsid w:val="7AEB20F3"/>
    <w:rsid w:val="7B097CF6"/>
    <w:rsid w:val="7B1D7B50"/>
    <w:rsid w:val="7B2A639A"/>
    <w:rsid w:val="7B8D25BC"/>
    <w:rsid w:val="7BBF0C53"/>
    <w:rsid w:val="7C344213"/>
    <w:rsid w:val="7C6712B6"/>
    <w:rsid w:val="7C754C18"/>
    <w:rsid w:val="7CC806D1"/>
    <w:rsid w:val="7CCE4DE2"/>
    <w:rsid w:val="7CFA0158"/>
    <w:rsid w:val="7CFF1633"/>
    <w:rsid w:val="7D1F2AE3"/>
    <w:rsid w:val="7D2E4F75"/>
    <w:rsid w:val="7D322D1E"/>
    <w:rsid w:val="7D362C5F"/>
    <w:rsid w:val="7D4C467F"/>
    <w:rsid w:val="7DE63809"/>
    <w:rsid w:val="7E723B52"/>
    <w:rsid w:val="7E782E0A"/>
    <w:rsid w:val="7EBB7B93"/>
    <w:rsid w:val="7ED40090"/>
    <w:rsid w:val="7EE80CA9"/>
    <w:rsid w:val="7F3B0A52"/>
    <w:rsid w:val="7F6E5B8D"/>
    <w:rsid w:val="7FE51643"/>
    <w:rsid w:val="7FFF1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99" w:semiHidden="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64"/>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765"/>
    <w:qFormat/>
    <w:uiPriority w:val="0"/>
    <w:pPr>
      <w:keepNext/>
      <w:adjustRightInd w:val="0"/>
      <w:spacing w:before="120" w:line="360" w:lineRule="auto"/>
      <w:jc w:val="center"/>
      <w:outlineLvl w:val="1"/>
    </w:pPr>
    <w:rPr>
      <w:rFonts w:eastAsia="隶书"/>
      <w:b/>
      <w:kern w:val="0"/>
      <w:sz w:val="44"/>
      <w:szCs w:val="20"/>
    </w:rPr>
  </w:style>
  <w:style w:type="paragraph" w:styleId="5">
    <w:name w:val="heading 3"/>
    <w:basedOn w:val="1"/>
    <w:next w:val="1"/>
    <w:link w:val="766"/>
    <w:qFormat/>
    <w:uiPriority w:val="0"/>
    <w:pPr>
      <w:keepNext/>
      <w:keepLines/>
      <w:spacing w:before="260" w:after="260" w:line="416" w:lineRule="auto"/>
      <w:outlineLvl w:val="2"/>
    </w:pPr>
    <w:rPr>
      <w:b/>
      <w:bCs/>
      <w:sz w:val="32"/>
      <w:szCs w:val="32"/>
    </w:rPr>
  </w:style>
  <w:style w:type="paragraph" w:styleId="6">
    <w:name w:val="heading 4"/>
    <w:basedOn w:val="1"/>
    <w:next w:val="1"/>
    <w:link w:val="767"/>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8"/>
    <w:link w:val="768"/>
    <w:qFormat/>
    <w:uiPriority w:val="0"/>
    <w:pPr>
      <w:keepNext/>
      <w:keepLines/>
      <w:numPr>
        <w:ilvl w:val="4"/>
        <w:numId w:val="1"/>
      </w:numPr>
      <w:spacing w:before="280" w:after="290" w:line="376" w:lineRule="auto"/>
      <w:outlineLvl w:val="4"/>
    </w:pPr>
    <w:rPr>
      <w:b/>
      <w:sz w:val="28"/>
    </w:rPr>
  </w:style>
  <w:style w:type="paragraph" w:styleId="9">
    <w:name w:val="heading 6"/>
    <w:basedOn w:val="1"/>
    <w:next w:val="8"/>
    <w:link w:val="769"/>
    <w:qFormat/>
    <w:uiPriority w:val="0"/>
    <w:pPr>
      <w:keepNext/>
      <w:keepLines/>
      <w:numPr>
        <w:ilvl w:val="5"/>
        <w:numId w:val="1"/>
      </w:numPr>
      <w:spacing w:before="240" w:after="64" w:line="320" w:lineRule="auto"/>
      <w:outlineLvl w:val="5"/>
    </w:pPr>
    <w:rPr>
      <w:rFonts w:ascii="Arial" w:hAnsi="Arial" w:eastAsia="黑体"/>
      <w:b/>
      <w:sz w:val="24"/>
    </w:rPr>
  </w:style>
  <w:style w:type="paragraph" w:styleId="10">
    <w:name w:val="heading 7"/>
    <w:basedOn w:val="1"/>
    <w:next w:val="8"/>
    <w:link w:val="88"/>
    <w:qFormat/>
    <w:uiPriority w:val="0"/>
    <w:pPr>
      <w:keepNext/>
      <w:keepLines/>
      <w:numPr>
        <w:ilvl w:val="6"/>
        <w:numId w:val="1"/>
      </w:numPr>
      <w:spacing w:before="240" w:after="64" w:line="320" w:lineRule="auto"/>
      <w:outlineLvl w:val="6"/>
    </w:pPr>
    <w:rPr>
      <w:b/>
      <w:sz w:val="24"/>
    </w:rPr>
  </w:style>
  <w:style w:type="paragraph" w:styleId="11">
    <w:name w:val="heading 8"/>
    <w:basedOn w:val="1"/>
    <w:next w:val="8"/>
    <w:link w:val="135"/>
    <w:qFormat/>
    <w:uiPriority w:val="0"/>
    <w:pPr>
      <w:keepNext/>
      <w:keepLines/>
      <w:numPr>
        <w:ilvl w:val="7"/>
        <w:numId w:val="1"/>
      </w:numPr>
      <w:spacing w:before="240" w:after="64" w:line="320" w:lineRule="auto"/>
      <w:outlineLvl w:val="7"/>
    </w:pPr>
    <w:rPr>
      <w:rFonts w:ascii="Arial" w:hAnsi="Arial" w:eastAsia="黑体"/>
      <w:sz w:val="24"/>
    </w:rPr>
  </w:style>
  <w:style w:type="paragraph" w:styleId="12">
    <w:name w:val="heading 9"/>
    <w:basedOn w:val="1"/>
    <w:next w:val="8"/>
    <w:link w:val="64"/>
    <w:qFormat/>
    <w:uiPriority w:val="0"/>
    <w:pPr>
      <w:keepNext/>
      <w:keepLines/>
      <w:numPr>
        <w:ilvl w:val="8"/>
        <w:numId w:val="1"/>
      </w:numPr>
      <w:spacing w:before="240" w:after="64" w:line="320" w:lineRule="auto"/>
      <w:outlineLvl w:val="8"/>
    </w:pPr>
    <w:rPr>
      <w:rFonts w:ascii="Arial" w:hAnsi="Arial" w:eastAsia="黑体"/>
    </w:rPr>
  </w:style>
  <w:style w:type="character" w:default="1" w:styleId="51">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styleId="2">
    <w:name w:val="macro"/>
    <w:link w:val="93"/>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8">
    <w:name w:val="Normal Indent"/>
    <w:basedOn w:val="1"/>
    <w:link w:val="87"/>
    <w:qFormat/>
    <w:uiPriority w:val="0"/>
    <w:pPr>
      <w:spacing w:line="240" w:lineRule="atLeast"/>
      <w:ind w:left="900" w:hanging="900"/>
      <w:jc w:val="left"/>
    </w:pPr>
    <w:rPr>
      <w:rFonts w:ascii="宋体"/>
      <w:snapToGrid w:val="0"/>
      <w:kern w:val="0"/>
      <w:sz w:val="20"/>
      <w:szCs w:val="20"/>
    </w:rPr>
  </w:style>
  <w:style w:type="paragraph" w:styleId="13">
    <w:name w:val="toc 7"/>
    <w:basedOn w:val="1"/>
    <w:next w:val="1"/>
    <w:qFormat/>
    <w:uiPriority w:val="39"/>
    <w:pPr>
      <w:ind w:left="1260"/>
      <w:jc w:val="left"/>
    </w:pPr>
    <w:rPr>
      <w:rFonts w:ascii="Calibri" w:hAnsi="Calibri"/>
      <w:sz w:val="18"/>
      <w:szCs w:val="18"/>
    </w:rPr>
  </w:style>
  <w:style w:type="paragraph" w:styleId="14">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5">
    <w:name w:val="caption"/>
    <w:basedOn w:val="1"/>
    <w:next w:val="1"/>
    <w:link w:val="65"/>
    <w:qFormat/>
    <w:uiPriority w:val="0"/>
    <w:pPr>
      <w:spacing w:before="152" w:after="160"/>
    </w:pPr>
    <w:rPr>
      <w:rFonts w:ascii="Arial" w:hAnsi="Arial" w:eastAsia="黑体"/>
      <w:sz w:val="20"/>
      <w:szCs w:val="20"/>
    </w:rPr>
  </w:style>
  <w:style w:type="paragraph" w:styleId="16">
    <w:name w:val="Document Map"/>
    <w:basedOn w:val="1"/>
    <w:link w:val="131"/>
    <w:qFormat/>
    <w:uiPriority w:val="0"/>
    <w:pPr>
      <w:shd w:val="clear" w:color="auto" w:fill="000080"/>
    </w:pPr>
  </w:style>
  <w:style w:type="paragraph" w:styleId="17">
    <w:name w:val="annotation text"/>
    <w:basedOn w:val="1"/>
    <w:link w:val="104"/>
    <w:unhideWhenUsed/>
    <w:qFormat/>
    <w:uiPriority w:val="99"/>
    <w:pPr>
      <w:jc w:val="left"/>
    </w:pPr>
  </w:style>
  <w:style w:type="paragraph" w:styleId="18">
    <w:name w:val="Body Text 3"/>
    <w:basedOn w:val="1"/>
    <w:link w:val="85"/>
    <w:qFormat/>
    <w:uiPriority w:val="0"/>
    <w:pPr>
      <w:spacing w:line="500" w:lineRule="exact"/>
    </w:pPr>
    <w:rPr>
      <w:b/>
      <w:bCs/>
      <w:kern w:val="0"/>
      <w:sz w:val="24"/>
    </w:rPr>
  </w:style>
  <w:style w:type="paragraph" w:styleId="19">
    <w:name w:val="Body Text"/>
    <w:basedOn w:val="1"/>
    <w:link w:val="121"/>
    <w:qFormat/>
    <w:uiPriority w:val="0"/>
    <w:pPr>
      <w:spacing w:line="420" w:lineRule="exact"/>
    </w:pPr>
    <w:rPr>
      <w:sz w:val="24"/>
    </w:rPr>
  </w:style>
  <w:style w:type="paragraph" w:styleId="20">
    <w:name w:val="Body Text Indent"/>
    <w:basedOn w:val="1"/>
    <w:link w:val="71"/>
    <w:qFormat/>
    <w:uiPriority w:val="0"/>
    <w:pPr>
      <w:spacing w:after="120"/>
      <w:ind w:left="420" w:leftChars="200"/>
    </w:pPr>
  </w:style>
  <w:style w:type="paragraph" w:styleId="21">
    <w:name w:val="List Number 3"/>
    <w:basedOn w:val="1"/>
    <w:qFormat/>
    <w:uiPriority w:val="0"/>
    <w:pPr>
      <w:tabs>
        <w:tab w:val="left" w:pos="1200"/>
      </w:tabs>
      <w:ind w:left="900" w:hanging="420"/>
    </w:pPr>
  </w:style>
  <w:style w:type="paragraph" w:styleId="22">
    <w:name w:val="List 2"/>
    <w:basedOn w:val="1"/>
    <w:qFormat/>
    <w:uiPriority w:val="0"/>
    <w:pPr>
      <w:ind w:left="100" w:leftChars="200" w:hanging="200" w:hangingChars="200"/>
    </w:pPr>
    <w:rPr>
      <w:sz w:val="28"/>
    </w:rPr>
  </w:style>
  <w:style w:type="paragraph" w:styleId="23">
    <w:name w:val="Block Text"/>
    <w:basedOn w:val="1"/>
    <w:qFormat/>
    <w:uiPriority w:val="0"/>
    <w:pPr>
      <w:adjustRightInd w:val="0"/>
      <w:ind w:left="420" w:right="33"/>
      <w:jc w:val="left"/>
      <w:textAlignment w:val="baseline"/>
    </w:pPr>
    <w:rPr>
      <w:kern w:val="0"/>
      <w:sz w:val="24"/>
      <w:szCs w:val="20"/>
    </w:rPr>
  </w:style>
  <w:style w:type="paragraph" w:styleId="24">
    <w:name w:val="toc 5"/>
    <w:basedOn w:val="1"/>
    <w:next w:val="1"/>
    <w:qFormat/>
    <w:uiPriority w:val="39"/>
    <w:pPr>
      <w:ind w:left="840"/>
      <w:jc w:val="left"/>
    </w:pPr>
    <w:rPr>
      <w:rFonts w:ascii="Calibri" w:hAnsi="Calibri"/>
      <w:sz w:val="18"/>
      <w:szCs w:val="18"/>
    </w:rPr>
  </w:style>
  <w:style w:type="paragraph" w:styleId="25">
    <w:name w:val="toc 3"/>
    <w:basedOn w:val="1"/>
    <w:next w:val="1"/>
    <w:qFormat/>
    <w:uiPriority w:val="39"/>
    <w:pPr>
      <w:ind w:left="420"/>
      <w:jc w:val="left"/>
    </w:pPr>
    <w:rPr>
      <w:rFonts w:ascii="Calibri" w:hAnsi="Calibri"/>
      <w:i/>
      <w:iCs/>
      <w:sz w:val="20"/>
      <w:szCs w:val="20"/>
    </w:rPr>
  </w:style>
  <w:style w:type="paragraph" w:styleId="26">
    <w:name w:val="Plain Text"/>
    <w:basedOn w:val="1"/>
    <w:link w:val="132"/>
    <w:qFormat/>
    <w:uiPriority w:val="0"/>
    <w:rPr>
      <w:rFonts w:ascii="宋体" w:hAnsi="Courier New" w:cs="Courier New"/>
      <w:szCs w:val="21"/>
    </w:rPr>
  </w:style>
  <w:style w:type="paragraph" w:styleId="27">
    <w:name w:val="toc 8"/>
    <w:basedOn w:val="1"/>
    <w:next w:val="1"/>
    <w:qFormat/>
    <w:uiPriority w:val="39"/>
    <w:pPr>
      <w:ind w:left="1470"/>
      <w:jc w:val="left"/>
    </w:pPr>
    <w:rPr>
      <w:rFonts w:ascii="Calibri" w:hAnsi="Calibri"/>
      <w:sz w:val="18"/>
      <w:szCs w:val="18"/>
    </w:rPr>
  </w:style>
  <w:style w:type="paragraph" w:styleId="28">
    <w:name w:val="Date"/>
    <w:basedOn w:val="1"/>
    <w:next w:val="1"/>
    <w:link w:val="95"/>
    <w:qFormat/>
    <w:uiPriority w:val="0"/>
    <w:pPr>
      <w:ind w:left="100" w:leftChars="2500"/>
    </w:pPr>
    <w:rPr>
      <w:sz w:val="24"/>
    </w:rPr>
  </w:style>
  <w:style w:type="paragraph" w:styleId="29">
    <w:name w:val="Body Text Indent 2"/>
    <w:basedOn w:val="1"/>
    <w:link w:val="141"/>
    <w:qFormat/>
    <w:uiPriority w:val="0"/>
    <w:pPr>
      <w:spacing w:after="120" w:line="480" w:lineRule="auto"/>
      <w:ind w:left="420" w:leftChars="200"/>
    </w:pPr>
  </w:style>
  <w:style w:type="paragraph" w:styleId="30">
    <w:name w:val="Balloon Text"/>
    <w:basedOn w:val="1"/>
    <w:link w:val="142"/>
    <w:qFormat/>
    <w:uiPriority w:val="0"/>
    <w:rPr>
      <w:sz w:val="18"/>
      <w:szCs w:val="18"/>
    </w:rPr>
  </w:style>
  <w:style w:type="paragraph" w:styleId="31">
    <w:name w:val="footer"/>
    <w:basedOn w:val="1"/>
    <w:link w:val="134"/>
    <w:qFormat/>
    <w:uiPriority w:val="99"/>
    <w:pPr>
      <w:tabs>
        <w:tab w:val="center" w:pos="4153"/>
        <w:tab w:val="right" w:pos="8306"/>
      </w:tabs>
      <w:snapToGrid w:val="0"/>
      <w:jc w:val="left"/>
    </w:pPr>
    <w:rPr>
      <w:sz w:val="18"/>
      <w:szCs w:val="18"/>
    </w:rPr>
  </w:style>
  <w:style w:type="paragraph" w:styleId="32">
    <w:name w:val="header"/>
    <w:basedOn w:val="1"/>
    <w:link w:val="128"/>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spacing w:before="120" w:after="120"/>
      <w:jc w:val="left"/>
    </w:pPr>
    <w:rPr>
      <w:rFonts w:ascii="Calibri" w:hAnsi="Calibri"/>
      <w:b/>
      <w:bCs/>
      <w:caps/>
      <w:sz w:val="20"/>
      <w:szCs w:val="20"/>
    </w:rPr>
  </w:style>
  <w:style w:type="paragraph" w:styleId="34">
    <w:name w:val="toc 4"/>
    <w:basedOn w:val="1"/>
    <w:next w:val="1"/>
    <w:qFormat/>
    <w:uiPriority w:val="39"/>
    <w:pPr>
      <w:ind w:left="630"/>
      <w:jc w:val="left"/>
    </w:pPr>
    <w:rPr>
      <w:rFonts w:ascii="Calibri" w:hAnsi="Calibri"/>
      <w:sz w:val="18"/>
      <w:szCs w:val="18"/>
    </w:rPr>
  </w:style>
  <w:style w:type="paragraph" w:styleId="35">
    <w:name w:val="List"/>
    <w:basedOn w:val="1"/>
    <w:qFormat/>
    <w:uiPriority w:val="0"/>
    <w:pPr>
      <w:ind w:left="200" w:hanging="200" w:hangingChars="200"/>
    </w:pPr>
    <w:rPr>
      <w:sz w:val="28"/>
    </w:rPr>
  </w:style>
  <w:style w:type="paragraph" w:styleId="36">
    <w:name w:val="toc 6"/>
    <w:basedOn w:val="1"/>
    <w:next w:val="1"/>
    <w:qFormat/>
    <w:uiPriority w:val="39"/>
    <w:pPr>
      <w:ind w:left="1050"/>
      <w:jc w:val="left"/>
    </w:pPr>
    <w:rPr>
      <w:rFonts w:ascii="Calibri" w:hAnsi="Calibri"/>
      <w:sz w:val="18"/>
      <w:szCs w:val="18"/>
    </w:rPr>
  </w:style>
  <w:style w:type="paragraph" w:styleId="37">
    <w:name w:val="List 5"/>
    <w:basedOn w:val="1"/>
    <w:qFormat/>
    <w:uiPriority w:val="0"/>
    <w:pPr>
      <w:ind w:left="2100" w:hanging="420"/>
    </w:pPr>
    <w:rPr>
      <w:szCs w:val="20"/>
    </w:rPr>
  </w:style>
  <w:style w:type="paragraph" w:styleId="38">
    <w:name w:val="Body Text Indent 3"/>
    <w:basedOn w:val="1"/>
    <w:link w:val="102"/>
    <w:qFormat/>
    <w:uiPriority w:val="0"/>
    <w:pPr>
      <w:spacing w:after="120"/>
      <w:ind w:left="420" w:leftChars="200"/>
    </w:pPr>
    <w:rPr>
      <w:sz w:val="16"/>
      <w:szCs w:val="16"/>
    </w:rPr>
  </w:style>
  <w:style w:type="paragraph" w:styleId="39">
    <w:name w:val="toc 2"/>
    <w:basedOn w:val="1"/>
    <w:next w:val="1"/>
    <w:qFormat/>
    <w:uiPriority w:val="39"/>
    <w:pPr>
      <w:ind w:left="210"/>
      <w:jc w:val="left"/>
    </w:pPr>
    <w:rPr>
      <w:rFonts w:ascii="Calibri" w:hAnsi="Calibri"/>
      <w:smallCaps/>
      <w:sz w:val="20"/>
      <w:szCs w:val="20"/>
    </w:rPr>
  </w:style>
  <w:style w:type="paragraph" w:styleId="40">
    <w:name w:val="toc 9"/>
    <w:basedOn w:val="1"/>
    <w:next w:val="1"/>
    <w:qFormat/>
    <w:uiPriority w:val="0"/>
    <w:pPr>
      <w:ind w:left="1680"/>
      <w:jc w:val="left"/>
    </w:pPr>
    <w:rPr>
      <w:rFonts w:ascii="Calibri" w:hAnsi="Calibri"/>
      <w:sz w:val="18"/>
      <w:szCs w:val="18"/>
    </w:rPr>
  </w:style>
  <w:style w:type="paragraph" w:styleId="41">
    <w:name w:val="Body Text 2"/>
    <w:basedOn w:val="1"/>
    <w:link w:val="158"/>
    <w:qFormat/>
    <w:uiPriority w:val="0"/>
    <w:pPr>
      <w:spacing w:after="120" w:line="480" w:lineRule="auto"/>
    </w:pPr>
    <w:rPr>
      <w:kern w:val="0"/>
      <w:sz w:val="20"/>
    </w:rPr>
  </w:style>
  <w:style w:type="paragraph" w:styleId="42">
    <w:name w:val="HTML Preformatted"/>
    <w:basedOn w:val="1"/>
    <w:link w:val="113"/>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4">
    <w:name w:val="index 1"/>
    <w:basedOn w:val="1"/>
    <w:next w:val="1"/>
    <w:qFormat/>
    <w:uiPriority w:val="0"/>
    <w:pPr>
      <w:spacing w:line="360" w:lineRule="auto"/>
    </w:pPr>
    <w:rPr>
      <w:rFonts w:ascii="宋体" w:hAnsi="宋体"/>
      <w:bCs/>
      <w:szCs w:val="21"/>
    </w:rPr>
  </w:style>
  <w:style w:type="paragraph" w:styleId="45">
    <w:name w:val="Title"/>
    <w:basedOn w:val="1"/>
    <w:next w:val="1"/>
    <w:qFormat/>
    <w:uiPriority w:val="0"/>
    <w:pPr>
      <w:jc w:val="center"/>
    </w:pPr>
    <w:rPr>
      <w:rFonts w:ascii="宋体"/>
      <w:b/>
      <w:snapToGrid w:val="0"/>
      <w:kern w:val="0"/>
      <w:sz w:val="36"/>
      <w:szCs w:val="20"/>
    </w:rPr>
  </w:style>
  <w:style w:type="paragraph" w:styleId="46">
    <w:name w:val="annotation subject"/>
    <w:basedOn w:val="17"/>
    <w:next w:val="17"/>
    <w:link w:val="123"/>
    <w:unhideWhenUsed/>
    <w:qFormat/>
    <w:uiPriority w:val="0"/>
    <w:rPr>
      <w:b/>
      <w:bCs/>
    </w:rPr>
  </w:style>
  <w:style w:type="paragraph" w:styleId="47">
    <w:name w:val="Body Text First Indent"/>
    <w:basedOn w:val="19"/>
    <w:qFormat/>
    <w:uiPriority w:val="99"/>
    <w:pPr>
      <w:spacing w:line="400" w:lineRule="atLeast"/>
      <w:ind w:firstLine="426"/>
    </w:pPr>
    <w:rPr>
      <w:szCs w:val="20"/>
    </w:rPr>
  </w:style>
  <w:style w:type="paragraph" w:styleId="48">
    <w:name w:val="Body Text First Indent 2"/>
    <w:basedOn w:val="20"/>
    <w:link w:val="234"/>
    <w:semiHidden/>
    <w:unhideWhenUsed/>
    <w:qFormat/>
    <w:uiPriority w:val="0"/>
    <w:pPr>
      <w:ind w:firstLine="420" w:firstLineChars="200"/>
    </w:pPr>
  </w:style>
  <w:style w:type="table" w:styleId="50">
    <w:name w:val="Table Grid"/>
    <w:basedOn w:val="4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2">
    <w:name w:val="Strong"/>
    <w:qFormat/>
    <w:uiPriority w:val="0"/>
    <w:rPr>
      <w:b/>
      <w:bCs/>
    </w:rPr>
  </w:style>
  <w:style w:type="character" w:styleId="53">
    <w:name w:val="page number"/>
    <w:basedOn w:val="51"/>
    <w:qFormat/>
    <w:uiPriority w:val="0"/>
  </w:style>
  <w:style w:type="character" w:styleId="54">
    <w:name w:val="FollowedHyperlink"/>
    <w:qFormat/>
    <w:uiPriority w:val="99"/>
    <w:rPr>
      <w:color w:val="800080"/>
      <w:u w:val="single"/>
    </w:rPr>
  </w:style>
  <w:style w:type="character" w:styleId="55">
    <w:name w:val="Emphasis"/>
    <w:qFormat/>
    <w:uiPriority w:val="0"/>
    <w:rPr>
      <w:color w:val="CC0000"/>
    </w:rPr>
  </w:style>
  <w:style w:type="character" w:styleId="56">
    <w:name w:val="Hyperlink"/>
    <w:basedOn w:val="51"/>
    <w:qFormat/>
    <w:uiPriority w:val="99"/>
    <w:rPr>
      <w:color w:val="0000FF"/>
      <w:u w:val="single"/>
    </w:rPr>
  </w:style>
  <w:style w:type="character" w:styleId="57">
    <w:name w:val="annotation reference"/>
    <w:unhideWhenUsed/>
    <w:qFormat/>
    <w:uiPriority w:val="0"/>
    <w:rPr>
      <w:sz w:val="21"/>
      <w:szCs w:val="21"/>
    </w:rPr>
  </w:style>
  <w:style w:type="character" w:customStyle="1" w:styleId="58">
    <w:name w:val="font51"/>
    <w:qFormat/>
    <w:uiPriority w:val="0"/>
    <w:rPr>
      <w:rFonts w:hint="eastAsia" w:ascii="宋体" w:hAnsi="宋体" w:eastAsia="宋体" w:cs="宋体"/>
      <w:color w:val="000000"/>
      <w:sz w:val="20"/>
      <w:szCs w:val="20"/>
      <w:u w:val="none"/>
    </w:rPr>
  </w:style>
  <w:style w:type="character" w:customStyle="1" w:styleId="59">
    <w:name w:val="正文文本缩进 2 Char2"/>
    <w:semiHidden/>
    <w:qFormat/>
    <w:uiPriority w:val="99"/>
    <w:rPr>
      <w:kern w:val="2"/>
      <w:sz w:val="21"/>
      <w:szCs w:val="24"/>
    </w:rPr>
  </w:style>
  <w:style w:type="character" w:customStyle="1" w:styleId="60">
    <w:name w:val="宏文本 Char1"/>
    <w:qFormat/>
    <w:uiPriority w:val="99"/>
    <w:rPr>
      <w:rFonts w:ascii="Courier New" w:hAnsi="Courier New" w:cs="Courier New"/>
      <w:kern w:val="2"/>
      <w:sz w:val="24"/>
      <w:szCs w:val="24"/>
    </w:rPr>
  </w:style>
  <w:style w:type="character" w:customStyle="1" w:styleId="61">
    <w:name w:val="正文文本缩进 2 Char1"/>
    <w:semiHidden/>
    <w:qFormat/>
    <w:uiPriority w:val="99"/>
    <w:rPr>
      <w:rFonts w:ascii="Times New Roman" w:hAnsi="Times New Roman" w:eastAsia="宋体" w:cs="Times New Roman"/>
      <w:szCs w:val="24"/>
    </w:rPr>
  </w:style>
  <w:style w:type="character" w:customStyle="1" w:styleId="62">
    <w:name w:val="样式2"/>
    <w:qFormat/>
    <w:uiPriority w:val="0"/>
    <w:rPr>
      <w:rFonts w:ascii="宋体" w:hAnsi="宋体"/>
      <w:b/>
      <w:szCs w:val="21"/>
    </w:rPr>
  </w:style>
  <w:style w:type="character" w:customStyle="1" w:styleId="63">
    <w:name w:val="apple-converted-space"/>
    <w:basedOn w:val="51"/>
    <w:qFormat/>
    <w:uiPriority w:val="0"/>
  </w:style>
  <w:style w:type="character" w:customStyle="1" w:styleId="64">
    <w:name w:val="标题 9 字符"/>
    <w:link w:val="12"/>
    <w:qFormat/>
    <w:uiPriority w:val="0"/>
    <w:rPr>
      <w:rFonts w:ascii="Arial" w:hAnsi="Arial" w:eastAsia="黑体"/>
      <w:kern w:val="2"/>
      <w:sz w:val="21"/>
      <w:szCs w:val="24"/>
    </w:rPr>
  </w:style>
  <w:style w:type="character" w:customStyle="1" w:styleId="65">
    <w:name w:val="题注 字符"/>
    <w:link w:val="15"/>
    <w:qFormat/>
    <w:uiPriority w:val="0"/>
    <w:rPr>
      <w:rFonts w:ascii="Arial" w:hAnsi="Arial" w:eastAsia="黑体" w:cs="Arial"/>
      <w:kern w:val="2"/>
    </w:rPr>
  </w:style>
  <w:style w:type="character" w:customStyle="1" w:styleId="66">
    <w:name w:val="标题 5 字符"/>
    <w:link w:val="7"/>
    <w:qFormat/>
    <w:uiPriority w:val="0"/>
    <w:rPr>
      <w:b/>
      <w:kern w:val="2"/>
      <w:sz w:val="28"/>
      <w:szCs w:val="24"/>
    </w:rPr>
  </w:style>
  <w:style w:type="character" w:customStyle="1" w:styleId="67">
    <w:name w:val="正文文本 3 Char1"/>
    <w:qFormat/>
    <w:uiPriority w:val="99"/>
    <w:rPr>
      <w:kern w:val="2"/>
      <w:sz w:val="16"/>
      <w:szCs w:val="16"/>
    </w:rPr>
  </w:style>
  <w:style w:type="character" w:customStyle="1" w:styleId="68">
    <w:name w:val="标题 3 字符"/>
    <w:link w:val="5"/>
    <w:qFormat/>
    <w:uiPriority w:val="0"/>
    <w:rPr>
      <w:b/>
      <w:bCs/>
      <w:kern w:val="2"/>
      <w:sz w:val="32"/>
      <w:szCs w:val="32"/>
    </w:rPr>
  </w:style>
  <w:style w:type="character" w:customStyle="1" w:styleId="69">
    <w:name w:val="样式1"/>
    <w:qFormat/>
    <w:uiPriority w:val="0"/>
    <w:rPr>
      <w:rFonts w:ascii="宋体" w:hAnsi="宋体"/>
      <w:szCs w:val="21"/>
    </w:rPr>
  </w:style>
  <w:style w:type="character" w:customStyle="1" w:styleId="70">
    <w:name w:val="标题 2 字符"/>
    <w:link w:val="4"/>
    <w:qFormat/>
    <w:uiPriority w:val="0"/>
    <w:rPr>
      <w:rFonts w:eastAsia="隶书"/>
      <w:b/>
      <w:sz w:val="44"/>
    </w:rPr>
  </w:style>
  <w:style w:type="character" w:customStyle="1" w:styleId="71">
    <w:name w:val="正文文本缩进 字符"/>
    <w:link w:val="20"/>
    <w:qFormat/>
    <w:uiPriority w:val="0"/>
    <w:rPr>
      <w:kern w:val="2"/>
      <w:sz w:val="21"/>
      <w:szCs w:val="24"/>
    </w:rPr>
  </w:style>
  <w:style w:type="character" w:customStyle="1" w:styleId="72">
    <w:name w:val="页脚 Char2"/>
    <w:semiHidden/>
    <w:qFormat/>
    <w:uiPriority w:val="99"/>
    <w:rPr>
      <w:kern w:val="2"/>
      <w:sz w:val="18"/>
      <w:szCs w:val="18"/>
    </w:rPr>
  </w:style>
  <w:style w:type="character" w:customStyle="1" w:styleId="73">
    <w:name w:val="列表段落 字符"/>
    <w:link w:val="74"/>
    <w:qFormat/>
    <w:locked/>
    <w:uiPriority w:val="34"/>
    <w:rPr>
      <w:rFonts w:ascii="Calibri" w:hAnsi="Calibri"/>
      <w:kern w:val="2"/>
      <w:sz w:val="21"/>
      <w:szCs w:val="22"/>
    </w:rPr>
  </w:style>
  <w:style w:type="paragraph" w:styleId="74">
    <w:name w:val="List Paragraph"/>
    <w:basedOn w:val="1"/>
    <w:link w:val="73"/>
    <w:qFormat/>
    <w:uiPriority w:val="34"/>
    <w:pPr>
      <w:ind w:firstLine="420" w:firstLineChars="200"/>
    </w:pPr>
    <w:rPr>
      <w:rFonts w:ascii="Calibri" w:hAnsi="Calibri"/>
      <w:szCs w:val="22"/>
    </w:rPr>
  </w:style>
  <w:style w:type="character" w:customStyle="1" w:styleId="75">
    <w:name w:val="gray"/>
    <w:qFormat/>
    <w:uiPriority w:val="0"/>
    <w:rPr>
      <w:rFonts w:ascii="Tahoma" w:hAnsi="Tahoma" w:eastAsia="宋体"/>
      <w:kern w:val="2"/>
      <w:sz w:val="24"/>
      <w:szCs w:val="24"/>
      <w:lang w:val="en-US" w:eastAsia="zh-CN" w:bidi="ar-SA"/>
    </w:rPr>
  </w:style>
  <w:style w:type="character" w:customStyle="1" w:styleId="76">
    <w:name w:val="HTML 预设格式 Char1"/>
    <w:qFormat/>
    <w:uiPriority w:val="99"/>
    <w:rPr>
      <w:rFonts w:ascii="Courier New" w:hAnsi="Courier New" w:cs="Courier New"/>
      <w:kern w:val="2"/>
    </w:rPr>
  </w:style>
  <w:style w:type="character" w:customStyle="1" w:styleId="77">
    <w:name w:val="mark"/>
    <w:basedOn w:val="51"/>
    <w:qFormat/>
    <w:uiPriority w:val="0"/>
  </w:style>
  <w:style w:type="character" w:customStyle="1" w:styleId="78">
    <w:name w:val="A15"/>
    <w:qFormat/>
    <w:uiPriority w:val="0"/>
    <w:rPr>
      <w:rFonts w:ascii="Times New Roman" w:hAnsi="Times New Roman"/>
      <w:color w:val="000000"/>
      <w:sz w:val="14"/>
      <w:szCs w:val="14"/>
    </w:rPr>
  </w:style>
  <w:style w:type="character" w:customStyle="1" w:styleId="79">
    <w:name w:val="日期 Char1"/>
    <w:semiHidden/>
    <w:qFormat/>
    <w:uiPriority w:val="99"/>
    <w:rPr>
      <w:rFonts w:ascii="Times New Roman" w:hAnsi="Times New Roman" w:eastAsia="宋体" w:cs="Times New Roman"/>
      <w:szCs w:val="24"/>
    </w:rPr>
  </w:style>
  <w:style w:type="character" w:customStyle="1" w:styleId="80">
    <w:name w:val="引用 字符"/>
    <w:link w:val="81"/>
    <w:qFormat/>
    <w:uiPriority w:val="29"/>
    <w:rPr>
      <w:i/>
      <w:iCs/>
      <w:color w:val="404040"/>
      <w:kern w:val="2"/>
      <w:sz w:val="21"/>
      <w:szCs w:val="24"/>
    </w:rPr>
  </w:style>
  <w:style w:type="paragraph" w:styleId="81">
    <w:name w:val="Quote"/>
    <w:basedOn w:val="1"/>
    <w:next w:val="1"/>
    <w:link w:val="80"/>
    <w:qFormat/>
    <w:uiPriority w:val="29"/>
    <w:pPr>
      <w:spacing w:before="200" w:after="160"/>
      <w:ind w:left="864" w:right="864"/>
      <w:jc w:val="center"/>
    </w:pPr>
    <w:rPr>
      <w:i/>
      <w:iCs/>
      <w:color w:val="404040"/>
    </w:rPr>
  </w:style>
  <w:style w:type="character" w:customStyle="1" w:styleId="82">
    <w:name w:val="超链接2"/>
    <w:qFormat/>
    <w:uiPriority w:val="0"/>
    <w:rPr>
      <w:rFonts w:hint="eastAsia" w:ascii="宋体" w:hAnsi="宋体" w:eastAsia="宋体"/>
      <w:color w:val="FFFFFF"/>
      <w:sz w:val="18"/>
      <w:szCs w:val="18"/>
      <w:u w:val="none"/>
    </w:rPr>
  </w:style>
  <w:style w:type="character" w:customStyle="1" w:styleId="83">
    <w:name w:val="ca-2"/>
    <w:basedOn w:val="51"/>
    <w:qFormat/>
    <w:uiPriority w:val="0"/>
  </w:style>
  <w:style w:type="character" w:customStyle="1" w:styleId="84">
    <w:name w:val="页脚 Char1"/>
    <w:semiHidden/>
    <w:qFormat/>
    <w:uiPriority w:val="99"/>
    <w:rPr>
      <w:rFonts w:ascii="Times New Roman" w:hAnsi="Times New Roman" w:eastAsia="宋体" w:cs="Times New Roman"/>
      <w:sz w:val="18"/>
      <w:szCs w:val="18"/>
    </w:rPr>
  </w:style>
  <w:style w:type="character" w:customStyle="1" w:styleId="85">
    <w:name w:val="正文文本 3 字符"/>
    <w:link w:val="18"/>
    <w:qFormat/>
    <w:uiPriority w:val="0"/>
    <w:rPr>
      <w:b/>
      <w:bCs/>
      <w:sz w:val="24"/>
      <w:szCs w:val="24"/>
    </w:rPr>
  </w:style>
  <w:style w:type="character" w:customStyle="1" w:styleId="86">
    <w:name w:val="引用 Char1"/>
    <w:qFormat/>
    <w:uiPriority w:val="99"/>
    <w:rPr>
      <w:rFonts w:ascii="Times New Roman" w:hAnsi="Times New Roman"/>
      <w:i/>
      <w:iCs/>
      <w:color w:val="000000"/>
      <w:kern w:val="2"/>
      <w:sz w:val="21"/>
      <w:szCs w:val="24"/>
    </w:rPr>
  </w:style>
  <w:style w:type="character" w:customStyle="1" w:styleId="87">
    <w:name w:val="正文缩进 字符"/>
    <w:link w:val="8"/>
    <w:qFormat/>
    <w:uiPriority w:val="0"/>
    <w:rPr>
      <w:rFonts w:ascii="宋体"/>
      <w:snapToGrid w:val="0"/>
    </w:rPr>
  </w:style>
  <w:style w:type="character" w:customStyle="1" w:styleId="88">
    <w:name w:val="标题 7 字符"/>
    <w:link w:val="10"/>
    <w:qFormat/>
    <w:uiPriority w:val="0"/>
    <w:rPr>
      <w:b/>
      <w:kern w:val="2"/>
      <w:sz w:val="24"/>
      <w:szCs w:val="24"/>
    </w:rPr>
  </w:style>
  <w:style w:type="character" w:customStyle="1" w:styleId="89">
    <w:name w:val="style21"/>
    <w:qFormat/>
    <w:uiPriority w:val="0"/>
    <w:rPr>
      <w:sz w:val="22"/>
      <w:szCs w:val="22"/>
    </w:rPr>
  </w:style>
  <w:style w:type="character" w:customStyle="1" w:styleId="90">
    <w:name w:val="A4"/>
    <w:qFormat/>
    <w:uiPriority w:val="0"/>
    <w:rPr>
      <w:rFonts w:ascii="新宋体" w:eastAsia="新宋体" w:cs="新宋体"/>
      <w:color w:val="000000"/>
      <w:lang w:bidi="ar-SA"/>
    </w:rPr>
  </w:style>
  <w:style w:type="character" w:customStyle="1" w:styleId="91">
    <w:name w:val="纯文本 字符1"/>
    <w:qFormat/>
    <w:uiPriority w:val="0"/>
    <w:rPr>
      <w:rFonts w:ascii="宋体" w:hAnsi="Courier New" w:eastAsia="宋体" w:cs="Courier New"/>
      <w:szCs w:val="21"/>
    </w:rPr>
  </w:style>
  <w:style w:type="character" w:customStyle="1" w:styleId="92">
    <w:name w:val="Subtle Emphasis"/>
    <w:qFormat/>
    <w:uiPriority w:val="19"/>
    <w:rPr>
      <w:i/>
      <w:iCs/>
      <w:color w:val="808080"/>
    </w:rPr>
  </w:style>
  <w:style w:type="character" w:customStyle="1" w:styleId="93">
    <w:name w:val="宏文本 字符"/>
    <w:link w:val="2"/>
    <w:qFormat/>
    <w:uiPriority w:val="99"/>
    <w:rPr>
      <w:rFonts w:ascii="Courier New" w:hAnsi="Courier New"/>
      <w:kern w:val="2"/>
      <w:sz w:val="24"/>
      <w:szCs w:val="24"/>
      <w:lang w:val="en-US" w:eastAsia="zh-CN" w:bidi="ar-SA"/>
    </w:rPr>
  </w:style>
  <w:style w:type="character" w:customStyle="1" w:styleId="94">
    <w:name w:val="正文文本缩进 3 Char2"/>
    <w:semiHidden/>
    <w:qFormat/>
    <w:uiPriority w:val="99"/>
    <w:rPr>
      <w:kern w:val="2"/>
      <w:sz w:val="16"/>
      <w:szCs w:val="16"/>
    </w:rPr>
  </w:style>
  <w:style w:type="character" w:customStyle="1" w:styleId="95">
    <w:name w:val="日期 字符"/>
    <w:link w:val="28"/>
    <w:qFormat/>
    <w:uiPriority w:val="0"/>
    <w:rPr>
      <w:kern w:val="2"/>
      <w:sz w:val="24"/>
      <w:szCs w:val="24"/>
    </w:rPr>
  </w:style>
  <w:style w:type="character" w:customStyle="1" w:styleId="96">
    <w:name w:val="正文文本缩进 3 Char1"/>
    <w:semiHidden/>
    <w:qFormat/>
    <w:uiPriority w:val="99"/>
    <w:rPr>
      <w:rFonts w:ascii="Times New Roman" w:hAnsi="Times New Roman" w:eastAsia="宋体" w:cs="Times New Roman"/>
      <w:sz w:val="16"/>
      <w:szCs w:val="16"/>
    </w:rPr>
  </w:style>
  <w:style w:type="character" w:customStyle="1" w:styleId="97">
    <w:name w:val="普通文字 Char Char4"/>
    <w:qFormat/>
    <w:uiPriority w:val="0"/>
    <w:rPr>
      <w:rFonts w:ascii="宋体" w:hAnsi="Courier New" w:eastAsia="宋体" w:cs="Courier New"/>
      <w:szCs w:val="21"/>
    </w:rPr>
  </w:style>
  <w:style w:type="character" w:customStyle="1" w:styleId="98">
    <w:name w:val="text1"/>
    <w:basedOn w:val="51"/>
    <w:qFormat/>
    <w:uiPriority w:val="0"/>
  </w:style>
  <w:style w:type="character" w:customStyle="1" w:styleId="99">
    <w:name w:val="表正文 Char2"/>
    <w:qFormat/>
    <w:uiPriority w:val="0"/>
    <w:rPr>
      <w:rFonts w:ascii="Times New Roman" w:hAnsi="Times New Roman"/>
      <w:kern w:val="2"/>
      <w:sz w:val="21"/>
    </w:rPr>
  </w:style>
  <w:style w:type="character" w:customStyle="1" w:styleId="100">
    <w:name w:val="项目排列 Char Char"/>
    <w:link w:val="101"/>
    <w:qFormat/>
    <w:uiPriority w:val="0"/>
    <w:rPr>
      <w:kern w:val="2"/>
      <w:sz w:val="24"/>
      <w:szCs w:val="24"/>
    </w:rPr>
  </w:style>
  <w:style w:type="paragraph" w:customStyle="1" w:styleId="101">
    <w:name w:val="项目排列"/>
    <w:basedOn w:val="1"/>
    <w:link w:val="100"/>
    <w:qFormat/>
    <w:uiPriority w:val="0"/>
    <w:pPr>
      <w:numPr>
        <w:ilvl w:val="0"/>
        <w:numId w:val="1"/>
      </w:numPr>
      <w:tabs>
        <w:tab w:val="left" w:pos="1200"/>
      </w:tabs>
      <w:spacing w:before="156" w:beforeLines="50" w:after="156" w:afterLines="50" w:line="300" w:lineRule="auto"/>
    </w:pPr>
    <w:rPr>
      <w:sz w:val="24"/>
    </w:rPr>
  </w:style>
  <w:style w:type="character" w:customStyle="1" w:styleId="102">
    <w:name w:val="正文文本缩进 3 字符"/>
    <w:link w:val="38"/>
    <w:qFormat/>
    <w:uiPriority w:val="0"/>
    <w:rPr>
      <w:kern w:val="2"/>
      <w:sz w:val="16"/>
      <w:szCs w:val="16"/>
    </w:rPr>
  </w:style>
  <w:style w:type="character" w:customStyle="1" w:styleId="103">
    <w:name w:val="text11"/>
    <w:qFormat/>
    <w:uiPriority w:val="0"/>
    <w:rPr>
      <w:rFonts w:hint="default" w:ascii="Verdana" w:hAnsi="Verdana"/>
      <w:color w:val="4E4E4E"/>
      <w:sz w:val="18"/>
      <w:szCs w:val="18"/>
    </w:rPr>
  </w:style>
  <w:style w:type="character" w:customStyle="1" w:styleId="104">
    <w:name w:val="批注文字 字符"/>
    <w:link w:val="17"/>
    <w:qFormat/>
    <w:uiPriority w:val="99"/>
    <w:rPr>
      <w:kern w:val="2"/>
      <w:sz w:val="21"/>
      <w:szCs w:val="24"/>
    </w:rPr>
  </w:style>
  <w:style w:type="character" w:customStyle="1" w:styleId="105">
    <w:name w:val="lmain1"/>
    <w:qFormat/>
    <w:uiPriority w:val="0"/>
    <w:rPr>
      <w:color w:val="407AAB"/>
      <w:sz w:val="30"/>
      <w:szCs w:val="30"/>
    </w:rPr>
  </w:style>
  <w:style w:type="character" w:customStyle="1" w:styleId="106">
    <w:name w:val="case31"/>
    <w:qFormat/>
    <w:uiPriority w:val="0"/>
    <w:rPr>
      <w:rFonts w:hint="default"/>
      <w:sz w:val="21"/>
      <w:szCs w:val="21"/>
    </w:rPr>
  </w:style>
  <w:style w:type="character" w:customStyle="1" w:styleId="107">
    <w:name w:val="ca-11"/>
    <w:qFormat/>
    <w:uiPriority w:val="0"/>
    <w:rPr>
      <w:rFonts w:hint="eastAsia" w:ascii="宋体" w:hAnsi="宋体" w:eastAsia="宋体"/>
      <w:b/>
      <w:bCs/>
      <w:spacing w:val="-20"/>
      <w:sz w:val="21"/>
      <w:szCs w:val="21"/>
    </w:rPr>
  </w:style>
  <w:style w:type="character" w:customStyle="1" w:styleId="108">
    <w:name w:val="f161"/>
    <w:qFormat/>
    <w:uiPriority w:val="0"/>
    <w:rPr>
      <w:b/>
      <w:bCs/>
      <w:sz w:val="24"/>
      <w:szCs w:val="24"/>
    </w:rPr>
  </w:style>
  <w:style w:type="character" w:customStyle="1" w:styleId="109">
    <w:name w:val="标题 4 字符"/>
    <w:link w:val="6"/>
    <w:qFormat/>
    <w:uiPriority w:val="0"/>
    <w:rPr>
      <w:rFonts w:ascii="Arial" w:hAnsi="Arial" w:eastAsia="黑体"/>
      <w:b/>
      <w:bCs/>
      <w:kern w:val="2"/>
      <w:sz w:val="28"/>
      <w:szCs w:val="28"/>
    </w:rPr>
  </w:style>
  <w:style w:type="character" w:customStyle="1" w:styleId="110">
    <w:name w:val="正文文本 2 Char2"/>
    <w:qFormat/>
    <w:uiPriority w:val="99"/>
    <w:rPr>
      <w:kern w:val="2"/>
      <w:sz w:val="21"/>
      <w:szCs w:val="24"/>
    </w:rPr>
  </w:style>
  <w:style w:type="character" w:customStyle="1" w:styleId="111">
    <w:name w:val="style1"/>
    <w:basedOn w:val="51"/>
    <w:qFormat/>
    <w:uiPriority w:val="0"/>
  </w:style>
  <w:style w:type="character" w:customStyle="1" w:styleId="112">
    <w:name w:val="ca-21"/>
    <w:qFormat/>
    <w:uiPriority w:val="0"/>
    <w:rPr>
      <w:rFonts w:hint="eastAsia" w:ascii="宋体" w:hAnsi="宋体" w:eastAsia="宋体"/>
      <w:sz w:val="21"/>
      <w:szCs w:val="21"/>
    </w:rPr>
  </w:style>
  <w:style w:type="character" w:customStyle="1" w:styleId="113">
    <w:name w:val="HTML 预设格式 字符"/>
    <w:link w:val="42"/>
    <w:qFormat/>
    <w:uiPriority w:val="99"/>
    <w:rPr>
      <w:rFonts w:ascii="宋体" w:hAnsi="宋体" w:cs="宋体"/>
      <w:sz w:val="24"/>
      <w:szCs w:val="24"/>
    </w:rPr>
  </w:style>
  <w:style w:type="character" w:customStyle="1" w:styleId="114">
    <w:name w:val="Char Char11"/>
    <w:qFormat/>
    <w:uiPriority w:val="0"/>
    <w:rPr>
      <w:rFonts w:ascii="宋体" w:hAnsi="Courier New" w:eastAsia="宋体" w:cs="Courier New"/>
      <w:szCs w:val="21"/>
    </w:rPr>
  </w:style>
  <w:style w:type="character" w:customStyle="1" w:styleId="115">
    <w:name w:val="日期 Char2"/>
    <w:semiHidden/>
    <w:qFormat/>
    <w:uiPriority w:val="99"/>
    <w:rPr>
      <w:kern w:val="2"/>
      <w:sz w:val="21"/>
      <w:szCs w:val="24"/>
    </w:rPr>
  </w:style>
  <w:style w:type="character" w:customStyle="1" w:styleId="116">
    <w:name w:val="hei16b"/>
    <w:basedOn w:val="51"/>
    <w:qFormat/>
    <w:uiPriority w:val="0"/>
  </w:style>
  <w:style w:type="character" w:customStyle="1" w:styleId="117">
    <w:name w:val="标题 1 字符"/>
    <w:link w:val="3"/>
    <w:qFormat/>
    <w:uiPriority w:val="0"/>
    <w:rPr>
      <w:b/>
      <w:bCs/>
      <w:kern w:val="44"/>
      <w:sz w:val="44"/>
      <w:szCs w:val="44"/>
    </w:rPr>
  </w:style>
  <w:style w:type="character" w:customStyle="1" w:styleId="118">
    <w:name w:val="页眉 Char1"/>
    <w:semiHidden/>
    <w:qFormat/>
    <w:uiPriority w:val="99"/>
    <w:rPr>
      <w:kern w:val="2"/>
      <w:sz w:val="18"/>
      <w:szCs w:val="18"/>
    </w:rPr>
  </w:style>
  <w:style w:type="character" w:customStyle="1" w:styleId="119">
    <w:name w:val="正文缩进 Char1"/>
    <w:qFormat/>
    <w:uiPriority w:val="0"/>
    <w:rPr>
      <w:rFonts w:ascii="Times New Roman" w:hAnsi="Times New Roman"/>
      <w:kern w:val="2"/>
      <w:sz w:val="21"/>
    </w:rPr>
  </w:style>
  <w:style w:type="character" w:customStyle="1" w:styleId="120">
    <w:name w:val="font12-blue-bold1"/>
    <w:qFormat/>
    <w:uiPriority w:val="0"/>
    <w:rPr>
      <w:b/>
      <w:bCs/>
      <w:color w:val="0249A5"/>
      <w:sz w:val="14"/>
      <w:szCs w:val="14"/>
      <w:u w:val="none"/>
    </w:rPr>
  </w:style>
  <w:style w:type="character" w:customStyle="1" w:styleId="121">
    <w:name w:val="正文文本 字符"/>
    <w:link w:val="19"/>
    <w:qFormat/>
    <w:uiPriority w:val="0"/>
    <w:rPr>
      <w:kern w:val="2"/>
      <w:sz w:val="24"/>
      <w:szCs w:val="24"/>
    </w:rPr>
  </w:style>
  <w:style w:type="character" w:customStyle="1" w:styleId="122">
    <w:name w:val="Body Text Indent 3 Char"/>
    <w:qFormat/>
    <w:locked/>
    <w:uiPriority w:val="99"/>
    <w:rPr>
      <w:rFonts w:eastAsia="宋体"/>
      <w:sz w:val="16"/>
    </w:rPr>
  </w:style>
  <w:style w:type="character" w:customStyle="1" w:styleId="123">
    <w:name w:val="批注主题 字符"/>
    <w:link w:val="46"/>
    <w:qFormat/>
    <w:uiPriority w:val="0"/>
    <w:rPr>
      <w:b/>
      <w:bCs/>
      <w:kern w:val="2"/>
      <w:sz w:val="21"/>
      <w:szCs w:val="24"/>
    </w:rPr>
  </w:style>
  <w:style w:type="character" w:customStyle="1" w:styleId="124">
    <w:name w:val="bold1"/>
    <w:qFormat/>
    <w:uiPriority w:val="0"/>
    <w:rPr>
      <w:rFonts w:hint="default"/>
      <w:b/>
      <w:bCs/>
      <w:color w:val="000000"/>
      <w:sz w:val="18"/>
      <w:szCs w:val="18"/>
    </w:rPr>
  </w:style>
  <w:style w:type="character" w:customStyle="1" w:styleId="125">
    <w:name w:val="标题 6 字符"/>
    <w:link w:val="9"/>
    <w:qFormat/>
    <w:uiPriority w:val="0"/>
    <w:rPr>
      <w:rFonts w:ascii="Arial" w:hAnsi="Arial" w:eastAsia="黑体"/>
      <w:b/>
      <w:kern w:val="2"/>
      <w:sz w:val="24"/>
      <w:szCs w:val="24"/>
    </w:rPr>
  </w:style>
  <w:style w:type="character" w:customStyle="1" w:styleId="126">
    <w:name w:val="文档结构图 Char1"/>
    <w:qFormat/>
    <w:uiPriority w:val="99"/>
    <w:rPr>
      <w:rFonts w:ascii="宋体"/>
      <w:kern w:val="2"/>
      <w:sz w:val="18"/>
      <w:szCs w:val="18"/>
    </w:rPr>
  </w:style>
  <w:style w:type="character" w:customStyle="1" w:styleId="127">
    <w:name w:val="正文文本 Char1"/>
    <w:semiHidden/>
    <w:qFormat/>
    <w:uiPriority w:val="99"/>
    <w:rPr>
      <w:rFonts w:ascii="Times New Roman" w:hAnsi="Times New Roman" w:eastAsia="宋体" w:cs="Times New Roman"/>
      <w:szCs w:val="24"/>
    </w:rPr>
  </w:style>
  <w:style w:type="character" w:customStyle="1" w:styleId="128">
    <w:name w:val="页眉 字符"/>
    <w:link w:val="32"/>
    <w:qFormat/>
    <w:uiPriority w:val="0"/>
    <w:rPr>
      <w:kern w:val="2"/>
      <w:sz w:val="18"/>
      <w:szCs w:val="18"/>
    </w:rPr>
  </w:style>
  <w:style w:type="character" w:customStyle="1" w:styleId="129">
    <w:name w:val="正文文本缩进 Char1"/>
    <w:semiHidden/>
    <w:qFormat/>
    <w:uiPriority w:val="99"/>
    <w:rPr>
      <w:kern w:val="2"/>
      <w:sz w:val="21"/>
      <w:szCs w:val="24"/>
    </w:rPr>
  </w:style>
  <w:style w:type="character" w:customStyle="1" w:styleId="130">
    <w:name w:val="正文文本 2 Char1"/>
    <w:semiHidden/>
    <w:qFormat/>
    <w:uiPriority w:val="99"/>
    <w:rPr>
      <w:rFonts w:ascii="Times New Roman" w:hAnsi="Times New Roman" w:eastAsia="宋体" w:cs="Times New Roman"/>
      <w:szCs w:val="24"/>
    </w:rPr>
  </w:style>
  <w:style w:type="character" w:customStyle="1" w:styleId="131">
    <w:name w:val="文档结构图 字符"/>
    <w:link w:val="16"/>
    <w:qFormat/>
    <w:uiPriority w:val="0"/>
    <w:rPr>
      <w:kern w:val="2"/>
      <w:sz w:val="21"/>
      <w:szCs w:val="24"/>
      <w:shd w:val="clear" w:color="auto" w:fill="000080"/>
    </w:rPr>
  </w:style>
  <w:style w:type="character" w:customStyle="1" w:styleId="132">
    <w:name w:val="纯文本 字符"/>
    <w:link w:val="26"/>
    <w:qFormat/>
    <w:uiPriority w:val="0"/>
    <w:rPr>
      <w:rFonts w:ascii="宋体" w:hAnsi="Courier New" w:eastAsia="宋体" w:cs="Courier New"/>
      <w:kern w:val="2"/>
      <w:sz w:val="21"/>
      <w:szCs w:val="21"/>
      <w:lang w:val="en-US" w:eastAsia="zh-CN" w:bidi="ar-SA"/>
    </w:rPr>
  </w:style>
  <w:style w:type="character" w:customStyle="1" w:styleId="133">
    <w:name w:val="apple-style-span"/>
    <w:qFormat/>
    <w:uiPriority w:val="0"/>
  </w:style>
  <w:style w:type="character" w:customStyle="1" w:styleId="134">
    <w:name w:val="页脚 字符"/>
    <w:link w:val="31"/>
    <w:qFormat/>
    <w:uiPriority w:val="99"/>
    <w:rPr>
      <w:kern w:val="2"/>
      <w:sz w:val="18"/>
      <w:szCs w:val="18"/>
    </w:rPr>
  </w:style>
  <w:style w:type="character" w:customStyle="1" w:styleId="135">
    <w:name w:val="标题 8 字符"/>
    <w:link w:val="11"/>
    <w:qFormat/>
    <w:uiPriority w:val="0"/>
    <w:rPr>
      <w:rFonts w:ascii="Arial" w:hAnsi="Arial" w:eastAsia="黑体"/>
      <w:kern w:val="2"/>
      <w:sz w:val="24"/>
      <w:szCs w:val="24"/>
    </w:rPr>
  </w:style>
  <w:style w:type="character" w:customStyle="1" w:styleId="136">
    <w:name w:val="Char Char4"/>
    <w:semiHidden/>
    <w:qFormat/>
    <w:uiPriority w:val="0"/>
    <w:rPr>
      <w:rFonts w:ascii="Times New Roman" w:hAnsi="Times New Roman" w:eastAsia="宋体" w:cs="Times New Roman"/>
      <w:sz w:val="16"/>
      <w:szCs w:val="16"/>
    </w:rPr>
  </w:style>
  <w:style w:type="character" w:customStyle="1" w:styleId="137">
    <w:name w:val="Plain Text Char"/>
    <w:qFormat/>
    <w:locked/>
    <w:uiPriority w:val="0"/>
    <w:rPr>
      <w:rFonts w:ascii="宋体" w:hAnsi="Courier New" w:eastAsia="宋体"/>
    </w:rPr>
  </w:style>
  <w:style w:type="character" w:customStyle="1" w:styleId="138">
    <w:name w:val="ca-41"/>
    <w:qFormat/>
    <w:uiPriority w:val="0"/>
    <w:rPr>
      <w:rFonts w:hint="eastAsia" w:ascii="宋体" w:hAnsi="宋体" w:eastAsia="宋体"/>
      <w:color w:val="FF0000"/>
      <w:sz w:val="21"/>
      <w:szCs w:val="21"/>
    </w:rPr>
  </w:style>
  <w:style w:type="character" w:customStyle="1" w:styleId="139">
    <w:name w:val="无间隔 字符"/>
    <w:link w:val="140"/>
    <w:qFormat/>
    <w:uiPriority w:val="1"/>
    <w:rPr>
      <w:rFonts w:hAnsi="Courier New"/>
      <w:kern w:val="2"/>
      <w:sz w:val="21"/>
      <w:lang w:val="en-US" w:eastAsia="zh-CN" w:bidi="ar-SA"/>
    </w:rPr>
  </w:style>
  <w:style w:type="paragraph" w:styleId="140">
    <w:name w:val="No Spacing"/>
    <w:link w:val="139"/>
    <w:qFormat/>
    <w:uiPriority w:val="1"/>
    <w:pPr>
      <w:widowControl w:val="0"/>
      <w:jc w:val="both"/>
    </w:pPr>
    <w:rPr>
      <w:rFonts w:ascii="Times New Roman" w:hAnsi="Courier New" w:eastAsia="宋体" w:cs="Times New Roman"/>
      <w:kern w:val="2"/>
      <w:sz w:val="21"/>
      <w:lang w:val="en-US" w:eastAsia="zh-CN" w:bidi="ar-SA"/>
    </w:rPr>
  </w:style>
  <w:style w:type="character" w:customStyle="1" w:styleId="141">
    <w:name w:val="正文文本缩进 2 字符"/>
    <w:link w:val="29"/>
    <w:qFormat/>
    <w:uiPriority w:val="0"/>
    <w:rPr>
      <w:kern w:val="2"/>
      <w:sz w:val="21"/>
      <w:szCs w:val="24"/>
    </w:rPr>
  </w:style>
  <w:style w:type="character" w:customStyle="1" w:styleId="142">
    <w:name w:val="批注框文本 字符"/>
    <w:link w:val="30"/>
    <w:qFormat/>
    <w:uiPriority w:val="0"/>
    <w:rPr>
      <w:kern w:val="2"/>
      <w:sz w:val="18"/>
      <w:szCs w:val="18"/>
    </w:rPr>
  </w:style>
  <w:style w:type="character" w:customStyle="1" w:styleId="143">
    <w:name w:val="文档正文 Char Char"/>
    <w:link w:val="144"/>
    <w:qFormat/>
    <w:locked/>
    <w:uiPriority w:val="0"/>
    <w:rPr>
      <w:rFonts w:ascii="华文细黑" w:hAnsi="华文细黑" w:eastAsia="华文细黑"/>
      <w:color w:val="000000"/>
      <w:sz w:val="24"/>
    </w:rPr>
  </w:style>
  <w:style w:type="paragraph" w:customStyle="1" w:styleId="144">
    <w:name w:val="文档正文"/>
    <w:basedOn w:val="1"/>
    <w:link w:val="143"/>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45">
    <w:name w:val="纯文本 Char2"/>
    <w:qFormat/>
    <w:uiPriority w:val="0"/>
    <w:rPr>
      <w:rFonts w:ascii="宋体" w:hAnsi="Courier New" w:eastAsia="宋体" w:cs="Courier New"/>
      <w:kern w:val="2"/>
      <w:sz w:val="21"/>
      <w:szCs w:val="21"/>
      <w:lang w:val="en-US" w:eastAsia="zh-CN" w:bidi="ar-SA"/>
    </w:rPr>
  </w:style>
  <w:style w:type="character" w:customStyle="1" w:styleId="146">
    <w:name w:val="font91"/>
    <w:qFormat/>
    <w:uiPriority w:val="0"/>
    <w:rPr>
      <w:rFonts w:hint="default" w:ascii="Times New Roman" w:hAnsi="Times New Roman" w:cs="Times New Roman"/>
      <w:color w:val="000000"/>
      <w:sz w:val="20"/>
      <w:szCs w:val="20"/>
      <w:u w:val="none"/>
    </w:rPr>
  </w:style>
  <w:style w:type="character" w:customStyle="1" w:styleId="147">
    <w:name w:val="062"/>
    <w:qFormat/>
    <w:uiPriority w:val="0"/>
    <w:rPr>
      <w:rFonts w:ascii="宋体" w:hAnsi="宋体"/>
      <w:b/>
      <w:bCs/>
      <w:sz w:val="32"/>
    </w:rPr>
  </w:style>
  <w:style w:type="character" w:customStyle="1" w:styleId="148">
    <w:name w:val="纯文本 Char3"/>
    <w:qFormat/>
    <w:uiPriority w:val="0"/>
    <w:rPr>
      <w:rFonts w:ascii="宋体" w:hAnsi="Courier New" w:eastAsia="宋体" w:cs="Courier New"/>
      <w:szCs w:val="21"/>
    </w:rPr>
  </w:style>
  <w:style w:type="character" w:customStyle="1" w:styleId="149">
    <w:name w:val="正文文本 Char2"/>
    <w:semiHidden/>
    <w:qFormat/>
    <w:uiPriority w:val="99"/>
    <w:rPr>
      <w:kern w:val="2"/>
      <w:sz w:val="21"/>
      <w:szCs w:val="24"/>
    </w:rPr>
  </w:style>
  <w:style w:type="character" w:customStyle="1" w:styleId="150">
    <w:name w:val="纯文本 Char1"/>
    <w:qFormat/>
    <w:uiPriority w:val="0"/>
    <w:rPr>
      <w:rFonts w:ascii="宋体" w:hAnsi="Courier New" w:eastAsia="宋体" w:cs="Courier New"/>
      <w:szCs w:val="21"/>
    </w:rPr>
  </w:style>
  <w:style w:type="character" w:customStyle="1" w:styleId="151">
    <w:name w:val="Char Char1"/>
    <w:qFormat/>
    <w:uiPriority w:val="0"/>
    <w:rPr>
      <w:rFonts w:eastAsia="宋体"/>
      <w:kern w:val="2"/>
      <w:sz w:val="21"/>
      <w:szCs w:val="24"/>
      <w:lang w:bidi="ar-SA"/>
    </w:rPr>
  </w:style>
  <w:style w:type="character" w:customStyle="1" w:styleId="152">
    <w:name w:val="1ji Char"/>
    <w:link w:val="153"/>
    <w:qFormat/>
    <w:uiPriority w:val="0"/>
    <w:rPr>
      <w:rFonts w:ascii="宋体" w:hAnsi="宋体"/>
      <w:b/>
      <w:bCs/>
      <w:kern w:val="44"/>
      <w:sz w:val="36"/>
      <w:szCs w:val="44"/>
    </w:rPr>
  </w:style>
  <w:style w:type="paragraph" w:customStyle="1" w:styleId="153">
    <w:name w:val="1ji"/>
    <w:basedOn w:val="3"/>
    <w:link w:val="152"/>
    <w:qFormat/>
    <w:uiPriority w:val="0"/>
    <w:pPr>
      <w:keepLines w:val="0"/>
      <w:widowControl/>
      <w:spacing w:before="0" w:after="0" w:line="240" w:lineRule="auto"/>
      <w:jc w:val="center"/>
    </w:pPr>
    <w:rPr>
      <w:rFonts w:ascii="宋体" w:hAnsi="宋体"/>
      <w:sz w:val="36"/>
    </w:rPr>
  </w:style>
  <w:style w:type="character" w:customStyle="1" w:styleId="154">
    <w:name w:val="批注主题 Char1"/>
    <w:qFormat/>
    <w:uiPriority w:val="99"/>
    <w:rPr>
      <w:b/>
      <w:bCs/>
      <w:kern w:val="2"/>
      <w:sz w:val="21"/>
      <w:szCs w:val="24"/>
    </w:rPr>
  </w:style>
  <w:style w:type="character" w:customStyle="1" w:styleId="155">
    <w:name w:val="标题3 Char Char"/>
    <w:link w:val="156"/>
    <w:qFormat/>
    <w:uiPriority w:val="0"/>
    <w:rPr>
      <w:rFonts w:eastAsia="仿宋_GB2312"/>
      <w:bCs/>
      <w:kern w:val="2"/>
      <w:sz w:val="30"/>
      <w:szCs w:val="32"/>
    </w:rPr>
  </w:style>
  <w:style w:type="paragraph" w:customStyle="1" w:styleId="156">
    <w:name w:val="标题3"/>
    <w:basedOn w:val="5"/>
    <w:link w:val="155"/>
    <w:qFormat/>
    <w:uiPriority w:val="0"/>
    <w:pPr>
      <w:keepNext w:val="0"/>
      <w:keepLines w:val="0"/>
      <w:spacing w:before="0" w:after="0" w:line="360" w:lineRule="auto"/>
    </w:pPr>
    <w:rPr>
      <w:rFonts w:eastAsia="仿宋_GB2312"/>
      <w:b w:val="0"/>
      <w:sz w:val="30"/>
    </w:rPr>
  </w:style>
  <w:style w:type="character" w:customStyle="1" w:styleId="157">
    <w:name w:val="批注框文本 Char1"/>
    <w:semiHidden/>
    <w:qFormat/>
    <w:uiPriority w:val="99"/>
    <w:rPr>
      <w:kern w:val="2"/>
      <w:sz w:val="18"/>
      <w:szCs w:val="18"/>
    </w:rPr>
  </w:style>
  <w:style w:type="character" w:customStyle="1" w:styleId="158">
    <w:name w:val="正文文本 2 字符"/>
    <w:link w:val="41"/>
    <w:qFormat/>
    <w:uiPriority w:val="0"/>
    <w:rPr>
      <w:szCs w:val="24"/>
    </w:rPr>
  </w:style>
  <w:style w:type="character" w:customStyle="1" w:styleId="159">
    <w:name w:val="引用 Char2"/>
    <w:qFormat/>
    <w:uiPriority w:val="29"/>
    <w:rPr>
      <w:i/>
      <w:iCs/>
      <w:color w:val="000000"/>
      <w:kern w:val="2"/>
      <w:sz w:val="21"/>
      <w:szCs w:val="24"/>
    </w:rPr>
  </w:style>
  <w:style w:type="paragraph" w:customStyle="1" w:styleId="160">
    <w:name w:val="Char Char Char"/>
    <w:basedOn w:val="1"/>
    <w:qFormat/>
    <w:uiPriority w:val="0"/>
    <w:rPr>
      <w:rFonts w:ascii="Tahoma" w:hAnsi="Tahoma"/>
      <w:sz w:val="24"/>
      <w:szCs w:val="20"/>
    </w:rPr>
  </w:style>
  <w:style w:type="paragraph" w:customStyle="1" w:styleId="161">
    <w:name w:val="Char11"/>
    <w:basedOn w:val="1"/>
    <w:qFormat/>
    <w:uiPriority w:val="0"/>
    <w:rPr>
      <w:szCs w:val="21"/>
    </w:rPr>
  </w:style>
  <w:style w:type="paragraph" w:customStyle="1" w:styleId="162">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163">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164">
    <w:name w:val="HTML Top of Form"/>
    <w:basedOn w:val="1"/>
    <w:next w:val="1"/>
    <w:qFormat/>
    <w:uiPriority w:val="0"/>
    <w:pPr>
      <w:widowControl/>
      <w:pBdr>
        <w:bottom w:val="single" w:color="auto" w:sz="6" w:space="1"/>
      </w:pBdr>
      <w:jc w:val="center"/>
    </w:pPr>
    <w:rPr>
      <w:rFonts w:ascii="Arial" w:hAnsi="Arial" w:cs="Arial"/>
      <w:vanish/>
      <w:kern w:val="0"/>
      <w:sz w:val="16"/>
      <w:szCs w:val="16"/>
    </w:rPr>
  </w:style>
  <w:style w:type="paragraph" w:customStyle="1" w:styleId="165">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166">
    <w:name w:val="2ji"/>
    <w:basedOn w:val="4"/>
    <w:qFormat/>
    <w:uiPriority w:val="0"/>
    <w:pPr>
      <w:keepLines/>
      <w:spacing w:before="0"/>
      <w:jc w:val="both"/>
      <w:textAlignment w:val="baseline"/>
    </w:pPr>
    <w:rPr>
      <w:rFonts w:ascii="宋体" w:hAnsi="宋体" w:eastAsia="宋体"/>
      <w:bCs/>
      <w:sz w:val="21"/>
      <w:szCs w:val="21"/>
    </w:rPr>
  </w:style>
  <w:style w:type="paragraph" w:customStyle="1" w:styleId="167">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168">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169">
    <w:name w:val="正文段"/>
    <w:basedOn w:val="1"/>
    <w:qFormat/>
    <w:uiPriority w:val="0"/>
    <w:pPr>
      <w:widowControl/>
      <w:snapToGrid w:val="0"/>
      <w:spacing w:after="156" w:afterLines="50"/>
      <w:ind w:firstLine="200" w:firstLineChars="200"/>
    </w:pPr>
    <w:rPr>
      <w:kern w:val="0"/>
      <w:sz w:val="24"/>
      <w:szCs w:val="20"/>
    </w:rPr>
  </w:style>
  <w:style w:type="paragraph" w:customStyle="1" w:styleId="170">
    <w:name w:val="五级条标题"/>
    <w:basedOn w:val="171"/>
    <w:next w:val="174"/>
    <w:qFormat/>
    <w:uiPriority w:val="0"/>
    <w:pPr>
      <w:outlineLvl w:val="6"/>
    </w:pPr>
  </w:style>
  <w:style w:type="paragraph" w:customStyle="1" w:styleId="171">
    <w:name w:val="四级条标题"/>
    <w:basedOn w:val="172"/>
    <w:next w:val="174"/>
    <w:qFormat/>
    <w:uiPriority w:val="0"/>
    <w:pPr>
      <w:outlineLvl w:val="5"/>
    </w:pPr>
  </w:style>
  <w:style w:type="paragraph" w:customStyle="1" w:styleId="172">
    <w:name w:val="三级条标题"/>
    <w:basedOn w:val="173"/>
    <w:next w:val="174"/>
    <w:qFormat/>
    <w:uiPriority w:val="0"/>
    <w:pPr>
      <w:outlineLvl w:val="4"/>
    </w:pPr>
  </w:style>
  <w:style w:type="paragraph" w:customStyle="1" w:styleId="173">
    <w:name w:val="二级条标题"/>
    <w:basedOn w:val="1"/>
    <w:next w:val="1"/>
    <w:qFormat/>
    <w:uiPriority w:val="0"/>
    <w:pPr>
      <w:widowControl/>
      <w:jc w:val="left"/>
      <w:outlineLvl w:val="3"/>
    </w:pPr>
    <w:rPr>
      <w:rFonts w:ascii="宋体" w:hAnsi="宋体"/>
      <w:color w:val="000000"/>
      <w:kern w:val="0"/>
      <w:szCs w:val="20"/>
    </w:rPr>
  </w:style>
  <w:style w:type="paragraph" w:customStyle="1" w:styleId="174">
    <w:name w:val="段"/>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175">
    <w:name w:val="表格"/>
    <w:basedOn w:val="1"/>
    <w:qFormat/>
    <w:uiPriority w:val="0"/>
    <w:pPr>
      <w:spacing w:line="400" w:lineRule="exact"/>
    </w:pPr>
    <w:rPr>
      <w:sz w:val="24"/>
    </w:rPr>
  </w:style>
  <w:style w:type="paragraph" w:customStyle="1" w:styleId="176">
    <w:name w:val="列表段落1"/>
    <w:basedOn w:val="1"/>
    <w:qFormat/>
    <w:uiPriority w:val="0"/>
    <w:pPr>
      <w:ind w:firstLine="420" w:firstLineChars="200"/>
    </w:pPr>
    <w:rPr>
      <w:rFonts w:ascii="Calibri" w:hAnsi="Calibri"/>
      <w:szCs w:val="22"/>
    </w:rPr>
  </w:style>
  <w:style w:type="paragraph" w:customStyle="1" w:styleId="177">
    <w:name w:val="Char1 Char Char Char Char Char Char Char Char Char Char Char Char"/>
    <w:basedOn w:val="1"/>
    <w:qFormat/>
    <w:uiPriority w:val="0"/>
    <w:rPr>
      <w:rFonts w:ascii="Tahoma" w:hAnsi="Tahoma"/>
      <w:sz w:val="24"/>
      <w:szCs w:val="20"/>
    </w:rPr>
  </w:style>
  <w:style w:type="paragraph" w:customStyle="1" w:styleId="178">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9">
    <w:name w:val="p0"/>
    <w:basedOn w:val="1"/>
    <w:qFormat/>
    <w:uiPriority w:val="0"/>
    <w:pPr>
      <w:widowControl/>
    </w:pPr>
    <w:rPr>
      <w:kern w:val="0"/>
      <w:szCs w:val="21"/>
    </w:rPr>
  </w:style>
  <w:style w:type="paragraph" w:customStyle="1" w:styleId="180">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181">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182">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3">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84">
    <w:name w:val="pa-5"/>
    <w:basedOn w:val="1"/>
    <w:qFormat/>
    <w:uiPriority w:val="0"/>
    <w:pPr>
      <w:widowControl/>
      <w:spacing w:line="240" w:lineRule="atLeast"/>
      <w:ind w:firstLine="420"/>
    </w:pPr>
    <w:rPr>
      <w:rFonts w:ascii="宋体" w:hAnsi="宋体" w:cs="宋体"/>
      <w:kern w:val="0"/>
      <w:sz w:val="24"/>
    </w:rPr>
  </w:style>
  <w:style w:type="paragraph" w:customStyle="1" w:styleId="185">
    <w:name w:val="默认段落字体 Para Char Char Char1 Char"/>
    <w:basedOn w:val="1"/>
    <w:qFormat/>
    <w:uiPriority w:val="0"/>
    <w:rPr>
      <w:rFonts w:ascii="Tahoma" w:hAnsi="Tahoma"/>
      <w:sz w:val="24"/>
      <w:szCs w:val="20"/>
    </w:rPr>
  </w:style>
  <w:style w:type="paragraph" w:customStyle="1" w:styleId="186">
    <w:name w:val="列项——"/>
    <w:qFormat/>
    <w:uiPriority w:val="0"/>
    <w:pPr>
      <w:widowControl w:val="0"/>
      <w:tabs>
        <w:tab w:val="left" w:pos="854"/>
      </w:tabs>
      <w:ind w:left="840" w:leftChars="200" w:hanging="420" w:hangingChars="200"/>
      <w:jc w:val="both"/>
    </w:pPr>
    <w:rPr>
      <w:rFonts w:ascii="Times New Roman" w:hAnsi="Times New Roman" w:eastAsia="宋体" w:cs="Times New Roman"/>
      <w:sz w:val="21"/>
      <w:lang w:val="en-US" w:eastAsia="zh-CN" w:bidi="ar-SA"/>
    </w:rPr>
  </w:style>
  <w:style w:type="paragraph" w:customStyle="1" w:styleId="187">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8">
    <w:name w:val="444"/>
    <w:basedOn w:val="1"/>
    <w:qFormat/>
    <w:uiPriority w:val="0"/>
    <w:pPr>
      <w:adjustRightInd w:val="0"/>
      <w:spacing w:line="312" w:lineRule="atLeast"/>
      <w:jc w:val="center"/>
      <w:textAlignment w:val="baseline"/>
    </w:pPr>
    <w:rPr>
      <w:b/>
      <w:kern w:val="0"/>
      <w:sz w:val="36"/>
      <w:szCs w:val="36"/>
    </w:rPr>
  </w:style>
  <w:style w:type="paragraph" w:customStyle="1" w:styleId="189">
    <w:name w:val="列表1"/>
    <w:basedOn w:val="190"/>
    <w:qFormat/>
    <w:uiPriority w:val="0"/>
    <w:pPr>
      <w:tabs>
        <w:tab w:val="left" w:pos="900"/>
      </w:tabs>
      <w:ind w:left="900" w:hanging="420"/>
    </w:pPr>
    <w:rPr>
      <w:rFonts w:ascii="Times New Roman" w:hAnsi="Times New Roman"/>
      <w:szCs w:val="20"/>
    </w:rPr>
  </w:style>
  <w:style w:type="paragraph" w:customStyle="1" w:styleId="190">
    <w:name w:val="标准正文"/>
    <w:basedOn w:val="20"/>
    <w:qFormat/>
    <w:uiPriority w:val="0"/>
    <w:pPr>
      <w:spacing w:before="60" w:after="60" w:line="360" w:lineRule="auto"/>
      <w:ind w:left="0" w:leftChars="0" w:firstLine="482"/>
    </w:pPr>
    <w:rPr>
      <w:rFonts w:ascii="宋体" w:hAnsi="宋体"/>
      <w:kern w:val="0"/>
      <w:sz w:val="24"/>
      <w:szCs w:val="28"/>
    </w:rPr>
  </w:style>
  <w:style w:type="paragraph" w:customStyle="1" w:styleId="191">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92">
    <w:name w:val="样式 标题 2 + Times New Roman 四号 非加粗 段前: 5 磅 段后: 0 磅 行距: 固定值 20..."/>
    <w:basedOn w:val="4"/>
    <w:qFormat/>
    <w:uiPriority w:val="0"/>
    <w:pPr>
      <w:keepLines/>
      <w:adjustRightInd/>
      <w:spacing w:before="100" w:line="400" w:lineRule="exact"/>
      <w:jc w:val="both"/>
    </w:pPr>
    <w:rPr>
      <w:rFonts w:eastAsia="黑体" w:cs="宋体"/>
      <w:b w:val="0"/>
      <w:sz w:val="28"/>
    </w:rPr>
  </w:style>
  <w:style w:type="paragraph" w:customStyle="1" w:styleId="193">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94">
    <w:name w:val="样式 Verdana 首行缩进:  0.74 厘米"/>
    <w:basedOn w:val="1"/>
    <w:qFormat/>
    <w:uiPriority w:val="0"/>
    <w:pPr>
      <w:spacing w:line="360" w:lineRule="auto"/>
      <w:ind w:firstLine="420"/>
    </w:pPr>
    <w:rPr>
      <w:rFonts w:ascii="Verdana" w:hAnsi="Verdana"/>
      <w:sz w:val="24"/>
      <w:szCs w:val="20"/>
    </w:rPr>
  </w:style>
  <w:style w:type="paragraph" w:customStyle="1" w:styleId="195">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196">
    <w:name w:val="1 Char"/>
    <w:basedOn w:val="8"/>
    <w:qFormat/>
    <w:uiPriority w:val="0"/>
    <w:pPr>
      <w:spacing w:line="360" w:lineRule="auto"/>
      <w:ind w:left="0" w:firstLine="200" w:firstLineChars="200"/>
      <w:jc w:val="both"/>
    </w:pPr>
    <w:rPr>
      <w:rFonts w:ascii="Times New Roman"/>
      <w:snapToGrid/>
      <w:kern w:val="2"/>
      <w:sz w:val="21"/>
    </w:rPr>
  </w:style>
  <w:style w:type="paragraph" w:customStyle="1" w:styleId="197">
    <w:name w:val="列出段落1"/>
    <w:basedOn w:val="1"/>
    <w:qFormat/>
    <w:uiPriority w:val="0"/>
    <w:pPr>
      <w:ind w:firstLine="420" w:firstLineChars="200"/>
    </w:pPr>
    <w:rPr>
      <w:rFonts w:ascii="Calibri" w:hAnsi="Calibri"/>
      <w:szCs w:val="22"/>
    </w:rPr>
  </w:style>
  <w:style w:type="paragraph" w:customStyle="1" w:styleId="198">
    <w:name w:val="_Style 2"/>
    <w:basedOn w:val="1"/>
    <w:qFormat/>
    <w:uiPriority w:val="0"/>
    <w:pPr>
      <w:ind w:firstLine="420" w:firstLineChars="200"/>
    </w:pPr>
  </w:style>
  <w:style w:type="paragraph" w:customStyle="1" w:styleId="199">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00">
    <w:name w:val="Char"/>
    <w:basedOn w:val="1"/>
    <w:qFormat/>
    <w:uiPriority w:val="0"/>
  </w:style>
  <w:style w:type="paragraph" w:customStyle="1" w:styleId="201">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02">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3">
    <w:name w:val="Char3"/>
    <w:basedOn w:val="1"/>
    <w:qFormat/>
    <w:uiPriority w:val="0"/>
    <w:pPr>
      <w:widowControl/>
      <w:spacing w:after="160" w:line="240" w:lineRule="exact"/>
      <w:jc w:val="left"/>
    </w:pPr>
    <w:rPr>
      <w:rFonts w:ascii="Verdana" w:hAnsi="Verdana"/>
      <w:kern w:val="0"/>
      <w:sz w:val="20"/>
      <w:szCs w:val="20"/>
      <w:lang w:eastAsia="en-US"/>
    </w:rPr>
  </w:style>
  <w:style w:type="paragraph" w:customStyle="1" w:styleId="204">
    <w:name w:val="Char Char Char Char"/>
    <w:basedOn w:val="1"/>
    <w:qFormat/>
    <w:uiPriority w:val="0"/>
  </w:style>
  <w:style w:type="paragraph" w:customStyle="1" w:styleId="205">
    <w:name w:val="1"/>
    <w:basedOn w:val="1"/>
    <w:next w:val="26"/>
    <w:qFormat/>
    <w:uiPriority w:val="0"/>
    <w:rPr>
      <w:rFonts w:ascii="宋体" w:hAnsi="Courier New"/>
      <w:szCs w:val="20"/>
    </w:rPr>
  </w:style>
  <w:style w:type="paragraph" w:customStyle="1" w:styleId="206">
    <w:name w:val="Char Char Char Char1"/>
    <w:basedOn w:val="1"/>
    <w:qFormat/>
    <w:uiPriority w:val="0"/>
  </w:style>
  <w:style w:type="paragraph" w:customStyle="1" w:styleId="207">
    <w:name w:val="HTML Bottom of Form"/>
    <w:basedOn w:val="1"/>
    <w:next w:val="1"/>
    <w:qFormat/>
    <w:uiPriority w:val="0"/>
    <w:pPr>
      <w:widowControl/>
      <w:pBdr>
        <w:top w:val="single" w:color="auto" w:sz="6" w:space="1"/>
      </w:pBdr>
      <w:jc w:val="center"/>
    </w:pPr>
    <w:rPr>
      <w:rFonts w:ascii="Arial" w:hAnsi="Arial" w:cs="Arial"/>
      <w:vanish/>
      <w:kern w:val="0"/>
      <w:sz w:val="16"/>
      <w:szCs w:val="16"/>
    </w:rPr>
  </w:style>
  <w:style w:type="paragraph" w:customStyle="1" w:styleId="208">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09">
    <w:name w:val="pa-3"/>
    <w:basedOn w:val="1"/>
    <w:qFormat/>
    <w:uiPriority w:val="0"/>
    <w:pPr>
      <w:widowControl/>
      <w:spacing w:line="240" w:lineRule="atLeast"/>
    </w:pPr>
    <w:rPr>
      <w:rFonts w:ascii="宋体" w:hAnsi="宋体" w:cs="宋体"/>
      <w:kern w:val="0"/>
      <w:sz w:val="24"/>
    </w:rPr>
  </w:style>
  <w:style w:type="paragraph" w:customStyle="1" w:styleId="210">
    <w:name w:val="规范正文"/>
    <w:basedOn w:val="1"/>
    <w:qFormat/>
    <w:uiPriority w:val="0"/>
    <w:pPr>
      <w:adjustRightInd w:val="0"/>
      <w:spacing w:line="360" w:lineRule="auto"/>
      <w:ind w:left="480"/>
      <w:textAlignment w:val="baseline"/>
    </w:pPr>
    <w:rPr>
      <w:kern w:val="0"/>
      <w:sz w:val="24"/>
      <w:szCs w:val="20"/>
    </w:rPr>
  </w:style>
  <w:style w:type="paragraph" w:customStyle="1" w:styleId="211">
    <w:name w:val="about_main1"/>
    <w:basedOn w:val="1"/>
    <w:qFormat/>
    <w:uiPriority w:val="0"/>
    <w:pPr>
      <w:widowControl/>
      <w:spacing w:before="30" w:after="100" w:afterAutospacing="1"/>
      <w:jc w:val="left"/>
    </w:pPr>
    <w:rPr>
      <w:rFonts w:ascii="宋体" w:hAnsi="宋体" w:cs="宋体"/>
      <w:kern w:val="0"/>
      <w:sz w:val="24"/>
    </w:rPr>
  </w:style>
  <w:style w:type="paragraph" w:customStyle="1" w:styleId="212">
    <w:name w:val="pa-2"/>
    <w:basedOn w:val="1"/>
    <w:qFormat/>
    <w:uiPriority w:val="0"/>
    <w:pPr>
      <w:widowControl/>
      <w:spacing w:line="280" w:lineRule="atLeast"/>
      <w:ind w:firstLine="420"/>
    </w:pPr>
    <w:rPr>
      <w:rFonts w:ascii="宋体" w:hAnsi="宋体" w:cs="宋体"/>
      <w:kern w:val="0"/>
      <w:sz w:val="24"/>
    </w:rPr>
  </w:style>
  <w:style w:type="paragraph" w:customStyle="1" w:styleId="213">
    <w:name w:val="Char1"/>
    <w:basedOn w:val="16"/>
    <w:qFormat/>
    <w:uiPriority w:val="0"/>
    <w:pPr>
      <w:widowControl/>
      <w:ind w:firstLine="454"/>
      <w:jc w:val="left"/>
    </w:pPr>
    <w:rPr>
      <w:rFonts w:ascii="Tahoma" w:hAnsi="Tahoma" w:cs="宋体"/>
      <w:kern w:val="0"/>
      <w:sz w:val="24"/>
      <w:szCs w:val="20"/>
    </w:rPr>
  </w:style>
  <w:style w:type="paragraph" w:customStyle="1" w:styleId="214">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15">
    <w:name w:val="正文1"/>
    <w:basedOn w:val="1"/>
    <w:qFormat/>
    <w:uiPriority w:val="0"/>
    <w:pPr>
      <w:widowControl/>
      <w:overflowPunct w:val="0"/>
      <w:autoSpaceDE w:val="0"/>
      <w:autoSpaceDN w:val="0"/>
      <w:adjustRightInd w:val="0"/>
    </w:pPr>
    <w:rPr>
      <w:rFonts w:ascii="宋体"/>
      <w:kern w:val="0"/>
      <w:szCs w:val="20"/>
    </w:rPr>
  </w:style>
  <w:style w:type="paragraph" w:customStyle="1" w:styleId="216">
    <w:name w:val="样式 标题 3 + (中文) 黑体 小四 非加粗 段前: 7.8 磅 段后: 0 磅 行距: 固定值 20 磅"/>
    <w:basedOn w:val="5"/>
    <w:qFormat/>
    <w:uiPriority w:val="0"/>
    <w:pPr>
      <w:spacing w:before="0" w:after="0" w:line="400" w:lineRule="exact"/>
    </w:pPr>
    <w:rPr>
      <w:rFonts w:eastAsia="黑体" w:cs="宋体"/>
      <w:b w:val="0"/>
      <w:bCs w:val="0"/>
      <w:kern w:val="0"/>
      <w:sz w:val="24"/>
      <w:szCs w:val="20"/>
    </w:rPr>
  </w:style>
  <w:style w:type="paragraph" w:customStyle="1" w:styleId="217">
    <w:name w:val="正文首行缩进两字符"/>
    <w:basedOn w:val="1"/>
    <w:qFormat/>
    <w:uiPriority w:val="0"/>
    <w:pPr>
      <w:spacing w:line="360" w:lineRule="auto"/>
      <w:ind w:firstLine="200" w:firstLineChars="200"/>
    </w:pPr>
  </w:style>
  <w:style w:type="paragraph" w:customStyle="1" w:styleId="218">
    <w:name w:val="一级条标题"/>
    <w:next w:val="174"/>
    <w:qFormat/>
    <w:uiPriority w:val="0"/>
    <w:pPr>
      <w:ind w:left="284"/>
      <w:outlineLvl w:val="2"/>
    </w:pPr>
    <w:rPr>
      <w:rFonts w:ascii="Times New Roman" w:hAnsi="Times New Roman" w:eastAsia="黑体" w:cs="Times New Roman"/>
      <w:sz w:val="21"/>
      <w:lang w:val="en-US" w:eastAsia="zh-CN" w:bidi="ar-SA"/>
    </w:rPr>
  </w:style>
  <w:style w:type="paragraph" w:customStyle="1" w:styleId="219">
    <w:name w:val="1."/>
    <w:basedOn w:val="1"/>
    <w:qFormat/>
    <w:uiPriority w:val="0"/>
    <w:pPr>
      <w:spacing w:line="360" w:lineRule="auto"/>
      <w:ind w:firstLine="480" w:firstLineChars="200"/>
    </w:pPr>
    <w:rPr>
      <w:rFonts w:ascii="宋体" w:hAnsi="宋体"/>
      <w:sz w:val="24"/>
    </w:rPr>
  </w:style>
  <w:style w:type="paragraph" w:customStyle="1" w:styleId="220">
    <w:name w:val="样式 首行缩进:  2 字符"/>
    <w:basedOn w:val="1"/>
    <w:qFormat/>
    <w:uiPriority w:val="0"/>
    <w:pPr>
      <w:spacing w:line="400" w:lineRule="exact"/>
      <w:ind w:firstLine="200" w:firstLineChars="200"/>
    </w:pPr>
    <w:rPr>
      <w:rFonts w:cs="宋体"/>
      <w:sz w:val="24"/>
    </w:rPr>
  </w:style>
  <w:style w:type="paragraph" w:customStyle="1" w:styleId="221">
    <w:name w:val="Char Char3 Char Char"/>
    <w:basedOn w:val="1"/>
    <w:qFormat/>
    <w:uiPriority w:val="0"/>
  </w:style>
  <w:style w:type="paragraph" w:customStyle="1" w:styleId="222">
    <w:name w:val="Char12"/>
    <w:basedOn w:val="1"/>
    <w:qFormat/>
    <w:uiPriority w:val="0"/>
    <w:rPr>
      <w:szCs w:val="21"/>
    </w:rPr>
  </w:style>
  <w:style w:type="paragraph" w:customStyle="1" w:styleId="223">
    <w:name w:val="F2"/>
    <w:basedOn w:val="1"/>
    <w:qFormat/>
    <w:uiPriority w:val="0"/>
    <w:pPr>
      <w:autoSpaceDE w:val="0"/>
      <w:autoSpaceDN w:val="0"/>
      <w:adjustRightInd w:val="0"/>
      <w:ind w:firstLine="601"/>
      <w:textAlignment w:val="baseline"/>
    </w:pPr>
    <w:rPr>
      <w:kern w:val="0"/>
      <w:sz w:val="24"/>
      <w:szCs w:val="20"/>
    </w:rPr>
  </w:style>
  <w:style w:type="paragraph" w:customStyle="1" w:styleId="224">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25">
    <w:name w:val="样式6"/>
    <w:basedOn w:val="7"/>
    <w:qFormat/>
    <w:uiPriority w:val="0"/>
    <w:pPr>
      <w:numPr>
        <w:numId w:val="0"/>
      </w:numPr>
      <w:spacing w:line="360" w:lineRule="auto"/>
      <w:ind w:left="210" w:leftChars="100"/>
    </w:pPr>
    <w:rPr>
      <w:rFonts w:ascii="宋体" w:hAnsi="宋体" w:cs="Arial"/>
      <w:bCs/>
      <w:sz w:val="24"/>
    </w:rPr>
  </w:style>
  <w:style w:type="paragraph" w:customStyle="1" w:styleId="226">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27">
    <w:name w:val="Tabletext"/>
    <w:basedOn w:val="1"/>
    <w:qFormat/>
    <w:uiPriority w:val="0"/>
    <w:pPr>
      <w:keepLines/>
      <w:spacing w:after="120" w:line="240" w:lineRule="atLeast"/>
      <w:jc w:val="left"/>
    </w:pPr>
    <w:rPr>
      <w:rFonts w:ascii="宋体"/>
      <w:snapToGrid w:val="0"/>
      <w:kern w:val="0"/>
      <w:sz w:val="20"/>
      <w:szCs w:val="20"/>
    </w:rPr>
  </w:style>
  <w:style w:type="paragraph" w:customStyle="1" w:styleId="228">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229">
    <w:name w:val="样式5"/>
    <w:basedOn w:val="4"/>
    <w:qFormat/>
    <w:uiPriority w:val="0"/>
    <w:pPr>
      <w:keepLines/>
      <w:adjustRightInd/>
      <w:spacing w:before="260" w:after="260"/>
      <w:ind w:left="420" w:leftChars="200"/>
      <w:jc w:val="both"/>
    </w:pPr>
    <w:rPr>
      <w:rFonts w:ascii="宋体" w:hAnsi="宋体" w:eastAsia="宋体"/>
      <w:bCs/>
      <w:sz w:val="24"/>
      <w:szCs w:val="24"/>
    </w:rPr>
  </w:style>
  <w:style w:type="paragraph" w:customStyle="1" w:styleId="230">
    <w:name w:val="默认段落字体 Para Char Char Char Char Char Char Char Char Char1 Char Char Char Char"/>
    <w:basedOn w:val="1"/>
    <w:qFormat/>
    <w:uiPriority w:val="0"/>
    <w:rPr>
      <w:rFonts w:ascii="Tahoma" w:hAnsi="Tahoma"/>
      <w:sz w:val="24"/>
      <w:szCs w:val="20"/>
    </w:rPr>
  </w:style>
  <w:style w:type="paragraph" w:customStyle="1" w:styleId="231">
    <w:name w:val="2-2ji"/>
    <w:basedOn w:val="4"/>
    <w:qFormat/>
    <w:uiPriority w:val="0"/>
    <w:pPr>
      <w:keepLines/>
      <w:spacing w:before="0"/>
      <w:textAlignment w:val="baseline"/>
    </w:pPr>
    <w:rPr>
      <w:rFonts w:ascii="宋体" w:hAnsi="宋体" w:eastAsia="宋体"/>
      <w:sz w:val="36"/>
      <w:szCs w:val="32"/>
    </w:rPr>
  </w:style>
  <w:style w:type="paragraph" w:customStyle="1" w:styleId="232">
    <w:name w:val="表格文字"/>
    <w:basedOn w:val="1"/>
    <w:qFormat/>
    <w:uiPriority w:val="99"/>
    <w:pPr>
      <w:spacing w:before="25" w:after="25"/>
      <w:jc w:val="left"/>
    </w:pPr>
    <w:rPr>
      <w:bCs/>
      <w:spacing w:val="10"/>
      <w:kern w:val="0"/>
      <w:sz w:val="24"/>
    </w:rPr>
  </w:style>
  <w:style w:type="paragraph" w:customStyle="1" w:styleId="233">
    <w:name w:val="Normal (Web)_file_872_file_882"/>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customStyle="1" w:styleId="234">
    <w:name w:val="正文文本首行缩进 2 字符"/>
    <w:basedOn w:val="71"/>
    <w:link w:val="48"/>
    <w:semiHidden/>
    <w:qFormat/>
    <w:uiPriority w:val="0"/>
    <w:rPr>
      <w:kern w:val="2"/>
      <w:sz w:val="21"/>
      <w:szCs w:val="24"/>
    </w:rPr>
  </w:style>
  <w:style w:type="paragraph" w:customStyle="1" w:styleId="235">
    <w:name w:val="Table Text"/>
    <w:basedOn w:val="1"/>
    <w:semiHidden/>
    <w:qFormat/>
    <w:uiPriority w:val="0"/>
    <w:rPr>
      <w:rFonts w:ascii="宋体" w:hAnsi="宋体" w:cs="宋体"/>
      <w:sz w:val="19"/>
      <w:szCs w:val="19"/>
      <w:lang w:eastAsia="en-US"/>
    </w:rPr>
  </w:style>
  <w:style w:type="table" w:customStyle="1" w:styleId="236">
    <w:name w:val="Table Normal"/>
    <w:semiHidden/>
    <w:unhideWhenUsed/>
    <w:qFormat/>
    <w:uiPriority w:val="0"/>
    <w:tblPr>
      <w:tblCellMar>
        <w:top w:w="0" w:type="dxa"/>
        <w:left w:w="0" w:type="dxa"/>
        <w:bottom w:w="0" w:type="dxa"/>
        <w:right w:w="0" w:type="dxa"/>
      </w:tblCellMar>
    </w:tblPr>
  </w:style>
  <w:style w:type="paragraph" w:customStyle="1" w:styleId="237">
    <w:name w:val="Normal_file_3079"/>
    <w:next w:val="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8">
    <w:name w:val="heading 2_file_3079"/>
    <w:basedOn w:val="237"/>
    <w:next w:val="3"/>
    <w:qFormat/>
    <w:uiPriority w:val="0"/>
    <w:pPr>
      <w:keepNext/>
      <w:adjustRightInd w:val="0"/>
      <w:spacing w:before="120" w:line="360" w:lineRule="auto"/>
      <w:jc w:val="center"/>
      <w:outlineLvl w:val="1"/>
    </w:pPr>
    <w:rPr>
      <w:rFonts w:eastAsia="隶书"/>
      <w:b/>
      <w:kern w:val="0"/>
      <w:sz w:val="44"/>
      <w:szCs w:val="20"/>
    </w:rPr>
  </w:style>
  <w:style w:type="paragraph" w:customStyle="1" w:styleId="239">
    <w:name w:val="heading 4_file_3079"/>
    <w:basedOn w:val="237"/>
    <w:next w:val="3"/>
    <w:qFormat/>
    <w:uiPriority w:val="0"/>
    <w:pPr>
      <w:keepNext/>
      <w:keepLines/>
      <w:spacing w:before="280" w:after="290" w:line="376" w:lineRule="auto"/>
      <w:outlineLvl w:val="3"/>
    </w:pPr>
    <w:rPr>
      <w:rFonts w:ascii="Arial" w:hAnsi="Arial" w:eastAsia="黑体"/>
      <w:b/>
      <w:bCs/>
      <w:sz w:val="28"/>
      <w:szCs w:val="28"/>
    </w:rPr>
  </w:style>
  <w:style w:type="character" w:customStyle="1" w:styleId="240">
    <w:name w:val="Default Paragraph Font_file_3079"/>
    <w:semiHidden/>
    <w:qFormat/>
    <w:uiPriority w:val="0"/>
  </w:style>
  <w:style w:type="table" w:customStyle="1" w:styleId="241">
    <w:name w:val="Normal Table_file_3079"/>
    <w:semiHidden/>
    <w:qFormat/>
    <w:uiPriority w:val="0"/>
    <w:tblPr>
      <w:tblCellMar>
        <w:top w:w="0" w:type="dxa"/>
        <w:left w:w="108" w:type="dxa"/>
        <w:bottom w:w="0" w:type="dxa"/>
        <w:right w:w="108" w:type="dxa"/>
      </w:tblCellMar>
    </w:tblPr>
  </w:style>
  <w:style w:type="paragraph" w:customStyle="1" w:styleId="242">
    <w:name w:val="Body Text_file_3079"/>
    <w:basedOn w:val="237"/>
    <w:qFormat/>
    <w:uiPriority w:val="0"/>
    <w:pPr>
      <w:spacing w:line="420" w:lineRule="exact"/>
    </w:pPr>
    <w:rPr>
      <w:sz w:val="24"/>
    </w:rPr>
  </w:style>
  <w:style w:type="paragraph" w:customStyle="1" w:styleId="243">
    <w:name w:val="Body Text First Indent_file_3079"/>
    <w:basedOn w:val="242"/>
    <w:qFormat/>
    <w:uiPriority w:val="99"/>
    <w:pPr>
      <w:spacing w:line="400" w:lineRule="atLeast"/>
      <w:ind w:firstLine="426"/>
    </w:pPr>
    <w:rPr>
      <w:szCs w:val="20"/>
    </w:rPr>
  </w:style>
  <w:style w:type="paragraph" w:customStyle="1" w:styleId="244">
    <w:name w:val="annotation text_file_3079"/>
    <w:basedOn w:val="237"/>
    <w:qFormat/>
    <w:uiPriority w:val="0"/>
    <w:pPr>
      <w:jc w:val="left"/>
    </w:pPr>
  </w:style>
  <w:style w:type="character" w:customStyle="1" w:styleId="245">
    <w:name w:val="Hyperlink_file_3079"/>
    <w:basedOn w:val="240"/>
    <w:qFormat/>
    <w:uiPriority w:val="0"/>
    <w:rPr>
      <w:color w:val="0563C1" w:themeColor="hyperlink"/>
      <w:u w:val="single"/>
      <w14:textFill>
        <w14:solidFill>
          <w14:schemeClr w14:val="hlink"/>
        </w14:solidFill>
      </w14:textFill>
    </w:rPr>
  </w:style>
  <w:style w:type="table" w:customStyle="1" w:styleId="246">
    <w:name w:val="Normal Table_file_369_file_420_file_3079"/>
    <w:unhideWhenUsed/>
    <w:qFormat/>
    <w:uiPriority w:val="99"/>
    <w:tblPr>
      <w:tblCellMar>
        <w:top w:w="0" w:type="dxa"/>
        <w:left w:w="108" w:type="dxa"/>
        <w:bottom w:w="0" w:type="dxa"/>
        <w:right w:w="108" w:type="dxa"/>
      </w:tblCellMar>
    </w:tblPr>
  </w:style>
  <w:style w:type="paragraph" w:customStyle="1" w:styleId="247">
    <w:name w:val="Plain Text_file_369_file_420_file_3079"/>
    <w:basedOn w:val="248"/>
    <w:qFormat/>
    <w:uiPriority w:val="0"/>
    <w:rPr>
      <w:rFonts w:ascii="宋体" w:hAnsi="Courier New" w:cs="Courier New"/>
      <w:szCs w:val="21"/>
    </w:rPr>
  </w:style>
  <w:style w:type="paragraph" w:customStyle="1" w:styleId="248">
    <w:name w:val="Normal_file_369_file_420_file_3079"/>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9">
    <w:name w:val="Normal_file_308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50">
    <w:name w:val="heading 1_file_3080"/>
    <w:basedOn w:val="249"/>
    <w:qFormat/>
    <w:uiPriority w:val="9"/>
    <w:pPr>
      <w:outlineLvl w:val="0"/>
    </w:pPr>
    <w:rPr>
      <w:kern w:val="36"/>
      <w:sz w:val="48"/>
      <w:szCs w:val="48"/>
    </w:rPr>
  </w:style>
  <w:style w:type="paragraph" w:customStyle="1" w:styleId="251">
    <w:name w:val="heading 2_file_3080"/>
    <w:basedOn w:val="249"/>
    <w:qFormat/>
    <w:uiPriority w:val="9"/>
    <w:pPr>
      <w:outlineLvl w:val="1"/>
    </w:pPr>
    <w:rPr>
      <w:sz w:val="36"/>
      <w:szCs w:val="36"/>
    </w:rPr>
  </w:style>
  <w:style w:type="paragraph" w:customStyle="1" w:styleId="252">
    <w:name w:val="heading 3_file_3080"/>
    <w:basedOn w:val="249"/>
    <w:qFormat/>
    <w:uiPriority w:val="9"/>
    <w:pPr>
      <w:outlineLvl w:val="2"/>
    </w:pPr>
    <w:rPr>
      <w:sz w:val="27"/>
      <w:szCs w:val="27"/>
    </w:rPr>
  </w:style>
  <w:style w:type="paragraph" w:customStyle="1" w:styleId="253">
    <w:name w:val="heading 4_file_3080"/>
    <w:basedOn w:val="249"/>
    <w:qFormat/>
    <w:uiPriority w:val="9"/>
    <w:pPr>
      <w:outlineLvl w:val="3"/>
    </w:pPr>
  </w:style>
  <w:style w:type="paragraph" w:customStyle="1" w:styleId="254">
    <w:name w:val="heading 5_file_3080"/>
    <w:basedOn w:val="249"/>
    <w:qFormat/>
    <w:uiPriority w:val="9"/>
    <w:pPr>
      <w:outlineLvl w:val="4"/>
    </w:pPr>
    <w:rPr>
      <w:sz w:val="20"/>
      <w:szCs w:val="20"/>
    </w:rPr>
  </w:style>
  <w:style w:type="paragraph" w:customStyle="1" w:styleId="255">
    <w:name w:val="heading 6_file_3080"/>
    <w:basedOn w:val="249"/>
    <w:qFormat/>
    <w:uiPriority w:val="9"/>
    <w:pPr>
      <w:outlineLvl w:val="5"/>
    </w:pPr>
    <w:rPr>
      <w:sz w:val="15"/>
      <w:szCs w:val="15"/>
    </w:rPr>
  </w:style>
  <w:style w:type="character" w:customStyle="1" w:styleId="256">
    <w:name w:val="Default Paragraph Font_file_3080"/>
    <w:semiHidden/>
    <w:unhideWhenUsed/>
    <w:qFormat/>
    <w:uiPriority w:val="1"/>
  </w:style>
  <w:style w:type="table" w:customStyle="1" w:styleId="257">
    <w:name w:val="Normal Table_file_3080"/>
    <w:semiHidden/>
    <w:unhideWhenUsed/>
    <w:qFormat/>
    <w:uiPriority w:val="99"/>
    <w:tblPr>
      <w:tblCellMar>
        <w:top w:w="0" w:type="dxa"/>
        <w:left w:w="108" w:type="dxa"/>
        <w:bottom w:w="0" w:type="dxa"/>
        <w:right w:w="108" w:type="dxa"/>
      </w:tblCellMar>
    </w:tblPr>
  </w:style>
  <w:style w:type="character" w:customStyle="1" w:styleId="258">
    <w:name w:val="Hyperlink_file_3080"/>
    <w:basedOn w:val="256"/>
    <w:semiHidden/>
    <w:unhideWhenUsed/>
    <w:qFormat/>
    <w:uiPriority w:val="99"/>
    <w:rPr>
      <w:color w:val="0782C1"/>
      <w:u w:val="single"/>
    </w:rPr>
  </w:style>
  <w:style w:type="character" w:customStyle="1" w:styleId="259">
    <w:name w:val="FollowedHyperlink_file_3080"/>
    <w:basedOn w:val="256"/>
    <w:semiHidden/>
    <w:unhideWhenUsed/>
    <w:qFormat/>
    <w:uiPriority w:val="99"/>
    <w:rPr>
      <w:color w:val="0782C1"/>
      <w:u w:val="single"/>
    </w:rPr>
  </w:style>
  <w:style w:type="character" w:customStyle="1" w:styleId="260">
    <w:name w:val="标题 1 Char_file_3080"/>
    <w:basedOn w:val="256"/>
    <w:link w:val="3"/>
    <w:qFormat/>
    <w:uiPriority w:val="9"/>
    <w:rPr>
      <w:rFonts w:ascii="宋体" w:hAnsi="宋体" w:eastAsia="宋体" w:cs="宋体"/>
      <w:b/>
      <w:bCs/>
      <w:kern w:val="44"/>
      <w:sz w:val="44"/>
      <w:szCs w:val="44"/>
    </w:rPr>
  </w:style>
  <w:style w:type="character" w:customStyle="1" w:styleId="261">
    <w:name w:val="标题 2 Char_file_3080"/>
    <w:basedOn w:val="256"/>
    <w:link w:val="4"/>
    <w:semiHidden/>
    <w:qFormat/>
    <w:uiPriority w:val="9"/>
    <w:rPr>
      <w:rFonts w:asciiTheme="majorHAnsi" w:hAnsiTheme="majorHAnsi" w:eastAsiaTheme="majorEastAsia" w:cstheme="majorBidi"/>
      <w:b/>
      <w:bCs/>
      <w:sz w:val="32"/>
      <w:szCs w:val="32"/>
    </w:rPr>
  </w:style>
  <w:style w:type="character" w:customStyle="1" w:styleId="262">
    <w:name w:val="标题 3 Char_file_3080"/>
    <w:basedOn w:val="256"/>
    <w:link w:val="5"/>
    <w:semiHidden/>
    <w:qFormat/>
    <w:uiPriority w:val="9"/>
    <w:rPr>
      <w:rFonts w:ascii="宋体" w:hAnsi="宋体" w:eastAsia="宋体" w:cs="宋体"/>
      <w:b/>
      <w:bCs/>
      <w:sz w:val="32"/>
      <w:szCs w:val="32"/>
    </w:rPr>
  </w:style>
  <w:style w:type="character" w:customStyle="1" w:styleId="263">
    <w:name w:val="标题 4 Char_file_3080"/>
    <w:basedOn w:val="256"/>
    <w:link w:val="6"/>
    <w:semiHidden/>
    <w:qFormat/>
    <w:uiPriority w:val="9"/>
    <w:rPr>
      <w:rFonts w:asciiTheme="majorHAnsi" w:hAnsiTheme="majorHAnsi" w:eastAsiaTheme="majorEastAsia" w:cstheme="majorBidi"/>
      <w:b/>
      <w:bCs/>
      <w:sz w:val="28"/>
      <w:szCs w:val="28"/>
    </w:rPr>
  </w:style>
  <w:style w:type="character" w:customStyle="1" w:styleId="264">
    <w:name w:val="标题 5 Char_file_3080"/>
    <w:basedOn w:val="256"/>
    <w:link w:val="7"/>
    <w:semiHidden/>
    <w:qFormat/>
    <w:uiPriority w:val="9"/>
    <w:rPr>
      <w:rFonts w:ascii="宋体" w:hAnsi="宋体" w:eastAsia="宋体" w:cs="宋体"/>
      <w:b/>
      <w:bCs/>
      <w:sz w:val="28"/>
      <w:szCs w:val="28"/>
    </w:rPr>
  </w:style>
  <w:style w:type="character" w:customStyle="1" w:styleId="265">
    <w:name w:val="标题 6 Char_file_3080"/>
    <w:basedOn w:val="256"/>
    <w:link w:val="9"/>
    <w:semiHidden/>
    <w:qFormat/>
    <w:uiPriority w:val="9"/>
    <w:rPr>
      <w:rFonts w:asciiTheme="majorHAnsi" w:hAnsiTheme="majorHAnsi" w:eastAsiaTheme="majorEastAsia" w:cstheme="majorBidi"/>
      <w:b/>
      <w:bCs/>
      <w:sz w:val="24"/>
      <w:szCs w:val="24"/>
    </w:rPr>
  </w:style>
  <w:style w:type="paragraph" w:customStyle="1" w:styleId="266">
    <w:name w:val="cke_editable_file_3080"/>
    <w:basedOn w:val="249"/>
    <w:qFormat/>
    <w:uiPriority w:val="0"/>
    <w:rPr>
      <w:rFonts w:ascii="仿宋_GB2312" w:eastAsia="仿宋_GB2312"/>
    </w:rPr>
  </w:style>
  <w:style w:type="paragraph" w:customStyle="1" w:styleId="267">
    <w:name w:val="marker_file_3080"/>
    <w:basedOn w:val="249"/>
    <w:qFormat/>
    <w:uiPriority w:val="0"/>
    <w:pPr>
      <w:shd w:val="clear" w:color="auto" w:fill="FFFF00"/>
    </w:pPr>
  </w:style>
  <w:style w:type="paragraph" w:customStyle="1" w:styleId="268">
    <w:name w:val="Normal (Web)_file_3080"/>
    <w:basedOn w:val="249"/>
    <w:semiHidden/>
    <w:unhideWhenUsed/>
    <w:qFormat/>
    <w:uiPriority w:val="99"/>
  </w:style>
  <w:style w:type="paragraph" w:customStyle="1" w:styleId="269">
    <w:name w:val="Normal_file_308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70">
    <w:name w:val="heading 1_file_3081"/>
    <w:basedOn w:val="269"/>
    <w:qFormat/>
    <w:uiPriority w:val="9"/>
    <w:pPr>
      <w:outlineLvl w:val="0"/>
    </w:pPr>
    <w:rPr>
      <w:kern w:val="36"/>
      <w:sz w:val="48"/>
      <w:szCs w:val="48"/>
    </w:rPr>
  </w:style>
  <w:style w:type="paragraph" w:customStyle="1" w:styleId="271">
    <w:name w:val="heading 2_file_3081"/>
    <w:basedOn w:val="269"/>
    <w:qFormat/>
    <w:uiPriority w:val="9"/>
    <w:pPr>
      <w:outlineLvl w:val="1"/>
    </w:pPr>
    <w:rPr>
      <w:sz w:val="36"/>
      <w:szCs w:val="36"/>
    </w:rPr>
  </w:style>
  <w:style w:type="paragraph" w:customStyle="1" w:styleId="272">
    <w:name w:val="heading 3_file_3081"/>
    <w:basedOn w:val="269"/>
    <w:qFormat/>
    <w:uiPriority w:val="9"/>
    <w:pPr>
      <w:outlineLvl w:val="2"/>
    </w:pPr>
    <w:rPr>
      <w:sz w:val="27"/>
      <w:szCs w:val="27"/>
    </w:rPr>
  </w:style>
  <w:style w:type="paragraph" w:customStyle="1" w:styleId="273">
    <w:name w:val="heading 4_file_3081"/>
    <w:basedOn w:val="269"/>
    <w:qFormat/>
    <w:uiPriority w:val="9"/>
    <w:pPr>
      <w:outlineLvl w:val="3"/>
    </w:pPr>
  </w:style>
  <w:style w:type="paragraph" w:customStyle="1" w:styleId="274">
    <w:name w:val="heading 5_file_3081"/>
    <w:basedOn w:val="269"/>
    <w:qFormat/>
    <w:uiPriority w:val="9"/>
    <w:pPr>
      <w:outlineLvl w:val="4"/>
    </w:pPr>
    <w:rPr>
      <w:sz w:val="20"/>
      <w:szCs w:val="20"/>
    </w:rPr>
  </w:style>
  <w:style w:type="paragraph" w:customStyle="1" w:styleId="275">
    <w:name w:val="heading 6_file_3081"/>
    <w:basedOn w:val="269"/>
    <w:qFormat/>
    <w:uiPriority w:val="9"/>
    <w:pPr>
      <w:outlineLvl w:val="5"/>
    </w:pPr>
    <w:rPr>
      <w:sz w:val="15"/>
      <w:szCs w:val="15"/>
    </w:rPr>
  </w:style>
  <w:style w:type="character" w:customStyle="1" w:styleId="276">
    <w:name w:val="Default Paragraph Font_file_3081"/>
    <w:semiHidden/>
    <w:unhideWhenUsed/>
    <w:qFormat/>
    <w:uiPriority w:val="1"/>
  </w:style>
  <w:style w:type="table" w:customStyle="1" w:styleId="277">
    <w:name w:val="Normal Table_file_3081"/>
    <w:semiHidden/>
    <w:unhideWhenUsed/>
    <w:qFormat/>
    <w:uiPriority w:val="99"/>
    <w:tblPr>
      <w:tblCellMar>
        <w:top w:w="0" w:type="dxa"/>
        <w:left w:w="108" w:type="dxa"/>
        <w:bottom w:w="0" w:type="dxa"/>
        <w:right w:w="108" w:type="dxa"/>
      </w:tblCellMar>
    </w:tblPr>
  </w:style>
  <w:style w:type="character" w:customStyle="1" w:styleId="278">
    <w:name w:val="Hyperlink_file_3081"/>
    <w:basedOn w:val="276"/>
    <w:semiHidden/>
    <w:unhideWhenUsed/>
    <w:qFormat/>
    <w:uiPriority w:val="99"/>
    <w:rPr>
      <w:color w:val="0782C1"/>
      <w:u w:val="single"/>
    </w:rPr>
  </w:style>
  <w:style w:type="character" w:customStyle="1" w:styleId="279">
    <w:name w:val="FollowedHyperlink_file_3081"/>
    <w:basedOn w:val="276"/>
    <w:semiHidden/>
    <w:unhideWhenUsed/>
    <w:qFormat/>
    <w:uiPriority w:val="99"/>
    <w:rPr>
      <w:color w:val="0782C1"/>
      <w:u w:val="single"/>
    </w:rPr>
  </w:style>
  <w:style w:type="character" w:customStyle="1" w:styleId="280">
    <w:name w:val="标题 1 Char_file_3081"/>
    <w:basedOn w:val="276"/>
    <w:link w:val="3"/>
    <w:qFormat/>
    <w:uiPriority w:val="9"/>
    <w:rPr>
      <w:rFonts w:ascii="宋体" w:hAnsi="宋体" w:eastAsia="宋体" w:cs="宋体"/>
      <w:b/>
      <w:bCs/>
      <w:kern w:val="44"/>
      <w:sz w:val="44"/>
      <w:szCs w:val="44"/>
    </w:rPr>
  </w:style>
  <w:style w:type="character" w:customStyle="1" w:styleId="281">
    <w:name w:val="标题 2 Char_file_3081"/>
    <w:basedOn w:val="276"/>
    <w:link w:val="4"/>
    <w:semiHidden/>
    <w:qFormat/>
    <w:uiPriority w:val="9"/>
    <w:rPr>
      <w:rFonts w:asciiTheme="majorHAnsi" w:hAnsiTheme="majorHAnsi" w:eastAsiaTheme="majorEastAsia" w:cstheme="majorBidi"/>
      <w:b/>
      <w:bCs/>
      <w:sz w:val="32"/>
      <w:szCs w:val="32"/>
    </w:rPr>
  </w:style>
  <w:style w:type="character" w:customStyle="1" w:styleId="282">
    <w:name w:val="标题 3 Char_file_3081"/>
    <w:basedOn w:val="276"/>
    <w:link w:val="5"/>
    <w:semiHidden/>
    <w:qFormat/>
    <w:uiPriority w:val="9"/>
    <w:rPr>
      <w:rFonts w:ascii="宋体" w:hAnsi="宋体" w:eastAsia="宋体" w:cs="宋体"/>
      <w:b/>
      <w:bCs/>
      <w:sz w:val="32"/>
      <w:szCs w:val="32"/>
    </w:rPr>
  </w:style>
  <w:style w:type="character" w:customStyle="1" w:styleId="283">
    <w:name w:val="标题 4 Char_file_3081"/>
    <w:basedOn w:val="276"/>
    <w:link w:val="6"/>
    <w:semiHidden/>
    <w:qFormat/>
    <w:uiPriority w:val="9"/>
    <w:rPr>
      <w:rFonts w:asciiTheme="majorHAnsi" w:hAnsiTheme="majorHAnsi" w:eastAsiaTheme="majorEastAsia" w:cstheme="majorBidi"/>
      <w:b/>
      <w:bCs/>
      <w:sz w:val="28"/>
      <w:szCs w:val="28"/>
    </w:rPr>
  </w:style>
  <w:style w:type="character" w:customStyle="1" w:styleId="284">
    <w:name w:val="标题 5 Char_file_3081"/>
    <w:basedOn w:val="276"/>
    <w:link w:val="7"/>
    <w:semiHidden/>
    <w:qFormat/>
    <w:uiPriority w:val="9"/>
    <w:rPr>
      <w:rFonts w:ascii="宋体" w:hAnsi="宋体" w:eastAsia="宋体" w:cs="宋体"/>
      <w:b/>
      <w:bCs/>
      <w:sz w:val="28"/>
      <w:szCs w:val="28"/>
    </w:rPr>
  </w:style>
  <w:style w:type="character" w:customStyle="1" w:styleId="285">
    <w:name w:val="标题 6 Char_file_3081"/>
    <w:basedOn w:val="276"/>
    <w:link w:val="9"/>
    <w:semiHidden/>
    <w:qFormat/>
    <w:uiPriority w:val="9"/>
    <w:rPr>
      <w:rFonts w:asciiTheme="majorHAnsi" w:hAnsiTheme="majorHAnsi" w:eastAsiaTheme="majorEastAsia" w:cstheme="majorBidi"/>
      <w:b/>
      <w:bCs/>
      <w:sz w:val="24"/>
      <w:szCs w:val="24"/>
    </w:rPr>
  </w:style>
  <w:style w:type="paragraph" w:customStyle="1" w:styleId="286">
    <w:name w:val="cke_editable_file_3081"/>
    <w:basedOn w:val="269"/>
    <w:qFormat/>
    <w:uiPriority w:val="0"/>
    <w:rPr>
      <w:rFonts w:ascii="仿宋_GB2312" w:eastAsia="仿宋_GB2312"/>
    </w:rPr>
  </w:style>
  <w:style w:type="paragraph" w:customStyle="1" w:styleId="287">
    <w:name w:val="marker_file_3081"/>
    <w:basedOn w:val="269"/>
    <w:qFormat/>
    <w:uiPriority w:val="0"/>
    <w:pPr>
      <w:shd w:val="clear" w:color="auto" w:fill="FFFF00"/>
    </w:pPr>
  </w:style>
  <w:style w:type="paragraph" w:customStyle="1" w:styleId="288">
    <w:name w:val="Normal (Web)_file_3081"/>
    <w:basedOn w:val="269"/>
    <w:semiHidden/>
    <w:unhideWhenUsed/>
    <w:qFormat/>
    <w:uiPriority w:val="99"/>
  </w:style>
  <w:style w:type="paragraph" w:customStyle="1" w:styleId="289">
    <w:name w:val="Normal_file_3082"/>
    <w:next w:val="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0">
    <w:name w:val="heading 2_file_3082"/>
    <w:basedOn w:val="289"/>
    <w:next w:val="3"/>
    <w:qFormat/>
    <w:uiPriority w:val="0"/>
    <w:pPr>
      <w:keepNext/>
      <w:adjustRightInd w:val="0"/>
      <w:spacing w:before="120" w:line="360" w:lineRule="auto"/>
      <w:jc w:val="center"/>
      <w:outlineLvl w:val="1"/>
    </w:pPr>
    <w:rPr>
      <w:rFonts w:eastAsia="隶书"/>
      <w:b/>
      <w:kern w:val="0"/>
      <w:sz w:val="44"/>
      <w:szCs w:val="20"/>
    </w:rPr>
  </w:style>
  <w:style w:type="paragraph" w:customStyle="1" w:styleId="291">
    <w:name w:val="heading 3_file_3082"/>
    <w:basedOn w:val="289"/>
    <w:next w:val="3"/>
    <w:qFormat/>
    <w:uiPriority w:val="0"/>
    <w:pPr>
      <w:keepNext/>
      <w:keepLines/>
      <w:spacing w:before="260" w:after="260" w:line="416" w:lineRule="auto"/>
      <w:outlineLvl w:val="2"/>
    </w:pPr>
    <w:rPr>
      <w:b/>
      <w:bCs/>
      <w:sz w:val="32"/>
      <w:szCs w:val="32"/>
    </w:rPr>
  </w:style>
  <w:style w:type="character" w:customStyle="1" w:styleId="292">
    <w:name w:val="Default Paragraph Font_file_3082"/>
    <w:semiHidden/>
    <w:qFormat/>
    <w:uiPriority w:val="0"/>
  </w:style>
  <w:style w:type="table" w:customStyle="1" w:styleId="293">
    <w:name w:val="Normal Table_file_3082"/>
    <w:semiHidden/>
    <w:qFormat/>
    <w:uiPriority w:val="0"/>
    <w:tblPr>
      <w:tblCellMar>
        <w:top w:w="0" w:type="dxa"/>
        <w:left w:w="108" w:type="dxa"/>
        <w:bottom w:w="0" w:type="dxa"/>
        <w:right w:w="108" w:type="dxa"/>
      </w:tblCellMar>
    </w:tblPr>
  </w:style>
  <w:style w:type="paragraph" w:customStyle="1" w:styleId="294">
    <w:name w:val="Body Text_file_3082"/>
    <w:basedOn w:val="289"/>
    <w:qFormat/>
    <w:uiPriority w:val="0"/>
    <w:pPr>
      <w:spacing w:line="420" w:lineRule="exact"/>
    </w:pPr>
    <w:rPr>
      <w:sz w:val="24"/>
    </w:rPr>
  </w:style>
  <w:style w:type="table" w:customStyle="1" w:styleId="295">
    <w:name w:val="Normal Table_file_423_file_1527_file_2952_file_3082"/>
    <w:semiHidden/>
    <w:qFormat/>
    <w:uiPriority w:val="0"/>
    <w:tblPr>
      <w:tblCellMar>
        <w:top w:w="0" w:type="dxa"/>
        <w:left w:w="108" w:type="dxa"/>
        <w:bottom w:w="0" w:type="dxa"/>
        <w:right w:w="108" w:type="dxa"/>
      </w:tblCellMar>
    </w:tblPr>
  </w:style>
  <w:style w:type="paragraph" w:customStyle="1" w:styleId="296">
    <w:name w:val="Body Text 2_file_104_file_123_file_1083_file_789_file_2952_file_3082"/>
    <w:basedOn w:val="297"/>
    <w:qFormat/>
    <w:uiPriority w:val="0"/>
    <w:pPr>
      <w:jc w:val="left"/>
    </w:pPr>
    <w:rPr>
      <w:rFonts w:ascii="仿宋_GB2312" w:hAnsi="宋体" w:eastAsia="仿宋_GB2312"/>
    </w:rPr>
  </w:style>
  <w:style w:type="paragraph" w:customStyle="1" w:styleId="297">
    <w:name w:val="Normal_file_104_file_123_file_1083_file_789_file_2952_file_3082"/>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8">
    <w:name w:val="Plain Text_file_423_file_1527_file_2952_file_3082"/>
    <w:basedOn w:val="299"/>
    <w:qFormat/>
    <w:uiPriority w:val="0"/>
    <w:rPr>
      <w:rFonts w:ascii="宋体" w:hAnsi="Courier New" w:cs="Courier New"/>
      <w:szCs w:val="21"/>
    </w:rPr>
  </w:style>
  <w:style w:type="paragraph" w:customStyle="1" w:styleId="299">
    <w:name w:val="Normal_file_423_file_1527_file_2952_file_3082"/>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0">
    <w:name w:val="footer_file_423_file_1527_file_2952_file_3082"/>
    <w:basedOn w:val="299"/>
    <w:qFormat/>
    <w:uiPriority w:val="99"/>
    <w:pPr>
      <w:tabs>
        <w:tab w:val="center" w:pos="4153"/>
        <w:tab w:val="right" w:pos="8306"/>
      </w:tabs>
      <w:snapToGrid w:val="0"/>
      <w:jc w:val="left"/>
    </w:pPr>
    <w:rPr>
      <w:sz w:val="18"/>
      <w:szCs w:val="18"/>
    </w:rPr>
  </w:style>
  <w:style w:type="paragraph" w:customStyle="1" w:styleId="301">
    <w:name w:val="表格文字_file_423_file_1527_file_2952_file_3082"/>
    <w:basedOn w:val="299"/>
    <w:qFormat/>
    <w:uiPriority w:val="99"/>
    <w:pPr>
      <w:spacing w:before="25" w:after="25"/>
      <w:jc w:val="left"/>
    </w:pPr>
    <w:rPr>
      <w:bCs/>
      <w:spacing w:val="10"/>
      <w:kern w:val="0"/>
      <w:sz w:val="24"/>
    </w:rPr>
  </w:style>
  <w:style w:type="paragraph" w:customStyle="1" w:styleId="302">
    <w:name w:val="表格文字_file_423_file_2952_file_3082"/>
    <w:basedOn w:val="303"/>
    <w:qFormat/>
    <w:uiPriority w:val="99"/>
    <w:pPr>
      <w:spacing w:before="25" w:after="25"/>
      <w:jc w:val="left"/>
    </w:pPr>
    <w:rPr>
      <w:bCs/>
      <w:spacing w:val="10"/>
      <w:kern w:val="0"/>
      <w:sz w:val="24"/>
    </w:rPr>
  </w:style>
  <w:style w:type="paragraph" w:customStyle="1" w:styleId="303">
    <w:name w:val="Normal_file_423_file_2952_file_3082"/>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4">
    <w:name w:val="Normal_file_308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05">
    <w:name w:val="heading 1_file_3083"/>
    <w:basedOn w:val="304"/>
    <w:qFormat/>
    <w:uiPriority w:val="9"/>
    <w:pPr>
      <w:outlineLvl w:val="0"/>
    </w:pPr>
    <w:rPr>
      <w:kern w:val="36"/>
      <w:sz w:val="48"/>
      <w:szCs w:val="48"/>
    </w:rPr>
  </w:style>
  <w:style w:type="paragraph" w:customStyle="1" w:styleId="306">
    <w:name w:val="heading 2_file_3083"/>
    <w:basedOn w:val="304"/>
    <w:qFormat/>
    <w:uiPriority w:val="9"/>
    <w:pPr>
      <w:outlineLvl w:val="1"/>
    </w:pPr>
    <w:rPr>
      <w:sz w:val="36"/>
      <w:szCs w:val="36"/>
    </w:rPr>
  </w:style>
  <w:style w:type="paragraph" w:customStyle="1" w:styleId="307">
    <w:name w:val="heading 3_file_3083"/>
    <w:basedOn w:val="304"/>
    <w:qFormat/>
    <w:uiPriority w:val="9"/>
    <w:pPr>
      <w:outlineLvl w:val="2"/>
    </w:pPr>
    <w:rPr>
      <w:sz w:val="27"/>
      <w:szCs w:val="27"/>
    </w:rPr>
  </w:style>
  <w:style w:type="paragraph" w:customStyle="1" w:styleId="308">
    <w:name w:val="heading 4_file_3083"/>
    <w:basedOn w:val="304"/>
    <w:qFormat/>
    <w:uiPriority w:val="9"/>
    <w:pPr>
      <w:outlineLvl w:val="3"/>
    </w:pPr>
  </w:style>
  <w:style w:type="paragraph" w:customStyle="1" w:styleId="309">
    <w:name w:val="heading 5_file_3083"/>
    <w:basedOn w:val="304"/>
    <w:qFormat/>
    <w:uiPriority w:val="9"/>
    <w:pPr>
      <w:outlineLvl w:val="4"/>
    </w:pPr>
    <w:rPr>
      <w:sz w:val="20"/>
      <w:szCs w:val="20"/>
    </w:rPr>
  </w:style>
  <w:style w:type="paragraph" w:customStyle="1" w:styleId="310">
    <w:name w:val="heading 6_file_3083"/>
    <w:basedOn w:val="304"/>
    <w:qFormat/>
    <w:uiPriority w:val="9"/>
    <w:pPr>
      <w:outlineLvl w:val="5"/>
    </w:pPr>
    <w:rPr>
      <w:sz w:val="15"/>
      <w:szCs w:val="15"/>
    </w:rPr>
  </w:style>
  <w:style w:type="character" w:customStyle="1" w:styleId="311">
    <w:name w:val="Default Paragraph Font_file_3083"/>
    <w:semiHidden/>
    <w:unhideWhenUsed/>
    <w:qFormat/>
    <w:uiPriority w:val="1"/>
  </w:style>
  <w:style w:type="table" w:customStyle="1" w:styleId="312">
    <w:name w:val="Normal Table_file_3083"/>
    <w:semiHidden/>
    <w:unhideWhenUsed/>
    <w:qFormat/>
    <w:uiPriority w:val="99"/>
    <w:tblPr>
      <w:tblCellMar>
        <w:top w:w="0" w:type="dxa"/>
        <w:left w:w="108" w:type="dxa"/>
        <w:bottom w:w="0" w:type="dxa"/>
        <w:right w:w="108" w:type="dxa"/>
      </w:tblCellMar>
    </w:tblPr>
  </w:style>
  <w:style w:type="character" w:customStyle="1" w:styleId="313">
    <w:name w:val="Hyperlink_file_3083"/>
    <w:basedOn w:val="311"/>
    <w:semiHidden/>
    <w:unhideWhenUsed/>
    <w:qFormat/>
    <w:uiPriority w:val="99"/>
    <w:rPr>
      <w:color w:val="0782C1"/>
      <w:u w:val="single"/>
    </w:rPr>
  </w:style>
  <w:style w:type="character" w:customStyle="1" w:styleId="314">
    <w:name w:val="FollowedHyperlink_file_3083"/>
    <w:basedOn w:val="311"/>
    <w:semiHidden/>
    <w:unhideWhenUsed/>
    <w:qFormat/>
    <w:uiPriority w:val="99"/>
    <w:rPr>
      <w:color w:val="0782C1"/>
      <w:u w:val="single"/>
    </w:rPr>
  </w:style>
  <w:style w:type="character" w:customStyle="1" w:styleId="315">
    <w:name w:val="标题 1 Char_file_3083"/>
    <w:basedOn w:val="311"/>
    <w:link w:val="3"/>
    <w:qFormat/>
    <w:uiPriority w:val="9"/>
    <w:rPr>
      <w:rFonts w:ascii="宋体" w:hAnsi="宋体" w:eastAsia="宋体" w:cs="宋体"/>
      <w:b/>
      <w:bCs/>
      <w:kern w:val="44"/>
      <w:sz w:val="44"/>
      <w:szCs w:val="44"/>
    </w:rPr>
  </w:style>
  <w:style w:type="character" w:customStyle="1" w:styleId="316">
    <w:name w:val="标题 2 Char_file_3083"/>
    <w:basedOn w:val="311"/>
    <w:link w:val="4"/>
    <w:semiHidden/>
    <w:qFormat/>
    <w:uiPriority w:val="9"/>
    <w:rPr>
      <w:rFonts w:asciiTheme="majorHAnsi" w:hAnsiTheme="majorHAnsi" w:eastAsiaTheme="majorEastAsia" w:cstheme="majorBidi"/>
      <w:b/>
      <w:bCs/>
      <w:sz w:val="32"/>
      <w:szCs w:val="32"/>
    </w:rPr>
  </w:style>
  <w:style w:type="character" w:customStyle="1" w:styleId="317">
    <w:name w:val="标题 3 Char_file_3083"/>
    <w:basedOn w:val="311"/>
    <w:link w:val="5"/>
    <w:semiHidden/>
    <w:qFormat/>
    <w:uiPriority w:val="9"/>
    <w:rPr>
      <w:rFonts w:ascii="宋体" w:hAnsi="宋体" w:eastAsia="宋体" w:cs="宋体"/>
      <w:b/>
      <w:bCs/>
      <w:sz w:val="32"/>
      <w:szCs w:val="32"/>
    </w:rPr>
  </w:style>
  <w:style w:type="character" w:customStyle="1" w:styleId="318">
    <w:name w:val="标题 4 Char_file_3083"/>
    <w:basedOn w:val="311"/>
    <w:link w:val="6"/>
    <w:semiHidden/>
    <w:qFormat/>
    <w:uiPriority w:val="9"/>
    <w:rPr>
      <w:rFonts w:asciiTheme="majorHAnsi" w:hAnsiTheme="majorHAnsi" w:eastAsiaTheme="majorEastAsia" w:cstheme="majorBidi"/>
      <w:b/>
      <w:bCs/>
      <w:sz w:val="28"/>
      <w:szCs w:val="28"/>
    </w:rPr>
  </w:style>
  <w:style w:type="character" w:customStyle="1" w:styleId="319">
    <w:name w:val="标题 5 Char_file_3083"/>
    <w:basedOn w:val="311"/>
    <w:link w:val="7"/>
    <w:semiHidden/>
    <w:qFormat/>
    <w:uiPriority w:val="9"/>
    <w:rPr>
      <w:rFonts w:ascii="宋体" w:hAnsi="宋体" w:eastAsia="宋体" w:cs="宋体"/>
      <w:b/>
      <w:bCs/>
      <w:sz w:val="28"/>
      <w:szCs w:val="28"/>
    </w:rPr>
  </w:style>
  <w:style w:type="character" w:customStyle="1" w:styleId="320">
    <w:name w:val="标题 6 Char_file_3083"/>
    <w:basedOn w:val="311"/>
    <w:link w:val="9"/>
    <w:semiHidden/>
    <w:qFormat/>
    <w:uiPriority w:val="9"/>
    <w:rPr>
      <w:rFonts w:asciiTheme="majorHAnsi" w:hAnsiTheme="majorHAnsi" w:eastAsiaTheme="majorEastAsia" w:cstheme="majorBidi"/>
      <w:b/>
      <w:bCs/>
      <w:sz w:val="24"/>
      <w:szCs w:val="24"/>
    </w:rPr>
  </w:style>
  <w:style w:type="paragraph" w:customStyle="1" w:styleId="321">
    <w:name w:val="cke_editable_file_3083"/>
    <w:basedOn w:val="304"/>
    <w:qFormat/>
    <w:uiPriority w:val="0"/>
    <w:rPr>
      <w:rFonts w:ascii="仿宋_GB2312" w:eastAsia="仿宋_GB2312"/>
    </w:rPr>
  </w:style>
  <w:style w:type="paragraph" w:customStyle="1" w:styleId="322">
    <w:name w:val="marker_file_3083"/>
    <w:basedOn w:val="304"/>
    <w:qFormat/>
    <w:uiPriority w:val="0"/>
    <w:pPr>
      <w:shd w:val="clear" w:color="auto" w:fill="FFFF00"/>
    </w:pPr>
  </w:style>
  <w:style w:type="paragraph" w:customStyle="1" w:styleId="323">
    <w:name w:val="Normal (Web)_file_3083"/>
    <w:basedOn w:val="304"/>
    <w:semiHidden/>
    <w:unhideWhenUsed/>
    <w:qFormat/>
    <w:uiPriority w:val="99"/>
  </w:style>
  <w:style w:type="paragraph" w:customStyle="1" w:styleId="324">
    <w:name w:val="Normal_file_308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25">
    <w:name w:val="heading 1_file_3084"/>
    <w:basedOn w:val="324"/>
    <w:qFormat/>
    <w:uiPriority w:val="9"/>
    <w:pPr>
      <w:outlineLvl w:val="0"/>
    </w:pPr>
    <w:rPr>
      <w:kern w:val="36"/>
      <w:sz w:val="48"/>
      <w:szCs w:val="48"/>
    </w:rPr>
  </w:style>
  <w:style w:type="paragraph" w:customStyle="1" w:styleId="326">
    <w:name w:val="heading 2_file_3084"/>
    <w:basedOn w:val="324"/>
    <w:qFormat/>
    <w:uiPriority w:val="9"/>
    <w:pPr>
      <w:outlineLvl w:val="1"/>
    </w:pPr>
    <w:rPr>
      <w:sz w:val="36"/>
      <w:szCs w:val="36"/>
    </w:rPr>
  </w:style>
  <w:style w:type="paragraph" w:customStyle="1" w:styleId="327">
    <w:name w:val="heading 3_file_3084"/>
    <w:basedOn w:val="324"/>
    <w:qFormat/>
    <w:uiPriority w:val="9"/>
    <w:pPr>
      <w:outlineLvl w:val="2"/>
    </w:pPr>
    <w:rPr>
      <w:sz w:val="27"/>
      <w:szCs w:val="27"/>
    </w:rPr>
  </w:style>
  <w:style w:type="paragraph" w:customStyle="1" w:styleId="328">
    <w:name w:val="heading 4_file_3084"/>
    <w:basedOn w:val="324"/>
    <w:qFormat/>
    <w:uiPriority w:val="9"/>
    <w:pPr>
      <w:outlineLvl w:val="3"/>
    </w:pPr>
  </w:style>
  <w:style w:type="paragraph" w:customStyle="1" w:styleId="329">
    <w:name w:val="heading 5_file_3084"/>
    <w:basedOn w:val="324"/>
    <w:qFormat/>
    <w:uiPriority w:val="9"/>
    <w:pPr>
      <w:outlineLvl w:val="4"/>
    </w:pPr>
    <w:rPr>
      <w:sz w:val="20"/>
      <w:szCs w:val="20"/>
    </w:rPr>
  </w:style>
  <w:style w:type="paragraph" w:customStyle="1" w:styleId="330">
    <w:name w:val="heading 6_file_3084"/>
    <w:basedOn w:val="324"/>
    <w:qFormat/>
    <w:uiPriority w:val="9"/>
    <w:pPr>
      <w:outlineLvl w:val="5"/>
    </w:pPr>
    <w:rPr>
      <w:sz w:val="15"/>
      <w:szCs w:val="15"/>
    </w:rPr>
  </w:style>
  <w:style w:type="character" w:customStyle="1" w:styleId="331">
    <w:name w:val="Default Paragraph Font_file_3084"/>
    <w:semiHidden/>
    <w:unhideWhenUsed/>
    <w:qFormat/>
    <w:uiPriority w:val="1"/>
  </w:style>
  <w:style w:type="table" w:customStyle="1" w:styleId="332">
    <w:name w:val="Normal Table_file_3084"/>
    <w:semiHidden/>
    <w:unhideWhenUsed/>
    <w:qFormat/>
    <w:uiPriority w:val="99"/>
    <w:tblPr>
      <w:tblCellMar>
        <w:top w:w="0" w:type="dxa"/>
        <w:left w:w="108" w:type="dxa"/>
        <w:bottom w:w="0" w:type="dxa"/>
        <w:right w:w="108" w:type="dxa"/>
      </w:tblCellMar>
    </w:tblPr>
  </w:style>
  <w:style w:type="character" w:customStyle="1" w:styleId="333">
    <w:name w:val="Hyperlink_file_3084"/>
    <w:basedOn w:val="331"/>
    <w:semiHidden/>
    <w:unhideWhenUsed/>
    <w:qFormat/>
    <w:uiPriority w:val="99"/>
    <w:rPr>
      <w:color w:val="0782C1"/>
      <w:u w:val="single"/>
    </w:rPr>
  </w:style>
  <w:style w:type="character" w:customStyle="1" w:styleId="334">
    <w:name w:val="FollowedHyperlink_file_3084"/>
    <w:basedOn w:val="331"/>
    <w:semiHidden/>
    <w:unhideWhenUsed/>
    <w:qFormat/>
    <w:uiPriority w:val="99"/>
    <w:rPr>
      <w:color w:val="0782C1"/>
      <w:u w:val="single"/>
    </w:rPr>
  </w:style>
  <w:style w:type="character" w:customStyle="1" w:styleId="335">
    <w:name w:val="标题 1 Char_file_3084"/>
    <w:basedOn w:val="331"/>
    <w:link w:val="3"/>
    <w:qFormat/>
    <w:uiPriority w:val="9"/>
    <w:rPr>
      <w:rFonts w:ascii="宋体" w:hAnsi="宋体" w:eastAsia="宋体" w:cs="宋体"/>
      <w:b/>
      <w:bCs/>
      <w:kern w:val="44"/>
      <w:sz w:val="44"/>
      <w:szCs w:val="44"/>
    </w:rPr>
  </w:style>
  <w:style w:type="character" w:customStyle="1" w:styleId="336">
    <w:name w:val="标题 2 Char_file_3084"/>
    <w:basedOn w:val="331"/>
    <w:link w:val="4"/>
    <w:semiHidden/>
    <w:qFormat/>
    <w:uiPriority w:val="9"/>
    <w:rPr>
      <w:rFonts w:asciiTheme="majorHAnsi" w:hAnsiTheme="majorHAnsi" w:eastAsiaTheme="majorEastAsia" w:cstheme="majorBidi"/>
      <w:b/>
      <w:bCs/>
      <w:sz w:val="32"/>
      <w:szCs w:val="32"/>
    </w:rPr>
  </w:style>
  <w:style w:type="character" w:customStyle="1" w:styleId="337">
    <w:name w:val="标题 3 Char_file_3084"/>
    <w:basedOn w:val="331"/>
    <w:link w:val="5"/>
    <w:semiHidden/>
    <w:qFormat/>
    <w:uiPriority w:val="9"/>
    <w:rPr>
      <w:rFonts w:ascii="宋体" w:hAnsi="宋体" w:eastAsia="宋体" w:cs="宋体"/>
      <w:b/>
      <w:bCs/>
      <w:sz w:val="32"/>
      <w:szCs w:val="32"/>
    </w:rPr>
  </w:style>
  <w:style w:type="character" w:customStyle="1" w:styleId="338">
    <w:name w:val="标题 4 Char_file_3084"/>
    <w:basedOn w:val="331"/>
    <w:link w:val="6"/>
    <w:semiHidden/>
    <w:qFormat/>
    <w:uiPriority w:val="9"/>
    <w:rPr>
      <w:rFonts w:asciiTheme="majorHAnsi" w:hAnsiTheme="majorHAnsi" w:eastAsiaTheme="majorEastAsia" w:cstheme="majorBidi"/>
      <w:b/>
      <w:bCs/>
      <w:sz w:val="28"/>
      <w:szCs w:val="28"/>
    </w:rPr>
  </w:style>
  <w:style w:type="character" w:customStyle="1" w:styleId="339">
    <w:name w:val="标题 5 Char_file_3084"/>
    <w:basedOn w:val="331"/>
    <w:link w:val="7"/>
    <w:semiHidden/>
    <w:qFormat/>
    <w:uiPriority w:val="9"/>
    <w:rPr>
      <w:rFonts w:ascii="宋体" w:hAnsi="宋体" w:eastAsia="宋体" w:cs="宋体"/>
      <w:b/>
      <w:bCs/>
      <w:sz w:val="28"/>
      <w:szCs w:val="28"/>
    </w:rPr>
  </w:style>
  <w:style w:type="character" w:customStyle="1" w:styleId="340">
    <w:name w:val="标题 6 Char_file_3084"/>
    <w:basedOn w:val="331"/>
    <w:link w:val="9"/>
    <w:semiHidden/>
    <w:qFormat/>
    <w:uiPriority w:val="9"/>
    <w:rPr>
      <w:rFonts w:asciiTheme="majorHAnsi" w:hAnsiTheme="majorHAnsi" w:eastAsiaTheme="majorEastAsia" w:cstheme="majorBidi"/>
      <w:b/>
      <w:bCs/>
      <w:sz w:val="24"/>
      <w:szCs w:val="24"/>
    </w:rPr>
  </w:style>
  <w:style w:type="paragraph" w:customStyle="1" w:styleId="341">
    <w:name w:val="cke_editable_file_3084"/>
    <w:basedOn w:val="324"/>
    <w:qFormat/>
    <w:uiPriority w:val="0"/>
    <w:rPr>
      <w:rFonts w:ascii="仿宋_GB2312" w:eastAsia="仿宋_GB2312"/>
    </w:rPr>
  </w:style>
  <w:style w:type="paragraph" w:customStyle="1" w:styleId="342">
    <w:name w:val="marker_file_3084"/>
    <w:basedOn w:val="324"/>
    <w:qFormat/>
    <w:uiPriority w:val="0"/>
    <w:pPr>
      <w:shd w:val="clear" w:color="auto" w:fill="FFFF00"/>
    </w:pPr>
  </w:style>
  <w:style w:type="paragraph" w:customStyle="1" w:styleId="343">
    <w:name w:val="Normal (Web)_file_3084"/>
    <w:basedOn w:val="324"/>
    <w:semiHidden/>
    <w:unhideWhenUsed/>
    <w:qFormat/>
    <w:uiPriority w:val="99"/>
  </w:style>
  <w:style w:type="paragraph" w:customStyle="1" w:styleId="344">
    <w:name w:val="Normal_file_308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45">
    <w:name w:val="heading 1_file_3085"/>
    <w:basedOn w:val="344"/>
    <w:qFormat/>
    <w:uiPriority w:val="9"/>
    <w:pPr>
      <w:outlineLvl w:val="0"/>
    </w:pPr>
    <w:rPr>
      <w:kern w:val="36"/>
      <w:sz w:val="48"/>
      <w:szCs w:val="48"/>
    </w:rPr>
  </w:style>
  <w:style w:type="paragraph" w:customStyle="1" w:styleId="346">
    <w:name w:val="heading 2_file_3085"/>
    <w:basedOn w:val="344"/>
    <w:qFormat/>
    <w:uiPriority w:val="9"/>
    <w:pPr>
      <w:outlineLvl w:val="1"/>
    </w:pPr>
    <w:rPr>
      <w:sz w:val="36"/>
      <w:szCs w:val="36"/>
    </w:rPr>
  </w:style>
  <w:style w:type="paragraph" w:customStyle="1" w:styleId="347">
    <w:name w:val="heading 3_file_3085"/>
    <w:basedOn w:val="344"/>
    <w:qFormat/>
    <w:uiPriority w:val="9"/>
    <w:pPr>
      <w:outlineLvl w:val="2"/>
    </w:pPr>
    <w:rPr>
      <w:sz w:val="27"/>
      <w:szCs w:val="27"/>
    </w:rPr>
  </w:style>
  <w:style w:type="paragraph" w:customStyle="1" w:styleId="348">
    <w:name w:val="heading 4_file_3085"/>
    <w:basedOn w:val="344"/>
    <w:qFormat/>
    <w:uiPriority w:val="9"/>
    <w:pPr>
      <w:outlineLvl w:val="3"/>
    </w:pPr>
  </w:style>
  <w:style w:type="paragraph" w:customStyle="1" w:styleId="349">
    <w:name w:val="heading 5_file_3085"/>
    <w:basedOn w:val="344"/>
    <w:qFormat/>
    <w:uiPriority w:val="9"/>
    <w:pPr>
      <w:outlineLvl w:val="4"/>
    </w:pPr>
    <w:rPr>
      <w:sz w:val="20"/>
      <w:szCs w:val="20"/>
    </w:rPr>
  </w:style>
  <w:style w:type="paragraph" w:customStyle="1" w:styleId="350">
    <w:name w:val="heading 6_file_3085"/>
    <w:basedOn w:val="344"/>
    <w:qFormat/>
    <w:uiPriority w:val="9"/>
    <w:pPr>
      <w:outlineLvl w:val="5"/>
    </w:pPr>
    <w:rPr>
      <w:sz w:val="15"/>
      <w:szCs w:val="15"/>
    </w:rPr>
  </w:style>
  <w:style w:type="character" w:customStyle="1" w:styleId="351">
    <w:name w:val="Default Paragraph Font_file_3085"/>
    <w:semiHidden/>
    <w:unhideWhenUsed/>
    <w:qFormat/>
    <w:uiPriority w:val="1"/>
  </w:style>
  <w:style w:type="table" w:customStyle="1" w:styleId="352">
    <w:name w:val="Normal Table_file_3085"/>
    <w:semiHidden/>
    <w:unhideWhenUsed/>
    <w:qFormat/>
    <w:uiPriority w:val="99"/>
    <w:tblPr>
      <w:tblCellMar>
        <w:top w:w="0" w:type="dxa"/>
        <w:left w:w="108" w:type="dxa"/>
        <w:bottom w:w="0" w:type="dxa"/>
        <w:right w:w="108" w:type="dxa"/>
      </w:tblCellMar>
    </w:tblPr>
  </w:style>
  <w:style w:type="character" w:customStyle="1" w:styleId="353">
    <w:name w:val="Hyperlink_file_3085"/>
    <w:basedOn w:val="351"/>
    <w:semiHidden/>
    <w:unhideWhenUsed/>
    <w:qFormat/>
    <w:uiPriority w:val="99"/>
    <w:rPr>
      <w:color w:val="0782C1"/>
      <w:u w:val="single"/>
    </w:rPr>
  </w:style>
  <w:style w:type="character" w:customStyle="1" w:styleId="354">
    <w:name w:val="FollowedHyperlink_file_3085"/>
    <w:basedOn w:val="351"/>
    <w:semiHidden/>
    <w:unhideWhenUsed/>
    <w:qFormat/>
    <w:uiPriority w:val="99"/>
    <w:rPr>
      <w:color w:val="0782C1"/>
      <w:u w:val="single"/>
    </w:rPr>
  </w:style>
  <w:style w:type="character" w:customStyle="1" w:styleId="355">
    <w:name w:val="标题 1 Char_file_3085"/>
    <w:basedOn w:val="351"/>
    <w:link w:val="3"/>
    <w:qFormat/>
    <w:uiPriority w:val="9"/>
    <w:rPr>
      <w:rFonts w:ascii="宋体" w:hAnsi="宋体" w:eastAsia="宋体" w:cs="宋体"/>
      <w:b/>
      <w:bCs/>
      <w:kern w:val="44"/>
      <w:sz w:val="44"/>
      <w:szCs w:val="44"/>
    </w:rPr>
  </w:style>
  <w:style w:type="character" w:customStyle="1" w:styleId="356">
    <w:name w:val="标题 2 Char_file_3085"/>
    <w:basedOn w:val="351"/>
    <w:link w:val="4"/>
    <w:semiHidden/>
    <w:qFormat/>
    <w:uiPriority w:val="9"/>
    <w:rPr>
      <w:rFonts w:asciiTheme="majorHAnsi" w:hAnsiTheme="majorHAnsi" w:eastAsiaTheme="majorEastAsia" w:cstheme="majorBidi"/>
      <w:b/>
      <w:bCs/>
      <w:sz w:val="32"/>
      <w:szCs w:val="32"/>
    </w:rPr>
  </w:style>
  <w:style w:type="character" w:customStyle="1" w:styleId="357">
    <w:name w:val="标题 3 Char_file_3085"/>
    <w:basedOn w:val="351"/>
    <w:link w:val="5"/>
    <w:semiHidden/>
    <w:qFormat/>
    <w:uiPriority w:val="9"/>
    <w:rPr>
      <w:rFonts w:ascii="宋体" w:hAnsi="宋体" w:eastAsia="宋体" w:cs="宋体"/>
      <w:b/>
      <w:bCs/>
      <w:sz w:val="32"/>
      <w:szCs w:val="32"/>
    </w:rPr>
  </w:style>
  <w:style w:type="character" w:customStyle="1" w:styleId="358">
    <w:name w:val="标题 4 Char_file_3085"/>
    <w:basedOn w:val="351"/>
    <w:link w:val="6"/>
    <w:semiHidden/>
    <w:qFormat/>
    <w:uiPriority w:val="9"/>
    <w:rPr>
      <w:rFonts w:asciiTheme="majorHAnsi" w:hAnsiTheme="majorHAnsi" w:eastAsiaTheme="majorEastAsia" w:cstheme="majorBidi"/>
      <w:b/>
      <w:bCs/>
      <w:sz w:val="28"/>
      <w:szCs w:val="28"/>
    </w:rPr>
  </w:style>
  <w:style w:type="character" w:customStyle="1" w:styleId="359">
    <w:name w:val="标题 5 Char_file_3085"/>
    <w:basedOn w:val="351"/>
    <w:link w:val="7"/>
    <w:semiHidden/>
    <w:qFormat/>
    <w:uiPriority w:val="9"/>
    <w:rPr>
      <w:rFonts w:ascii="宋体" w:hAnsi="宋体" w:eastAsia="宋体" w:cs="宋体"/>
      <w:b/>
      <w:bCs/>
      <w:sz w:val="28"/>
      <w:szCs w:val="28"/>
    </w:rPr>
  </w:style>
  <w:style w:type="character" w:customStyle="1" w:styleId="360">
    <w:name w:val="标题 6 Char_file_3085"/>
    <w:basedOn w:val="351"/>
    <w:link w:val="9"/>
    <w:semiHidden/>
    <w:qFormat/>
    <w:uiPriority w:val="9"/>
    <w:rPr>
      <w:rFonts w:asciiTheme="majorHAnsi" w:hAnsiTheme="majorHAnsi" w:eastAsiaTheme="majorEastAsia" w:cstheme="majorBidi"/>
      <w:b/>
      <w:bCs/>
      <w:sz w:val="24"/>
      <w:szCs w:val="24"/>
    </w:rPr>
  </w:style>
  <w:style w:type="paragraph" w:customStyle="1" w:styleId="361">
    <w:name w:val="cke_editable_file_3085"/>
    <w:basedOn w:val="344"/>
    <w:qFormat/>
    <w:uiPriority w:val="0"/>
    <w:rPr>
      <w:rFonts w:ascii="仿宋_GB2312" w:eastAsia="仿宋_GB2312"/>
    </w:rPr>
  </w:style>
  <w:style w:type="paragraph" w:customStyle="1" w:styleId="362">
    <w:name w:val="marker_file_3085"/>
    <w:basedOn w:val="344"/>
    <w:qFormat/>
    <w:uiPriority w:val="0"/>
    <w:pPr>
      <w:shd w:val="clear" w:color="auto" w:fill="FFFF00"/>
    </w:pPr>
  </w:style>
  <w:style w:type="paragraph" w:customStyle="1" w:styleId="363">
    <w:name w:val="Normal (Web)_file_3085"/>
    <w:basedOn w:val="344"/>
    <w:semiHidden/>
    <w:unhideWhenUsed/>
    <w:qFormat/>
    <w:uiPriority w:val="99"/>
  </w:style>
  <w:style w:type="character" w:customStyle="1" w:styleId="364">
    <w:name w:val="Emphasis_file_3085"/>
    <w:basedOn w:val="351"/>
    <w:qFormat/>
    <w:uiPriority w:val="20"/>
    <w:rPr>
      <w:i/>
      <w:iCs/>
    </w:rPr>
  </w:style>
  <w:style w:type="paragraph" w:customStyle="1" w:styleId="365">
    <w:name w:val="Normal_file_308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66">
    <w:name w:val="heading 1_file_3086"/>
    <w:basedOn w:val="365"/>
    <w:qFormat/>
    <w:uiPriority w:val="9"/>
    <w:pPr>
      <w:outlineLvl w:val="0"/>
    </w:pPr>
    <w:rPr>
      <w:kern w:val="36"/>
      <w:sz w:val="48"/>
      <w:szCs w:val="48"/>
    </w:rPr>
  </w:style>
  <w:style w:type="paragraph" w:customStyle="1" w:styleId="367">
    <w:name w:val="heading 2_file_3086"/>
    <w:basedOn w:val="365"/>
    <w:qFormat/>
    <w:uiPriority w:val="9"/>
    <w:pPr>
      <w:outlineLvl w:val="1"/>
    </w:pPr>
    <w:rPr>
      <w:sz w:val="36"/>
      <w:szCs w:val="36"/>
    </w:rPr>
  </w:style>
  <w:style w:type="paragraph" w:customStyle="1" w:styleId="368">
    <w:name w:val="heading 3_file_3086"/>
    <w:basedOn w:val="365"/>
    <w:qFormat/>
    <w:uiPriority w:val="9"/>
    <w:pPr>
      <w:outlineLvl w:val="2"/>
    </w:pPr>
    <w:rPr>
      <w:sz w:val="27"/>
      <w:szCs w:val="27"/>
    </w:rPr>
  </w:style>
  <w:style w:type="paragraph" w:customStyle="1" w:styleId="369">
    <w:name w:val="heading 4_file_3086"/>
    <w:basedOn w:val="365"/>
    <w:qFormat/>
    <w:uiPriority w:val="9"/>
    <w:pPr>
      <w:outlineLvl w:val="3"/>
    </w:pPr>
  </w:style>
  <w:style w:type="paragraph" w:customStyle="1" w:styleId="370">
    <w:name w:val="heading 5_file_3086"/>
    <w:basedOn w:val="365"/>
    <w:qFormat/>
    <w:uiPriority w:val="9"/>
    <w:pPr>
      <w:outlineLvl w:val="4"/>
    </w:pPr>
    <w:rPr>
      <w:sz w:val="20"/>
      <w:szCs w:val="20"/>
    </w:rPr>
  </w:style>
  <w:style w:type="paragraph" w:customStyle="1" w:styleId="371">
    <w:name w:val="heading 6_file_3086"/>
    <w:basedOn w:val="365"/>
    <w:qFormat/>
    <w:uiPriority w:val="9"/>
    <w:pPr>
      <w:outlineLvl w:val="5"/>
    </w:pPr>
    <w:rPr>
      <w:sz w:val="15"/>
      <w:szCs w:val="15"/>
    </w:rPr>
  </w:style>
  <w:style w:type="character" w:customStyle="1" w:styleId="372">
    <w:name w:val="Default Paragraph Font_file_3086"/>
    <w:semiHidden/>
    <w:unhideWhenUsed/>
    <w:qFormat/>
    <w:uiPriority w:val="1"/>
  </w:style>
  <w:style w:type="table" w:customStyle="1" w:styleId="373">
    <w:name w:val="Normal Table_file_3086"/>
    <w:semiHidden/>
    <w:unhideWhenUsed/>
    <w:qFormat/>
    <w:uiPriority w:val="99"/>
    <w:tblPr>
      <w:tblCellMar>
        <w:top w:w="0" w:type="dxa"/>
        <w:left w:w="108" w:type="dxa"/>
        <w:bottom w:w="0" w:type="dxa"/>
        <w:right w:w="108" w:type="dxa"/>
      </w:tblCellMar>
    </w:tblPr>
  </w:style>
  <w:style w:type="character" w:customStyle="1" w:styleId="374">
    <w:name w:val="Hyperlink_file_3086"/>
    <w:basedOn w:val="372"/>
    <w:semiHidden/>
    <w:unhideWhenUsed/>
    <w:qFormat/>
    <w:uiPriority w:val="99"/>
    <w:rPr>
      <w:color w:val="0782C1"/>
      <w:u w:val="single"/>
    </w:rPr>
  </w:style>
  <w:style w:type="character" w:customStyle="1" w:styleId="375">
    <w:name w:val="FollowedHyperlink_file_3086"/>
    <w:basedOn w:val="372"/>
    <w:semiHidden/>
    <w:unhideWhenUsed/>
    <w:qFormat/>
    <w:uiPriority w:val="99"/>
    <w:rPr>
      <w:color w:val="0782C1"/>
      <w:u w:val="single"/>
    </w:rPr>
  </w:style>
  <w:style w:type="character" w:customStyle="1" w:styleId="376">
    <w:name w:val="标题 1 Char_file_3086"/>
    <w:basedOn w:val="372"/>
    <w:link w:val="3"/>
    <w:qFormat/>
    <w:uiPriority w:val="9"/>
    <w:rPr>
      <w:rFonts w:ascii="宋体" w:hAnsi="宋体" w:eastAsia="宋体" w:cs="宋体"/>
      <w:b/>
      <w:bCs/>
      <w:kern w:val="44"/>
      <w:sz w:val="44"/>
      <w:szCs w:val="44"/>
    </w:rPr>
  </w:style>
  <w:style w:type="character" w:customStyle="1" w:styleId="377">
    <w:name w:val="标题 2 Char_file_3086"/>
    <w:basedOn w:val="372"/>
    <w:link w:val="4"/>
    <w:semiHidden/>
    <w:qFormat/>
    <w:uiPriority w:val="9"/>
    <w:rPr>
      <w:rFonts w:asciiTheme="majorHAnsi" w:hAnsiTheme="majorHAnsi" w:eastAsiaTheme="majorEastAsia" w:cstheme="majorBidi"/>
      <w:b/>
      <w:bCs/>
      <w:sz w:val="32"/>
      <w:szCs w:val="32"/>
    </w:rPr>
  </w:style>
  <w:style w:type="character" w:customStyle="1" w:styleId="378">
    <w:name w:val="标题 3 Char_file_3086"/>
    <w:basedOn w:val="372"/>
    <w:link w:val="5"/>
    <w:semiHidden/>
    <w:qFormat/>
    <w:uiPriority w:val="9"/>
    <w:rPr>
      <w:rFonts w:ascii="宋体" w:hAnsi="宋体" w:eastAsia="宋体" w:cs="宋体"/>
      <w:b/>
      <w:bCs/>
      <w:sz w:val="32"/>
      <w:szCs w:val="32"/>
    </w:rPr>
  </w:style>
  <w:style w:type="character" w:customStyle="1" w:styleId="379">
    <w:name w:val="标题 4 Char_file_3086"/>
    <w:basedOn w:val="372"/>
    <w:link w:val="6"/>
    <w:semiHidden/>
    <w:qFormat/>
    <w:uiPriority w:val="9"/>
    <w:rPr>
      <w:rFonts w:asciiTheme="majorHAnsi" w:hAnsiTheme="majorHAnsi" w:eastAsiaTheme="majorEastAsia" w:cstheme="majorBidi"/>
      <w:b/>
      <w:bCs/>
      <w:sz w:val="28"/>
      <w:szCs w:val="28"/>
    </w:rPr>
  </w:style>
  <w:style w:type="character" w:customStyle="1" w:styleId="380">
    <w:name w:val="标题 5 Char_file_3086"/>
    <w:basedOn w:val="372"/>
    <w:link w:val="7"/>
    <w:semiHidden/>
    <w:qFormat/>
    <w:uiPriority w:val="9"/>
    <w:rPr>
      <w:rFonts w:ascii="宋体" w:hAnsi="宋体" w:eastAsia="宋体" w:cs="宋体"/>
      <w:b/>
      <w:bCs/>
      <w:sz w:val="28"/>
      <w:szCs w:val="28"/>
    </w:rPr>
  </w:style>
  <w:style w:type="character" w:customStyle="1" w:styleId="381">
    <w:name w:val="标题 6 Char_file_3086"/>
    <w:basedOn w:val="372"/>
    <w:link w:val="9"/>
    <w:semiHidden/>
    <w:qFormat/>
    <w:uiPriority w:val="9"/>
    <w:rPr>
      <w:rFonts w:asciiTheme="majorHAnsi" w:hAnsiTheme="majorHAnsi" w:eastAsiaTheme="majorEastAsia" w:cstheme="majorBidi"/>
      <w:b/>
      <w:bCs/>
      <w:sz w:val="24"/>
      <w:szCs w:val="24"/>
    </w:rPr>
  </w:style>
  <w:style w:type="paragraph" w:customStyle="1" w:styleId="382">
    <w:name w:val="cke_editable_file_3086"/>
    <w:basedOn w:val="365"/>
    <w:qFormat/>
    <w:uiPriority w:val="0"/>
    <w:rPr>
      <w:rFonts w:ascii="仿宋_GB2312" w:eastAsia="仿宋_GB2312"/>
    </w:rPr>
  </w:style>
  <w:style w:type="paragraph" w:customStyle="1" w:styleId="383">
    <w:name w:val="marker_file_3086"/>
    <w:basedOn w:val="365"/>
    <w:qFormat/>
    <w:uiPriority w:val="0"/>
    <w:pPr>
      <w:shd w:val="clear" w:color="auto" w:fill="FFFF00"/>
    </w:pPr>
  </w:style>
  <w:style w:type="paragraph" w:customStyle="1" w:styleId="384">
    <w:name w:val="Normal (Web)_file_3086"/>
    <w:basedOn w:val="365"/>
    <w:semiHidden/>
    <w:unhideWhenUsed/>
    <w:qFormat/>
    <w:uiPriority w:val="99"/>
  </w:style>
  <w:style w:type="paragraph" w:customStyle="1" w:styleId="385">
    <w:name w:val="Normal_file_308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86">
    <w:name w:val="heading 1_file_3087"/>
    <w:basedOn w:val="385"/>
    <w:qFormat/>
    <w:uiPriority w:val="9"/>
    <w:pPr>
      <w:outlineLvl w:val="0"/>
    </w:pPr>
    <w:rPr>
      <w:kern w:val="36"/>
      <w:sz w:val="48"/>
      <w:szCs w:val="48"/>
    </w:rPr>
  </w:style>
  <w:style w:type="paragraph" w:customStyle="1" w:styleId="387">
    <w:name w:val="heading 2_file_3087"/>
    <w:basedOn w:val="385"/>
    <w:qFormat/>
    <w:uiPriority w:val="9"/>
    <w:pPr>
      <w:outlineLvl w:val="1"/>
    </w:pPr>
    <w:rPr>
      <w:sz w:val="36"/>
      <w:szCs w:val="36"/>
    </w:rPr>
  </w:style>
  <w:style w:type="paragraph" w:customStyle="1" w:styleId="388">
    <w:name w:val="heading 3_file_3087"/>
    <w:basedOn w:val="385"/>
    <w:qFormat/>
    <w:uiPriority w:val="9"/>
    <w:pPr>
      <w:outlineLvl w:val="2"/>
    </w:pPr>
    <w:rPr>
      <w:sz w:val="27"/>
      <w:szCs w:val="27"/>
    </w:rPr>
  </w:style>
  <w:style w:type="paragraph" w:customStyle="1" w:styleId="389">
    <w:name w:val="heading 4_file_3087"/>
    <w:basedOn w:val="385"/>
    <w:qFormat/>
    <w:uiPriority w:val="9"/>
    <w:pPr>
      <w:outlineLvl w:val="3"/>
    </w:pPr>
  </w:style>
  <w:style w:type="paragraph" w:customStyle="1" w:styleId="390">
    <w:name w:val="heading 5_file_3087"/>
    <w:basedOn w:val="385"/>
    <w:qFormat/>
    <w:uiPriority w:val="9"/>
    <w:pPr>
      <w:outlineLvl w:val="4"/>
    </w:pPr>
    <w:rPr>
      <w:sz w:val="20"/>
      <w:szCs w:val="20"/>
    </w:rPr>
  </w:style>
  <w:style w:type="paragraph" w:customStyle="1" w:styleId="391">
    <w:name w:val="heading 6_file_3087"/>
    <w:basedOn w:val="385"/>
    <w:qFormat/>
    <w:uiPriority w:val="9"/>
    <w:pPr>
      <w:outlineLvl w:val="5"/>
    </w:pPr>
    <w:rPr>
      <w:sz w:val="15"/>
      <w:szCs w:val="15"/>
    </w:rPr>
  </w:style>
  <w:style w:type="character" w:customStyle="1" w:styleId="392">
    <w:name w:val="Default Paragraph Font_file_3087"/>
    <w:semiHidden/>
    <w:unhideWhenUsed/>
    <w:qFormat/>
    <w:uiPriority w:val="1"/>
  </w:style>
  <w:style w:type="table" w:customStyle="1" w:styleId="393">
    <w:name w:val="Normal Table_file_3087"/>
    <w:semiHidden/>
    <w:unhideWhenUsed/>
    <w:qFormat/>
    <w:uiPriority w:val="99"/>
    <w:tblPr>
      <w:tblCellMar>
        <w:top w:w="0" w:type="dxa"/>
        <w:left w:w="108" w:type="dxa"/>
        <w:bottom w:w="0" w:type="dxa"/>
        <w:right w:w="108" w:type="dxa"/>
      </w:tblCellMar>
    </w:tblPr>
  </w:style>
  <w:style w:type="character" w:customStyle="1" w:styleId="394">
    <w:name w:val="Hyperlink_file_3087"/>
    <w:basedOn w:val="392"/>
    <w:semiHidden/>
    <w:unhideWhenUsed/>
    <w:qFormat/>
    <w:uiPriority w:val="99"/>
    <w:rPr>
      <w:color w:val="0782C1"/>
      <w:u w:val="single"/>
    </w:rPr>
  </w:style>
  <w:style w:type="character" w:customStyle="1" w:styleId="395">
    <w:name w:val="FollowedHyperlink_file_3087"/>
    <w:basedOn w:val="392"/>
    <w:semiHidden/>
    <w:unhideWhenUsed/>
    <w:qFormat/>
    <w:uiPriority w:val="99"/>
    <w:rPr>
      <w:color w:val="0782C1"/>
      <w:u w:val="single"/>
    </w:rPr>
  </w:style>
  <w:style w:type="character" w:customStyle="1" w:styleId="396">
    <w:name w:val="标题 1 Char_file_3087"/>
    <w:basedOn w:val="392"/>
    <w:link w:val="3"/>
    <w:qFormat/>
    <w:uiPriority w:val="9"/>
    <w:rPr>
      <w:rFonts w:ascii="宋体" w:hAnsi="宋体" w:eastAsia="宋体" w:cs="宋体"/>
      <w:b/>
      <w:bCs/>
      <w:kern w:val="44"/>
      <w:sz w:val="44"/>
      <w:szCs w:val="44"/>
    </w:rPr>
  </w:style>
  <w:style w:type="character" w:customStyle="1" w:styleId="397">
    <w:name w:val="标题 2 Char_file_3087"/>
    <w:basedOn w:val="392"/>
    <w:link w:val="4"/>
    <w:semiHidden/>
    <w:qFormat/>
    <w:uiPriority w:val="9"/>
    <w:rPr>
      <w:rFonts w:asciiTheme="majorHAnsi" w:hAnsiTheme="majorHAnsi" w:eastAsiaTheme="majorEastAsia" w:cstheme="majorBidi"/>
      <w:b/>
      <w:bCs/>
      <w:sz w:val="32"/>
      <w:szCs w:val="32"/>
    </w:rPr>
  </w:style>
  <w:style w:type="character" w:customStyle="1" w:styleId="398">
    <w:name w:val="标题 3 Char_file_3087"/>
    <w:basedOn w:val="392"/>
    <w:link w:val="5"/>
    <w:semiHidden/>
    <w:qFormat/>
    <w:uiPriority w:val="9"/>
    <w:rPr>
      <w:rFonts w:ascii="宋体" w:hAnsi="宋体" w:eastAsia="宋体" w:cs="宋体"/>
      <w:b/>
      <w:bCs/>
      <w:sz w:val="32"/>
      <w:szCs w:val="32"/>
    </w:rPr>
  </w:style>
  <w:style w:type="character" w:customStyle="1" w:styleId="399">
    <w:name w:val="标题 4 Char_file_3087"/>
    <w:basedOn w:val="392"/>
    <w:link w:val="6"/>
    <w:semiHidden/>
    <w:qFormat/>
    <w:uiPriority w:val="9"/>
    <w:rPr>
      <w:rFonts w:asciiTheme="majorHAnsi" w:hAnsiTheme="majorHAnsi" w:eastAsiaTheme="majorEastAsia" w:cstheme="majorBidi"/>
      <w:b/>
      <w:bCs/>
      <w:sz w:val="28"/>
      <w:szCs w:val="28"/>
    </w:rPr>
  </w:style>
  <w:style w:type="character" w:customStyle="1" w:styleId="400">
    <w:name w:val="标题 5 Char_file_3087"/>
    <w:basedOn w:val="392"/>
    <w:link w:val="7"/>
    <w:semiHidden/>
    <w:qFormat/>
    <w:uiPriority w:val="9"/>
    <w:rPr>
      <w:rFonts w:ascii="宋体" w:hAnsi="宋体" w:eastAsia="宋体" w:cs="宋体"/>
      <w:b/>
      <w:bCs/>
      <w:sz w:val="28"/>
      <w:szCs w:val="28"/>
    </w:rPr>
  </w:style>
  <w:style w:type="character" w:customStyle="1" w:styleId="401">
    <w:name w:val="标题 6 Char_file_3087"/>
    <w:basedOn w:val="392"/>
    <w:link w:val="9"/>
    <w:semiHidden/>
    <w:qFormat/>
    <w:uiPriority w:val="9"/>
    <w:rPr>
      <w:rFonts w:asciiTheme="majorHAnsi" w:hAnsiTheme="majorHAnsi" w:eastAsiaTheme="majorEastAsia" w:cstheme="majorBidi"/>
      <w:b/>
      <w:bCs/>
      <w:sz w:val="24"/>
      <w:szCs w:val="24"/>
    </w:rPr>
  </w:style>
  <w:style w:type="paragraph" w:customStyle="1" w:styleId="402">
    <w:name w:val="cke_editable_file_3087"/>
    <w:basedOn w:val="385"/>
    <w:qFormat/>
    <w:uiPriority w:val="0"/>
    <w:rPr>
      <w:rFonts w:ascii="仿宋_GB2312" w:eastAsia="仿宋_GB2312"/>
    </w:rPr>
  </w:style>
  <w:style w:type="paragraph" w:customStyle="1" w:styleId="403">
    <w:name w:val="marker_file_3087"/>
    <w:basedOn w:val="385"/>
    <w:qFormat/>
    <w:uiPriority w:val="0"/>
    <w:pPr>
      <w:shd w:val="clear" w:color="auto" w:fill="FFFF00"/>
    </w:pPr>
  </w:style>
  <w:style w:type="paragraph" w:customStyle="1" w:styleId="404">
    <w:name w:val="Normal (Web)_file_3087"/>
    <w:basedOn w:val="385"/>
    <w:semiHidden/>
    <w:unhideWhenUsed/>
    <w:qFormat/>
    <w:uiPriority w:val="99"/>
  </w:style>
  <w:style w:type="paragraph" w:customStyle="1" w:styleId="405">
    <w:name w:val="Normal_file_308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06">
    <w:name w:val="heading 1_file_3088"/>
    <w:basedOn w:val="405"/>
    <w:qFormat/>
    <w:uiPriority w:val="9"/>
    <w:pPr>
      <w:outlineLvl w:val="0"/>
    </w:pPr>
    <w:rPr>
      <w:kern w:val="36"/>
      <w:sz w:val="48"/>
      <w:szCs w:val="48"/>
    </w:rPr>
  </w:style>
  <w:style w:type="paragraph" w:customStyle="1" w:styleId="407">
    <w:name w:val="heading 2_file_3088"/>
    <w:basedOn w:val="405"/>
    <w:qFormat/>
    <w:uiPriority w:val="9"/>
    <w:pPr>
      <w:outlineLvl w:val="1"/>
    </w:pPr>
    <w:rPr>
      <w:sz w:val="36"/>
      <w:szCs w:val="36"/>
    </w:rPr>
  </w:style>
  <w:style w:type="paragraph" w:customStyle="1" w:styleId="408">
    <w:name w:val="heading 3_file_3088"/>
    <w:basedOn w:val="405"/>
    <w:qFormat/>
    <w:uiPriority w:val="9"/>
    <w:pPr>
      <w:outlineLvl w:val="2"/>
    </w:pPr>
    <w:rPr>
      <w:sz w:val="27"/>
      <w:szCs w:val="27"/>
    </w:rPr>
  </w:style>
  <w:style w:type="paragraph" w:customStyle="1" w:styleId="409">
    <w:name w:val="heading 4_file_3088"/>
    <w:basedOn w:val="405"/>
    <w:qFormat/>
    <w:uiPriority w:val="9"/>
    <w:pPr>
      <w:outlineLvl w:val="3"/>
    </w:pPr>
  </w:style>
  <w:style w:type="paragraph" w:customStyle="1" w:styleId="410">
    <w:name w:val="heading 5_file_3088"/>
    <w:basedOn w:val="405"/>
    <w:qFormat/>
    <w:uiPriority w:val="9"/>
    <w:pPr>
      <w:outlineLvl w:val="4"/>
    </w:pPr>
    <w:rPr>
      <w:sz w:val="20"/>
      <w:szCs w:val="20"/>
    </w:rPr>
  </w:style>
  <w:style w:type="paragraph" w:customStyle="1" w:styleId="411">
    <w:name w:val="heading 6_file_3088"/>
    <w:basedOn w:val="405"/>
    <w:qFormat/>
    <w:uiPriority w:val="9"/>
    <w:pPr>
      <w:outlineLvl w:val="5"/>
    </w:pPr>
    <w:rPr>
      <w:sz w:val="15"/>
      <w:szCs w:val="15"/>
    </w:rPr>
  </w:style>
  <w:style w:type="character" w:customStyle="1" w:styleId="412">
    <w:name w:val="Default Paragraph Font_file_3088"/>
    <w:semiHidden/>
    <w:unhideWhenUsed/>
    <w:qFormat/>
    <w:uiPriority w:val="1"/>
  </w:style>
  <w:style w:type="table" w:customStyle="1" w:styleId="413">
    <w:name w:val="Normal Table_file_3088"/>
    <w:semiHidden/>
    <w:unhideWhenUsed/>
    <w:qFormat/>
    <w:uiPriority w:val="99"/>
    <w:tblPr>
      <w:tblCellMar>
        <w:top w:w="0" w:type="dxa"/>
        <w:left w:w="108" w:type="dxa"/>
        <w:bottom w:w="0" w:type="dxa"/>
        <w:right w:w="108" w:type="dxa"/>
      </w:tblCellMar>
    </w:tblPr>
  </w:style>
  <w:style w:type="character" w:customStyle="1" w:styleId="414">
    <w:name w:val="Hyperlink_file_3088"/>
    <w:basedOn w:val="412"/>
    <w:semiHidden/>
    <w:unhideWhenUsed/>
    <w:qFormat/>
    <w:uiPriority w:val="99"/>
    <w:rPr>
      <w:color w:val="0782C1"/>
      <w:u w:val="single"/>
    </w:rPr>
  </w:style>
  <w:style w:type="character" w:customStyle="1" w:styleId="415">
    <w:name w:val="FollowedHyperlink_file_3088"/>
    <w:basedOn w:val="412"/>
    <w:semiHidden/>
    <w:unhideWhenUsed/>
    <w:qFormat/>
    <w:uiPriority w:val="99"/>
    <w:rPr>
      <w:color w:val="0782C1"/>
      <w:u w:val="single"/>
    </w:rPr>
  </w:style>
  <w:style w:type="character" w:customStyle="1" w:styleId="416">
    <w:name w:val="标题 1 Char_file_3088"/>
    <w:basedOn w:val="412"/>
    <w:link w:val="3"/>
    <w:qFormat/>
    <w:uiPriority w:val="9"/>
    <w:rPr>
      <w:rFonts w:ascii="宋体" w:hAnsi="宋体" w:eastAsia="宋体" w:cs="宋体"/>
      <w:b/>
      <w:bCs/>
      <w:kern w:val="44"/>
      <w:sz w:val="44"/>
      <w:szCs w:val="44"/>
    </w:rPr>
  </w:style>
  <w:style w:type="character" w:customStyle="1" w:styleId="417">
    <w:name w:val="标题 2 Char_file_3088"/>
    <w:basedOn w:val="412"/>
    <w:link w:val="4"/>
    <w:semiHidden/>
    <w:qFormat/>
    <w:uiPriority w:val="9"/>
    <w:rPr>
      <w:rFonts w:asciiTheme="majorHAnsi" w:hAnsiTheme="majorHAnsi" w:eastAsiaTheme="majorEastAsia" w:cstheme="majorBidi"/>
      <w:b/>
      <w:bCs/>
      <w:sz w:val="32"/>
      <w:szCs w:val="32"/>
    </w:rPr>
  </w:style>
  <w:style w:type="character" w:customStyle="1" w:styleId="418">
    <w:name w:val="标题 3 Char_file_3088"/>
    <w:basedOn w:val="412"/>
    <w:link w:val="5"/>
    <w:semiHidden/>
    <w:qFormat/>
    <w:uiPriority w:val="9"/>
    <w:rPr>
      <w:rFonts w:ascii="宋体" w:hAnsi="宋体" w:eastAsia="宋体" w:cs="宋体"/>
      <w:b/>
      <w:bCs/>
      <w:sz w:val="32"/>
      <w:szCs w:val="32"/>
    </w:rPr>
  </w:style>
  <w:style w:type="character" w:customStyle="1" w:styleId="419">
    <w:name w:val="标题 4 Char_file_3088"/>
    <w:basedOn w:val="412"/>
    <w:link w:val="6"/>
    <w:semiHidden/>
    <w:qFormat/>
    <w:uiPriority w:val="9"/>
    <w:rPr>
      <w:rFonts w:asciiTheme="majorHAnsi" w:hAnsiTheme="majorHAnsi" w:eastAsiaTheme="majorEastAsia" w:cstheme="majorBidi"/>
      <w:b/>
      <w:bCs/>
      <w:sz w:val="28"/>
      <w:szCs w:val="28"/>
    </w:rPr>
  </w:style>
  <w:style w:type="character" w:customStyle="1" w:styleId="420">
    <w:name w:val="标题 5 Char_file_3088"/>
    <w:basedOn w:val="412"/>
    <w:link w:val="7"/>
    <w:semiHidden/>
    <w:qFormat/>
    <w:uiPriority w:val="9"/>
    <w:rPr>
      <w:rFonts w:ascii="宋体" w:hAnsi="宋体" w:eastAsia="宋体" w:cs="宋体"/>
      <w:b/>
      <w:bCs/>
      <w:sz w:val="28"/>
      <w:szCs w:val="28"/>
    </w:rPr>
  </w:style>
  <w:style w:type="character" w:customStyle="1" w:styleId="421">
    <w:name w:val="标题 6 Char_file_3088"/>
    <w:basedOn w:val="412"/>
    <w:link w:val="9"/>
    <w:semiHidden/>
    <w:qFormat/>
    <w:uiPriority w:val="9"/>
    <w:rPr>
      <w:rFonts w:asciiTheme="majorHAnsi" w:hAnsiTheme="majorHAnsi" w:eastAsiaTheme="majorEastAsia" w:cstheme="majorBidi"/>
      <w:b/>
      <w:bCs/>
      <w:sz w:val="24"/>
      <w:szCs w:val="24"/>
    </w:rPr>
  </w:style>
  <w:style w:type="paragraph" w:customStyle="1" w:styleId="422">
    <w:name w:val="cke_editable_file_3088"/>
    <w:basedOn w:val="405"/>
    <w:qFormat/>
    <w:uiPriority w:val="0"/>
    <w:rPr>
      <w:rFonts w:ascii="仿宋_GB2312" w:eastAsia="仿宋_GB2312"/>
    </w:rPr>
  </w:style>
  <w:style w:type="paragraph" w:customStyle="1" w:styleId="423">
    <w:name w:val="marker_file_3088"/>
    <w:basedOn w:val="405"/>
    <w:qFormat/>
    <w:uiPriority w:val="0"/>
    <w:pPr>
      <w:shd w:val="clear" w:color="auto" w:fill="FFFF00"/>
    </w:pPr>
  </w:style>
  <w:style w:type="paragraph" w:customStyle="1" w:styleId="424">
    <w:name w:val="Normal (Web)_file_3088"/>
    <w:basedOn w:val="405"/>
    <w:semiHidden/>
    <w:unhideWhenUsed/>
    <w:qFormat/>
    <w:uiPriority w:val="99"/>
  </w:style>
  <w:style w:type="paragraph" w:customStyle="1" w:styleId="425">
    <w:name w:val="Normal_file_3089"/>
    <w:qFormat/>
    <w:uiPriority w:val="0"/>
    <w:pPr>
      <w:widowControl w:val="0"/>
      <w:jc w:val="both"/>
    </w:pPr>
    <w:rPr>
      <w:rFonts w:ascii="Times New Roman" w:hAnsi="Times New Roman" w:eastAsia="宋体" w:cs="Times New Roman"/>
      <w:szCs w:val="24"/>
      <w:lang w:val="en-US" w:eastAsia="zh-CN" w:bidi="ar-SA"/>
    </w:rPr>
  </w:style>
  <w:style w:type="character" w:customStyle="1" w:styleId="426">
    <w:name w:val="Default Paragraph Font_file_3089"/>
    <w:semiHidden/>
    <w:unhideWhenUsed/>
    <w:qFormat/>
    <w:uiPriority w:val="1"/>
  </w:style>
  <w:style w:type="table" w:customStyle="1" w:styleId="427">
    <w:name w:val="Normal Table_file_3089"/>
    <w:semiHidden/>
    <w:unhideWhenUsed/>
    <w:qFormat/>
    <w:uiPriority w:val="99"/>
    <w:tblPr>
      <w:tblCellMar>
        <w:top w:w="0" w:type="dxa"/>
        <w:left w:w="108" w:type="dxa"/>
        <w:bottom w:w="0" w:type="dxa"/>
        <w:right w:w="108" w:type="dxa"/>
      </w:tblCellMar>
    </w:tblPr>
  </w:style>
  <w:style w:type="paragraph" w:customStyle="1" w:styleId="428">
    <w:name w:val="Normal_file_3078_file_308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29">
    <w:name w:val="heading 1_file_3078_file_3089"/>
    <w:basedOn w:val="428"/>
    <w:qFormat/>
    <w:uiPriority w:val="9"/>
    <w:pPr>
      <w:outlineLvl w:val="0"/>
    </w:pPr>
    <w:rPr>
      <w:kern w:val="36"/>
      <w:sz w:val="48"/>
      <w:szCs w:val="48"/>
    </w:rPr>
  </w:style>
  <w:style w:type="paragraph" w:customStyle="1" w:styleId="430">
    <w:name w:val="heading 2_file_3078_file_3089"/>
    <w:basedOn w:val="428"/>
    <w:qFormat/>
    <w:uiPriority w:val="9"/>
    <w:pPr>
      <w:outlineLvl w:val="1"/>
    </w:pPr>
    <w:rPr>
      <w:sz w:val="36"/>
      <w:szCs w:val="36"/>
    </w:rPr>
  </w:style>
  <w:style w:type="paragraph" w:customStyle="1" w:styleId="431">
    <w:name w:val="heading 3_file_3078_file_3089"/>
    <w:basedOn w:val="428"/>
    <w:qFormat/>
    <w:uiPriority w:val="9"/>
    <w:pPr>
      <w:outlineLvl w:val="2"/>
    </w:pPr>
    <w:rPr>
      <w:sz w:val="27"/>
      <w:szCs w:val="27"/>
    </w:rPr>
  </w:style>
  <w:style w:type="paragraph" w:customStyle="1" w:styleId="432">
    <w:name w:val="heading 4_file_3078_file_3089"/>
    <w:basedOn w:val="428"/>
    <w:qFormat/>
    <w:uiPriority w:val="9"/>
    <w:pPr>
      <w:outlineLvl w:val="3"/>
    </w:pPr>
  </w:style>
  <w:style w:type="paragraph" w:customStyle="1" w:styleId="433">
    <w:name w:val="heading 5_file_3078_file_3089"/>
    <w:basedOn w:val="428"/>
    <w:qFormat/>
    <w:uiPriority w:val="9"/>
    <w:pPr>
      <w:outlineLvl w:val="4"/>
    </w:pPr>
    <w:rPr>
      <w:sz w:val="20"/>
      <w:szCs w:val="20"/>
    </w:rPr>
  </w:style>
  <w:style w:type="paragraph" w:customStyle="1" w:styleId="434">
    <w:name w:val="heading 6_file_3078_file_3089"/>
    <w:basedOn w:val="428"/>
    <w:qFormat/>
    <w:uiPriority w:val="9"/>
    <w:pPr>
      <w:outlineLvl w:val="5"/>
    </w:pPr>
    <w:rPr>
      <w:sz w:val="15"/>
      <w:szCs w:val="15"/>
    </w:rPr>
  </w:style>
  <w:style w:type="character" w:customStyle="1" w:styleId="435">
    <w:name w:val="Default Paragraph Font_file_3078_file_3089"/>
    <w:semiHidden/>
    <w:unhideWhenUsed/>
    <w:qFormat/>
    <w:uiPriority w:val="1"/>
  </w:style>
  <w:style w:type="table" w:customStyle="1" w:styleId="436">
    <w:name w:val="Normal Table_file_3078_file_3089"/>
    <w:semiHidden/>
    <w:unhideWhenUsed/>
    <w:qFormat/>
    <w:uiPriority w:val="99"/>
    <w:tblPr>
      <w:tblCellMar>
        <w:top w:w="0" w:type="dxa"/>
        <w:left w:w="108" w:type="dxa"/>
        <w:bottom w:w="0" w:type="dxa"/>
        <w:right w:w="108" w:type="dxa"/>
      </w:tblCellMar>
    </w:tblPr>
  </w:style>
  <w:style w:type="character" w:customStyle="1" w:styleId="437">
    <w:name w:val="Hyperlink_file_3078_file_3089"/>
    <w:basedOn w:val="435"/>
    <w:semiHidden/>
    <w:unhideWhenUsed/>
    <w:qFormat/>
    <w:uiPriority w:val="99"/>
    <w:rPr>
      <w:color w:val="0782C1"/>
      <w:u w:val="single"/>
    </w:rPr>
  </w:style>
  <w:style w:type="character" w:customStyle="1" w:styleId="438">
    <w:name w:val="FollowedHyperlink_file_3078_file_3089"/>
    <w:basedOn w:val="435"/>
    <w:semiHidden/>
    <w:unhideWhenUsed/>
    <w:qFormat/>
    <w:uiPriority w:val="99"/>
    <w:rPr>
      <w:color w:val="0782C1"/>
      <w:u w:val="single"/>
    </w:rPr>
  </w:style>
  <w:style w:type="character" w:customStyle="1" w:styleId="439">
    <w:name w:val="标题 1 Char_file_3078_file_3089"/>
    <w:basedOn w:val="435"/>
    <w:link w:val="3"/>
    <w:qFormat/>
    <w:uiPriority w:val="9"/>
    <w:rPr>
      <w:rFonts w:ascii="宋体" w:hAnsi="宋体" w:eastAsia="宋体" w:cs="宋体"/>
      <w:b/>
      <w:bCs/>
      <w:kern w:val="44"/>
      <w:sz w:val="44"/>
      <w:szCs w:val="44"/>
    </w:rPr>
  </w:style>
  <w:style w:type="character" w:customStyle="1" w:styleId="440">
    <w:name w:val="标题 2 Char_file_3078_file_3089"/>
    <w:basedOn w:val="435"/>
    <w:link w:val="4"/>
    <w:semiHidden/>
    <w:qFormat/>
    <w:uiPriority w:val="9"/>
    <w:rPr>
      <w:rFonts w:asciiTheme="majorHAnsi" w:hAnsiTheme="majorHAnsi" w:eastAsiaTheme="majorEastAsia" w:cstheme="majorBidi"/>
      <w:b/>
      <w:bCs/>
      <w:sz w:val="32"/>
      <w:szCs w:val="32"/>
    </w:rPr>
  </w:style>
  <w:style w:type="character" w:customStyle="1" w:styleId="441">
    <w:name w:val="标题 3 Char_file_3078_file_3089"/>
    <w:basedOn w:val="435"/>
    <w:link w:val="5"/>
    <w:semiHidden/>
    <w:qFormat/>
    <w:uiPriority w:val="9"/>
    <w:rPr>
      <w:rFonts w:ascii="宋体" w:hAnsi="宋体" w:eastAsia="宋体" w:cs="宋体"/>
      <w:b/>
      <w:bCs/>
      <w:sz w:val="32"/>
      <w:szCs w:val="32"/>
    </w:rPr>
  </w:style>
  <w:style w:type="character" w:customStyle="1" w:styleId="442">
    <w:name w:val="标题 4 Char_file_3078_file_3089"/>
    <w:basedOn w:val="435"/>
    <w:link w:val="6"/>
    <w:semiHidden/>
    <w:qFormat/>
    <w:uiPriority w:val="9"/>
    <w:rPr>
      <w:rFonts w:asciiTheme="majorHAnsi" w:hAnsiTheme="majorHAnsi" w:eastAsiaTheme="majorEastAsia" w:cstheme="majorBidi"/>
      <w:b/>
      <w:bCs/>
      <w:sz w:val="28"/>
      <w:szCs w:val="28"/>
    </w:rPr>
  </w:style>
  <w:style w:type="character" w:customStyle="1" w:styleId="443">
    <w:name w:val="标题 5 Char_file_3078_file_3089"/>
    <w:basedOn w:val="435"/>
    <w:link w:val="7"/>
    <w:semiHidden/>
    <w:qFormat/>
    <w:uiPriority w:val="9"/>
    <w:rPr>
      <w:rFonts w:ascii="宋体" w:hAnsi="宋体" w:eastAsia="宋体" w:cs="宋体"/>
      <w:b/>
      <w:bCs/>
      <w:sz w:val="28"/>
      <w:szCs w:val="28"/>
    </w:rPr>
  </w:style>
  <w:style w:type="character" w:customStyle="1" w:styleId="444">
    <w:name w:val="标题 6 Char_file_3078_file_3089"/>
    <w:basedOn w:val="435"/>
    <w:link w:val="9"/>
    <w:semiHidden/>
    <w:qFormat/>
    <w:uiPriority w:val="9"/>
    <w:rPr>
      <w:rFonts w:asciiTheme="majorHAnsi" w:hAnsiTheme="majorHAnsi" w:eastAsiaTheme="majorEastAsia" w:cstheme="majorBidi"/>
      <w:b/>
      <w:bCs/>
      <w:sz w:val="24"/>
      <w:szCs w:val="24"/>
    </w:rPr>
  </w:style>
  <w:style w:type="paragraph" w:customStyle="1" w:styleId="445">
    <w:name w:val="cke_editable_file_3078_file_3089"/>
    <w:basedOn w:val="428"/>
    <w:qFormat/>
    <w:uiPriority w:val="0"/>
    <w:rPr>
      <w:rFonts w:ascii="仿宋_GB2312" w:eastAsia="仿宋_GB2312"/>
    </w:rPr>
  </w:style>
  <w:style w:type="paragraph" w:customStyle="1" w:styleId="446">
    <w:name w:val="marker_file_3078_file_3089"/>
    <w:basedOn w:val="428"/>
    <w:qFormat/>
    <w:uiPriority w:val="0"/>
    <w:pPr>
      <w:shd w:val="clear" w:color="auto" w:fill="FFFF00"/>
    </w:pPr>
  </w:style>
  <w:style w:type="paragraph" w:customStyle="1" w:styleId="447">
    <w:name w:val="Normal (Web)_file_3078_file_3089"/>
    <w:basedOn w:val="428"/>
    <w:semiHidden/>
    <w:unhideWhenUsed/>
    <w:qFormat/>
    <w:uiPriority w:val="99"/>
  </w:style>
  <w:style w:type="paragraph" w:customStyle="1" w:styleId="448">
    <w:name w:val="Normal_file_309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49">
    <w:name w:val="heading 1_file_3090"/>
    <w:basedOn w:val="448"/>
    <w:qFormat/>
    <w:uiPriority w:val="9"/>
    <w:pPr>
      <w:outlineLvl w:val="0"/>
    </w:pPr>
    <w:rPr>
      <w:kern w:val="36"/>
      <w:sz w:val="48"/>
      <w:szCs w:val="48"/>
    </w:rPr>
  </w:style>
  <w:style w:type="paragraph" w:customStyle="1" w:styleId="450">
    <w:name w:val="heading 2_file_3090"/>
    <w:basedOn w:val="448"/>
    <w:qFormat/>
    <w:uiPriority w:val="9"/>
    <w:pPr>
      <w:outlineLvl w:val="1"/>
    </w:pPr>
    <w:rPr>
      <w:sz w:val="36"/>
      <w:szCs w:val="36"/>
    </w:rPr>
  </w:style>
  <w:style w:type="paragraph" w:customStyle="1" w:styleId="451">
    <w:name w:val="heading 3_file_3090"/>
    <w:basedOn w:val="448"/>
    <w:qFormat/>
    <w:uiPriority w:val="9"/>
    <w:pPr>
      <w:outlineLvl w:val="2"/>
    </w:pPr>
    <w:rPr>
      <w:sz w:val="27"/>
      <w:szCs w:val="27"/>
    </w:rPr>
  </w:style>
  <w:style w:type="paragraph" w:customStyle="1" w:styleId="452">
    <w:name w:val="heading 4_file_3090"/>
    <w:basedOn w:val="448"/>
    <w:qFormat/>
    <w:uiPriority w:val="9"/>
    <w:pPr>
      <w:outlineLvl w:val="3"/>
    </w:pPr>
  </w:style>
  <w:style w:type="paragraph" w:customStyle="1" w:styleId="453">
    <w:name w:val="heading 5_file_3090"/>
    <w:basedOn w:val="448"/>
    <w:qFormat/>
    <w:uiPriority w:val="9"/>
    <w:pPr>
      <w:outlineLvl w:val="4"/>
    </w:pPr>
    <w:rPr>
      <w:sz w:val="20"/>
      <w:szCs w:val="20"/>
    </w:rPr>
  </w:style>
  <w:style w:type="paragraph" w:customStyle="1" w:styleId="454">
    <w:name w:val="heading 6_file_3090"/>
    <w:basedOn w:val="448"/>
    <w:qFormat/>
    <w:uiPriority w:val="9"/>
    <w:pPr>
      <w:outlineLvl w:val="5"/>
    </w:pPr>
    <w:rPr>
      <w:sz w:val="15"/>
      <w:szCs w:val="15"/>
    </w:rPr>
  </w:style>
  <w:style w:type="character" w:customStyle="1" w:styleId="455">
    <w:name w:val="Default Paragraph Font_file_3090"/>
    <w:semiHidden/>
    <w:unhideWhenUsed/>
    <w:qFormat/>
    <w:uiPriority w:val="1"/>
  </w:style>
  <w:style w:type="table" w:customStyle="1" w:styleId="456">
    <w:name w:val="Normal Table_file_3090"/>
    <w:semiHidden/>
    <w:unhideWhenUsed/>
    <w:qFormat/>
    <w:uiPriority w:val="99"/>
    <w:tblPr>
      <w:tblCellMar>
        <w:top w:w="0" w:type="dxa"/>
        <w:left w:w="108" w:type="dxa"/>
        <w:bottom w:w="0" w:type="dxa"/>
        <w:right w:w="108" w:type="dxa"/>
      </w:tblCellMar>
    </w:tblPr>
  </w:style>
  <w:style w:type="character" w:customStyle="1" w:styleId="457">
    <w:name w:val="Hyperlink_file_3090"/>
    <w:basedOn w:val="455"/>
    <w:semiHidden/>
    <w:unhideWhenUsed/>
    <w:qFormat/>
    <w:uiPriority w:val="99"/>
    <w:rPr>
      <w:color w:val="0782C1"/>
      <w:u w:val="single"/>
    </w:rPr>
  </w:style>
  <w:style w:type="character" w:customStyle="1" w:styleId="458">
    <w:name w:val="FollowedHyperlink_file_3090"/>
    <w:basedOn w:val="455"/>
    <w:semiHidden/>
    <w:unhideWhenUsed/>
    <w:qFormat/>
    <w:uiPriority w:val="99"/>
    <w:rPr>
      <w:color w:val="0782C1"/>
      <w:u w:val="single"/>
    </w:rPr>
  </w:style>
  <w:style w:type="character" w:customStyle="1" w:styleId="459">
    <w:name w:val="标题 1 Char_file_3090"/>
    <w:basedOn w:val="455"/>
    <w:link w:val="3"/>
    <w:qFormat/>
    <w:uiPriority w:val="9"/>
    <w:rPr>
      <w:rFonts w:ascii="宋体" w:hAnsi="宋体" w:eastAsia="宋体" w:cs="宋体"/>
      <w:b/>
      <w:bCs/>
      <w:kern w:val="44"/>
      <w:sz w:val="44"/>
      <w:szCs w:val="44"/>
    </w:rPr>
  </w:style>
  <w:style w:type="character" w:customStyle="1" w:styleId="460">
    <w:name w:val="标题 2 Char_file_3090"/>
    <w:basedOn w:val="455"/>
    <w:link w:val="4"/>
    <w:semiHidden/>
    <w:qFormat/>
    <w:uiPriority w:val="9"/>
    <w:rPr>
      <w:rFonts w:asciiTheme="majorHAnsi" w:hAnsiTheme="majorHAnsi" w:eastAsiaTheme="majorEastAsia" w:cstheme="majorBidi"/>
      <w:b/>
      <w:bCs/>
      <w:sz w:val="32"/>
      <w:szCs w:val="32"/>
    </w:rPr>
  </w:style>
  <w:style w:type="character" w:customStyle="1" w:styleId="461">
    <w:name w:val="标题 3 Char_file_3090"/>
    <w:basedOn w:val="455"/>
    <w:link w:val="5"/>
    <w:semiHidden/>
    <w:qFormat/>
    <w:uiPriority w:val="9"/>
    <w:rPr>
      <w:rFonts w:ascii="宋体" w:hAnsi="宋体" w:eastAsia="宋体" w:cs="宋体"/>
      <w:b/>
      <w:bCs/>
      <w:sz w:val="32"/>
      <w:szCs w:val="32"/>
    </w:rPr>
  </w:style>
  <w:style w:type="character" w:customStyle="1" w:styleId="462">
    <w:name w:val="标题 4 Char_file_3090"/>
    <w:basedOn w:val="455"/>
    <w:link w:val="6"/>
    <w:semiHidden/>
    <w:qFormat/>
    <w:uiPriority w:val="9"/>
    <w:rPr>
      <w:rFonts w:asciiTheme="majorHAnsi" w:hAnsiTheme="majorHAnsi" w:eastAsiaTheme="majorEastAsia" w:cstheme="majorBidi"/>
      <w:b/>
      <w:bCs/>
      <w:sz w:val="28"/>
      <w:szCs w:val="28"/>
    </w:rPr>
  </w:style>
  <w:style w:type="character" w:customStyle="1" w:styleId="463">
    <w:name w:val="标题 5 Char_file_3090"/>
    <w:basedOn w:val="455"/>
    <w:link w:val="7"/>
    <w:semiHidden/>
    <w:qFormat/>
    <w:uiPriority w:val="9"/>
    <w:rPr>
      <w:rFonts w:ascii="宋体" w:hAnsi="宋体" w:eastAsia="宋体" w:cs="宋体"/>
      <w:b/>
      <w:bCs/>
      <w:sz w:val="28"/>
      <w:szCs w:val="28"/>
    </w:rPr>
  </w:style>
  <w:style w:type="character" w:customStyle="1" w:styleId="464">
    <w:name w:val="标题 6 Char_file_3090"/>
    <w:basedOn w:val="455"/>
    <w:link w:val="9"/>
    <w:semiHidden/>
    <w:qFormat/>
    <w:uiPriority w:val="9"/>
    <w:rPr>
      <w:rFonts w:asciiTheme="majorHAnsi" w:hAnsiTheme="majorHAnsi" w:eastAsiaTheme="majorEastAsia" w:cstheme="majorBidi"/>
      <w:b/>
      <w:bCs/>
      <w:sz w:val="24"/>
      <w:szCs w:val="24"/>
    </w:rPr>
  </w:style>
  <w:style w:type="paragraph" w:customStyle="1" w:styleId="465">
    <w:name w:val="cke_editable_file_3090"/>
    <w:basedOn w:val="448"/>
    <w:qFormat/>
    <w:uiPriority w:val="0"/>
    <w:rPr>
      <w:rFonts w:ascii="仿宋_GB2312" w:eastAsia="仿宋_GB2312"/>
    </w:rPr>
  </w:style>
  <w:style w:type="paragraph" w:customStyle="1" w:styleId="466">
    <w:name w:val="marker_file_3090"/>
    <w:basedOn w:val="448"/>
    <w:qFormat/>
    <w:uiPriority w:val="0"/>
    <w:pPr>
      <w:shd w:val="clear" w:color="auto" w:fill="FFFF00"/>
    </w:pPr>
  </w:style>
  <w:style w:type="paragraph" w:customStyle="1" w:styleId="467">
    <w:name w:val="Normal (Web)_file_3090"/>
    <w:basedOn w:val="448"/>
    <w:semiHidden/>
    <w:unhideWhenUsed/>
    <w:qFormat/>
    <w:uiPriority w:val="99"/>
  </w:style>
  <w:style w:type="paragraph" w:customStyle="1" w:styleId="468">
    <w:name w:val="Normal_file_309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69">
    <w:name w:val="heading 1_file_3091"/>
    <w:basedOn w:val="468"/>
    <w:qFormat/>
    <w:uiPriority w:val="9"/>
    <w:pPr>
      <w:outlineLvl w:val="0"/>
    </w:pPr>
    <w:rPr>
      <w:kern w:val="36"/>
      <w:sz w:val="48"/>
      <w:szCs w:val="48"/>
    </w:rPr>
  </w:style>
  <w:style w:type="paragraph" w:customStyle="1" w:styleId="470">
    <w:name w:val="heading 2_file_3091"/>
    <w:basedOn w:val="468"/>
    <w:qFormat/>
    <w:uiPriority w:val="9"/>
    <w:pPr>
      <w:outlineLvl w:val="1"/>
    </w:pPr>
    <w:rPr>
      <w:sz w:val="36"/>
      <w:szCs w:val="36"/>
    </w:rPr>
  </w:style>
  <w:style w:type="paragraph" w:customStyle="1" w:styleId="471">
    <w:name w:val="heading 3_file_3091"/>
    <w:basedOn w:val="468"/>
    <w:qFormat/>
    <w:uiPriority w:val="9"/>
    <w:pPr>
      <w:outlineLvl w:val="2"/>
    </w:pPr>
    <w:rPr>
      <w:sz w:val="27"/>
      <w:szCs w:val="27"/>
    </w:rPr>
  </w:style>
  <w:style w:type="paragraph" w:customStyle="1" w:styleId="472">
    <w:name w:val="heading 4_file_3091"/>
    <w:basedOn w:val="468"/>
    <w:qFormat/>
    <w:uiPriority w:val="9"/>
    <w:pPr>
      <w:outlineLvl w:val="3"/>
    </w:pPr>
  </w:style>
  <w:style w:type="paragraph" w:customStyle="1" w:styleId="473">
    <w:name w:val="heading 5_file_3091"/>
    <w:basedOn w:val="468"/>
    <w:qFormat/>
    <w:uiPriority w:val="9"/>
    <w:pPr>
      <w:outlineLvl w:val="4"/>
    </w:pPr>
    <w:rPr>
      <w:sz w:val="20"/>
      <w:szCs w:val="20"/>
    </w:rPr>
  </w:style>
  <w:style w:type="paragraph" w:customStyle="1" w:styleId="474">
    <w:name w:val="heading 6_file_3091"/>
    <w:basedOn w:val="468"/>
    <w:qFormat/>
    <w:uiPriority w:val="9"/>
    <w:pPr>
      <w:outlineLvl w:val="5"/>
    </w:pPr>
    <w:rPr>
      <w:sz w:val="15"/>
      <w:szCs w:val="15"/>
    </w:rPr>
  </w:style>
  <w:style w:type="character" w:customStyle="1" w:styleId="475">
    <w:name w:val="Default Paragraph Font_file_3091"/>
    <w:semiHidden/>
    <w:unhideWhenUsed/>
    <w:qFormat/>
    <w:uiPriority w:val="1"/>
  </w:style>
  <w:style w:type="table" w:customStyle="1" w:styleId="476">
    <w:name w:val="Normal Table_file_3091"/>
    <w:semiHidden/>
    <w:unhideWhenUsed/>
    <w:qFormat/>
    <w:uiPriority w:val="99"/>
    <w:tblPr>
      <w:tblCellMar>
        <w:top w:w="0" w:type="dxa"/>
        <w:left w:w="108" w:type="dxa"/>
        <w:bottom w:w="0" w:type="dxa"/>
        <w:right w:w="108" w:type="dxa"/>
      </w:tblCellMar>
    </w:tblPr>
  </w:style>
  <w:style w:type="character" w:customStyle="1" w:styleId="477">
    <w:name w:val="Hyperlink_file_3091"/>
    <w:basedOn w:val="475"/>
    <w:semiHidden/>
    <w:unhideWhenUsed/>
    <w:qFormat/>
    <w:uiPriority w:val="99"/>
    <w:rPr>
      <w:color w:val="0782C1"/>
      <w:u w:val="single"/>
    </w:rPr>
  </w:style>
  <w:style w:type="character" w:customStyle="1" w:styleId="478">
    <w:name w:val="FollowedHyperlink_file_3091"/>
    <w:basedOn w:val="475"/>
    <w:semiHidden/>
    <w:unhideWhenUsed/>
    <w:qFormat/>
    <w:uiPriority w:val="99"/>
    <w:rPr>
      <w:color w:val="0782C1"/>
      <w:u w:val="single"/>
    </w:rPr>
  </w:style>
  <w:style w:type="character" w:customStyle="1" w:styleId="479">
    <w:name w:val="标题 1 Char_file_3091"/>
    <w:basedOn w:val="475"/>
    <w:link w:val="3"/>
    <w:qFormat/>
    <w:uiPriority w:val="9"/>
    <w:rPr>
      <w:rFonts w:ascii="宋体" w:hAnsi="宋体" w:eastAsia="宋体" w:cs="宋体"/>
      <w:b/>
      <w:bCs/>
      <w:kern w:val="44"/>
      <w:sz w:val="44"/>
      <w:szCs w:val="44"/>
    </w:rPr>
  </w:style>
  <w:style w:type="character" w:customStyle="1" w:styleId="480">
    <w:name w:val="标题 2 Char_file_3091"/>
    <w:basedOn w:val="475"/>
    <w:link w:val="4"/>
    <w:semiHidden/>
    <w:qFormat/>
    <w:uiPriority w:val="9"/>
    <w:rPr>
      <w:rFonts w:asciiTheme="majorHAnsi" w:hAnsiTheme="majorHAnsi" w:eastAsiaTheme="majorEastAsia" w:cstheme="majorBidi"/>
      <w:b/>
      <w:bCs/>
      <w:sz w:val="32"/>
      <w:szCs w:val="32"/>
    </w:rPr>
  </w:style>
  <w:style w:type="character" w:customStyle="1" w:styleId="481">
    <w:name w:val="标题 3 Char_file_3091"/>
    <w:basedOn w:val="475"/>
    <w:link w:val="5"/>
    <w:semiHidden/>
    <w:qFormat/>
    <w:uiPriority w:val="9"/>
    <w:rPr>
      <w:rFonts w:ascii="宋体" w:hAnsi="宋体" w:eastAsia="宋体" w:cs="宋体"/>
      <w:b/>
      <w:bCs/>
      <w:sz w:val="32"/>
      <w:szCs w:val="32"/>
    </w:rPr>
  </w:style>
  <w:style w:type="character" w:customStyle="1" w:styleId="482">
    <w:name w:val="标题 4 Char_file_3091"/>
    <w:basedOn w:val="475"/>
    <w:link w:val="6"/>
    <w:semiHidden/>
    <w:qFormat/>
    <w:uiPriority w:val="9"/>
    <w:rPr>
      <w:rFonts w:asciiTheme="majorHAnsi" w:hAnsiTheme="majorHAnsi" w:eastAsiaTheme="majorEastAsia" w:cstheme="majorBidi"/>
      <w:b/>
      <w:bCs/>
      <w:sz w:val="28"/>
      <w:szCs w:val="28"/>
    </w:rPr>
  </w:style>
  <w:style w:type="character" w:customStyle="1" w:styleId="483">
    <w:name w:val="标题 5 Char_file_3091"/>
    <w:basedOn w:val="475"/>
    <w:link w:val="7"/>
    <w:semiHidden/>
    <w:qFormat/>
    <w:uiPriority w:val="9"/>
    <w:rPr>
      <w:rFonts w:ascii="宋体" w:hAnsi="宋体" w:eastAsia="宋体" w:cs="宋体"/>
      <w:b/>
      <w:bCs/>
      <w:sz w:val="28"/>
      <w:szCs w:val="28"/>
    </w:rPr>
  </w:style>
  <w:style w:type="character" w:customStyle="1" w:styleId="484">
    <w:name w:val="标题 6 Char_file_3091"/>
    <w:basedOn w:val="475"/>
    <w:link w:val="9"/>
    <w:semiHidden/>
    <w:qFormat/>
    <w:uiPriority w:val="9"/>
    <w:rPr>
      <w:rFonts w:asciiTheme="majorHAnsi" w:hAnsiTheme="majorHAnsi" w:eastAsiaTheme="majorEastAsia" w:cstheme="majorBidi"/>
      <w:b/>
      <w:bCs/>
      <w:sz w:val="24"/>
      <w:szCs w:val="24"/>
    </w:rPr>
  </w:style>
  <w:style w:type="paragraph" w:customStyle="1" w:styleId="485">
    <w:name w:val="cke_editable_file_3091"/>
    <w:basedOn w:val="468"/>
    <w:qFormat/>
    <w:uiPriority w:val="0"/>
    <w:rPr>
      <w:rFonts w:ascii="仿宋_GB2312" w:eastAsia="仿宋_GB2312"/>
    </w:rPr>
  </w:style>
  <w:style w:type="paragraph" w:customStyle="1" w:styleId="486">
    <w:name w:val="marker_file_3091"/>
    <w:basedOn w:val="468"/>
    <w:qFormat/>
    <w:uiPriority w:val="0"/>
    <w:pPr>
      <w:shd w:val="clear" w:color="auto" w:fill="FFFF00"/>
    </w:pPr>
  </w:style>
  <w:style w:type="paragraph" w:customStyle="1" w:styleId="487">
    <w:name w:val="Normal (Web)_file_3091"/>
    <w:basedOn w:val="468"/>
    <w:semiHidden/>
    <w:unhideWhenUsed/>
    <w:qFormat/>
    <w:uiPriority w:val="99"/>
  </w:style>
  <w:style w:type="character" w:customStyle="1" w:styleId="488">
    <w:name w:val="Strong_file_3091"/>
    <w:basedOn w:val="475"/>
    <w:qFormat/>
    <w:uiPriority w:val="22"/>
    <w:rPr>
      <w:b/>
      <w:bCs/>
    </w:rPr>
  </w:style>
  <w:style w:type="paragraph" w:customStyle="1" w:styleId="489">
    <w:name w:val="Normal_file_309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90">
    <w:name w:val="heading 1_file_3092"/>
    <w:basedOn w:val="489"/>
    <w:qFormat/>
    <w:uiPriority w:val="9"/>
    <w:pPr>
      <w:outlineLvl w:val="0"/>
    </w:pPr>
    <w:rPr>
      <w:kern w:val="36"/>
      <w:sz w:val="48"/>
      <w:szCs w:val="48"/>
    </w:rPr>
  </w:style>
  <w:style w:type="paragraph" w:customStyle="1" w:styleId="491">
    <w:name w:val="heading 2_file_3092"/>
    <w:basedOn w:val="489"/>
    <w:qFormat/>
    <w:uiPriority w:val="9"/>
    <w:pPr>
      <w:outlineLvl w:val="1"/>
    </w:pPr>
    <w:rPr>
      <w:sz w:val="36"/>
      <w:szCs w:val="36"/>
    </w:rPr>
  </w:style>
  <w:style w:type="paragraph" w:customStyle="1" w:styleId="492">
    <w:name w:val="heading 3_file_3092"/>
    <w:basedOn w:val="489"/>
    <w:qFormat/>
    <w:uiPriority w:val="9"/>
    <w:pPr>
      <w:outlineLvl w:val="2"/>
    </w:pPr>
    <w:rPr>
      <w:sz w:val="27"/>
      <w:szCs w:val="27"/>
    </w:rPr>
  </w:style>
  <w:style w:type="paragraph" w:customStyle="1" w:styleId="493">
    <w:name w:val="heading 4_file_3092"/>
    <w:basedOn w:val="489"/>
    <w:qFormat/>
    <w:uiPriority w:val="9"/>
    <w:pPr>
      <w:outlineLvl w:val="3"/>
    </w:pPr>
  </w:style>
  <w:style w:type="paragraph" w:customStyle="1" w:styleId="494">
    <w:name w:val="heading 5_file_3092"/>
    <w:basedOn w:val="489"/>
    <w:qFormat/>
    <w:uiPriority w:val="9"/>
    <w:pPr>
      <w:outlineLvl w:val="4"/>
    </w:pPr>
    <w:rPr>
      <w:sz w:val="20"/>
      <w:szCs w:val="20"/>
    </w:rPr>
  </w:style>
  <w:style w:type="paragraph" w:customStyle="1" w:styleId="495">
    <w:name w:val="heading 6_file_3092"/>
    <w:basedOn w:val="489"/>
    <w:qFormat/>
    <w:uiPriority w:val="9"/>
    <w:pPr>
      <w:outlineLvl w:val="5"/>
    </w:pPr>
    <w:rPr>
      <w:sz w:val="15"/>
      <w:szCs w:val="15"/>
    </w:rPr>
  </w:style>
  <w:style w:type="character" w:customStyle="1" w:styleId="496">
    <w:name w:val="Default Paragraph Font_file_3092"/>
    <w:semiHidden/>
    <w:unhideWhenUsed/>
    <w:qFormat/>
    <w:uiPriority w:val="1"/>
  </w:style>
  <w:style w:type="table" w:customStyle="1" w:styleId="497">
    <w:name w:val="Normal Table_file_3092"/>
    <w:semiHidden/>
    <w:unhideWhenUsed/>
    <w:qFormat/>
    <w:uiPriority w:val="99"/>
    <w:tblPr>
      <w:tblCellMar>
        <w:top w:w="0" w:type="dxa"/>
        <w:left w:w="108" w:type="dxa"/>
        <w:bottom w:w="0" w:type="dxa"/>
        <w:right w:w="108" w:type="dxa"/>
      </w:tblCellMar>
    </w:tblPr>
  </w:style>
  <w:style w:type="character" w:customStyle="1" w:styleId="498">
    <w:name w:val="Hyperlink_file_3092"/>
    <w:basedOn w:val="496"/>
    <w:semiHidden/>
    <w:unhideWhenUsed/>
    <w:qFormat/>
    <w:uiPriority w:val="99"/>
    <w:rPr>
      <w:color w:val="0782C1"/>
      <w:u w:val="single"/>
    </w:rPr>
  </w:style>
  <w:style w:type="character" w:customStyle="1" w:styleId="499">
    <w:name w:val="FollowedHyperlink_file_3092"/>
    <w:basedOn w:val="496"/>
    <w:semiHidden/>
    <w:unhideWhenUsed/>
    <w:qFormat/>
    <w:uiPriority w:val="99"/>
    <w:rPr>
      <w:color w:val="0782C1"/>
      <w:u w:val="single"/>
    </w:rPr>
  </w:style>
  <w:style w:type="character" w:customStyle="1" w:styleId="500">
    <w:name w:val="标题 1 Char_file_3092"/>
    <w:basedOn w:val="496"/>
    <w:link w:val="3"/>
    <w:qFormat/>
    <w:uiPriority w:val="9"/>
    <w:rPr>
      <w:rFonts w:ascii="宋体" w:hAnsi="宋体" w:eastAsia="宋体" w:cs="宋体"/>
      <w:b/>
      <w:bCs/>
      <w:kern w:val="44"/>
      <w:sz w:val="44"/>
      <w:szCs w:val="44"/>
    </w:rPr>
  </w:style>
  <w:style w:type="character" w:customStyle="1" w:styleId="501">
    <w:name w:val="标题 2 Char_file_3092"/>
    <w:basedOn w:val="496"/>
    <w:link w:val="4"/>
    <w:semiHidden/>
    <w:qFormat/>
    <w:uiPriority w:val="9"/>
    <w:rPr>
      <w:rFonts w:asciiTheme="majorHAnsi" w:hAnsiTheme="majorHAnsi" w:eastAsiaTheme="majorEastAsia" w:cstheme="majorBidi"/>
      <w:b/>
      <w:bCs/>
      <w:sz w:val="32"/>
      <w:szCs w:val="32"/>
    </w:rPr>
  </w:style>
  <w:style w:type="character" w:customStyle="1" w:styleId="502">
    <w:name w:val="标题 3 Char_file_3092"/>
    <w:basedOn w:val="496"/>
    <w:link w:val="5"/>
    <w:semiHidden/>
    <w:qFormat/>
    <w:uiPriority w:val="9"/>
    <w:rPr>
      <w:rFonts w:ascii="宋体" w:hAnsi="宋体" w:eastAsia="宋体" w:cs="宋体"/>
      <w:b/>
      <w:bCs/>
      <w:sz w:val="32"/>
      <w:szCs w:val="32"/>
    </w:rPr>
  </w:style>
  <w:style w:type="character" w:customStyle="1" w:styleId="503">
    <w:name w:val="标题 4 Char_file_3092"/>
    <w:basedOn w:val="496"/>
    <w:link w:val="6"/>
    <w:semiHidden/>
    <w:qFormat/>
    <w:uiPriority w:val="9"/>
    <w:rPr>
      <w:rFonts w:asciiTheme="majorHAnsi" w:hAnsiTheme="majorHAnsi" w:eastAsiaTheme="majorEastAsia" w:cstheme="majorBidi"/>
      <w:b/>
      <w:bCs/>
      <w:sz w:val="28"/>
      <w:szCs w:val="28"/>
    </w:rPr>
  </w:style>
  <w:style w:type="character" w:customStyle="1" w:styleId="504">
    <w:name w:val="标题 5 Char_file_3092"/>
    <w:basedOn w:val="496"/>
    <w:link w:val="7"/>
    <w:semiHidden/>
    <w:qFormat/>
    <w:uiPriority w:val="9"/>
    <w:rPr>
      <w:rFonts w:ascii="宋体" w:hAnsi="宋体" w:eastAsia="宋体" w:cs="宋体"/>
      <w:b/>
      <w:bCs/>
      <w:sz w:val="28"/>
      <w:szCs w:val="28"/>
    </w:rPr>
  </w:style>
  <w:style w:type="character" w:customStyle="1" w:styleId="505">
    <w:name w:val="标题 6 Char_file_3092"/>
    <w:basedOn w:val="496"/>
    <w:link w:val="9"/>
    <w:semiHidden/>
    <w:qFormat/>
    <w:uiPriority w:val="9"/>
    <w:rPr>
      <w:rFonts w:asciiTheme="majorHAnsi" w:hAnsiTheme="majorHAnsi" w:eastAsiaTheme="majorEastAsia" w:cstheme="majorBidi"/>
      <w:b/>
      <w:bCs/>
      <w:sz w:val="24"/>
      <w:szCs w:val="24"/>
    </w:rPr>
  </w:style>
  <w:style w:type="paragraph" w:customStyle="1" w:styleId="506">
    <w:name w:val="cke_editable_file_3092"/>
    <w:basedOn w:val="489"/>
    <w:qFormat/>
    <w:uiPriority w:val="0"/>
    <w:rPr>
      <w:rFonts w:ascii="仿宋_GB2312" w:eastAsia="仿宋_GB2312"/>
    </w:rPr>
  </w:style>
  <w:style w:type="paragraph" w:customStyle="1" w:styleId="507">
    <w:name w:val="marker_file_3092"/>
    <w:basedOn w:val="489"/>
    <w:qFormat/>
    <w:uiPriority w:val="0"/>
    <w:pPr>
      <w:shd w:val="clear" w:color="auto" w:fill="FFFF00"/>
    </w:pPr>
  </w:style>
  <w:style w:type="paragraph" w:customStyle="1" w:styleId="508">
    <w:name w:val="Normal (Web)_file_3092"/>
    <w:basedOn w:val="489"/>
    <w:semiHidden/>
    <w:unhideWhenUsed/>
    <w:qFormat/>
    <w:uiPriority w:val="99"/>
  </w:style>
  <w:style w:type="paragraph" w:customStyle="1" w:styleId="509">
    <w:name w:val="Normal_file_309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10">
    <w:name w:val="heading 1_file_3093"/>
    <w:basedOn w:val="509"/>
    <w:qFormat/>
    <w:uiPriority w:val="9"/>
    <w:pPr>
      <w:outlineLvl w:val="0"/>
    </w:pPr>
    <w:rPr>
      <w:kern w:val="36"/>
      <w:sz w:val="48"/>
      <w:szCs w:val="48"/>
    </w:rPr>
  </w:style>
  <w:style w:type="paragraph" w:customStyle="1" w:styleId="511">
    <w:name w:val="heading 2_file_3093"/>
    <w:basedOn w:val="509"/>
    <w:qFormat/>
    <w:uiPriority w:val="9"/>
    <w:pPr>
      <w:outlineLvl w:val="1"/>
    </w:pPr>
    <w:rPr>
      <w:sz w:val="36"/>
      <w:szCs w:val="36"/>
    </w:rPr>
  </w:style>
  <w:style w:type="paragraph" w:customStyle="1" w:styleId="512">
    <w:name w:val="heading 3_file_3093"/>
    <w:basedOn w:val="509"/>
    <w:qFormat/>
    <w:uiPriority w:val="9"/>
    <w:pPr>
      <w:outlineLvl w:val="2"/>
    </w:pPr>
    <w:rPr>
      <w:sz w:val="27"/>
      <w:szCs w:val="27"/>
    </w:rPr>
  </w:style>
  <w:style w:type="paragraph" w:customStyle="1" w:styleId="513">
    <w:name w:val="heading 4_file_3093"/>
    <w:basedOn w:val="509"/>
    <w:qFormat/>
    <w:uiPriority w:val="9"/>
    <w:pPr>
      <w:outlineLvl w:val="3"/>
    </w:pPr>
  </w:style>
  <w:style w:type="paragraph" w:customStyle="1" w:styleId="514">
    <w:name w:val="heading 5_file_3093"/>
    <w:basedOn w:val="509"/>
    <w:qFormat/>
    <w:uiPriority w:val="9"/>
    <w:pPr>
      <w:outlineLvl w:val="4"/>
    </w:pPr>
    <w:rPr>
      <w:sz w:val="20"/>
      <w:szCs w:val="20"/>
    </w:rPr>
  </w:style>
  <w:style w:type="paragraph" w:customStyle="1" w:styleId="515">
    <w:name w:val="heading 6_file_3093"/>
    <w:basedOn w:val="509"/>
    <w:qFormat/>
    <w:uiPriority w:val="9"/>
    <w:pPr>
      <w:outlineLvl w:val="5"/>
    </w:pPr>
    <w:rPr>
      <w:sz w:val="15"/>
      <w:szCs w:val="15"/>
    </w:rPr>
  </w:style>
  <w:style w:type="character" w:customStyle="1" w:styleId="516">
    <w:name w:val="Default Paragraph Font_file_3093"/>
    <w:semiHidden/>
    <w:unhideWhenUsed/>
    <w:qFormat/>
    <w:uiPriority w:val="1"/>
  </w:style>
  <w:style w:type="table" w:customStyle="1" w:styleId="517">
    <w:name w:val="Normal Table_file_3093"/>
    <w:semiHidden/>
    <w:unhideWhenUsed/>
    <w:qFormat/>
    <w:uiPriority w:val="99"/>
    <w:tblPr>
      <w:tblCellMar>
        <w:top w:w="0" w:type="dxa"/>
        <w:left w:w="108" w:type="dxa"/>
        <w:bottom w:w="0" w:type="dxa"/>
        <w:right w:w="108" w:type="dxa"/>
      </w:tblCellMar>
    </w:tblPr>
  </w:style>
  <w:style w:type="character" w:customStyle="1" w:styleId="518">
    <w:name w:val="Hyperlink_file_3093"/>
    <w:basedOn w:val="516"/>
    <w:semiHidden/>
    <w:unhideWhenUsed/>
    <w:qFormat/>
    <w:uiPriority w:val="99"/>
    <w:rPr>
      <w:color w:val="0782C1"/>
      <w:u w:val="single"/>
    </w:rPr>
  </w:style>
  <w:style w:type="character" w:customStyle="1" w:styleId="519">
    <w:name w:val="FollowedHyperlink_file_3093"/>
    <w:basedOn w:val="516"/>
    <w:semiHidden/>
    <w:unhideWhenUsed/>
    <w:qFormat/>
    <w:uiPriority w:val="99"/>
    <w:rPr>
      <w:color w:val="0782C1"/>
      <w:u w:val="single"/>
    </w:rPr>
  </w:style>
  <w:style w:type="character" w:customStyle="1" w:styleId="520">
    <w:name w:val="标题 1 Char_file_3093"/>
    <w:basedOn w:val="516"/>
    <w:link w:val="3"/>
    <w:qFormat/>
    <w:uiPriority w:val="9"/>
    <w:rPr>
      <w:rFonts w:ascii="宋体" w:hAnsi="宋体" w:eastAsia="宋体" w:cs="宋体"/>
      <w:b/>
      <w:bCs/>
      <w:kern w:val="44"/>
      <w:sz w:val="44"/>
      <w:szCs w:val="44"/>
    </w:rPr>
  </w:style>
  <w:style w:type="character" w:customStyle="1" w:styleId="521">
    <w:name w:val="标题 2 Char_file_3093"/>
    <w:basedOn w:val="516"/>
    <w:link w:val="4"/>
    <w:semiHidden/>
    <w:qFormat/>
    <w:uiPriority w:val="9"/>
    <w:rPr>
      <w:rFonts w:asciiTheme="majorHAnsi" w:hAnsiTheme="majorHAnsi" w:eastAsiaTheme="majorEastAsia" w:cstheme="majorBidi"/>
      <w:b/>
      <w:bCs/>
      <w:sz w:val="32"/>
      <w:szCs w:val="32"/>
    </w:rPr>
  </w:style>
  <w:style w:type="character" w:customStyle="1" w:styleId="522">
    <w:name w:val="标题 3 Char_file_3093"/>
    <w:basedOn w:val="516"/>
    <w:link w:val="5"/>
    <w:semiHidden/>
    <w:qFormat/>
    <w:uiPriority w:val="9"/>
    <w:rPr>
      <w:rFonts w:ascii="宋体" w:hAnsi="宋体" w:eastAsia="宋体" w:cs="宋体"/>
      <w:b/>
      <w:bCs/>
      <w:sz w:val="32"/>
      <w:szCs w:val="32"/>
    </w:rPr>
  </w:style>
  <w:style w:type="character" w:customStyle="1" w:styleId="523">
    <w:name w:val="标题 4 Char_file_3093"/>
    <w:basedOn w:val="516"/>
    <w:link w:val="6"/>
    <w:semiHidden/>
    <w:qFormat/>
    <w:uiPriority w:val="9"/>
    <w:rPr>
      <w:rFonts w:asciiTheme="majorHAnsi" w:hAnsiTheme="majorHAnsi" w:eastAsiaTheme="majorEastAsia" w:cstheme="majorBidi"/>
      <w:b/>
      <w:bCs/>
      <w:sz w:val="28"/>
      <w:szCs w:val="28"/>
    </w:rPr>
  </w:style>
  <w:style w:type="character" w:customStyle="1" w:styleId="524">
    <w:name w:val="标题 5 Char_file_3093"/>
    <w:basedOn w:val="516"/>
    <w:link w:val="7"/>
    <w:semiHidden/>
    <w:qFormat/>
    <w:uiPriority w:val="9"/>
    <w:rPr>
      <w:rFonts w:ascii="宋体" w:hAnsi="宋体" w:eastAsia="宋体" w:cs="宋体"/>
      <w:b/>
      <w:bCs/>
      <w:sz w:val="28"/>
      <w:szCs w:val="28"/>
    </w:rPr>
  </w:style>
  <w:style w:type="character" w:customStyle="1" w:styleId="525">
    <w:name w:val="标题 6 Char_file_3093"/>
    <w:basedOn w:val="516"/>
    <w:link w:val="9"/>
    <w:semiHidden/>
    <w:qFormat/>
    <w:uiPriority w:val="9"/>
    <w:rPr>
      <w:rFonts w:asciiTheme="majorHAnsi" w:hAnsiTheme="majorHAnsi" w:eastAsiaTheme="majorEastAsia" w:cstheme="majorBidi"/>
      <w:b/>
      <w:bCs/>
      <w:sz w:val="24"/>
      <w:szCs w:val="24"/>
    </w:rPr>
  </w:style>
  <w:style w:type="paragraph" w:customStyle="1" w:styleId="526">
    <w:name w:val="cke_editable_file_3093"/>
    <w:basedOn w:val="509"/>
    <w:qFormat/>
    <w:uiPriority w:val="0"/>
    <w:rPr>
      <w:rFonts w:ascii="仿宋_GB2312" w:eastAsia="仿宋_GB2312"/>
    </w:rPr>
  </w:style>
  <w:style w:type="paragraph" w:customStyle="1" w:styleId="527">
    <w:name w:val="marker_file_3093"/>
    <w:basedOn w:val="509"/>
    <w:qFormat/>
    <w:uiPriority w:val="0"/>
    <w:pPr>
      <w:shd w:val="clear" w:color="auto" w:fill="FFFF00"/>
    </w:pPr>
  </w:style>
  <w:style w:type="paragraph" w:customStyle="1" w:styleId="528">
    <w:name w:val="Normal (Web)_file_3093"/>
    <w:basedOn w:val="509"/>
    <w:semiHidden/>
    <w:unhideWhenUsed/>
    <w:qFormat/>
    <w:uiPriority w:val="99"/>
  </w:style>
  <w:style w:type="character" w:customStyle="1" w:styleId="529">
    <w:name w:val="Strong_file_3093"/>
    <w:basedOn w:val="516"/>
    <w:qFormat/>
    <w:uiPriority w:val="22"/>
    <w:rPr>
      <w:b/>
      <w:bCs/>
    </w:rPr>
  </w:style>
  <w:style w:type="paragraph" w:customStyle="1" w:styleId="530">
    <w:name w:val="Normal_file_309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31">
    <w:name w:val="heading 1_file_3094"/>
    <w:basedOn w:val="530"/>
    <w:qFormat/>
    <w:uiPriority w:val="9"/>
    <w:pPr>
      <w:outlineLvl w:val="0"/>
    </w:pPr>
    <w:rPr>
      <w:kern w:val="36"/>
      <w:sz w:val="48"/>
      <w:szCs w:val="48"/>
    </w:rPr>
  </w:style>
  <w:style w:type="paragraph" w:customStyle="1" w:styleId="532">
    <w:name w:val="heading 2_file_3094"/>
    <w:basedOn w:val="530"/>
    <w:qFormat/>
    <w:uiPriority w:val="9"/>
    <w:pPr>
      <w:outlineLvl w:val="1"/>
    </w:pPr>
    <w:rPr>
      <w:sz w:val="36"/>
      <w:szCs w:val="36"/>
    </w:rPr>
  </w:style>
  <w:style w:type="paragraph" w:customStyle="1" w:styleId="533">
    <w:name w:val="heading 3_file_3094"/>
    <w:basedOn w:val="530"/>
    <w:qFormat/>
    <w:uiPriority w:val="9"/>
    <w:pPr>
      <w:outlineLvl w:val="2"/>
    </w:pPr>
    <w:rPr>
      <w:sz w:val="27"/>
      <w:szCs w:val="27"/>
    </w:rPr>
  </w:style>
  <w:style w:type="paragraph" w:customStyle="1" w:styleId="534">
    <w:name w:val="heading 4_file_3094"/>
    <w:basedOn w:val="530"/>
    <w:qFormat/>
    <w:uiPriority w:val="9"/>
    <w:pPr>
      <w:outlineLvl w:val="3"/>
    </w:pPr>
  </w:style>
  <w:style w:type="paragraph" w:customStyle="1" w:styleId="535">
    <w:name w:val="heading 5_file_3094"/>
    <w:basedOn w:val="530"/>
    <w:qFormat/>
    <w:uiPriority w:val="9"/>
    <w:pPr>
      <w:outlineLvl w:val="4"/>
    </w:pPr>
    <w:rPr>
      <w:sz w:val="20"/>
      <w:szCs w:val="20"/>
    </w:rPr>
  </w:style>
  <w:style w:type="paragraph" w:customStyle="1" w:styleId="536">
    <w:name w:val="heading 6_file_3094"/>
    <w:basedOn w:val="530"/>
    <w:qFormat/>
    <w:uiPriority w:val="9"/>
    <w:pPr>
      <w:outlineLvl w:val="5"/>
    </w:pPr>
    <w:rPr>
      <w:sz w:val="15"/>
      <w:szCs w:val="15"/>
    </w:rPr>
  </w:style>
  <w:style w:type="character" w:customStyle="1" w:styleId="537">
    <w:name w:val="Default Paragraph Font_file_3094"/>
    <w:semiHidden/>
    <w:unhideWhenUsed/>
    <w:qFormat/>
    <w:uiPriority w:val="1"/>
  </w:style>
  <w:style w:type="table" w:customStyle="1" w:styleId="538">
    <w:name w:val="Normal Table_file_3094"/>
    <w:semiHidden/>
    <w:unhideWhenUsed/>
    <w:qFormat/>
    <w:uiPriority w:val="99"/>
    <w:tblPr>
      <w:tblCellMar>
        <w:top w:w="0" w:type="dxa"/>
        <w:left w:w="108" w:type="dxa"/>
        <w:bottom w:w="0" w:type="dxa"/>
        <w:right w:w="108" w:type="dxa"/>
      </w:tblCellMar>
    </w:tblPr>
  </w:style>
  <w:style w:type="character" w:customStyle="1" w:styleId="539">
    <w:name w:val="Hyperlink_file_3094"/>
    <w:basedOn w:val="537"/>
    <w:semiHidden/>
    <w:unhideWhenUsed/>
    <w:qFormat/>
    <w:uiPriority w:val="99"/>
    <w:rPr>
      <w:color w:val="0782C1"/>
      <w:u w:val="single"/>
    </w:rPr>
  </w:style>
  <w:style w:type="character" w:customStyle="1" w:styleId="540">
    <w:name w:val="FollowedHyperlink_file_3094"/>
    <w:basedOn w:val="537"/>
    <w:semiHidden/>
    <w:unhideWhenUsed/>
    <w:qFormat/>
    <w:uiPriority w:val="99"/>
    <w:rPr>
      <w:color w:val="0782C1"/>
      <w:u w:val="single"/>
    </w:rPr>
  </w:style>
  <w:style w:type="character" w:customStyle="1" w:styleId="541">
    <w:name w:val="标题 1 Char_file_3094"/>
    <w:basedOn w:val="537"/>
    <w:link w:val="3"/>
    <w:qFormat/>
    <w:uiPriority w:val="9"/>
    <w:rPr>
      <w:rFonts w:ascii="宋体" w:hAnsi="宋体" w:eastAsia="宋体" w:cs="宋体"/>
      <w:b/>
      <w:bCs/>
      <w:kern w:val="44"/>
      <w:sz w:val="44"/>
      <w:szCs w:val="44"/>
    </w:rPr>
  </w:style>
  <w:style w:type="character" w:customStyle="1" w:styleId="542">
    <w:name w:val="标题 2 Char_file_3094"/>
    <w:basedOn w:val="537"/>
    <w:link w:val="4"/>
    <w:semiHidden/>
    <w:qFormat/>
    <w:uiPriority w:val="9"/>
    <w:rPr>
      <w:rFonts w:asciiTheme="majorHAnsi" w:hAnsiTheme="majorHAnsi" w:eastAsiaTheme="majorEastAsia" w:cstheme="majorBidi"/>
      <w:b/>
      <w:bCs/>
      <w:sz w:val="32"/>
      <w:szCs w:val="32"/>
    </w:rPr>
  </w:style>
  <w:style w:type="character" w:customStyle="1" w:styleId="543">
    <w:name w:val="标题 3 Char_file_3094"/>
    <w:basedOn w:val="537"/>
    <w:link w:val="5"/>
    <w:semiHidden/>
    <w:qFormat/>
    <w:uiPriority w:val="9"/>
    <w:rPr>
      <w:rFonts w:ascii="宋体" w:hAnsi="宋体" w:eastAsia="宋体" w:cs="宋体"/>
      <w:b/>
      <w:bCs/>
      <w:sz w:val="32"/>
      <w:szCs w:val="32"/>
    </w:rPr>
  </w:style>
  <w:style w:type="character" w:customStyle="1" w:styleId="544">
    <w:name w:val="标题 4 Char_file_3094"/>
    <w:basedOn w:val="537"/>
    <w:link w:val="6"/>
    <w:semiHidden/>
    <w:qFormat/>
    <w:uiPriority w:val="9"/>
    <w:rPr>
      <w:rFonts w:asciiTheme="majorHAnsi" w:hAnsiTheme="majorHAnsi" w:eastAsiaTheme="majorEastAsia" w:cstheme="majorBidi"/>
      <w:b/>
      <w:bCs/>
      <w:sz w:val="28"/>
      <w:szCs w:val="28"/>
    </w:rPr>
  </w:style>
  <w:style w:type="character" w:customStyle="1" w:styleId="545">
    <w:name w:val="标题 5 Char_file_3094"/>
    <w:basedOn w:val="537"/>
    <w:link w:val="7"/>
    <w:semiHidden/>
    <w:qFormat/>
    <w:uiPriority w:val="9"/>
    <w:rPr>
      <w:rFonts w:ascii="宋体" w:hAnsi="宋体" w:eastAsia="宋体" w:cs="宋体"/>
      <w:b/>
      <w:bCs/>
      <w:sz w:val="28"/>
      <w:szCs w:val="28"/>
    </w:rPr>
  </w:style>
  <w:style w:type="character" w:customStyle="1" w:styleId="546">
    <w:name w:val="标题 6 Char_file_3094"/>
    <w:basedOn w:val="537"/>
    <w:link w:val="9"/>
    <w:semiHidden/>
    <w:qFormat/>
    <w:uiPriority w:val="9"/>
    <w:rPr>
      <w:rFonts w:asciiTheme="majorHAnsi" w:hAnsiTheme="majorHAnsi" w:eastAsiaTheme="majorEastAsia" w:cstheme="majorBidi"/>
      <w:b/>
      <w:bCs/>
      <w:sz w:val="24"/>
      <w:szCs w:val="24"/>
    </w:rPr>
  </w:style>
  <w:style w:type="paragraph" w:customStyle="1" w:styleId="547">
    <w:name w:val="cke_editable_file_3094"/>
    <w:basedOn w:val="530"/>
    <w:qFormat/>
    <w:uiPriority w:val="0"/>
    <w:rPr>
      <w:rFonts w:ascii="仿宋_GB2312" w:eastAsia="仿宋_GB2312"/>
    </w:rPr>
  </w:style>
  <w:style w:type="paragraph" w:customStyle="1" w:styleId="548">
    <w:name w:val="marker_file_3094"/>
    <w:basedOn w:val="530"/>
    <w:qFormat/>
    <w:uiPriority w:val="0"/>
    <w:pPr>
      <w:shd w:val="clear" w:color="auto" w:fill="FFFF00"/>
    </w:pPr>
  </w:style>
  <w:style w:type="paragraph" w:customStyle="1" w:styleId="549">
    <w:name w:val="Normal (Web)_file_3094"/>
    <w:basedOn w:val="530"/>
    <w:semiHidden/>
    <w:unhideWhenUsed/>
    <w:qFormat/>
    <w:uiPriority w:val="99"/>
  </w:style>
  <w:style w:type="paragraph" w:customStyle="1" w:styleId="550">
    <w:name w:val="Normal_file_309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51">
    <w:name w:val="heading 1_file_3095"/>
    <w:basedOn w:val="550"/>
    <w:qFormat/>
    <w:uiPriority w:val="9"/>
    <w:pPr>
      <w:outlineLvl w:val="0"/>
    </w:pPr>
    <w:rPr>
      <w:kern w:val="36"/>
      <w:sz w:val="48"/>
      <w:szCs w:val="48"/>
    </w:rPr>
  </w:style>
  <w:style w:type="paragraph" w:customStyle="1" w:styleId="552">
    <w:name w:val="heading 2_file_3095"/>
    <w:basedOn w:val="550"/>
    <w:qFormat/>
    <w:uiPriority w:val="9"/>
    <w:pPr>
      <w:outlineLvl w:val="1"/>
    </w:pPr>
    <w:rPr>
      <w:sz w:val="36"/>
      <w:szCs w:val="36"/>
    </w:rPr>
  </w:style>
  <w:style w:type="paragraph" w:customStyle="1" w:styleId="553">
    <w:name w:val="heading 3_file_3095"/>
    <w:basedOn w:val="550"/>
    <w:qFormat/>
    <w:uiPriority w:val="9"/>
    <w:pPr>
      <w:outlineLvl w:val="2"/>
    </w:pPr>
    <w:rPr>
      <w:sz w:val="27"/>
      <w:szCs w:val="27"/>
    </w:rPr>
  </w:style>
  <w:style w:type="paragraph" w:customStyle="1" w:styleId="554">
    <w:name w:val="heading 4_file_3095"/>
    <w:basedOn w:val="550"/>
    <w:qFormat/>
    <w:uiPriority w:val="9"/>
    <w:pPr>
      <w:outlineLvl w:val="3"/>
    </w:pPr>
  </w:style>
  <w:style w:type="paragraph" w:customStyle="1" w:styleId="555">
    <w:name w:val="heading 5_file_3095"/>
    <w:basedOn w:val="550"/>
    <w:qFormat/>
    <w:uiPriority w:val="9"/>
    <w:pPr>
      <w:outlineLvl w:val="4"/>
    </w:pPr>
    <w:rPr>
      <w:sz w:val="20"/>
      <w:szCs w:val="20"/>
    </w:rPr>
  </w:style>
  <w:style w:type="paragraph" w:customStyle="1" w:styleId="556">
    <w:name w:val="heading 6_file_3095"/>
    <w:basedOn w:val="550"/>
    <w:qFormat/>
    <w:uiPriority w:val="9"/>
    <w:pPr>
      <w:outlineLvl w:val="5"/>
    </w:pPr>
    <w:rPr>
      <w:sz w:val="15"/>
      <w:szCs w:val="15"/>
    </w:rPr>
  </w:style>
  <w:style w:type="character" w:customStyle="1" w:styleId="557">
    <w:name w:val="Default Paragraph Font_file_3095"/>
    <w:semiHidden/>
    <w:unhideWhenUsed/>
    <w:qFormat/>
    <w:uiPriority w:val="1"/>
  </w:style>
  <w:style w:type="table" w:customStyle="1" w:styleId="558">
    <w:name w:val="Normal Table_file_3095"/>
    <w:semiHidden/>
    <w:unhideWhenUsed/>
    <w:qFormat/>
    <w:uiPriority w:val="99"/>
    <w:tblPr>
      <w:tblCellMar>
        <w:top w:w="0" w:type="dxa"/>
        <w:left w:w="108" w:type="dxa"/>
        <w:bottom w:w="0" w:type="dxa"/>
        <w:right w:w="108" w:type="dxa"/>
      </w:tblCellMar>
    </w:tblPr>
  </w:style>
  <w:style w:type="character" w:customStyle="1" w:styleId="559">
    <w:name w:val="Hyperlink_file_3095"/>
    <w:basedOn w:val="557"/>
    <w:semiHidden/>
    <w:unhideWhenUsed/>
    <w:qFormat/>
    <w:uiPriority w:val="99"/>
    <w:rPr>
      <w:color w:val="0782C1"/>
      <w:u w:val="single"/>
    </w:rPr>
  </w:style>
  <w:style w:type="character" w:customStyle="1" w:styleId="560">
    <w:name w:val="FollowedHyperlink_file_3095"/>
    <w:basedOn w:val="557"/>
    <w:semiHidden/>
    <w:unhideWhenUsed/>
    <w:qFormat/>
    <w:uiPriority w:val="99"/>
    <w:rPr>
      <w:color w:val="0782C1"/>
      <w:u w:val="single"/>
    </w:rPr>
  </w:style>
  <w:style w:type="character" w:customStyle="1" w:styleId="561">
    <w:name w:val="标题 1 Char_file_3095"/>
    <w:basedOn w:val="557"/>
    <w:link w:val="3"/>
    <w:qFormat/>
    <w:uiPriority w:val="9"/>
    <w:rPr>
      <w:rFonts w:ascii="宋体" w:hAnsi="宋体" w:eastAsia="宋体" w:cs="宋体"/>
      <w:b/>
      <w:bCs/>
      <w:kern w:val="44"/>
      <w:sz w:val="44"/>
      <w:szCs w:val="44"/>
    </w:rPr>
  </w:style>
  <w:style w:type="character" w:customStyle="1" w:styleId="562">
    <w:name w:val="标题 2 Char_file_3095"/>
    <w:basedOn w:val="557"/>
    <w:link w:val="4"/>
    <w:semiHidden/>
    <w:qFormat/>
    <w:uiPriority w:val="9"/>
    <w:rPr>
      <w:rFonts w:asciiTheme="majorHAnsi" w:hAnsiTheme="majorHAnsi" w:eastAsiaTheme="majorEastAsia" w:cstheme="majorBidi"/>
      <w:b/>
      <w:bCs/>
      <w:sz w:val="32"/>
      <w:szCs w:val="32"/>
    </w:rPr>
  </w:style>
  <w:style w:type="character" w:customStyle="1" w:styleId="563">
    <w:name w:val="标题 3 Char_file_3095"/>
    <w:basedOn w:val="557"/>
    <w:link w:val="5"/>
    <w:semiHidden/>
    <w:qFormat/>
    <w:uiPriority w:val="9"/>
    <w:rPr>
      <w:rFonts w:ascii="宋体" w:hAnsi="宋体" w:eastAsia="宋体" w:cs="宋体"/>
      <w:b/>
      <w:bCs/>
      <w:sz w:val="32"/>
      <w:szCs w:val="32"/>
    </w:rPr>
  </w:style>
  <w:style w:type="character" w:customStyle="1" w:styleId="564">
    <w:name w:val="标题 4 Char_file_3095"/>
    <w:basedOn w:val="557"/>
    <w:link w:val="6"/>
    <w:semiHidden/>
    <w:qFormat/>
    <w:uiPriority w:val="9"/>
    <w:rPr>
      <w:rFonts w:asciiTheme="majorHAnsi" w:hAnsiTheme="majorHAnsi" w:eastAsiaTheme="majorEastAsia" w:cstheme="majorBidi"/>
      <w:b/>
      <w:bCs/>
      <w:sz w:val="28"/>
      <w:szCs w:val="28"/>
    </w:rPr>
  </w:style>
  <w:style w:type="character" w:customStyle="1" w:styleId="565">
    <w:name w:val="标题 5 Char_file_3095"/>
    <w:basedOn w:val="557"/>
    <w:link w:val="7"/>
    <w:semiHidden/>
    <w:qFormat/>
    <w:uiPriority w:val="9"/>
    <w:rPr>
      <w:rFonts w:ascii="宋体" w:hAnsi="宋体" w:eastAsia="宋体" w:cs="宋体"/>
      <w:b/>
      <w:bCs/>
      <w:sz w:val="28"/>
      <w:szCs w:val="28"/>
    </w:rPr>
  </w:style>
  <w:style w:type="character" w:customStyle="1" w:styleId="566">
    <w:name w:val="标题 6 Char_file_3095"/>
    <w:basedOn w:val="557"/>
    <w:link w:val="9"/>
    <w:semiHidden/>
    <w:qFormat/>
    <w:uiPriority w:val="9"/>
    <w:rPr>
      <w:rFonts w:asciiTheme="majorHAnsi" w:hAnsiTheme="majorHAnsi" w:eastAsiaTheme="majorEastAsia" w:cstheme="majorBidi"/>
      <w:b/>
      <w:bCs/>
      <w:sz w:val="24"/>
      <w:szCs w:val="24"/>
    </w:rPr>
  </w:style>
  <w:style w:type="paragraph" w:customStyle="1" w:styleId="567">
    <w:name w:val="cke_editable_file_3095"/>
    <w:basedOn w:val="550"/>
    <w:qFormat/>
    <w:uiPriority w:val="0"/>
    <w:rPr>
      <w:rFonts w:ascii="仿宋_GB2312" w:eastAsia="仿宋_GB2312"/>
    </w:rPr>
  </w:style>
  <w:style w:type="paragraph" w:customStyle="1" w:styleId="568">
    <w:name w:val="marker_file_3095"/>
    <w:basedOn w:val="550"/>
    <w:qFormat/>
    <w:uiPriority w:val="0"/>
    <w:pPr>
      <w:shd w:val="clear" w:color="auto" w:fill="FFFF00"/>
    </w:pPr>
  </w:style>
  <w:style w:type="paragraph" w:customStyle="1" w:styleId="569">
    <w:name w:val="Normal (Web)_file_3095"/>
    <w:basedOn w:val="550"/>
    <w:semiHidden/>
    <w:unhideWhenUsed/>
    <w:qFormat/>
    <w:uiPriority w:val="99"/>
  </w:style>
  <w:style w:type="paragraph" w:customStyle="1" w:styleId="570">
    <w:name w:val="Normal_file_309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71">
    <w:name w:val="heading 1_file_3096"/>
    <w:basedOn w:val="570"/>
    <w:qFormat/>
    <w:uiPriority w:val="9"/>
    <w:pPr>
      <w:outlineLvl w:val="0"/>
    </w:pPr>
    <w:rPr>
      <w:kern w:val="36"/>
      <w:sz w:val="48"/>
      <w:szCs w:val="48"/>
    </w:rPr>
  </w:style>
  <w:style w:type="paragraph" w:customStyle="1" w:styleId="572">
    <w:name w:val="heading 2_file_3096"/>
    <w:basedOn w:val="570"/>
    <w:qFormat/>
    <w:uiPriority w:val="9"/>
    <w:pPr>
      <w:outlineLvl w:val="1"/>
    </w:pPr>
    <w:rPr>
      <w:sz w:val="36"/>
      <w:szCs w:val="36"/>
    </w:rPr>
  </w:style>
  <w:style w:type="paragraph" w:customStyle="1" w:styleId="573">
    <w:name w:val="heading 3_file_3096"/>
    <w:basedOn w:val="570"/>
    <w:qFormat/>
    <w:uiPriority w:val="9"/>
    <w:pPr>
      <w:outlineLvl w:val="2"/>
    </w:pPr>
    <w:rPr>
      <w:sz w:val="27"/>
      <w:szCs w:val="27"/>
    </w:rPr>
  </w:style>
  <w:style w:type="paragraph" w:customStyle="1" w:styleId="574">
    <w:name w:val="heading 4_file_3096"/>
    <w:basedOn w:val="570"/>
    <w:qFormat/>
    <w:uiPriority w:val="9"/>
    <w:pPr>
      <w:outlineLvl w:val="3"/>
    </w:pPr>
  </w:style>
  <w:style w:type="paragraph" w:customStyle="1" w:styleId="575">
    <w:name w:val="heading 5_file_3096"/>
    <w:basedOn w:val="570"/>
    <w:qFormat/>
    <w:uiPriority w:val="9"/>
    <w:pPr>
      <w:outlineLvl w:val="4"/>
    </w:pPr>
    <w:rPr>
      <w:sz w:val="20"/>
      <w:szCs w:val="20"/>
    </w:rPr>
  </w:style>
  <w:style w:type="paragraph" w:customStyle="1" w:styleId="576">
    <w:name w:val="heading 6_file_3096"/>
    <w:basedOn w:val="570"/>
    <w:qFormat/>
    <w:uiPriority w:val="9"/>
    <w:pPr>
      <w:outlineLvl w:val="5"/>
    </w:pPr>
    <w:rPr>
      <w:sz w:val="15"/>
      <w:szCs w:val="15"/>
    </w:rPr>
  </w:style>
  <w:style w:type="character" w:customStyle="1" w:styleId="577">
    <w:name w:val="Default Paragraph Font_file_3096"/>
    <w:semiHidden/>
    <w:unhideWhenUsed/>
    <w:qFormat/>
    <w:uiPriority w:val="1"/>
  </w:style>
  <w:style w:type="table" w:customStyle="1" w:styleId="578">
    <w:name w:val="Normal Table_file_3096"/>
    <w:semiHidden/>
    <w:unhideWhenUsed/>
    <w:qFormat/>
    <w:uiPriority w:val="99"/>
    <w:tblPr>
      <w:tblCellMar>
        <w:top w:w="0" w:type="dxa"/>
        <w:left w:w="108" w:type="dxa"/>
        <w:bottom w:w="0" w:type="dxa"/>
        <w:right w:w="108" w:type="dxa"/>
      </w:tblCellMar>
    </w:tblPr>
  </w:style>
  <w:style w:type="character" w:customStyle="1" w:styleId="579">
    <w:name w:val="Hyperlink_file_3096"/>
    <w:basedOn w:val="577"/>
    <w:semiHidden/>
    <w:unhideWhenUsed/>
    <w:qFormat/>
    <w:uiPriority w:val="99"/>
    <w:rPr>
      <w:color w:val="0782C1"/>
      <w:u w:val="single"/>
    </w:rPr>
  </w:style>
  <w:style w:type="character" w:customStyle="1" w:styleId="580">
    <w:name w:val="FollowedHyperlink_file_3096"/>
    <w:basedOn w:val="577"/>
    <w:semiHidden/>
    <w:unhideWhenUsed/>
    <w:qFormat/>
    <w:uiPriority w:val="99"/>
    <w:rPr>
      <w:color w:val="0782C1"/>
      <w:u w:val="single"/>
    </w:rPr>
  </w:style>
  <w:style w:type="character" w:customStyle="1" w:styleId="581">
    <w:name w:val="标题 1 Char_file_3096"/>
    <w:basedOn w:val="577"/>
    <w:link w:val="3"/>
    <w:qFormat/>
    <w:uiPriority w:val="9"/>
    <w:rPr>
      <w:rFonts w:ascii="宋体" w:hAnsi="宋体" w:eastAsia="宋体" w:cs="宋体"/>
      <w:b/>
      <w:bCs/>
      <w:kern w:val="44"/>
      <w:sz w:val="44"/>
      <w:szCs w:val="44"/>
    </w:rPr>
  </w:style>
  <w:style w:type="character" w:customStyle="1" w:styleId="582">
    <w:name w:val="标题 2 Char_file_3096"/>
    <w:basedOn w:val="577"/>
    <w:link w:val="4"/>
    <w:semiHidden/>
    <w:qFormat/>
    <w:uiPriority w:val="9"/>
    <w:rPr>
      <w:rFonts w:asciiTheme="majorHAnsi" w:hAnsiTheme="majorHAnsi" w:eastAsiaTheme="majorEastAsia" w:cstheme="majorBidi"/>
      <w:b/>
      <w:bCs/>
      <w:sz w:val="32"/>
      <w:szCs w:val="32"/>
    </w:rPr>
  </w:style>
  <w:style w:type="character" w:customStyle="1" w:styleId="583">
    <w:name w:val="标题 3 Char_file_3096"/>
    <w:basedOn w:val="577"/>
    <w:link w:val="5"/>
    <w:semiHidden/>
    <w:qFormat/>
    <w:uiPriority w:val="9"/>
    <w:rPr>
      <w:rFonts w:ascii="宋体" w:hAnsi="宋体" w:eastAsia="宋体" w:cs="宋体"/>
      <w:b/>
      <w:bCs/>
      <w:sz w:val="32"/>
      <w:szCs w:val="32"/>
    </w:rPr>
  </w:style>
  <w:style w:type="character" w:customStyle="1" w:styleId="584">
    <w:name w:val="标题 4 Char_file_3096"/>
    <w:basedOn w:val="577"/>
    <w:link w:val="6"/>
    <w:semiHidden/>
    <w:qFormat/>
    <w:uiPriority w:val="9"/>
    <w:rPr>
      <w:rFonts w:asciiTheme="majorHAnsi" w:hAnsiTheme="majorHAnsi" w:eastAsiaTheme="majorEastAsia" w:cstheme="majorBidi"/>
      <w:b/>
      <w:bCs/>
      <w:sz w:val="28"/>
      <w:szCs w:val="28"/>
    </w:rPr>
  </w:style>
  <w:style w:type="character" w:customStyle="1" w:styleId="585">
    <w:name w:val="标题 5 Char_file_3096"/>
    <w:basedOn w:val="577"/>
    <w:link w:val="7"/>
    <w:semiHidden/>
    <w:qFormat/>
    <w:uiPriority w:val="9"/>
    <w:rPr>
      <w:rFonts w:ascii="宋体" w:hAnsi="宋体" w:eastAsia="宋体" w:cs="宋体"/>
      <w:b/>
      <w:bCs/>
      <w:sz w:val="28"/>
      <w:szCs w:val="28"/>
    </w:rPr>
  </w:style>
  <w:style w:type="character" w:customStyle="1" w:styleId="586">
    <w:name w:val="标题 6 Char_file_3096"/>
    <w:basedOn w:val="577"/>
    <w:link w:val="9"/>
    <w:semiHidden/>
    <w:qFormat/>
    <w:uiPriority w:val="9"/>
    <w:rPr>
      <w:rFonts w:asciiTheme="majorHAnsi" w:hAnsiTheme="majorHAnsi" w:eastAsiaTheme="majorEastAsia" w:cstheme="majorBidi"/>
      <w:b/>
      <w:bCs/>
      <w:sz w:val="24"/>
      <w:szCs w:val="24"/>
    </w:rPr>
  </w:style>
  <w:style w:type="paragraph" w:customStyle="1" w:styleId="587">
    <w:name w:val="cke_editable_file_3096"/>
    <w:basedOn w:val="570"/>
    <w:qFormat/>
    <w:uiPriority w:val="0"/>
    <w:rPr>
      <w:rFonts w:ascii="仿宋_GB2312" w:eastAsia="仿宋_GB2312"/>
    </w:rPr>
  </w:style>
  <w:style w:type="paragraph" w:customStyle="1" w:styleId="588">
    <w:name w:val="marker_file_3096"/>
    <w:basedOn w:val="570"/>
    <w:qFormat/>
    <w:uiPriority w:val="0"/>
    <w:pPr>
      <w:shd w:val="clear" w:color="auto" w:fill="FFFF00"/>
    </w:pPr>
  </w:style>
  <w:style w:type="paragraph" w:customStyle="1" w:styleId="589">
    <w:name w:val="Normal (Web)_file_3096"/>
    <w:basedOn w:val="570"/>
    <w:semiHidden/>
    <w:unhideWhenUsed/>
    <w:qFormat/>
    <w:uiPriority w:val="99"/>
  </w:style>
  <w:style w:type="paragraph" w:customStyle="1" w:styleId="590">
    <w:name w:val="Normal_file_309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91">
    <w:name w:val="heading 1_file_3097"/>
    <w:basedOn w:val="590"/>
    <w:qFormat/>
    <w:uiPriority w:val="9"/>
    <w:pPr>
      <w:outlineLvl w:val="0"/>
    </w:pPr>
    <w:rPr>
      <w:kern w:val="36"/>
      <w:sz w:val="48"/>
      <w:szCs w:val="48"/>
    </w:rPr>
  </w:style>
  <w:style w:type="paragraph" w:customStyle="1" w:styleId="592">
    <w:name w:val="heading 2_file_3097"/>
    <w:basedOn w:val="590"/>
    <w:qFormat/>
    <w:uiPriority w:val="9"/>
    <w:pPr>
      <w:outlineLvl w:val="1"/>
    </w:pPr>
    <w:rPr>
      <w:sz w:val="36"/>
      <w:szCs w:val="36"/>
    </w:rPr>
  </w:style>
  <w:style w:type="paragraph" w:customStyle="1" w:styleId="593">
    <w:name w:val="heading 3_file_3097"/>
    <w:basedOn w:val="590"/>
    <w:qFormat/>
    <w:uiPriority w:val="9"/>
    <w:pPr>
      <w:outlineLvl w:val="2"/>
    </w:pPr>
    <w:rPr>
      <w:sz w:val="27"/>
      <w:szCs w:val="27"/>
    </w:rPr>
  </w:style>
  <w:style w:type="paragraph" w:customStyle="1" w:styleId="594">
    <w:name w:val="heading 4_file_3097"/>
    <w:basedOn w:val="590"/>
    <w:qFormat/>
    <w:uiPriority w:val="9"/>
    <w:pPr>
      <w:outlineLvl w:val="3"/>
    </w:pPr>
  </w:style>
  <w:style w:type="paragraph" w:customStyle="1" w:styleId="595">
    <w:name w:val="heading 5_file_3097"/>
    <w:basedOn w:val="590"/>
    <w:qFormat/>
    <w:uiPriority w:val="9"/>
    <w:pPr>
      <w:outlineLvl w:val="4"/>
    </w:pPr>
    <w:rPr>
      <w:sz w:val="20"/>
      <w:szCs w:val="20"/>
    </w:rPr>
  </w:style>
  <w:style w:type="paragraph" w:customStyle="1" w:styleId="596">
    <w:name w:val="heading 6_file_3097"/>
    <w:basedOn w:val="590"/>
    <w:qFormat/>
    <w:uiPriority w:val="9"/>
    <w:pPr>
      <w:outlineLvl w:val="5"/>
    </w:pPr>
    <w:rPr>
      <w:sz w:val="15"/>
      <w:szCs w:val="15"/>
    </w:rPr>
  </w:style>
  <w:style w:type="character" w:customStyle="1" w:styleId="597">
    <w:name w:val="Default Paragraph Font_file_3097"/>
    <w:semiHidden/>
    <w:unhideWhenUsed/>
    <w:qFormat/>
    <w:uiPriority w:val="1"/>
  </w:style>
  <w:style w:type="table" w:customStyle="1" w:styleId="598">
    <w:name w:val="Normal Table_file_3097"/>
    <w:semiHidden/>
    <w:unhideWhenUsed/>
    <w:qFormat/>
    <w:uiPriority w:val="99"/>
    <w:tblPr>
      <w:tblCellMar>
        <w:top w:w="0" w:type="dxa"/>
        <w:left w:w="108" w:type="dxa"/>
        <w:bottom w:w="0" w:type="dxa"/>
        <w:right w:w="108" w:type="dxa"/>
      </w:tblCellMar>
    </w:tblPr>
  </w:style>
  <w:style w:type="character" w:customStyle="1" w:styleId="599">
    <w:name w:val="Hyperlink_file_3097"/>
    <w:basedOn w:val="597"/>
    <w:semiHidden/>
    <w:unhideWhenUsed/>
    <w:qFormat/>
    <w:uiPriority w:val="99"/>
    <w:rPr>
      <w:color w:val="0782C1"/>
      <w:u w:val="single"/>
    </w:rPr>
  </w:style>
  <w:style w:type="character" w:customStyle="1" w:styleId="600">
    <w:name w:val="FollowedHyperlink_file_3097"/>
    <w:basedOn w:val="597"/>
    <w:semiHidden/>
    <w:unhideWhenUsed/>
    <w:qFormat/>
    <w:uiPriority w:val="99"/>
    <w:rPr>
      <w:color w:val="0782C1"/>
      <w:u w:val="single"/>
    </w:rPr>
  </w:style>
  <w:style w:type="character" w:customStyle="1" w:styleId="601">
    <w:name w:val="标题 1 Char_file_3097"/>
    <w:basedOn w:val="597"/>
    <w:link w:val="3"/>
    <w:qFormat/>
    <w:uiPriority w:val="9"/>
    <w:rPr>
      <w:rFonts w:ascii="宋体" w:hAnsi="宋体" w:eastAsia="宋体" w:cs="宋体"/>
      <w:b/>
      <w:bCs/>
      <w:kern w:val="44"/>
      <w:sz w:val="44"/>
      <w:szCs w:val="44"/>
    </w:rPr>
  </w:style>
  <w:style w:type="character" w:customStyle="1" w:styleId="602">
    <w:name w:val="标题 2 Char_file_3097"/>
    <w:basedOn w:val="597"/>
    <w:link w:val="4"/>
    <w:semiHidden/>
    <w:qFormat/>
    <w:uiPriority w:val="9"/>
    <w:rPr>
      <w:rFonts w:asciiTheme="majorHAnsi" w:hAnsiTheme="majorHAnsi" w:eastAsiaTheme="majorEastAsia" w:cstheme="majorBidi"/>
      <w:b/>
      <w:bCs/>
      <w:sz w:val="32"/>
      <w:szCs w:val="32"/>
    </w:rPr>
  </w:style>
  <w:style w:type="character" w:customStyle="1" w:styleId="603">
    <w:name w:val="标题 3 Char_file_3097"/>
    <w:basedOn w:val="597"/>
    <w:link w:val="5"/>
    <w:semiHidden/>
    <w:qFormat/>
    <w:uiPriority w:val="9"/>
    <w:rPr>
      <w:rFonts w:ascii="宋体" w:hAnsi="宋体" w:eastAsia="宋体" w:cs="宋体"/>
      <w:b/>
      <w:bCs/>
      <w:sz w:val="32"/>
      <w:szCs w:val="32"/>
    </w:rPr>
  </w:style>
  <w:style w:type="character" w:customStyle="1" w:styleId="604">
    <w:name w:val="标题 4 Char_file_3097"/>
    <w:basedOn w:val="597"/>
    <w:link w:val="6"/>
    <w:semiHidden/>
    <w:qFormat/>
    <w:uiPriority w:val="9"/>
    <w:rPr>
      <w:rFonts w:asciiTheme="majorHAnsi" w:hAnsiTheme="majorHAnsi" w:eastAsiaTheme="majorEastAsia" w:cstheme="majorBidi"/>
      <w:b/>
      <w:bCs/>
      <w:sz w:val="28"/>
      <w:szCs w:val="28"/>
    </w:rPr>
  </w:style>
  <w:style w:type="character" w:customStyle="1" w:styleId="605">
    <w:name w:val="标题 5 Char_file_3097"/>
    <w:basedOn w:val="597"/>
    <w:link w:val="7"/>
    <w:semiHidden/>
    <w:qFormat/>
    <w:uiPriority w:val="9"/>
    <w:rPr>
      <w:rFonts w:ascii="宋体" w:hAnsi="宋体" w:eastAsia="宋体" w:cs="宋体"/>
      <w:b/>
      <w:bCs/>
      <w:sz w:val="28"/>
      <w:szCs w:val="28"/>
    </w:rPr>
  </w:style>
  <w:style w:type="character" w:customStyle="1" w:styleId="606">
    <w:name w:val="标题 6 Char_file_3097"/>
    <w:basedOn w:val="597"/>
    <w:link w:val="9"/>
    <w:semiHidden/>
    <w:qFormat/>
    <w:uiPriority w:val="9"/>
    <w:rPr>
      <w:rFonts w:asciiTheme="majorHAnsi" w:hAnsiTheme="majorHAnsi" w:eastAsiaTheme="majorEastAsia" w:cstheme="majorBidi"/>
      <w:b/>
      <w:bCs/>
      <w:sz w:val="24"/>
      <w:szCs w:val="24"/>
    </w:rPr>
  </w:style>
  <w:style w:type="paragraph" w:customStyle="1" w:styleId="607">
    <w:name w:val="cke_editable_file_3097"/>
    <w:basedOn w:val="590"/>
    <w:qFormat/>
    <w:uiPriority w:val="0"/>
    <w:rPr>
      <w:rFonts w:ascii="仿宋_GB2312" w:eastAsia="仿宋_GB2312"/>
    </w:rPr>
  </w:style>
  <w:style w:type="paragraph" w:customStyle="1" w:styleId="608">
    <w:name w:val="marker_file_3097"/>
    <w:basedOn w:val="590"/>
    <w:qFormat/>
    <w:uiPriority w:val="0"/>
    <w:pPr>
      <w:shd w:val="clear" w:color="auto" w:fill="FFFF00"/>
    </w:pPr>
  </w:style>
  <w:style w:type="paragraph" w:customStyle="1" w:styleId="609">
    <w:name w:val="Normal (Web)_file_3097"/>
    <w:basedOn w:val="590"/>
    <w:semiHidden/>
    <w:unhideWhenUsed/>
    <w:qFormat/>
    <w:uiPriority w:val="99"/>
  </w:style>
  <w:style w:type="paragraph" w:customStyle="1" w:styleId="610">
    <w:name w:val="Normal_file_309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11">
    <w:name w:val="heading 1_file_3098"/>
    <w:basedOn w:val="610"/>
    <w:qFormat/>
    <w:uiPriority w:val="9"/>
    <w:pPr>
      <w:outlineLvl w:val="0"/>
    </w:pPr>
    <w:rPr>
      <w:kern w:val="36"/>
      <w:sz w:val="48"/>
      <w:szCs w:val="48"/>
    </w:rPr>
  </w:style>
  <w:style w:type="paragraph" w:customStyle="1" w:styleId="612">
    <w:name w:val="heading 2_file_3098"/>
    <w:basedOn w:val="610"/>
    <w:qFormat/>
    <w:uiPriority w:val="9"/>
    <w:pPr>
      <w:outlineLvl w:val="1"/>
    </w:pPr>
    <w:rPr>
      <w:sz w:val="36"/>
      <w:szCs w:val="36"/>
    </w:rPr>
  </w:style>
  <w:style w:type="paragraph" w:customStyle="1" w:styleId="613">
    <w:name w:val="heading 3_file_3098"/>
    <w:basedOn w:val="610"/>
    <w:qFormat/>
    <w:uiPriority w:val="9"/>
    <w:pPr>
      <w:outlineLvl w:val="2"/>
    </w:pPr>
    <w:rPr>
      <w:sz w:val="27"/>
      <w:szCs w:val="27"/>
    </w:rPr>
  </w:style>
  <w:style w:type="paragraph" w:customStyle="1" w:styleId="614">
    <w:name w:val="heading 4_file_3098"/>
    <w:basedOn w:val="610"/>
    <w:qFormat/>
    <w:uiPriority w:val="9"/>
    <w:pPr>
      <w:outlineLvl w:val="3"/>
    </w:pPr>
  </w:style>
  <w:style w:type="paragraph" w:customStyle="1" w:styleId="615">
    <w:name w:val="heading 5_file_3098"/>
    <w:basedOn w:val="610"/>
    <w:qFormat/>
    <w:uiPriority w:val="9"/>
    <w:pPr>
      <w:outlineLvl w:val="4"/>
    </w:pPr>
    <w:rPr>
      <w:sz w:val="20"/>
      <w:szCs w:val="20"/>
    </w:rPr>
  </w:style>
  <w:style w:type="paragraph" w:customStyle="1" w:styleId="616">
    <w:name w:val="heading 6_file_3098"/>
    <w:basedOn w:val="610"/>
    <w:qFormat/>
    <w:uiPriority w:val="9"/>
    <w:pPr>
      <w:outlineLvl w:val="5"/>
    </w:pPr>
    <w:rPr>
      <w:sz w:val="15"/>
      <w:szCs w:val="15"/>
    </w:rPr>
  </w:style>
  <w:style w:type="character" w:customStyle="1" w:styleId="617">
    <w:name w:val="Default Paragraph Font_file_3098"/>
    <w:semiHidden/>
    <w:unhideWhenUsed/>
    <w:qFormat/>
    <w:uiPriority w:val="1"/>
  </w:style>
  <w:style w:type="table" w:customStyle="1" w:styleId="618">
    <w:name w:val="Normal Table_file_3098"/>
    <w:semiHidden/>
    <w:unhideWhenUsed/>
    <w:qFormat/>
    <w:uiPriority w:val="99"/>
    <w:tblPr>
      <w:tblCellMar>
        <w:top w:w="0" w:type="dxa"/>
        <w:left w:w="108" w:type="dxa"/>
        <w:bottom w:w="0" w:type="dxa"/>
        <w:right w:w="108" w:type="dxa"/>
      </w:tblCellMar>
    </w:tblPr>
  </w:style>
  <w:style w:type="character" w:customStyle="1" w:styleId="619">
    <w:name w:val="Hyperlink_file_3098"/>
    <w:basedOn w:val="617"/>
    <w:semiHidden/>
    <w:unhideWhenUsed/>
    <w:qFormat/>
    <w:uiPriority w:val="99"/>
    <w:rPr>
      <w:color w:val="0782C1"/>
      <w:u w:val="single"/>
    </w:rPr>
  </w:style>
  <w:style w:type="character" w:customStyle="1" w:styleId="620">
    <w:name w:val="FollowedHyperlink_file_3098"/>
    <w:basedOn w:val="617"/>
    <w:semiHidden/>
    <w:unhideWhenUsed/>
    <w:qFormat/>
    <w:uiPriority w:val="99"/>
    <w:rPr>
      <w:color w:val="0782C1"/>
      <w:u w:val="single"/>
    </w:rPr>
  </w:style>
  <w:style w:type="character" w:customStyle="1" w:styleId="621">
    <w:name w:val="标题 1 Char_file_3098"/>
    <w:basedOn w:val="617"/>
    <w:link w:val="3"/>
    <w:qFormat/>
    <w:uiPriority w:val="9"/>
    <w:rPr>
      <w:rFonts w:ascii="宋体" w:hAnsi="宋体" w:eastAsia="宋体" w:cs="宋体"/>
      <w:b/>
      <w:bCs/>
      <w:kern w:val="44"/>
      <w:sz w:val="44"/>
      <w:szCs w:val="44"/>
    </w:rPr>
  </w:style>
  <w:style w:type="character" w:customStyle="1" w:styleId="622">
    <w:name w:val="标题 2 Char_file_3098"/>
    <w:basedOn w:val="617"/>
    <w:link w:val="4"/>
    <w:semiHidden/>
    <w:qFormat/>
    <w:uiPriority w:val="9"/>
    <w:rPr>
      <w:rFonts w:asciiTheme="majorHAnsi" w:hAnsiTheme="majorHAnsi" w:eastAsiaTheme="majorEastAsia" w:cstheme="majorBidi"/>
      <w:b/>
      <w:bCs/>
      <w:sz w:val="32"/>
      <w:szCs w:val="32"/>
    </w:rPr>
  </w:style>
  <w:style w:type="character" w:customStyle="1" w:styleId="623">
    <w:name w:val="标题 3 Char_file_3098"/>
    <w:basedOn w:val="617"/>
    <w:link w:val="5"/>
    <w:semiHidden/>
    <w:qFormat/>
    <w:uiPriority w:val="9"/>
    <w:rPr>
      <w:rFonts w:ascii="宋体" w:hAnsi="宋体" w:eastAsia="宋体" w:cs="宋体"/>
      <w:b/>
      <w:bCs/>
      <w:sz w:val="32"/>
      <w:szCs w:val="32"/>
    </w:rPr>
  </w:style>
  <w:style w:type="character" w:customStyle="1" w:styleId="624">
    <w:name w:val="标题 4 Char_file_3098"/>
    <w:basedOn w:val="617"/>
    <w:link w:val="6"/>
    <w:semiHidden/>
    <w:qFormat/>
    <w:uiPriority w:val="9"/>
    <w:rPr>
      <w:rFonts w:asciiTheme="majorHAnsi" w:hAnsiTheme="majorHAnsi" w:eastAsiaTheme="majorEastAsia" w:cstheme="majorBidi"/>
      <w:b/>
      <w:bCs/>
      <w:sz w:val="28"/>
      <w:szCs w:val="28"/>
    </w:rPr>
  </w:style>
  <w:style w:type="character" w:customStyle="1" w:styleId="625">
    <w:name w:val="标题 5 Char_file_3098"/>
    <w:basedOn w:val="617"/>
    <w:link w:val="7"/>
    <w:semiHidden/>
    <w:qFormat/>
    <w:uiPriority w:val="9"/>
    <w:rPr>
      <w:rFonts w:ascii="宋体" w:hAnsi="宋体" w:eastAsia="宋体" w:cs="宋体"/>
      <w:b/>
      <w:bCs/>
      <w:sz w:val="28"/>
      <w:szCs w:val="28"/>
    </w:rPr>
  </w:style>
  <w:style w:type="character" w:customStyle="1" w:styleId="626">
    <w:name w:val="标题 6 Char_file_3098"/>
    <w:basedOn w:val="617"/>
    <w:link w:val="9"/>
    <w:semiHidden/>
    <w:qFormat/>
    <w:uiPriority w:val="9"/>
    <w:rPr>
      <w:rFonts w:asciiTheme="majorHAnsi" w:hAnsiTheme="majorHAnsi" w:eastAsiaTheme="majorEastAsia" w:cstheme="majorBidi"/>
      <w:b/>
      <w:bCs/>
      <w:sz w:val="24"/>
      <w:szCs w:val="24"/>
    </w:rPr>
  </w:style>
  <w:style w:type="paragraph" w:customStyle="1" w:styleId="627">
    <w:name w:val="cke_editable_file_3098"/>
    <w:basedOn w:val="610"/>
    <w:qFormat/>
    <w:uiPriority w:val="0"/>
    <w:rPr>
      <w:rFonts w:ascii="仿宋_GB2312" w:eastAsia="仿宋_GB2312"/>
    </w:rPr>
  </w:style>
  <w:style w:type="paragraph" w:customStyle="1" w:styleId="628">
    <w:name w:val="marker_file_3098"/>
    <w:basedOn w:val="610"/>
    <w:qFormat/>
    <w:uiPriority w:val="0"/>
    <w:pPr>
      <w:shd w:val="clear" w:color="auto" w:fill="FFFF00"/>
    </w:pPr>
  </w:style>
  <w:style w:type="paragraph" w:customStyle="1" w:styleId="629">
    <w:name w:val="Normal (Web)_file_3098"/>
    <w:basedOn w:val="610"/>
    <w:semiHidden/>
    <w:unhideWhenUsed/>
    <w:qFormat/>
    <w:uiPriority w:val="99"/>
  </w:style>
  <w:style w:type="paragraph" w:customStyle="1" w:styleId="630">
    <w:name w:val="Normal_file_309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31">
    <w:name w:val="heading 1_file_3099"/>
    <w:basedOn w:val="630"/>
    <w:qFormat/>
    <w:uiPriority w:val="9"/>
    <w:pPr>
      <w:outlineLvl w:val="0"/>
    </w:pPr>
    <w:rPr>
      <w:kern w:val="36"/>
      <w:sz w:val="48"/>
      <w:szCs w:val="48"/>
    </w:rPr>
  </w:style>
  <w:style w:type="paragraph" w:customStyle="1" w:styleId="632">
    <w:name w:val="heading 2_file_3099"/>
    <w:basedOn w:val="630"/>
    <w:qFormat/>
    <w:uiPriority w:val="9"/>
    <w:pPr>
      <w:outlineLvl w:val="1"/>
    </w:pPr>
    <w:rPr>
      <w:sz w:val="36"/>
      <w:szCs w:val="36"/>
    </w:rPr>
  </w:style>
  <w:style w:type="paragraph" w:customStyle="1" w:styleId="633">
    <w:name w:val="heading 3_file_3099"/>
    <w:basedOn w:val="630"/>
    <w:qFormat/>
    <w:uiPriority w:val="9"/>
    <w:pPr>
      <w:outlineLvl w:val="2"/>
    </w:pPr>
    <w:rPr>
      <w:sz w:val="27"/>
      <w:szCs w:val="27"/>
    </w:rPr>
  </w:style>
  <w:style w:type="paragraph" w:customStyle="1" w:styleId="634">
    <w:name w:val="heading 4_file_3099"/>
    <w:basedOn w:val="630"/>
    <w:qFormat/>
    <w:uiPriority w:val="9"/>
    <w:pPr>
      <w:outlineLvl w:val="3"/>
    </w:pPr>
  </w:style>
  <w:style w:type="paragraph" w:customStyle="1" w:styleId="635">
    <w:name w:val="heading 5_file_3099"/>
    <w:basedOn w:val="630"/>
    <w:qFormat/>
    <w:uiPriority w:val="9"/>
    <w:pPr>
      <w:outlineLvl w:val="4"/>
    </w:pPr>
    <w:rPr>
      <w:sz w:val="20"/>
      <w:szCs w:val="20"/>
    </w:rPr>
  </w:style>
  <w:style w:type="paragraph" w:customStyle="1" w:styleId="636">
    <w:name w:val="heading 6_file_3099"/>
    <w:basedOn w:val="630"/>
    <w:qFormat/>
    <w:uiPriority w:val="9"/>
    <w:pPr>
      <w:outlineLvl w:val="5"/>
    </w:pPr>
    <w:rPr>
      <w:sz w:val="15"/>
      <w:szCs w:val="15"/>
    </w:rPr>
  </w:style>
  <w:style w:type="character" w:customStyle="1" w:styleId="637">
    <w:name w:val="Default Paragraph Font_file_3099"/>
    <w:semiHidden/>
    <w:unhideWhenUsed/>
    <w:qFormat/>
    <w:uiPriority w:val="1"/>
  </w:style>
  <w:style w:type="table" w:customStyle="1" w:styleId="638">
    <w:name w:val="Normal Table_file_3099"/>
    <w:semiHidden/>
    <w:unhideWhenUsed/>
    <w:qFormat/>
    <w:uiPriority w:val="99"/>
    <w:tblPr>
      <w:tblCellMar>
        <w:top w:w="0" w:type="dxa"/>
        <w:left w:w="108" w:type="dxa"/>
        <w:bottom w:w="0" w:type="dxa"/>
        <w:right w:w="108" w:type="dxa"/>
      </w:tblCellMar>
    </w:tblPr>
  </w:style>
  <w:style w:type="character" w:customStyle="1" w:styleId="639">
    <w:name w:val="Hyperlink_file_3099"/>
    <w:basedOn w:val="637"/>
    <w:semiHidden/>
    <w:unhideWhenUsed/>
    <w:qFormat/>
    <w:uiPriority w:val="99"/>
    <w:rPr>
      <w:color w:val="0782C1"/>
      <w:u w:val="single"/>
    </w:rPr>
  </w:style>
  <w:style w:type="character" w:customStyle="1" w:styleId="640">
    <w:name w:val="FollowedHyperlink_file_3099"/>
    <w:basedOn w:val="637"/>
    <w:semiHidden/>
    <w:unhideWhenUsed/>
    <w:qFormat/>
    <w:uiPriority w:val="99"/>
    <w:rPr>
      <w:color w:val="0782C1"/>
      <w:u w:val="single"/>
    </w:rPr>
  </w:style>
  <w:style w:type="character" w:customStyle="1" w:styleId="641">
    <w:name w:val="标题 1 Char_file_3099"/>
    <w:basedOn w:val="637"/>
    <w:link w:val="3"/>
    <w:qFormat/>
    <w:uiPriority w:val="9"/>
    <w:rPr>
      <w:rFonts w:ascii="宋体" w:hAnsi="宋体" w:eastAsia="宋体" w:cs="宋体"/>
      <w:b/>
      <w:bCs/>
      <w:kern w:val="44"/>
      <w:sz w:val="44"/>
      <w:szCs w:val="44"/>
    </w:rPr>
  </w:style>
  <w:style w:type="character" w:customStyle="1" w:styleId="642">
    <w:name w:val="标题 2 Char_file_3099"/>
    <w:basedOn w:val="637"/>
    <w:link w:val="4"/>
    <w:semiHidden/>
    <w:qFormat/>
    <w:uiPriority w:val="9"/>
    <w:rPr>
      <w:rFonts w:asciiTheme="majorHAnsi" w:hAnsiTheme="majorHAnsi" w:eastAsiaTheme="majorEastAsia" w:cstheme="majorBidi"/>
      <w:b/>
      <w:bCs/>
      <w:sz w:val="32"/>
      <w:szCs w:val="32"/>
    </w:rPr>
  </w:style>
  <w:style w:type="character" w:customStyle="1" w:styleId="643">
    <w:name w:val="标题 3 Char_file_3099"/>
    <w:basedOn w:val="637"/>
    <w:link w:val="5"/>
    <w:semiHidden/>
    <w:qFormat/>
    <w:uiPriority w:val="9"/>
    <w:rPr>
      <w:rFonts w:ascii="宋体" w:hAnsi="宋体" w:eastAsia="宋体" w:cs="宋体"/>
      <w:b/>
      <w:bCs/>
      <w:sz w:val="32"/>
      <w:szCs w:val="32"/>
    </w:rPr>
  </w:style>
  <w:style w:type="character" w:customStyle="1" w:styleId="644">
    <w:name w:val="标题 4 Char_file_3099"/>
    <w:basedOn w:val="637"/>
    <w:link w:val="6"/>
    <w:semiHidden/>
    <w:qFormat/>
    <w:uiPriority w:val="9"/>
    <w:rPr>
      <w:rFonts w:asciiTheme="majorHAnsi" w:hAnsiTheme="majorHAnsi" w:eastAsiaTheme="majorEastAsia" w:cstheme="majorBidi"/>
      <w:b/>
      <w:bCs/>
      <w:sz w:val="28"/>
      <w:szCs w:val="28"/>
    </w:rPr>
  </w:style>
  <w:style w:type="character" w:customStyle="1" w:styleId="645">
    <w:name w:val="标题 5 Char_file_3099"/>
    <w:basedOn w:val="637"/>
    <w:link w:val="7"/>
    <w:semiHidden/>
    <w:qFormat/>
    <w:uiPriority w:val="9"/>
    <w:rPr>
      <w:rFonts w:ascii="宋体" w:hAnsi="宋体" w:eastAsia="宋体" w:cs="宋体"/>
      <w:b/>
      <w:bCs/>
      <w:sz w:val="28"/>
      <w:szCs w:val="28"/>
    </w:rPr>
  </w:style>
  <w:style w:type="character" w:customStyle="1" w:styleId="646">
    <w:name w:val="标题 6 Char_file_3099"/>
    <w:basedOn w:val="637"/>
    <w:link w:val="9"/>
    <w:semiHidden/>
    <w:qFormat/>
    <w:uiPriority w:val="9"/>
    <w:rPr>
      <w:rFonts w:asciiTheme="majorHAnsi" w:hAnsiTheme="majorHAnsi" w:eastAsiaTheme="majorEastAsia" w:cstheme="majorBidi"/>
      <w:b/>
      <w:bCs/>
      <w:sz w:val="24"/>
      <w:szCs w:val="24"/>
    </w:rPr>
  </w:style>
  <w:style w:type="paragraph" w:customStyle="1" w:styleId="647">
    <w:name w:val="cke_editable_file_3099"/>
    <w:basedOn w:val="630"/>
    <w:qFormat/>
    <w:uiPriority w:val="0"/>
    <w:rPr>
      <w:rFonts w:ascii="仿宋_GB2312" w:eastAsia="仿宋_GB2312"/>
    </w:rPr>
  </w:style>
  <w:style w:type="paragraph" w:customStyle="1" w:styleId="648">
    <w:name w:val="marker_file_3099"/>
    <w:basedOn w:val="630"/>
    <w:qFormat/>
    <w:uiPriority w:val="0"/>
    <w:pPr>
      <w:shd w:val="clear" w:color="auto" w:fill="FFFF00"/>
    </w:pPr>
  </w:style>
  <w:style w:type="paragraph" w:customStyle="1" w:styleId="649">
    <w:name w:val="Normal (Web)_file_3099"/>
    <w:basedOn w:val="630"/>
    <w:semiHidden/>
    <w:unhideWhenUsed/>
    <w:qFormat/>
    <w:uiPriority w:val="99"/>
  </w:style>
  <w:style w:type="character" w:customStyle="1" w:styleId="650">
    <w:name w:val="Strong_file_3099"/>
    <w:basedOn w:val="637"/>
    <w:qFormat/>
    <w:uiPriority w:val="22"/>
    <w:rPr>
      <w:b/>
      <w:bCs/>
    </w:rPr>
  </w:style>
  <w:style w:type="paragraph" w:customStyle="1" w:styleId="651">
    <w:name w:val="Normal_file_310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52">
    <w:name w:val="heading 1_file_3100"/>
    <w:basedOn w:val="651"/>
    <w:qFormat/>
    <w:uiPriority w:val="9"/>
    <w:pPr>
      <w:outlineLvl w:val="0"/>
    </w:pPr>
    <w:rPr>
      <w:kern w:val="36"/>
      <w:sz w:val="48"/>
      <w:szCs w:val="48"/>
    </w:rPr>
  </w:style>
  <w:style w:type="paragraph" w:customStyle="1" w:styleId="653">
    <w:name w:val="heading 2_file_3100"/>
    <w:basedOn w:val="651"/>
    <w:qFormat/>
    <w:uiPriority w:val="9"/>
    <w:pPr>
      <w:outlineLvl w:val="1"/>
    </w:pPr>
    <w:rPr>
      <w:sz w:val="36"/>
      <w:szCs w:val="36"/>
    </w:rPr>
  </w:style>
  <w:style w:type="paragraph" w:customStyle="1" w:styleId="654">
    <w:name w:val="heading 3_file_3100"/>
    <w:basedOn w:val="651"/>
    <w:qFormat/>
    <w:uiPriority w:val="9"/>
    <w:pPr>
      <w:outlineLvl w:val="2"/>
    </w:pPr>
    <w:rPr>
      <w:sz w:val="27"/>
      <w:szCs w:val="27"/>
    </w:rPr>
  </w:style>
  <w:style w:type="paragraph" w:customStyle="1" w:styleId="655">
    <w:name w:val="heading 4_file_3100"/>
    <w:basedOn w:val="651"/>
    <w:qFormat/>
    <w:uiPriority w:val="9"/>
    <w:pPr>
      <w:outlineLvl w:val="3"/>
    </w:pPr>
  </w:style>
  <w:style w:type="paragraph" w:customStyle="1" w:styleId="656">
    <w:name w:val="heading 5_file_3100"/>
    <w:basedOn w:val="651"/>
    <w:qFormat/>
    <w:uiPriority w:val="9"/>
    <w:pPr>
      <w:outlineLvl w:val="4"/>
    </w:pPr>
    <w:rPr>
      <w:sz w:val="20"/>
      <w:szCs w:val="20"/>
    </w:rPr>
  </w:style>
  <w:style w:type="paragraph" w:customStyle="1" w:styleId="657">
    <w:name w:val="heading 6_file_3100"/>
    <w:basedOn w:val="651"/>
    <w:qFormat/>
    <w:uiPriority w:val="9"/>
    <w:pPr>
      <w:outlineLvl w:val="5"/>
    </w:pPr>
    <w:rPr>
      <w:sz w:val="15"/>
      <w:szCs w:val="15"/>
    </w:rPr>
  </w:style>
  <w:style w:type="character" w:customStyle="1" w:styleId="658">
    <w:name w:val="Default Paragraph Font_file_3100"/>
    <w:semiHidden/>
    <w:unhideWhenUsed/>
    <w:qFormat/>
    <w:uiPriority w:val="1"/>
  </w:style>
  <w:style w:type="table" w:customStyle="1" w:styleId="659">
    <w:name w:val="Normal Table_file_3100"/>
    <w:semiHidden/>
    <w:unhideWhenUsed/>
    <w:qFormat/>
    <w:uiPriority w:val="99"/>
    <w:tblPr>
      <w:tblCellMar>
        <w:top w:w="0" w:type="dxa"/>
        <w:left w:w="108" w:type="dxa"/>
        <w:bottom w:w="0" w:type="dxa"/>
        <w:right w:w="108" w:type="dxa"/>
      </w:tblCellMar>
    </w:tblPr>
  </w:style>
  <w:style w:type="character" w:customStyle="1" w:styleId="660">
    <w:name w:val="Hyperlink_file_3100"/>
    <w:basedOn w:val="658"/>
    <w:semiHidden/>
    <w:unhideWhenUsed/>
    <w:qFormat/>
    <w:uiPriority w:val="99"/>
    <w:rPr>
      <w:color w:val="0782C1"/>
      <w:u w:val="single"/>
    </w:rPr>
  </w:style>
  <w:style w:type="character" w:customStyle="1" w:styleId="661">
    <w:name w:val="FollowedHyperlink_file_3100"/>
    <w:basedOn w:val="658"/>
    <w:semiHidden/>
    <w:unhideWhenUsed/>
    <w:qFormat/>
    <w:uiPriority w:val="99"/>
    <w:rPr>
      <w:color w:val="0782C1"/>
      <w:u w:val="single"/>
    </w:rPr>
  </w:style>
  <w:style w:type="character" w:customStyle="1" w:styleId="662">
    <w:name w:val="标题 1 Char_file_3100"/>
    <w:basedOn w:val="658"/>
    <w:link w:val="3"/>
    <w:qFormat/>
    <w:uiPriority w:val="9"/>
    <w:rPr>
      <w:rFonts w:ascii="宋体" w:hAnsi="宋体" w:eastAsia="宋体" w:cs="宋体"/>
      <w:b/>
      <w:bCs/>
      <w:kern w:val="44"/>
      <w:sz w:val="44"/>
      <w:szCs w:val="44"/>
    </w:rPr>
  </w:style>
  <w:style w:type="character" w:customStyle="1" w:styleId="663">
    <w:name w:val="标题 2 Char_file_3100"/>
    <w:basedOn w:val="658"/>
    <w:link w:val="4"/>
    <w:semiHidden/>
    <w:qFormat/>
    <w:uiPriority w:val="9"/>
    <w:rPr>
      <w:rFonts w:asciiTheme="majorHAnsi" w:hAnsiTheme="majorHAnsi" w:eastAsiaTheme="majorEastAsia" w:cstheme="majorBidi"/>
      <w:b/>
      <w:bCs/>
      <w:sz w:val="32"/>
      <w:szCs w:val="32"/>
    </w:rPr>
  </w:style>
  <w:style w:type="character" w:customStyle="1" w:styleId="664">
    <w:name w:val="标题 3 Char_file_3100"/>
    <w:basedOn w:val="658"/>
    <w:link w:val="5"/>
    <w:semiHidden/>
    <w:qFormat/>
    <w:uiPriority w:val="9"/>
    <w:rPr>
      <w:rFonts w:ascii="宋体" w:hAnsi="宋体" w:eastAsia="宋体" w:cs="宋体"/>
      <w:b/>
      <w:bCs/>
      <w:sz w:val="32"/>
      <w:szCs w:val="32"/>
    </w:rPr>
  </w:style>
  <w:style w:type="character" w:customStyle="1" w:styleId="665">
    <w:name w:val="标题 4 Char_file_3100"/>
    <w:basedOn w:val="658"/>
    <w:link w:val="6"/>
    <w:semiHidden/>
    <w:qFormat/>
    <w:uiPriority w:val="9"/>
    <w:rPr>
      <w:rFonts w:asciiTheme="majorHAnsi" w:hAnsiTheme="majorHAnsi" w:eastAsiaTheme="majorEastAsia" w:cstheme="majorBidi"/>
      <w:b/>
      <w:bCs/>
      <w:sz w:val="28"/>
      <w:szCs w:val="28"/>
    </w:rPr>
  </w:style>
  <w:style w:type="character" w:customStyle="1" w:styleId="666">
    <w:name w:val="标题 5 Char_file_3100"/>
    <w:basedOn w:val="658"/>
    <w:link w:val="7"/>
    <w:semiHidden/>
    <w:qFormat/>
    <w:uiPriority w:val="9"/>
    <w:rPr>
      <w:rFonts w:ascii="宋体" w:hAnsi="宋体" w:eastAsia="宋体" w:cs="宋体"/>
      <w:b/>
      <w:bCs/>
      <w:sz w:val="28"/>
      <w:szCs w:val="28"/>
    </w:rPr>
  </w:style>
  <w:style w:type="character" w:customStyle="1" w:styleId="667">
    <w:name w:val="标题 6 Char_file_3100"/>
    <w:basedOn w:val="658"/>
    <w:link w:val="9"/>
    <w:semiHidden/>
    <w:qFormat/>
    <w:uiPriority w:val="9"/>
    <w:rPr>
      <w:rFonts w:asciiTheme="majorHAnsi" w:hAnsiTheme="majorHAnsi" w:eastAsiaTheme="majorEastAsia" w:cstheme="majorBidi"/>
      <w:b/>
      <w:bCs/>
      <w:sz w:val="24"/>
      <w:szCs w:val="24"/>
    </w:rPr>
  </w:style>
  <w:style w:type="paragraph" w:customStyle="1" w:styleId="668">
    <w:name w:val="cke_editable_file_3100"/>
    <w:basedOn w:val="651"/>
    <w:qFormat/>
    <w:uiPriority w:val="0"/>
    <w:rPr>
      <w:rFonts w:ascii="仿宋_GB2312" w:eastAsia="仿宋_GB2312"/>
    </w:rPr>
  </w:style>
  <w:style w:type="paragraph" w:customStyle="1" w:styleId="669">
    <w:name w:val="marker_file_3100"/>
    <w:basedOn w:val="651"/>
    <w:qFormat/>
    <w:uiPriority w:val="0"/>
    <w:pPr>
      <w:shd w:val="clear" w:color="auto" w:fill="FFFF00"/>
    </w:pPr>
  </w:style>
  <w:style w:type="paragraph" w:customStyle="1" w:styleId="670">
    <w:name w:val="Normal (Web)_file_3100"/>
    <w:basedOn w:val="651"/>
    <w:semiHidden/>
    <w:unhideWhenUsed/>
    <w:qFormat/>
    <w:uiPriority w:val="99"/>
  </w:style>
  <w:style w:type="character" w:customStyle="1" w:styleId="671">
    <w:name w:val="Strong_file_3100"/>
    <w:basedOn w:val="658"/>
    <w:qFormat/>
    <w:uiPriority w:val="22"/>
    <w:rPr>
      <w:b/>
      <w:bCs/>
    </w:rPr>
  </w:style>
  <w:style w:type="paragraph" w:customStyle="1" w:styleId="672">
    <w:name w:val="Normal_file_310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73">
    <w:name w:val="heading 1_file_3101"/>
    <w:basedOn w:val="672"/>
    <w:qFormat/>
    <w:uiPriority w:val="9"/>
    <w:pPr>
      <w:outlineLvl w:val="0"/>
    </w:pPr>
    <w:rPr>
      <w:kern w:val="36"/>
      <w:sz w:val="48"/>
      <w:szCs w:val="48"/>
    </w:rPr>
  </w:style>
  <w:style w:type="paragraph" w:customStyle="1" w:styleId="674">
    <w:name w:val="heading 2_file_3101"/>
    <w:basedOn w:val="672"/>
    <w:qFormat/>
    <w:uiPriority w:val="9"/>
    <w:pPr>
      <w:outlineLvl w:val="1"/>
    </w:pPr>
    <w:rPr>
      <w:sz w:val="36"/>
      <w:szCs w:val="36"/>
    </w:rPr>
  </w:style>
  <w:style w:type="paragraph" w:customStyle="1" w:styleId="675">
    <w:name w:val="heading 3_file_3101"/>
    <w:basedOn w:val="672"/>
    <w:qFormat/>
    <w:uiPriority w:val="9"/>
    <w:pPr>
      <w:outlineLvl w:val="2"/>
    </w:pPr>
    <w:rPr>
      <w:sz w:val="27"/>
      <w:szCs w:val="27"/>
    </w:rPr>
  </w:style>
  <w:style w:type="paragraph" w:customStyle="1" w:styleId="676">
    <w:name w:val="heading 4_file_3101"/>
    <w:basedOn w:val="672"/>
    <w:qFormat/>
    <w:uiPriority w:val="9"/>
    <w:pPr>
      <w:outlineLvl w:val="3"/>
    </w:pPr>
  </w:style>
  <w:style w:type="paragraph" w:customStyle="1" w:styleId="677">
    <w:name w:val="heading 5_file_3101"/>
    <w:basedOn w:val="672"/>
    <w:qFormat/>
    <w:uiPriority w:val="9"/>
    <w:pPr>
      <w:outlineLvl w:val="4"/>
    </w:pPr>
    <w:rPr>
      <w:sz w:val="20"/>
      <w:szCs w:val="20"/>
    </w:rPr>
  </w:style>
  <w:style w:type="paragraph" w:customStyle="1" w:styleId="678">
    <w:name w:val="heading 6_file_3101"/>
    <w:basedOn w:val="672"/>
    <w:qFormat/>
    <w:uiPriority w:val="9"/>
    <w:pPr>
      <w:outlineLvl w:val="5"/>
    </w:pPr>
    <w:rPr>
      <w:sz w:val="15"/>
      <w:szCs w:val="15"/>
    </w:rPr>
  </w:style>
  <w:style w:type="character" w:customStyle="1" w:styleId="679">
    <w:name w:val="Default Paragraph Font_file_3101"/>
    <w:semiHidden/>
    <w:unhideWhenUsed/>
    <w:qFormat/>
    <w:uiPriority w:val="1"/>
  </w:style>
  <w:style w:type="table" w:customStyle="1" w:styleId="680">
    <w:name w:val="Normal Table_file_3101"/>
    <w:semiHidden/>
    <w:unhideWhenUsed/>
    <w:qFormat/>
    <w:uiPriority w:val="99"/>
    <w:tblPr>
      <w:tblCellMar>
        <w:top w:w="0" w:type="dxa"/>
        <w:left w:w="108" w:type="dxa"/>
        <w:bottom w:w="0" w:type="dxa"/>
        <w:right w:w="108" w:type="dxa"/>
      </w:tblCellMar>
    </w:tblPr>
  </w:style>
  <w:style w:type="character" w:customStyle="1" w:styleId="681">
    <w:name w:val="Hyperlink_file_3101"/>
    <w:basedOn w:val="679"/>
    <w:semiHidden/>
    <w:unhideWhenUsed/>
    <w:qFormat/>
    <w:uiPriority w:val="99"/>
    <w:rPr>
      <w:color w:val="0782C1"/>
      <w:u w:val="single"/>
    </w:rPr>
  </w:style>
  <w:style w:type="character" w:customStyle="1" w:styleId="682">
    <w:name w:val="FollowedHyperlink_file_3101"/>
    <w:basedOn w:val="679"/>
    <w:semiHidden/>
    <w:unhideWhenUsed/>
    <w:qFormat/>
    <w:uiPriority w:val="99"/>
    <w:rPr>
      <w:color w:val="0782C1"/>
      <w:u w:val="single"/>
    </w:rPr>
  </w:style>
  <w:style w:type="character" w:customStyle="1" w:styleId="683">
    <w:name w:val="标题 1 Char_file_3101"/>
    <w:basedOn w:val="679"/>
    <w:link w:val="3"/>
    <w:qFormat/>
    <w:uiPriority w:val="9"/>
    <w:rPr>
      <w:rFonts w:ascii="宋体" w:hAnsi="宋体" w:eastAsia="宋体" w:cs="宋体"/>
      <w:b/>
      <w:bCs/>
      <w:kern w:val="44"/>
      <w:sz w:val="44"/>
      <w:szCs w:val="44"/>
    </w:rPr>
  </w:style>
  <w:style w:type="character" w:customStyle="1" w:styleId="684">
    <w:name w:val="标题 2 Char_file_3101"/>
    <w:basedOn w:val="679"/>
    <w:link w:val="4"/>
    <w:semiHidden/>
    <w:qFormat/>
    <w:uiPriority w:val="9"/>
    <w:rPr>
      <w:rFonts w:asciiTheme="majorHAnsi" w:hAnsiTheme="majorHAnsi" w:eastAsiaTheme="majorEastAsia" w:cstheme="majorBidi"/>
      <w:b/>
      <w:bCs/>
      <w:sz w:val="32"/>
      <w:szCs w:val="32"/>
    </w:rPr>
  </w:style>
  <w:style w:type="character" w:customStyle="1" w:styleId="685">
    <w:name w:val="标题 3 Char_file_3101"/>
    <w:basedOn w:val="679"/>
    <w:link w:val="5"/>
    <w:semiHidden/>
    <w:qFormat/>
    <w:uiPriority w:val="9"/>
    <w:rPr>
      <w:rFonts w:ascii="宋体" w:hAnsi="宋体" w:eastAsia="宋体" w:cs="宋体"/>
      <w:b/>
      <w:bCs/>
      <w:sz w:val="32"/>
      <w:szCs w:val="32"/>
    </w:rPr>
  </w:style>
  <w:style w:type="character" w:customStyle="1" w:styleId="686">
    <w:name w:val="标题 4 Char_file_3101"/>
    <w:basedOn w:val="679"/>
    <w:link w:val="6"/>
    <w:semiHidden/>
    <w:qFormat/>
    <w:uiPriority w:val="9"/>
    <w:rPr>
      <w:rFonts w:asciiTheme="majorHAnsi" w:hAnsiTheme="majorHAnsi" w:eastAsiaTheme="majorEastAsia" w:cstheme="majorBidi"/>
      <w:b/>
      <w:bCs/>
      <w:sz w:val="28"/>
      <w:szCs w:val="28"/>
    </w:rPr>
  </w:style>
  <w:style w:type="character" w:customStyle="1" w:styleId="687">
    <w:name w:val="标题 5 Char_file_3101"/>
    <w:basedOn w:val="679"/>
    <w:link w:val="7"/>
    <w:semiHidden/>
    <w:qFormat/>
    <w:uiPriority w:val="9"/>
    <w:rPr>
      <w:rFonts w:ascii="宋体" w:hAnsi="宋体" w:eastAsia="宋体" w:cs="宋体"/>
      <w:b/>
      <w:bCs/>
      <w:sz w:val="28"/>
      <w:szCs w:val="28"/>
    </w:rPr>
  </w:style>
  <w:style w:type="character" w:customStyle="1" w:styleId="688">
    <w:name w:val="标题 6 Char_file_3101"/>
    <w:basedOn w:val="679"/>
    <w:link w:val="9"/>
    <w:semiHidden/>
    <w:qFormat/>
    <w:uiPriority w:val="9"/>
    <w:rPr>
      <w:rFonts w:asciiTheme="majorHAnsi" w:hAnsiTheme="majorHAnsi" w:eastAsiaTheme="majorEastAsia" w:cstheme="majorBidi"/>
      <w:b/>
      <w:bCs/>
      <w:sz w:val="24"/>
      <w:szCs w:val="24"/>
    </w:rPr>
  </w:style>
  <w:style w:type="paragraph" w:customStyle="1" w:styleId="689">
    <w:name w:val="cke_editable_file_3101"/>
    <w:basedOn w:val="672"/>
    <w:qFormat/>
    <w:uiPriority w:val="0"/>
    <w:rPr>
      <w:rFonts w:ascii="仿宋_GB2312" w:eastAsia="仿宋_GB2312"/>
    </w:rPr>
  </w:style>
  <w:style w:type="paragraph" w:customStyle="1" w:styleId="690">
    <w:name w:val="marker_file_3101"/>
    <w:basedOn w:val="672"/>
    <w:qFormat/>
    <w:uiPriority w:val="0"/>
    <w:pPr>
      <w:shd w:val="clear" w:color="auto" w:fill="FFFF00"/>
    </w:pPr>
  </w:style>
  <w:style w:type="paragraph" w:customStyle="1" w:styleId="691">
    <w:name w:val="Normal (Web)_file_3101"/>
    <w:basedOn w:val="672"/>
    <w:semiHidden/>
    <w:unhideWhenUsed/>
    <w:qFormat/>
    <w:uiPriority w:val="99"/>
  </w:style>
  <w:style w:type="character" w:customStyle="1" w:styleId="692">
    <w:name w:val="Strong_file_3101"/>
    <w:basedOn w:val="679"/>
    <w:qFormat/>
    <w:uiPriority w:val="22"/>
    <w:rPr>
      <w:b/>
      <w:bCs/>
    </w:rPr>
  </w:style>
  <w:style w:type="paragraph" w:customStyle="1" w:styleId="693">
    <w:name w:val="Normal_file_310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94">
    <w:name w:val="heading 1_file_3102"/>
    <w:basedOn w:val="693"/>
    <w:qFormat/>
    <w:uiPriority w:val="9"/>
    <w:pPr>
      <w:outlineLvl w:val="0"/>
    </w:pPr>
    <w:rPr>
      <w:kern w:val="36"/>
      <w:sz w:val="48"/>
      <w:szCs w:val="48"/>
    </w:rPr>
  </w:style>
  <w:style w:type="paragraph" w:customStyle="1" w:styleId="695">
    <w:name w:val="heading 2_file_3102"/>
    <w:basedOn w:val="693"/>
    <w:qFormat/>
    <w:uiPriority w:val="9"/>
    <w:pPr>
      <w:outlineLvl w:val="1"/>
    </w:pPr>
    <w:rPr>
      <w:sz w:val="36"/>
      <w:szCs w:val="36"/>
    </w:rPr>
  </w:style>
  <w:style w:type="paragraph" w:customStyle="1" w:styleId="696">
    <w:name w:val="heading 3_file_3102"/>
    <w:basedOn w:val="693"/>
    <w:qFormat/>
    <w:uiPriority w:val="9"/>
    <w:pPr>
      <w:outlineLvl w:val="2"/>
    </w:pPr>
    <w:rPr>
      <w:sz w:val="27"/>
      <w:szCs w:val="27"/>
    </w:rPr>
  </w:style>
  <w:style w:type="paragraph" w:customStyle="1" w:styleId="697">
    <w:name w:val="heading 4_file_3102"/>
    <w:basedOn w:val="693"/>
    <w:qFormat/>
    <w:uiPriority w:val="9"/>
    <w:pPr>
      <w:outlineLvl w:val="3"/>
    </w:pPr>
  </w:style>
  <w:style w:type="paragraph" w:customStyle="1" w:styleId="698">
    <w:name w:val="heading 5_file_3102"/>
    <w:basedOn w:val="693"/>
    <w:qFormat/>
    <w:uiPriority w:val="9"/>
    <w:pPr>
      <w:outlineLvl w:val="4"/>
    </w:pPr>
    <w:rPr>
      <w:sz w:val="20"/>
      <w:szCs w:val="20"/>
    </w:rPr>
  </w:style>
  <w:style w:type="paragraph" w:customStyle="1" w:styleId="699">
    <w:name w:val="heading 6_file_3102"/>
    <w:basedOn w:val="693"/>
    <w:qFormat/>
    <w:uiPriority w:val="9"/>
    <w:pPr>
      <w:outlineLvl w:val="5"/>
    </w:pPr>
    <w:rPr>
      <w:sz w:val="15"/>
      <w:szCs w:val="15"/>
    </w:rPr>
  </w:style>
  <w:style w:type="character" w:customStyle="1" w:styleId="700">
    <w:name w:val="Default Paragraph Font_file_3102"/>
    <w:semiHidden/>
    <w:unhideWhenUsed/>
    <w:qFormat/>
    <w:uiPriority w:val="1"/>
  </w:style>
  <w:style w:type="table" w:customStyle="1" w:styleId="701">
    <w:name w:val="Normal Table_file_3102"/>
    <w:semiHidden/>
    <w:unhideWhenUsed/>
    <w:qFormat/>
    <w:uiPriority w:val="99"/>
    <w:tblPr>
      <w:tblCellMar>
        <w:top w:w="0" w:type="dxa"/>
        <w:left w:w="108" w:type="dxa"/>
        <w:bottom w:w="0" w:type="dxa"/>
        <w:right w:w="108" w:type="dxa"/>
      </w:tblCellMar>
    </w:tblPr>
  </w:style>
  <w:style w:type="character" w:customStyle="1" w:styleId="702">
    <w:name w:val="Hyperlink_file_3102"/>
    <w:basedOn w:val="700"/>
    <w:semiHidden/>
    <w:unhideWhenUsed/>
    <w:qFormat/>
    <w:uiPriority w:val="99"/>
    <w:rPr>
      <w:color w:val="0782C1"/>
      <w:u w:val="single"/>
    </w:rPr>
  </w:style>
  <w:style w:type="character" w:customStyle="1" w:styleId="703">
    <w:name w:val="FollowedHyperlink_file_3102"/>
    <w:basedOn w:val="700"/>
    <w:semiHidden/>
    <w:unhideWhenUsed/>
    <w:qFormat/>
    <w:uiPriority w:val="99"/>
    <w:rPr>
      <w:color w:val="0782C1"/>
      <w:u w:val="single"/>
    </w:rPr>
  </w:style>
  <w:style w:type="character" w:customStyle="1" w:styleId="704">
    <w:name w:val="标题 1 Char_file_3102"/>
    <w:basedOn w:val="700"/>
    <w:link w:val="3"/>
    <w:qFormat/>
    <w:uiPriority w:val="9"/>
    <w:rPr>
      <w:rFonts w:ascii="宋体" w:hAnsi="宋体" w:eastAsia="宋体" w:cs="宋体"/>
      <w:b/>
      <w:bCs/>
      <w:kern w:val="44"/>
      <w:sz w:val="44"/>
      <w:szCs w:val="44"/>
    </w:rPr>
  </w:style>
  <w:style w:type="character" w:customStyle="1" w:styleId="705">
    <w:name w:val="标题 2 Char_file_3102"/>
    <w:basedOn w:val="700"/>
    <w:link w:val="4"/>
    <w:semiHidden/>
    <w:qFormat/>
    <w:uiPriority w:val="9"/>
    <w:rPr>
      <w:rFonts w:asciiTheme="majorHAnsi" w:hAnsiTheme="majorHAnsi" w:eastAsiaTheme="majorEastAsia" w:cstheme="majorBidi"/>
      <w:b/>
      <w:bCs/>
      <w:sz w:val="32"/>
      <w:szCs w:val="32"/>
    </w:rPr>
  </w:style>
  <w:style w:type="character" w:customStyle="1" w:styleId="706">
    <w:name w:val="标题 3 Char_file_3102"/>
    <w:basedOn w:val="700"/>
    <w:link w:val="5"/>
    <w:semiHidden/>
    <w:qFormat/>
    <w:uiPriority w:val="9"/>
    <w:rPr>
      <w:rFonts w:ascii="宋体" w:hAnsi="宋体" w:eastAsia="宋体" w:cs="宋体"/>
      <w:b/>
      <w:bCs/>
      <w:sz w:val="32"/>
      <w:szCs w:val="32"/>
    </w:rPr>
  </w:style>
  <w:style w:type="character" w:customStyle="1" w:styleId="707">
    <w:name w:val="标题 4 Char_file_3102"/>
    <w:basedOn w:val="700"/>
    <w:link w:val="6"/>
    <w:semiHidden/>
    <w:qFormat/>
    <w:uiPriority w:val="9"/>
    <w:rPr>
      <w:rFonts w:asciiTheme="majorHAnsi" w:hAnsiTheme="majorHAnsi" w:eastAsiaTheme="majorEastAsia" w:cstheme="majorBidi"/>
      <w:b/>
      <w:bCs/>
      <w:sz w:val="28"/>
      <w:szCs w:val="28"/>
    </w:rPr>
  </w:style>
  <w:style w:type="character" w:customStyle="1" w:styleId="708">
    <w:name w:val="标题 5 Char_file_3102"/>
    <w:basedOn w:val="700"/>
    <w:link w:val="7"/>
    <w:semiHidden/>
    <w:qFormat/>
    <w:uiPriority w:val="9"/>
    <w:rPr>
      <w:rFonts w:ascii="宋体" w:hAnsi="宋体" w:eastAsia="宋体" w:cs="宋体"/>
      <w:b/>
      <w:bCs/>
      <w:sz w:val="28"/>
      <w:szCs w:val="28"/>
    </w:rPr>
  </w:style>
  <w:style w:type="character" w:customStyle="1" w:styleId="709">
    <w:name w:val="标题 6 Char_file_3102"/>
    <w:basedOn w:val="700"/>
    <w:link w:val="9"/>
    <w:semiHidden/>
    <w:qFormat/>
    <w:uiPriority w:val="9"/>
    <w:rPr>
      <w:rFonts w:asciiTheme="majorHAnsi" w:hAnsiTheme="majorHAnsi" w:eastAsiaTheme="majorEastAsia" w:cstheme="majorBidi"/>
      <w:b/>
      <w:bCs/>
      <w:sz w:val="24"/>
      <w:szCs w:val="24"/>
    </w:rPr>
  </w:style>
  <w:style w:type="paragraph" w:customStyle="1" w:styleId="710">
    <w:name w:val="cke_editable_file_3102"/>
    <w:basedOn w:val="693"/>
    <w:qFormat/>
    <w:uiPriority w:val="0"/>
    <w:rPr>
      <w:rFonts w:ascii="仿宋_GB2312" w:eastAsia="仿宋_GB2312"/>
    </w:rPr>
  </w:style>
  <w:style w:type="paragraph" w:customStyle="1" w:styleId="711">
    <w:name w:val="marker_file_3102"/>
    <w:basedOn w:val="693"/>
    <w:qFormat/>
    <w:uiPriority w:val="0"/>
    <w:pPr>
      <w:shd w:val="clear" w:color="auto" w:fill="FFFF00"/>
    </w:pPr>
  </w:style>
  <w:style w:type="paragraph" w:customStyle="1" w:styleId="712">
    <w:name w:val="Normal (Web)_file_3102"/>
    <w:basedOn w:val="693"/>
    <w:semiHidden/>
    <w:unhideWhenUsed/>
    <w:qFormat/>
    <w:uiPriority w:val="99"/>
  </w:style>
  <w:style w:type="paragraph" w:customStyle="1" w:styleId="713">
    <w:name w:val="Normal_file_310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14">
    <w:name w:val="heading 1_file_3103"/>
    <w:basedOn w:val="713"/>
    <w:qFormat/>
    <w:uiPriority w:val="9"/>
    <w:pPr>
      <w:outlineLvl w:val="0"/>
    </w:pPr>
    <w:rPr>
      <w:kern w:val="36"/>
      <w:sz w:val="48"/>
      <w:szCs w:val="48"/>
    </w:rPr>
  </w:style>
  <w:style w:type="paragraph" w:customStyle="1" w:styleId="715">
    <w:name w:val="heading 2_file_3103"/>
    <w:basedOn w:val="713"/>
    <w:qFormat/>
    <w:uiPriority w:val="9"/>
    <w:pPr>
      <w:outlineLvl w:val="1"/>
    </w:pPr>
    <w:rPr>
      <w:sz w:val="36"/>
      <w:szCs w:val="36"/>
    </w:rPr>
  </w:style>
  <w:style w:type="paragraph" w:customStyle="1" w:styleId="716">
    <w:name w:val="heading 3_file_3103"/>
    <w:basedOn w:val="713"/>
    <w:qFormat/>
    <w:uiPriority w:val="9"/>
    <w:pPr>
      <w:outlineLvl w:val="2"/>
    </w:pPr>
    <w:rPr>
      <w:sz w:val="27"/>
      <w:szCs w:val="27"/>
    </w:rPr>
  </w:style>
  <w:style w:type="paragraph" w:customStyle="1" w:styleId="717">
    <w:name w:val="heading 4_file_3103"/>
    <w:basedOn w:val="713"/>
    <w:qFormat/>
    <w:uiPriority w:val="9"/>
    <w:pPr>
      <w:outlineLvl w:val="3"/>
    </w:pPr>
  </w:style>
  <w:style w:type="paragraph" w:customStyle="1" w:styleId="718">
    <w:name w:val="heading 5_file_3103"/>
    <w:basedOn w:val="713"/>
    <w:qFormat/>
    <w:uiPriority w:val="9"/>
    <w:pPr>
      <w:outlineLvl w:val="4"/>
    </w:pPr>
    <w:rPr>
      <w:sz w:val="20"/>
      <w:szCs w:val="20"/>
    </w:rPr>
  </w:style>
  <w:style w:type="paragraph" w:customStyle="1" w:styleId="719">
    <w:name w:val="heading 6_file_3103"/>
    <w:basedOn w:val="713"/>
    <w:qFormat/>
    <w:uiPriority w:val="9"/>
    <w:pPr>
      <w:outlineLvl w:val="5"/>
    </w:pPr>
    <w:rPr>
      <w:sz w:val="15"/>
      <w:szCs w:val="15"/>
    </w:rPr>
  </w:style>
  <w:style w:type="character" w:customStyle="1" w:styleId="720">
    <w:name w:val="Default Paragraph Font_file_3103"/>
    <w:semiHidden/>
    <w:unhideWhenUsed/>
    <w:qFormat/>
    <w:uiPriority w:val="1"/>
  </w:style>
  <w:style w:type="table" w:customStyle="1" w:styleId="721">
    <w:name w:val="Normal Table_file_3103"/>
    <w:semiHidden/>
    <w:unhideWhenUsed/>
    <w:qFormat/>
    <w:uiPriority w:val="99"/>
    <w:tblPr>
      <w:tblCellMar>
        <w:top w:w="0" w:type="dxa"/>
        <w:left w:w="108" w:type="dxa"/>
        <w:bottom w:w="0" w:type="dxa"/>
        <w:right w:w="108" w:type="dxa"/>
      </w:tblCellMar>
    </w:tblPr>
  </w:style>
  <w:style w:type="character" w:customStyle="1" w:styleId="722">
    <w:name w:val="Hyperlink_file_3103"/>
    <w:basedOn w:val="720"/>
    <w:semiHidden/>
    <w:unhideWhenUsed/>
    <w:qFormat/>
    <w:uiPriority w:val="99"/>
    <w:rPr>
      <w:color w:val="0782C1"/>
      <w:u w:val="single"/>
    </w:rPr>
  </w:style>
  <w:style w:type="character" w:customStyle="1" w:styleId="723">
    <w:name w:val="FollowedHyperlink_file_3103"/>
    <w:basedOn w:val="720"/>
    <w:semiHidden/>
    <w:unhideWhenUsed/>
    <w:qFormat/>
    <w:uiPriority w:val="99"/>
    <w:rPr>
      <w:color w:val="0782C1"/>
      <w:u w:val="single"/>
    </w:rPr>
  </w:style>
  <w:style w:type="character" w:customStyle="1" w:styleId="724">
    <w:name w:val="标题 1 Char_file_3103"/>
    <w:basedOn w:val="720"/>
    <w:link w:val="3"/>
    <w:qFormat/>
    <w:uiPriority w:val="9"/>
    <w:rPr>
      <w:rFonts w:ascii="宋体" w:hAnsi="宋体" w:eastAsia="宋体" w:cs="宋体"/>
      <w:b/>
      <w:bCs/>
      <w:kern w:val="44"/>
      <w:sz w:val="44"/>
      <w:szCs w:val="44"/>
    </w:rPr>
  </w:style>
  <w:style w:type="character" w:customStyle="1" w:styleId="725">
    <w:name w:val="标题 2 Char_file_3103"/>
    <w:basedOn w:val="720"/>
    <w:link w:val="4"/>
    <w:semiHidden/>
    <w:qFormat/>
    <w:uiPriority w:val="9"/>
    <w:rPr>
      <w:rFonts w:asciiTheme="majorHAnsi" w:hAnsiTheme="majorHAnsi" w:eastAsiaTheme="majorEastAsia" w:cstheme="majorBidi"/>
      <w:b/>
      <w:bCs/>
      <w:sz w:val="32"/>
      <w:szCs w:val="32"/>
    </w:rPr>
  </w:style>
  <w:style w:type="character" w:customStyle="1" w:styleId="726">
    <w:name w:val="标题 3 Char_file_3103"/>
    <w:basedOn w:val="720"/>
    <w:link w:val="5"/>
    <w:semiHidden/>
    <w:qFormat/>
    <w:uiPriority w:val="9"/>
    <w:rPr>
      <w:rFonts w:ascii="宋体" w:hAnsi="宋体" w:eastAsia="宋体" w:cs="宋体"/>
      <w:b/>
      <w:bCs/>
      <w:sz w:val="32"/>
      <w:szCs w:val="32"/>
    </w:rPr>
  </w:style>
  <w:style w:type="character" w:customStyle="1" w:styleId="727">
    <w:name w:val="标题 4 Char_file_3103"/>
    <w:basedOn w:val="720"/>
    <w:link w:val="6"/>
    <w:semiHidden/>
    <w:qFormat/>
    <w:uiPriority w:val="9"/>
    <w:rPr>
      <w:rFonts w:asciiTheme="majorHAnsi" w:hAnsiTheme="majorHAnsi" w:eastAsiaTheme="majorEastAsia" w:cstheme="majorBidi"/>
      <w:b/>
      <w:bCs/>
      <w:sz w:val="28"/>
      <w:szCs w:val="28"/>
    </w:rPr>
  </w:style>
  <w:style w:type="character" w:customStyle="1" w:styleId="728">
    <w:name w:val="标题 5 Char_file_3103"/>
    <w:basedOn w:val="720"/>
    <w:link w:val="7"/>
    <w:semiHidden/>
    <w:qFormat/>
    <w:uiPriority w:val="9"/>
    <w:rPr>
      <w:rFonts w:ascii="宋体" w:hAnsi="宋体" w:eastAsia="宋体" w:cs="宋体"/>
      <w:b/>
      <w:bCs/>
      <w:sz w:val="28"/>
      <w:szCs w:val="28"/>
    </w:rPr>
  </w:style>
  <w:style w:type="character" w:customStyle="1" w:styleId="729">
    <w:name w:val="标题 6 Char_file_3103"/>
    <w:basedOn w:val="720"/>
    <w:link w:val="9"/>
    <w:semiHidden/>
    <w:qFormat/>
    <w:uiPriority w:val="9"/>
    <w:rPr>
      <w:rFonts w:asciiTheme="majorHAnsi" w:hAnsiTheme="majorHAnsi" w:eastAsiaTheme="majorEastAsia" w:cstheme="majorBidi"/>
      <w:b/>
      <w:bCs/>
      <w:sz w:val="24"/>
      <w:szCs w:val="24"/>
    </w:rPr>
  </w:style>
  <w:style w:type="paragraph" w:customStyle="1" w:styleId="730">
    <w:name w:val="cke_editable_file_3103"/>
    <w:basedOn w:val="713"/>
    <w:qFormat/>
    <w:uiPriority w:val="0"/>
    <w:rPr>
      <w:rFonts w:ascii="仿宋_GB2312" w:eastAsia="仿宋_GB2312"/>
    </w:rPr>
  </w:style>
  <w:style w:type="paragraph" w:customStyle="1" w:styleId="731">
    <w:name w:val="marker_file_3103"/>
    <w:basedOn w:val="713"/>
    <w:qFormat/>
    <w:uiPriority w:val="0"/>
    <w:pPr>
      <w:shd w:val="clear" w:color="auto" w:fill="FFFF00"/>
    </w:pPr>
  </w:style>
  <w:style w:type="paragraph" w:customStyle="1" w:styleId="732">
    <w:name w:val="Normal (Web)_file_3103"/>
    <w:basedOn w:val="713"/>
    <w:semiHidden/>
    <w:unhideWhenUsed/>
    <w:qFormat/>
    <w:uiPriority w:val="99"/>
  </w:style>
  <w:style w:type="paragraph" w:customStyle="1" w:styleId="733">
    <w:name w:val="Normal_file_310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34">
    <w:name w:val="heading 1_file_3104"/>
    <w:basedOn w:val="733"/>
    <w:qFormat/>
    <w:uiPriority w:val="9"/>
    <w:pPr>
      <w:outlineLvl w:val="0"/>
    </w:pPr>
    <w:rPr>
      <w:kern w:val="36"/>
      <w:sz w:val="48"/>
      <w:szCs w:val="48"/>
    </w:rPr>
  </w:style>
  <w:style w:type="paragraph" w:customStyle="1" w:styleId="735">
    <w:name w:val="heading 2_file_3104"/>
    <w:basedOn w:val="733"/>
    <w:qFormat/>
    <w:uiPriority w:val="9"/>
    <w:pPr>
      <w:outlineLvl w:val="1"/>
    </w:pPr>
    <w:rPr>
      <w:sz w:val="36"/>
      <w:szCs w:val="36"/>
    </w:rPr>
  </w:style>
  <w:style w:type="paragraph" w:customStyle="1" w:styleId="736">
    <w:name w:val="heading 3_file_3104"/>
    <w:basedOn w:val="733"/>
    <w:qFormat/>
    <w:uiPriority w:val="9"/>
    <w:pPr>
      <w:outlineLvl w:val="2"/>
    </w:pPr>
    <w:rPr>
      <w:sz w:val="27"/>
      <w:szCs w:val="27"/>
    </w:rPr>
  </w:style>
  <w:style w:type="paragraph" w:customStyle="1" w:styleId="737">
    <w:name w:val="heading 4_file_3104"/>
    <w:basedOn w:val="733"/>
    <w:qFormat/>
    <w:uiPriority w:val="9"/>
    <w:pPr>
      <w:outlineLvl w:val="3"/>
    </w:pPr>
  </w:style>
  <w:style w:type="paragraph" w:customStyle="1" w:styleId="738">
    <w:name w:val="heading 5_file_3104"/>
    <w:basedOn w:val="733"/>
    <w:qFormat/>
    <w:uiPriority w:val="9"/>
    <w:pPr>
      <w:outlineLvl w:val="4"/>
    </w:pPr>
    <w:rPr>
      <w:sz w:val="20"/>
      <w:szCs w:val="20"/>
    </w:rPr>
  </w:style>
  <w:style w:type="paragraph" w:customStyle="1" w:styleId="739">
    <w:name w:val="heading 6_file_3104"/>
    <w:basedOn w:val="733"/>
    <w:qFormat/>
    <w:uiPriority w:val="9"/>
    <w:pPr>
      <w:outlineLvl w:val="5"/>
    </w:pPr>
    <w:rPr>
      <w:sz w:val="15"/>
      <w:szCs w:val="15"/>
    </w:rPr>
  </w:style>
  <w:style w:type="character" w:customStyle="1" w:styleId="740">
    <w:name w:val="Default Paragraph Font_file_3104"/>
    <w:semiHidden/>
    <w:unhideWhenUsed/>
    <w:qFormat/>
    <w:uiPriority w:val="1"/>
  </w:style>
  <w:style w:type="table" w:customStyle="1" w:styleId="741">
    <w:name w:val="Normal Table_file_3104"/>
    <w:semiHidden/>
    <w:unhideWhenUsed/>
    <w:qFormat/>
    <w:uiPriority w:val="99"/>
    <w:tblPr>
      <w:tblCellMar>
        <w:top w:w="0" w:type="dxa"/>
        <w:left w:w="108" w:type="dxa"/>
        <w:bottom w:w="0" w:type="dxa"/>
        <w:right w:w="108" w:type="dxa"/>
      </w:tblCellMar>
    </w:tblPr>
  </w:style>
  <w:style w:type="character" w:customStyle="1" w:styleId="742">
    <w:name w:val="Hyperlink_file_3104"/>
    <w:basedOn w:val="740"/>
    <w:semiHidden/>
    <w:unhideWhenUsed/>
    <w:qFormat/>
    <w:uiPriority w:val="99"/>
    <w:rPr>
      <w:color w:val="0782C1"/>
      <w:u w:val="single"/>
    </w:rPr>
  </w:style>
  <w:style w:type="character" w:customStyle="1" w:styleId="743">
    <w:name w:val="FollowedHyperlink_file_3104"/>
    <w:basedOn w:val="740"/>
    <w:semiHidden/>
    <w:unhideWhenUsed/>
    <w:qFormat/>
    <w:uiPriority w:val="99"/>
    <w:rPr>
      <w:color w:val="0782C1"/>
      <w:u w:val="single"/>
    </w:rPr>
  </w:style>
  <w:style w:type="character" w:customStyle="1" w:styleId="744">
    <w:name w:val="标题 1 Char_file_3104"/>
    <w:basedOn w:val="740"/>
    <w:link w:val="3"/>
    <w:qFormat/>
    <w:uiPriority w:val="9"/>
    <w:rPr>
      <w:rFonts w:ascii="宋体" w:hAnsi="宋体" w:eastAsia="宋体" w:cs="宋体"/>
      <w:b/>
      <w:bCs/>
      <w:kern w:val="44"/>
      <w:sz w:val="44"/>
      <w:szCs w:val="44"/>
    </w:rPr>
  </w:style>
  <w:style w:type="character" w:customStyle="1" w:styleId="745">
    <w:name w:val="标题 2 Char_file_3104"/>
    <w:basedOn w:val="740"/>
    <w:link w:val="4"/>
    <w:semiHidden/>
    <w:qFormat/>
    <w:uiPriority w:val="9"/>
    <w:rPr>
      <w:rFonts w:asciiTheme="majorHAnsi" w:hAnsiTheme="majorHAnsi" w:eastAsiaTheme="majorEastAsia" w:cstheme="majorBidi"/>
      <w:b/>
      <w:bCs/>
      <w:sz w:val="32"/>
      <w:szCs w:val="32"/>
    </w:rPr>
  </w:style>
  <w:style w:type="character" w:customStyle="1" w:styleId="746">
    <w:name w:val="标题 3 Char_file_3104"/>
    <w:basedOn w:val="740"/>
    <w:link w:val="5"/>
    <w:semiHidden/>
    <w:qFormat/>
    <w:uiPriority w:val="9"/>
    <w:rPr>
      <w:rFonts w:ascii="宋体" w:hAnsi="宋体" w:eastAsia="宋体" w:cs="宋体"/>
      <w:b/>
      <w:bCs/>
      <w:sz w:val="32"/>
      <w:szCs w:val="32"/>
    </w:rPr>
  </w:style>
  <w:style w:type="character" w:customStyle="1" w:styleId="747">
    <w:name w:val="标题 4 Char_file_3104"/>
    <w:basedOn w:val="740"/>
    <w:link w:val="6"/>
    <w:semiHidden/>
    <w:qFormat/>
    <w:uiPriority w:val="9"/>
    <w:rPr>
      <w:rFonts w:asciiTheme="majorHAnsi" w:hAnsiTheme="majorHAnsi" w:eastAsiaTheme="majorEastAsia" w:cstheme="majorBidi"/>
      <w:b/>
      <w:bCs/>
      <w:sz w:val="28"/>
      <w:szCs w:val="28"/>
    </w:rPr>
  </w:style>
  <w:style w:type="character" w:customStyle="1" w:styleId="748">
    <w:name w:val="标题 5 Char_file_3104"/>
    <w:basedOn w:val="740"/>
    <w:link w:val="7"/>
    <w:semiHidden/>
    <w:qFormat/>
    <w:uiPriority w:val="9"/>
    <w:rPr>
      <w:rFonts w:ascii="宋体" w:hAnsi="宋体" w:eastAsia="宋体" w:cs="宋体"/>
      <w:b/>
      <w:bCs/>
      <w:sz w:val="28"/>
      <w:szCs w:val="28"/>
    </w:rPr>
  </w:style>
  <w:style w:type="character" w:customStyle="1" w:styleId="749">
    <w:name w:val="标题 6 Char_file_3104"/>
    <w:basedOn w:val="740"/>
    <w:link w:val="9"/>
    <w:semiHidden/>
    <w:qFormat/>
    <w:uiPriority w:val="9"/>
    <w:rPr>
      <w:rFonts w:asciiTheme="majorHAnsi" w:hAnsiTheme="majorHAnsi" w:eastAsiaTheme="majorEastAsia" w:cstheme="majorBidi"/>
      <w:b/>
      <w:bCs/>
      <w:sz w:val="24"/>
      <w:szCs w:val="24"/>
    </w:rPr>
  </w:style>
  <w:style w:type="paragraph" w:customStyle="1" w:styleId="750">
    <w:name w:val="cke_editable_file_3104"/>
    <w:basedOn w:val="733"/>
    <w:qFormat/>
    <w:uiPriority w:val="0"/>
    <w:rPr>
      <w:rFonts w:ascii="仿宋_GB2312" w:eastAsia="仿宋_GB2312"/>
    </w:rPr>
  </w:style>
  <w:style w:type="paragraph" w:customStyle="1" w:styleId="751">
    <w:name w:val="marker_file_3104"/>
    <w:basedOn w:val="733"/>
    <w:qFormat/>
    <w:uiPriority w:val="0"/>
    <w:pPr>
      <w:shd w:val="clear" w:color="auto" w:fill="FFFF00"/>
    </w:pPr>
  </w:style>
  <w:style w:type="paragraph" w:customStyle="1" w:styleId="752">
    <w:name w:val="Normal (Web)_file_3104"/>
    <w:basedOn w:val="733"/>
    <w:semiHidden/>
    <w:unhideWhenUsed/>
    <w:qFormat/>
    <w:uiPriority w:val="99"/>
  </w:style>
  <w:style w:type="paragraph" w:customStyle="1" w:styleId="753">
    <w:name w:val="Normal_file_310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54">
    <w:name w:val="heading 1_file_3105"/>
    <w:basedOn w:val="753"/>
    <w:qFormat/>
    <w:uiPriority w:val="9"/>
    <w:pPr>
      <w:outlineLvl w:val="0"/>
    </w:pPr>
    <w:rPr>
      <w:kern w:val="36"/>
      <w:sz w:val="48"/>
      <w:szCs w:val="48"/>
    </w:rPr>
  </w:style>
  <w:style w:type="paragraph" w:customStyle="1" w:styleId="755">
    <w:name w:val="heading 2_file_3105"/>
    <w:basedOn w:val="753"/>
    <w:qFormat/>
    <w:uiPriority w:val="9"/>
    <w:pPr>
      <w:outlineLvl w:val="1"/>
    </w:pPr>
    <w:rPr>
      <w:sz w:val="36"/>
      <w:szCs w:val="36"/>
    </w:rPr>
  </w:style>
  <w:style w:type="paragraph" w:customStyle="1" w:styleId="756">
    <w:name w:val="heading 3_file_3105"/>
    <w:basedOn w:val="753"/>
    <w:qFormat/>
    <w:uiPriority w:val="9"/>
    <w:pPr>
      <w:outlineLvl w:val="2"/>
    </w:pPr>
    <w:rPr>
      <w:sz w:val="27"/>
      <w:szCs w:val="27"/>
    </w:rPr>
  </w:style>
  <w:style w:type="paragraph" w:customStyle="1" w:styleId="757">
    <w:name w:val="heading 4_file_3105"/>
    <w:basedOn w:val="753"/>
    <w:qFormat/>
    <w:uiPriority w:val="9"/>
    <w:pPr>
      <w:outlineLvl w:val="3"/>
    </w:pPr>
  </w:style>
  <w:style w:type="paragraph" w:customStyle="1" w:styleId="758">
    <w:name w:val="heading 5_file_3105"/>
    <w:basedOn w:val="753"/>
    <w:qFormat/>
    <w:uiPriority w:val="9"/>
    <w:pPr>
      <w:outlineLvl w:val="4"/>
    </w:pPr>
    <w:rPr>
      <w:sz w:val="20"/>
      <w:szCs w:val="20"/>
    </w:rPr>
  </w:style>
  <w:style w:type="paragraph" w:customStyle="1" w:styleId="759">
    <w:name w:val="heading 6_file_3105"/>
    <w:basedOn w:val="753"/>
    <w:qFormat/>
    <w:uiPriority w:val="9"/>
    <w:pPr>
      <w:outlineLvl w:val="5"/>
    </w:pPr>
    <w:rPr>
      <w:sz w:val="15"/>
      <w:szCs w:val="15"/>
    </w:rPr>
  </w:style>
  <w:style w:type="character" w:customStyle="1" w:styleId="760">
    <w:name w:val="Default Paragraph Font_file_3105"/>
    <w:semiHidden/>
    <w:unhideWhenUsed/>
    <w:qFormat/>
    <w:uiPriority w:val="1"/>
  </w:style>
  <w:style w:type="table" w:customStyle="1" w:styleId="761">
    <w:name w:val="Normal Table_file_3105"/>
    <w:semiHidden/>
    <w:unhideWhenUsed/>
    <w:qFormat/>
    <w:uiPriority w:val="99"/>
    <w:tblPr>
      <w:tblCellMar>
        <w:top w:w="0" w:type="dxa"/>
        <w:left w:w="108" w:type="dxa"/>
        <w:bottom w:w="0" w:type="dxa"/>
        <w:right w:w="108" w:type="dxa"/>
      </w:tblCellMar>
    </w:tblPr>
  </w:style>
  <w:style w:type="character" w:customStyle="1" w:styleId="762">
    <w:name w:val="Hyperlink_file_3105"/>
    <w:basedOn w:val="760"/>
    <w:semiHidden/>
    <w:unhideWhenUsed/>
    <w:qFormat/>
    <w:uiPriority w:val="99"/>
    <w:rPr>
      <w:color w:val="0782C1"/>
      <w:u w:val="single"/>
    </w:rPr>
  </w:style>
  <w:style w:type="character" w:customStyle="1" w:styleId="763">
    <w:name w:val="FollowedHyperlink_file_3105"/>
    <w:basedOn w:val="760"/>
    <w:semiHidden/>
    <w:unhideWhenUsed/>
    <w:qFormat/>
    <w:uiPriority w:val="99"/>
    <w:rPr>
      <w:color w:val="0782C1"/>
      <w:u w:val="single"/>
    </w:rPr>
  </w:style>
  <w:style w:type="character" w:customStyle="1" w:styleId="764">
    <w:name w:val="标题 1 Char_file_3105"/>
    <w:basedOn w:val="760"/>
    <w:link w:val="3"/>
    <w:qFormat/>
    <w:uiPriority w:val="9"/>
    <w:rPr>
      <w:rFonts w:ascii="宋体" w:hAnsi="宋体" w:eastAsia="宋体" w:cs="宋体"/>
      <w:b/>
      <w:bCs/>
      <w:kern w:val="44"/>
      <w:sz w:val="44"/>
      <w:szCs w:val="44"/>
    </w:rPr>
  </w:style>
  <w:style w:type="character" w:customStyle="1" w:styleId="765">
    <w:name w:val="标题 2 Char_file_3105"/>
    <w:basedOn w:val="760"/>
    <w:link w:val="4"/>
    <w:semiHidden/>
    <w:qFormat/>
    <w:uiPriority w:val="9"/>
    <w:rPr>
      <w:rFonts w:asciiTheme="majorHAnsi" w:hAnsiTheme="majorHAnsi" w:eastAsiaTheme="majorEastAsia" w:cstheme="majorBidi"/>
      <w:b/>
      <w:bCs/>
      <w:sz w:val="32"/>
      <w:szCs w:val="32"/>
    </w:rPr>
  </w:style>
  <w:style w:type="character" w:customStyle="1" w:styleId="766">
    <w:name w:val="标题 3 Char_file_3105"/>
    <w:basedOn w:val="760"/>
    <w:link w:val="5"/>
    <w:semiHidden/>
    <w:qFormat/>
    <w:uiPriority w:val="9"/>
    <w:rPr>
      <w:rFonts w:ascii="宋体" w:hAnsi="宋体" w:eastAsia="宋体" w:cs="宋体"/>
      <w:b/>
      <w:bCs/>
      <w:sz w:val="32"/>
      <w:szCs w:val="32"/>
    </w:rPr>
  </w:style>
  <w:style w:type="character" w:customStyle="1" w:styleId="767">
    <w:name w:val="标题 4 Char_file_3105"/>
    <w:basedOn w:val="760"/>
    <w:link w:val="6"/>
    <w:semiHidden/>
    <w:qFormat/>
    <w:uiPriority w:val="9"/>
    <w:rPr>
      <w:rFonts w:asciiTheme="majorHAnsi" w:hAnsiTheme="majorHAnsi" w:eastAsiaTheme="majorEastAsia" w:cstheme="majorBidi"/>
      <w:b/>
      <w:bCs/>
      <w:sz w:val="28"/>
      <w:szCs w:val="28"/>
    </w:rPr>
  </w:style>
  <w:style w:type="character" w:customStyle="1" w:styleId="768">
    <w:name w:val="标题 5 Char_file_3105"/>
    <w:basedOn w:val="760"/>
    <w:link w:val="7"/>
    <w:semiHidden/>
    <w:qFormat/>
    <w:uiPriority w:val="9"/>
    <w:rPr>
      <w:rFonts w:ascii="宋体" w:hAnsi="宋体" w:eastAsia="宋体" w:cs="宋体"/>
      <w:b/>
      <w:bCs/>
      <w:sz w:val="28"/>
      <w:szCs w:val="28"/>
    </w:rPr>
  </w:style>
  <w:style w:type="character" w:customStyle="1" w:styleId="769">
    <w:name w:val="标题 6 Char_file_3105"/>
    <w:basedOn w:val="760"/>
    <w:link w:val="9"/>
    <w:semiHidden/>
    <w:qFormat/>
    <w:uiPriority w:val="9"/>
    <w:rPr>
      <w:rFonts w:asciiTheme="majorHAnsi" w:hAnsiTheme="majorHAnsi" w:eastAsiaTheme="majorEastAsia" w:cstheme="majorBidi"/>
      <w:b/>
      <w:bCs/>
      <w:sz w:val="24"/>
      <w:szCs w:val="24"/>
    </w:rPr>
  </w:style>
  <w:style w:type="paragraph" w:customStyle="1" w:styleId="770">
    <w:name w:val="cke_editable_file_3105"/>
    <w:basedOn w:val="753"/>
    <w:qFormat/>
    <w:uiPriority w:val="0"/>
    <w:rPr>
      <w:rFonts w:ascii="仿宋_GB2312" w:eastAsia="仿宋_GB2312"/>
    </w:rPr>
  </w:style>
  <w:style w:type="paragraph" w:customStyle="1" w:styleId="771">
    <w:name w:val="marker_file_3105"/>
    <w:basedOn w:val="753"/>
    <w:qFormat/>
    <w:uiPriority w:val="0"/>
    <w:pPr>
      <w:shd w:val="clear" w:color="auto" w:fill="FFFF00"/>
    </w:pPr>
  </w:style>
  <w:style w:type="paragraph" w:customStyle="1" w:styleId="772">
    <w:name w:val="Normal (Web)_file_3105"/>
    <w:basedOn w:val="753"/>
    <w:semiHidden/>
    <w:unhideWhenUsed/>
    <w:qFormat/>
    <w:uiPriority w:val="99"/>
  </w:style>
  <w:style w:type="paragraph" w:customStyle="1" w:styleId="773">
    <w:name w:val="Normal (Web)_file_600"/>
    <w:basedOn w:val="774"/>
    <w:semiHidden/>
    <w:unhideWhenUsed/>
    <w:qFormat/>
    <w:uiPriority w:val="99"/>
  </w:style>
  <w:style w:type="paragraph" w:customStyle="1" w:styleId="774">
    <w:name w:val="Normal_file_60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75">
    <w:name w:val="Normal (Web)_file_2615"/>
    <w:basedOn w:val="776"/>
    <w:unhideWhenUsed/>
    <w:qFormat/>
    <w:uiPriority w:val="99"/>
  </w:style>
  <w:style w:type="paragraph" w:customStyle="1" w:styleId="776">
    <w:name w:val="Normal_file_2615"/>
    <w:qFormat/>
    <w:uiPriority w:val="0"/>
    <w:pPr>
      <w:spacing w:before="100" w:beforeAutospacing="1" w:after="100" w:afterAutospacing="1"/>
    </w:pPr>
    <w:rPr>
      <w:rFonts w:ascii="宋体" w:hAnsi="宋体" w:eastAsia="宋体" w:cs="宋体"/>
      <w:sz w:val="24"/>
      <w:szCs w:val="24"/>
      <w:lang w:val="en-US" w:eastAsia="zh-CN" w:bidi="ar-SA"/>
    </w:rPr>
  </w:style>
  <w:style w:type="table" w:customStyle="1" w:styleId="777">
    <w:name w:val="Normal Table_file_369_file_420"/>
    <w:unhideWhenUsed/>
    <w:qFormat/>
    <w:uiPriority w:val="99"/>
    <w:tblPr>
      <w:tblCellMar>
        <w:top w:w="0" w:type="dxa"/>
        <w:left w:w="108" w:type="dxa"/>
        <w:bottom w:w="0" w:type="dxa"/>
        <w:right w:w="108" w:type="dxa"/>
      </w:tblCellMar>
    </w:tblPr>
  </w:style>
  <w:style w:type="paragraph" w:customStyle="1" w:styleId="778">
    <w:name w:val="Plain Text_file_369_file_420"/>
    <w:basedOn w:val="779"/>
    <w:qFormat/>
    <w:uiPriority w:val="0"/>
    <w:rPr>
      <w:rFonts w:ascii="宋体" w:hAnsi="Courier New" w:cs="Courier New"/>
      <w:szCs w:val="21"/>
    </w:rPr>
  </w:style>
  <w:style w:type="paragraph" w:customStyle="1" w:styleId="779">
    <w:name w:val="Normal_file_369_file_420"/>
    <w:next w:val="6"/>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116FFE-F001-4711-8B84-F690EEEE3DDD}">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74</Pages>
  <Words>22011</Words>
  <Characters>25224</Characters>
  <Lines>230</Lines>
  <Paragraphs>64</Paragraphs>
  <TotalTime>51</TotalTime>
  <ScaleCrop>false</ScaleCrop>
  <LinksUpToDate>false</LinksUpToDate>
  <CharactersWithSpaces>25846</CharactersWithSpaces>
  <Application>WPS Office_12.8.2.19823_F1E327BC-269C-435d-A152-05C5408002CA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2024-06-11T08:40:00Z</dcterms:created>
  <dc:creator>柳州市政府集中采购中心</dc:creator>
  <cp:lastModifiedBy>wps</cp:lastModifiedBy>
  <cp:lastPrinted>2018-11-29T07:27:00Z</cp:lastPrinted>
  <dcterms:modified xsi:type="dcterms:W3CDTF">2025-10-22T07:34:22Z</dcterms:modified>
  <dc:title>询价通知书</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2052-12.8.2.19823</vt:lpwstr>
  </property>
  <property fmtid="{D5CDD505-2E9C-101B-9397-08002B2CF9AE}" pid="3" name="ICV">
    <vt:lpwstr>18E9362F5E664A3CA1F532059A359CE1_13</vt:lpwstr>
  </property>
  <property fmtid="{D5CDD505-2E9C-101B-9397-08002B2CF9AE}" pid="4" name="KSOTemplateDocerSaveRecord">
    <vt:lpwstr>eyJoZGlkIjoiN2QzNTlhNzVkYmM4NGIxYzU1MDkwOWY0OTQyZjMyOWIiLCJ1c2VySWQiOiIzODgwMjgyNDgifQ==</vt:lpwstr>
  </property>
</Properties>
</file>