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97979">
      <w:pPr>
        <w:spacing w:line="360" w:lineRule="auto"/>
        <w:rPr>
          <w:rFonts w:hint="eastAsia" w:ascii="等线" w:hAnsi="等线" w:eastAsia="仿宋_GB2312"/>
          <w:color w:val="auto"/>
          <w:sz w:val="44"/>
          <w:szCs w:val="44"/>
          <w:lang w:val="en-GB"/>
        </w:rPr>
      </w:pPr>
    </w:p>
    <w:p w14:paraId="4A2A30B0">
      <w:pPr>
        <w:spacing w:line="360" w:lineRule="auto"/>
        <w:jc w:val="center"/>
        <w:rPr>
          <w:rFonts w:hint="eastAsia" w:ascii="华文新魏" w:hAnsi="黑体" w:eastAsia="华文新魏"/>
          <w:b/>
          <w:color w:val="auto"/>
          <w:kern w:val="15"/>
          <w:sz w:val="72"/>
          <w:szCs w:val="72"/>
        </w:rPr>
      </w:pPr>
      <w:r>
        <w:rPr>
          <w:rFonts w:hint="eastAsia" w:ascii="华文新魏" w:hAnsi="黑体" w:eastAsia="华文新魏"/>
          <w:b/>
          <w:color w:val="auto"/>
          <w:kern w:val="15"/>
          <w:sz w:val="72"/>
          <w:szCs w:val="72"/>
        </w:rPr>
        <w:t>柳州市政府集中采购中心</w:t>
      </w:r>
    </w:p>
    <w:p w14:paraId="5C432AC8">
      <w:pPr>
        <w:spacing w:line="360" w:lineRule="auto"/>
        <w:jc w:val="center"/>
        <w:rPr>
          <w:b/>
          <w:color w:val="auto"/>
          <w:sz w:val="52"/>
          <w:szCs w:val="52"/>
        </w:rPr>
      </w:pPr>
      <w:r>
        <w:rPr>
          <w:rFonts w:hint="eastAsia" w:ascii="黑体" w:hAnsi="黑体" w:eastAsia="黑体"/>
          <w:color w:val="auto"/>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0" t="9525" r="8890" b="9525"/>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a:effectLst/>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5F3l0QAAAAYBAAAPAAAAAAAAAAEAIAAAACIAAABkcnMvZG93bnJldi54bWxQSwECFAAUAAAACACH&#10;TuJAiP/B+vIBAADFAwAADgAAAAAAAAABACAAAAAgAQAAZHJzL2Uyb0RvYy54bWxQSwUGAAAAAAYA&#10;BgBZAQAAhAUAAAAA&#10;">
                <v:fill on="f" focussize="0,0"/>
                <v:stroke weight="1.5pt" color="#000000" joinstyle="round"/>
                <v:imagedata o:title=""/>
                <o:lock v:ext="edit" aspectratio="f"/>
              </v:shape>
            </w:pict>
          </mc:Fallback>
        </mc:AlternateContent>
      </w:r>
    </w:p>
    <w:p w14:paraId="290A5F94">
      <w:pPr>
        <w:spacing w:line="800" w:lineRule="exact"/>
        <w:jc w:val="center"/>
        <w:rPr>
          <w:rFonts w:hint="eastAsia" w:ascii="华文中宋" w:hAnsi="华文中宋" w:eastAsia="华文中宋"/>
          <w:b/>
          <w:color w:val="auto"/>
          <w:spacing w:val="200"/>
          <w:sz w:val="84"/>
          <w:szCs w:val="84"/>
        </w:rPr>
      </w:pPr>
    </w:p>
    <w:p w14:paraId="7FCAB79E">
      <w:pPr>
        <w:jc w:val="center"/>
        <w:rPr>
          <w:rFonts w:hint="eastAsia" w:ascii="华文中宋" w:hAnsi="华文中宋" w:eastAsia="华文中宋"/>
          <w:b/>
          <w:color w:val="auto"/>
          <w:spacing w:val="200"/>
          <w:sz w:val="144"/>
          <w:szCs w:val="144"/>
        </w:rPr>
      </w:pPr>
      <w:r>
        <w:rPr>
          <w:rFonts w:hint="eastAsia" w:ascii="华文中宋" w:hAnsi="华文中宋" w:eastAsia="华文中宋"/>
          <w:b/>
          <w:color w:val="auto"/>
          <w:spacing w:val="200"/>
          <w:sz w:val="144"/>
          <w:szCs w:val="144"/>
        </w:rPr>
        <w:t>招标文件</w:t>
      </w:r>
    </w:p>
    <w:p w14:paraId="0DD2D1AF">
      <w:pPr>
        <w:spacing w:line="600" w:lineRule="exact"/>
        <w:jc w:val="center"/>
        <w:rPr>
          <w:b/>
          <w:color w:val="auto"/>
          <w:sz w:val="44"/>
          <w:szCs w:val="44"/>
        </w:rPr>
      </w:pPr>
    </w:p>
    <w:p w14:paraId="6C21E661">
      <w:pPr>
        <w:spacing w:line="600" w:lineRule="exact"/>
        <w:rPr>
          <w:b/>
          <w:color w:val="auto"/>
          <w:sz w:val="44"/>
          <w:szCs w:val="44"/>
        </w:rPr>
      </w:pPr>
    </w:p>
    <w:p w14:paraId="2295C994">
      <w:pPr>
        <w:spacing w:line="800" w:lineRule="exact"/>
        <w:ind w:left="907" w:leftChars="432"/>
        <w:rPr>
          <w:rFonts w:hint="eastAsia" w:ascii="楷体" w:hAnsi="楷体" w:eastAsia="楷体"/>
          <w:b/>
          <w:color w:val="auto"/>
          <w:sz w:val="44"/>
          <w:szCs w:val="44"/>
          <w:lang w:val="en-GB"/>
        </w:rPr>
      </w:pPr>
      <w:r>
        <w:rPr>
          <w:rFonts w:hint="eastAsia" w:ascii="楷体" w:hAnsi="楷体" w:eastAsia="楷体"/>
          <w:b/>
          <w:color w:val="auto"/>
          <w:sz w:val="44"/>
          <w:szCs w:val="44"/>
        </w:rPr>
        <w:t>项目名称：</w:t>
      </w:r>
      <w:r>
        <w:rPr>
          <w:rFonts w:ascii="楷体" w:hAnsi="楷体" w:eastAsia="楷体"/>
          <w:b/>
          <w:color w:val="auto"/>
          <w:sz w:val="44"/>
          <w:szCs w:val="44"/>
        </w:rPr>
        <w:t>课桌椅设备采购</w:t>
      </w:r>
    </w:p>
    <w:p w14:paraId="702DC4A1">
      <w:pPr>
        <w:spacing w:line="800" w:lineRule="exact"/>
        <w:ind w:left="907" w:leftChars="432"/>
        <w:rPr>
          <w:rFonts w:hint="eastAsia" w:ascii="楷体" w:hAnsi="楷体" w:eastAsia="楷体"/>
          <w:b/>
          <w:color w:val="auto"/>
          <w:sz w:val="44"/>
          <w:szCs w:val="44"/>
          <w:lang w:val="en-GB" w:eastAsia="zh-CN"/>
        </w:rPr>
      </w:pPr>
      <w:r>
        <w:rPr>
          <w:rFonts w:hint="eastAsia" w:ascii="楷体" w:hAnsi="楷体" w:eastAsia="楷体"/>
          <w:b/>
          <w:color w:val="auto"/>
          <w:sz w:val="44"/>
          <w:szCs w:val="44"/>
        </w:rPr>
        <w:t>项目编号：</w:t>
      </w:r>
      <w:r>
        <w:rPr>
          <w:rFonts w:hint="eastAsia" w:ascii="楷体" w:hAnsi="楷体" w:eastAsia="楷体"/>
          <w:b/>
          <w:color w:val="auto"/>
          <w:sz w:val="44"/>
          <w:szCs w:val="44"/>
          <w:lang w:eastAsia="zh-CN"/>
        </w:rPr>
        <w:t>LZZC2025-G1-990307-LZSZ</w:t>
      </w:r>
    </w:p>
    <w:p w14:paraId="6353A528">
      <w:pPr>
        <w:spacing w:line="800" w:lineRule="exact"/>
        <w:rPr>
          <w:rFonts w:hint="eastAsia" w:ascii="楷体" w:hAnsi="楷体" w:eastAsia="楷体"/>
          <w:b/>
          <w:color w:val="auto"/>
          <w:sz w:val="44"/>
          <w:szCs w:val="44"/>
        </w:rPr>
      </w:pPr>
    </w:p>
    <w:p w14:paraId="052262B7">
      <w:pPr>
        <w:spacing w:line="800" w:lineRule="exact"/>
        <w:ind w:firstLine="663" w:firstLineChars="150"/>
        <w:jc w:val="center"/>
        <w:rPr>
          <w:rFonts w:hint="eastAsia" w:ascii="楷体" w:hAnsi="楷体" w:eastAsia="楷体"/>
          <w:b/>
          <w:color w:val="auto"/>
          <w:sz w:val="44"/>
          <w:szCs w:val="44"/>
          <w:lang w:val="en-GB"/>
        </w:rPr>
      </w:pPr>
      <w:r>
        <w:rPr>
          <w:rFonts w:hint="eastAsia" w:ascii="楷体" w:hAnsi="楷体" w:eastAsia="楷体"/>
          <w:b/>
          <w:color w:val="auto"/>
          <w:sz w:val="44"/>
          <w:szCs w:val="44"/>
        </w:rPr>
        <w:t>采购人：</w:t>
      </w:r>
      <w:r>
        <w:rPr>
          <w:rFonts w:ascii="楷体" w:hAnsi="楷体" w:eastAsia="楷体"/>
          <w:b/>
          <w:color w:val="auto"/>
          <w:sz w:val="44"/>
          <w:szCs w:val="44"/>
        </w:rPr>
        <w:t>柳州市教学设备供应站</w:t>
      </w:r>
    </w:p>
    <w:p w14:paraId="4E9A580C">
      <w:pPr>
        <w:spacing w:line="800" w:lineRule="exact"/>
        <w:ind w:firstLine="658" w:firstLineChars="149"/>
        <w:rPr>
          <w:rFonts w:hint="eastAsia" w:ascii="楷体" w:hAnsi="楷体" w:eastAsia="楷体"/>
          <w:b/>
          <w:color w:val="auto"/>
          <w:sz w:val="44"/>
          <w:szCs w:val="44"/>
        </w:rPr>
      </w:pPr>
      <w:r>
        <w:rPr>
          <w:rFonts w:hint="eastAsia" w:ascii="楷体" w:hAnsi="楷体" w:eastAsia="楷体"/>
          <w:b/>
          <w:color w:val="auto"/>
          <w:sz w:val="44"/>
          <w:szCs w:val="44"/>
        </w:rPr>
        <w:t>采购代理机构：柳州市政府集中采购中心</w:t>
      </w:r>
    </w:p>
    <w:p w14:paraId="66FAC68F">
      <w:pPr>
        <w:spacing w:line="600" w:lineRule="exact"/>
        <w:jc w:val="center"/>
        <w:rPr>
          <w:rFonts w:hint="eastAsia" w:ascii="楷体" w:hAnsi="楷体" w:eastAsia="楷体"/>
          <w:b/>
          <w:color w:val="auto"/>
          <w:sz w:val="44"/>
          <w:szCs w:val="44"/>
        </w:rPr>
      </w:pPr>
    </w:p>
    <w:p w14:paraId="1B1577E3">
      <w:pPr>
        <w:spacing w:line="600" w:lineRule="exact"/>
        <w:jc w:val="center"/>
        <w:rPr>
          <w:rFonts w:hint="eastAsia" w:ascii="楷体" w:hAnsi="楷体" w:eastAsia="楷体"/>
          <w:b/>
          <w:color w:val="auto"/>
          <w:sz w:val="44"/>
          <w:szCs w:val="44"/>
        </w:rPr>
      </w:pPr>
      <w:r>
        <w:rPr>
          <w:rFonts w:ascii="楷体" w:hAnsi="楷体" w:eastAsia="楷体"/>
          <w:b/>
          <w:color w:val="auto"/>
          <w:sz w:val="44"/>
          <w:szCs w:val="44"/>
        </w:rPr>
        <w:t>2025年</w:t>
      </w:r>
      <w:r>
        <w:rPr>
          <w:rFonts w:hint="eastAsia" w:ascii="楷体" w:hAnsi="楷体" w:eastAsia="楷体"/>
          <w:b/>
          <w:color w:val="auto"/>
          <w:sz w:val="44"/>
          <w:szCs w:val="44"/>
          <w:lang w:val="en-US" w:eastAsia="zh-CN"/>
        </w:rPr>
        <w:t>XX</w:t>
      </w:r>
      <w:r>
        <w:rPr>
          <w:rFonts w:ascii="楷体" w:hAnsi="楷体" w:eastAsia="楷体"/>
          <w:b/>
          <w:color w:val="auto"/>
          <w:sz w:val="44"/>
          <w:szCs w:val="44"/>
        </w:rPr>
        <w:t>月</w:t>
      </w:r>
      <w:r>
        <w:rPr>
          <w:rFonts w:hint="eastAsia" w:ascii="楷体" w:hAnsi="楷体" w:eastAsia="楷体"/>
          <w:b/>
          <w:color w:val="auto"/>
          <w:sz w:val="44"/>
          <w:szCs w:val="44"/>
          <w:lang w:val="en-US" w:eastAsia="zh-CN"/>
        </w:rPr>
        <w:t>XX</w:t>
      </w:r>
      <w:r>
        <w:rPr>
          <w:rFonts w:ascii="楷体" w:hAnsi="楷体" w:eastAsia="楷体"/>
          <w:b/>
          <w:color w:val="auto"/>
          <w:sz w:val="44"/>
          <w:szCs w:val="44"/>
        </w:rPr>
        <w:t>日</w:t>
      </w:r>
    </w:p>
    <w:p w14:paraId="5D50E3EA">
      <w:pPr>
        <w:widowControl/>
        <w:jc w:val="left"/>
        <w:rPr>
          <w:rFonts w:hint="eastAsia" w:ascii="楷体" w:hAnsi="楷体" w:eastAsia="楷体"/>
          <w:b/>
          <w:color w:val="auto"/>
          <w:sz w:val="44"/>
          <w:szCs w:val="44"/>
        </w:rPr>
      </w:pPr>
      <w:r>
        <w:rPr>
          <w:rFonts w:ascii="楷体" w:hAnsi="楷体" w:eastAsia="楷体"/>
          <w:b/>
          <w:color w:val="auto"/>
          <w:sz w:val="44"/>
          <w:szCs w:val="44"/>
        </w:rPr>
        <w:br w:type="page"/>
      </w:r>
    </w:p>
    <w:p w14:paraId="17423D02">
      <w:pPr>
        <w:spacing w:line="600" w:lineRule="exact"/>
        <w:jc w:val="center"/>
        <w:rPr>
          <w:rFonts w:hint="eastAsia" w:ascii="楷体" w:hAnsi="楷体" w:eastAsia="楷体"/>
          <w:b/>
          <w:color w:val="auto"/>
          <w:sz w:val="44"/>
          <w:szCs w:val="44"/>
        </w:rPr>
      </w:pPr>
    </w:p>
    <w:p w14:paraId="4B5CEBEB">
      <w:pPr>
        <w:spacing w:line="360" w:lineRule="auto"/>
        <w:rPr>
          <w:b/>
          <w:color w:val="auto"/>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14:paraId="67112FE9">
      <w:pPr>
        <w:spacing w:line="360" w:lineRule="auto"/>
        <w:jc w:val="center"/>
        <w:rPr>
          <w:b/>
          <w:color w:val="auto"/>
          <w:sz w:val="52"/>
          <w:szCs w:val="52"/>
        </w:rPr>
      </w:pPr>
    </w:p>
    <w:p w14:paraId="5331EA39">
      <w:pPr>
        <w:spacing w:line="360" w:lineRule="auto"/>
        <w:jc w:val="center"/>
        <w:rPr>
          <w:b/>
          <w:color w:val="auto"/>
          <w:sz w:val="52"/>
          <w:szCs w:val="52"/>
        </w:rPr>
      </w:pPr>
      <w:r>
        <w:rPr>
          <w:rFonts w:hint="eastAsia"/>
          <w:b/>
          <w:color w:val="auto"/>
          <w:sz w:val="52"/>
          <w:szCs w:val="52"/>
        </w:rPr>
        <w:t>目  录</w:t>
      </w:r>
    </w:p>
    <w:p w14:paraId="1A4AF771">
      <w:pPr>
        <w:spacing w:line="360" w:lineRule="auto"/>
        <w:jc w:val="center"/>
        <w:rPr>
          <w:b/>
          <w:color w:val="auto"/>
          <w:sz w:val="52"/>
          <w:szCs w:val="52"/>
        </w:rPr>
      </w:pPr>
    </w:p>
    <w:p w14:paraId="1CD0B06A">
      <w:pPr>
        <w:pStyle w:val="33"/>
        <w:tabs>
          <w:tab w:val="right" w:leader="dot" w:pos="9746"/>
        </w:tabs>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TOC \o "1-1" \h \z \u </w:instrText>
      </w:r>
      <w:r>
        <w:rPr>
          <w:rFonts w:hint="eastAsia" w:ascii="仿宋_GB2312" w:hAnsi="仿宋_GB2312" w:eastAsia="仿宋_GB2312" w:cs="仿宋_GB2312"/>
          <w:color w:val="auto"/>
          <w:sz w:val="32"/>
          <w:szCs w:val="32"/>
        </w:rPr>
        <w:fldChar w:fldCharType="separate"/>
      </w:r>
      <w:r>
        <w:rPr>
          <w:color w:val="auto"/>
        </w:rPr>
        <w:fldChar w:fldCharType="begin"/>
      </w:r>
      <w:r>
        <w:rPr>
          <w:color w:val="auto"/>
        </w:rPr>
        <w:instrText xml:space="preserve"> HYPERLINK \l "_Toc29306" </w:instrText>
      </w:r>
      <w:r>
        <w:rPr>
          <w:color w:val="auto"/>
        </w:rPr>
        <w:fldChar w:fldCharType="separate"/>
      </w:r>
      <w:r>
        <w:rPr>
          <w:rFonts w:hint="eastAsia" w:ascii="仿宋_GB2312" w:hAnsi="仿宋_GB2312" w:eastAsia="仿宋_GB2312" w:cs="仿宋_GB2312"/>
          <w:color w:val="auto"/>
          <w:sz w:val="32"/>
          <w:szCs w:val="32"/>
        </w:rPr>
        <w:t>第一章 公开招标公告</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_Toc29306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501D8FAC">
      <w:pPr>
        <w:pStyle w:val="33"/>
        <w:tabs>
          <w:tab w:val="right" w:leader="dot" w:pos="9746"/>
        </w:tabs>
        <w:spacing w:line="360" w:lineRule="auto"/>
        <w:rPr>
          <w:rFonts w:hint="eastAsia" w:ascii="仿宋_GB2312" w:hAnsi="仿宋_GB2312" w:eastAsia="仿宋_GB2312" w:cs="仿宋_GB2312"/>
          <w:color w:val="auto"/>
          <w:sz w:val="32"/>
          <w:szCs w:val="32"/>
        </w:rPr>
      </w:pPr>
      <w:r>
        <w:rPr>
          <w:color w:val="auto"/>
        </w:rPr>
        <w:fldChar w:fldCharType="begin"/>
      </w:r>
      <w:r>
        <w:rPr>
          <w:color w:val="auto"/>
        </w:rPr>
        <w:instrText xml:space="preserve"> HYPERLINK \l "_Toc13541" </w:instrText>
      </w:r>
      <w:r>
        <w:rPr>
          <w:color w:val="auto"/>
        </w:rPr>
        <w:fldChar w:fldCharType="separate"/>
      </w:r>
      <w:r>
        <w:rPr>
          <w:rFonts w:hint="eastAsia" w:ascii="仿宋_GB2312" w:hAnsi="仿宋_GB2312" w:eastAsia="仿宋_GB2312" w:cs="仿宋_GB2312"/>
          <w:color w:val="auto"/>
          <w:sz w:val="32"/>
          <w:szCs w:val="32"/>
        </w:rPr>
        <w:t>第二章 采购需求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_Toc13541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6B8482B1">
      <w:pPr>
        <w:pStyle w:val="33"/>
        <w:tabs>
          <w:tab w:val="right" w:leader="dot" w:pos="9746"/>
        </w:tabs>
        <w:spacing w:line="360" w:lineRule="auto"/>
        <w:rPr>
          <w:rFonts w:hint="default" w:ascii="仿宋_GB2312" w:hAnsi="仿宋_GB2312" w:eastAsia="仿宋_GB2312" w:cs="仿宋_GB2312"/>
          <w:color w:val="auto"/>
          <w:sz w:val="32"/>
          <w:szCs w:val="32"/>
          <w:lang w:val="en-US" w:eastAsia="zh-CN"/>
        </w:rPr>
      </w:pPr>
      <w:r>
        <w:rPr>
          <w:color w:val="auto"/>
        </w:rPr>
        <w:fldChar w:fldCharType="begin"/>
      </w:r>
      <w:r>
        <w:rPr>
          <w:color w:val="auto"/>
        </w:rPr>
        <w:instrText xml:space="preserve"> HYPERLINK \l "_Toc29711" </w:instrText>
      </w:r>
      <w:r>
        <w:rPr>
          <w:color w:val="auto"/>
        </w:rPr>
        <w:fldChar w:fldCharType="separate"/>
      </w:r>
      <w:r>
        <w:rPr>
          <w:rFonts w:hint="eastAsia" w:ascii="仿宋_GB2312" w:hAnsi="仿宋_GB2312" w:eastAsia="仿宋_GB2312" w:cs="仿宋_GB2312"/>
          <w:color w:val="auto"/>
          <w:sz w:val="32"/>
          <w:szCs w:val="32"/>
        </w:rPr>
        <w:t>第三章 投标人须知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50</w:t>
      </w:r>
    </w:p>
    <w:p w14:paraId="60B5CBBB">
      <w:pPr>
        <w:pStyle w:val="33"/>
        <w:tabs>
          <w:tab w:val="right" w:leader="dot" w:pos="9746"/>
        </w:tabs>
        <w:spacing w:line="360" w:lineRule="auto"/>
        <w:rPr>
          <w:rFonts w:hint="eastAsia" w:ascii="仿宋_GB2312" w:hAnsi="仿宋_GB2312" w:eastAsia="仿宋_GB2312" w:cs="仿宋_GB2312"/>
          <w:color w:val="auto"/>
          <w:sz w:val="32"/>
          <w:szCs w:val="32"/>
          <w:lang w:eastAsia="zh-CN"/>
        </w:rPr>
      </w:pPr>
      <w:r>
        <w:rPr>
          <w:color w:val="auto"/>
        </w:rPr>
        <w:fldChar w:fldCharType="begin"/>
      </w:r>
      <w:r>
        <w:rPr>
          <w:color w:val="auto"/>
        </w:rPr>
        <w:instrText xml:space="preserve"> HYPERLINK \l "_Toc27328" </w:instrText>
      </w:r>
      <w:r>
        <w:rPr>
          <w:color w:val="auto"/>
        </w:rPr>
        <w:fldChar w:fldCharType="separate"/>
      </w:r>
      <w:r>
        <w:rPr>
          <w:rFonts w:hint="eastAsia" w:ascii="仿宋_GB2312" w:hAnsi="仿宋_GB2312" w:eastAsia="仿宋_GB2312" w:cs="仿宋_GB2312"/>
          <w:color w:val="auto"/>
          <w:sz w:val="32"/>
          <w:szCs w:val="32"/>
        </w:rPr>
        <w:t>第四章 评标方法及评标标准</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_Toc27328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65</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7451A195">
      <w:pPr>
        <w:pStyle w:val="33"/>
        <w:tabs>
          <w:tab w:val="right" w:leader="dot" w:pos="9746"/>
        </w:tabs>
        <w:spacing w:line="360" w:lineRule="auto"/>
        <w:rPr>
          <w:rFonts w:hint="default" w:ascii="仿宋_GB2312" w:hAnsi="仿宋_GB2312" w:eastAsia="仿宋_GB2312" w:cs="仿宋_GB2312"/>
          <w:color w:val="auto"/>
          <w:sz w:val="32"/>
          <w:szCs w:val="32"/>
          <w:lang w:val="en-US" w:eastAsia="zh-CN"/>
        </w:rPr>
      </w:pPr>
      <w:r>
        <w:rPr>
          <w:color w:val="auto"/>
        </w:rPr>
        <w:fldChar w:fldCharType="begin"/>
      </w:r>
      <w:r>
        <w:rPr>
          <w:color w:val="auto"/>
        </w:rPr>
        <w:instrText xml:space="preserve"> HYPERLINK \l "_Toc21458" </w:instrText>
      </w:r>
      <w:r>
        <w:rPr>
          <w:color w:val="auto"/>
        </w:rPr>
        <w:fldChar w:fldCharType="separate"/>
      </w:r>
      <w:r>
        <w:rPr>
          <w:rFonts w:hint="eastAsia" w:ascii="仿宋_GB2312" w:hAnsi="仿宋_GB2312" w:eastAsia="仿宋_GB2312" w:cs="仿宋_GB2312"/>
          <w:color w:val="auto"/>
          <w:sz w:val="32"/>
          <w:szCs w:val="32"/>
        </w:rPr>
        <w:t>第五章 合同主要条款格式及广西壮族自治区政府采购项目合同验收书格式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90</w:t>
      </w:r>
    </w:p>
    <w:p w14:paraId="47C599FE">
      <w:pPr>
        <w:pStyle w:val="33"/>
        <w:tabs>
          <w:tab w:val="right" w:leader="dot" w:pos="9016"/>
        </w:tabs>
        <w:spacing w:line="360" w:lineRule="auto"/>
        <w:rPr>
          <w:rFonts w:hint="eastAsia" w:ascii="仿宋_GB2312" w:hAnsi="宋体" w:eastAsia="仿宋_GB2312"/>
          <w:b w:val="0"/>
          <w:bCs w:val="0"/>
          <w:caps w:val="0"/>
          <w:color w:val="auto"/>
          <w:sz w:val="32"/>
          <w:szCs w:val="32"/>
        </w:rPr>
      </w:pPr>
      <w:r>
        <w:rPr>
          <w:rFonts w:hint="eastAsia" w:ascii="仿宋_GB2312" w:hAnsi="仿宋_GB2312" w:eastAsia="仿宋_GB2312" w:cs="仿宋_GB2312"/>
          <w:color w:val="auto"/>
          <w:sz w:val="32"/>
          <w:szCs w:val="32"/>
        </w:rPr>
        <w:fldChar w:fldCharType="end"/>
      </w:r>
      <w:r>
        <w:rPr>
          <w:rFonts w:hint="eastAsia" w:ascii="仿宋_GB2312" w:hAnsi="宋体" w:eastAsia="仿宋_GB2312"/>
          <w:b w:val="0"/>
          <w:bCs w:val="0"/>
          <w:caps w:val="0"/>
          <w:color w:val="auto"/>
          <w:sz w:val="32"/>
          <w:szCs w:val="32"/>
        </w:rPr>
        <w:t xml:space="preserve"> </w:t>
      </w:r>
    </w:p>
    <w:p w14:paraId="0B468A1A">
      <w:pPr>
        <w:rPr>
          <w:color w:val="auto"/>
        </w:rPr>
      </w:pPr>
    </w:p>
    <w:p w14:paraId="790B9E61">
      <w:pPr>
        <w:rPr>
          <w:color w:val="auto"/>
        </w:rPr>
      </w:pPr>
    </w:p>
    <w:p w14:paraId="3E46ED85">
      <w:pPr>
        <w:rPr>
          <w:color w:val="auto"/>
        </w:rPr>
      </w:pPr>
    </w:p>
    <w:p w14:paraId="04A8ADEF">
      <w:pPr>
        <w:rPr>
          <w:color w:val="auto"/>
        </w:rPr>
      </w:pPr>
    </w:p>
    <w:p w14:paraId="357661C6">
      <w:pPr>
        <w:rPr>
          <w:color w:val="auto"/>
        </w:rPr>
      </w:pPr>
    </w:p>
    <w:p w14:paraId="2B8CF8F5">
      <w:pPr>
        <w:rPr>
          <w:color w:val="auto"/>
        </w:rPr>
      </w:pPr>
    </w:p>
    <w:p w14:paraId="0FDC3B0D">
      <w:pPr>
        <w:rPr>
          <w:color w:val="auto"/>
        </w:rPr>
      </w:pPr>
    </w:p>
    <w:p w14:paraId="25DE3894">
      <w:pPr>
        <w:rPr>
          <w:color w:val="auto"/>
        </w:rPr>
      </w:pPr>
    </w:p>
    <w:p w14:paraId="422536BE">
      <w:pPr>
        <w:rPr>
          <w:color w:val="auto"/>
        </w:rPr>
      </w:pPr>
    </w:p>
    <w:p w14:paraId="5508CF30">
      <w:pPr>
        <w:rPr>
          <w:color w:val="auto"/>
        </w:rPr>
      </w:pPr>
    </w:p>
    <w:p w14:paraId="79F6FCD2">
      <w:pPr>
        <w:rPr>
          <w:color w:val="auto"/>
        </w:rPr>
      </w:pPr>
    </w:p>
    <w:p w14:paraId="4DAA26DD">
      <w:pPr>
        <w:widowControl/>
        <w:jc w:val="left"/>
        <w:rPr>
          <w:color w:val="auto"/>
        </w:rPr>
      </w:pPr>
      <w:r>
        <w:rPr>
          <w:color w:val="auto"/>
        </w:rPr>
        <w:br w:type="page"/>
      </w:r>
    </w:p>
    <w:p w14:paraId="2E12A91C">
      <w:pPr>
        <w:rPr>
          <w:color w:val="auto"/>
        </w:rPr>
      </w:pPr>
    </w:p>
    <w:p w14:paraId="6CEBE30C">
      <w:pPr>
        <w:rPr>
          <w:color w:val="auto"/>
        </w:rPr>
      </w:pPr>
    </w:p>
    <w:p w14:paraId="02FDBEB4">
      <w:pPr>
        <w:rPr>
          <w:color w:val="auto"/>
        </w:rPr>
        <w:sectPr>
          <w:headerReference r:id="rId5" w:type="default"/>
          <w:footerReference r:id="rId6" w:type="default"/>
          <w:pgSz w:w="11906" w:h="16838"/>
          <w:pgMar w:top="1440" w:right="1440" w:bottom="1440" w:left="1440" w:header="851" w:footer="992" w:gutter="0"/>
          <w:cols w:space="720" w:num="1"/>
          <w:docGrid w:linePitch="312" w:charSpace="0"/>
        </w:sectPr>
      </w:pPr>
    </w:p>
    <w:p w14:paraId="2649E45F">
      <w:pPr>
        <w:rPr>
          <w:color w:val="auto"/>
          <w:lang w:val="en-GB"/>
        </w:rPr>
      </w:pPr>
    </w:p>
    <w:p w14:paraId="1D39BA23">
      <w:pPr>
        <w:pStyle w:val="3"/>
        <w:spacing w:line="276" w:lineRule="auto"/>
        <w:jc w:val="center"/>
        <w:rPr>
          <w:color w:val="auto"/>
          <w:sz w:val="32"/>
          <w:szCs w:val="32"/>
        </w:rPr>
      </w:pPr>
      <w:bookmarkStart w:id="0" w:name="_Toc29306"/>
      <w:r>
        <w:rPr>
          <w:rFonts w:hint="eastAsia"/>
          <w:color w:val="auto"/>
          <w:sz w:val="32"/>
          <w:szCs w:val="32"/>
        </w:rPr>
        <w:t>第一章 公开招标公告</w:t>
      </w:r>
      <w:bookmarkEnd w:id="0"/>
    </w:p>
    <w:p w14:paraId="6BA0F29D">
      <w:pPr>
        <w:pStyle w:val="4"/>
        <w:spacing w:line="240" w:lineRule="auto"/>
        <w:ind w:right="-21" w:rightChars="-10" w:firstLine="711" w:firstLineChars="253"/>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项目概况</w:t>
      </w:r>
    </w:p>
    <w:p w14:paraId="7F7369EC">
      <w:pPr>
        <w:spacing w:line="400" w:lineRule="exact"/>
        <w:ind w:right="-21" w:rightChars="-10" w:firstLine="555"/>
        <w:rPr>
          <w:rFonts w:ascii="仿宋_GB2312" w:eastAsia="仿宋_GB2312"/>
          <w:color w:val="auto"/>
          <w:sz w:val="28"/>
          <w:szCs w:val="28"/>
          <w:u w:val="single"/>
        </w:rPr>
      </w:pPr>
      <w:bookmarkStart w:id="1" w:name="_Hlk50568865"/>
      <w:r>
        <w:rPr>
          <w:rFonts w:ascii="仿宋_GB2312" w:eastAsia="仿宋_GB2312"/>
          <w:color w:val="auto"/>
          <w:sz w:val="28"/>
          <w:szCs w:val="28"/>
        </w:rPr>
        <w:t>课桌椅设备采购</w:t>
      </w:r>
      <w:r>
        <w:rPr>
          <w:rFonts w:hint="eastAsia" w:ascii="仿宋_GB2312" w:eastAsia="仿宋_GB2312"/>
          <w:color w:val="auto"/>
          <w:sz w:val="28"/>
          <w:szCs w:val="28"/>
        </w:rPr>
        <w:t>项目的潜在投标人应在广西政府采购云平台（https://www.gcy.zfcg.gxzf.gov.cn/）获取招标文件，并于</w:t>
      </w:r>
      <w:r>
        <w:rPr>
          <w:rFonts w:ascii="仿宋_GB2312" w:eastAsia="仿宋_GB2312"/>
          <w:color w:val="auto"/>
          <w:sz w:val="28"/>
          <w:szCs w:val="28"/>
        </w:rPr>
        <w:t>2025年</w:t>
      </w:r>
      <w:r>
        <w:rPr>
          <w:rFonts w:hint="eastAsia" w:ascii="仿宋_GB2312" w:eastAsia="仿宋_GB2312"/>
          <w:color w:val="auto"/>
          <w:sz w:val="28"/>
          <w:szCs w:val="28"/>
          <w:lang w:val="en-US" w:eastAsia="zh-CN"/>
        </w:rPr>
        <w:t>XX</w:t>
      </w:r>
      <w:r>
        <w:rPr>
          <w:rFonts w:ascii="仿宋_GB2312" w:eastAsia="仿宋_GB2312"/>
          <w:color w:val="auto"/>
          <w:sz w:val="28"/>
          <w:szCs w:val="28"/>
        </w:rPr>
        <w:t>月</w:t>
      </w:r>
      <w:r>
        <w:rPr>
          <w:rFonts w:hint="eastAsia" w:ascii="仿宋_GB2312" w:eastAsia="仿宋_GB2312"/>
          <w:color w:val="auto"/>
          <w:sz w:val="28"/>
          <w:szCs w:val="28"/>
          <w:lang w:val="en-US" w:eastAsia="zh-CN"/>
        </w:rPr>
        <w:t>XX</w:t>
      </w:r>
      <w:r>
        <w:rPr>
          <w:rFonts w:ascii="仿宋_GB2312" w:eastAsia="仿宋_GB2312"/>
          <w:color w:val="auto"/>
          <w:sz w:val="28"/>
          <w:szCs w:val="28"/>
        </w:rPr>
        <w:t>日 09:20</w:t>
      </w:r>
      <w:r>
        <w:rPr>
          <w:rFonts w:hint="eastAsia" w:ascii="仿宋_GB2312" w:eastAsia="仿宋_GB2312"/>
          <w:color w:val="auto"/>
          <w:sz w:val="28"/>
          <w:szCs w:val="28"/>
        </w:rPr>
        <w:t>（北京时间）前</w:t>
      </w:r>
      <w:bookmarkEnd w:id="1"/>
      <w:r>
        <w:rPr>
          <w:rFonts w:hint="eastAsia" w:ascii="仿宋_GB2312" w:hAnsi="仿宋_GB2312" w:eastAsia="仿宋_GB2312" w:cs="仿宋_GB2312"/>
          <w:color w:val="auto"/>
          <w:sz w:val="28"/>
          <w:szCs w:val="28"/>
        </w:rPr>
        <w:t>在线提交投标文件</w:t>
      </w:r>
      <w:r>
        <w:rPr>
          <w:rFonts w:hint="eastAsia" w:ascii="仿宋_GB2312" w:eastAsia="仿宋_GB2312"/>
          <w:color w:val="auto"/>
          <w:sz w:val="28"/>
          <w:szCs w:val="28"/>
        </w:rPr>
        <w:t>。</w:t>
      </w:r>
    </w:p>
    <w:p w14:paraId="7C1F9CE2">
      <w:pPr>
        <w:spacing w:line="400" w:lineRule="exact"/>
        <w:ind w:right="-21" w:rightChars="-10" w:firstLine="562" w:firstLineChars="200"/>
        <w:rPr>
          <w:rFonts w:hint="eastAsia" w:ascii="黑体" w:hAnsi="黑体" w:eastAsia="黑体" w:cs="黑体"/>
          <w:b/>
          <w:bCs/>
          <w:color w:val="auto"/>
          <w:sz w:val="28"/>
          <w:szCs w:val="28"/>
        </w:rPr>
      </w:pPr>
      <w:bookmarkStart w:id="2" w:name="_Hlk53504521"/>
      <w:r>
        <w:rPr>
          <w:rFonts w:hint="eastAsia" w:ascii="黑体" w:hAnsi="黑体" w:eastAsia="黑体" w:cs="黑体"/>
          <w:b/>
          <w:bCs/>
          <w:color w:val="auto"/>
          <w:sz w:val="28"/>
          <w:szCs w:val="28"/>
        </w:rPr>
        <w:t>一、项目基本情况</w:t>
      </w:r>
    </w:p>
    <w:bookmarkEnd w:id="2"/>
    <w:p w14:paraId="3A450382">
      <w:pPr>
        <w:pStyle w:val="128"/>
        <w:spacing w:line="400" w:lineRule="exact"/>
        <w:ind w:right="-21" w:rightChars="-10" w:firstLine="560"/>
        <w:rPr>
          <w:rFonts w:hint="eastAsia" w:ascii="仿宋_GB2312" w:eastAsia="仿宋_GB2312"/>
          <w:color w:val="auto"/>
          <w:sz w:val="28"/>
          <w:szCs w:val="28"/>
          <w:lang w:eastAsia="zh-CN"/>
        </w:rPr>
      </w:pPr>
      <w:r>
        <w:rPr>
          <w:rFonts w:hint="eastAsia" w:ascii="仿宋_GB2312" w:eastAsia="仿宋_GB2312"/>
          <w:color w:val="auto"/>
          <w:sz w:val="28"/>
          <w:szCs w:val="28"/>
        </w:rPr>
        <w:t>项目编号：</w:t>
      </w:r>
      <w:r>
        <w:rPr>
          <w:rFonts w:hint="eastAsia" w:ascii="仿宋_GB2312" w:eastAsia="仿宋_GB2312"/>
          <w:color w:val="auto"/>
          <w:sz w:val="28"/>
          <w:szCs w:val="28"/>
          <w:lang w:eastAsia="zh-CN"/>
        </w:rPr>
        <w:t>LZZC2025-G1-990307-LZSZ</w:t>
      </w:r>
    </w:p>
    <w:p w14:paraId="333017A2">
      <w:pPr>
        <w:pStyle w:val="128"/>
        <w:spacing w:line="400" w:lineRule="exact"/>
        <w:ind w:right="-21" w:rightChars="-10" w:firstLine="560"/>
        <w:rPr>
          <w:rFonts w:ascii="仿宋_GB2312" w:eastAsia="仿宋_GB2312"/>
          <w:color w:val="auto"/>
          <w:sz w:val="28"/>
          <w:szCs w:val="28"/>
        </w:rPr>
      </w:pPr>
      <w:r>
        <w:rPr>
          <w:rFonts w:hint="eastAsia" w:ascii="仿宋_GB2312" w:eastAsia="仿宋_GB2312"/>
          <w:color w:val="auto"/>
          <w:sz w:val="28"/>
          <w:szCs w:val="28"/>
        </w:rPr>
        <w:t>项目名称：</w:t>
      </w:r>
      <w:r>
        <w:rPr>
          <w:rFonts w:ascii="仿宋_GB2312" w:eastAsia="仿宋_GB2312"/>
          <w:color w:val="auto"/>
          <w:sz w:val="28"/>
          <w:szCs w:val="28"/>
        </w:rPr>
        <w:t>课桌椅设备采购</w:t>
      </w:r>
    </w:p>
    <w:p w14:paraId="4AE9DBA7">
      <w:pPr>
        <w:pStyle w:val="128"/>
        <w:spacing w:line="400" w:lineRule="exact"/>
        <w:ind w:right="-21" w:rightChars="-10" w:firstLine="560"/>
        <w:rPr>
          <w:rFonts w:ascii="仿宋_GB2312" w:eastAsia="仿宋_GB2312"/>
          <w:color w:val="auto"/>
          <w:sz w:val="28"/>
          <w:szCs w:val="28"/>
        </w:rPr>
      </w:pPr>
      <w:r>
        <w:rPr>
          <w:rFonts w:hint="eastAsia" w:ascii="仿宋_GB2312" w:eastAsia="仿宋_GB2312"/>
          <w:color w:val="auto"/>
          <w:sz w:val="28"/>
          <w:szCs w:val="28"/>
        </w:rPr>
        <w:t>预算总金额</w:t>
      </w:r>
      <w:bookmarkStart w:id="3" w:name="_Hlk50568912"/>
      <w:r>
        <w:rPr>
          <w:rFonts w:hint="eastAsia" w:ascii="仿宋_GB2312" w:eastAsia="仿宋_GB2312"/>
          <w:color w:val="auto"/>
          <w:sz w:val="28"/>
          <w:szCs w:val="28"/>
        </w:rPr>
        <w:t>（元）</w:t>
      </w:r>
      <w:bookmarkEnd w:id="3"/>
      <w:r>
        <w:rPr>
          <w:rFonts w:hint="eastAsia" w:ascii="仿宋_GB2312" w:eastAsia="仿宋_GB2312"/>
          <w:color w:val="auto"/>
          <w:sz w:val="28"/>
          <w:szCs w:val="28"/>
        </w:rPr>
        <w:t>：</w:t>
      </w:r>
      <w:r>
        <w:rPr>
          <w:rFonts w:ascii="仿宋_GB2312" w:hAnsi="Times New Roman" w:eastAsia="仿宋_GB2312"/>
          <w:color w:val="auto"/>
          <w:sz w:val="28"/>
          <w:szCs w:val="28"/>
        </w:rPr>
        <w:t>7128000</w:t>
      </w:r>
    </w:p>
    <w:p w14:paraId="16E4E4E6">
      <w:pPr>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采购需求：</w:t>
      </w:r>
    </w:p>
    <w:p w14:paraId="38C1C0C9">
      <w:pPr>
        <w:spacing w:line="400" w:lineRule="exact"/>
        <w:ind w:right="-21" w:rightChars="-10"/>
        <w:rPr>
          <w:rFonts w:ascii="仿宋_GB2312" w:eastAsia="仿宋_GB2312"/>
          <w:b/>
          <w:color w:val="auto"/>
          <w:sz w:val="28"/>
          <w:szCs w:val="28"/>
        </w:rPr>
      </w:pPr>
      <w:r>
        <w:rPr>
          <w:rFonts w:ascii="仿宋" w:hAnsi="仿宋" w:eastAsia="仿宋"/>
          <w:bCs/>
          <w:color w:val="auto"/>
          <w:sz w:val="24"/>
        </w:rPr>
        <w:t>标项一
</w:t>
      </w:r>
      <w:r>
        <w:rPr>
          <w:rFonts w:ascii="仿宋" w:hAnsi="仿宋" w:eastAsia="仿宋"/>
          <w:bCs/>
          <w:color w:val="auto"/>
          <w:sz w:val="24"/>
        </w:rPr>
        <w:cr/>
      </w:r>
      <w:r>
        <w:rPr>
          <w:rFonts w:ascii="仿宋" w:hAnsi="仿宋" w:eastAsia="仿宋"/>
          <w:bCs/>
          <w:color w:val="auto"/>
          <w:sz w:val="24"/>
        </w:rPr>
        <w:t>标项名称：课桌椅设备（一）采购
</w:t>
      </w:r>
      <w:r>
        <w:rPr>
          <w:rFonts w:ascii="仿宋" w:hAnsi="仿宋" w:eastAsia="仿宋"/>
          <w:bCs/>
          <w:color w:val="auto"/>
          <w:sz w:val="24"/>
        </w:rPr>
        <w:cr/>
      </w:r>
      <w:r>
        <w:rPr>
          <w:rFonts w:ascii="仿宋" w:hAnsi="仿宋" w:eastAsia="仿宋"/>
          <w:bCs/>
          <w:color w:val="auto"/>
          <w:sz w:val="24"/>
        </w:rPr>
        <w:t>数量：1
</w:t>
      </w:r>
      <w:r>
        <w:rPr>
          <w:rFonts w:ascii="仿宋" w:hAnsi="仿宋" w:eastAsia="仿宋"/>
          <w:bCs/>
          <w:color w:val="auto"/>
          <w:sz w:val="24"/>
        </w:rPr>
        <w:cr/>
      </w:r>
      <w:r>
        <w:rPr>
          <w:rFonts w:ascii="仿宋" w:hAnsi="仿宋" w:eastAsia="仿宋"/>
          <w:bCs/>
          <w:color w:val="auto"/>
          <w:sz w:val="24"/>
        </w:rPr>
        <w:t>预算金额（元）：1650000
</w:t>
      </w:r>
      <w:r>
        <w:rPr>
          <w:rFonts w:ascii="仿宋" w:hAnsi="仿宋" w:eastAsia="仿宋"/>
          <w:bCs/>
          <w:color w:val="auto"/>
          <w:sz w:val="24"/>
        </w:rPr>
        <w:cr/>
      </w:r>
      <w:r>
        <w:rPr>
          <w:rFonts w:ascii="仿宋" w:hAnsi="仿宋" w:eastAsia="仿宋"/>
          <w:bCs/>
          <w:color w:val="auto"/>
          <w:sz w:val="24"/>
        </w:rPr>
        <w:t>简要规格描述或项目基本概况介绍、用途：课桌椅设备（一）采购1批（具体内容详见招标文件第二章《采购需求》）
</w:t>
      </w:r>
      <w:r>
        <w:rPr>
          <w:rFonts w:ascii="仿宋" w:hAnsi="仿宋" w:eastAsia="仿宋"/>
          <w:bCs/>
          <w:color w:val="auto"/>
          <w:sz w:val="24"/>
        </w:rPr>
        <w:cr/>
      </w:r>
      <w:r>
        <w:rPr>
          <w:rFonts w:ascii="仿宋" w:hAnsi="仿宋" w:eastAsia="仿宋"/>
          <w:bCs/>
          <w:color w:val="auto"/>
          <w:sz w:val="24"/>
        </w:rPr>
        <w:t>最高限价（如有）：1650000
</w:t>
      </w:r>
      <w:r>
        <w:rPr>
          <w:rFonts w:ascii="仿宋" w:hAnsi="仿宋" w:eastAsia="仿宋"/>
          <w:bCs/>
          <w:color w:val="auto"/>
          <w:sz w:val="24"/>
        </w:rPr>
        <w:cr/>
      </w:r>
      <w:r>
        <w:rPr>
          <w:rFonts w:ascii="仿宋" w:hAnsi="仿宋" w:eastAsia="仿宋"/>
          <w:bCs/>
          <w:color w:val="auto"/>
          <w:sz w:val="24"/>
        </w:rPr>
        <w:t>合同履约期限：自签订合同之日起30日内安装完毕，验收合格并交付使用。
</w:t>
      </w:r>
      <w:r>
        <w:rPr>
          <w:rFonts w:ascii="仿宋" w:hAnsi="仿宋" w:eastAsia="仿宋"/>
          <w:bCs/>
          <w:color w:val="auto"/>
          <w:sz w:val="24"/>
        </w:rPr>
        <w:cr/>
      </w:r>
      <w:r>
        <w:rPr>
          <w:rFonts w:ascii="仿宋" w:hAnsi="仿宋" w:eastAsia="仿宋"/>
          <w:bCs/>
          <w:color w:val="auto"/>
          <w:sz w:val="24"/>
        </w:rPr>
        <w:t>本标项（否）接受联合体投标
</w:t>
      </w:r>
      <w:r>
        <w:rPr>
          <w:rFonts w:ascii="仿宋" w:hAnsi="仿宋" w:eastAsia="仿宋"/>
          <w:bCs/>
          <w:color w:val="auto"/>
          <w:sz w:val="24"/>
        </w:rPr>
        <w:cr/>
      </w:r>
      <w:r>
        <w:rPr>
          <w:rFonts w:ascii="仿宋" w:hAnsi="仿宋" w:eastAsia="仿宋"/>
          <w:bCs/>
          <w:color w:val="auto"/>
          <w:sz w:val="24"/>
        </w:rPr>
        <w:t>备注：本项目为线上电子招标项目，采用远程异地评标，有意向参与本项目的供应商应当做好参与全流程电子招投标交易的充分准备。
</w:t>
      </w:r>
      <w:r>
        <w:rPr>
          <w:rFonts w:ascii="仿宋" w:hAnsi="仿宋" w:eastAsia="仿宋"/>
          <w:bCs/>
          <w:color w:val="auto"/>
          <w:sz w:val="24"/>
        </w:rPr>
        <w:cr/>
      </w:r>
      <w:r>
        <w:rPr>
          <w:rFonts w:ascii="仿宋" w:hAnsi="仿宋" w:eastAsia="仿宋"/>
          <w:bCs/>
          <w:color w:val="auto"/>
          <w:sz w:val="24"/>
        </w:rPr>
        <w:t>
</w:t>
      </w:r>
      <w:r>
        <w:rPr>
          <w:rFonts w:ascii="仿宋" w:hAnsi="仿宋" w:eastAsia="仿宋"/>
          <w:bCs/>
          <w:color w:val="auto"/>
          <w:sz w:val="24"/>
        </w:rPr>
        <w:cr/>
      </w:r>
      <w:r>
        <w:rPr>
          <w:rFonts w:ascii="仿宋" w:hAnsi="仿宋" w:eastAsia="仿宋"/>
          <w:bCs/>
          <w:color w:val="auto"/>
          <w:sz w:val="24"/>
        </w:rPr>
        <w:t>标项二
</w:t>
      </w:r>
      <w:r>
        <w:rPr>
          <w:rFonts w:ascii="仿宋" w:hAnsi="仿宋" w:eastAsia="仿宋"/>
          <w:bCs/>
          <w:color w:val="auto"/>
          <w:sz w:val="24"/>
        </w:rPr>
        <w:cr/>
      </w:r>
      <w:r>
        <w:rPr>
          <w:rFonts w:ascii="仿宋" w:hAnsi="仿宋" w:eastAsia="仿宋"/>
          <w:bCs/>
          <w:color w:val="auto"/>
          <w:sz w:val="24"/>
        </w:rPr>
        <w:t>标项名称：课桌椅设备（二）采购
</w:t>
      </w:r>
      <w:r>
        <w:rPr>
          <w:rFonts w:ascii="仿宋" w:hAnsi="仿宋" w:eastAsia="仿宋"/>
          <w:bCs/>
          <w:color w:val="auto"/>
          <w:sz w:val="24"/>
        </w:rPr>
        <w:cr/>
      </w:r>
      <w:r>
        <w:rPr>
          <w:rFonts w:ascii="仿宋" w:hAnsi="仿宋" w:eastAsia="仿宋"/>
          <w:bCs/>
          <w:color w:val="auto"/>
          <w:sz w:val="24"/>
        </w:rPr>
        <w:t>数量：1
</w:t>
      </w:r>
      <w:r>
        <w:rPr>
          <w:rFonts w:ascii="仿宋" w:hAnsi="仿宋" w:eastAsia="仿宋"/>
          <w:bCs/>
          <w:color w:val="auto"/>
          <w:sz w:val="24"/>
        </w:rPr>
        <w:cr/>
      </w:r>
      <w:r>
        <w:rPr>
          <w:rFonts w:ascii="仿宋" w:hAnsi="仿宋" w:eastAsia="仿宋"/>
          <w:bCs/>
          <w:color w:val="auto"/>
          <w:sz w:val="24"/>
        </w:rPr>
        <w:t>预算金额（元）：2508000
</w:t>
      </w:r>
      <w:r>
        <w:rPr>
          <w:rFonts w:ascii="仿宋" w:hAnsi="仿宋" w:eastAsia="仿宋"/>
          <w:bCs/>
          <w:color w:val="auto"/>
          <w:sz w:val="24"/>
        </w:rPr>
        <w:cr/>
      </w:r>
      <w:r>
        <w:rPr>
          <w:rFonts w:ascii="仿宋" w:hAnsi="仿宋" w:eastAsia="仿宋"/>
          <w:bCs/>
          <w:color w:val="auto"/>
          <w:sz w:val="24"/>
        </w:rPr>
        <w:t>简要规格描述或项目基本概况介绍、用途：课桌椅设备（二）采购1批（具体内容详见招标文件第二章《采购需求》）
</w:t>
      </w:r>
      <w:r>
        <w:rPr>
          <w:rFonts w:ascii="仿宋" w:hAnsi="仿宋" w:eastAsia="仿宋"/>
          <w:bCs/>
          <w:color w:val="auto"/>
          <w:sz w:val="24"/>
        </w:rPr>
        <w:cr/>
      </w:r>
      <w:r>
        <w:rPr>
          <w:rFonts w:ascii="仿宋" w:hAnsi="仿宋" w:eastAsia="仿宋"/>
          <w:bCs/>
          <w:color w:val="auto"/>
          <w:sz w:val="24"/>
        </w:rPr>
        <w:t>最高限价（如有）：2508000
</w:t>
      </w:r>
      <w:r>
        <w:rPr>
          <w:rFonts w:ascii="仿宋" w:hAnsi="仿宋" w:eastAsia="仿宋"/>
          <w:bCs/>
          <w:color w:val="auto"/>
          <w:sz w:val="24"/>
        </w:rPr>
        <w:cr/>
      </w:r>
      <w:r>
        <w:rPr>
          <w:rFonts w:ascii="仿宋" w:hAnsi="仿宋" w:eastAsia="仿宋"/>
          <w:bCs/>
          <w:color w:val="auto"/>
          <w:sz w:val="24"/>
        </w:rPr>
        <w:t>合同履约期限：自签订合同之日起30日内安装完毕，验收合格并交付使用。
</w:t>
      </w:r>
      <w:r>
        <w:rPr>
          <w:rFonts w:ascii="仿宋" w:hAnsi="仿宋" w:eastAsia="仿宋"/>
          <w:bCs/>
          <w:color w:val="auto"/>
          <w:sz w:val="24"/>
        </w:rPr>
        <w:cr/>
      </w:r>
      <w:r>
        <w:rPr>
          <w:rFonts w:ascii="仿宋" w:hAnsi="仿宋" w:eastAsia="仿宋"/>
          <w:bCs/>
          <w:color w:val="auto"/>
          <w:sz w:val="24"/>
        </w:rPr>
        <w:t>本标项（否）接受联合体投标
</w:t>
      </w:r>
      <w:r>
        <w:rPr>
          <w:rFonts w:ascii="仿宋" w:hAnsi="仿宋" w:eastAsia="仿宋"/>
          <w:bCs/>
          <w:color w:val="auto"/>
          <w:sz w:val="24"/>
        </w:rPr>
        <w:cr/>
      </w:r>
      <w:r>
        <w:rPr>
          <w:rFonts w:ascii="仿宋" w:hAnsi="仿宋" w:eastAsia="仿宋"/>
          <w:bCs/>
          <w:color w:val="auto"/>
          <w:sz w:val="24"/>
        </w:rPr>
        <w:t>备注：本项目为线上电子招标项目，采用远程异地评标，有意向参与本项目的供应商应当做好参与全流程电子招投标交易的充分准备。
</w:t>
      </w:r>
      <w:r>
        <w:rPr>
          <w:rFonts w:ascii="仿宋" w:hAnsi="仿宋" w:eastAsia="仿宋"/>
          <w:bCs/>
          <w:color w:val="auto"/>
          <w:sz w:val="24"/>
        </w:rPr>
        <w:cr/>
      </w:r>
      <w:r>
        <w:rPr>
          <w:rFonts w:ascii="仿宋" w:hAnsi="仿宋" w:eastAsia="仿宋"/>
          <w:bCs/>
          <w:color w:val="auto"/>
          <w:sz w:val="24"/>
        </w:rPr>
        <w:t>
</w:t>
      </w:r>
      <w:r>
        <w:rPr>
          <w:rFonts w:ascii="仿宋" w:hAnsi="仿宋" w:eastAsia="仿宋"/>
          <w:bCs/>
          <w:color w:val="auto"/>
          <w:sz w:val="24"/>
        </w:rPr>
        <w:cr/>
      </w:r>
      <w:r>
        <w:rPr>
          <w:rFonts w:ascii="仿宋" w:hAnsi="仿宋" w:eastAsia="仿宋"/>
          <w:bCs/>
          <w:color w:val="auto"/>
          <w:sz w:val="24"/>
        </w:rPr>
        <w:t>标项三
</w:t>
      </w:r>
      <w:r>
        <w:rPr>
          <w:rFonts w:ascii="仿宋" w:hAnsi="仿宋" w:eastAsia="仿宋"/>
          <w:bCs/>
          <w:color w:val="auto"/>
          <w:sz w:val="24"/>
        </w:rPr>
        <w:cr/>
      </w:r>
      <w:r>
        <w:rPr>
          <w:rFonts w:ascii="仿宋" w:hAnsi="仿宋" w:eastAsia="仿宋"/>
          <w:bCs/>
          <w:color w:val="auto"/>
          <w:sz w:val="24"/>
        </w:rPr>
        <w:t>标项名称：课桌椅设备（三）采购
</w:t>
      </w:r>
      <w:r>
        <w:rPr>
          <w:rFonts w:ascii="仿宋" w:hAnsi="仿宋" w:eastAsia="仿宋"/>
          <w:bCs/>
          <w:color w:val="auto"/>
          <w:sz w:val="24"/>
        </w:rPr>
        <w:cr/>
      </w:r>
      <w:r>
        <w:rPr>
          <w:rFonts w:ascii="仿宋" w:hAnsi="仿宋" w:eastAsia="仿宋"/>
          <w:bCs/>
          <w:color w:val="auto"/>
          <w:sz w:val="24"/>
        </w:rPr>
        <w:t>数量：1
</w:t>
      </w:r>
      <w:r>
        <w:rPr>
          <w:rFonts w:ascii="仿宋" w:hAnsi="仿宋" w:eastAsia="仿宋"/>
          <w:bCs/>
          <w:color w:val="auto"/>
          <w:sz w:val="24"/>
        </w:rPr>
        <w:cr/>
      </w:r>
      <w:r>
        <w:rPr>
          <w:rFonts w:ascii="仿宋" w:hAnsi="仿宋" w:eastAsia="仿宋"/>
          <w:bCs/>
          <w:color w:val="auto"/>
          <w:sz w:val="24"/>
        </w:rPr>
        <w:t>预算金额（元）：2970000
</w:t>
      </w:r>
      <w:r>
        <w:rPr>
          <w:rFonts w:ascii="仿宋" w:hAnsi="仿宋" w:eastAsia="仿宋"/>
          <w:bCs/>
          <w:color w:val="auto"/>
          <w:sz w:val="24"/>
        </w:rPr>
        <w:cr/>
      </w:r>
      <w:r>
        <w:rPr>
          <w:rFonts w:ascii="仿宋" w:hAnsi="仿宋" w:eastAsia="仿宋"/>
          <w:bCs/>
          <w:color w:val="auto"/>
          <w:sz w:val="24"/>
        </w:rPr>
        <w:t>简要规格描述或项目基本概况介绍、用途：课桌椅设备（三）采购1批（具体内容详见招标文件第二章《采购需求》）
</w:t>
      </w:r>
      <w:r>
        <w:rPr>
          <w:rFonts w:ascii="仿宋" w:hAnsi="仿宋" w:eastAsia="仿宋"/>
          <w:bCs/>
          <w:color w:val="auto"/>
          <w:sz w:val="24"/>
        </w:rPr>
        <w:cr/>
      </w:r>
      <w:r>
        <w:rPr>
          <w:rFonts w:ascii="仿宋" w:hAnsi="仿宋" w:eastAsia="仿宋"/>
          <w:bCs/>
          <w:color w:val="auto"/>
          <w:sz w:val="24"/>
        </w:rPr>
        <w:t>最高限价（如有）：2970000
</w:t>
      </w:r>
      <w:r>
        <w:rPr>
          <w:rFonts w:ascii="仿宋" w:hAnsi="仿宋" w:eastAsia="仿宋"/>
          <w:bCs/>
          <w:color w:val="auto"/>
          <w:sz w:val="24"/>
        </w:rPr>
        <w:cr/>
      </w:r>
      <w:r>
        <w:rPr>
          <w:rFonts w:ascii="仿宋" w:hAnsi="仿宋" w:eastAsia="仿宋"/>
          <w:bCs/>
          <w:color w:val="auto"/>
          <w:sz w:val="24"/>
        </w:rPr>
        <w:t>合同履约期限：自签订合同之日起30日内安装完毕，验收合格并交付使用。
</w:t>
      </w:r>
      <w:r>
        <w:rPr>
          <w:rFonts w:ascii="仿宋" w:hAnsi="仿宋" w:eastAsia="仿宋"/>
          <w:bCs/>
          <w:color w:val="auto"/>
          <w:sz w:val="24"/>
        </w:rPr>
        <w:cr/>
      </w:r>
      <w:r>
        <w:rPr>
          <w:rFonts w:ascii="仿宋" w:hAnsi="仿宋" w:eastAsia="仿宋"/>
          <w:bCs/>
          <w:color w:val="auto"/>
          <w:sz w:val="24"/>
        </w:rPr>
        <w:t>本标项（否）接受联合体投标
</w:t>
      </w:r>
      <w:r>
        <w:rPr>
          <w:rFonts w:ascii="仿宋" w:hAnsi="仿宋" w:eastAsia="仿宋"/>
          <w:bCs/>
          <w:color w:val="auto"/>
          <w:sz w:val="24"/>
        </w:rPr>
        <w:cr/>
      </w:r>
      <w:r>
        <w:rPr>
          <w:rFonts w:ascii="仿宋" w:hAnsi="仿宋" w:eastAsia="仿宋"/>
          <w:bCs/>
          <w:color w:val="auto"/>
          <w:sz w:val="24"/>
        </w:rPr>
        <w:t>备注：本项目为线上电子招标项目，采用远程异地评标，有意向参与本项目的供应商应当做好参与全流程电子招投标交易的充分准备。</w:t>
      </w:r>
    </w:p>
    <w:p w14:paraId="25BC809D">
      <w:pPr>
        <w:pStyle w:val="4"/>
        <w:spacing w:line="400" w:lineRule="exact"/>
        <w:ind w:right="-21" w:rightChars="-10" w:firstLine="562" w:firstLineChars="200"/>
        <w:jc w:val="both"/>
        <w:rPr>
          <w:rFonts w:hint="eastAsia" w:ascii="黑体" w:hAnsi="黑体" w:eastAsia="黑体" w:cs="黑体"/>
          <w:bCs/>
          <w:color w:val="auto"/>
          <w:sz w:val="28"/>
          <w:szCs w:val="28"/>
        </w:rPr>
      </w:pPr>
      <w:bookmarkStart w:id="4" w:name="_Hlk53504529"/>
      <w:r>
        <w:rPr>
          <w:rFonts w:hint="eastAsia" w:ascii="黑体" w:hAnsi="黑体" w:eastAsia="黑体" w:cs="黑体"/>
          <w:bCs/>
          <w:color w:val="auto"/>
          <w:sz w:val="28"/>
          <w:szCs w:val="28"/>
        </w:rPr>
        <w:t>二、申请人的资格要求</w:t>
      </w:r>
    </w:p>
    <w:bookmarkEnd w:id="4"/>
    <w:p w14:paraId="3EE191DE">
      <w:pPr>
        <w:pStyle w:val="128"/>
        <w:spacing w:line="400" w:lineRule="exact"/>
        <w:ind w:right="-21" w:rightChars="-10" w:firstLine="560"/>
        <w:rPr>
          <w:rFonts w:ascii="仿宋_GB2312" w:eastAsia="仿宋_GB2312"/>
          <w:color w:val="auto"/>
          <w:sz w:val="28"/>
          <w:szCs w:val="28"/>
        </w:rPr>
      </w:pPr>
      <w:r>
        <w:rPr>
          <w:rFonts w:hint="eastAsia" w:ascii="仿宋_GB2312" w:hAnsi="仿宋_GB2312" w:eastAsia="仿宋_GB2312" w:cs="仿宋_GB2312"/>
          <w:color w:val="auto"/>
          <w:sz w:val="28"/>
          <w:szCs w:val="28"/>
        </w:rPr>
        <w:t>1.</w:t>
      </w:r>
      <w:r>
        <w:rPr>
          <w:rFonts w:hint="eastAsia" w:ascii="仿宋_GB2312" w:eastAsia="仿宋_GB2312"/>
          <w:color w:val="auto"/>
          <w:sz w:val="28"/>
          <w:szCs w:val="28"/>
        </w:rPr>
        <w:t>满足《中华人民共和国政府采购法》第二十二条规定；</w:t>
      </w:r>
    </w:p>
    <w:p w14:paraId="7235EA97">
      <w:pPr>
        <w:pStyle w:val="128"/>
        <w:spacing w:line="400" w:lineRule="exact"/>
        <w:ind w:right="-21" w:rightChars="-10" w:firstLine="560"/>
        <w:rPr>
          <w:rFonts w:hint="eastAsia" w:ascii="仿宋_GB2312" w:eastAsia="仿宋_GB2312"/>
          <w:color w:val="auto"/>
          <w:sz w:val="28"/>
          <w:szCs w:val="28"/>
        </w:rPr>
      </w:pP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w:t>
      </w:r>
      <w:r>
        <w:rPr>
          <w:rFonts w:hint="eastAsia" w:ascii="仿宋_GB2312" w:eastAsia="仿宋_GB2312"/>
          <w:color w:val="auto"/>
          <w:sz w:val="28"/>
          <w:szCs w:val="28"/>
        </w:rPr>
        <w:t>落实政府采购政策需满足的资格要求：</w:t>
      </w:r>
    </w:p>
    <w:p w14:paraId="3DC7E8BA">
      <w:pPr>
        <w:pStyle w:val="128"/>
        <w:spacing w:line="400" w:lineRule="exact"/>
        <w:ind w:right="-21" w:rightChars="-10" w:firstLine="560"/>
        <w:rPr>
          <w:rFonts w:ascii="仿宋_GB2312" w:eastAsia="仿宋_GB2312"/>
          <w:color w:val="auto"/>
          <w:sz w:val="28"/>
          <w:szCs w:val="28"/>
        </w:rPr>
      </w:pPr>
      <w:r>
        <w:rPr>
          <w:rFonts w:hint="eastAsia" w:ascii="仿宋_GB2312" w:eastAsia="仿宋_GB2312"/>
          <w:color w:val="auto"/>
          <w:sz w:val="28"/>
          <w:szCs w:val="28"/>
          <w:lang w:val="en-US" w:eastAsia="zh-CN"/>
        </w:rPr>
        <w:t>分标1</w:t>
      </w:r>
      <w:r>
        <w:rPr>
          <w:rFonts w:hint="eastAsia" w:ascii="仿宋_GB2312" w:eastAsia="仿宋_GB2312"/>
          <w:color w:val="auto"/>
          <w:sz w:val="28"/>
          <w:szCs w:val="28"/>
          <w:lang w:eastAsia="zh-CN"/>
        </w:rPr>
        <w:t>、分标</w:t>
      </w:r>
      <w:r>
        <w:rPr>
          <w:rFonts w:hint="eastAsia" w:ascii="仿宋_GB2312" w:eastAsia="仿宋_GB2312"/>
          <w:color w:val="auto"/>
          <w:sz w:val="28"/>
          <w:szCs w:val="28"/>
          <w:lang w:val="en-US" w:eastAsia="zh-CN"/>
        </w:rPr>
        <w:t>2</w:t>
      </w:r>
      <w:r>
        <w:rPr>
          <w:rFonts w:hint="eastAsia" w:ascii="仿宋_GB2312" w:eastAsia="仿宋_GB2312"/>
          <w:color w:val="auto"/>
          <w:sz w:val="28"/>
          <w:szCs w:val="28"/>
          <w:lang w:eastAsia="zh-CN"/>
        </w:rPr>
        <w:t>、分标</w:t>
      </w:r>
      <w:r>
        <w:rPr>
          <w:rFonts w:hint="eastAsia" w:ascii="仿宋_GB2312" w:eastAsia="仿宋_GB2312"/>
          <w:color w:val="auto"/>
          <w:sz w:val="28"/>
          <w:szCs w:val="28"/>
          <w:lang w:val="en-US" w:eastAsia="zh-CN"/>
        </w:rPr>
        <w:t>3</w:t>
      </w:r>
      <w:r>
        <w:rPr>
          <w:rFonts w:ascii="仿宋_GB2312" w:eastAsia="仿宋_GB2312"/>
          <w:color w:val="auto"/>
          <w:sz w:val="28"/>
          <w:szCs w:val="28"/>
        </w:rPr>
        <w:t>：本项目属于专门面向中小企业采购的项目，监狱企业、残疾人福利单位视同小型、微型企业；中小企业须符合本项目采购标的所属行业对应的中小企业划分标准；</w:t>
      </w:r>
    </w:p>
    <w:p w14:paraId="7684520D">
      <w:pPr>
        <w:pStyle w:val="128"/>
        <w:spacing w:line="400" w:lineRule="exact"/>
        <w:ind w:right="-21" w:rightChars="-10" w:firstLine="560"/>
        <w:rPr>
          <w:rFonts w:ascii="仿宋_GB2312" w:eastAsia="仿宋_GB2312"/>
          <w:color w:val="auto"/>
          <w:sz w:val="28"/>
          <w:szCs w:val="28"/>
        </w:rPr>
      </w:pPr>
      <w:r>
        <w:rPr>
          <w:rFonts w:hint="eastAsia" w:ascii="仿宋_GB2312" w:eastAsia="仿宋_GB2312"/>
          <w:color w:val="auto"/>
          <w:sz w:val="28"/>
          <w:szCs w:val="28"/>
        </w:rPr>
        <w:t>3</w:t>
      </w:r>
      <w:r>
        <w:rPr>
          <w:rFonts w:ascii="仿宋_GB2312" w:eastAsia="仿宋_GB2312"/>
          <w:color w:val="auto"/>
          <w:sz w:val="28"/>
          <w:szCs w:val="28"/>
        </w:rPr>
        <w:t>.</w:t>
      </w:r>
      <w:r>
        <w:rPr>
          <w:rFonts w:hint="eastAsia" w:ascii="仿宋_GB2312" w:eastAsia="仿宋_GB2312"/>
          <w:color w:val="auto"/>
          <w:sz w:val="28"/>
          <w:szCs w:val="28"/>
        </w:rPr>
        <w:t>本项目的特定资格要求：</w:t>
      </w:r>
      <w:r>
        <w:rPr>
          <w:rFonts w:ascii="仿宋_GB2312" w:eastAsia="仿宋_GB2312"/>
          <w:color w:val="auto"/>
          <w:sz w:val="28"/>
          <w:szCs w:val="28"/>
        </w:rPr>
        <w:t>无；</w:t>
      </w:r>
    </w:p>
    <w:p w14:paraId="38CDCA37">
      <w:pPr>
        <w:pStyle w:val="4"/>
        <w:spacing w:line="400" w:lineRule="exact"/>
        <w:ind w:right="-21" w:rightChars="-10" w:firstLine="562" w:firstLineChars="200"/>
        <w:jc w:val="both"/>
        <w:rPr>
          <w:rFonts w:hint="eastAsia" w:ascii="黑体" w:hAnsi="黑体" w:eastAsia="黑体" w:cs="黑体"/>
          <w:bCs/>
          <w:color w:val="auto"/>
          <w:sz w:val="28"/>
          <w:szCs w:val="28"/>
        </w:rPr>
      </w:pPr>
      <w:bookmarkStart w:id="5" w:name="_Toc35393623"/>
      <w:bookmarkStart w:id="6" w:name="_Toc35393792"/>
      <w:r>
        <w:rPr>
          <w:rFonts w:hint="eastAsia" w:ascii="黑体" w:hAnsi="黑体" w:eastAsia="黑体" w:cs="黑体"/>
          <w:bCs/>
          <w:color w:val="auto"/>
          <w:sz w:val="28"/>
          <w:szCs w:val="28"/>
        </w:rPr>
        <w:t>三、</w:t>
      </w:r>
      <w:bookmarkEnd w:id="5"/>
      <w:bookmarkEnd w:id="6"/>
      <w:r>
        <w:rPr>
          <w:rFonts w:hint="eastAsia" w:ascii="黑体" w:hAnsi="黑体" w:eastAsia="黑体" w:cs="黑体"/>
          <w:bCs/>
          <w:color w:val="auto"/>
          <w:sz w:val="28"/>
          <w:szCs w:val="28"/>
        </w:rPr>
        <w:t>获取招标文件</w:t>
      </w:r>
    </w:p>
    <w:p w14:paraId="6C8FADE3">
      <w:pPr>
        <w:spacing w:line="400" w:lineRule="exact"/>
        <w:ind w:right="-21" w:rightChars="-10" w:firstLine="540"/>
        <w:rPr>
          <w:rFonts w:ascii="仿宋_GB2312" w:hAnsi="Calibri" w:eastAsia="仿宋_GB2312"/>
          <w:color w:val="auto"/>
          <w:sz w:val="28"/>
          <w:szCs w:val="28"/>
        </w:rPr>
      </w:pPr>
      <w:r>
        <w:rPr>
          <w:rFonts w:hint="eastAsia" w:ascii="仿宋_GB2312" w:eastAsia="仿宋_GB2312"/>
          <w:color w:val="auto"/>
          <w:sz w:val="28"/>
          <w:szCs w:val="28"/>
        </w:rPr>
        <w:t>时间：</w:t>
      </w:r>
      <w:r>
        <w:rPr>
          <w:rFonts w:hint="eastAsia" w:ascii="仿宋_GB2312" w:hAnsi="Calibri" w:eastAsia="仿宋_GB2312"/>
          <w:color w:val="auto"/>
          <w:sz w:val="28"/>
          <w:szCs w:val="28"/>
          <w:lang w:val="en-US" w:eastAsia="zh-CN"/>
        </w:rPr>
        <w:t>2025</w:t>
      </w:r>
      <w:r>
        <w:rPr>
          <w:rFonts w:hint="eastAsia" w:ascii="仿宋_GB2312" w:hAnsi="Calibri" w:eastAsia="仿宋_GB2312"/>
          <w:color w:val="auto"/>
          <w:sz w:val="28"/>
          <w:szCs w:val="28"/>
        </w:rPr>
        <w:t>年</w:t>
      </w:r>
      <w:r>
        <w:rPr>
          <w:rFonts w:hint="eastAsia" w:ascii="仿宋_GB2312" w:hAnsi="Calibri" w:eastAsia="仿宋_GB2312"/>
          <w:color w:val="auto"/>
          <w:sz w:val="28"/>
          <w:szCs w:val="28"/>
          <w:lang w:val="en-US" w:eastAsia="zh-CN"/>
        </w:rPr>
        <w:t>XX</w:t>
      </w:r>
      <w:r>
        <w:rPr>
          <w:rFonts w:hint="eastAsia" w:ascii="仿宋_GB2312" w:hAnsi="Calibri" w:eastAsia="仿宋_GB2312"/>
          <w:color w:val="auto"/>
          <w:sz w:val="28"/>
          <w:szCs w:val="28"/>
        </w:rPr>
        <w:t>月</w:t>
      </w:r>
      <w:r>
        <w:rPr>
          <w:rFonts w:hint="eastAsia" w:ascii="仿宋_GB2312" w:hAnsi="Calibri" w:eastAsia="仿宋_GB2312"/>
          <w:color w:val="auto"/>
          <w:sz w:val="28"/>
          <w:szCs w:val="28"/>
          <w:lang w:val="en-US" w:eastAsia="zh-CN"/>
        </w:rPr>
        <w:t>XX</w:t>
      </w:r>
      <w:r>
        <w:rPr>
          <w:rFonts w:hint="eastAsia" w:ascii="仿宋_GB2312" w:hAnsi="Calibri" w:eastAsia="仿宋_GB2312"/>
          <w:color w:val="auto"/>
          <w:sz w:val="28"/>
          <w:szCs w:val="28"/>
        </w:rPr>
        <w:t>日</w:t>
      </w:r>
      <w:r>
        <w:rPr>
          <w:rFonts w:hint="eastAsia" w:ascii="仿宋_GB2312" w:eastAsia="仿宋_GB2312"/>
          <w:color w:val="auto"/>
          <w:sz w:val="28"/>
          <w:szCs w:val="28"/>
        </w:rPr>
        <w:t>至</w:t>
      </w:r>
      <w:r>
        <w:rPr>
          <w:rFonts w:hint="eastAsia" w:ascii="仿宋_GB2312" w:hAnsi="Calibri" w:eastAsia="仿宋_GB2312"/>
          <w:color w:val="auto"/>
          <w:sz w:val="28"/>
          <w:szCs w:val="28"/>
          <w:lang w:val="en-US" w:eastAsia="zh-CN"/>
        </w:rPr>
        <w:t>2025</w:t>
      </w:r>
      <w:r>
        <w:rPr>
          <w:rFonts w:ascii="仿宋_GB2312" w:hAnsi="Calibri" w:eastAsia="仿宋_GB2312"/>
          <w:color w:val="auto"/>
          <w:sz w:val="28"/>
          <w:szCs w:val="28"/>
        </w:rPr>
        <w:t>年</w:t>
      </w:r>
      <w:r>
        <w:rPr>
          <w:rFonts w:hint="eastAsia" w:ascii="仿宋_GB2312" w:hAnsi="Calibri" w:eastAsia="仿宋_GB2312"/>
          <w:color w:val="auto"/>
          <w:sz w:val="28"/>
          <w:szCs w:val="28"/>
          <w:lang w:val="en-US" w:eastAsia="zh-CN"/>
        </w:rPr>
        <w:t>XX</w:t>
      </w:r>
      <w:r>
        <w:rPr>
          <w:rFonts w:ascii="仿宋_GB2312" w:hAnsi="Calibri" w:eastAsia="仿宋_GB2312"/>
          <w:color w:val="auto"/>
          <w:sz w:val="28"/>
          <w:szCs w:val="28"/>
        </w:rPr>
        <w:t>月</w:t>
      </w:r>
      <w:r>
        <w:rPr>
          <w:rFonts w:hint="eastAsia" w:ascii="仿宋_GB2312" w:hAnsi="Calibri" w:eastAsia="仿宋_GB2312"/>
          <w:color w:val="auto"/>
          <w:sz w:val="28"/>
          <w:szCs w:val="28"/>
          <w:lang w:val="en-US" w:eastAsia="zh-CN"/>
        </w:rPr>
        <w:t>XX</w:t>
      </w:r>
      <w:r>
        <w:rPr>
          <w:rFonts w:ascii="仿宋_GB2312" w:hAnsi="Calibri" w:eastAsia="仿宋_GB2312"/>
          <w:color w:val="auto"/>
          <w:sz w:val="28"/>
          <w:szCs w:val="28"/>
        </w:rPr>
        <w:t>日</w:t>
      </w:r>
      <w:r>
        <w:rPr>
          <w:rFonts w:hint="eastAsia" w:ascii="仿宋_GB2312" w:hAnsi="仿宋_GB2312" w:eastAsia="仿宋_GB2312" w:cs="仿宋_GB2312"/>
          <w:color w:val="auto"/>
          <w:sz w:val="28"/>
          <w:szCs w:val="28"/>
        </w:rPr>
        <w:t>，每天上午08:00至12:00，下午12:00至21:00（北京时间，法定节假日除外）</w:t>
      </w:r>
    </w:p>
    <w:p w14:paraId="293DA0A8">
      <w:pPr>
        <w:spacing w:line="480" w:lineRule="exact"/>
        <w:ind w:right="-21" w:rightChars="-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地点（网址）：广西政府采购云平台（https://www.gcy.zfcg.gxzf.gov.cn/）</w:t>
      </w:r>
    </w:p>
    <w:p w14:paraId="20F4560E">
      <w:pPr>
        <w:spacing w:line="480" w:lineRule="exact"/>
        <w:ind w:right="-21" w:rightChars="-10" w:firstLine="560" w:firstLineChars="200"/>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方式：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0DCE931A">
      <w:pPr>
        <w:spacing w:line="480" w:lineRule="exact"/>
        <w:ind w:right="-21" w:rightChars="-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售价（元）：0</w:t>
      </w:r>
    </w:p>
    <w:p w14:paraId="6D1FB0CC">
      <w:pPr>
        <w:pStyle w:val="4"/>
        <w:spacing w:line="400" w:lineRule="exact"/>
        <w:ind w:right="-21" w:rightChars="-10" w:firstLine="562" w:firstLineChars="200"/>
        <w:jc w:val="both"/>
        <w:rPr>
          <w:rFonts w:hint="eastAsia" w:ascii="黑体" w:hAnsi="黑体" w:eastAsia="黑体" w:cs="黑体"/>
          <w:bCs/>
          <w:color w:val="auto"/>
          <w:sz w:val="28"/>
          <w:szCs w:val="28"/>
        </w:rPr>
      </w:pPr>
      <w:bookmarkStart w:id="7" w:name="_Toc28359082"/>
      <w:bookmarkStart w:id="8" w:name="_Toc28359005"/>
      <w:bookmarkStart w:id="9" w:name="_Toc35393793"/>
      <w:bookmarkStart w:id="10" w:name="_Toc35393624"/>
      <w:r>
        <w:rPr>
          <w:rFonts w:hint="eastAsia" w:ascii="黑体" w:hAnsi="黑体" w:eastAsia="黑体" w:cs="黑体"/>
          <w:bCs/>
          <w:color w:val="auto"/>
          <w:sz w:val="28"/>
          <w:szCs w:val="28"/>
        </w:rPr>
        <w:t>四、</w:t>
      </w:r>
      <w:bookmarkEnd w:id="7"/>
      <w:bookmarkEnd w:id="8"/>
      <w:bookmarkEnd w:id="9"/>
      <w:bookmarkEnd w:id="10"/>
      <w:r>
        <w:rPr>
          <w:rFonts w:hint="eastAsia" w:ascii="黑体" w:hAnsi="黑体" w:eastAsia="黑体" w:cs="黑体"/>
          <w:bCs/>
          <w:color w:val="auto"/>
          <w:sz w:val="28"/>
          <w:szCs w:val="28"/>
        </w:rPr>
        <w:t>提交投标文件截止时间、开标时间和地点</w:t>
      </w:r>
    </w:p>
    <w:p w14:paraId="485E9D73">
      <w:pPr>
        <w:spacing w:line="400" w:lineRule="exact"/>
        <w:ind w:right="-21" w:rightChars="-10" w:firstLine="560" w:firstLineChars="200"/>
        <w:rPr>
          <w:rFonts w:hint="eastAsia" w:ascii="仿宋" w:hAnsi="仿宋" w:eastAsia="仿宋"/>
          <w:bCs/>
          <w:color w:val="auto"/>
          <w:sz w:val="28"/>
          <w:szCs w:val="28"/>
          <w:u w:val="single"/>
        </w:rPr>
      </w:pPr>
      <w:r>
        <w:rPr>
          <w:rFonts w:hint="eastAsia" w:ascii="仿宋_GB2312" w:hAnsi="仿宋_GB2312" w:eastAsia="仿宋_GB2312" w:cs="仿宋_GB2312"/>
          <w:color w:val="auto"/>
          <w:sz w:val="28"/>
          <w:szCs w:val="28"/>
        </w:rPr>
        <w:t>提交投标文件截止时间：</w:t>
      </w:r>
      <w:r>
        <w:rPr>
          <w:rFonts w:ascii="仿宋_GB2312" w:hAnsi="仿宋_GB2312" w:eastAsia="仿宋_GB2312" w:cs="仿宋_GB2312"/>
          <w:bCs/>
          <w:color w:val="auto"/>
          <w:sz w:val="28"/>
          <w:szCs w:val="28"/>
        </w:rPr>
        <w:t>2025年</w:t>
      </w:r>
      <w:r>
        <w:rPr>
          <w:rFonts w:hint="eastAsia" w:ascii="仿宋_GB2312" w:hAnsi="仿宋_GB2312" w:eastAsia="仿宋_GB2312" w:cs="仿宋_GB2312"/>
          <w:bCs/>
          <w:color w:val="auto"/>
          <w:sz w:val="28"/>
          <w:szCs w:val="28"/>
          <w:lang w:val="en-US" w:eastAsia="zh-CN"/>
        </w:rPr>
        <w:t>XX</w:t>
      </w:r>
      <w:r>
        <w:rPr>
          <w:rFonts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val="en-US" w:eastAsia="zh-CN"/>
        </w:rPr>
        <w:t>XX</w:t>
      </w:r>
      <w:r>
        <w:rPr>
          <w:rFonts w:ascii="仿宋_GB2312" w:hAnsi="仿宋_GB2312" w:eastAsia="仿宋_GB2312" w:cs="仿宋_GB2312"/>
          <w:bCs/>
          <w:color w:val="auto"/>
          <w:sz w:val="28"/>
          <w:szCs w:val="28"/>
        </w:rPr>
        <w:t>日 09:20</w:t>
      </w:r>
      <w:r>
        <w:rPr>
          <w:rFonts w:hint="eastAsia" w:ascii="仿宋_GB2312" w:eastAsia="仿宋_GB2312"/>
          <w:color w:val="auto"/>
          <w:sz w:val="28"/>
          <w:szCs w:val="28"/>
        </w:rPr>
        <w:t>（北京时间）</w:t>
      </w:r>
    </w:p>
    <w:p w14:paraId="6A92961D">
      <w:pPr>
        <w:spacing w:line="480" w:lineRule="exact"/>
        <w:ind w:right="-21" w:rightChars="-10"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投标地点（网址）：广西政府采购云平台（https://www.gcy.zfcg.gxzf.gov.cn/）</w:t>
      </w:r>
      <w:r>
        <w:rPr>
          <w:rFonts w:ascii="仿宋" w:hAnsi="仿宋" w:eastAsia="仿宋" w:cs="仿宋"/>
          <w:color w:val="auto"/>
          <w:sz w:val="27"/>
          <w:szCs w:val="27"/>
        </w:rPr>
        <w:t>（</w:t>
      </w:r>
      <w:r>
        <w:rPr>
          <w:rFonts w:hint="eastAsia" w:ascii="仿宋_GB2312" w:hAnsi="仿宋_GB2312" w:eastAsia="仿宋_GB2312" w:cs="仿宋_GB2312"/>
          <w:bCs/>
          <w:color w:val="auto"/>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color w:val="auto"/>
          <w:sz w:val="28"/>
          <w:szCs w:val="28"/>
        </w:rPr>
        <w:t>未按规定编制并加密的电子投标文件，</w:t>
      </w:r>
      <w:r>
        <w:rPr>
          <w:rFonts w:hint="eastAsia" w:ascii="仿宋_GB2312" w:hAnsi="仿宋_GB2312" w:eastAsia="仿宋_GB2312" w:cs="仿宋_GB2312"/>
          <w:bCs/>
          <w:color w:val="auto"/>
          <w:sz w:val="28"/>
          <w:szCs w:val="28"/>
        </w:rPr>
        <w:t>将被广西政府采购云平台拒收。</w:t>
      </w:r>
      <w:r>
        <w:rPr>
          <w:rFonts w:ascii="仿宋" w:hAnsi="仿宋" w:eastAsia="仿宋" w:cs="仿宋"/>
          <w:color w:val="auto"/>
          <w:sz w:val="27"/>
          <w:szCs w:val="27"/>
        </w:rPr>
        <w:t>）</w:t>
      </w:r>
    </w:p>
    <w:p w14:paraId="12FE2A4E">
      <w:pPr>
        <w:spacing w:line="480" w:lineRule="exact"/>
        <w:ind w:right="-21" w:rightChars="-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开标时间：</w:t>
      </w:r>
      <w:r>
        <w:rPr>
          <w:rFonts w:ascii="仿宋_GB2312" w:eastAsia="仿宋_GB2312"/>
          <w:bCs/>
          <w:color w:val="auto"/>
          <w:sz w:val="28"/>
          <w:szCs w:val="28"/>
        </w:rPr>
        <w:t>2025年</w:t>
      </w:r>
      <w:r>
        <w:rPr>
          <w:rFonts w:hint="eastAsia" w:ascii="仿宋_GB2312" w:eastAsia="仿宋_GB2312"/>
          <w:bCs/>
          <w:color w:val="auto"/>
          <w:sz w:val="28"/>
          <w:szCs w:val="28"/>
          <w:lang w:val="en-US" w:eastAsia="zh-CN"/>
        </w:rPr>
        <w:t>XX</w:t>
      </w:r>
      <w:r>
        <w:rPr>
          <w:rFonts w:ascii="仿宋_GB2312" w:eastAsia="仿宋_GB2312"/>
          <w:bCs/>
          <w:color w:val="auto"/>
          <w:sz w:val="28"/>
          <w:szCs w:val="28"/>
        </w:rPr>
        <w:t>月</w:t>
      </w:r>
      <w:r>
        <w:rPr>
          <w:rFonts w:hint="eastAsia" w:ascii="仿宋_GB2312" w:eastAsia="仿宋_GB2312"/>
          <w:bCs/>
          <w:color w:val="auto"/>
          <w:sz w:val="28"/>
          <w:szCs w:val="28"/>
          <w:lang w:val="en-US" w:eastAsia="zh-CN"/>
        </w:rPr>
        <w:t>XX</w:t>
      </w:r>
      <w:r>
        <w:rPr>
          <w:rFonts w:ascii="仿宋_GB2312" w:eastAsia="仿宋_GB2312"/>
          <w:bCs/>
          <w:color w:val="auto"/>
          <w:sz w:val="28"/>
          <w:szCs w:val="28"/>
        </w:rPr>
        <w:t>日 09:20</w:t>
      </w:r>
    </w:p>
    <w:p w14:paraId="40D027BB">
      <w:pPr>
        <w:spacing w:line="480" w:lineRule="exact"/>
        <w:ind w:right="-21" w:rightChars="-10"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 开标地点：广西政府采购云平台（https://www.gcy.zfcg.gxzf.gov.cn/）</w:t>
      </w:r>
    </w:p>
    <w:p w14:paraId="6108751E">
      <w:pPr>
        <w:pStyle w:val="4"/>
        <w:spacing w:line="400" w:lineRule="exact"/>
        <w:ind w:right="-21" w:rightChars="-10" w:firstLine="562" w:firstLineChars="200"/>
        <w:jc w:val="both"/>
        <w:rPr>
          <w:rFonts w:hint="eastAsia" w:ascii="黑体" w:hAnsi="黑体" w:eastAsia="黑体" w:cs="黑体"/>
          <w:bCs/>
          <w:color w:val="auto"/>
          <w:sz w:val="28"/>
          <w:szCs w:val="28"/>
        </w:rPr>
      </w:pPr>
      <w:bookmarkStart w:id="11" w:name="_Toc28359007"/>
      <w:bookmarkStart w:id="12" w:name="_Toc35393625"/>
      <w:bookmarkStart w:id="13" w:name="_Toc28359084"/>
      <w:bookmarkStart w:id="14" w:name="_Toc35393794"/>
      <w:r>
        <w:rPr>
          <w:rFonts w:hint="eastAsia" w:ascii="黑体" w:hAnsi="黑体" w:eastAsia="黑体" w:cs="黑体"/>
          <w:bCs/>
          <w:color w:val="auto"/>
          <w:sz w:val="28"/>
          <w:szCs w:val="28"/>
        </w:rPr>
        <w:t>五、公告期限</w:t>
      </w:r>
      <w:bookmarkEnd w:id="11"/>
      <w:bookmarkEnd w:id="12"/>
      <w:bookmarkEnd w:id="13"/>
      <w:bookmarkEnd w:id="14"/>
    </w:p>
    <w:p w14:paraId="1C54D237">
      <w:pPr>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自本公告发布之日起5个工作日。</w:t>
      </w:r>
    </w:p>
    <w:p w14:paraId="4D9E5423">
      <w:pPr>
        <w:pStyle w:val="4"/>
        <w:spacing w:line="400" w:lineRule="exact"/>
        <w:ind w:right="-21" w:rightChars="-10" w:firstLine="562" w:firstLineChars="200"/>
        <w:jc w:val="both"/>
        <w:rPr>
          <w:rFonts w:hint="eastAsia" w:ascii="仿宋_GB2312" w:hAnsi="仿宋_GB2312" w:eastAsia="仿宋_GB2312" w:cs="仿宋_GB2312"/>
          <w:bCs/>
          <w:color w:val="auto"/>
          <w:sz w:val="28"/>
          <w:szCs w:val="28"/>
        </w:rPr>
      </w:pPr>
      <w:bookmarkStart w:id="15" w:name="_Toc35393795"/>
      <w:bookmarkStart w:id="16" w:name="_Toc35393626"/>
      <w:r>
        <w:rPr>
          <w:rFonts w:hint="eastAsia" w:ascii="黑体" w:hAnsi="黑体" w:eastAsia="黑体" w:cs="黑体"/>
          <w:bCs/>
          <w:color w:val="auto"/>
          <w:sz w:val="28"/>
          <w:szCs w:val="28"/>
        </w:rPr>
        <w:t>六、其他补充事宜</w:t>
      </w:r>
      <w:bookmarkEnd w:id="15"/>
      <w:bookmarkEnd w:id="16"/>
    </w:p>
    <w:p w14:paraId="37B02043">
      <w:pPr>
        <w:pStyle w:val="128"/>
        <w:spacing w:line="400" w:lineRule="exact"/>
        <w:ind w:right="-21" w:rightChars="-10"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（一）投标保证金：</w:t>
      </w:r>
      <w:r>
        <w:rPr>
          <w:rFonts w:hint="eastAsia" w:ascii="仿宋_GB2312" w:hAnsi="仿宋_GB2312" w:eastAsia="仿宋_GB2312" w:cs="仿宋_GB2312"/>
          <w:color w:val="auto"/>
          <w:sz w:val="28"/>
          <w:szCs w:val="28"/>
        </w:rPr>
        <w:t>本项目无需提交投标保证金。</w:t>
      </w:r>
    </w:p>
    <w:p w14:paraId="05B71614">
      <w:pPr>
        <w:pStyle w:val="128"/>
        <w:spacing w:line="420" w:lineRule="exact"/>
        <w:ind w:firstLine="562"/>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（二）发布媒体：</w:t>
      </w:r>
      <w:r>
        <w:rPr>
          <w:rFonts w:hint="eastAsia" w:ascii="仿宋_GB2312" w:hAnsi="仿宋_GB2312" w:eastAsia="仿宋_GB2312" w:cs="仿宋_GB2312"/>
          <w:color w:val="auto"/>
          <w:sz w:val="28"/>
          <w:szCs w:val="28"/>
        </w:rPr>
        <w:t>中国政府采购网（www.ccgp.gov.cn）、广西壮族自治区政府采购网（zfcg.gxzf.gov.cn）、柳州市政府采购网（zfcg.lzscz.liuzhou.gov.cn）。</w:t>
      </w:r>
    </w:p>
    <w:p w14:paraId="6181CEAD">
      <w:pPr>
        <w:pStyle w:val="128"/>
        <w:spacing w:line="420" w:lineRule="exact"/>
        <w:ind w:firstLine="560"/>
        <w:rPr>
          <w:rFonts w:hint="eastAsia" w:ascii="仿宋_GB2312" w:hAnsi="仿宋_GB2312" w:eastAsia="仿宋_GB2312" w:cs="仿宋_GB2312"/>
          <w:color w:val="auto"/>
          <w:sz w:val="28"/>
          <w:szCs w:val="28"/>
        </w:rPr>
      </w:pPr>
      <w:bookmarkStart w:id="17" w:name="_Hlk93681467"/>
      <w:r>
        <w:rPr>
          <w:rFonts w:hint="eastAsia" w:ascii="仿宋_GB2312" w:hAnsi="仿宋_GB2312" w:eastAsia="仿宋_GB2312" w:cs="仿宋_GB2312"/>
          <w:color w:val="auto"/>
          <w:sz w:val="28"/>
          <w:szCs w:val="28"/>
        </w:rPr>
        <w:t>（三）</w:t>
      </w:r>
      <w:r>
        <w:rPr>
          <w:rFonts w:ascii="仿宋_GB2312" w:hAnsi="仿宋_GB2312" w:eastAsia="仿宋_GB2312" w:cs="仿宋_GB2312"/>
          <w:color w:val="auto"/>
          <w:sz w:val="28"/>
          <w:szCs w:val="28"/>
        </w:rPr>
        <w:t>本项目需要落实的政府采购政策：</w:t>
      </w:r>
      <w:r>
        <w:rPr>
          <w:rFonts w:hint="eastAsia" w:ascii="仿宋_GB2312" w:hAnsi="仿宋_GB2312" w:eastAsia="仿宋_GB2312" w:cs="仿宋_GB2312"/>
          <w:color w:val="auto"/>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17"/>
    <w:p w14:paraId="4D1BCE9E">
      <w:pPr>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（四）对在“信用中国”网站(www.creditchina.gov.cn)、中国政府采购网(www.ccgp.gov.cn)等渠道列入失信被执行人、重大税收违法案件当事人名单、政府采购严重违法失信行为记录名单的投标人，不得参与政府采购活动。</w:t>
      </w:r>
    </w:p>
    <w:p w14:paraId="4454989D">
      <w:pPr>
        <w:spacing w:line="420" w:lineRule="exact"/>
        <w:ind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090913C3">
      <w:pPr>
        <w:spacing w:line="42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（六）投标人参与电子投标特别说明</w:t>
      </w:r>
    </w:p>
    <w:p w14:paraId="77F87E6F">
      <w:pPr>
        <w:pStyle w:val="128"/>
        <w:spacing w:line="42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1.本项目通过广西政府采购云平台实行电子投标，投标人应按照本项目公开招标文件和广西政府采购云平台的要求，通过“广西政府采购云平台客户端”编制、加密并提交电子投标文件。</w:t>
      </w:r>
    </w:p>
    <w:p w14:paraId="4CE70A6F">
      <w:pPr>
        <w:pStyle w:val="128"/>
        <w:wordWrap w:val="0"/>
        <w:spacing w:line="42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2.参与电子标的投标人必须为广西政府采购云平台的正式供应商且申领CA证书，</w:t>
      </w:r>
      <w:r>
        <w:rPr>
          <w:rFonts w:hint="eastAsia" w:ascii="仿宋_GB2312" w:hAnsi="仿宋_GB2312" w:eastAsia="仿宋_GB2312" w:cs="仿宋_GB2312"/>
          <w:b/>
          <w:bCs/>
          <w:color w:val="auto"/>
          <w:sz w:val="28"/>
          <w:szCs w:val="28"/>
        </w:rPr>
        <w:t>各投标人应在开标前及时完成</w:t>
      </w:r>
      <w:r>
        <w:rPr>
          <w:rFonts w:hint="eastAsia" w:ascii="仿宋_GB2312" w:hAnsi="仿宋_GB2312" w:eastAsia="仿宋_GB2312" w:cs="仿宋_GB2312"/>
          <w:color w:val="auto"/>
          <w:sz w:val="28"/>
          <w:szCs w:val="28"/>
        </w:rPr>
        <w:t>平台注册、CA证书申领、CA证书绑定、下载投标客户端，熟悉并掌握广西政府采购云平台电子标系统操作。</w:t>
      </w:r>
    </w:p>
    <w:p w14:paraId="6A290592">
      <w:pPr>
        <w:pStyle w:val="128"/>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1</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投标人应及时熟悉掌握电子标系统操作指南（见广西政府采购云平台电子卖场首页—服务中心—帮助中心—项目采购）</w:t>
      </w:r>
    </w:p>
    <w:p w14:paraId="41419D49">
      <w:pPr>
        <w:pStyle w:val="128"/>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投标人</w:t>
      </w:r>
      <w:r>
        <w:rPr>
          <w:rFonts w:ascii="仿宋_GB2312" w:hAnsi="仿宋_GB2312" w:eastAsia="仿宋_GB2312" w:cs="仿宋_GB2312"/>
          <w:color w:val="auto"/>
          <w:sz w:val="28"/>
          <w:szCs w:val="28"/>
        </w:rPr>
        <w:t>应及时完成CA申领和绑定（见广西壮族自治区政府采购网—办事服务—下载专区-政采云CA证书办理操作指南）</w:t>
      </w:r>
      <w:r>
        <w:rPr>
          <w:rFonts w:hint="eastAsia" w:ascii="仿宋_GB2312" w:hAnsi="仿宋_GB2312" w:eastAsia="仿宋_GB2312" w:cs="仿宋_GB2312"/>
          <w:color w:val="auto"/>
          <w:sz w:val="28"/>
          <w:szCs w:val="28"/>
        </w:rPr>
        <w:t>：</w:t>
      </w:r>
    </w:p>
    <w:p w14:paraId="49C21FC1">
      <w:pPr>
        <w:pStyle w:val="128"/>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http://www.ccgp-guangxi.gov.cn/luban/detail?parentId=66479&amp;articleId=giG2hxujOLVnOuVjZr6wgQ</w:t>
      </w:r>
    </w:p>
    <w:p w14:paraId="70889BC5">
      <w:pPr>
        <w:pStyle w:val="128"/>
        <w:wordWrap w:val="0"/>
        <w:spacing w:line="420" w:lineRule="exact"/>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3</w:t>
      </w:r>
      <w:r>
        <w:rPr>
          <w:rFonts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各投标人通过新平台参与政府采购项目投标需下载使用新版客户端，广西政府采购云平台客户端</w:t>
      </w:r>
      <w:r>
        <w:rPr>
          <w:rFonts w:hint="eastAsia" w:ascii="仿宋_GB2312" w:hAnsi="仿宋_GB2312" w:eastAsia="仿宋_GB2312" w:cs="仿宋_GB2312"/>
          <w:color w:val="auto"/>
          <w:sz w:val="28"/>
          <w:szCs w:val="28"/>
        </w:rPr>
        <w:t>软件请投标人自行前往下载并安装：</w:t>
      </w:r>
    </w:p>
    <w:p w14:paraId="38B9B0A3">
      <w:pPr>
        <w:pStyle w:val="128"/>
        <w:wordWrap w:val="0"/>
        <w:spacing w:line="420" w:lineRule="exact"/>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http://www.ccgp-guangxi.gov.cn/site/detail?parentId=66479&amp;articleId=+06E5n62B1RzrGh0ew1OFg==&amp;utm=site.site-PC-38919.1024-pc-wsg-secondLevelPage-front.1.5057b2c0cef811ee9fd599f289f082d5</w:t>
      </w:r>
    </w:p>
    <w:p w14:paraId="042DF9CE">
      <w:pPr>
        <w:spacing w:line="42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bCs/>
          <w:color w:val="auto"/>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3C42AAAD">
      <w:pPr>
        <w:pStyle w:val="128"/>
        <w:spacing w:line="420" w:lineRule="exact"/>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4.因未注册广西政府采购云平台、未办理CA证书、CA证书故障、操作不当等原因造成无法投标或投标失败等后果由投标人自行承担；</w:t>
      </w:r>
    </w:p>
    <w:p w14:paraId="78D3A50F">
      <w:pPr>
        <w:pStyle w:val="128"/>
        <w:spacing w:line="420" w:lineRule="exact"/>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color w:val="auto"/>
          <w:sz w:val="28"/>
          <w:szCs w:val="28"/>
        </w:rPr>
        <w:t>95763</w:t>
      </w:r>
      <w:r>
        <w:rPr>
          <w:rFonts w:hint="eastAsia" w:ascii="仿宋_GB2312" w:hAnsi="仿宋_GB2312" w:eastAsia="仿宋_GB2312" w:cs="仿宋_GB2312"/>
          <w:b/>
          <w:bCs/>
          <w:color w:val="auto"/>
          <w:sz w:val="28"/>
          <w:szCs w:val="28"/>
        </w:rPr>
        <w:t>。</w:t>
      </w:r>
    </w:p>
    <w:p w14:paraId="5FFBE598">
      <w:pPr>
        <w:pStyle w:val="4"/>
        <w:spacing w:line="400" w:lineRule="exact"/>
        <w:ind w:right="-21" w:rightChars="-10" w:firstLine="562" w:firstLineChars="200"/>
        <w:jc w:val="both"/>
        <w:rPr>
          <w:rFonts w:hint="eastAsia" w:ascii="黑体" w:hAnsi="黑体" w:eastAsia="黑体" w:cs="黑体"/>
          <w:b w:val="0"/>
          <w:color w:val="auto"/>
          <w:sz w:val="28"/>
          <w:szCs w:val="28"/>
        </w:rPr>
      </w:pPr>
      <w:bookmarkStart w:id="18" w:name="_Toc28359008"/>
      <w:bookmarkStart w:id="19" w:name="_Toc35393627"/>
      <w:bookmarkStart w:id="20" w:name="_Toc35393796"/>
      <w:bookmarkStart w:id="21" w:name="_Toc28359085"/>
      <w:bookmarkStart w:id="22" w:name="_Hlk50569036"/>
      <w:r>
        <w:rPr>
          <w:rFonts w:hint="eastAsia" w:ascii="黑体" w:hAnsi="黑体" w:eastAsia="黑体" w:cs="黑体"/>
          <w:bCs/>
          <w:color w:val="auto"/>
          <w:sz w:val="28"/>
          <w:szCs w:val="28"/>
        </w:rPr>
        <w:t>七、对本次招标提出询问，请按以下方式联系</w:t>
      </w:r>
      <w:bookmarkEnd w:id="18"/>
      <w:bookmarkEnd w:id="19"/>
      <w:bookmarkEnd w:id="20"/>
      <w:bookmarkEnd w:id="21"/>
    </w:p>
    <w:p w14:paraId="1E4323B1">
      <w:pPr>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1.采购人信息</w:t>
      </w:r>
    </w:p>
    <w:p w14:paraId="6E79C5B6">
      <w:pPr>
        <w:tabs>
          <w:tab w:val="left" w:pos="851"/>
        </w:tabs>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名 称：</w:t>
      </w:r>
      <w:r>
        <w:rPr>
          <w:rFonts w:ascii="仿宋_GB2312" w:eastAsia="仿宋_GB2312"/>
          <w:color w:val="auto"/>
          <w:sz w:val="28"/>
          <w:szCs w:val="28"/>
        </w:rPr>
        <w:t>柳州市教学设备供应站</w:t>
      </w:r>
    </w:p>
    <w:p w14:paraId="56FF20A0">
      <w:pPr>
        <w:spacing w:line="400" w:lineRule="exact"/>
        <w:ind w:right="-21" w:rightChars="-10" w:firstLine="555"/>
        <w:rPr>
          <w:rFonts w:ascii="仿宋_GB2312" w:eastAsia="仿宋_GB2312"/>
          <w:color w:val="auto"/>
          <w:sz w:val="28"/>
          <w:szCs w:val="28"/>
        </w:rPr>
      </w:pPr>
      <w:r>
        <w:rPr>
          <w:rFonts w:hint="eastAsia" w:ascii="仿宋_GB2312" w:eastAsia="仿宋_GB2312"/>
          <w:color w:val="auto"/>
          <w:sz w:val="28"/>
          <w:szCs w:val="28"/>
        </w:rPr>
        <w:t>地</w:t>
      </w:r>
      <w:r>
        <w:rPr>
          <w:rFonts w:ascii="仿宋_GB2312" w:eastAsia="仿宋_GB2312"/>
          <w:color w:val="auto"/>
          <w:sz w:val="28"/>
          <w:szCs w:val="28"/>
        </w:rPr>
        <w:t xml:space="preserve"> </w:t>
      </w:r>
      <w:r>
        <w:rPr>
          <w:rFonts w:hint="eastAsia" w:ascii="仿宋_GB2312" w:eastAsia="仿宋_GB2312"/>
          <w:color w:val="auto"/>
          <w:sz w:val="28"/>
          <w:szCs w:val="28"/>
        </w:rPr>
        <w:t>址：</w:t>
      </w:r>
      <w:r>
        <w:rPr>
          <w:rFonts w:ascii="仿宋_GB2312" w:eastAsia="仿宋_GB2312"/>
          <w:color w:val="auto"/>
          <w:sz w:val="28"/>
          <w:szCs w:val="28"/>
        </w:rPr>
        <w:t>广西柳州市鱼峰区新柳大道91号启元广场A座</w:t>
      </w:r>
    </w:p>
    <w:p w14:paraId="22854D12">
      <w:pPr>
        <w:spacing w:line="400" w:lineRule="exact"/>
        <w:ind w:right="-21" w:rightChars="-10" w:firstLine="555"/>
        <w:rPr>
          <w:rFonts w:ascii="仿宋_GB2312" w:eastAsia="仿宋_GB2312"/>
          <w:color w:val="auto"/>
          <w:sz w:val="28"/>
          <w:szCs w:val="28"/>
        </w:rPr>
      </w:pPr>
      <w:r>
        <w:rPr>
          <w:rFonts w:hint="eastAsia" w:ascii="仿宋_GB2312" w:eastAsia="仿宋_GB2312"/>
          <w:color w:val="auto"/>
          <w:sz w:val="28"/>
          <w:szCs w:val="28"/>
        </w:rPr>
        <w:t>项目联系人：</w:t>
      </w:r>
      <w:r>
        <w:rPr>
          <w:rFonts w:ascii="仿宋_GB2312" w:eastAsia="仿宋_GB2312"/>
          <w:color w:val="auto"/>
          <w:sz w:val="28"/>
          <w:szCs w:val="28"/>
        </w:rPr>
        <w:t>莫桂玲</w:t>
      </w:r>
    </w:p>
    <w:p w14:paraId="4BBB54A2">
      <w:pPr>
        <w:spacing w:line="400" w:lineRule="exact"/>
        <w:ind w:right="-21" w:rightChars="-10"/>
        <w:rPr>
          <w:rFonts w:hint="default" w:ascii="仿宋_GB2312" w:eastAsia="仿宋_GB2312"/>
          <w:color w:val="auto"/>
          <w:sz w:val="28"/>
          <w:szCs w:val="28"/>
          <w:lang w:val="en-US"/>
        </w:rPr>
      </w:pPr>
      <w:r>
        <w:rPr>
          <w:rFonts w:hint="eastAsia" w:ascii="仿宋_GB2312" w:eastAsia="仿宋_GB2312"/>
          <w:color w:val="auto"/>
          <w:sz w:val="28"/>
          <w:szCs w:val="28"/>
        </w:rPr>
        <w:t xml:space="preserve">    项目联系方式：</w:t>
      </w:r>
      <w:r>
        <w:rPr>
          <w:rFonts w:ascii="仿宋_GB2312" w:eastAsia="仿宋_GB2312"/>
          <w:color w:val="auto"/>
          <w:sz w:val="28"/>
          <w:szCs w:val="28"/>
        </w:rPr>
        <w:t>0772-</w:t>
      </w:r>
      <w:r>
        <w:rPr>
          <w:rFonts w:hint="eastAsia" w:ascii="仿宋_GB2312" w:eastAsia="仿宋_GB2312"/>
          <w:color w:val="auto"/>
          <w:sz w:val="28"/>
          <w:szCs w:val="28"/>
          <w:lang w:val="en-US" w:eastAsia="zh-CN"/>
        </w:rPr>
        <w:t>2610557</w:t>
      </w:r>
    </w:p>
    <w:p w14:paraId="409267A2">
      <w:pPr>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2.采购代理机构信息</w:t>
      </w:r>
    </w:p>
    <w:p w14:paraId="0F01ED72">
      <w:pPr>
        <w:tabs>
          <w:tab w:val="left" w:pos="851"/>
        </w:tabs>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名 称：柳州市政府集中采购中心</w:t>
      </w:r>
    </w:p>
    <w:p w14:paraId="5A691A6C">
      <w:pPr>
        <w:spacing w:line="400" w:lineRule="exact"/>
        <w:ind w:left="2100" w:right="-21" w:rightChars="-10" w:hanging="2100" w:hangingChars="750"/>
        <w:rPr>
          <w:rFonts w:ascii="仿宋_GB2312" w:eastAsia="仿宋_GB2312"/>
          <w:color w:val="auto"/>
          <w:sz w:val="28"/>
          <w:szCs w:val="28"/>
        </w:rPr>
      </w:pPr>
      <w:r>
        <w:rPr>
          <w:rFonts w:hint="eastAsia" w:ascii="仿宋_GB2312" w:eastAsia="仿宋_GB2312"/>
          <w:color w:val="auto"/>
          <w:sz w:val="28"/>
          <w:szCs w:val="28"/>
        </w:rPr>
        <w:t xml:space="preserve">    地 址：广西</w:t>
      </w:r>
      <w:r>
        <w:rPr>
          <w:rFonts w:ascii="仿宋_GB2312" w:eastAsia="仿宋_GB2312"/>
          <w:color w:val="auto"/>
          <w:sz w:val="28"/>
          <w:szCs w:val="28"/>
        </w:rPr>
        <w:t>柳州市三中路6</w:t>
      </w:r>
      <w:r>
        <w:rPr>
          <w:rFonts w:hint="eastAsia" w:ascii="仿宋_GB2312" w:eastAsia="仿宋_GB2312"/>
          <w:color w:val="auto"/>
          <w:sz w:val="28"/>
          <w:szCs w:val="28"/>
        </w:rPr>
        <w:t>4-2</w:t>
      </w:r>
      <w:r>
        <w:rPr>
          <w:rFonts w:ascii="仿宋_GB2312" w:eastAsia="仿宋_GB2312"/>
          <w:color w:val="auto"/>
          <w:sz w:val="28"/>
          <w:szCs w:val="28"/>
        </w:rPr>
        <w:t>号</w:t>
      </w:r>
    </w:p>
    <w:p w14:paraId="16DAE7DC">
      <w:pPr>
        <w:spacing w:line="400" w:lineRule="exact"/>
        <w:ind w:right="-21" w:rightChars="-10" w:firstLine="555"/>
        <w:rPr>
          <w:rFonts w:ascii="仿宋_GB2312" w:eastAsia="仿宋_GB2312"/>
          <w:color w:val="auto"/>
          <w:sz w:val="28"/>
          <w:szCs w:val="28"/>
        </w:rPr>
      </w:pPr>
      <w:r>
        <w:rPr>
          <w:rFonts w:hint="eastAsia" w:ascii="仿宋_GB2312" w:eastAsia="仿宋_GB2312"/>
          <w:color w:val="auto"/>
          <w:sz w:val="28"/>
          <w:szCs w:val="28"/>
        </w:rPr>
        <w:t>项目联系人：</w:t>
      </w:r>
      <w:r>
        <w:rPr>
          <w:rFonts w:ascii="仿宋_GB2312" w:eastAsia="仿宋_GB2312"/>
          <w:color w:val="auto"/>
          <w:sz w:val="28"/>
          <w:szCs w:val="28"/>
        </w:rPr>
        <w:t>余茜</w:t>
      </w:r>
    </w:p>
    <w:p w14:paraId="3FBBA0C8">
      <w:pPr>
        <w:spacing w:line="400" w:lineRule="exact"/>
        <w:ind w:right="-21" w:rightChars="-10"/>
        <w:rPr>
          <w:rFonts w:ascii="仿宋_GB2312" w:eastAsia="仿宋_GB2312"/>
          <w:color w:val="auto"/>
          <w:sz w:val="28"/>
          <w:szCs w:val="28"/>
        </w:rPr>
      </w:pPr>
      <w:r>
        <w:rPr>
          <w:rFonts w:hint="eastAsia" w:ascii="仿宋_GB2312" w:eastAsia="仿宋_GB2312"/>
          <w:color w:val="auto"/>
          <w:sz w:val="28"/>
          <w:szCs w:val="28"/>
        </w:rPr>
        <w:t xml:space="preserve">    项目联系方式：</w:t>
      </w:r>
      <w:r>
        <w:rPr>
          <w:rFonts w:ascii="仿宋_GB2312" w:eastAsia="仿宋_GB2312"/>
          <w:color w:val="auto"/>
          <w:sz w:val="28"/>
          <w:szCs w:val="28"/>
        </w:rPr>
        <w:t>0772-2612325</w:t>
      </w:r>
      <w:bookmarkEnd w:id="22"/>
    </w:p>
    <w:p w14:paraId="33EFD97B">
      <w:pPr>
        <w:spacing w:line="400" w:lineRule="exact"/>
        <w:ind w:right="560"/>
        <w:rPr>
          <w:rFonts w:ascii="仿宋_GB2312" w:eastAsia="仿宋_GB2312"/>
          <w:color w:val="auto"/>
          <w:sz w:val="28"/>
          <w:szCs w:val="28"/>
        </w:rPr>
        <w:sectPr>
          <w:footerReference r:id="rId7" w:type="default"/>
          <w:pgSz w:w="11906" w:h="16838"/>
          <w:pgMar w:top="1440" w:right="991" w:bottom="1440" w:left="1440" w:header="851" w:footer="992" w:gutter="0"/>
          <w:pgNumType w:start="1"/>
          <w:cols w:space="720" w:num="1"/>
          <w:docGrid w:linePitch="312" w:charSpace="0"/>
        </w:sectPr>
      </w:pPr>
    </w:p>
    <w:p w14:paraId="20930231">
      <w:pPr>
        <w:pStyle w:val="3"/>
        <w:spacing w:line="276" w:lineRule="auto"/>
        <w:jc w:val="center"/>
        <w:rPr>
          <w:rFonts w:hint="eastAsia" w:ascii="宋体" w:hAnsi="宋体"/>
          <w:color w:val="auto"/>
          <w:sz w:val="32"/>
          <w:szCs w:val="32"/>
        </w:rPr>
      </w:pPr>
      <w:bookmarkStart w:id="23" w:name="_Toc13541"/>
      <w:r>
        <w:rPr>
          <w:rFonts w:hint="eastAsia" w:ascii="宋体" w:hAnsi="宋体"/>
          <w:color w:val="auto"/>
          <w:sz w:val="32"/>
          <w:szCs w:val="32"/>
        </w:rPr>
        <w:t>第二章 采购需求</w:t>
      </w:r>
      <w:bookmarkEnd w:id="23"/>
    </w:p>
    <w:p w14:paraId="74E15298">
      <w:pPr>
        <w:spacing w:line="276" w:lineRule="auto"/>
        <w:ind w:right="-330" w:rightChars="-157"/>
        <w:rPr>
          <w:rFonts w:ascii="仿宋_GB2312" w:eastAsia="仿宋_GB2312"/>
          <w:b/>
          <w:bCs/>
          <w:color w:val="auto"/>
          <w:sz w:val="24"/>
        </w:rPr>
      </w:pPr>
      <w:r>
        <w:rPr>
          <w:rFonts w:hint="eastAsia" w:ascii="仿宋_GB2312" w:eastAsia="仿宋_GB2312"/>
          <w:b/>
          <w:bCs/>
          <w:color w:val="auto"/>
          <w:sz w:val="24"/>
        </w:rPr>
        <w:t>说明：</w:t>
      </w:r>
    </w:p>
    <w:p w14:paraId="6378F6EE">
      <w:pPr>
        <w:spacing w:line="380" w:lineRule="exact"/>
        <w:ind w:right="-330" w:rightChars="-157" w:firstLine="482" w:firstLineChars="200"/>
        <w:rPr>
          <w:rFonts w:ascii="仿宋_GB2312" w:eastAsia="仿宋_GB2312"/>
          <w:b/>
          <w:bCs/>
          <w:color w:val="auto"/>
          <w:sz w:val="24"/>
        </w:rPr>
      </w:pPr>
      <w:bookmarkStart w:id="24" w:name="_Hlk93675025"/>
      <w:r>
        <w:rPr>
          <w:rFonts w:hint="eastAsia" w:ascii="仿宋_GB2312" w:eastAsia="仿宋_GB2312"/>
          <w:b/>
          <w:bCs/>
          <w:color w:val="auto"/>
          <w:sz w:val="24"/>
        </w:rPr>
        <w:t>（一）本一览表中的品牌、型号仅起参考作用，投标人可选用其他品牌型号替代，但这些替代的产品要实质上满足或优于参考品牌、型号及其技术参数性能（配置）要求。</w:t>
      </w:r>
    </w:p>
    <w:p w14:paraId="1094CD28">
      <w:pPr>
        <w:spacing w:line="380" w:lineRule="exact"/>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（二）本一览表中参考品牌、型号及技术参数性能（配置）不明确或有误的，或投标人选用其他品牌型号替代的，请说明品牌型号和详细、正确的技术参数性能（配置）同时填写投标报价明细表和技术响应表。</w:t>
      </w:r>
    </w:p>
    <w:p w14:paraId="13C2B152">
      <w:pPr>
        <w:spacing w:line="380" w:lineRule="exact"/>
        <w:ind w:right="-330" w:rightChars="-157" w:firstLine="482" w:firstLineChars="200"/>
        <w:rPr>
          <w:rFonts w:ascii="仿宋_GB2312" w:eastAsia="仿宋_GB2312"/>
          <w:b/>
          <w:bCs/>
          <w:color w:val="auto"/>
          <w:sz w:val="24"/>
        </w:rPr>
      </w:pPr>
      <w:r>
        <w:rPr>
          <w:rFonts w:ascii="仿宋_GB2312" w:eastAsia="仿宋_GB2312"/>
          <w:b/>
          <w:bCs/>
          <w:color w:val="auto"/>
          <w:sz w:val="24"/>
        </w:rPr>
        <w:t>（三）标记“★”符号的为实质性响应内容，该内容仅限于“第二章 采购需求”，评审时投标人的响应内容发生负偏离一项以上的，视为投标无效。非标记“★”符号的技术参数要求，</w:t>
      </w:r>
      <w:r>
        <w:rPr>
          <w:rFonts w:hint="eastAsia" w:ascii="仿宋_GB2312" w:eastAsia="仿宋_GB2312"/>
          <w:b/>
          <w:bCs/>
          <w:color w:val="auto"/>
          <w:sz w:val="24"/>
          <w:highlight w:val="none"/>
        </w:rPr>
        <w:t>分标</w:t>
      </w:r>
      <w:r>
        <w:rPr>
          <w:rFonts w:ascii="仿宋_GB2312" w:eastAsia="仿宋_GB2312"/>
          <w:b/>
          <w:bCs/>
          <w:color w:val="auto"/>
          <w:sz w:val="24"/>
          <w:highlight w:val="none"/>
        </w:rPr>
        <w:t>一投标人的响应内容发生负偏离</w:t>
      </w:r>
      <w:r>
        <w:rPr>
          <w:rFonts w:hint="eastAsia" w:ascii="仿宋_GB2312" w:eastAsia="仿宋_GB2312"/>
          <w:b/>
          <w:bCs/>
          <w:color w:val="auto"/>
          <w:sz w:val="24"/>
          <w:highlight w:val="none"/>
          <w:lang w:val="en-US" w:eastAsia="zh-CN"/>
        </w:rPr>
        <w:t>五</w:t>
      </w:r>
      <w:r>
        <w:rPr>
          <w:rFonts w:ascii="仿宋_GB2312" w:eastAsia="仿宋_GB2312"/>
          <w:b/>
          <w:bCs/>
          <w:color w:val="auto"/>
          <w:sz w:val="24"/>
          <w:highlight w:val="none"/>
        </w:rPr>
        <w:t>项以上的，</w:t>
      </w:r>
      <w:r>
        <w:rPr>
          <w:rFonts w:hint="eastAsia" w:ascii="仿宋_GB2312" w:eastAsia="仿宋_GB2312"/>
          <w:b/>
          <w:bCs/>
          <w:color w:val="auto"/>
          <w:sz w:val="24"/>
          <w:highlight w:val="none"/>
        </w:rPr>
        <w:t>分标</w:t>
      </w:r>
      <w:r>
        <w:rPr>
          <w:rFonts w:ascii="仿宋_GB2312" w:eastAsia="仿宋_GB2312"/>
          <w:b/>
          <w:bCs/>
          <w:color w:val="auto"/>
          <w:sz w:val="24"/>
          <w:highlight w:val="none"/>
        </w:rPr>
        <w:t>一视为投标无效</w:t>
      </w:r>
      <w:r>
        <w:rPr>
          <w:rFonts w:hint="eastAsia" w:ascii="仿宋_GB2312" w:eastAsia="仿宋_GB2312"/>
          <w:b/>
          <w:bCs/>
          <w:color w:val="auto"/>
          <w:sz w:val="24"/>
          <w:highlight w:val="none"/>
        </w:rPr>
        <w:t>;分标二</w:t>
      </w:r>
      <w:r>
        <w:rPr>
          <w:rFonts w:ascii="仿宋_GB2312" w:eastAsia="仿宋_GB2312"/>
          <w:b/>
          <w:bCs/>
          <w:color w:val="auto"/>
          <w:sz w:val="24"/>
          <w:highlight w:val="none"/>
        </w:rPr>
        <w:t>投标人的响应内容发生负偏离</w:t>
      </w:r>
      <w:r>
        <w:rPr>
          <w:rFonts w:hint="eastAsia" w:ascii="仿宋_GB2312" w:eastAsia="仿宋_GB2312"/>
          <w:b/>
          <w:bCs/>
          <w:color w:val="auto"/>
          <w:sz w:val="24"/>
          <w:highlight w:val="none"/>
          <w:lang w:val="en-US" w:eastAsia="zh-CN"/>
        </w:rPr>
        <w:t>五</w:t>
      </w:r>
      <w:r>
        <w:rPr>
          <w:rFonts w:ascii="仿宋_GB2312" w:eastAsia="仿宋_GB2312"/>
          <w:b/>
          <w:bCs/>
          <w:color w:val="auto"/>
          <w:sz w:val="24"/>
          <w:highlight w:val="none"/>
        </w:rPr>
        <w:t>项以上的，</w:t>
      </w:r>
      <w:r>
        <w:rPr>
          <w:rFonts w:hint="eastAsia" w:ascii="仿宋_GB2312" w:eastAsia="仿宋_GB2312"/>
          <w:b/>
          <w:bCs/>
          <w:color w:val="auto"/>
          <w:sz w:val="24"/>
          <w:highlight w:val="none"/>
        </w:rPr>
        <w:t>分标二</w:t>
      </w:r>
      <w:r>
        <w:rPr>
          <w:rFonts w:ascii="仿宋_GB2312" w:eastAsia="仿宋_GB2312"/>
          <w:b/>
          <w:bCs/>
          <w:color w:val="auto"/>
          <w:sz w:val="24"/>
          <w:highlight w:val="none"/>
        </w:rPr>
        <w:t>视为投标无效</w:t>
      </w:r>
      <w:r>
        <w:rPr>
          <w:rFonts w:hint="eastAsia" w:ascii="仿宋_GB2312" w:eastAsia="仿宋_GB2312"/>
          <w:b/>
          <w:bCs/>
          <w:color w:val="auto"/>
          <w:sz w:val="24"/>
          <w:highlight w:val="none"/>
        </w:rPr>
        <w:t>;分标三</w:t>
      </w:r>
      <w:r>
        <w:rPr>
          <w:rFonts w:ascii="仿宋_GB2312" w:eastAsia="仿宋_GB2312"/>
          <w:b/>
          <w:bCs/>
          <w:color w:val="auto"/>
          <w:sz w:val="24"/>
          <w:highlight w:val="none"/>
        </w:rPr>
        <w:t>投标人的响应内容发生负偏离</w:t>
      </w:r>
      <w:r>
        <w:rPr>
          <w:rFonts w:hint="eastAsia" w:ascii="仿宋_GB2312" w:eastAsia="仿宋_GB2312"/>
          <w:b/>
          <w:bCs/>
          <w:color w:val="auto"/>
          <w:sz w:val="24"/>
          <w:highlight w:val="none"/>
          <w:lang w:val="en-US" w:eastAsia="zh-CN"/>
        </w:rPr>
        <w:t>五</w:t>
      </w:r>
      <w:r>
        <w:rPr>
          <w:rFonts w:ascii="仿宋_GB2312" w:eastAsia="仿宋_GB2312"/>
          <w:b/>
          <w:bCs/>
          <w:color w:val="auto"/>
          <w:sz w:val="24"/>
          <w:highlight w:val="none"/>
        </w:rPr>
        <w:t>项以上的，</w:t>
      </w:r>
      <w:r>
        <w:rPr>
          <w:rFonts w:hint="eastAsia" w:ascii="仿宋_GB2312" w:eastAsia="仿宋_GB2312"/>
          <w:b/>
          <w:bCs/>
          <w:color w:val="auto"/>
          <w:sz w:val="24"/>
          <w:highlight w:val="none"/>
        </w:rPr>
        <w:t>分标三</w:t>
      </w:r>
      <w:r>
        <w:rPr>
          <w:rFonts w:ascii="仿宋_GB2312" w:eastAsia="仿宋_GB2312"/>
          <w:b/>
          <w:bCs/>
          <w:color w:val="auto"/>
          <w:sz w:val="24"/>
          <w:highlight w:val="none"/>
        </w:rPr>
        <w:t>视为投标无效</w:t>
      </w:r>
      <w:r>
        <w:rPr>
          <w:rFonts w:ascii="仿宋_GB2312" w:eastAsia="仿宋_GB2312"/>
          <w:b/>
          <w:bCs/>
          <w:color w:val="auto"/>
          <w:sz w:val="24"/>
        </w:rPr>
        <w:t>。关于“项数”的规定，凡标有最低一级序号的指标项即为一项技术条款，无论是否隶属于上一级编号。</w:t>
      </w:r>
    </w:p>
    <w:p w14:paraId="6C09FC19">
      <w:pPr>
        <w:spacing w:line="380" w:lineRule="exact"/>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77470242">
      <w:pPr>
        <w:spacing w:line="380" w:lineRule="exact"/>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3E7184F">
      <w:pPr>
        <w:spacing w:line="380" w:lineRule="exact"/>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非单一产品采购项目中，多家投标人提供的核心产品品牌相同的，视为提供相同品牌产品，核心产品的名称在招标文件第二章“采购需求”用“▲”标明。</w:t>
      </w:r>
    </w:p>
    <w:p w14:paraId="69B6319D">
      <w:pPr>
        <w:spacing w:line="380" w:lineRule="exact"/>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（六）本项目包括以下设备，根据财办库〔2008〕248号文件有关规定，本项目不允许进口产品参加报价。</w:t>
      </w:r>
    </w:p>
    <w:p w14:paraId="51C4B0C4">
      <w:pPr>
        <w:spacing w:line="380" w:lineRule="exact"/>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14:paraId="70C82643">
      <w:pPr>
        <w:spacing w:line="380" w:lineRule="exact"/>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（八）若采购货物属于</w:t>
      </w:r>
      <w:r>
        <w:rPr>
          <w:color w:val="auto"/>
        </w:rPr>
        <w:fldChar w:fldCharType="begin"/>
      </w:r>
      <w:r>
        <w:rPr>
          <w:color w:val="auto"/>
        </w:rPr>
        <w:instrText xml:space="preserve">HYPERLINK "http://gks.mof.gov.cn/zhengfucaigouguanli/201904/P020190402638613799126.pdf"</w:instrText>
      </w:r>
      <w:r>
        <w:rPr>
          <w:color w:val="auto"/>
        </w:rPr>
        <w:fldChar w:fldCharType="separate"/>
      </w:r>
      <w:r>
        <w:rPr>
          <w:rFonts w:hint="eastAsia" w:ascii="仿宋_GB2312" w:eastAsia="仿宋_GB2312"/>
          <w:b/>
          <w:bCs/>
          <w:color w:val="auto"/>
          <w:sz w:val="24"/>
        </w:rPr>
        <w:t>节能产品政府采购品目清单</w:t>
      </w:r>
      <w:r>
        <w:rPr>
          <w:rFonts w:ascii="仿宋_GB2312" w:eastAsia="仿宋_GB2312"/>
          <w:b/>
          <w:bCs/>
          <w:color w:val="auto"/>
          <w:sz w:val="24"/>
        </w:rPr>
        <w:fldChar w:fldCharType="end"/>
      </w:r>
      <w:r>
        <w:rPr>
          <w:rFonts w:hint="eastAsia" w:ascii="仿宋_GB2312" w:eastAsia="仿宋_GB2312"/>
          <w:b/>
          <w:bCs/>
          <w:color w:val="auto"/>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14:paraId="6A4C0771">
      <w:pPr>
        <w:spacing w:line="380" w:lineRule="exact"/>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（九）本货物需求一览表的技术参数要求中未特别列明的技术要求参照国家相关技术标准执行，如有最新标准，按最新标准执行。</w:t>
      </w:r>
    </w:p>
    <w:bookmarkEnd w:id="24"/>
    <w:p w14:paraId="14CE86D0">
      <w:pPr>
        <w:spacing w:line="440" w:lineRule="exact"/>
        <w:ind w:right="-330" w:rightChars="-157"/>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分标一</w:t>
      </w:r>
    </w:p>
    <w:tbl>
      <w:tblPr>
        <w:tblStyle w:val="48"/>
        <w:tblW w:w="0" w:type="auto"/>
        <w:tblInd w:w="0" w:type="dxa"/>
        <w:tblLayout w:type="fixed"/>
        <w:tblCellMar>
          <w:top w:w="0" w:type="dxa"/>
          <w:left w:w="108" w:type="dxa"/>
          <w:bottom w:w="0" w:type="dxa"/>
          <w:right w:w="108" w:type="dxa"/>
        </w:tblCellMar>
      </w:tblPr>
      <w:tblGrid>
        <w:gridCol w:w="770"/>
        <w:gridCol w:w="975"/>
        <w:gridCol w:w="6375"/>
        <w:gridCol w:w="904"/>
      </w:tblGrid>
      <w:tr w14:paraId="250D213F">
        <w:tblPrEx>
          <w:tblCellMar>
            <w:top w:w="0" w:type="dxa"/>
            <w:left w:w="108" w:type="dxa"/>
            <w:bottom w:w="0" w:type="dxa"/>
            <w:right w:w="108" w:type="dxa"/>
          </w:tblCellMar>
        </w:tblPrEx>
        <w:trPr>
          <w:trHeight w:val="603" w:hRule="atLeast"/>
        </w:trPr>
        <w:tc>
          <w:tcPr>
            <w:tcW w:w="9024" w:type="dxa"/>
            <w:gridSpan w:val="4"/>
            <w:tcBorders>
              <w:top w:val="single" w:color="000000" w:sz="4" w:space="0"/>
              <w:left w:val="single" w:color="000000" w:sz="4" w:space="0"/>
              <w:bottom w:val="single" w:color="000000" w:sz="4" w:space="0"/>
              <w:right w:val="single" w:color="000000" w:sz="4" w:space="0"/>
            </w:tcBorders>
            <w:noWrap w:val="0"/>
            <w:vAlign w:val="center"/>
          </w:tcPr>
          <w:p w14:paraId="7822D01D">
            <w:pPr>
              <w:widowControl/>
              <w:spacing w:line="380" w:lineRule="exact"/>
              <w:textAlignment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0"/>
                <w:sz w:val="24"/>
                <w:highlight w:val="none"/>
                <w:lang w:bidi="ar"/>
              </w:rPr>
              <w:t>一、项目技术规格参数及要求</w:t>
            </w:r>
          </w:p>
        </w:tc>
      </w:tr>
      <w:tr w14:paraId="609FAE5D">
        <w:tblPrEx>
          <w:tblCellMar>
            <w:top w:w="0" w:type="dxa"/>
            <w:left w:w="108" w:type="dxa"/>
            <w:bottom w:w="0" w:type="dxa"/>
            <w:right w:w="108" w:type="dxa"/>
          </w:tblCellMar>
        </w:tblPrEx>
        <w:trPr>
          <w:trHeight w:val="285"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38F9E7C0">
            <w:pPr>
              <w:widowControl/>
              <w:spacing w:line="38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序号</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58C459D">
            <w:pPr>
              <w:widowControl/>
              <w:spacing w:line="38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标的</w:t>
            </w:r>
          </w:p>
          <w:p w14:paraId="650281B4">
            <w:pPr>
              <w:widowControl/>
              <w:spacing w:line="38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名称</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5BB43BF4">
            <w:pPr>
              <w:widowControl/>
              <w:spacing w:line="380" w:lineRule="exact"/>
              <w:jc w:val="center"/>
              <w:textAlignment w:val="center"/>
              <w:rPr>
                <w:color w:val="auto"/>
                <w:highlight w:val="none"/>
              </w:rPr>
            </w:pPr>
            <w:r>
              <w:rPr>
                <w:rFonts w:hint="eastAsia" w:ascii="仿宋_GB2312" w:hAnsi="仿宋_GB2312" w:eastAsia="仿宋_GB2312" w:cs="仿宋_GB2312"/>
                <w:b/>
                <w:bCs/>
                <w:color w:val="auto"/>
                <w:kern w:val="0"/>
                <w:sz w:val="24"/>
                <w:highlight w:val="none"/>
                <w:lang w:bidi="ar"/>
              </w:rPr>
              <w:t>技术参数</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30C47960">
            <w:pPr>
              <w:widowControl/>
              <w:spacing w:line="380" w:lineRule="exact"/>
              <w:jc w:val="center"/>
              <w:textAlignment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数量及单位</w:t>
            </w:r>
          </w:p>
        </w:tc>
      </w:tr>
      <w:tr w14:paraId="1C36D5C6">
        <w:tblPrEx>
          <w:tblCellMar>
            <w:top w:w="0" w:type="dxa"/>
            <w:left w:w="108" w:type="dxa"/>
            <w:bottom w:w="0" w:type="dxa"/>
            <w:right w:w="108" w:type="dxa"/>
          </w:tblCellMar>
        </w:tblPrEx>
        <w:trPr>
          <w:trHeight w:val="285"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419ED0E">
            <w:pPr>
              <w:keepNext w:val="0"/>
              <w:keepLines w:val="0"/>
              <w:pageBreakBefore w:val="0"/>
              <w:kinsoku/>
              <w:wordWrap/>
              <w:overflowPunct/>
              <w:topLinePunct w:val="0"/>
              <w:bidi w:val="0"/>
              <w:adjustRightInd/>
              <w:snapToGrid w:val="0"/>
              <w:spacing w:line="400" w:lineRule="exact"/>
              <w:jc w:val="center"/>
              <w:textAlignment w:val="auto"/>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bCs/>
                <w:color w:val="auto"/>
                <w:sz w:val="24"/>
                <w:szCs w:val="24"/>
                <w:highlight w:val="none"/>
                <w:u w:val="none"/>
              </w:rPr>
              <w:t>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0FE1037">
            <w:pPr>
              <w:keepNext w:val="0"/>
              <w:keepLines w:val="0"/>
              <w:pageBreakBefore w:val="0"/>
              <w:kinsoku/>
              <w:wordWrap/>
              <w:overflowPunct/>
              <w:topLinePunct w:val="0"/>
              <w:bidi w:val="0"/>
              <w:adjustRightInd/>
              <w:snapToGrid w:val="0"/>
              <w:spacing w:line="400" w:lineRule="exact"/>
              <w:jc w:val="center"/>
              <w:textAlignment w:val="auto"/>
              <w:rPr>
                <w:rFonts w:hint="eastAsia" w:ascii="仿宋_GB2312" w:hAnsi="仿宋_GB2312" w:eastAsia="仿宋_GB2312" w:cs="仿宋_GB2312"/>
                <w:b/>
                <w:bCs/>
                <w:color w:val="auto"/>
                <w:kern w:val="0"/>
                <w:sz w:val="24"/>
                <w:szCs w:val="24"/>
                <w:highlight w:val="none"/>
                <w:lang w:bidi="ar"/>
              </w:rPr>
            </w:pPr>
            <w:r>
              <w:rPr>
                <w:rFonts w:hint="eastAsia" w:ascii="仿宋_GB2312" w:eastAsia="仿宋_GB2312"/>
                <w:b/>
                <w:bCs/>
                <w:color w:val="auto"/>
                <w:sz w:val="24"/>
                <w:highlight w:val="none"/>
              </w:rPr>
              <w:t>▲</w:t>
            </w:r>
            <w:r>
              <w:rPr>
                <w:rFonts w:hint="eastAsia" w:ascii="仿宋_GB2312" w:hAnsi="仿宋_GB2312" w:eastAsia="仿宋_GB2312" w:cs="仿宋_GB2312"/>
                <w:bCs/>
                <w:color w:val="auto"/>
                <w:sz w:val="24"/>
                <w:szCs w:val="24"/>
                <w:highlight w:val="none"/>
                <w:u w:val="none"/>
                <w:lang w:val="en-US" w:eastAsia="zh-CN"/>
              </w:rPr>
              <w:t>小学</w:t>
            </w:r>
            <w:r>
              <w:rPr>
                <w:rFonts w:hint="eastAsia" w:ascii="仿宋_GB2312" w:hAnsi="仿宋_GB2312" w:eastAsia="仿宋_GB2312" w:cs="仿宋_GB2312"/>
                <w:bCs/>
                <w:color w:val="auto"/>
                <w:sz w:val="24"/>
                <w:szCs w:val="24"/>
                <w:highlight w:val="none"/>
                <w:u w:val="none"/>
              </w:rPr>
              <w:t>课桌椅</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076FD820">
            <w:pPr>
              <w:keepNext w:val="0"/>
              <w:keepLines w:val="0"/>
              <w:pageBreakBefore w:val="0"/>
              <w:widowControl/>
              <w:kinsoku/>
              <w:wordWrap/>
              <w:overflowPunct/>
              <w:topLinePunct w:val="0"/>
              <w:bidi w:val="0"/>
              <w:adjustRightInd/>
              <w:spacing w:line="400" w:lineRule="exact"/>
              <w:jc w:val="left"/>
              <w:textAlignment w:val="auto"/>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lang w:val="en-US" w:eastAsia="zh-CN"/>
              </w:rPr>
              <w:t>一、</w:t>
            </w:r>
            <w:r>
              <w:rPr>
                <w:rFonts w:hint="eastAsia" w:ascii="仿宋_GB2312" w:hAnsi="仿宋_GB2312" w:eastAsia="仿宋_GB2312" w:cs="仿宋_GB2312"/>
                <w:b/>
                <w:bCs/>
                <w:color w:val="auto"/>
                <w:sz w:val="24"/>
                <w:szCs w:val="24"/>
                <w:highlight w:val="none"/>
                <w:u w:val="none"/>
              </w:rPr>
              <w:t>学生课桌</w:t>
            </w:r>
          </w:p>
          <w:p w14:paraId="72E1000B">
            <w:pPr>
              <w:keepNext w:val="0"/>
              <w:keepLines w:val="0"/>
              <w:pageBreakBefore w:val="0"/>
              <w:widowControl/>
              <w:kinsoku/>
              <w:wordWrap/>
              <w:overflowPunct/>
              <w:topLinePunct w:val="0"/>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szCs w:val="24"/>
                <w:highlight w:val="none"/>
                <w:u w:val="none"/>
              </w:rPr>
            </w:pPr>
            <w:r>
              <w:rPr>
                <w:rFonts w:ascii="仿宋_GB2312" w:eastAsia="仿宋_GB2312"/>
                <w:b/>
                <w:bCs/>
                <w:color w:val="auto"/>
                <w:sz w:val="24"/>
                <w:highlight w:val="none"/>
              </w:rPr>
              <w:t>★</w:t>
            </w:r>
            <w:r>
              <w:rPr>
                <w:rFonts w:hint="eastAsia" w:ascii="仿宋_GB2312" w:hAnsi="仿宋_GB2312" w:eastAsia="仿宋_GB2312" w:cs="仿宋_GB2312"/>
                <w:b/>
                <w:bCs/>
                <w:color w:val="auto"/>
                <w:sz w:val="24"/>
                <w:szCs w:val="24"/>
                <w:highlight w:val="none"/>
                <w:u w:val="none"/>
                <w:lang w:val="en-US" w:eastAsia="zh-CN"/>
              </w:rPr>
              <w:t>（一）课桌</w:t>
            </w:r>
            <w:r>
              <w:rPr>
                <w:rFonts w:hint="eastAsia" w:ascii="仿宋_GB2312" w:hAnsi="仿宋_GB2312" w:eastAsia="仿宋_GB2312" w:cs="仿宋_GB2312"/>
                <w:b/>
                <w:bCs/>
                <w:color w:val="auto"/>
                <w:sz w:val="24"/>
                <w:szCs w:val="24"/>
                <w:highlight w:val="none"/>
                <w:u w:val="none"/>
              </w:rPr>
              <w:t>整体规格</w:t>
            </w:r>
            <w:r>
              <w:rPr>
                <w:rFonts w:hint="eastAsia" w:ascii="仿宋_GB2312" w:hAnsi="仿宋_GB2312" w:eastAsia="仿宋_GB2312" w:cs="仿宋_GB2312"/>
                <w:b/>
                <w:bCs/>
                <w:color w:val="auto"/>
                <w:sz w:val="24"/>
                <w:szCs w:val="24"/>
                <w:highlight w:val="none"/>
                <w:u w:val="none"/>
                <w:lang w:eastAsia="zh-CN"/>
              </w:rPr>
              <w:t>（</w:t>
            </w:r>
            <w:r>
              <w:rPr>
                <w:rFonts w:hint="eastAsia" w:ascii="仿宋_GB2312" w:hAnsi="仿宋_GB2312" w:eastAsia="仿宋_GB2312" w:cs="仿宋_GB2312"/>
                <w:b/>
                <w:bCs/>
                <w:color w:val="auto"/>
                <w:sz w:val="24"/>
                <w:szCs w:val="24"/>
                <w:highlight w:val="none"/>
                <w:u w:val="none"/>
                <w:lang w:val="en-US" w:eastAsia="zh-CN"/>
              </w:rPr>
              <w:t>长×宽×高</w:t>
            </w:r>
            <w:r>
              <w:rPr>
                <w:rFonts w:hint="eastAsia" w:ascii="仿宋_GB2312" w:hAnsi="仿宋_GB2312" w:eastAsia="仿宋_GB2312" w:cs="仿宋_GB2312"/>
                <w:b/>
                <w:bCs/>
                <w:color w:val="auto"/>
                <w:sz w:val="24"/>
                <w:szCs w:val="24"/>
                <w:highlight w:val="none"/>
                <w:u w:val="none"/>
                <w:lang w:eastAsia="zh-CN"/>
              </w:rPr>
              <w:t>）</w:t>
            </w:r>
          </w:p>
          <w:p w14:paraId="31EC72AA">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600mm</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450</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640</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760</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可调节高度640mm、670mm、700mm、730mm、760mm五档</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±5mm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w:t>
            </w:r>
          </w:p>
          <w:p w14:paraId="0DAA0679">
            <w:pPr>
              <w:pStyle w:val="865"/>
              <w:keepNext w:val="0"/>
              <w:keepLines w:val="0"/>
              <w:pageBreakBefore w:val="0"/>
              <w:kinsoku/>
              <w:wordWrap/>
              <w:overflowPunct/>
              <w:topLinePunct w:val="0"/>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（二）课桌面板</w:t>
            </w:r>
          </w:p>
          <w:p w14:paraId="7346A5B0">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1.规格</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长</w:t>
            </w:r>
            <w:r>
              <w:rPr>
                <w:rFonts w:hint="eastAsia" w:ascii="仿宋_GB2312" w:hAnsi="仿宋_GB2312" w:eastAsia="仿宋_GB2312" w:cs="仿宋_GB2312"/>
                <w:color w:val="auto"/>
                <w:sz w:val="24"/>
                <w:szCs w:val="24"/>
                <w:highlight w:val="none"/>
                <w:u w:val="none"/>
              </w:rPr>
              <w:t>600mm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±5mm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宽450</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±5mm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厚18mm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±1mm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，注塑封边，流</w:t>
            </w:r>
            <w:r>
              <w:rPr>
                <w:rFonts w:hint="eastAsia" w:ascii="仿宋_GB2312" w:hAnsi="仿宋_GB2312" w:eastAsia="仿宋_GB2312" w:cs="仿宋_GB2312"/>
                <w:color w:val="auto"/>
                <w:sz w:val="24"/>
                <w:szCs w:val="24"/>
                <w:highlight w:val="none"/>
                <w:u w:val="none"/>
                <w:lang w:val="en-US" w:eastAsia="zh-CN"/>
              </w:rPr>
              <w:t>线美观。</w:t>
            </w:r>
          </w:p>
          <w:p w14:paraId="2AD4938D">
            <w:pPr>
              <w:keepNext w:val="0"/>
              <w:keepLines w:val="0"/>
              <w:pageBreakBefore w:val="0"/>
              <w:widowControl/>
              <w:suppressLineNumbers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2.基材</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采</w:t>
            </w:r>
            <w:r>
              <w:rPr>
                <w:rFonts w:hint="eastAsia" w:ascii="仿宋_GB2312" w:hAnsi="仿宋_GB2312" w:eastAsia="仿宋_GB2312" w:cs="仿宋_GB2312"/>
                <w:color w:val="auto"/>
                <w:sz w:val="24"/>
                <w:szCs w:val="24"/>
                <w:highlight w:val="none"/>
                <w:u w:val="none"/>
              </w:rPr>
              <w:t>用</w:t>
            </w:r>
            <w:r>
              <w:rPr>
                <w:rFonts w:hint="eastAsia" w:ascii="仿宋_GB2312" w:hAnsi="仿宋_GB2312" w:eastAsia="仿宋_GB2312" w:cs="仿宋_GB2312"/>
                <w:color w:val="auto"/>
                <w:sz w:val="24"/>
                <w:szCs w:val="24"/>
                <w:highlight w:val="none"/>
                <w:u w:val="none"/>
                <w:lang w:val="en-US" w:eastAsia="zh-CN"/>
              </w:rPr>
              <w:t>环保E1</w:t>
            </w:r>
            <w:r>
              <w:rPr>
                <w:rFonts w:hint="eastAsia" w:ascii="仿宋_GB2312" w:hAnsi="仿宋_GB2312" w:eastAsia="仿宋_GB2312" w:cs="仿宋_GB2312"/>
                <w:color w:val="auto"/>
                <w:sz w:val="24"/>
                <w:szCs w:val="24"/>
                <w:highlight w:val="none"/>
                <w:u w:val="none"/>
              </w:rPr>
              <w:t>中密度纤维板</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桌面四周为圆角（防止学生碰伤）。</w:t>
            </w:r>
          </w:p>
          <w:p w14:paraId="6ABFC03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single"/>
                <w:lang w:val="en-US" w:eastAsia="zh-CN" w:bidi="ar-SA"/>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kern w:val="2"/>
                <w:sz w:val="24"/>
                <w:szCs w:val="24"/>
                <w:highlight w:val="none"/>
                <w:u w:val="single"/>
                <w:lang w:val="en-US" w:eastAsia="zh-CN" w:bidi="ar-SA"/>
              </w:rPr>
              <w:t>中密度纤维板符合GB/T 11718-2021《中密度纤维板》、GB/T 35601-2024《绿色产品评价 人造板和木质地板》、</w:t>
            </w:r>
            <w:r>
              <w:rPr>
                <w:rFonts w:hint="eastAsia" w:ascii="仿宋_GB2312" w:hAnsi="仿宋_GB2312" w:eastAsia="仿宋_GB2312" w:cs="仿宋_GB2312"/>
                <w:color w:val="auto"/>
                <w:sz w:val="24"/>
                <w:szCs w:val="24"/>
                <w:highlight w:val="none"/>
                <w:u w:val="single"/>
                <w:lang w:val="en-US" w:eastAsia="zh-CN"/>
              </w:rPr>
              <w:t>GB 8624-2012《建筑材料及制品燃烧性能分级》</w:t>
            </w:r>
            <w:r>
              <w:rPr>
                <w:rFonts w:hint="eastAsia" w:ascii="仿宋_GB2312" w:hAnsi="仿宋_GB2312" w:eastAsia="仿宋_GB2312" w:cs="仿宋_GB2312"/>
                <w:color w:val="auto"/>
                <w:kern w:val="2"/>
                <w:sz w:val="24"/>
                <w:szCs w:val="24"/>
                <w:highlight w:val="none"/>
                <w:u w:val="single"/>
                <w:lang w:val="en-US" w:eastAsia="zh-CN" w:bidi="ar-SA"/>
              </w:rPr>
              <w:t>要求，其中：</w:t>
            </w:r>
          </w:p>
          <w:p w14:paraId="60E9770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kern w:val="2"/>
                <w:sz w:val="24"/>
                <w:szCs w:val="24"/>
                <w:highlight w:val="none"/>
                <w:u w:val="single"/>
                <w:lang w:val="en-US" w:eastAsia="zh-CN" w:bidi="ar-SA"/>
              </w:rPr>
              <w:t>密度：0.65～0.80g/cm</w:t>
            </w:r>
            <w:r>
              <w:rPr>
                <w:rFonts w:hint="eastAsia" w:ascii="仿宋_GB2312" w:hAnsi="仿宋_GB2312" w:eastAsia="仿宋_GB2312" w:cs="仿宋_GB2312"/>
                <w:color w:val="auto"/>
                <w:kern w:val="2"/>
                <w:sz w:val="24"/>
                <w:szCs w:val="24"/>
                <w:highlight w:val="none"/>
                <w:u w:val="single"/>
                <w:vertAlign w:val="superscript"/>
                <w:lang w:val="en-US" w:eastAsia="zh-CN" w:bidi="ar-SA"/>
              </w:rPr>
              <w:t>3</w:t>
            </w:r>
            <w:r>
              <w:rPr>
                <w:rFonts w:hint="eastAsia" w:ascii="仿宋_GB2312" w:hAnsi="仿宋_GB2312" w:eastAsia="仿宋_GB2312" w:cs="仿宋_GB2312"/>
                <w:color w:val="auto"/>
                <w:kern w:val="2"/>
                <w:sz w:val="24"/>
                <w:szCs w:val="24"/>
                <w:highlight w:val="none"/>
                <w:u w:val="single"/>
                <w:lang w:val="en-US" w:eastAsia="zh-CN" w:bidi="ar-SA"/>
              </w:rPr>
              <w:t>；含水率3.0～13.0%，物理力学性能（潮湿状态使用）（静曲强度</w:t>
            </w:r>
            <w:r>
              <w:rPr>
                <w:rFonts w:hint="eastAsia" w:ascii="仿宋_GB2312" w:hAnsi="仿宋_GB2312" w:eastAsia="仿宋_GB2312" w:cs="仿宋_GB2312"/>
                <w:color w:val="auto"/>
                <w:sz w:val="24"/>
                <w:szCs w:val="24"/>
                <w:highlight w:val="none"/>
                <w:u w:val="single"/>
                <w:lang w:val="en-US" w:eastAsia="zh-CN"/>
              </w:rPr>
              <w:t>≥24Mpa</w:t>
            </w:r>
            <w:r>
              <w:rPr>
                <w:rFonts w:hint="eastAsia" w:ascii="仿宋_GB2312" w:hAnsi="仿宋_GB2312" w:eastAsia="仿宋_GB2312" w:cs="仿宋_GB2312"/>
                <w:color w:val="auto"/>
                <w:kern w:val="2"/>
                <w:sz w:val="24"/>
                <w:szCs w:val="24"/>
                <w:highlight w:val="none"/>
                <w:u w:val="single"/>
                <w:lang w:val="en-US" w:eastAsia="zh-CN" w:bidi="ar-SA"/>
              </w:rPr>
              <w:t>、弹性模量</w:t>
            </w:r>
            <w:r>
              <w:rPr>
                <w:rFonts w:hint="eastAsia" w:ascii="仿宋_GB2312" w:hAnsi="仿宋_GB2312" w:eastAsia="仿宋_GB2312" w:cs="仿宋_GB2312"/>
                <w:color w:val="auto"/>
                <w:sz w:val="24"/>
                <w:szCs w:val="24"/>
                <w:highlight w:val="none"/>
                <w:u w:val="single"/>
                <w:lang w:val="en-US" w:eastAsia="zh-CN"/>
              </w:rPr>
              <w:t>≥2300Mpa</w:t>
            </w:r>
            <w:r>
              <w:rPr>
                <w:rFonts w:hint="eastAsia" w:ascii="仿宋_GB2312" w:hAnsi="仿宋_GB2312" w:eastAsia="仿宋_GB2312" w:cs="仿宋_GB2312"/>
                <w:color w:val="auto"/>
                <w:kern w:val="2"/>
                <w:sz w:val="24"/>
                <w:szCs w:val="24"/>
                <w:highlight w:val="none"/>
                <w:u w:val="single"/>
                <w:lang w:val="en-US" w:eastAsia="zh-CN" w:bidi="ar-SA"/>
              </w:rPr>
              <w:t>、内胶合强度</w:t>
            </w:r>
            <w:r>
              <w:rPr>
                <w:rFonts w:hint="eastAsia" w:ascii="仿宋_GB2312" w:hAnsi="仿宋_GB2312" w:eastAsia="仿宋_GB2312" w:cs="仿宋_GB2312"/>
                <w:color w:val="auto"/>
                <w:sz w:val="24"/>
                <w:szCs w:val="24"/>
                <w:highlight w:val="none"/>
                <w:u w:val="single"/>
                <w:lang w:val="en-US" w:eastAsia="zh-CN"/>
              </w:rPr>
              <w:t>≥0.5Mpa</w:t>
            </w:r>
            <w:r>
              <w:rPr>
                <w:rFonts w:hint="eastAsia" w:ascii="仿宋_GB2312" w:hAnsi="仿宋_GB2312" w:eastAsia="仿宋_GB2312" w:cs="仿宋_GB2312"/>
                <w:color w:val="auto"/>
                <w:kern w:val="2"/>
                <w:sz w:val="24"/>
                <w:szCs w:val="24"/>
                <w:highlight w:val="none"/>
                <w:u w:val="single"/>
                <w:lang w:val="en-US" w:eastAsia="zh-CN" w:bidi="ar-SA"/>
              </w:rPr>
              <w:t>、吸水厚度膨胀率</w:t>
            </w:r>
            <w:r>
              <w:rPr>
                <w:rFonts w:hint="eastAsia" w:ascii="仿宋_GB2312" w:hAnsi="仿宋_GB2312" w:eastAsia="仿宋_GB2312" w:cs="仿宋_GB2312"/>
                <w:color w:val="auto"/>
                <w:sz w:val="24"/>
                <w:szCs w:val="24"/>
                <w:highlight w:val="none"/>
                <w:u w:val="single"/>
                <w:lang w:val="en-US" w:eastAsia="zh-CN"/>
              </w:rPr>
              <w:t>≤</w:t>
            </w:r>
            <w:r>
              <w:rPr>
                <w:rFonts w:hint="eastAsia" w:ascii="仿宋_GB2312" w:hAnsi="仿宋_GB2312" w:eastAsia="仿宋_GB2312" w:cs="仿宋_GB2312"/>
                <w:color w:val="auto"/>
                <w:kern w:val="2"/>
                <w:sz w:val="24"/>
                <w:szCs w:val="24"/>
                <w:highlight w:val="none"/>
                <w:u w:val="single"/>
                <w:lang w:val="en-US" w:eastAsia="zh-CN" w:bidi="ar-SA"/>
              </w:rPr>
              <w:t>9.0%、表面胶合强度</w:t>
            </w:r>
            <w:r>
              <w:rPr>
                <w:rFonts w:hint="eastAsia" w:ascii="仿宋_GB2312" w:hAnsi="仿宋_GB2312" w:eastAsia="仿宋_GB2312" w:cs="仿宋_GB2312"/>
                <w:color w:val="auto"/>
                <w:sz w:val="24"/>
                <w:szCs w:val="24"/>
                <w:highlight w:val="none"/>
                <w:u w:val="single"/>
                <w:lang w:val="en-US" w:eastAsia="zh-CN"/>
              </w:rPr>
              <w:t>≥</w:t>
            </w:r>
            <w:r>
              <w:rPr>
                <w:rFonts w:hint="eastAsia" w:ascii="仿宋_GB2312" w:hAnsi="仿宋_GB2312" w:eastAsia="仿宋_GB2312" w:cs="仿宋_GB2312"/>
                <w:color w:val="auto"/>
                <w:kern w:val="2"/>
                <w:sz w:val="24"/>
                <w:szCs w:val="24"/>
                <w:highlight w:val="none"/>
                <w:u w:val="single"/>
                <w:lang w:val="en-US" w:eastAsia="zh-CN" w:bidi="ar-SA"/>
              </w:rPr>
              <w:t>0.9</w:t>
            </w:r>
            <w:r>
              <w:rPr>
                <w:rFonts w:hint="eastAsia" w:ascii="仿宋_GB2312" w:hAnsi="仿宋_GB2312" w:eastAsia="仿宋_GB2312" w:cs="仿宋_GB2312"/>
                <w:color w:val="auto"/>
                <w:sz w:val="24"/>
                <w:szCs w:val="24"/>
                <w:highlight w:val="none"/>
                <w:u w:val="single"/>
                <w:lang w:val="en-US" w:eastAsia="zh-CN"/>
              </w:rPr>
              <w:t>Mpa</w:t>
            </w:r>
            <w:r>
              <w:rPr>
                <w:rFonts w:hint="eastAsia" w:ascii="仿宋_GB2312" w:hAnsi="仿宋_GB2312" w:eastAsia="仿宋_GB2312" w:cs="仿宋_GB2312"/>
                <w:color w:val="auto"/>
                <w:kern w:val="2"/>
                <w:sz w:val="24"/>
                <w:szCs w:val="24"/>
                <w:highlight w:val="none"/>
                <w:u w:val="single"/>
                <w:lang w:val="en-US" w:eastAsia="zh-CN" w:bidi="ar-SA"/>
              </w:rPr>
              <w:t>），甲醛释放量≤0.05mg/m³，挥发性有机化合物（7 d）：苯≤2μg/m³、甲苯≤20μg/m³、二甲苯≤20μg/m³、总挥发性有机化合物（TVOC）≤200μg/m³；燃烧性能：B</w:t>
            </w:r>
            <w:r>
              <w:rPr>
                <w:rFonts w:hint="eastAsia" w:ascii="仿宋_GB2312" w:hAnsi="仿宋_GB2312" w:eastAsia="仿宋_GB2312" w:cs="仿宋_GB2312"/>
                <w:color w:val="auto"/>
                <w:kern w:val="2"/>
                <w:sz w:val="24"/>
                <w:szCs w:val="24"/>
                <w:highlight w:val="none"/>
                <w:u w:val="single"/>
                <w:vertAlign w:val="subscript"/>
                <w:lang w:val="en-US" w:eastAsia="zh-CN" w:bidi="ar-SA"/>
              </w:rPr>
              <w:t>1</w:t>
            </w:r>
            <w:r>
              <w:rPr>
                <w:rFonts w:hint="eastAsia" w:ascii="仿宋_GB2312" w:hAnsi="仿宋_GB2312" w:eastAsia="仿宋_GB2312" w:cs="仿宋_GB2312"/>
                <w:color w:val="auto"/>
                <w:kern w:val="2"/>
                <w:sz w:val="24"/>
                <w:szCs w:val="24"/>
                <w:highlight w:val="none"/>
                <w:u w:val="single"/>
                <w:lang w:val="en-US" w:eastAsia="zh-CN" w:bidi="ar-SA"/>
              </w:rPr>
              <w:t>级。</w:t>
            </w:r>
          </w:p>
          <w:p w14:paraId="3A7000C0">
            <w:pPr>
              <w:pStyle w:val="865"/>
              <w:keepNext w:val="0"/>
              <w:keepLines w:val="0"/>
              <w:pageBreakBefore w:val="0"/>
              <w:numPr>
                <w:ilvl w:val="0"/>
                <w:numId w:val="3"/>
              </w:numPr>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val="en-US" w:eastAsia="zh-CN"/>
              </w:rPr>
              <w:t>饰面：桌面采用防火板贴面，</w:t>
            </w:r>
            <w:r>
              <w:rPr>
                <w:rFonts w:hint="eastAsia" w:ascii="仿宋_GB2312" w:hAnsi="仿宋_GB2312" w:eastAsia="仿宋_GB2312" w:cs="仿宋_GB2312"/>
                <w:color w:val="auto"/>
                <w:sz w:val="24"/>
                <w:szCs w:val="24"/>
                <w:highlight w:val="none"/>
                <w:lang w:val="en-US" w:eastAsia="zh-CN"/>
              </w:rPr>
              <w:t>要求耐磨、耐污染；</w:t>
            </w:r>
            <w:r>
              <w:rPr>
                <w:rFonts w:hint="eastAsia" w:ascii="仿宋_GB2312" w:hAnsi="仿宋_GB2312" w:eastAsia="仿宋_GB2312" w:cs="仿宋_GB2312"/>
                <w:color w:val="auto"/>
                <w:sz w:val="24"/>
                <w:szCs w:val="24"/>
                <w:highlight w:val="none"/>
                <w:u w:val="none"/>
                <w:lang w:val="en-US" w:eastAsia="zh-CN"/>
              </w:rPr>
              <w:t>四周蓝色封边条采用PP材质一体注塑成型</w:t>
            </w:r>
            <w:r>
              <w:rPr>
                <w:rFonts w:hint="eastAsia" w:ascii="仿宋_GB2312" w:hAnsi="仿宋_GB2312" w:eastAsia="仿宋_GB2312" w:cs="仿宋_GB2312"/>
                <w:color w:val="auto"/>
                <w:sz w:val="24"/>
                <w:szCs w:val="24"/>
                <w:highlight w:val="none"/>
                <w:u w:val="none"/>
                <w:lang w:eastAsia="zh-CN"/>
              </w:rPr>
              <w:t>。</w:t>
            </w:r>
          </w:p>
          <w:p w14:paraId="69A90CA1">
            <w:pPr>
              <w:keepNext w:val="0"/>
              <w:keepLines w:val="0"/>
              <w:pageBreakBefore w:val="0"/>
              <w:widowControl/>
              <w:suppressLineNumbers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single"/>
                <w:lang w:val="en-US" w:eastAsia="zh-CN"/>
              </w:rPr>
              <w:t>防火板符合GB/T 7911-2024《热固性树脂浸渍纸高压装饰层积板（HPL）》、GB/T 35601-2024《绿色产品评价 人造板和木质地板》、GB/T31402-2023《塑料和其他无孔材料表面抗菌活性的测定》、GB 8624-2012《建筑材料及制品燃烧性能分级》要求,其中：</w:t>
            </w:r>
          </w:p>
          <w:p w14:paraId="0348370A">
            <w:pPr>
              <w:keepNext w:val="0"/>
              <w:keepLines w:val="0"/>
              <w:pageBreakBefore w:val="0"/>
              <w:widowControl/>
              <w:suppressLineNumbers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表面耐磨≥3级，耐划痕性能≥3级，耐污染性能≥4级；甲醛释放量≤0.05mg/m³；挥发性有机化合物（7 d）：苯≤2μg/m³、甲苯≤20μg/m³、二甲苯≤20μg/m³、总挥发性有机化合物（TVOC）≤200μg/m³；可溶性重金属（铅、镉、铬、汞）总含量≤100mg/kg；抗菌性能抗金黄色葡萄球菌≥99%，</w:t>
            </w:r>
            <w:r>
              <w:rPr>
                <w:rFonts w:hint="eastAsia" w:ascii="仿宋_GB2312" w:hAnsi="仿宋_GB2312" w:eastAsia="仿宋_GB2312" w:cs="仿宋_GB2312"/>
                <w:color w:val="auto"/>
                <w:kern w:val="2"/>
                <w:sz w:val="24"/>
                <w:szCs w:val="24"/>
                <w:highlight w:val="none"/>
                <w:u w:val="single"/>
                <w:lang w:val="en-US" w:eastAsia="zh-CN" w:bidi="ar-SA"/>
              </w:rPr>
              <w:t>燃烧性能：B</w:t>
            </w:r>
            <w:r>
              <w:rPr>
                <w:rFonts w:hint="eastAsia" w:ascii="仿宋_GB2312" w:hAnsi="仿宋_GB2312" w:eastAsia="仿宋_GB2312" w:cs="仿宋_GB2312"/>
                <w:color w:val="auto"/>
                <w:kern w:val="2"/>
                <w:sz w:val="24"/>
                <w:szCs w:val="24"/>
                <w:highlight w:val="none"/>
                <w:u w:val="single"/>
                <w:vertAlign w:val="subscript"/>
                <w:lang w:val="en-US" w:eastAsia="zh-CN" w:bidi="ar-SA"/>
              </w:rPr>
              <w:t>1</w:t>
            </w:r>
            <w:r>
              <w:rPr>
                <w:rFonts w:hint="eastAsia" w:ascii="仿宋_GB2312" w:hAnsi="仿宋_GB2312" w:eastAsia="仿宋_GB2312" w:cs="仿宋_GB2312"/>
                <w:color w:val="auto"/>
                <w:kern w:val="2"/>
                <w:sz w:val="24"/>
                <w:szCs w:val="24"/>
                <w:highlight w:val="none"/>
                <w:u w:val="single"/>
                <w:lang w:val="en-US" w:eastAsia="zh-CN" w:bidi="ar-SA"/>
              </w:rPr>
              <w:t>级</w:t>
            </w:r>
            <w:r>
              <w:rPr>
                <w:rFonts w:hint="eastAsia" w:ascii="仿宋_GB2312" w:hAnsi="仿宋_GB2312" w:eastAsia="仿宋_GB2312" w:cs="仿宋_GB2312"/>
                <w:color w:val="auto"/>
                <w:sz w:val="24"/>
                <w:szCs w:val="24"/>
                <w:highlight w:val="none"/>
                <w:u w:val="single"/>
                <w:lang w:val="en-US" w:eastAsia="zh-CN"/>
              </w:rPr>
              <w:t>。</w:t>
            </w:r>
          </w:p>
          <w:p w14:paraId="5D6CEC1B">
            <w:pPr>
              <w:pStyle w:val="865"/>
              <w:keepNext w:val="0"/>
              <w:keepLines w:val="0"/>
              <w:pageBreakBefore w:val="0"/>
              <w:kinsoku/>
              <w:wordWrap/>
              <w:overflowPunct/>
              <w:topLinePunct w:val="0"/>
              <w:bidi w:val="0"/>
              <w:adjustRightInd/>
              <w:spacing w:line="400" w:lineRule="exact"/>
              <w:ind w:left="0" w:leftChars="0" w:firstLine="480" w:firstLineChars="200"/>
              <w:jc w:val="lef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u w:val="single"/>
                <w:lang w:val="en-US" w:eastAsia="zh-CN"/>
              </w:rPr>
              <w:t>封边条符合QB/T 4463-2013《家具用封边条技术要求》要求，其中：</w:t>
            </w:r>
          </w:p>
          <w:p w14:paraId="3C2EC434">
            <w:pPr>
              <w:pStyle w:val="865"/>
              <w:keepNext w:val="0"/>
              <w:keepLines w:val="0"/>
              <w:pageBreakBefore w:val="0"/>
              <w:kinsoku/>
              <w:wordWrap/>
              <w:overflowPunct/>
              <w:topLinePunct w:val="0"/>
              <w:bidi w:val="0"/>
              <w:adjustRightInd/>
              <w:spacing w:line="400" w:lineRule="exact"/>
              <w:ind w:left="0" w:leftChars="0" w:firstLine="480" w:firstLineChars="200"/>
              <w:jc w:val="lef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理化性能：塑料封边条 耐开裂性（耐龟裂性）≥2级(有不规则横向细微开裂)，耐老化性：应无开裂；耐光色牢度（灰色样卡）≥4级；有害物质限量：塑料封边条甲醛释放量E1≤1.5mg/L，氯乙烯单体≤5.0mg/kg，可迁移元素(可溶性重金属)：铅(Pb)≤90mg/kg、镉(Cd)≤75mg/kg、铬(Cr)≤60mg/kg、汞(Hg)≤60mg/kg、砷(As)≤25mg/kg、钡(Ba)≤1000mg/kg、锑(Sb)≤60mg/kg、硒(Se)≤500mg/kg，邻苯二甲酸酯(DBP、BBP、DEHP、DNOP、DINP 和 DIDP)的总量≤0.1%。</w:t>
            </w:r>
          </w:p>
          <w:p w14:paraId="2FDFF92F">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5.</w:t>
            </w:r>
            <w:r>
              <w:rPr>
                <w:rFonts w:hint="eastAsia" w:ascii="仿宋_GB2312" w:hAnsi="仿宋_GB2312" w:eastAsia="仿宋_GB2312" w:cs="仿宋_GB2312"/>
                <w:color w:val="auto"/>
                <w:sz w:val="24"/>
                <w:szCs w:val="24"/>
                <w:highlight w:val="none"/>
                <w:u w:val="none"/>
              </w:rPr>
              <w:t xml:space="preserve">胶水使用热熔胶，保证贴合及封边牢固。 </w:t>
            </w:r>
          </w:p>
          <w:p w14:paraId="35A15A83">
            <w:pPr>
              <w:pStyle w:val="865"/>
              <w:keepNext w:val="0"/>
              <w:keepLines w:val="0"/>
              <w:pageBreakBefore w:val="0"/>
              <w:kinsoku/>
              <w:wordWrap/>
              <w:overflowPunct/>
              <w:topLinePunct w:val="0"/>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（三）课桌书斗：</w:t>
            </w:r>
          </w:p>
          <w:p w14:paraId="57ACBD0D">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val="en-US" w:eastAsia="zh-CN"/>
              </w:rPr>
              <w:t>1.</w:t>
            </w:r>
            <w:r>
              <w:rPr>
                <w:rFonts w:hint="eastAsia" w:ascii="仿宋_GB2312" w:hAnsi="仿宋_GB2312" w:eastAsia="仿宋_GB2312" w:cs="仿宋_GB2312"/>
                <w:color w:val="auto"/>
                <w:sz w:val="24"/>
                <w:szCs w:val="24"/>
                <w:highlight w:val="none"/>
                <w:u w:val="none"/>
              </w:rPr>
              <w:t>书斗</w:t>
            </w:r>
            <w:r>
              <w:rPr>
                <w:rFonts w:hint="eastAsia" w:ascii="仿宋_GB2312" w:hAnsi="仿宋_GB2312" w:eastAsia="仿宋_GB2312" w:cs="仿宋_GB2312"/>
                <w:color w:val="auto"/>
                <w:sz w:val="24"/>
                <w:szCs w:val="24"/>
                <w:highlight w:val="none"/>
                <w:u w:val="none"/>
                <w:lang w:val="en-US" w:eastAsia="zh-CN"/>
              </w:rPr>
              <w:t>规格：长450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宽300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高150mm（±5mm）</w:t>
            </w:r>
            <w:r>
              <w:rPr>
                <w:rFonts w:hint="eastAsia" w:ascii="仿宋_GB2312" w:hAnsi="仿宋_GB2312" w:eastAsia="仿宋_GB2312" w:cs="仿宋_GB2312"/>
                <w:color w:val="auto"/>
                <w:sz w:val="24"/>
                <w:szCs w:val="24"/>
                <w:highlight w:val="none"/>
                <w:u w:val="none"/>
                <w:lang w:eastAsia="zh-CN"/>
              </w:rPr>
              <w:t>。</w:t>
            </w:r>
          </w:p>
          <w:p w14:paraId="77E53EFA">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rPr>
              <w:t>采用</w:t>
            </w:r>
            <w:r>
              <w:rPr>
                <w:rFonts w:hint="eastAsia" w:ascii="仿宋_GB2312" w:hAnsi="仿宋_GB2312" w:eastAsia="仿宋_GB2312" w:cs="仿宋_GB2312"/>
                <w:color w:val="auto"/>
                <w:sz w:val="24"/>
                <w:szCs w:val="24"/>
                <w:highlight w:val="none"/>
                <w:u w:val="none"/>
                <w:lang w:val="en-US" w:eastAsia="zh-CN"/>
              </w:rPr>
              <w:t>不低于</w:t>
            </w:r>
            <w:r>
              <w:rPr>
                <w:rFonts w:hint="eastAsia" w:ascii="仿宋_GB2312" w:hAnsi="仿宋_GB2312" w:eastAsia="仿宋_GB2312" w:cs="仿宋_GB2312"/>
                <w:color w:val="auto"/>
                <w:sz w:val="24"/>
                <w:szCs w:val="24"/>
                <w:highlight w:val="none"/>
                <w:u w:val="none"/>
              </w:rPr>
              <w:t>0.8mm</w:t>
            </w:r>
            <w:r>
              <w:rPr>
                <w:rFonts w:hint="eastAsia" w:ascii="仿宋_GB2312" w:hAnsi="仿宋_GB2312" w:eastAsia="仿宋_GB2312" w:cs="仿宋_GB2312"/>
                <w:color w:val="auto"/>
                <w:sz w:val="24"/>
                <w:szCs w:val="24"/>
                <w:highlight w:val="none"/>
                <w:u w:val="none"/>
                <w:lang w:val="en-US" w:eastAsia="zh-CN"/>
              </w:rPr>
              <w:t>厚</w:t>
            </w:r>
            <w:r>
              <w:rPr>
                <w:rFonts w:hint="eastAsia" w:ascii="仿宋_GB2312" w:hAnsi="仿宋_GB2312" w:eastAsia="仿宋_GB2312" w:cs="仿宋_GB2312"/>
                <w:color w:val="auto"/>
                <w:sz w:val="24"/>
                <w:szCs w:val="24"/>
                <w:highlight w:val="none"/>
                <w:u w:val="none"/>
              </w:rPr>
              <w:t>冷轧钢板一次冲压成型，</w:t>
            </w:r>
            <w:r>
              <w:rPr>
                <w:rFonts w:hint="eastAsia" w:ascii="仿宋_GB2312" w:hAnsi="仿宋_GB2312" w:eastAsia="仿宋_GB2312" w:cs="仿宋_GB2312"/>
                <w:color w:val="auto"/>
                <w:sz w:val="24"/>
                <w:szCs w:val="24"/>
                <w:highlight w:val="none"/>
                <w:u w:val="none"/>
                <w:lang w:val="en-US" w:eastAsia="zh-CN"/>
              </w:rPr>
              <w:t>做</w:t>
            </w:r>
            <w:r>
              <w:rPr>
                <w:rFonts w:hint="eastAsia" w:ascii="仿宋_GB2312" w:hAnsi="仿宋_GB2312" w:eastAsia="仿宋_GB2312" w:cs="仿宋_GB2312"/>
                <w:color w:val="auto"/>
                <w:sz w:val="24"/>
                <w:szCs w:val="24"/>
                <w:highlight w:val="none"/>
                <w:u w:val="none"/>
              </w:rPr>
              <w:t>卷边处理。</w:t>
            </w:r>
          </w:p>
          <w:p w14:paraId="38F3230E">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冷轧钢板符合GB/T 11253-2019《碳素结构钢冷轧钢板及钢带》、GB/T 10125-2021《人造气氛腐蚀试验 盐雾试验》、GB/T 6461-2002 《金属基体上金属和其他无机覆盖层 经腐蚀试验后的试样和试件的评级》、GB/T 3325-2024《金属家具通用技术条件》标准，其中：</w:t>
            </w:r>
          </w:p>
          <w:p w14:paraId="2CD3F507">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力学性能：下屈服强度≥195Mpa、抗拉强度315～430Mpa、断后伸长率≥24%；表面结构（平均粗糙度）≤0.9μm；弯曲试验（180°）；表面质量合格；经过96h人造气氛腐蚀试验（中性盐雾NSS、乙酸盐雾AASS），保护评级、外观评级均不低于9级；金属喷漆（塑）涂层（硬度、冲击强度、附着力）符合检测标准。</w:t>
            </w:r>
          </w:p>
          <w:p w14:paraId="73E3560C">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b w:val="0"/>
                <w:bCs w:val="0"/>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none"/>
                <w:lang w:val="en-US" w:eastAsia="zh-CN"/>
              </w:rPr>
              <w:t>3.</w:t>
            </w:r>
            <w:r>
              <w:rPr>
                <w:rFonts w:hint="eastAsia" w:ascii="仿宋_GB2312" w:hAnsi="仿宋_GB2312" w:eastAsia="仿宋_GB2312" w:cs="仿宋_GB2312"/>
                <w:b w:val="0"/>
                <w:bCs w:val="0"/>
                <w:color w:val="auto"/>
                <w:sz w:val="24"/>
                <w:szCs w:val="24"/>
                <w:highlight w:val="none"/>
                <w:u w:val="single"/>
                <w:lang w:val="en-US" w:eastAsia="zh-CN"/>
              </w:rPr>
              <w:t>课桌书斗符合GB/T 11253-2019《碳素结构钢冷轧钢板及钢带》、GB/T 3325-2024《金属家具通用技术条件》、GB/T 10125-2021《人造气氛腐蚀试验 盐雾试验》、GB/T 6461-2002《金属基体上金属和其他无机覆盖层 经腐蚀试验后的试样和试件的评级》、</w:t>
            </w:r>
            <w:r>
              <w:rPr>
                <w:rFonts w:hint="eastAsia" w:ascii="仿宋_GB2312" w:hAnsi="仿宋_GB2312" w:eastAsia="仿宋_GB2312" w:cs="仿宋_GB2312"/>
                <w:b w:val="0"/>
                <w:bCs w:val="0"/>
                <w:color w:val="auto"/>
                <w:kern w:val="2"/>
                <w:sz w:val="24"/>
                <w:szCs w:val="24"/>
                <w:highlight w:val="none"/>
                <w:u w:val="single"/>
                <w:lang w:val="en-US" w:eastAsia="zh-CN" w:bidi="ar-SA"/>
              </w:rPr>
              <w:t>GB/T 35607-2024《绿色产品评价 家具》</w:t>
            </w:r>
            <w:r>
              <w:rPr>
                <w:rFonts w:hint="eastAsia" w:ascii="仿宋_GB2312" w:hAnsi="仿宋_GB2312" w:eastAsia="仿宋_GB2312" w:cs="仿宋_GB2312"/>
                <w:b w:val="0"/>
                <w:bCs w:val="0"/>
                <w:color w:val="auto"/>
                <w:sz w:val="24"/>
                <w:szCs w:val="24"/>
                <w:highlight w:val="none"/>
                <w:u w:val="single"/>
                <w:lang w:val="en-US" w:eastAsia="zh-CN"/>
              </w:rPr>
              <w:t>要求，其中：</w:t>
            </w:r>
          </w:p>
          <w:p w14:paraId="03554F9E">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b w:val="0"/>
                <w:bCs w:val="0"/>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力学性能：下屈服强度≥195Mpa、抗拉强度315～430Mpa、断后伸长率≥24%；外观性能（金属件喷漆（塑）涂层）合格；</w:t>
            </w:r>
            <w:r>
              <w:rPr>
                <w:rFonts w:hint="eastAsia" w:ascii="仿宋_GB2312" w:hAnsi="仿宋_GB2312" w:eastAsia="仿宋_GB2312" w:cs="仿宋_GB2312"/>
                <w:b w:val="0"/>
                <w:bCs w:val="0"/>
                <w:color w:val="auto"/>
                <w:sz w:val="24"/>
                <w:szCs w:val="24"/>
                <w:highlight w:val="none"/>
                <w:u w:val="single"/>
                <w:lang w:val="en-US" w:eastAsia="zh-CN"/>
              </w:rPr>
              <w:t>金属喷漆（塑）涂层（硬度、冲击强度、附着力）检测合格；</w:t>
            </w:r>
            <w:r>
              <w:rPr>
                <w:rFonts w:hint="eastAsia" w:ascii="仿宋_GB2312" w:hAnsi="仿宋_GB2312" w:eastAsia="仿宋_GB2312" w:cs="仿宋_GB2312"/>
                <w:b w:val="0"/>
                <w:bCs w:val="0"/>
                <w:color w:val="auto"/>
                <w:kern w:val="2"/>
                <w:sz w:val="24"/>
                <w:szCs w:val="24"/>
                <w:highlight w:val="none"/>
                <w:u w:val="single"/>
                <w:lang w:val="en-US" w:eastAsia="zh-CN" w:bidi="ar-SA"/>
              </w:rPr>
              <w:t>产品有害物质（家具涂层可迁移元素：铅Pb≤90mg/kg、镉Cd≤50mg/kg、铬Cr≤25mg/kg、汞Hg≤25mg/kg、锑Sb≤60mg/kg、钡Ba≤1000mg/kg、硒Se≤500mg/kg、砷As≤25mg/kg）；</w:t>
            </w:r>
            <w:r>
              <w:rPr>
                <w:rFonts w:hint="eastAsia" w:ascii="仿宋_GB2312" w:hAnsi="仿宋_GB2312" w:eastAsia="仿宋_GB2312" w:cs="仿宋_GB2312"/>
                <w:b w:val="0"/>
                <w:bCs w:val="0"/>
                <w:color w:val="auto"/>
                <w:sz w:val="24"/>
                <w:szCs w:val="24"/>
                <w:highlight w:val="none"/>
                <w:u w:val="single"/>
                <w:lang w:val="en-US" w:eastAsia="zh-CN"/>
              </w:rPr>
              <w:t>经过96h人造气氛腐蚀试验（中性盐雾NSS、乙酸盐雾AASS），保护评级、外观评级均不低于9级。</w:t>
            </w:r>
          </w:p>
          <w:p w14:paraId="1ABCD219">
            <w:pPr>
              <w:pStyle w:val="865"/>
              <w:keepNext w:val="0"/>
              <w:keepLines w:val="0"/>
              <w:pageBreakBefore w:val="0"/>
              <w:kinsoku/>
              <w:wordWrap/>
              <w:overflowPunct/>
              <w:topLinePunct w:val="0"/>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（四）课桌书篮：</w:t>
            </w:r>
          </w:p>
          <w:p w14:paraId="64887D3D">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sz w:val="24"/>
                <w:szCs w:val="24"/>
                <w:highlight w:val="none"/>
                <w:u w:val="none"/>
                <w:lang w:val="en-US" w:eastAsia="zh-CN"/>
              </w:rPr>
              <w:t>课桌</w:t>
            </w:r>
            <w:r>
              <w:rPr>
                <w:rFonts w:hint="eastAsia" w:ascii="仿宋_GB2312" w:hAnsi="仿宋_GB2312" w:eastAsia="仿宋_GB2312" w:cs="仿宋_GB2312"/>
                <w:color w:val="auto"/>
                <w:sz w:val="24"/>
                <w:szCs w:val="24"/>
                <w:highlight w:val="none"/>
                <w:u w:val="none"/>
                <w:lang w:val="en-US" w:eastAsia="zh-CN"/>
              </w:rPr>
              <w:t>下方焊接书篮一个，书篮规格：长500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宽180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高180mm（±5mm），书篮由厚度不低于0.7mm冷轧钢板冲孔焊接而成，美观大方、实用性强。</w:t>
            </w:r>
          </w:p>
          <w:p w14:paraId="17BECA04">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b w:val="0"/>
                <w:bCs w:val="0"/>
                <w:color w:val="auto"/>
                <w:sz w:val="24"/>
                <w:szCs w:val="24"/>
                <w:highlight w:val="none"/>
                <w:u w:val="single"/>
                <w:lang w:val="en-US" w:eastAsia="zh-CN"/>
              </w:rPr>
            </w:pPr>
            <w:r>
              <w:rPr>
                <w:rFonts w:hint="eastAsia" w:ascii="仿宋_GB2312" w:hAnsi="仿宋_GB2312" w:eastAsia="仿宋_GB2312" w:cs="仿宋_GB2312"/>
                <w:b w:val="0"/>
                <w:bCs w:val="0"/>
                <w:color w:val="auto"/>
                <w:sz w:val="24"/>
                <w:szCs w:val="24"/>
                <w:highlight w:val="none"/>
                <w:u w:val="single"/>
                <w:lang w:val="en-US" w:eastAsia="zh-CN"/>
              </w:rPr>
              <w:t>●课桌书篮符合GB/T 11253-2019 《碳素结构钢冷轧钢板及钢带》、GB/T 3325-2024 《金属家具通用技术条件》、GB/T 10125-2021 《人造气氛腐蚀试验 盐雾试验》、GB/T 6461-2002 《金属基体上金属和其他无机覆盖层 经腐蚀试验后的试样和试件的评级》、GB/T 35607-2024《绿色产品评价 家具》要求，</w:t>
            </w:r>
          </w:p>
          <w:p w14:paraId="6B06A64D">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single"/>
                <w:lang w:val="en-US" w:eastAsia="zh-CN"/>
              </w:rPr>
              <w:t>力学性能：下屈服强度≥195Mpa、抗拉强度315～430Mpa、断后伸长率≥24%；外观性能（金属件喷漆（塑）涂层）合格，</w:t>
            </w:r>
            <w:r>
              <w:rPr>
                <w:rFonts w:hint="eastAsia" w:ascii="仿宋_GB2312" w:hAnsi="仿宋_GB2312" w:eastAsia="仿宋_GB2312" w:cs="仿宋_GB2312"/>
                <w:b w:val="0"/>
                <w:bCs w:val="0"/>
                <w:color w:val="auto"/>
                <w:sz w:val="24"/>
                <w:szCs w:val="24"/>
                <w:highlight w:val="none"/>
                <w:u w:val="single"/>
                <w:lang w:val="en-US" w:eastAsia="zh-CN"/>
              </w:rPr>
              <w:t>金属喷漆（塑）涂层（硬度、冲击强度、附着力）检测合格；</w:t>
            </w:r>
            <w:r>
              <w:rPr>
                <w:rFonts w:hint="eastAsia" w:ascii="仿宋_GB2312" w:hAnsi="仿宋_GB2312" w:eastAsia="仿宋_GB2312" w:cs="仿宋_GB2312"/>
                <w:b w:val="0"/>
                <w:bCs w:val="0"/>
                <w:color w:val="auto"/>
                <w:kern w:val="2"/>
                <w:sz w:val="24"/>
                <w:szCs w:val="24"/>
                <w:highlight w:val="none"/>
                <w:u w:val="single"/>
                <w:lang w:val="en-US" w:eastAsia="zh-CN" w:bidi="ar-SA"/>
              </w:rPr>
              <w:t>产品有害物质：家具涂层可迁移元素：铅Pb≤90mg/kg、镉Cd≤50mg/kg、铬Cr≤25mg/kg、汞Hg≤25mg/kg；</w:t>
            </w:r>
            <w:r>
              <w:rPr>
                <w:rFonts w:hint="eastAsia" w:ascii="仿宋_GB2312" w:hAnsi="仿宋_GB2312" w:eastAsia="仿宋_GB2312" w:cs="仿宋_GB2312"/>
                <w:b w:val="0"/>
                <w:bCs w:val="0"/>
                <w:color w:val="auto"/>
                <w:sz w:val="24"/>
                <w:szCs w:val="24"/>
                <w:highlight w:val="none"/>
                <w:u w:val="single"/>
                <w:lang w:val="en-US" w:eastAsia="zh-CN"/>
              </w:rPr>
              <w:t>经过96h人造气氛腐蚀试验（中性盐雾NSS、乙酸盐雾AASS），保护评级、外观评级均不低于9级</w:t>
            </w:r>
            <w:r>
              <w:rPr>
                <w:rFonts w:hint="eastAsia" w:ascii="仿宋_GB2312" w:hAnsi="仿宋_GB2312" w:eastAsia="仿宋_GB2312" w:cs="仿宋_GB2312"/>
                <w:b w:val="0"/>
                <w:bCs w:val="0"/>
                <w:color w:val="auto"/>
                <w:sz w:val="24"/>
                <w:szCs w:val="24"/>
                <w:highlight w:val="none"/>
                <w:u w:val="none"/>
                <w:lang w:val="en-US" w:eastAsia="zh-CN"/>
              </w:rPr>
              <w:t>。</w:t>
            </w:r>
          </w:p>
          <w:p w14:paraId="7B14E9A9">
            <w:pPr>
              <w:pStyle w:val="865"/>
              <w:keepNext w:val="0"/>
              <w:keepLines w:val="0"/>
              <w:pageBreakBefore w:val="0"/>
              <w:kinsoku/>
              <w:wordWrap/>
              <w:overflowPunct/>
              <w:topLinePunct w:val="0"/>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val="en-US" w:eastAsia="zh-CN"/>
              </w:rPr>
              <w:t>（五）</w:t>
            </w:r>
            <w:r>
              <w:rPr>
                <w:rFonts w:hint="eastAsia" w:ascii="仿宋_GB2312" w:hAnsi="仿宋_GB2312" w:eastAsia="仿宋_GB2312" w:cs="仿宋_GB2312"/>
                <w:b/>
                <w:bCs/>
                <w:color w:val="auto"/>
                <w:sz w:val="24"/>
                <w:szCs w:val="24"/>
                <w:highlight w:val="none"/>
                <w:u w:val="none"/>
              </w:rPr>
              <w:t>桌架：</w:t>
            </w:r>
          </w:p>
          <w:p w14:paraId="43FE92FE">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val="en-US" w:eastAsia="zh-CN"/>
              </w:rPr>
              <w:t>1.立柱连接</w:t>
            </w:r>
            <w:r>
              <w:rPr>
                <w:rFonts w:hint="eastAsia" w:ascii="仿宋_GB2312" w:hAnsi="仿宋_GB2312" w:eastAsia="仿宋_GB2312" w:cs="仿宋_GB2312"/>
                <w:color w:val="auto"/>
                <w:sz w:val="24"/>
                <w:szCs w:val="24"/>
                <w:highlight w:val="none"/>
                <w:u w:val="none"/>
              </w:rPr>
              <w:t>底脚</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椭圆管焊接成型</w:t>
            </w:r>
            <w:r>
              <w:rPr>
                <w:rFonts w:hint="eastAsia" w:ascii="仿宋_GB2312" w:hAnsi="仿宋_GB2312" w:eastAsia="仿宋_GB2312" w:cs="仿宋_GB2312"/>
                <w:color w:val="auto"/>
                <w:sz w:val="24"/>
                <w:szCs w:val="24"/>
                <w:highlight w:val="none"/>
                <w:u w:val="none"/>
                <w:lang w:eastAsia="zh-CN"/>
              </w:rPr>
              <w:t>。</w:t>
            </w:r>
          </w:p>
          <w:p w14:paraId="5693A838">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val="en-US" w:eastAsia="zh-CN"/>
              </w:rPr>
              <w:t>2.课桌</w:t>
            </w:r>
            <w:r>
              <w:rPr>
                <w:rFonts w:hint="eastAsia" w:ascii="仿宋_GB2312" w:hAnsi="仿宋_GB2312" w:eastAsia="仿宋_GB2312" w:cs="仿宋_GB2312"/>
                <w:color w:val="auto"/>
                <w:sz w:val="24"/>
                <w:szCs w:val="24"/>
                <w:highlight w:val="none"/>
                <w:u w:val="none"/>
              </w:rPr>
              <w:t>立柱</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椭圆管焊接成型，</w:t>
            </w:r>
            <w:r>
              <w:rPr>
                <w:rFonts w:hint="eastAsia" w:ascii="仿宋_GB2312" w:hAnsi="仿宋_GB2312" w:eastAsia="仿宋_GB2312" w:cs="仿宋_GB2312"/>
                <w:color w:val="auto"/>
                <w:sz w:val="24"/>
                <w:szCs w:val="24"/>
                <w:highlight w:val="none"/>
                <w:u w:val="none"/>
                <w:lang w:val="en-US" w:eastAsia="zh-CN"/>
              </w:rPr>
              <w:t>课桌</w:t>
            </w:r>
            <w:r>
              <w:rPr>
                <w:rFonts w:hint="eastAsia" w:ascii="仿宋_GB2312" w:hAnsi="仿宋_GB2312" w:eastAsia="仿宋_GB2312" w:cs="仿宋_GB2312"/>
                <w:color w:val="auto"/>
                <w:sz w:val="24"/>
                <w:szCs w:val="24"/>
                <w:highlight w:val="none"/>
                <w:u w:val="none"/>
              </w:rPr>
              <w:t>升降立柱套管采用50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20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椭圆管，方便调节高度</w:t>
            </w:r>
            <w:r>
              <w:rPr>
                <w:rFonts w:hint="eastAsia" w:ascii="仿宋_GB2312" w:hAnsi="仿宋_GB2312" w:eastAsia="仿宋_GB2312" w:cs="仿宋_GB2312"/>
                <w:color w:val="auto"/>
                <w:sz w:val="24"/>
                <w:szCs w:val="24"/>
                <w:highlight w:val="none"/>
                <w:u w:val="none"/>
                <w:lang w:eastAsia="zh-CN"/>
              </w:rPr>
              <w:t>。</w:t>
            </w:r>
          </w:p>
          <w:p w14:paraId="6651D55D">
            <w:pPr>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b w:val="0"/>
                <w:bCs w:val="0"/>
                <w:color w:val="auto"/>
                <w:sz w:val="24"/>
                <w:szCs w:val="24"/>
                <w:highlight w:val="none"/>
                <w:u w:val="single"/>
                <w:lang w:val="en-US" w:eastAsia="zh-CN"/>
              </w:rPr>
            </w:pP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u w:val="single"/>
                <w:lang w:val="en-US" w:eastAsia="zh-CN"/>
              </w:rPr>
              <w:t>课桌立柱符合</w:t>
            </w:r>
            <w:r>
              <w:rPr>
                <w:rFonts w:hint="eastAsia" w:ascii="仿宋_GB2312" w:hAnsi="仿宋_GB2312" w:eastAsia="仿宋_GB2312" w:cs="仿宋_GB2312"/>
                <w:b w:val="0"/>
                <w:bCs w:val="0"/>
                <w:color w:val="auto"/>
                <w:kern w:val="2"/>
                <w:sz w:val="24"/>
                <w:szCs w:val="24"/>
                <w:highlight w:val="none"/>
                <w:u w:val="single"/>
                <w:lang w:val="en-US" w:eastAsia="zh-CN" w:bidi="ar-SA"/>
              </w:rPr>
              <w:t>GB/T 11253-2019《碳素结构钢冷轧钢板及钢带》、</w:t>
            </w:r>
            <w:r>
              <w:rPr>
                <w:rFonts w:hint="eastAsia" w:ascii="仿宋_GB2312" w:hAnsi="仿宋_GB2312" w:eastAsia="仿宋_GB2312" w:cs="仿宋_GB2312"/>
                <w:b w:val="0"/>
                <w:bCs w:val="0"/>
                <w:color w:val="auto"/>
                <w:sz w:val="24"/>
                <w:szCs w:val="24"/>
                <w:highlight w:val="none"/>
                <w:u w:val="single"/>
                <w:lang w:val="en-US" w:eastAsia="zh-CN"/>
              </w:rPr>
              <w:t>GB/T 3325-2024 《金属家具通用技术条件》、GB/T 10125-2021 《人造气氛腐蚀试验 盐雾试验》、GB/T6461-2002 《金属基体上金属和其他无机覆盖层经腐蚀试验后的试样和试件的评级》、</w:t>
            </w:r>
            <w:r>
              <w:rPr>
                <w:rFonts w:hint="eastAsia" w:ascii="仿宋_GB2312" w:hAnsi="仿宋_GB2312" w:eastAsia="仿宋_GB2312" w:cs="仿宋_GB2312"/>
                <w:b w:val="0"/>
                <w:bCs w:val="0"/>
                <w:color w:val="auto"/>
                <w:kern w:val="2"/>
                <w:sz w:val="24"/>
                <w:szCs w:val="24"/>
                <w:highlight w:val="none"/>
                <w:u w:val="single"/>
                <w:lang w:val="en-US" w:eastAsia="zh-CN" w:bidi="ar-SA"/>
              </w:rPr>
              <w:t>GB/T35607-2024《绿色产品评价 家具》</w:t>
            </w:r>
            <w:r>
              <w:rPr>
                <w:rFonts w:hint="eastAsia" w:ascii="仿宋_GB2312" w:hAnsi="仿宋_GB2312" w:eastAsia="仿宋_GB2312" w:cs="仿宋_GB2312"/>
                <w:b w:val="0"/>
                <w:bCs w:val="0"/>
                <w:color w:val="auto"/>
                <w:sz w:val="24"/>
                <w:szCs w:val="24"/>
                <w:highlight w:val="none"/>
                <w:u w:val="single"/>
                <w:lang w:val="en-US" w:eastAsia="zh-CN"/>
              </w:rPr>
              <w:t>要求，其中：</w:t>
            </w:r>
          </w:p>
          <w:p w14:paraId="0A047084">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b w:val="0"/>
                <w:bCs w:val="0"/>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力学性能：下屈服强度≥195Mpa、抗拉强度315～430Mpa、断后伸长率≥24%；外观性能（金属件喷漆（塑）涂层），</w:t>
            </w:r>
            <w:r>
              <w:rPr>
                <w:rFonts w:hint="eastAsia" w:ascii="仿宋_GB2312" w:hAnsi="仿宋_GB2312" w:eastAsia="仿宋_GB2312" w:cs="仿宋_GB2312"/>
                <w:b w:val="0"/>
                <w:bCs w:val="0"/>
                <w:color w:val="auto"/>
                <w:sz w:val="24"/>
                <w:szCs w:val="24"/>
                <w:highlight w:val="none"/>
                <w:u w:val="single"/>
                <w:lang w:val="en-US" w:eastAsia="zh-CN"/>
              </w:rPr>
              <w:t>金属喷漆（塑）涂层（硬度、冲击强度、附着力）检测合格；</w:t>
            </w:r>
            <w:r>
              <w:rPr>
                <w:rFonts w:hint="eastAsia" w:ascii="仿宋_GB2312" w:hAnsi="仿宋_GB2312" w:eastAsia="仿宋_GB2312" w:cs="仿宋_GB2312"/>
                <w:b w:val="0"/>
                <w:bCs w:val="0"/>
                <w:color w:val="auto"/>
                <w:kern w:val="2"/>
                <w:sz w:val="24"/>
                <w:szCs w:val="24"/>
                <w:highlight w:val="none"/>
                <w:u w:val="single"/>
                <w:lang w:val="en-US" w:eastAsia="zh-CN" w:bidi="ar-SA"/>
              </w:rPr>
              <w:t>产品有害物质：家具涂层可迁移元素：铅Pb≤90mg/kg、镉Cd≤50mg/kg、铬Cr≤25mg/kg、汞Hg≤25mg/kg；</w:t>
            </w:r>
            <w:r>
              <w:rPr>
                <w:rFonts w:hint="eastAsia" w:ascii="仿宋_GB2312" w:hAnsi="仿宋_GB2312" w:eastAsia="仿宋_GB2312" w:cs="仿宋_GB2312"/>
                <w:b w:val="0"/>
                <w:bCs w:val="0"/>
                <w:color w:val="auto"/>
                <w:sz w:val="24"/>
                <w:szCs w:val="24"/>
                <w:highlight w:val="none"/>
                <w:u w:val="single"/>
                <w:lang w:val="en-US" w:eastAsia="zh-CN"/>
              </w:rPr>
              <w:t>经过96h人造气氛腐蚀试验（中性盐雾NSS、乙酸盐雾AASS），保护评级、外观评级均不低于9级。</w:t>
            </w:r>
          </w:p>
          <w:p w14:paraId="050D6748">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lang w:val="en-US" w:eastAsia="zh-CN"/>
              </w:rPr>
              <w:t>3.</w:t>
            </w:r>
            <w:r>
              <w:rPr>
                <w:rFonts w:hint="eastAsia" w:ascii="仿宋_GB2312" w:hAnsi="仿宋_GB2312" w:eastAsia="仿宋_GB2312" w:cs="仿宋_GB2312"/>
                <w:color w:val="auto"/>
                <w:sz w:val="24"/>
                <w:szCs w:val="24"/>
                <w:highlight w:val="none"/>
                <w:u w:val="none"/>
              </w:rPr>
              <w:t>横杆采用60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椭圆管焊接成型。</w:t>
            </w:r>
          </w:p>
          <w:p w14:paraId="3DF7EFD5">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lang w:val="en-US" w:eastAsia="zh-CN"/>
              </w:rPr>
              <w:t>4.</w:t>
            </w:r>
            <w:r>
              <w:rPr>
                <w:rFonts w:hint="eastAsia" w:ascii="仿宋_GB2312" w:hAnsi="仿宋_GB2312" w:eastAsia="仿宋_GB2312" w:cs="仿宋_GB2312"/>
                <w:color w:val="auto"/>
                <w:sz w:val="24"/>
                <w:szCs w:val="24"/>
                <w:highlight w:val="none"/>
                <w:u w:val="none"/>
              </w:rPr>
              <w:t>书斗支架采用40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20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w:t>
            </w:r>
          </w:p>
          <w:p w14:paraId="2343B614">
            <w:pPr>
              <w:keepNext w:val="0"/>
              <w:keepLines w:val="0"/>
              <w:pageBreakBefore w:val="0"/>
              <w:kinsoku/>
              <w:wordWrap/>
              <w:overflowPunct/>
              <w:topLinePunct w:val="0"/>
              <w:autoSpaceDE w:val="0"/>
              <w:autoSpaceDN w:val="0"/>
              <w:bidi w:val="0"/>
              <w:adjustRightInd/>
              <w:spacing w:line="400" w:lineRule="exact"/>
              <w:ind w:firstLine="482" w:firstLineChars="200"/>
              <w:jc w:val="left"/>
              <w:textAlignment w:val="auto"/>
              <w:rPr>
                <w:rFonts w:hint="eastAsia" w:ascii="仿宋_GB2312" w:hAnsi="仿宋_GB2312" w:eastAsia="仿宋_GB2312" w:cs="仿宋_GB2312"/>
                <w:b/>
                <w:bCs/>
                <w:color w:val="auto"/>
                <w:kern w:val="2"/>
                <w:sz w:val="24"/>
                <w:szCs w:val="24"/>
                <w:highlight w:val="none"/>
                <w:u w:val="none"/>
                <w:lang w:val="en-US" w:eastAsia="zh-CN" w:bidi="ar-SA"/>
              </w:rPr>
            </w:pPr>
            <w:r>
              <w:rPr>
                <w:rFonts w:hint="eastAsia" w:ascii="仿宋_GB2312" w:hAnsi="仿宋_GB2312" w:eastAsia="仿宋_GB2312" w:cs="仿宋_GB2312"/>
                <w:b/>
                <w:bCs/>
                <w:color w:val="auto"/>
                <w:kern w:val="2"/>
                <w:sz w:val="24"/>
                <w:szCs w:val="24"/>
                <w:highlight w:val="none"/>
                <w:u w:val="none"/>
                <w:lang w:val="en-US" w:eastAsia="zh-CN" w:bidi="ar-SA"/>
              </w:rPr>
              <w:t>（六）脚套：</w:t>
            </w:r>
          </w:p>
          <w:p w14:paraId="216A1884">
            <w:pPr>
              <w:keepNext w:val="0"/>
              <w:keepLines w:val="0"/>
              <w:pageBreakBefore w:val="0"/>
              <w:kinsoku/>
              <w:wordWrap/>
              <w:overflowPunct/>
              <w:topLinePunct w:val="0"/>
              <w:autoSpaceDE w:val="0"/>
              <w:autoSpaceDN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采用PP工程塑料</w:t>
            </w:r>
            <w:r>
              <w:rPr>
                <w:rFonts w:hint="eastAsia" w:ascii="仿宋_GB2312" w:hAnsi="仿宋_GB2312" w:eastAsia="仿宋_GB2312" w:cs="仿宋_GB2312"/>
                <w:color w:val="auto"/>
                <w:sz w:val="24"/>
                <w:szCs w:val="24"/>
                <w:highlight w:val="none"/>
                <w:u w:val="none"/>
                <w:lang w:val="en-US" w:eastAsia="zh-CN"/>
              </w:rPr>
              <w:t>一次性</w:t>
            </w:r>
            <w:r>
              <w:rPr>
                <w:rFonts w:hint="eastAsia" w:ascii="仿宋_GB2312" w:hAnsi="仿宋_GB2312" w:eastAsia="仿宋_GB2312" w:cs="仿宋_GB2312"/>
                <w:color w:val="auto"/>
                <w:sz w:val="24"/>
                <w:szCs w:val="24"/>
                <w:highlight w:val="none"/>
                <w:u w:val="none"/>
              </w:rPr>
              <w:t>注塑成型，</w:t>
            </w:r>
            <w:r>
              <w:rPr>
                <w:rFonts w:hint="eastAsia" w:ascii="仿宋_GB2312" w:hAnsi="仿宋_GB2312" w:eastAsia="仿宋_GB2312" w:cs="仿宋_GB2312"/>
                <w:color w:val="auto"/>
                <w:sz w:val="24"/>
                <w:szCs w:val="24"/>
                <w:highlight w:val="none"/>
                <w:u w:val="none"/>
                <w:lang w:val="en-US" w:eastAsia="zh-CN"/>
              </w:rPr>
              <w:t>颜色为蓝色。</w:t>
            </w:r>
            <w:r>
              <w:rPr>
                <w:rFonts w:hint="eastAsia" w:ascii="仿宋_GB2312" w:hAnsi="仿宋_GB2312" w:eastAsia="仿宋_GB2312" w:cs="仿宋_GB2312"/>
                <w:color w:val="auto"/>
                <w:sz w:val="24"/>
                <w:szCs w:val="24"/>
                <w:highlight w:val="none"/>
                <w:u w:val="none"/>
              </w:rPr>
              <w:t>环保无异味</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起到防滑、防摩擦等作用</w:t>
            </w:r>
            <w:r>
              <w:rPr>
                <w:rFonts w:hint="eastAsia" w:ascii="仿宋_GB2312" w:hAnsi="仿宋_GB2312" w:eastAsia="仿宋_GB2312" w:cs="仿宋_GB2312"/>
                <w:color w:val="auto"/>
                <w:sz w:val="24"/>
                <w:szCs w:val="24"/>
                <w:highlight w:val="none"/>
                <w:u w:val="none"/>
              </w:rPr>
              <w:t>。</w:t>
            </w:r>
          </w:p>
          <w:p w14:paraId="263ED0D0">
            <w:pPr>
              <w:keepNext w:val="0"/>
              <w:keepLines w:val="0"/>
              <w:pageBreakBefore w:val="0"/>
              <w:kinsoku/>
              <w:wordWrap/>
              <w:overflowPunct/>
              <w:topLinePunct w:val="0"/>
              <w:autoSpaceDE w:val="0"/>
              <w:autoSpaceDN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single"/>
                <w:lang w:val="en-US" w:eastAsia="zh-CN"/>
              </w:rPr>
              <w:t>脚套符合GB/T 32487-2016 《塑料家具通用技术条件》、</w:t>
            </w:r>
            <w:r>
              <w:rPr>
                <w:rFonts w:hint="eastAsia" w:ascii="仿宋_GB2312" w:hAnsi="仿宋_GB2312" w:eastAsia="仿宋_GB2312" w:cs="仿宋_GB2312"/>
                <w:color w:val="auto"/>
                <w:sz w:val="24"/>
                <w:szCs w:val="24"/>
                <w:highlight w:val="none"/>
                <w:u w:val="single"/>
              </w:rPr>
              <w:t>GB 28481-2012《塑料家具中有害物质限量》</w:t>
            </w:r>
            <w:r>
              <w:rPr>
                <w:rFonts w:hint="eastAsia" w:ascii="仿宋_GB2312" w:hAnsi="仿宋_GB2312" w:eastAsia="仿宋_GB2312" w:cs="仿宋_GB2312"/>
                <w:color w:val="auto"/>
                <w:sz w:val="24"/>
                <w:szCs w:val="24"/>
                <w:highlight w:val="none"/>
                <w:u w:val="single"/>
                <w:lang w:val="en-US" w:eastAsia="zh-CN"/>
              </w:rPr>
              <w:t>要求，其中：</w:t>
            </w:r>
          </w:p>
          <w:p w14:paraId="3D7E8009">
            <w:pPr>
              <w:keepNext w:val="0"/>
              <w:keepLines w:val="0"/>
              <w:pageBreakBefore w:val="0"/>
              <w:kinsoku/>
              <w:wordWrap/>
              <w:overflowPunct/>
              <w:topLinePunct w:val="0"/>
              <w:autoSpaceDE w:val="0"/>
              <w:autoSpaceDN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苯并［a］芘≤1.0mg/kg；塑料件外观合格，塑料材料耐老化性合格，</w:t>
            </w:r>
            <w:r>
              <w:rPr>
                <w:rFonts w:hint="eastAsia" w:ascii="仿宋_GB2312" w:hAnsi="仿宋_GB2312" w:eastAsia="仿宋_GB2312" w:cs="仿宋_GB2312"/>
                <w:color w:val="auto"/>
                <w:sz w:val="24"/>
                <w:szCs w:val="24"/>
                <w:highlight w:val="none"/>
                <w:lang w:val="en-US" w:eastAsia="zh-CN"/>
              </w:rPr>
              <w:t>塑料件</w:t>
            </w:r>
            <w:r>
              <w:rPr>
                <w:rFonts w:hint="eastAsia" w:ascii="仿宋_GB2312" w:hAnsi="仿宋_GB2312" w:eastAsia="仿宋_GB2312" w:cs="仿宋_GB2312"/>
                <w:color w:val="auto"/>
                <w:sz w:val="24"/>
                <w:szCs w:val="24"/>
                <w:highlight w:val="none"/>
                <w:u w:val="single"/>
                <w:lang w:val="en-US" w:eastAsia="zh-CN"/>
              </w:rPr>
              <w:t>硬度（邵氏D硬度）≥HD63；邻苯二甲酸酯≤0.1%；16种</w:t>
            </w:r>
            <w:r>
              <w:rPr>
                <w:rFonts w:hint="eastAsia" w:ascii="仿宋_GB2312" w:hAnsi="仿宋_GB2312" w:eastAsia="仿宋_GB2312" w:cs="仿宋_GB2312"/>
                <w:color w:val="auto"/>
                <w:sz w:val="24"/>
                <w:szCs w:val="24"/>
                <w:highlight w:val="none"/>
                <w:u w:val="single"/>
              </w:rPr>
              <w:t>多环芳烃</w:t>
            </w:r>
            <w:r>
              <w:rPr>
                <w:rFonts w:hint="eastAsia" w:ascii="仿宋_GB2312" w:hAnsi="仿宋_GB2312" w:eastAsia="仿宋_GB2312" w:cs="仿宋_GB2312"/>
                <w:color w:val="auto"/>
                <w:sz w:val="24"/>
                <w:szCs w:val="24"/>
                <w:highlight w:val="none"/>
                <w:u w:val="single"/>
                <w:lang w:eastAsia="zh-CN"/>
              </w:rPr>
              <w:t>（</w:t>
            </w:r>
            <w:r>
              <w:rPr>
                <w:rFonts w:hint="eastAsia" w:ascii="仿宋_GB2312" w:hAnsi="仿宋_GB2312" w:eastAsia="仿宋_GB2312" w:cs="仿宋_GB2312"/>
                <w:color w:val="auto"/>
                <w:sz w:val="24"/>
                <w:szCs w:val="24"/>
                <w:highlight w:val="none"/>
                <w:u w:val="single"/>
                <w:lang w:val="en-US" w:eastAsia="zh-CN"/>
              </w:rPr>
              <w:t>PAH)总量≤10mg/kg；塑料重金属：可溶性铅≤90mg/kg、可溶性镉≤75mg/kg、可溶性铬≤60mg/kg、可溶性汞≤60mg/kg。</w:t>
            </w:r>
          </w:p>
          <w:p w14:paraId="6CFB7B32">
            <w:pPr>
              <w:keepNext w:val="0"/>
              <w:keepLines w:val="0"/>
              <w:pageBreakBefore w:val="0"/>
              <w:kinsoku/>
              <w:wordWrap/>
              <w:overflowPunct/>
              <w:topLinePunct w:val="0"/>
              <w:bidi w:val="0"/>
              <w:adjustRightIn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szCs w:val="24"/>
                <w:highlight w:val="none"/>
                <w:u w:val="none"/>
                <w:lang w:val="en-US" w:eastAsia="zh-CN"/>
              </w:rPr>
              <w:t>（七）书包挂钩：</w:t>
            </w:r>
          </w:p>
          <w:p w14:paraId="03F4061E">
            <w:pPr>
              <w:keepNext w:val="0"/>
              <w:keepLines w:val="0"/>
              <w:pageBreakBefore w:val="0"/>
              <w:kinsoku/>
              <w:wordWrap/>
              <w:overflowPunct/>
              <w:topLinePunct w:val="0"/>
              <w:bidi w:val="0"/>
              <w:adjustRightInd/>
              <w:spacing w:line="400" w:lineRule="exact"/>
              <w:ind w:firstLine="480" w:firstLineChars="200"/>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在桌面的左右下方，在钢制支撑架上，须焊接设置左右两个实心钢制书包挂钩，承重强且耐用。</w:t>
            </w:r>
          </w:p>
          <w:p w14:paraId="52711B59">
            <w:pPr>
              <w:keepNext w:val="0"/>
              <w:keepLines w:val="0"/>
              <w:pageBreakBefore w:val="0"/>
              <w:numPr>
                <w:ilvl w:val="0"/>
                <w:numId w:val="0"/>
              </w:numPr>
              <w:kinsoku/>
              <w:wordWrap/>
              <w:overflowPunct/>
              <w:topLinePunct w:val="0"/>
              <w:autoSpaceDE w:val="0"/>
              <w:autoSpaceDN w:val="0"/>
              <w:bidi w:val="0"/>
              <w:adjustRightInd/>
              <w:spacing w:line="400" w:lineRule="exact"/>
              <w:ind w:firstLine="482"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kern w:val="2"/>
                <w:sz w:val="24"/>
                <w:szCs w:val="24"/>
                <w:highlight w:val="none"/>
                <w:u w:val="none"/>
                <w:lang w:val="en-US" w:eastAsia="zh-CN" w:bidi="ar-SA"/>
              </w:rPr>
              <w:t>（八）连接配件：</w:t>
            </w:r>
          </w:p>
          <w:p w14:paraId="24D8C94D">
            <w:pPr>
              <w:keepNext w:val="0"/>
              <w:keepLines w:val="0"/>
              <w:pageBreakBefore w:val="0"/>
              <w:numPr>
                <w:ilvl w:val="0"/>
                <w:numId w:val="0"/>
              </w:numPr>
              <w:kinsoku/>
              <w:wordWrap/>
              <w:overflowPunct/>
              <w:topLinePunct w:val="0"/>
              <w:autoSpaceDE w:val="0"/>
              <w:autoSpaceDN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 xml:space="preserve">各连接部位用止退螺丝、螺母。螺丝升降调节高低。 </w:t>
            </w:r>
          </w:p>
          <w:p w14:paraId="663D7FC2">
            <w:pPr>
              <w:keepNext w:val="0"/>
              <w:keepLines w:val="0"/>
              <w:pageBreakBefore w:val="0"/>
              <w:numPr>
                <w:ilvl w:val="0"/>
                <w:numId w:val="0"/>
              </w:numPr>
              <w:kinsoku/>
              <w:wordWrap/>
              <w:overflowPunct/>
              <w:topLinePunct w:val="0"/>
              <w:autoSpaceDE w:val="0"/>
              <w:autoSpaceDN w:val="0"/>
              <w:bidi w:val="0"/>
              <w:adjustRightInd/>
              <w:spacing w:line="400" w:lineRule="exact"/>
              <w:ind w:firstLine="482" w:firstLineChars="200"/>
              <w:jc w:val="left"/>
              <w:textAlignment w:val="auto"/>
              <w:rPr>
                <w:rFonts w:hint="eastAsia" w:ascii="仿宋_GB2312" w:hAnsi="仿宋_GB2312" w:eastAsia="仿宋_GB2312" w:cs="仿宋_GB2312"/>
                <w:b/>
                <w:bCs/>
                <w:color w:val="auto"/>
                <w:kern w:val="2"/>
                <w:sz w:val="24"/>
                <w:szCs w:val="24"/>
                <w:highlight w:val="none"/>
                <w:u w:val="none"/>
                <w:lang w:val="en-US" w:eastAsia="zh-CN" w:bidi="ar-SA"/>
              </w:rPr>
            </w:pPr>
            <w:r>
              <w:rPr>
                <w:rFonts w:hint="eastAsia" w:ascii="仿宋_GB2312" w:hAnsi="仿宋_GB2312" w:eastAsia="仿宋_GB2312" w:cs="仿宋_GB2312"/>
                <w:b/>
                <w:bCs/>
                <w:color w:val="auto"/>
                <w:kern w:val="2"/>
                <w:sz w:val="24"/>
                <w:szCs w:val="24"/>
                <w:highlight w:val="none"/>
                <w:u w:val="none"/>
                <w:lang w:val="en-US" w:eastAsia="zh-CN" w:bidi="ar-SA"/>
              </w:rPr>
              <w:t>（九）：桌子重量</w:t>
            </w:r>
          </w:p>
          <w:p w14:paraId="373702CD">
            <w:pPr>
              <w:keepNext w:val="0"/>
              <w:keepLines w:val="0"/>
              <w:pageBreakBefore w:val="0"/>
              <w:numPr>
                <w:ilvl w:val="0"/>
                <w:numId w:val="0"/>
              </w:numPr>
              <w:kinsoku/>
              <w:wordWrap/>
              <w:overflowPunct/>
              <w:topLinePunct w:val="0"/>
              <w:autoSpaceDE w:val="0"/>
              <w:autoSpaceDN w:val="0"/>
              <w:bidi w:val="0"/>
              <w:adjustRightInd/>
              <w:spacing w:line="400" w:lineRule="exact"/>
              <w:ind w:firstLine="480" w:firstLineChars="200"/>
              <w:jc w:val="left"/>
              <w:textAlignment w:val="auto"/>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color w:val="auto"/>
                <w:sz w:val="24"/>
                <w:szCs w:val="24"/>
                <w:highlight w:val="none"/>
                <w:u w:val="none"/>
                <w:lang w:val="en-US" w:eastAsia="zh-CN"/>
              </w:rPr>
              <w:t>整张桌子</w:t>
            </w:r>
            <w:r>
              <w:rPr>
                <w:rFonts w:hint="eastAsia" w:ascii="仿宋_GB2312" w:hAnsi="仿宋_GB2312" w:eastAsia="仿宋_GB2312" w:cs="仿宋_GB2312"/>
                <w:color w:val="auto"/>
                <w:kern w:val="2"/>
                <w:sz w:val="24"/>
                <w:szCs w:val="24"/>
                <w:highlight w:val="none"/>
                <w:u w:val="none"/>
                <w:lang w:val="en-US" w:eastAsia="zh-CN" w:bidi="ar-SA"/>
              </w:rPr>
              <w:t>净重不小于13公斤。</w:t>
            </w:r>
            <w:r>
              <w:rPr>
                <w:rFonts w:hint="eastAsia" w:ascii="仿宋_GB2312" w:hAnsi="仿宋_GB2312" w:eastAsia="仿宋_GB2312" w:cs="仿宋_GB2312"/>
                <w:color w:val="auto"/>
                <w:sz w:val="24"/>
                <w:szCs w:val="24"/>
                <w:highlight w:val="none"/>
                <w:u w:val="none"/>
              </w:rPr>
              <w:t xml:space="preserve">                                                 </w:t>
            </w:r>
          </w:p>
          <w:p w14:paraId="40C469B4">
            <w:pPr>
              <w:keepNext w:val="0"/>
              <w:keepLines w:val="0"/>
              <w:pageBreakBefore w:val="0"/>
              <w:widowControl/>
              <w:kinsoku/>
              <w:wordWrap/>
              <w:overflowPunct/>
              <w:topLinePunct w:val="0"/>
              <w:bidi w:val="0"/>
              <w:adjustRightInd/>
              <w:spacing w:line="400" w:lineRule="exact"/>
              <w:jc w:val="left"/>
              <w:textAlignment w:val="auto"/>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lang w:val="en-US" w:eastAsia="zh-CN"/>
              </w:rPr>
              <w:t>二、</w:t>
            </w:r>
            <w:r>
              <w:rPr>
                <w:rFonts w:hint="eastAsia" w:ascii="仿宋_GB2312" w:hAnsi="仿宋_GB2312" w:eastAsia="仿宋_GB2312" w:cs="仿宋_GB2312"/>
                <w:b/>
                <w:bCs/>
                <w:color w:val="auto"/>
                <w:sz w:val="24"/>
                <w:szCs w:val="24"/>
                <w:highlight w:val="none"/>
                <w:u w:val="none"/>
              </w:rPr>
              <w:t>学生课椅</w:t>
            </w:r>
          </w:p>
          <w:p w14:paraId="43F4A580">
            <w:pPr>
              <w:pStyle w:val="865"/>
              <w:keepNext w:val="0"/>
              <w:keepLines w:val="0"/>
              <w:pageBreakBefore w:val="0"/>
              <w:kinsoku/>
              <w:wordWrap/>
              <w:overflowPunct/>
              <w:topLinePunct w:val="0"/>
              <w:bidi w:val="0"/>
              <w:adjustRightInd/>
              <w:spacing w:line="400" w:lineRule="exact"/>
              <w:ind w:left="0" w:leftChars="0" w:firstLine="482" w:firstLineChars="200"/>
              <w:jc w:val="left"/>
              <w:textAlignment w:val="auto"/>
              <w:rPr>
                <w:rFonts w:hint="eastAsia" w:ascii="仿宋_GB2312" w:hAnsi="仿宋_GB2312" w:eastAsia="仿宋_GB2312" w:cs="仿宋_GB2312"/>
                <w:b/>
                <w:bCs/>
                <w:color w:val="auto"/>
                <w:sz w:val="24"/>
                <w:szCs w:val="24"/>
                <w:highlight w:val="none"/>
                <w:u w:val="none"/>
                <w:lang w:val="en-US" w:eastAsia="zh-CN"/>
              </w:rPr>
            </w:pPr>
            <w:r>
              <w:rPr>
                <w:rFonts w:ascii="仿宋_GB2312" w:eastAsia="仿宋_GB2312"/>
                <w:b/>
                <w:bCs/>
                <w:color w:val="auto"/>
                <w:sz w:val="24"/>
                <w:highlight w:val="none"/>
              </w:rPr>
              <w:t>★</w:t>
            </w:r>
            <w:r>
              <w:rPr>
                <w:rFonts w:hint="eastAsia" w:ascii="仿宋_GB2312" w:hAnsi="仿宋_GB2312" w:eastAsia="仿宋_GB2312" w:cs="仿宋_GB2312"/>
                <w:b/>
                <w:bCs/>
                <w:color w:val="auto"/>
                <w:sz w:val="24"/>
                <w:szCs w:val="24"/>
                <w:highlight w:val="none"/>
                <w:u w:val="none"/>
                <w:lang w:val="en-US" w:eastAsia="zh-CN"/>
              </w:rPr>
              <w:t>（一）整体规格：</w:t>
            </w:r>
          </w:p>
          <w:p w14:paraId="732A9A4F">
            <w:pPr>
              <w:keepNext w:val="0"/>
              <w:keepLines w:val="0"/>
              <w:pageBreakBefore w:val="0"/>
              <w:kinsoku/>
              <w:wordWrap/>
              <w:overflowPunct/>
              <w:topLinePunct w:val="0"/>
              <w:bidi w:val="0"/>
              <w:adjustRightInd/>
              <w:spacing w:line="40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长520×宽430</w:t>
            </w:r>
            <w:r>
              <w:rPr>
                <w:rFonts w:hint="eastAsia" w:ascii="仿宋_GB2312" w:hAnsi="仿宋_GB2312" w:eastAsia="仿宋_GB2312" w:cs="仿宋_GB2312"/>
                <w:color w:val="auto"/>
                <w:kern w:val="0"/>
                <w:sz w:val="24"/>
                <w:szCs w:val="24"/>
                <w:highlight w:val="none"/>
                <w:u w:val="none"/>
              </w:rPr>
              <w:t>×</w:t>
            </w:r>
            <w:r>
              <w:rPr>
                <w:rFonts w:hint="eastAsia" w:ascii="仿宋_GB2312" w:hAnsi="仿宋_GB2312" w:eastAsia="仿宋_GB2312" w:cs="仿宋_GB2312"/>
                <w:color w:val="auto"/>
                <w:sz w:val="24"/>
                <w:szCs w:val="24"/>
                <w:highlight w:val="none"/>
                <w:u w:val="none"/>
              </w:rPr>
              <w:t>高</w:t>
            </w:r>
            <w:r>
              <w:rPr>
                <w:rFonts w:hint="eastAsia" w:ascii="仿宋_GB2312" w:hAnsi="仿宋_GB2312" w:eastAsia="仿宋_GB2312" w:cs="仿宋_GB2312"/>
                <w:color w:val="auto"/>
                <w:sz w:val="24"/>
                <w:szCs w:val="24"/>
                <w:highlight w:val="none"/>
                <w:u w:val="none"/>
                <w:lang w:val="en-US" w:eastAsia="zh-CN"/>
              </w:rPr>
              <w:t>4</w:t>
            </w:r>
            <w:r>
              <w:rPr>
                <w:rFonts w:hint="eastAsia" w:ascii="仿宋_GB2312" w:hAnsi="仿宋_GB2312" w:eastAsia="仿宋_GB2312" w:cs="仿宋_GB2312"/>
                <w:color w:val="auto"/>
                <w:sz w:val="24"/>
                <w:szCs w:val="24"/>
                <w:highlight w:val="none"/>
                <w:u w:val="none"/>
              </w:rPr>
              <w:t>50mm(±5mm)，调节高度须至少满足</w:t>
            </w:r>
            <w:r>
              <w:rPr>
                <w:rFonts w:hint="eastAsia" w:ascii="仿宋_GB2312" w:hAnsi="仿宋_GB2312" w:eastAsia="仿宋_GB2312" w:cs="仿宋_GB2312"/>
                <w:color w:val="auto"/>
                <w:sz w:val="24"/>
                <w:szCs w:val="24"/>
                <w:highlight w:val="none"/>
                <w:u w:val="none"/>
                <w:lang w:val="en-US" w:eastAsia="zh-CN"/>
              </w:rPr>
              <w:t>坐高330mm、370mm、390mm、410mm、430mm、450mm等6个高度的调整。</w:t>
            </w:r>
          </w:p>
          <w:p w14:paraId="73C0F804">
            <w:pPr>
              <w:keepNext w:val="0"/>
              <w:keepLines w:val="0"/>
              <w:pageBreakBefore w:val="0"/>
              <w:widowControl/>
              <w:kinsoku/>
              <w:wordWrap/>
              <w:overflowPunct/>
              <w:topLinePunct w:val="0"/>
              <w:bidi w:val="0"/>
              <w:adjustRightInd/>
              <w:spacing w:line="400" w:lineRule="exact"/>
              <w:ind w:firstLine="482" w:firstLineChars="200"/>
              <w:jc w:val="left"/>
              <w:textAlignment w:val="auto"/>
              <w:rPr>
                <w:rFonts w:hint="eastAsia" w:ascii="仿宋_GB2312" w:hAnsi="仿宋_GB2312" w:eastAsia="仿宋_GB2312" w:cs="仿宋_GB2312"/>
                <w:b/>
                <w:bCs/>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szCs w:val="24"/>
                <w:highlight w:val="none"/>
                <w:u w:val="none"/>
                <w:lang w:val="en-US" w:eastAsia="zh-CN"/>
              </w:rPr>
              <w:t>（二）课</w:t>
            </w:r>
            <w:r>
              <w:rPr>
                <w:rFonts w:hint="eastAsia" w:ascii="仿宋_GB2312" w:hAnsi="仿宋_GB2312" w:eastAsia="仿宋_GB2312" w:cs="仿宋_GB2312"/>
                <w:b/>
                <w:bCs/>
                <w:color w:val="auto"/>
                <w:kern w:val="0"/>
                <w:sz w:val="24"/>
                <w:szCs w:val="24"/>
                <w:highlight w:val="none"/>
                <w:u w:val="none"/>
              </w:rPr>
              <w:t>椅座</w:t>
            </w:r>
            <w:r>
              <w:rPr>
                <w:rFonts w:hint="eastAsia" w:ascii="仿宋_GB2312" w:hAnsi="仿宋_GB2312" w:eastAsia="仿宋_GB2312" w:cs="仿宋_GB2312"/>
                <w:b/>
                <w:bCs/>
                <w:color w:val="auto"/>
                <w:kern w:val="0"/>
                <w:sz w:val="24"/>
                <w:szCs w:val="24"/>
                <w:highlight w:val="none"/>
                <w:u w:val="none"/>
                <w:lang w:val="en-US" w:eastAsia="zh-CN"/>
              </w:rPr>
              <w:t>板、背板：</w:t>
            </w:r>
          </w:p>
          <w:p w14:paraId="64A58CFF">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kern w:val="0"/>
                <w:sz w:val="24"/>
                <w:szCs w:val="24"/>
                <w:highlight w:val="none"/>
                <w:u w:val="none"/>
                <w:lang w:val="en-US" w:eastAsia="zh-CN"/>
              </w:rPr>
              <w:t>1.课</w:t>
            </w:r>
            <w:r>
              <w:rPr>
                <w:rFonts w:hint="eastAsia" w:ascii="仿宋_GB2312" w:hAnsi="仿宋_GB2312" w:eastAsia="仿宋_GB2312" w:cs="仿宋_GB2312"/>
                <w:color w:val="auto"/>
                <w:kern w:val="0"/>
                <w:sz w:val="24"/>
                <w:szCs w:val="24"/>
                <w:highlight w:val="none"/>
                <w:u w:val="none"/>
              </w:rPr>
              <w:t>椅座</w:t>
            </w:r>
            <w:r>
              <w:rPr>
                <w:rFonts w:hint="eastAsia" w:ascii="仿宋_GB2312" w:hAnsi="仿宋_GB2312" w:eastAsia="仿宋_GB2312" w:cs="仿宋_GB2312"/>
                <w:color w:val="auto"/>
                <w:kern w:val="0"/>
                <w:sz w:val="24"/>
                <w:szCs w:val="24"/>
                <w:highlight w:val="none"/>
                <w:u w:val="none"/>
                <w:lang w:val="en-US" w:eastAsia="zh-CN"/>
              </w:rPr>
              <w:t>板</w:t>
            </w:r>
            <w:r>
              <w:rPr>
                <w:rFonts w:hint="eastAsia" w:ascii="仿宋_GB2312" w:hAnsi="仿宋_GB2312" w:eastAsia="仿宋_GB2312" w:cs="仿宋_GB2312"/>
                <w:color w:val="auto"/>
                <w:kern w:val="0"/>
                <w:sz w:val="24"/>
                <w:szCs w:val="24"/>
                <w:highlight w:val="none"/>
                <w:u w:val="none"/>
              </w:rPr>
              <w:t>：采用全新PP塑料一次压注成型，规格（宽</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kern w:val="0"/>
                <w:sz w:val="24"/>
                <w:szCs w:val="24"/>
                <w:highlight w:val="none"/>
                <w:u w:val="none"/>
              </w:rPr>
              <w:t>深）：</w:t>
            </w:r>
            <w:r>
              <w:rPr>
                <w:rFonts w:hint="eastAsia" w:ascii="仿宋_GB2312" w:hAnsi="仿宋_GB2312" w:eastAsia="仿宋_GB2312" w:cs="仿宋_GB2312"/>
                <w:color w:val="auto"/>
                <w:sz w:val="24"/>
                <w:szCs w:val="24"/>
                <w:highlight w:val="none"/>
                <w:u w:val="none"/>
              </w:rPr>
              <w:t>4</w:t>
            </w:r>
            <w:r>
              <w:rPr>
                <w:rFonts w:hint="eastAsia" w:ascii="仿宋_GB2312" w:hAnsi="仿宋_GB2312" w:eastAsia="仿宋_GB2312" w:cs="仿宋_GB2312"/>
                <w:color w:val="auto"/>
                <w:sz w:val="24"/>
                <w:szCs w:val="24"/>
                <w:highlight w:val="none"/>
                <w:u w:val="none"/>
                <w:lang w:val="en-US" w:eastAsia="zh-CN"/>
              </w:rPr>
              <w:t>20</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420</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±5mm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，厚度≥5mm。</w:t>
            </w:r>
            <w:r>
              <w:rPr>
                <w:rFonts w:hint="eastAsia" w:ascii="仿宋_GB2312" w:hAnsi="仿宋_GB2312" w:eastAsia="仿宋_GB2312" w:cs="仿宋_GB2312"/>
                <w:color w:val="auto"/>
                <w:kern w:val="0"/>
                <w:sz w:val="24"/>
                <w:szCs w:val="24"/>
                <w:highlight w:val="none"/>
                <w:u w:val="none"/>
              </w:rPr>
              <w:t>中间内凹型符合人体结构曲线设计，表面设有</w:t>
            </w:r>
            <w:r>
              <w:rPr>
                <w:rFonts w:hint="eastAsia" w:ascii="仿宋_GB2312" w:hAnsi="仿宋_GB2312" w:eastAsia="仿宋_GB2312" w:cs="仿宋_GB2312"/>
                <w:color w:val="auto"/>
                <w:kern w:val="0"/>
                <w:sz w:val="24"/>
                <w:szCs w:val="24"/>
                <w:highlight w:val="none"/>
                <w:u w:val="none"/>
                <w:lang w:val="en-US" w:eastAsia="zh-CN"/>
              </w:rPr>
              <w:t>不少于270</w:t>
            </w:r>
            <w:r>
              <w:rPr>
                <w:rFonts w:hint="eastAsia" w:ascii="仿宋_GB2312" w:hAnsi="仿宋_GB2312" w:eastAsia="仿宋_GB2312" w:cs="仿宋_GB2312"/>
                <w:color w:val="auto"/>
                <w:kern w:val="0"/>
                <w:sz w:val="24"/>
                <w:szCs w:val="24"/>
                <w:highlight w:val="none"/>
                <w:u w:val="none"/>
              </w:rPr>
              <w:t>个“</w:t>
            </w:r>
            <w:r>
              <w:rPr>
                <w:rFonts w:hint="eastAsia" w:ascii="仿宋_GB2312" w:hAnsi="仿宋_GB2312" w:eastAsia="仿宋_GB2312" w:cs="仿宋_GB2312"/>
                <w:color w:val="auto"/>
                <w:kern w:val="0"/>
                <w:sz w:val="24"/>
                <w:szCs w:val="24"/>
                <w:highlight w:val="none"/>
                <w:u w:val="none"/>
                <w:lang w:val="en-US" w:eastAsia="zh-CN"/>
              </w:rPr>
              <w:t>椭圆形</w:t>
            </w:r>
            <w:r>
              <w:rPr>
                <w:rFonts w:hint="eastAsia" w:ascii="仿宋_GB2312" w:hAnsi="仿宋_GB2312" w:eastAsia="仿宋_GB2312" w:cs="仿宋_GB2312"/>
                <w:color w:val="auto"/>
                <w:kern w:val="0"/>
                <w:sz w:val="24"/>
                <w:szCs w:val="24"/>
                <w:highlight w:val="none"/>
                <w:u w:val="none"/>
              </w:rPr>
              <w:t>”透气孔，便于久坐散热。</w:t>
            </w:r>
          </w:p>
          <w:p w14:paraId="6904B100">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val="en-US" w:eastAsia="zh-CN"/>
              </w:rPr>
              <w:t>课椅座板符合GB/T 32487-2016 《塑料家具通用技术条件》、</w:t>
            </w:r>
            <w:r>
              <w:rPr>
                <w:rFonts w:hint="eastAsia" w:ascii="仿宋_GB2312" w:hAnsi="仿宋_GB2312" w:eastAsia="仿宋_GB2312" w:cs="仿宋_GB2312"/>
                <w:color w:val="auto"/>
                <w:sz w:val="24"/>
                <w:szCs w:val="24"/>
                <w:highlight w:val="none"/>
                <w:u w:val="single"/>
              </w:rPr>
              <w:t>GB 28481-2012《塑料家具中有害物质限量》</w:t>
            </w:r>
            <w:r>
              <w:rPr>
                <w:rFonts w:hint="eastAsia" w:ascii="仿宋_GB2312" w:hAnsi="仿宋_GB2312" w:eastAsia="仿宋_GB2312" w:cs="仿宋_GB2312"/>
                <w:color w:val="auto"/>
                <w:sz w:val="24"/>
                <w:szCs w:val="24"/>
                <w:highlight w:val="none"/>
                <w:u w:val="single"/>
                <w:lang w:val="en-US" w:eastAsia="zh-CN"/>
              </w:rPr>
              <w:t>要求，其中：</w:t>
            </w:r>
          </w:p>
          <w:p w14:paraId="241D3412">
            <w:pPr>
              <w:pStyle w:val="865"/>
              <w:spacing w:line="400" w:lineRule="exact"/>
              <w:ind w:firstLine="480" w:firstLineChars="200"/>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sz w:val="24"/>
                <w:szCs w:val="24"/>
                <w:highlight w:val="none"/>
                <w:u w:val="single"/>
                <w:lang w:val="en-US" w:eastAsia="zh-CN"/>
              </w:rPr>
              <w:t>苯并［a］芘≤1.0mg/kg；塑料件外观合格，塑料材料耐老化性合格，塑料件硬度（邵氏D硬度）≥HD63，邻苯二甲酸酯≤0.1%，16种</w:t>
            </w:r>
            <w:r>
              <w:rPr>
                <w:rFonts w:hint="eastAsia" w:ascii="仿宋_GB2312" w:hAnsi="仿宋_GB2312" w:eastAsia="仿宋_GB2312" w:cs="仿宋_GB2312"/>
                <w:color w:val="auto"/>
                <w:sz w:val="24"/>
                <w:szCs w:val="24"/>
                <w:highlight w:val="none"/>
                <w:u w:val="single"/>
              </w:rPr>
              <w:t>多环芳烃</w:t>
            </w:r>
            <w:r>
              <w:rPr>
                <w:rFonts w:hint="eastAsia" w:ascii="仿宋_GB2312" w:hAnsi="仿宋_GB2312" w:eastAsia="仿宋_GB2312" w:cs="仿宋_GB2312"/>
                <w:color w:val="auto"/>
                <w:sz w:val="24"/>
                <w:szCs w:val="24"/>
                <w:highlight w:val="none"/>
                <w:u w:val="single"/>
                <w:lang w:eastAsia="zh-CN"/>
              </w:rPr>
              <w:t>（</w:t>
            </w:r>
            <w:r>
              <w:rPr>
                <w:rFonts w:hint="eastAsia" w:ascii="仿宋_GB2312" w:hAnsi="仿宋_GB2312" w:eastAsia="仿宋_GB2312" w:cs="仿宋_GB2312"/>
                <w:color w:val="auto"/>
                <w:sz w:val="24"/>
                <w:szCs w:val="24"/>
                <w:highlight w:val="none"/>
                <w:u w:val="single"/>
                <w:lang w:val="en-US" w:eastAsia="zh-CN"/>
              </w:rPr>
              <w:t>PAH)总量≤10mg/kg；塑料重金属：可溶性铅≤90mg/kg、可溶性镉≤75mg/kg、可溶性铬≤60mg/kg、可溶性汞≤60mg/kg。</w:t>
            </w:r>
          </w:p>
          <w:p w14:paraId="1C1768EB">
            <w:pPr>
              <w:pStyle w:val="865"/>
              <w:keepNext w:val="0"/>
              <w:keepLines w:val="0"/>
              <w:pageBreakBefore w:val="0"/>
              <w:kinsoku/>
              <w:wordWrap/>
              <w:overflowPunct/>
              <w:topLinePunct w:val="0"/>
              <w:bidi w:val="0"/>
              <w:adjustRightInd/>
              <w:spacing w:line="400" w:lineRule="exact"/>
              <w:ind w:firstLine="0"/>
              <w:jc w:val="left"/>
              <w:textAlignment w:val="auto"/>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kern w:val="0"/>
                <w:sz w:val="24"/>
                <w:szCs w:val="24"/>
                <w:highlight w:val="none"/>
                <w:u w:val="none"/>
                <w:lang w:val="en-US" w:eastAsia="zh-CN"/>
              </w:rPr>
              <w:t xml:space="preserve">   2.课</w:t>
            </w:r>
            <w:r>
              <w:rPr>
                <w:rFonts w:hint="eastAsia" w:ascii="仿宋_GB2312" w:hAnsi="仿宋_GB2312" w:eastAsia="仿宋_GB2312" w:cs="仿宋_GB2312"/>
                <w:color w:val="auto"/>
                <w:kern w:val="0"/>
                <w:sz w:val="24"/>
                <w:szCs w:val="24"/>
                <w:highlight w:val="none"/>
                <w:u w:val="none"/>
              </w:rPr>
              <w:t>椅背</w:t>
            </w:r>
            <w:r>
              <w:rPr>
                <w:rFonts w:hint="eastAsia" w:ascii="仿宋_GB2312" w:hAnsi="仿宋_GB2312" w:eastAsia="仿宋_GB2312" w:cs="仿宋_GB2312"/>
                <w:color w:val="auto"/>
                <w:kern w:val="0"/>
                <w:sz w:val="24"/>
                <w:szCs w:val="24"/>
                <w:highlight w:val="none"/>
                <w:u w:val="none"/>
                <w:lang w:val="en-US" w:eastAsia="zh-CN"/>
              </w:rPr>
              <w:t>板</w:t>
            </w:r>
            <w:r>
              <w:rPr>
                <w:rFonts w:hint="eastAsia" w:ascii="仿宋_GB2312" w:hAnsi="仿宋_GB2312" w:eastAsia="仿宋_GB2312" w:cs="仿宋_GB2312"/>
                <w:color w:val="auto"/>
                <w:kern w:val="0"/>
                <w:sz w:val="24"/>
                <w:szCs w:val="24"/>
                <w:highlight w:val="none"/>
                <w:u w:val="none"/>
              </w:rPr>
              <w:t>：采用全新PP工程塑料一次压注成型，规格（宽</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kern w:val="0"/>
                <w:sz w:val="24"/>
                <w:szCs w:val="24"/>
                <w:highlight w:val="none"/>
                <w:u w:val="none"/>
              </w:rPr>
              <w:t>高）</w:t>
            </w:r>
            <w:r>
              <w:rPr>
                <w:rFonts w:hint="eastAsia" w:ascii="仿宋_GB2312" w:hAnsi="仿宋_GB2312" w:eastAsia="仿宋_GB2312" w:cs="仿宋_GB2312"/>
                <w:color w:val="auto"/>
                <w:sz w:val="24"/>
                <w:szCs w:val="24"/>
                <w:highlight w:val="none"/>
                <w:u w:val="none"/>
              </w:rPr>
              <w:t>41</w:t>
            </w:r>
            <w:r>
              <w:rPr>
                <w:rFonts w:hint="eastAsia" w:ascii="仿宋_GB2312" w:hAnsi="仿宋_GB2312" w:eastAsia="仿宋_GB2312" w:cs="仿宋_GB2312"/>
                <w:color w:val="auto"/>
                <w:sz w:val="24"/>
                <w:szCs w:val="24"/>
                <w:highlight w:val="none"/>
                <w:u w:val="none"/>
                <w:lang w:val="en-US" w:eastAsia="zh-CN"/>
              </w:rPr>
              <w:t>0</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w:t>
            </w:r>
            <w:r>
              <w:rPr>
                <w:rFonts w:hint="eastAsia" w:ascii="仿宋_GB2312" w:hAnsi="仿宋_GB2312" w:eastAsia="仿宋_GB2312" w:cs="仿宋_GB2312"/>
                <w:color w:val="auto"/>
                <w:sz w:val="24"/>
                <w:szCs w:val="24"/>
                <w:highlight w:val="none"/>
                <w:u w:val="none"/>
                <w:lang w:val="en-US" w:eastAsia="zh-CN"/>
              </w:rPr>
              <w:t>60</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±2mm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，厚度≥5mm。</w:t>
            </w:r>
            <w:r>
              <w:rPr>
                <w:rFonts w:hint="eastAsia" w:ascii="仿宋_GB2312" w:hAnsi="仿宋_GB2312" w:eastAsia="仿宋_GB2312" w:cs="仿宋_GB2312"/>
                <w:color w:val="auto"/>
                <w:kern w:val="0"/>
                <w:sz w:val="24"/>
                <w:szCs w:val="24"/>
                <w:highlight w:val="none"/>
                <w:u w:val="none"/>
              </w:rPr>
              <w:t>中间凹凸顶腰设计，符合人体结构曲线设计，表面设有</w:t>
            </w:r>
            <w:r>
              <w:rPr>
                <w:rFonts w:hint="eastAsia" w:ascii="仿宋_GB2312" w:hAnsi="仿宋_GB2312" w:eastAsia="仿宋_GB2312" w:cs="仿宋_GB2312"/>
                <w:color w:val="auto"/>
                <w:kern w:val="0"/>
                <w:sz w:val="24"/>
                <w:szCs w:val="24"/>
                <w:highlight w:val="none"/>
                <w:u w:val="none"/>
                <w:lang w:val="en-US" w:eastAsia="zh-CN"/>
              </w:rPr>
              <w:t>不少于168</w:t>
            </w:r>
            <w:r>
              <w:rPr>
                <w:rFonts w:hint="eastAsia" w:ascii="仿宋_GB2312" w:hAnsi="仿宋_GB2312" w:eastAsia="仿宋_GB2312" w:cs="仿宋_GB2312"/>
                <w:color w:val="auto"/>
                <w:kern w:val="0"/>
                <w:sz w:val="24"/>
                <w:szCs w:val="24"/>
                <w:highlight w:val="none"/>
                <w:u w:val="none"/>
              </w:rPr>
              <w:t>个“</w:t>
            </w:r>
            <w:r>
              <w:rPr>
                <w:rFonts w:hint="eastAsia" w:ascii="仿宋_GB2312" w:hAnsi="仿宋_GB2312" w:eastAsia="仿宋_GB2312" w:cs="仿宋_GB2312"/>
                <w:color w:val="auto"/>
                <w:kern w:val="0"/>
                <w:sz w:val="24"/>
                <w:szCs w:val="24"/>
                <w:highlight w:val="none"/>
                <w:u w:val="none"/>
                <w:lang w:val="en-US" w:eastAsia="zh-CN"/>
              </w:rPr>
              <w:t>椭圆形</w:t>
            </w:r>
            <w:r>
              <w:rPr>
                <w:rFonts w:hint="eastAsia" w:ascii="仿宋_GB2312" w:hAnsi="仿宋_GB2312" w:eastAsia="仿宋_GB2312" w:cs="仿宋_GB2312"/>
                <w:color w:val="auto"/>
                <w:kern w:val="0"/>
                <w:sz w:val="24"/>
                <w:szCs w:val="24"/>
                <w:highlight w:val="none"/>
                <w:u w:val="none"/>
              </w:rPr>
              <w:t>”透气孔，便于久靠散热。</w:t>
            </w:r>
          </w:p>
          <w:p w14:paraId="022F6BA0">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val="en-US" w:eastAsia="zh-CN"/>
              </w:rPr>
              <w:t>课椅背板符合GB/T 32487-2016 《塑料家具通用技术条件》、</w:t>
            </w:r>
            <w:r>
              <w:rPr>
                <w:rFonts w:hint="eastAsia" w:ascii="仿宋_GB2312" w:hAnsi="仿宋_GB2312" w:eastAsia="仿宋_GB2312" w:cs="仿宋_GB2312"/>
                <w:color w:val="auto"/>
                <w:sz w:val="24"/>
                <w:szCs w:val="24"/>
                <w:highlight w:val="none"/>
                <w:u w:val="single"/>
              </w:rPr>
              <w:t>GB 28481-2012《塑料家具中有害物质限量》</w:t>
            </w:r>
            <w:r>
              <w:rPr>
                <w:rFonts w:hint="eastAsia" w:ascii="仿宋_GB2312" w:hAnsi="仿宋_GB2312" w:eastAsia="仿宋_GB2312" w:cs="仿宋_GB2312"/>
                <w:color w:val="auto"/>
                <w:sz w:val="24"/>
                <w:szCs w:val="24"/>
                <w:highlight w:val="none"/>
                <w:u w:val="single"/>
                <w:lang w:val="en-US" w:eastAsia="zh-CN"/>
              </w:rPr>
              <w:t>要求，其中：</w:t>
            </w:r>
          </w:p>
          <w:p w14:paraId="56EF21B5">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kern w:val="0"/>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苯并［a］芘≤1.0mg/kg；塑料件外观合格，塑料材料耐老化性合格，塑料件硬度（邵氏D硬度）≥HD63，塑料邻苯二甲酸酯≤0.1%，16种</w:t>
            </w:r>
            <w:r>
              <w:rPr>
                <w:rFonts w:hint="eastAsia" w:ascii="仿宋_GB2312" w:hAnsi="仿宋_GB2312" w:eastAsia="仿宋_GB2312" w:cs="仿宋_GB2312"/>
                <w:color w:val="auto"/>
                <w:sz w:val="24"/>
                <w:szCs w:val="24"/>
                <w:highlight w:val="none"/>
                <w:u w:val="single"/>
              </w:rPr>
              <w:t>多环芳烃</w:t>
            </w:r>
            <w:r>
              <w:rPr>
                <w:rFonts w:hint="eastAsia" w:ascii="仿宋_GB2312" w:hAnsi="仿宋_GB2312" w:eastAsia="仿宋_GB2312" w:cs="仿宋_GB2312"/>
                <w:color w:val="auto"/>
                <w:sz w:val="24"/>
                <w:szCs w:val="24"/>
                <w:highlight w:val="none"/>
                <w:u w:val="single"/>
                <w:lang w:eastAsia="zh-CN"/>
              </w:rPr>
              <w:t>（</w:t>
            </w:r>
            <w:r>
              <w:rPr>
                <w:rFonts w:hint="eastAsia" w:ascii="仿宋_GB2312" w:hAnsi="仿宋_GB2312" w:eastAsia="仿宋_GB2312" w:cs="仿宋_GB2312"/>
                <w:color w:val="auto"/>
                <w:sz w:val="24"/>
                <w:szCs w:val="24"/>
                <w:highlight w:val="none"/>
                <w:u w:val="single"/>
                <w:lang w:val="en-US" w:eastAsia="zh-CN"/>
              </w:rPr>
              <w:t>PAH)总量≤10mg/kg；塑料重金属：可溶性铅≤90mg/kg、可溶性镉≤75mg/kg、可溶性铬≤60mg/kg、可溶性汞≤60mg/kg。</w:t>
            </w:r>
          </w:p>
          <w:p w14:paraId="14503A0C">
            <w:pPr>
              <w:keepNext w:val="0"/>
              <w:keepLines w:val="0"/>
              <w:pageBreakBefore w:val="0"/>
              <w:widowControl/>
              <w:kinsoku/>
              <w:wordWrap/>
              <w:overflowPunct/>
              <w:topLinePunct w:val="0"/>
              <w:bidi w:val="0"/>
              <w:adjustRightInd/>
              <w:spacing w:line="400" w:lineRule="exact"/>
              <w:ind w:firstLine="482" w:firstLineChars="200"/>
              <w:jc w:val="left"/>
              <w:textAlignment w:val="auto"/>
              <w:rPr>
                <w:rFonts w:hint="eastAsia" w:ascii="仿宋_GB2312" w:hAnsi="仿宋_GB2312" w:eastAsia="仿宋_GB2312" w:cs="仿宋_GB2312"/>
                <w:b/>
                <w:bCs/>
                <w:color w:val="auto"/>
                <w:kern w:val="0"/>
                <w:sz w:val="24"/>
                <w:szCs w:val="24"/>
                <w:highlight w:val="none"/>
                <w:u w:val="none"/>
                <w:lang w:eastAsia="zh-CN"/>
              </w:rPr>
            </w:pPr>
            <w:r>
              <w:rPr>
                <w:rFonts w:hint="eastAsia" w:ascii="仿宋_GB2312" w:hAnsi="仿宋_GB2312" w:eastAsia="仿宋_GB2312" w:cs="仿宋_GB2312"/>
                <w:b/>
                <w:bCs/>
                <w:color w:val="auto"/>
                <w:kern w:val="0"/>
                <w:sz w:val="24"/>
                <w:szCs w:val="24"/>
                <w:highlight w:val="none"/>
                <w:u w:val="none"/>
                <w:lang w:val="en-US" w:eastAsia="zh-CN"/>
              </w:rPr>
              <w:t>（三）</w:t>
            </w:r>
            <w:r>
              <w:rPr>
                <w:rFonts w:hint="eastAsia" w:ascii="仿宋_GB2312" w:hAnsi="仿宋_GB2312" w:eastAsia="仿宋_GB2312" w:cs="仿宋_GB2312"/>
                <w:b/>
                <w:bCs/>
                <w:color w:val="auto"/>
                <w:kern w:val="0"/>
                <w:sz w:val="24"/>
                <w:szCs w:val="24"/>
                <w:highlight w:val="none"/>
                <w:u w:val="none"/>
              </w:rPr>
              <w:t>椅架：</w:t>
            </w:r>
          </w:p>
          <w:p w14:paraId="54B87FFC">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kern w:val="0"/>
                <w:sz w:val="24"/>
                <w:szCs w:val="24"/>
                <w:highlight w:val="none"/>
                <w:u w:val="none"/>
                <w:lang w:val="en-US" w:eastAsia="zh-CN"/>
              </w:rPr>
              <w:t>1.</w:t>
            </w:r>
            <w:r>
              <w:rPr>
                <w:rFonts w:hint="eastAsia" w:ascii="仿宋_GB2312" w:hAnsi="仿宋_GB2312" w:eastAsia="仿宋_GB2312" w:cs="仿宋_GB2312"/>
                <w:color w:val="auto"/>
                <w:sz w:val="24"/>
                <w:szCs w:val="24"/>
                <w:highlight w:val="none"/>
                <w:u w:val="none"/>
                <w:lang w:val="en-US" w:eastAsia="zh-CN"/>
              </w:rPr>
              <w:t>立柱连接底脚</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椭圆管焊接成型</w:t>
            </w:r>
            <w:r>
              <w:rPr>
                <w:rFonts w:hint="eastAsia" w:ascii="仿宋_GB2312" w:hAnsi="仿宋_GB2312" w:eastAsia="仿宋_GB2312" w:cs="仿宋_GB2312"/>
                <w:color w:val="auto"/>
                <w:sz w:val="24"/>
                <w:szCs w:val="24"/>
                <w:highlight w:val="none"/>
                <w:u w:val="none"/>
                <w:lang w:eastAsia="zh-CN"/>
              </w:rPr>
              <w:t>。</w:t>
            </w:r>
          </w:p>
          <w:p w14:paraId="5C44FFE3">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2.课椅</w:t>
            </w:r>
            <w:r>
              <w:rPr>
                <w:rFonts w:hint="eastAsia" w:ascii="仿宋_GB2312" w:hAnsi="仿宋_GB2312" w:eastAsia="仿宋_GB2312" w:cs="仿宋_GB2312"/>
                <w:color w:val="auto"/>
                <w:sz w:val="24"/>
                <w:szCs w:val="24"/>
                <w:highlight w:val="none"/>
                <w:u w:val="none"/>
              </w:rPr>
              <w:t>立柱</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val="0"/>
                <w:bCs w:val="0"/>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val="0"/>
                <w:bCs w:val="0"/>
                <w:color w:val="auto"/>
                <w:sz w:val="24"/>
                <w:szCs w:val="24"/>
                <w:highlight w:val="none"/>
                <w:u w:val="none"/>
              </w:rPr>
              <w:t>1.</w:t>
            </w:r>
            <w:r>
              <w:rPr>
                <w:rFonts w:hint="eastAsia" w:ascii="仿宋_GB2312" w:hAnsi="仿宋_GB2312" w:eastAsia="仿宋_GB2312" w:cs="仿宋_GB2312"/>
                <w:b w:val="0"/>
                <w:bCs w:val="0"/>
                <w:color w:val="auto"/>
                <w:sz w:val="24"/>
                <w:szCs w:val="24"/>
                <w:highlight w:val="none"/>
                <w:u w:val="none"/>
                <w:lang w:val="en-US" w:eastAsia="zh-CN"/>
              </w:rPr>
              <w:t>2</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mm</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lang w:val="en-US" w:eastAsia="zh-CN"/>
              </w:rPr>
              <w:t>冷轧钢</w:t>
            </w:r>
            <w:r>
              <w:rPr>
                <w:rFonts w:hint="eastAsia" w:ascii="仿宋_GB2312" w:hAnsi="仿宋_GB2312" w:eastAsia="仿宋_GB2312" w:cs="仿宋_GB2312"/>
                <w:b w:val="0"/>
                <w:bCs w:val="0"/>
                <w:color w:val="auto"/>
                <w:sz w:val="24"/>
                <w:szCs w:val="24"/>
                <w:highlight w:val="none"/>
                <w:u w:val="none"/>
              </w:rPr>
              <w:t>椭圆管焊接成型</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椅上架升降立柱套管采用50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val="0"/>
                <w:bCs w:val="0"/>
                <w:color w:val="auto"/>
                <w:sz w:val="24"/>
                <w:szCs w:val="24"/>
                <w:highlight w:val="none"/>
                <w:u w:val="none"/>
              </w:rPr>
              <w:t>20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val="0"/>
                <w:bCs w:val="0"/>
                <w:color w:val="auto"/>
                <w:sz w:val="24"/>
                <w:szCs w:val="24"/>
                <w:highlight w:val="none"/>
                <w:u w:val="none"/>
              </w:rPr>
              <w:t>1.</w:t>
            </w:r>
            <w:r>
              <w:rPr>
                <w:rFonts w:hint="eastAsia" w:ascii="仿宋_GB2312" w:hAnsi="仿宋_GB2312" w:eastAsia="仿宋_GB2312" w:cs="仿宋_GB2312"/>
                <w:b w:val="0"/>
                <w:bCs w:val="0"/>
                <w:color w:val="auto"/>
                <w:sz w:val="24"/>
                <w:szCs w:val="24"/>
                <w:highlight w:val="none"/>
                <w:u w:val="none"/>
                <w:lang w:val="en-US" w:eastAsia="zh-CN"/>
              </w:rPr>
              <w:t>5</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mm</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lang w:val="en-US" w:eastAsia="zh-CN"/>
              </w:rPr>
              <w:t>冷轧钢</w:t>
            </w:r>
            <w:r>
              <w:rPr>
                <w:rFonts w:hint="eastAsia" w:ascii="仿宋_GB2312" w:hAnsi="仿宋_GB2312" w:eastAsia="仿宋_GB2312" w:cs="仿宋_GB2312"/>
                <w:b w:val="0"/>
                <w:bCs w:val="0"/>
                <w:color w:val="auto"/>
                <w:sz w:val="24"/>
                <w:szCs w:val="24"/>
                <w:highlight w:val="none"/>
                <w:u w:val="none"/>
              </w:rPr>
              <w:t>椭圆管，外侧方配刻度,方便调节高度。</w:t>
            </w:r>
            <w:r>
              <w:rPr>
                <w:rFonts w:hint="eastAsia" w:ascii="仿宋_GB2312" w:hAnsi="仿宋_GB2312" w:eastAsia="仿宋_GB2312" w:cs="仿宋_GB2312"/>
                <w:b w:val="0"/>
                <w:bCs w:val="0"/>
                <w:color w:val="auto"/>
                <w:sz w:val="24"/>
                <w:szCs w:val="24"/>
                <w:highlight w:val="none"/>
                <w:u w:val="none"/>
                <w:lang w:val="en-US" w:eastAsia="zh-CN"/>
              </w:rPr>
              <w:t>课椅立柱符合GB/T 3325-2024 《金属家具通用技术条件》、GB/T 10125-2021《人造气氛腐蚀试验 盐雾试验》、GB/T 6461-2002 《金属基体上金属和其他无机覆盖层 经腐蚀试验后的试样和试件的评级、</w:t>
            </w:r>
            <w:r>
              <w:rPr>
                <w:rFonts w:hint="eastAsia" w:ascii="仿宋_GB2312" w:hAnsi="仿宋_GB2312" w:eastAsia="仿宋_GB2312" w:cs="仿宋_GB2312"/>
                <w:b w:val="0"/>
                <w:bCs w:val="0"/>
                <w:color w:val="auto"/>
                <w:kern w:val="2"/>
                <w:sz w:val="24"/>
                <w:szCs w:val="24"/>
                <w:highlight w:val="none"/>
                <w:u w:val="none"/>
                <w:lang w:val="en-US" w:eastAsia="zh-CN" w:bidi="ar-SA"/>
              </w:rPr>
              <w:t>GB/T 35607-2024《绿色产品评价 家具》</w:t>
            </w:r>
            <w:r>
              <w:rPr>
                <w:rFonts w:hint="eastAsia" w:ascii="仿宋_GB2312" w:hAnsi="仿宋_GB2312" w:eastAsia="仿宋_GB2312" w:cs="仿宋_GB2312"/>
                <w:b w:val="0"/>
                <w:bCs w:val="0"/>
                <w:color w:val="auto"/>
                <w:sz w:val="24"/>
                <w:szCs w:val="24"/>
                <w:highlight w:val="none"/>
                <w:u w:val="none"/>
                <w:lang w:val="en-US" w:eastAsia="zh-CN"/>
              </w:rPr>
              <w:t>要求，其中，金属件外观性能要求（喷漆（塑）涂层）检测合格，金属喷漆（塑）涂层（硬度、冲击强度、附着力）检测合格，</w:t>
            </w:r>
            <w:r>
              <w:rPr>
                <w:rFonts w:hint="eastAsia" w:ascii="仿宋_GB2312" w:hAnsi="仿宋_GB2312" w:eastAsia="仿宋_GB2312" w:cs="仿宋_GB2312"/>
                <w:b w:val="0"/>
                <w:bCs w:val="0"/>
                <w:color w:val="auto"/>
                <w:kern w:val="2"/>
                <w:sz w:val="24"/>
                <w:szCs w:val="24"/>
                <w:highlight w:val="none"/>
                <w:u w:val="none"/>
                <w:lang w:val="en-US" w:eastAsia="zh-CN" w:bidi="ar-SA"/>
              </w:rPr>
              <w:t>产品有害物质：家具涂层可迁移元素：铅Pb≤90mg/kg、镉Cd≤50mg/kg、铬Cr≤25mg/kg、汞Hg≤25mg/kg；</w:t>
            </w:r>
            <w:r>
              <w:rPr>
                <w:rFonts w:hint="eastAsia" w:ascii="仿宋_GB2312" w:hAnsi="仿宋_GB2312" w:eastAsia="仿宋_GB2312" w:cs="仿宋_GB2312"/>
                <w:b w:val="0"/>
                <w:bCs w:val="0"/>
                <w:color w:val="auto"/>
                <w:sz w:val="24"/>
                <w:szCs w:val="24"/>
                <w:highlight w:val="none"/>
                <w:u w:val="none"/>
                <w:lang w:val="en-US" w:eastAsia="zh-CN"/>
              </w:rPr>
              <w:t>经过96h人造气氛腐蚀试验（中性盐雾NSS、乙酸盐雾AASS），保护评级、外观评级均不低于9级。</w:t>
            </w:r>
          </w:p>
          <w:p w14:paraId="2ACCC60E">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val="en-US" w:eastAsia="zh-CN"/>
              </w:rPr>
              <w:t>3.</w:t>
            </w:r>
            <w:r>
              <w:rPr>
                <w:rFonts w:hint="eastAsia" w:ascii="仿宋_GB2312" w:hAnsi="仿宋_GB2312" w:eastAsia="仿宋_GB2312" w:cs="仿宋_GB2312"/>
                <w:color w:val="auto"/>
                <w:sz w:val="24"/>
                <w:szCs w:val="24"/>
                <w:highlight w:val="none"/>
                <w:u w:val="none"/>
              </w:rPr>
              <w:t>横杆</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椭圆管焊接成型</w:t>
            </w:r>
            <w:r>
              <w:rPr>
                <w:rFonts w:hint="eastAsia" w:ascii="仿宋_GB2312" w:hAnsi="仿宋_GB2312" w:eastAsia="仿宋_GB2312" w:cs="仿宋_GB2312"/>
                <w:color w:val="auto"/>
                <w:sz w:val="24"/>
                <w:szCs w:val="24"/>
                <w:highlight w:val="none"/>
                <w:u w:val="none"/>
                <w:lang w:eastAsia="zh-CN"/>
              </w:rPr>
              <w:t>。</w:t>
            </w:r>
          </w:p>
          <w:p w14:paraId="5BC48C57">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lang w:val="en-US" w:eastAsia="zh-CN"/>
              </w:rPr>
              <w:t>4.</w:t>
            </w:r>
            <w:r>
              <w:rPr>
                <w:rFonts w:hint="eastAsia" w:ascii="仿宋_GB2312" w:hAnsi="仿宋_GB2312" w:eastAsia="仿宋_GB2312" w:cs="仿宋_GB2312"/>
                <w:color w:val="auto"/>
                <w:sz w:val="24"/>
                <w:szCs w:val="24"/>
                <w:highlight w:val="none"/>
                <w:u w:val="none"/>
              </w:rPr>
              <w:t>背架采用15</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椭圆管做S型抽芯弯曲处理。背架两端由椅座、椅背包裹，螺丝锁定</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要求</w:t>
            </w:r>
            <w:r>
              <w:rPr>
                <w:rFonts w:hint="eastAsia" w:ascii="仿宋_GB2312" w:hAnsi="仿宋_GB2312" w:eastAsia="仿宋_GB2312" w:cs="仿宋_GB2312"/>
                <w:color w:val="auto"/>
                <w:sz w:val="24"/>
                <w:szCs w:val="24"/>
                <w:highlight w:val="none"/>
                <w:u w:val="none"/>
              </w:rPr>
              <w:t>稳固、不松动。</w:t>
            </w:r>
          </w:p>
          <w:p w14:paraId="03FA5887">
            <w:pPr>
              <w:keepNext w:val="0"/>
              <w:keepLines w:val="0"/>
              <w:pageBreakBefore w:val="0"/>
              <w:widowControl/>
              <w:kinsoku/>
              <w:wordWrap/>
              <w:overflowPunct/>
              <w:topLinePunct w:val="0"/>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lang w:val="en-US" w:eastAsia="zh-CN"/>
              </w:rPr>
              <w:t>（四）</w:t>
            </w:r>
            <w:r>
              <w:rPr>
                <w:rFonts w:hint="eastAsia" w:ascii="仿宋_GB2312" w:hAnsi="仿宋_GB2312" w:eastAsia="仿宋_GB2312" w:cs="仿宋_GB2312"/>
                <w:b/>
                <w:bCs/>
                <w:color w:val="auto"/>
                <w:sz w:val="24"/>
                <w:szCs w:val="24"/>
                <w:highlight w:val="none"/>
                <w:u w:val="none"/>
              </w:rPr>
              <w:t>脚套：</w:t>
            </w:r>
          </w:p>
          <w:p w14:paraId="3781818F">
            <w:pPr>
              <w:keepNext w:val="0"/>
              <w:keepLines w:val="0"/>
              <w:pageBreakBefore w:val="0"/>
              <w:kinsoku/>
              <w:wordWrap/>
              <w:overflowPunct/>
              <w:topLinePunct w:val="0"/>
              <w:autoSpaceDE w:val="0"/>
              <w:autoSpaceDN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rPr>
              <w:t>采用PP工程塑料</w:t>
            </w:r>
            <w:r>
              <w:rPr>
                <w:rFonts w:hint="eastAsia" w:ascii="仿宋_GB2312" w:hAnsi="仿宋_GB2312" w:eastAsia="仿宋_GB2312" w:cs="仿宋_GB2312"/>
                <w:color w:val="auto"/>
                <w:sz w:val="24"/>
                <w:szCs w:val="24"/>
                <w:highlight w:val="none"/>
                <w:u w:val="none"/>
                <w:lang w:val="en-US" w:eastAsia="zh-CN"/>
              </w:rPr>
              <w:t>一次性</w:t>
            </w:r>
            <w:r>
              <w:rPr>
                <w:rFonts w:hint="eastAsia" w:ascii="仿宋_GB2312" w:hAnsi="仿宋_GB2312" w:eastAsia="仿宋_GB2312" w:cs="仿宋_GB2312"/>
                <w:color w:val="auto"/>
                <w:sz w:val="24"/>
                <w:szCs w:val="24"/>
                <w:highlight w:val="none"/>
                <w:u w:val="none"/>
              </w:rPr>
              <w:t>注塑成型，</w:t>
            </w:r>
            <w:r>
              <w:rPr>
                <w:rFonts w:hint="eastAsia" w:ascii="仿宋_GB2312" w:hAnsi="仿宋_GB2312" w:eastAsia="仿宋_GB2312" w:cs="仿宋_GB2312"/>
                <w:color w:val="auto"/>
                <w:sz w:val="24"/>
                <w:szCs w:val="24"/>
                <w:highlight w:val="none"/>
                <w:u w:val="none"/>
                <w:lang w:val="en-US" w:eastAsia="zh-CN"/>
              </w:rPr>
              <w:t>颜色为蓝色。</w:t>
            </w:r>
            <w:r>
              <w:rPr>
                <w:rFonts w:hint="eastAsia" w:ascii="仿宋_GB2312" w:hAnsi="仿宋_GB2312" w:eastAsia="仿宋_GB2312" w:cs="仿宋_GB2312"/>
                <w:color w:val="auto"/>
                <w:sz w:val="24"/>
                <w:szCs w:val="24"/>
                <w:highlight w:val="none"/>
                <w:u w:val="none"/>
              </w:rPr>
              <w:t>环保无异味</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起到防滑、防摩擦等作用</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脚套符合GB/T 32487-2016《塑料家具通用技术条件》、</w:t>
            </w:r>
            <w:r>
              <w:rPr>
                <w:rFonts w:hint="eastAsia" w:ascii="仿宋_GB2312" w:hAnsi="仿宋_GB2312" w:eastAsia="仿宋_GB2312" w:cs="仿宋_GB2312"/>
                <w:color w:val="auto"/>
                <w:sz w:val="24"/>
                <w:szCs w:val="24"/>
                <w:highlight w:val="none"/>
                <w:u w:val="none"/>
              </w:rPr>
              <w:t>GB 28481-2012《塑料家具中有害物质限量》</w:t>
            </w:r>
            <w:r>
              <w:rPr>
                <w:rFonts w:hint="eastAsia" w:ascii="仿宋_GB2312" w:hAnsi="仿宋_GB2312" w:eastAsia="仿宋_GB2312" w:cs="仿宋_GB2312"/>
                <w:color w:val="auto"/>
                <w:sz w:val="24"/>
                <w:szCs w:val="24"/>
                <w:highlight w:val="none"/>
                <w:u w:val="none"/>
                <w:lang w:val="en-US" w:eastAsia="zh-CN"/>
              </w:rPr>
              <w:t>要求，苯并［a］芘≤1.0mg/kg；塑料件外观合格，塑料材料耐老化性合格，塑料件硬度（邵氏D硬度）≥HD63，塑料邻苯二甲酸酯合格，塑料多环芳烃合格，塑料重金属：可溶性铅≤90mg/kg、可溶性镉≤</w:t>
            </w:r>
            <w:r>
              <w:rPr>
                <w:rFonts w:hint="default" w:ascii="仿宋_GB2312" w:hAnsi="仿宋_GB2312" w:eastAsia="仿宋_GB2312" w:cs="仿宋_GB2312"/>
                <w:color w:val="auto"/>
                <w:sz w:val="24"/>
                <w:szCs w:val="24"/>
                <w:highlight w:val="none"/>
                <w:u w:val="none"/>
                <w:lang w:val="en-US" w:eastAsia="zh-CN"/>
              </w:rPr>
              <w:t>75</w:t>
            </w:r>
            <w:r>
              <w:rPr>
                <w:rFonts w:hint="eastAsia" w:ascii="仿宋_GB2312" w:hAnsi="仿宋_GB2312" w:eastAsia="仿宋_GB2312" w:cs="仿宋_GB2312"/>
                <w:color w:val="auto"/>
                <w:sz w:val="24"/>
                <w:szCs w:val="24"/>
                <w:highlight w:val="none"/>
                <w:u w:val="none"/>
                <w:lang w:val="en-US" w:eastAsia="zh-CN"/>
              </w:rPr>
              <w:t>mg/kg、可溶性铬≤</w:t>
            </w:r>
            <w:r>
              <w:rPr>
                <w:rFonts w:hint="default" w:ascii="仿宋_GB2312" w:hAnsi="仿宋_GB2312" w:eastAsia="仿宋_GB2312" w:cs="仿宋_GB2312"/>
                <w:color w:val="auto"/>
                <w:sz w:val="24"/>
                <w:szCs w:val="24"/>
                <w:highlight w:val="none"/>
                <w:u w:val="none"/>
                <w:lang w:val="en-US" w:eastAsia="zh-CN"/>
              </w:rPr>
              <w:t>60</w:t>
            </w:r>
            <w:r>
              <w:rPr>
                <w:rFonts w:hint="eastAsia" w:ascii="仿宋_GB2312" w:hAnsi="仿宋_GB2312" w:eastAsia="仿宋_GB2312" w:cs="仿宋_GB2312"/>
                <w:color w:val="auto"/>
                <w:sz w:val="24"/>
                <w:szCs w:val="24"/>
                <w:highlight w:val="none"/>
                <w:u w:val="none"/>
                <w:lang w:val="en-US" w:eastAsia="zh-CN"/>
              </w:rPr>
              <w:t>mg/kg、可溶性汞≤</w:t>
            </w:r>
            <w:r>
              <w:rPr>
                <w:rFonts w:hint="default" w:ascii="仿宋_GB2312" w:hAnsi="仿宋_GB2312" w:eastAsia="仿宋_GB2312" w:cs="仿宋_GB2312"/>
                <w:color w:val="auto"/>
                <w:sz w:val="24"/>
                <w:szCs w:val="24"/>
                <w:highlight w:val="none"/>
                <w:u w:val="none"/>
                <w:lang w:val="en-US" w:eastAsia="zh-CN"/>
              </w:rPr>
              <w:t>60</w:t>
            </w:r>
            <w:r>
              <w:rPr>
                <w:rFonts w:hint="eastAsia" w:ascii="仿宋_GB2312" w:hAnsi="仿宋_GB2312" w:eastAsia="仿宋_GB2312" w:cs="仿宋_GB2312"/>
                <w:color w:val="auto"/>
                <w:sz w:val="24"/>
                <w:szCs w:val="24"/>
                <w:highlight w:val="none"/>
                <w:u w:val="none"/>
                <w:lang w:val="en-US" w:eastAsia="zh-CN"/>
              </w:rPr>
              <w:t>mg/kg。</w:t>
            </w:r>
          </w:p>
          <w:p w14:paraId="0A2CB2D3">
            <w:pPr>
              <w:pStyle w:val="868"/>
              <w:keepNext w:val="0"/>
              <w:keepLines w:val="0"/>
              <w:pageBreakBefore w:val="0"/>
              <w:kinsoku/>
              <w:wordWrap/>
              <w:overflowPunct/>
              <w:topLinePunct w:val="0"/>
              <w:bidi w:val="0"/>
              <w:adjustRightInd/>
              <w:spacing w:line="400" w:lineRule="exact"/>
              <w:ind w:firstLine="482"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（五）连接配件：</w:t>
            </w:r>
          </w:p>
          <w:p w14:paraId="4D0E4A62">
            <w:pPr>
              <w:pStyle w:val="868"/>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各连接部位</w:t>
            </w:r>
            <w:r>
              <w:rPr>
                <w:rFonts w:hint="eastAsia" w:ascii="仿宋_GB2312" w:hAnsi="仿宋_GB2312" w:eastAsia="仿宋_GB2312" w:cs="仿宋_GB2312"/>
                <w:color w:val="auto"/>
                <w:sz w:val="24"/>
                <w:szCs w:val="24"/>
                <w:highlight w:val="none"/>
                <w:u w:val="none"/>
                <w:lang w:val="en-US" w:eastAsia="zh-CN"/>
              </w:rPr>
              <w:t>采</w:t>
            </w:r>
            <w:r>
              <w:rPr>
                <w:rFonts w:hint="eastAsia" w:ascii="仿宋_GB2312" w:hAnsi="仿宋_GB2312" w:eastAsia="仿宋_GB2312" w:cs="仿宋_GB2312"/>
                <w:color w:val="auto"/>
                <w:sz w:val="24"/>
                <w:szCs w:val="24"/>
                <w:highlight w:val="none"/>
                <w:u w:val="none"/>
              </w:rPr>
              <w:t>用止退螺丝、螺母。螺丝升降调节高低。</w:t>
            </w:r>
          </w:p>
          <w:p w14:paraId="583D75E5">
            <w:pPr>
              <w:keepNext w:val="0"/>
              <w:keepLines w:val="0"/>
              <w:pageBreakBefore w:val="0"/>
              <w:numPr>
                <w:ilvl w:val="0"/>
                <w:numId w:val="0"/>
              </w:numPr>
              <w:kinsoku/>
              <w:wordWrap/>
              <w:overflowPunct/>
              <w:topLinePunct w:val="0"/>
              <w:autoSpaceDE w:val="0"/>
              <w:autoSpaceDN w:val="0"/>
              <w:bidi w:val="0"/>
              <w:adjustRightInd/>
              <w:spacing w:line="400" w:lineRule="exact"/>
              <w:ind w:firstLine="482" w:firstLineChars="200"/>
              <w:jc w:val="left"/>
              <w:textAlignment w:val="auto"/>
              <w:rPr>
                <w:rFonts w:hint="eastAsia" w:ascii="仿宋_GB2312" w:hAnsi="仿宋_GB2312" w:eastAsia="仿宋_GB2312" w:cs="仿宋_GB2312"/>
                <w:b/>
                <w:bCs/>
                <w:color w:val="auto"/>
                <w:kern w:val="2"/>
                <w:sz w:val="24"/>
                <w:szCs w:val="24"/>
                <w:highlight w:val="none"/>
                <w:u w:val="none"/>
                <w:lang w:val="en-US" w:eastAsia="zh-CN" w:bidi="ar-SA"/>
              </w:rPr>
            </w:pPr>
            <w:r>
              <w:rPr>
                <w:rFonts w:hint="eastAsia" w:ascii="仿宋_GB2312" w:hAnsi="仿宋_GB2312" w:eastAsia="仿宋_GB2312" w:cs="仿宋_GB2312"/>
                <w:b/>
                <w:bCs/>
                <w:color w:val="auto"/>
                <w:kern w:val="2"/>
                <w:sz w:val="24"/>
                <w:szCs w:val="24"/>
                <w:highlight w:val="none"/>
                <w:u w:val="none"/>
                <w:lang w:val="en-US" w:eastAsia="zh-CN" w:bidi="ar-SA"/>
              </w:rPr>
              <w:t>（六）椅子重量：</w:t>
            </w:r>
          </w:p>
          <w:p w14:paraId="3EF576C2">
            <w:pPr>
              <w:pStyle w:val="868"/>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lang w:val="en-US" w:eastAsia="zh-CN"/>
              </w:rPr>
              <w:t>整张椅子</w:t>
            </w:r>
            <w:r>
              <w:rPr>
                <w:rFonts w:hint="eastAsia" w:ascii="仿宋_GB2312" w:hAnsi="仿宋_GB2312" w:eastAsia="仿宋_GB2312" w:cs="仿宋_GB2312"/>
                <w:color w:val="auto"/>
                <w:kern w:val="2"/>
                <w:sz w:val="24"/>
                <w:szCs w:val="24"/>
                <w:highlight w:val="none"/>
                <w:u w:val="none"/>
                <w:lang w:val="en-US" w:eastAsia="zh-CN" w:bidi="ar-SA"/>
              </w:rPr>
              <w:t>净重不小于6.6公斤。</w:t>
            </w:r>
          </w:p>
          <w:p w14:paraId="4956DEF5">
            <w:pPr>
              <w:pStyle w:val="868"/>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三、其他要求</w:t>
            </w:r>
          </w:p>
          <w:p w14:paraId="0CEA1CDD">
            <w:pPr>
              <w:pStyle w:val="868"/>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kern w:val="2"/>
                <w:sz w:val="24"/>
                <w:szCs w:val="24"/>
                <w:highlight w:val="none"/>
                <w:u w:val="none"/>
                <w:lang w:val="en-US" w:eastAsia="zh-CN" w:bidi="ar-SA"/>
              </w:rPr>
              <w:t>1.钢制件表面经过酸洗磷化处理，全部采用环保塑粉进行喷涂。为保证产品质量与安全，不能有气味，以免造成人体伤害</w:t>
            </w:r>
            <w:r>
              <w:rPr>
                <w:rFonts w:hint="eastAsia" w:ascii="仿宋_GB2312" w:hAnsi="仿宋_GB2312" w:eastAsia="仿宋_GB2312" w:cs="仿宋_GB2312"/>
                <w:color w:val="auto"/>
                <w:sz w:val="24"/>
                <w:szCs w:val="24"/>
                <w:highlight w:val="none"/>
                <w:u w:val="none"/>
                <w:lang w:eastAsia="zh-CN"/>
              </w:rPr>
              <w:t>。</w:t>
            </w:r>
          </w:p>
          <w:p w14:paraId="018C6FBF">
            <w:pPr>
              <w:pStyle w:val="868"/>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single"/>
                <w:lang w:val="en-US" w:eastAsia="zh-CN" w:bidi="ar-SA"/>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kern w:val="2"/>
                <w:sz w:val="24"/>
                <w:szCs w:val="24"/>
                <w:highlight w:val="none"/>
                <w:u w:val="single"/>
                <w:lang w:val="en-US" w:eastAsia="zh-CN" w:bidi="ar-SA"/>
              </w:rPr>
              <w:t>塑粉符合HG/T 2006-2022《热固性和热塑性粉末涂料》、GB/T 35602-2017《绿色产品评价 涂料》要求。其中：</w:t>
            </w:r>
          </w:p>
          <w:p w14:paraId="2B02492C">
            <w:pPr>
              <w:pStyle w:val="868"/>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kern w:val="2"/>
                <w:sz w:val="24"/>
                <w:szCs w:val="24"/>
                <w:highlight w:val="none"/>
                <w:u w:val="single"/>
                <w:lang w:val="en-US" w:eastAsia="zh-CN" w:bidi="ar-SA"/>
              </w:rPr>
              <w:t>外观：色泽均匀，无异物，呈松散粉末状；筛余物（125μm）全部通过；涂膜外观：正常；附着力（干附着力）≤1级；铅笔硬度≥H；耐冲击性（正向冲击）：50cm；杯突试验≥4mm；弯曲试验≤4mm；耐磨性≤50mg；、耐酸性[3%(质量分数）盐酸溶液]：240h无异常；耐碱性[5%（质量分数）氢氧化钠溶液]：168h无异常；耐沸水性（2h）：无异常；耐盐雾性：中性盐雾500h划痕处单向腐蚀蔓延宽度≤2.0mm，未划痕区无起泡、生锈、开裂、剥落等异常现象；耐湿性（室内用）：500h无异常。重金属元素含量：铅≤20mg/kg、镉≤20mg/kg、六价铬≤20mg/kg、汞≤20mg/kg、砷≤20mg/kg、钡≤100mg/kg、硒≤20mg/kg、锑≤20mg/kg、钴≤20mg/kg。</w:t>
            </w:r>
          </w:p>
          <w:p w14:paraId="6AFD3A1E">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kern w:val="2"/>
                <w:sz w:val="24"/>
                <w:szCs w:val="24"/>
                <w:highlight w:val="none"/>
                <w:u w:val="none"/>
                <w:lang w:val="en-US" w:eastAsia="zh-CN" w:bidi="ar-SA"/>
              </w:rPr>
              <w:t>2.</w:t>
            </w:r>
            <w:r>
              <w:rPr>
                <w:rFonts w:hint="eastAsia" w:ascii="仿宋_GB2312" w:hAnsi="仿宋_GB2312" w:eastAsia="仿宋_GB2312" w:cs="仿宋_GB2312"/>
                <w:color w:val="auto"/>
                <w:sz w:val="24"/>
                <w:szCs w:val="24"/>
                <w:highlight w:val="none"/>
                <w:u w:val="none"/>
                <w:lang w:val="en-US" w:eastAsia="zh-CN"/>
              </w:rPr>
              <w:t>课椅性能检测必须符合：</w:t>
            </w:r>
            <w:r>
              <w:rPr>
                <w:rFonts w:hint="eastAsia" w:ascii="仿宋_GB2312" w:hAnsi="仿宋_GB2312" w:eastAsia="仿宋_GB2312" w:cs="仿宋_GB2312"/>
                <w:b w:val="0"/>
                <w:bCs w:val="0"/>
                <w:color w:val="auto"/>
                <w:sz w:val="24"/>
                <w:szCs w:val="24"/>
                <w:highlight w:val="none"/>
                <w:u w:val="none"/>
                <w:lang w:val="en-US" w:eastAsia="zh-CN"/>
              </w:rPr>
              <w:t>GB/T 3325-2024《金属家具通用技术条件》、</w:t>
            </w:r>
            <w:r>
              <w:rPr>
                <w:rFonts w:hint="eastAsia" w:ascii="仿宋_GB2312" w:hAnsi="仿宋_GB2312" w:eastAsia="仿宋_GB2312" w:cs="仿宋_GB2312"/>
                <w:color w:val="auto"/>
                <w:sz w:val="24"/>
                <w:szCs w:val="24"/>
                <w:highlight w:val="none"/>
                <w:u w:val="none"/>
                <w:lang w:val="en-US" w:eastAsia="zh-CN"/>
              </w:rPr>
              <w:t>GB/T 32487-2016《塑料家具通用技术条件》、GB/T 35607-2024《绿色产品评价 家具》、QB/T 4071-2021《课桌椅》、</w:t>
            </w:r>
            <w:r>
              <w:rPr>
                <w:rFonts w:hint="eastAsia" w:ascii="仿宋_GB2312" w:hAnsi="仿宋_GB2312" w:eastAsia="仿宋_GB2312" w:cs="仿宋_GB2312"/>
                <w:color w:val="auto"/>
                <w:sz w:val="24"/>
                <w:szCs w:val="24"/>
                <w:highlight w:val="none"/>
                <w:u w:val="none"/>
              </w:rPr>
              <w:t>GB 28481-2012《塑料家具中有害物质限量》</w:t>
            </w:r>
            <w:r>
              <w:rPr>
                <w:rFonts w:hint="eastAsia" w:ascii="仿宋_GB2312" w:hAnsi="仿宋_GB2312" w:eastAsia="仿宋_GB2312" w:cs="仿宋_GB2312"/>
                <w:color w:val="auto"/>
                <w:sz w:val="24"/>
                <w:szCs w:val="24"/>
                <w:highlight w:val="none"/>
                <w:u w:val="none"/>
                <w:lang w:val="en-US" w:eastAsia="zh-CN"/>
              </w:rPr>
              <w:t>要求，其中：</w:t>
            </w:r>
          </w:p>
          <w:p w14:paraId="32A8E3A6">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金属件外观（管材、焊接件、喷漆（塑）涂层）符合要求；塑料件外观符合要求；塑料件形状和位置公差（翘曲度、平整度、底脚平稳性）符合要求；理化性能符合要求；课桌/课椅力学性能符合要求；有害物质限量（表面涂层可迁移元素含量）：铅Pb≤90mg/kg、镉Cd≤50mg/kg、铬Cr≤25mg/kg、汞Hg≤25mg/kg、锑Sb≤60mg/kg、钡Ba≤1000mg/kg、硒Se≤500mg/kg、砷As≤25mg/kg；苯并[a]芘≤1.0mg/kg、16 种多环芳烃（PAH）总量≤10mg/kg；总挥发性有机化合物TVOC≤0.3mg/m³</w:t>
            </w:r>
            <w:r>
              <w:rPr>
                <w:rFonts w:hint="eastAsia" w:ascii="仿宋_GB2312" w:hAnsi="仿宋_GB2312" w:eastAsia="仿宋_GB2312" w:cs="仿宋_GB2312"/>
                <w:color w:val="auto"/>
                <w:kern w:val="2"/>
                <w:sz w:val="24"/>
                <w:szCs w:val="24"/>
                <w:highlight w:val="none"/>
                <w:u w:val="none"/>
                <w:lang w:val="en-US" w:eastAsia="zh-CN" w:bidi="ar-SA"/>
              </w:rPr>
              <w:t>。</w:t>
            </w:r>
          </w:p>
          <w:p w14:paraId="12A94D9F">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3.金属件</w:t>
            </w:r>
            <w:r>
              <w:rPr>
                <w:rFonts w:hint="eastAsia" w:ascii="仿宋_GB2312" w:hAnsi="仿宋_GB2312" w:eastAsia="仿宋_GB2312" w:cs="仿宋_GB2312"/>
                <w:color w:val="auto"/>
                <w:sz w:val="24"/>
                <w:szCs w:val="24"/>
                <w:highlight w:val="none"/>
                <w:u w:val="none"/>
                <w:lang w:val="en-US" w:eastAsia="zh-CN"/>
              </w:rPr>
              <w:t>表面应光滑平整，应无起泡、泛黄、花斑、烧焦、裂纹、划痕和磕碰伤等。焊接部位应牢固，应无脱焊、虚焊、焊穿；焊缝均匀，应无毛刺、锐棱、飞溅、裂纹等缺陷。</w:t>
            </w:r>
          </w:p>
          <w:p w14:paraId="03FE8D14">
            <w:pPr>
              <w:pStyle w:val="868"/>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color w:val="auto"/>
                <w:kern w:val="2"/>
                <w:sz w:val="24"/>
                <w:szCs w:val="24"/>
                <w:highlight w:val="none"/>
                <w:u w:val="none"/>
                <w:lang w:val="en-US" w:eastAsia="zh-CN" w:bidi="ar-SA"/>
              </w:rPr>
              <w:t>4.每张课桌前方需粘贴直径60mm的标识，标识中有产品尺寸、年份。</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6E0FF893">
            <w:pPr>
              <w:keepNext w:val="0"/>
              <w:keepLines w:val="0"/>
              <w:pageBreakBefore w:val="0"/>
              <w:kinsoku/>
              <w:wordWrap/>
              <w:overflowPunct/>
              <w:topLinePunct w:val="0"/>
              <w:bidi w:val="0"/>
              <w:adjustRightInd/>
              <w:snapToGrid w:val="0"/>
              <w:spacing w:line="400" w:lineRule="exact"/>
              <w:jc w:val="center"/>
              <w:textAlignment w:val="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kern w:val="2"/>
                <w:sz w:val="24"/>
                <w:szCs w:val="24"/>
                <w:highlight w:val="none"/>
                <w:u w:val="none"/>
                <w:lang w:val="en-US" w:eastAsia="zh-CN" w:bidi="ar-SA"/>
              </w:rPr>
              <w:t>4500套</w:t>
            </w:r>
          </w:p>
        </w:tc>
      </w:tr>
      <w:tr w14:paraId="1F859725">
        <w:tblPrEx>
          <w:tblCellMar>
            <w:top w:w="0" w:type="dxa"/>
            <w:left w:w="108" w:type="dxa"/>
            <w:bottom w:w="0" w:type="dxa"/>
            <w:right w:w="108" w:type="dxa"/>
          </w:tblCellMar>
        </w:tblPrEx>
        <w:trPr>
          <w:trHeight w:val="285"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7E445B33">
            <w:pPr>
              <w:keepNext w:val="0"/>
              <w:keepLines w:val="0"/>
              <w:pageBreakBefore w:val="0"/>
              <w:kinsoku/>
              <w:wordWrap/>
              <w:overflowPunct/>
              <w:topLinePunct w:val="0"/>
              <w:bidi w:val="0"/>
              <w:adjustRightInd/>
              <w:snapToGrid w:val="0"/>
              <w:spacing w:line="400" w:lineRule="exact"/>
              <w:jc w:val="center"/>
              <w:textAlignment w:val="auto"/>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Cs/>
                <w:color w:val="auto"/>
                <w:sz w:val="24"/>
                <w:szCs w:val="24"/>
                <w:highlight w:val="none"/>
                <w:u w:val="none"/>
                <w:lang w:val="en-US" w:eastAsia="zh-CN"/>
              </w:rPr>
              <w:t>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50EE9FA">
            <w:pPr>
              <w:keepNext w:val="0"/>
              <w:keepLines w:val="0"/>
              <w:pageBreakBefore w:val="0"/>
              <w:kinsoku/>
              <w:wordWrap/>
              <w:overflowPunct/>
              <w:topLinePunct w:val="0"/>
              <w:bidi w:val="0"/>
              <w:adjustRightInd/>
              <w:snapToGrid w:val="0"/>
              <w:spacing w:line="400" w:lineRule="exact"/>
              <w:jc w:val="center"/>
              <w:textAlignment w:val="auto"/>
              <w:rPr>
                <w:rFonts w:hint="eastAsia" w:ascii="仿宋_GB2312" w:hAnsi="仿宋_GB2312" w:eastAsia="仿宋_GB2312" w:cs="仿宋_GB2312"/>
                <w:bCs/>
                <w:color w:val="auto"/>
                <w:sz w:val="24"/>
                <w:szCs w:val="24"/>
                <w:highlight w:val="none"/>
                <w:u w:val="none"/>
                <w:lang w:val="en-US" w:eastAsia="zh-CN"/>
              </w:rPr>
            </w:pPr>
            <w:r>
              <w:rPr>
                <w:rFonts w:hint="eastAsia" w:ascii="仿宋_GB2312" w:hAnsi="仿宋_GB2312" w:eastAsia="仿宋_GB2312" w:cs="仿宋_GB2312"/>
                <w:bCs/>
                <w:color w:val="auto"/>
                <w:sz w:val="24"/>
                <w:szCs w:val="24"/>
                <w:highlight w:val="none"/>
                <w:u w:val="none"/>
                <w:lang w:val="en-US" w:eastAsia="zh-CN"/>
              </w:rPr>
              <w:t>中学课桌椅</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2ACD093E">
            <w:pPr>
              <w:keepNext w:val="0"/>
              <w:keepLines w:val="0"/>
              <w:pageBreakBefore w:val="0"/>
              <w:widowControl/>
              <w:numPr>
                <w:ilvl w:val="0"/>
                <w:numId w:val="4"/>
              </w:numPr>
              <w:kinsoku/>
              <w:wordWrap/>
              <w:overflowPunct/>
              <w:topLinePunct w:val="0"/>
              <w:bidi w:val="0"/>
              <w:adjustRightInd/>
              <w:spacing w:line="400" w:lineRule="exact"/>
              <w:jc w:val="both"/>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学生课桌：</w:t>
            </w:r>
          </w:p>
          <w:p w14:paraId="27F7B75E">
            <w:pPr>
              <w:keepNext w:val="0"/>
              <w:keepLines w:val="0"/>
              <w:pageBreakBefore w:val="0"/>
              <w:widowControl/>
              <w:numPr>
                <w:ilvl w:val="0"/>
                <w:numId w:val="0"/>
              </w:numPr>
              <w:kinsoku/>
              <w:wordWrap/>
              <w:overflowPunct/>
              <w:topLinePunct w:val="0"/>
              <w:bidi w:val="0"/>
              <w:adjustRightInd/>
              <w:spacing w:line="400" w:lineRule="exact"/>
              <w:ind w:firstLine="482" w:firstLineChars="200"/>
              <w:jc w:val="both"/>
              <w:textAlignment w:val="auto"/>
              <w:rPr>
                <w:rFonts w:hint="eastAsia" w:ascii="仿宋_GB2312" w:hAnsi="仿宋_GB2312" w:eastAsia="仿宋_GB2312" w:cs="仿宋_GB2312"/>
                <w:b/>
                <w:bCs/>
                <w:color w:val="auto"/>
                <w:sz w:val="24"/>
                <w:szCs w:val="24"/>
                <w:highlight w:val="none"/>
                <w:u w:val="none"/>
              </w:rPr>
            </w:pPr>
            <w:r>
              <w:rPr>
                <w:rFonts w:ascii="仿宋_GB2312" w:eastAsia="仿宋_GB2312"/>
                <w:b/>
                <w:bCs/>
                <w:color w:val="auto"/>
                <w:sz w:val="24"/>
                <w:highlight w:val="none"/>
              </w:rPr>
              <w:t>★</w:t>
            </w:r>
            <w:r>
              <w:rPr>
                <w:rFonts w:hint="eastAsia" w:ascii="仿宋_GB2312" w:hAnsi="仿宋_GB2312" w:eastAsia="仿宋_GB2312" w:cs="仿宋_GB2312"/>
                <w:b/>
                <w:bCs/>
                <w:color w:val="auto"/>
                <w:sz w:val="24"/>
                <w:szCs w:val="24"/>
                <w:highlight w:val="none"/>
                <w:u w:val="none"/>
                <w:lang w:eastAsia="zh-CN"/>
              </w:rPr>
              <w:t>（</w:t>
            </w:r>
            <w:r>
              <w:rPr>
                <w:rFonts w:hint="eastAsia" w:ascii="仿宋_GB2312" w:hAnsi="仿宋_GB2312" w:eastAsia="仿宋_GB2312" w:cs="仿宋_GB2312"/>
                <w:b/>
                <w:bCs/>
                <w:color w:val="auto"/>
                <w:sz w:val="24"/>
                <w:szCs w:val="24"/>
                <w:highlight w:val="none"/>
                <w:u w:val="none"/>
                <w:lang w:val="en-US" w:eastAsia="zh-CN"/>
              </w:rPr>
              <w:t>一</w:t>
            </w:r>
            <w:r>
              <w:rPr>
                <w:rFonts w:hint="eastAsia" w:ascii="仿宋_GB2312" w:hAnsi="仿宋_GB2312" w:eastAsia="仿宋_GB2312" w:cs="仿宋_GB2312"/>
                <w:b/>
                <w:bCs/>
                <w:color w:val="auto"/>
                <w:sz w:val="24"/>
                <w:szCs w:val="24"/>
                <w:highlight w:val="none"/>
                <w:u w:val="none"/>
                <w:lang w:eastAsia="zh-CN"/>
              </w:rPr>
              <w:t>）</w:t>
            </w:r>
            <w:r>
              <w:rPr>
                <w:rFonts w:hint="eastAsia" w:ascii="仿宋_GB2312" w:hAnsi="仿宋_GB2312" w:eastAsia="仿宋_GB2312" w:cs="仿宋_GB2312"/>
                <w:b/>
                <w:bCs/>
                <w:color w:val="auto"/>
                <w:sz w:val="24"/>
                <w:szCs w:val="24"/>
                <w:highlight w:val="none"/>
                <w:u w:val="none"/>
              </w:rPr>
              <w:t>整体规格</w:t>
            </w:r>
            <w:r>
              <w:rPr>
                <w:rFonts w:hint="eastAsia" w:ascii="仿宋_GB2312" w:hAnsi="仿宋_GB2312" w:eastAsia="仿宋_GB2312" w:cs="仿宋_GB2312"/>
                <w:b/>
                <w:bCs/>
                <w:color w:val="auto"/>
                <w:sz w:val="24"/>
                <w:szCs w:val="24"/>
                <w:highlight w:val="none"/>
                <w:u w:val="none"/>
                <w:lang w:eastAsia="zh-CN"/>
              </w:rPr>
              <w:t>（</w:t>
            </w:r>
            <w:r>
              <w:rPr>
                <w:rFonts w:hint="eastAsia" w:ascii="仿宋_GB2312" w:hAnsi="仿宋_GB2312" w:eastAsia="仿宋_GB2312" w:cs="仿宋_GB2312"/>
                <w:b/>
                <w:bCs/>
                <w:color w:val="auto"/>
                <w:sz w:val="24"/>
                <w:szCs w:val="24"/>
                <w:highlight w:val="none"/>
                <w:u w:val="none"/>
                <w:lang w:val="en-US" w:eastAsia="zh-CN"/>
              </w:rPr>
              <w:t>长</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bCs/>
                <w:color w:val="auto"/>
                <w:sz w:val="24"/>
                <w:szCs w:val="24"/>
                <w:highlight w:val="none"/>
                <w:u w:val="none"/>
                <w:lang w:val="en-US" w:eastAsia="zh-CN"/>
              </w:rPr>
              <w:t>宽</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bCs/>
                <w:color w:val="auto"/>
                <w:sz w:val="24"/>
                <w:szCs w:val="24"/>
                <w:highlight w:val="none"/>
                <w:u w:val="none"/>
                <w:lang w:val="en-US" w:eastAsia="zh-CN"/>
              </w:rPr>
              <w:t>高</w:t>
            </w:r>
            <w:r>
              <w:rPr>
                <w:rFonts w:hint="eastAsia" w:ascii="仿宋_GB2312" w:hAnsi="仿宋_GB2312" w:eastAsia="仿宋_GB2312" w:cs="仿宋_GB2312"/>
                <w:b/>
                <w:bCs/>
                <w:color w:val="auto"/>
                <w:sz w:val="24"/>
                <w:szCs w:val="24"/>
                <w:highlight w:val="none"/>
                <w:u w:val="none"/>
                <w:lang w:eastAsia="zh-CN"/>
              </w:rPr>
              <w:t>）</w:t>
            </w:r>
            <w:r>
              <w:rPr>
                <w:rFonts w:hint="eastAsia" w:ascii="仿宋_GB2312" w:hAnsi="仿宋_GB2312" w:eastAsia="仿宋_GB2312" w:cs="仿宋_GB2312"/>
                <w:b/>
                <w:bCs/>
                <w:color w:val="auto"/>
                <w:sz w:val="24"/>
                <w:szCs w:val="24"/>
                <w:highlight w:val="none"/>
                <w:u w:val="none"/>
              </w:rPr>
              <w:t>：</w:t>
            </w:r>
          </w:p>
          <w:p w14:paraId="6C6D2EC3">
            <w:pPr>
              <w:keepNext w:val="0"/>
              <w:keepLines w:val="0"/>
              <w:pageBreakBefore w:val="0"/>
              <w:numPr>
                <w:ilvl w:val="0"/>
                <w:numId w:val="0"/>
              </w:numPr>
              <w:kinsoku/>
              <w:wordWrap/>
              <w:overflowPunct/>
              <w:topLinePunct w:val="0"/>
              <w:bidi w:val="0"/>
              <w:adjustRightInd/>
              <w:spacing w:line="400" w:lineRule="exact"/>
              <w:ind w:firstLine="480" w:firstLineChars="200"/>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rPr>
              <w:t>6</w:t>
            </w:r>
            <w:r>
              <w:rPr>
                <w:rFonts w:hint="eastAsia" w:ascii="仿宋_GB2312" w:hAnsi="仿宋_GB2312" w:eastAsia="仿宋_GB2312" w:cs="仿宋_GB2312"/>
                <w:color w:val="auto"/>
                <w:sz w:val="24"/>
                <w:szCs w:val="24"/>
                <w:highlight w:val="none"/>
                <w:u w:val="none"/>
                <w:lang w:val="en-US" w:eastAsia="zh-CN"/>
              </w:rPr>
              <w:t>5</w:t>
            </w:r>
            <w:r>
              <w:rPr>
                <w:rFonts w:hint="eastAsia" w:ascii="仿宋_GB2312" w:hAnsi="仿宋_GB2312" w:eastAsia="仿宋_GB2312" w:cs="仿宋_GB2312"/>
                <w:color w:val="auto"/>
                <w:sz w:val="24"/>
                <w:szCs w:val="24"/>
                <w:highlight w:val="none"/>
                <w:u w:val="none"/>
              </w:rPr>
              <w:t>0mm</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500</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（7</w:t>
            </w:r>
            <w:r>
              <w:rPr>
                <w:rFonts w:hint="eastAsia" w:ascii="仿宋_GB2312" w:hAnsi="仿宋_GB2312" w:eastAsia="仿宋_GB2312" w:cs="仿宋_GB2312"/>
                <w:color w:val="auto"/>
                <w:sz w:val="24"/>
                <w:szCs w:val="24"/>
                <w:highlight w:val="none"/>
                <w:u w:val="none"/>
                <w:lang w:val="en-US" w:eastAsia="zh-CN"/>
              </w:rPr>
              <w:t>0</w:t>
            </w:r>
            <w:r>
              <w:rPr>
                <w:rFonts w:hint="eastAsia" w:ascii="仿宋_GB2312" w:hAnsi="仿宋_GB2312" w:eastAsia="仿宋_GB2312" w:cs="仿宋_GB2312"/>
                <w:color w:val="auto"/>
                <w:sz w:val="24"/>
                <w:szCs w:val="24"/>
                <w:highlight w:val="none"/>
                <w:u w:val="none"/>
              </w:rPr>
              <w:t>0-</w:t>
            </w:r>
            <w:r>
              <w:rPr>
                <w:rFonts w:hint="eastAsia" w:ascii="仿宋_GB2312" w:hAnsi="仿宋_GB2312" w:eastAsia="仿宋_GB2312" w:cs="仿宋_GB2312"/>
                <w:color w:val="auto"/>
                <w:sz w:val="24"/>
                <w:szCs w:val="24"/>
                <w:highlight w:val="none"/>
                <w:u w:val="none"/>
                <w:lang w:val="en-US" w:eastAsia="zh-CN"/>
              </w:rPr>
              <w:t>820</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val="en-US" w:eastAsia="zh-CN"/>
              </w:rPr>
              <w:t>（±5mm）</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kern w:val="0"/>
                <w:sz w:val="24"/>
                <w:szCs w:val="24"/>
                <w:highlight w:val="none"/>
                <w:u w:val="none"/>
                <w:lang w:val="en-US" w:eastAsia="zh-CN"/>
              </w:rPr>
              <w:t>可调节高度700mm、730mm、760mm、790mm、820mm</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sz w:val="24"/>
                <w:szCs w:val="24"/>
                <w:highlight w:val="none"/>
                <w:u w:val="none"/>
              </w:rPr>
              <w:t>(±5mm)</w:t>
            </w:r>
            <w:r>
              <w:rPr>
                <w:rFonts w:hint="eastAsia" w:ascii="仿宋_GB2312" w:hAnsi="仿宋_GB2312" w:eastAsia="仿宋_GB2312" w:cs="仿宋_GB2312"/>
                <w:color w:val="auto"/>
                <w:sz w:val="24"/>
                <w:szCs w:val="24"/>
                <w:highlight w:val="none"/>
                <w:u w:val="none"/>
                <w:lang w:val="en-US" w:eastAsia="zh-CN"/>
              </w:rPr>
              <w:t>等5个高度的调整</w:t>
            </w:r>
            <w:r>
              <w:rPr>
                <w:rFonts w:hint="eastAsia" w:ascii="仿宋_GB2312" w:hAnsi="仿宋_GB2312" w:eastAsia="仿宋_GB2312" w:cs="仿宋_GB2312"/>
                <w:color w:val="auto"/>
                <w:sz w:val="24"/>
                <w:szCs w:val="24"/>
                <w:highlight w:val="none"/>
                <w:u w:val="none"/>
                <w:lang w:eastAsia="zh-CN"/>
              </w:rPr>
              <w:t>。</w:t>
            </w:r>
          </w:p>
          <w:p w14:paraId="136906E4">
            <w:pPr>
              <w:pStyle w:val="865"/>
              <w:keepNext w:val="0"/>
              <w:keepLines w:val="0"/>
              <w:pageBreakBefore w:val="0"/>
              <w:kinsoku/>
              <w:wordWrap/>
              <w:overflowPunct/>
              <w:topLinePunct w:val="0"/>
              <w:bidi w:val="0"/>
              <w:adjustRightInd/>
              <w:spacing w:line="400" w:lineRule="exact"/>
              <w:ind w:firstLine="482" w:firstLineChars="200"/>
              <w:jc w:val="both"/>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（二）课桌面板：</w:t>
            </w:r>
          </w:p>
          <w:p w14:paraId="0F64EBCE">
            <w:pPr>
              <w:pStyle w:val="865"/>
              <w:keepNext w:val="0"/>
              <w:keepLines w:val="0"/>
              <w:pageBreakBefore w:val="0"/>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1.规格</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长</w:t>
            </w:r>
            <w:r>
              <w:rPr>
                <w:rFonts w:hint="eastAsia" w:ascii="仿宋_GB2312" w:hAnsi="仿宋_GB2312" w:eastAsia="仿宋_GB2312" w:cs="仿宋_GB2312"/>
                <w:color w:val="auto"/>
                <w:sz w:val="24"/>
                <w:szCs w:val="24"/>
                <w:highlight w:val="none"/>
                <w:u w:val="none"/>
              </w:rPr>
              <w:t>6</w:t>
            </w:r>
            <w:r>
              <w:rPr>
                <w:rFonts w:hint="eastAsia" w:ascii="仿宋_GB2312" w:hAnsi="仿宋_GB2312" w:eastAsia="仿宋_GB2312" w:cs="仿宋_GB2312"/>
                <w:color w:val="auto"/>
                <w:sz w:val="24"/>
                <w:szCs w:val="24"/>
                <w:highlight w:val="none"/>
                <w:u w:val="none"/>
                <w:lang w:val="en-US" w:eastAsia="zh-CN"/>
              </w:rPr>
              <w:t>5</w:t>
            </w:r>
            <w:r>
              <w:rPr>
                <w:rFonts w:hint="eastAsia" w:ascii="仿宋_GB2312" w:hAnsi="仿宋_GB2312" w:eastAsia="仿宋_GB2312" w:cs="仿宋_GB2312"/>
                <w:color w:val="auto"/>
                <w:sz w:val="24"/>
                <w:szCs w:val="24"/>
                <w:highlight w:val="none"/>
                <w:u w:val="none"/>
              </w:rPr>
              <w:t>0</w:t>
            </w:r>
            <w:r>
              <w:rPr>
                <w:rFonts w:hint="eastAsia" w:ascii="仿宋_GB2312" w:hAnsi="仿宋_GB2312" w:eastAsia="仿宋_GB2312" w:cs="仿宋_GB2312"/>
                <w:color w:val="auto"/>
                <w:sz w:val="24"/>
                <w:szCs w:val="24"/>
                <w:highlight w:val="none"/>
                <w:u w:val="none"/>
                <w:lang w:val="en-US" w:eastAsia="zh-CN"/>
              </w:rPr>
              <w:t>（±5mm）</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宽500（±5mm）</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厚18mm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±1mm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注塑封边，流</w:t>
            </w:r>
            <w:r>
              <w:rPr>
                <w:rFonts w:hint="eastAsia" w:ascii="仿宋_GB2312" w:hAnsi="仿宋_GB2312" w:eastAsia="仿宋_GB2312" w:cs="仿宋_GB2312"/>
                <w:color w:val="auto"/>
                <w:sz w:val="24"/>
                <w:szCs w:val="24"/>
                <w:highlight w:val="none"/>
                <w:u w:val="none"/>
                <w:lang w:val="en-US" w:eastAsia="zh-CN"/>
              </w:rPr>
              <w:t>线美观。</w:t>
            </w:r>
          </w:p>
          <w:p w14:paraId="3EB83712">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lang w:val="en-US" w:eastAsia="zh-CN"/>
              </w:rPr>
              <w:t>2.基材</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采</w:t>
            </w:r>
            <w:r>
              <w:rPr>
                <w:rFonts w:hint="eastAsia" w:ascii="仿宋_GB2312" w:hAnsi="仿宋_GB2312" w:eastAsia="仿宋_GB2312" w:cs="仿宋_GB2312"/>
                <w:color w:val="auto"/>
                <w:sz w:val="24"/>
                <w:szCs w:val="24"/>
                <w:highlight w:val="none"/>
                <w:u w:val="none"/>
              </w:rPr>
              <w:t>用</w:t>
            </w:r>
            <w:r>
              <w:rPr>
                <w:rFonts w:hint="eastAsia" w:ascii="仿宋_GB2312" w:hAnsi="仿宋_GB2312" w:eastAsia="仿宋_GB2312" w:cs="仿宋_GB2312"/>
                <w:color w:val="auto"/>
                <w:sz w:val="24"/>
                <w:szCs w:val="24"/>
                <w:highlight w:val="none"/>
                <w:u w:val="none"/>
                <w:lang w:val="en-US" w:eastAsia="zh-CN"/>
              </w:rPr>
              <w:t>环保E1</w:t>
            </w:r>
            <w:r>
              <w:rPr>
                <w:rFonts w:hint="eastAsia" w:ascii="仿宋_GB2312" w:hAnsi="仿宋_GB2312" w:eastAsia="仿宋_GB2312" w:cs="仿宋_GB2312"/>
                <w:color w:val="auto"/>
                <w:sz w:val="24"/>
                <w:szCs w:val="24"/>
                <w:highlight w:val="none"/>
                <w:u w:val="none"/>
              </w:rPr>
              <w:t>中密度纤维板</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桌面四周为圆角（防止学生碰伤）。采</w:t>
            </w:r>
            <w:r>
              <w:rPr>
                <w:rFonts w:hint="eastAsia" w:ascii="仿宋_GB2312" w:hAnsi="仿宋_GB2312" w:eastAsia="仿宋_GB2312" w:cs="仿宋_GB2312"/>
                <w:color w:val="auto"/>
                <w:sz w:val="24"/>
                <w:szCs w:val="24"/>
                <w:highlight w:val="none"/>
                <w:u w:val="none"/>
              </w:rPr>
              <w:t>用</w:t>
            </w:r>
            <w:r>
              <w:rPr>
                <w:rFonts w:hint="eastAsia" w:ascii="仿宋_GB2312" w:hAnsi="仿宋_GB2312" w:eastAsia="仿宋_GB2312" w:cs="仿宋_GB2312"/>
                <w:color w:val="auto"/>
                <w:sz w:val="24"/>
                <w:szCs w:val="24"/>
                <w:highlight w:val="none"/>
                <w:u w:val="none"/>
                <w:lang w:val="en-US" w:eastAsia="zh-CN"/>
              </w:rPr>
              <w:t>环保E1</w:t>
            </w:r>
            <w:r>
              <w:rPr>
                <w:rFonts w:hint="eastAsia" w:ascii="仿宋_GB2312" w:hAnsi="仿宋_GB2312" w:eastAsia="仿宋_GB2312" w:cs="仿宋_GB2312"/>
                <w:color w:val="auto"/>
                <w:sz w:val="24"/>
                <w:szCs w:val="24"/>
                <w:highlight w:val="none"/>
                <w:u w:val="none"/>
              </w:rPr>
              <w:t>中密度纤维板</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桌面四周为圆角（防止学生碰伤）。中密度纤维板符合G</w:t>
            </w:r>
            <w:r>
              <w:rPr>
                <w:rFonts w:hint="eastAsia" w:ascii="仿宋_GB2312" w:hAnsi="仿宋_GB2312" w:eastAsia="仿宋_GB2312" w:cs="仿宋_GB2312"/>
                <w:color w:val="auto"/>
                <w:kern w:val="2"/>
                <w:sz w:val="24"/>
                <w:szCs w:val="24"/>
                <w:highlight w:val="none"/>
                <w:u w:val="none"/>
                <w:lang w:val="en-US" w:eastAsia="zh-CN" w:bidi="ar-SA"/>
              </w:rPr>
              <w:t xml:space="preserve">B/T 11718-2021 </w:t>
            </w:r>
            <w:r>
              <w:rPr>
                <w:rFonts w:hint="eastAsia" w:ascii="仿宋_GB2312" w:hAnsi="仿宋_GB2312" w:eastAsia="仿宋_GB2312" w:cs="仿宋_GB2312"/>
                <w:color w:val="auto"/>
                <w:sz w:val="24"/>
                <w:szCs w:val="24"/>
                <w:highlight w:val="none"/>
                <w:u w:val="none"/>
                <w:lang w:val="en-US" w:eastAsia="zh-CN"/>
              </w:rPr>
              <w:t>《</w:t>
            </w:r>
            <w:r>
              <w:rPr>
                <w:rFonts w:hint="eastAsia" w:ascii="仿宋_GB2312" w:hAnsi="仿宋_GB2312" w:eastAsia="仿宋_GB2312" w:cs="仿宋_GB2312"/>
                <w:color w:val="auto"/>
                <w:kern w:val="2"/>
                <w:sz w:val="24"/>
                <w:szCs w:val="24"/>
                <w:highlight w:val="none"/>
                <w:u w:val="none"/>
                <w:lang w:val="en-US" w:eastAsia="zh-CN" w:bidi="ar-SA"/>
              </w:rPr>
              <w:t>中密度纤维板》、GB/T 35601-2024《 绿色产品评价 人造板和木质地板》</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GB 8624-2012《建筑材料及制品燃烧性能分级》要求</w:t>
            </w:r>
            <w:r>
              <w:rPr>
                <w:rFonts w:hint="eastAsia" w:ascii="仿宋_GB2312" w:hAnsi="仿宋_GB2312" w:eastAsia="仿宋_GB2312" w:cs="仿宋_GB2312"/>
                <w:color w:val="auto"/>
                <w:kern w:val="2"/>
                <w:sz w:val="24"/>
                <w:szCs w:val="24"/>
                <w:highlight w:val="none"/>
                <w:u w:val="none"/>
                <w:lang w:val="en-US" w:eastAsia="zh-CN" w:bidi="ar-SA"/>
              </w:rPr>
              <w:t>，其中密度：0.65～0.80g/cm</w:t>
            </w:r>
            <w:r>
              <w:rPr>
                <w:rFonts w:hint="eastAsia" w:ascii="仿宋_GB2312" w:hAnsi="仿宋_GB2312" w:eastAsia="仿宋_GB2312" w:cs="仿宋_GB2312"/>
                <w:color w:val="auto"/>
                <w:kern w:val="2"/>
                <w:sz w:val="24"/>
                <w:szCs w:val="24"/>
                <w:highlight w:val="none"/>
                <w:u w:val="none"/>
                <w:vertAlign w:val="superscript"/>
                <w:lang w:val="en-US" w:eastAsia="zh-CN" w:bidi="ar-SA"/>
              </w:rPr>
              <w:t>3</w:t>
            </w:r>
            <w:r>
              <w:rPr>
                <w:rFonts w:hint="eastAsia" w:ascii="仿宋_GB2312" w:hAnsi="仿宋_GB2312" w:eastAsia="仿宋_GB2312" w:cs="仿宋_GB2312"/>
                <w:color w:val="auto"/>
                <w:kern w:val="2"/>
                <w:sz w:val="24"/>
                <w:szCs w:val="24"/>
                <w:highlight w:val="none"/>
                <w:u w:val="none"/>
                <w:lang w:val="en-US" w:eastAsia="zh-CN" w:bidi="ar-SA"/>
              </w:rPr>
              <w:t>，含水率3.0～13.0%，物理力学性能（静曲强度、弹性模量、内胶合强度、吸水厚度膨胀率、表面胶合强度）合格，甲醛释放量≤0.05mg/m³，挥发性有机化合物（7 d）：苯≤2μg/m³、甲苯≤20μg/m³、二甲苯≤20μg/m³、总挥发性有机化合物（TVOC）≤200μg/m³，可溶性重金属（铅、镉、铬、汞）总含量≤100mg/kg；燃烧性能：B</w:t>
            </w:r>
            <w:r>
              <w:rPr>
                <w:rFonts w:hint="eastAsia" w:ascii="仿宋_GB2312" w:hAnsi="仿宋_GB2312" w:eastAsia="仿宋_GB2312" w:cs="仿宋_GB2312"/>
                <w:color w:val="auto"/>
                <w:kern w:val="2"/>
                <w:sz w:val="24"/>
                <w:szCs w:val="24"/>
                <w:highlight w:val="none"/>
                <w:u w:val="none"/>
                <w:vertAlign w:val="subscript"/>
                <w:lang w:val="en-US" w:eastAsia="zh-CN" w:bidi="ar-SA"/>
              </w:rPr>
              <w:t>1</w:t>
            </w:r>
            <w:r>
              <w:rPr>
                <w:rFonts w:hint="eastAsia" w:ascii="仿宋_GB2312" w:hAnsi="仿宋_GB2312" w:eastAsia="仿宋_GB2312" w:cs="仿宋_GB2312"/>
                <w:color w:val="auto"/>
                <w:kern w:val="2"/>
                <w:sz w:val="24"/>
                <w:szCs w:val="24"/>
                <w:highlight w:val="none"/>
                <w:u w:val="none"/>
                <w:lang w:val="en-US" w:eastAsia="zh-CN" w:bidi="ar-SA"/>
              </w:rPr>
              <w:t>级。</w:t>
            </w:r>
          </w:p>
          <w:p w14:paraId="390D10BA">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val="en-US" w:eastAsia="zh-CN"/>
              </w:rPr>
              <w:t>3.饰面：桌面采用防火板贴面，要求耐磨、耐污染；四周蓝色封边条采用PP材质一体注塑成型</w:t>
            </w:r>
            <w:r>
              <w:rPr>
                <w:rFonts w:hint="eastAsia" w:ascii="仿宋_GB2312" w:hAnsi="仿宋_GB2312" w:eastAsia="仿宋_GB2312" w:cs="仿宋_GB2312"/>
                <w:color w:val="auto"/>
                <w:sz w:val="24"/>
                <w:szCs w:val="24"/>
                <w:highlight w:val="none"/>
                <w:u w:val="none"/>
                <w:lang w:eastAsia="zh-CN"/>
              </w:rPr>
              <w:t>。</w:t>
            </w:r>
          </w:p>
          <w:p w14:paraId="4C163093">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防火板符合GB/T 7911-2024《热固性树脂浸渍纸高压装饰层积板（HPL）》、GB/T 35601-2024《绿色产品评价 人造板和木质地板》、GB 8624-2012《建筑材料及制品燃烧性能分级》要求，其中：表面耐磨性能≥3级，耐划痕性能≥3级，耐污染性能≥4级，耐沸水性能≥4级，甲醛释放量≤0.05mg/m³，挥发性有机化合物（7 d）：苯≤2μg/m³、甲苯≤20μg/m³、二甲苯≤20μg/m³、总挥发性有机化合物（TVOC）≤200μg/m³、可溶性重金属（铅、镉、铬、汞）总含量≤100mg/kg；</w:t>
            </w:r>
            <w:r>
              <w:rPr>
                <w:rFonts w:hint="eastAsia" w:ascii="仿宋_GB2312" w:hAnsi="仿宋_GB2312" w:eastAsia="仿宋_GB2312" w:cs="仿宋_GB2312"/>
                <w:color w:val="auto"/>
                <w:kern w:val="2"/>
                <w:sz w:val="24"/>
                <w:szCs w:val="24"/>
                <w:highlight w:val="none"/>
                <w:u w:val="none"/>
                <w:lang w:val="en-US" w:eastAsia="zh-CN" w:bidi="ar-SA"/>
              </w:rPr>
              <w:t>燃烧性能：B</w:t>
            </w:r>
            <w:r>
              <w:rPr>
                <w:rFonts w:hint="eastAsia" w:ascii="仿宋_GB2312" w:hAnsi="仿宋_GB2312" w:eastAsia="仿宋_GB2312" w:cs="仿宋_GB2312"/>
                <w:color w:val="auto"/>
                <w:kern w:val="2"/>
                <w:sz w:val="24"/>
                <w:szCs w:val="24"/>
                <w:highlight w:val="none"/>
                <w:u w:val="none"/>
                <w:vertAlign w:val="subscript"/>
                <w:lang w:val="en-US" w:eastAsia="zh-CN" w:bidi="ar-SA"/>
              </w:rPr>
              <w:t>1</w:t>
            </w:r>
            <w:r>
              <w:rPr>
                <w:rFonts w:hint="eastAsia" w:ascii="仿宋_GB2312" w:hAnsi="仿宋_GB2312" w:eastAsia="仿宋_GB2312" w:cs="仿宋_GB2312"/>
                <w:color w:val="auto"/>
                <w:kern w:val="2"/>
                <w:sz w:val="24"/>
                <w:szCs w:val="24"/>
                <w:highlight w:val="none"/>
                <w:u w:val="none"/>
                <w:lang w:val="en-US" w:eastAsia="zh-CN" w:bidi="ar-SA"/>
              </w:rPr>
              <w:t>级</w:t>
            </w:r>
            <w:r>
              <w:rPr>
                <w:rFonts w:hint="eastAsia" w:ascii="仿宋_GB2312" w:hAnsi="仿宋_GB2312" w:eastAsia="仿宋_GB2312" w:cs="仿宋_GB2312"/>
                <w:color w:val="auto"/>
                <w:sz w:val="24"/>
                <w:szCs w:val="24"/>
                <w:highlight w:val="none"/>
                <w:u w:val="none"/>
                <w:lang w:val="en-US" w:eastAsia="zh-CN"/>
              </w:rPr>
              <w:t>。</w:t>
            </w:r>
          </w:p>
          <w:p w14:paraId="71E79B57">
            <w:pPr>
              <w:pStyle w:val="865"/>
              <w:keepNext w:val="0"/>
              <w:keepLines w:val="0"/>
              <w:pageBreakBefore w:val="0"/>
              <w:kinsoku/>
              <w:wordWrap/>
              <w:overflowPunct/>
              <w:topLinePunct w:val="0"/>
              <w:bidi w:val="0"/>
              <w:adjustRightInd/>
              <w:spacing w:line="400" w:lineRule="exact"/>
              <w:ind w:left="0" w:leftChars="0"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4、封边条符合QB/T 4463-2013《家具用封边条技术要求》其中：理化性能：塑料封边条耐开裂性（耐耐龟|性）≥2级(有不规则横向细微开裂)，耐老化性应无开裂合格要求。耐光色牢度灰色样卡≥4级，有害物质限量：塑料封边条甲醛释放量E1≤1.5mg/L，氯乙烯单体≤5.0mg/kg，可迁移元素(可溶性重金属)：铅(Pb)≤90mg/kg、镉(Cd)≤75mg/kg、铬(Cr)≤60mg/kg、汞(Hg)≤60mg/kg、砷(As)≤25mg/kg、钡(Ba)≤1000mg/kg、锑(Sb)≤60mg/kg、硒(Se)≤500mg/kg；邻苯二甲酸酯(DBP、BBP、DEHP、 DNOP、DINP 和 DIDP)</w:t>
            </w:r>
            <w:r>
              <w:rPr>
                <w:rFonts w:hint="eastAsia" w:ascii="仿宋_GB2312" w:hAnsi="仿宋_GB2312" w:eastAsia="仿宋_GB2312" w:cs="仿宋_GB2312"/>
                <w:color w:val="auto"/>
                <w:kern w:val="2"/>
                <w:sz w:val="24"/>
                <w:szCs w:val="24"/>
                <w:highlight w:val="none"/>
                <w:u w:val="none"/>
                <w:lang w:val="en-US" w:eastAsia="zh-CN" w:bidi="ar-SA"/>
              </w:rPr>
              <w:t>≤0.1%</w:t>
            </w:r>
            <w:r>
              <w:rPr>
                <w:rFonts w:hint="eastAsia" w:ascii="仿宋_GB2312" w:hAnsi="仿宋_GB2312" w:eastAsia="仿宋_GB2312" w:cs="仿宋_GB2312"/>
                <w:color w:val="auto"/>
                <w:sz w:val="24"/>
                <w:szCs w:val="24"/>
                <w:highlight w:val="none"/>
                <w:u w:val="none"/>
                <w:lang w:val="en-US" w:eastAsia="zh-CN"/>
              </w:rPr>
              <w:t>。</w:t>
            </w:r>
          </w:p>
          <w:p w14:paraId="17C23E90">
            <w:pPr>
              <w:pStyle w:val="865"/>
              <w:keepNext w:val="0"/>
              <w:keepLines w:val="0"/>
              <w:pageBreakBefore w:val="0"/>
              <w:kinsoku/>
              <w:wordWrap/>
              <w:overflowPunct/>
              <w:topLinePunct w:val="0"/>
              <w:bidi w:val="0"/>
              <w:adjustRightInd/>
              <w:spacing w:line="400" w:lineRule="exact"/>
              <w:ind w:left="0" w:leftChars="0" w:firstLine="480" w:firstLineChars="200"/>
              <w:jc w:val="both"/>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5.</w:t>
            </w:r>
            <w:r>
              <w:rPr>
                <w:rFonts w:hint="eastAsia" w:ascii="仿宋_GB2312" w:hAnsi="仿宋_GB2312" w:eastAsia="仿宋_GB2312" w:cs="仿宋_GB2312"/>
                <w:color w:val="auto"/>
                <w:sz w:val="24"/>
                <w:szCs w:val="24"/>
                <w:highlight w:val="none"/>
                <w:u w:val="none"/>
              </w:rPr>
              <w:t xml:space="preserve">胶水使用热熔胶，保证贴合及封边牢固。 </w:t>
            </w:r>
          </w:p>
          <w:p w14:paraId="27A04E2B">
            <w:pPr>
              <w:pStyle w:val="865"/>
              <w:keepNext w:val="0"/>
              <w:keepLines w:val="0"/>
              <w:pageBreakBefore w:val="0"/>
              <w:kinsoku/>
              <w:wordWrap/>
              <w:overflowPunct/>
              <w:topLinePunct w:val="0"/>
              <w:bidi w:val="0"/>
              <w:adjustRightInd/>
              <w:spacing w:line="400" w:lineRule="exact"/>
              <w:ind w:firstLine="482" w:firstLineChars="200"/>
              <w:jc w:val="both"/>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（三）课桌书斗：</w:t>
            </w:r>
          </w:p>
          <w:p w14:paraId="034A6040">
            <w:pPr>
              <w:pStyle w:val="865"/>
              <w:keepNext w:val="0"/>
              <w:keepLines w:val="0"/>
              <w:pageBreakBefore w:val="0"/>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val="en-US" w:eastAsia="zh-CN"/>
              </w:rPr>
              <w:t>1.</w:t>
            </w:r>
            <w:r>
              <w:rPr>
                <w:rFonts w:hint="eastAsia" w:ascii="仿宋_GB2312" w:hAnsi="仿宋_GB2312" w:eastAsia="仿宋_GB2312" w:cs="仿宋_GB2312"/>
                <w:color w:val="auto"/>
                <w:sz w:val="24"/>
                <w:szCs w:val="24"/>
                <w:highlight w:val="none"/>
                <w:u w:val="none"/>
              </w:rPr>
              <w:t>书斗</w:t>
            </w:r>
            <w:r>
              <w:rPr>
                <w:rFonts w:hint="eastAsia" w:ascii="仿宋_GB2312" w:hAnsi="仿宋_GB2312" w:eastAsia="仿宋_GB2312" w:cs="仿宋_GB2312"/>
                <w:color w:val="auto"/>
                <w:sz w:val="24"/>
                <w:szCs w:val="24"/>
                <w:highlight w:val="none"/>
                <w:u w:val="none"/>
                <w:lang w:val="en-US" w:eastAsia="zh-CN"/>
              </w:rPr>
              <w:t>规格：长463</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宽310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高150mm（±5mm）</w:t>
            </w:r>
            <w:r>
              <w:rPr>
                <w:rFonts w:hint="eastAsia" w:ascii="仿宋_GB2312" w:hAnsi="仿宋_GB2312" w:eastAsia="仿宋_GB2312" w:cs="仿宋_GB2312"/>
                <w:color w:val="auto"/>
                <w:sz w:val="24"/>
                <w:szCs w:val="24"/>
                <w:highlight w:val="none"/>
                <w:u w:val="none"/>
                <w:lang w:eastAsia="zh-CN"/>
              </w:rPr>
              <w:t>。</w:t>
            </w:r>
          </w:p>
          <w:p w14:paraId="06CC0543">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rPr>
              <w:t>采用</w:t>
            </w:r>
            <w:r>
              <w:rPr>
                <w:rFonts w:hint="eastAsia" w:ascii="仿宋_GB2312" w:hAnsi="仿宋_GB2312" w:eastAsia="仿宋_GB2312" w:cs="仿宋_GB2312"/>
                <w:color w:val="auto"/>
                <w:sz w:val="24"/>
                <w:szCs w:val="24"/>
                <w:highlight w:val="none"/>
                <w:u w:val="none"/>
                <w:lang w:val="en-US" w:eastAsia="zh-CN"/>
              </w:rPr>
              <w:t>不低于</w:t>
            </w:r>
            <w:r>
              <w:rPr>
                <w:rFonts w:hint="eastAsia" w:ascii="仿宋_GB2312" w:hAnsi="仿宋_GB2312" w:eastAsia="仿宋_GB2312" w:cs="仿宋_GB2312"/>
                <w:color w:val="auto"/>
                <w:sz w:val="24"/>
                <w:szCs w:val="24"/>
                <w:highlight w:val="none"/>
                <w:u w:val="none"/>
              </w:rPr>
              <w:t>0.8mm</w:t>
            </w:r>
            <w:r>
              <w:rPr>
                <w:rFonts w:hint="eastAsia" w:ascii="仿宋_GB2312" w:hAnsi="仿宋_GB2312" w:eastAsia="仿宋_GB2312" w:cs="仿宋_GB2312"/>
                <w:color w:val="auto"/>
                <w:sz w:val="24"/>
                <w:szCs w:val="24"/>
                <w:highlight w:val="none"/>
                <w:u w:val="none"/>
                <w:lang w:val="en-US" w:eastAsia="zh-CN"/>
              </w:rPr>
              <w:t>厚</w:t>
            </w:r>
            <w:r>
              <w:rPr>
                <w:rFonts w:hint="eastAsia" w:ascii="仿宋_GB2312" w:hAnsi="仿宋_GB2312" w:eastAsia="仿宋_GB2312" w:cs="仿宋_GB2312"/>
                <w:color w:val="auto"/>
                <w:sz w:val="24"/>
                <w:szCs w:val="24"/>
                <w:highlight w:val="none"/>
                <w:u w:val="none"/>
              </w:rPr>
              <w:t>冷轧钢板一次冲压成型，</w:t>
            </w:r>
            <w:r>
              <w:rPr>
                <w:rFonts w:hint="eastAsia" w:ascii="仿宋_GB2312" w:hAnsi="仿宋_GB2312" w:eastAsia="仿宋_GB2312" w:cs="仿宋_GB2312"/>
                <w:color w:val="auto"/>
                <w:sz w:val="24"/>
                <w:szCs w:val="24"/>
                <w:highlight w:val="none"/>
                <w:u w:val="none"/>
                <w:lang w:val="en-US" w:eastAsia="zh-CN"/>
              </w:rPr>
              <w:t>做</w:t>
            </w:r>
            <w:r>
              <w:rPr>
                <w:rFonts w:hint="eastAsia" w:ascii="仿宋_GB2312" w:hAnsi="仿宋_GB2312" w:eastAsia="仿宋_GB2312" w:cs="仿宋_GB2312"/>
                <w:color w:val="auto"/>
                <w:sz w:val="24"/>
                <w:szCs w:val="24"/>
                <w:highlight w:val="none"/>
                <w:u w:val="none"/>
              </w:rPr>
              <w:t>卷边处理。</w:t>
            </w:r>
            <w:r>
              <w:rPr>
                <w:rFonts w:hint="eastAsia" w:ascii="仿宋_GB2312" w:hAnsi="仿宋_GB2312" w:eastAsia="仿宋_GB2312" w:cs="仿宋_GB2312"/>
                <w:color w:val="auto"/>
                <w:sz w:val="24"/>
                <w:szCs w:val="24"/>
                <w:highlight w:val="none"/>
                <w:u w:val="none"/>
                <w:lang w:val="en-US" w:eastAsia="zh-CN"/>
              </w:rPr>
              <w:t>冷轧钢板符合GB/T 11253-2019 《碳素结构钢冷轧钢板及钢带》、GB/T 10125-2021《人造气氛腐蚀试验 盐雾试验》、GB/T 6461-2002 《金属基体上金属和其他无机覆盖层 经腐蚀试验后的试样和试件的评级》、GB/T 3325-2024《金属家具通用技术条件》标准，其中力学性能：下屈服强度≥195Mpa、抗拉强度315～430Mpa、断后伸长率≥24%，表面结构（平均粗糙度）≤0.9μm，弯曲试验（180°）、表面质量合格，经过96h人造气氛腐蚀试验（中性盐雾NSS、乙酸盐雾AASS），保护评级、外观评级均不低于9级，金属喷漆（塑）涂层（硬度、冲击强度、附着力）符合国家检测标准。</w:t>
            </w:r>
          </w:p>
          <w:p w14:paraId="4E8162A7">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3.</w:t>
            </w:r>
            <w:r>
              <w:rPr>
                <w:rFonts w:hint="eastAsia" w:ascii="仿宋_GB2312" w:hAnsi="仿宋_GB2312" w:eastAsia="仿宋_GB2312" w:cs="仿宋_GB2312"/>
                <w:b w:val="0"/>
                <w:bCs w:val="0"/>
                <w:color w:val="auto"/>
                <w:sz w:val="24"/>
                <w:szCs w:val="24"/>
                <w:highlight w:val="none"/>
                <w:u w:val="none"/>
                <w:lang w:val="en-US" w:eastAsia="zh-CN"/>
              </w:rPr>
              <w:t>课桌书斗符合</w:t>
            </w:r>
            <w:r>
              <w:rPr>
                <w:rFonts w:hint="eastAsia" w:ascii="仿宋_GB2312" w:hAnsi="仿宋_GB2312" w:eastAsia="仿宋_GB2312" w:cs="仿宋_GB2312"/>
                <w:color w:val="auto"/>
                <w:sz w:val="24"/>
                <w:szCs w:val="24"/>
                <w:highlight w:val="none"/>
                <w:u w:val="none"/>
                <w:lang w:val="en-US" w:eastAsia="zh-CN"/>
              </w:rPr>
              <w:t>GB/T 11253-2019 《碳素结构钢冷轧钢板及钢带》、</w:t>
            </w:r>
            <w:r>
              <w:rPr>
                <w:rFonts w:hint="eastAsia" w:ascii="仿宋_GB2312" w:hAnsi="仿宋_GB2312" w:eastAsia="仿宋_GB2312" w:cs="仿宋_GB2312"/>
                <w:b w:val="0"/>
                <w:bCs w:val="0"/>
                <w:color w:val="auto"/>
                <w:sz w:val="24"/>
                <w:szCs w:val="24"/>
                <w:highlight w:val="none"/>
                <w:u w:val="none"/>
                <w:lang w:val="en-US" w:eastAsia="zh-CN"/>
              </w:rPr>
              <w:t>GB/T 3325-2024 《金属家具通用技术条件》、GB/T 10125-2021《人造气氛腐蚀试验 盐雾试验》、GB/T6461-2002 《金属基体上金属和其他无机覆盖层 经腐蚀试验后的试样和试件的评级》、</w:t>
            </w:r>
            <w:r>
              <w:rPr>
                <w:rFonts w:hint="eastAsia" w:ascii="仿宋_GB2312" w:hAnsi="仿宋_GB2312" w:eastAsia="仿宋_GB2312" w:cs="仿宋_GB2312"/>
                <w:b w:val="0"/>
                <w:bCs w:val="0"/>
                <w:color w:val="auto"/>
                <w:kern w:val="2"/>
                <w:sz w:val="24"/>
                <w:szCs w:val="24"/>
                <w:highlight w:val="none"/>
                <w:u w:val="none"/>
                <w:lang w:val="en-US" w:eastAsia="zh-CN" w:bidi="ar-SA"/>
              </w:rPr>
              <w:t>GB/T35607-2024《绿色产品评价 家具》</w:t>
            </w:r>
            <w:r>
              <w:rPr>
                <w:rFonts w:hint="eastAsia" w:ascii="仿宋_GB2312" w:hAnsi="仿宋_GB2312" w:eastAsia="仿宋_GB2312" w:cs="仿宋_GB2312"/>
                <w:b w:val="0"/>
                <w:bCs w:val="0"/>
                <w:color w:val="auto"/>
                <w:sz w:val="24"/>
                <w:szCs w:val="24"/>
                <w:highlight w:val="none"/>
                <w:u w:val="none"/>
                <w:lang w:val="en-US" w:eastAsia="zh-CN"/>
              </w:rPr>
              <w:t>要求，其中力学性能标准，金属件外观性能要求（喷漆（塑）涂层）检测合格，金属喷漆（塑）涂层（硬度、冲击强度、附着力）检测合格，</w:t>
            </w:r>
            <w:r>
              <w:rPr>
                <w:rFonts w:hint="eastAsia" w:ascii="仿宋_GB2312" w:hAnsi="仿宋_GB2312" w:eastAsia="仿宋_GB2312" w:cs="仿宋_GB2312"/>
                <w:b w:val="0"/>
                <w:bCs w:val="0"/>
                <w:color w:val="auto"/>
                <w:kern w:val="2"/>
                <w:sz w:val="24"/>
                <w:szCs w:val="24"/>
                <w:highlight w:val="none"/>
                <w:u w:val="none"/>
                <w:lang w:val="en-US" w:eastAsia="zh-CN" w:bidi="ar-SA"/>
              </w:rPr>
              <w:t>产品有害物质：家具涂层可迁移元素：铅Pb≤90mg/kg、镉Cd≤50mg/kg、铬Cr≤25mg/kg、汞Hg≤25mg/kg；</w:t>
            </w:r>
            <w:r>
              <w:rPr>
                <w:rFonts w:hint="eastAsia" w:ascii="仿宋_GB2312" w:hAnsi="仿宋_GB2312" w:eastAsia="仿宋_GB2312" w:cs="仿宋_GB2312"/>
                <w:b w:val="0"/>
                <w:bCs w:val="0"/>
                <w:color w:val="auto"/>
                <w:sz w:val="24"/>
                <w:szCs w:val="24"/>
                <w:highlight w:val="none"/>
                <w:u w:val="none"/>
                <w:lang w:val="en-US" w:eastAsia="zh-CN"/>
              </w:rPr>
              <w:t>经过</w:t>
            </w:r>
            <w:r>
              <w:rPr>
                <w:rFonts w:hint="eastAsia" w:ascii="仿宋_GB2312" w:hAnsi="仿宋_GB2312" w:eastAsia="仿宋_GB2312" w:cs="仿宋_GB2312"/>
                <w:color w:val="auto"/>
                <w:sz w:val="24"/>
                <w:szCs w:val="24"/>
                <w:highlight w:val="none"/>
                <w:u w:val="none"/>
                <w:lang w:val="en-US" w:eastAsia="zh-CN"/>
              </w:rPr>
              <w:t>96h</w:t>
            </w:r>
            <w:r>
              <w:rPr>
                <w:rFonts w:hint="eastAsia" w:ascii="仿宋_GB2312" w:hAnsi="仿宋_GB2312" w:eastAsia="仿宋_GB2312" w:cs="仿宋_GB2312"/>
                <w:b w:val="0"/>
                <w:bCs w:val="0"/>
                <w:color w:val="auto"/>
                <w:sz w:val="24"/>
                <w:szCs w:val="24"/>
                <w:highlight w:val="none"/>
                <w:u w:val="none"/>
                <w:lang w:val="en-US" w:eastAsia="zh-CN"/>
              </w:rPr>
              <w:t>人造气氛腐蚀试验（中性盐雾NSS、乙酸盐雾AASS），保护评级、外观评级均不低于9级。</w:t>
            </w:r>
          </w:p>
          <w:p w14:paraId="4E21C7FD">
            <w:pPr>
              <w:pStyle w:val="865"/>
              <w:keepNext w:val="0"/>
              <w:keepLines w:val="0"/>
              <w:pageBreakBefore w:val="0"/>
              <w:kinsoku/>
              <w:wordWrap/>
              <w:overflowPunct/>
              <w:topLinePunct w:val="0"/>
              <w:bidi w:val="0"/>
              <w:adjustRightInd/>
              <w:spacing w:line="400" w:lineRule="exact"/>
              <w:jc w:val="both"/>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（四）课桌书篮：</w:t>
            </w:r>
          </w:p>
          <w:p w14:paraId="4E16D805">
            <w:pPr>
              <w:pStyle w:val="865"/>
              <w:keepNext w:val="0"/>
              <w:keepLines w:val="0"/>
              <w:pageBreakBefore w:val="0"/>
              <w:kinsoku/>
              <w:wordWrap/>
              <w:overflowPunct/>
              <w:topLinePunct w:val="0"/>
              <w:bidi w:val="0"/>
              <w:adjustRightInd/>
              <w:spacing w:line="400" w:lineRule="exact"/>
              <w:jc w:val="both"/>
              <w:textAlignment w:val="auto"/>
              <w:rPr>
                <w:rFonts w:hint="eastAsia"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b w:val="0"/>
                <w:bCs w:val="0"/>
                <w:color w:val="auto"/>
                <w:sz w:val="24"/>
                <w:szCs w:val="24"/>
                <w:highlight w:val="none"/>
                <w:u w:val="none"/>
                <w:lang w:val="en-US" w:eastAsia="zh-CN"/>
              </w:rPr>
              <w:t>1、课桌下方焊接书篮一个，书篮规格：长500×宽160×高160mm（±5mm），书篮由厚度不低于0.7mm冷轧钢板冲孔焊接而成，美观大方、实用性强.</w:t>
            </w:r>
          </w:p>
          <w:p w14:paraId="55E2788F">
            <w:pPr>
              <w:pStyle w:val="865"/>
              <w:keepNext w:val="0"/>
              <w:keepLines w:val="0"/>
              <w:pageBreakBefore w:val="0"/>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b w:val="0"/>
                <w:bCs w:val="0"/>
                <w:color w:val="auto"/>
                <w:sz w:val="24"/>
                <w:szCs w:val="24"/>
                <w:highlight w:val="none"/>
                <w:u w:val="none"/>
                <w:lang w:val="en-US" w:eastAsia="zh-CN"/>
              </w:rPr>
              <w:t>2、课桌书篮符合</w:t>
            </w:r>
            <w:r>
              <w:rPr>
                <w:rFonts w:hint="eastAsia" w:ascii="仿宋_GB2312" w:hAnsi="仿宋_GB2312" w:eastAsia="仿宋_GB2312" w:cs="仿宋_GB2312"/>
                <w:color w:val="auto"/>
                <w:sz w:val="24"/>
                <w:szCs w:val="24"/>
                <w:highlight w:val="none"/>
                <w:u w:val="none"/>
                <w:lang w:val="en-US" w:eastAsia="zh-CN"/>
              </w:rPr>
              <w:t>GB/T 11253-2019 《碳素结构钢冷轧钢板及钢带》、</w:t>
            </w:r>
            <w:r>
              <w:rPr>
                <w:rFonts w:hint="eastAsia" w:ascii="仿宋_GB2312" w:hAnsi="仿宋_GB2312" w:eastAsia="仿宋_GB2312" w:cs="仿宋_GB2312"/>
                <w:b w:val="0"/>
                <w:bCs w:val="0"/>
                <w:color w:val="auto"/>
                <w:sz w:val="24"/>
                <w:szCs w:val="24"/>
                <w:highlight w:val="none"/>
                <w:u w:val="none"/>
                <w:lang w:val="en-US" w:eastAsia="zh-CN"/>
              </w:rPr>
              <w:t>GB/T 3325-2024《金属家具通用技术条件》、GB/T 10125-2021《人造气氛腐蚀试验 盐雾试验》、GB/T 6461-2002《金属基体上金属和其他无机覆盖层 经腐蚀试验后的试样和试件的评级》、</w:t>
            </w:r>
            <w:r>
              <w:rPr>
                <w:rFonts w:hint="eastAsia" w:ascii="仿宋_GB2312" w:hAnsi="仿宋_GB2312" w:eastAsia="仿宋_GB2312" w:cs="仿宋_GB2312"/>
                <w:b w:val="0"/>
                <w:bCs w:val="0"/>
                <w:color w:val="auto"/>
                <w:kern w:val="2"/>
                <w:sz w:val="24"/>
                <w:szCs w:val="24"/>
                <w:highlight w:val="none"/>
                <w:u w:val="none"/>
                <w:lang w:val="en-US" w:eastAsia="zh-CN" w:bidi="ar-SA"/>
              </w:rPr>
              <w:t>GB/T35607-2024《绿色产品评价 家具》</w:t>
            </w:r>
            <w:r>
              <w:rPr>
                <w:rFonts w:hint="eastAsia" w:ascii="仿宋_GB2312" w:hAnsi="仿宋_GB2312" w:eastAsia="仿宋_GB2312" w:cs="仿宋_GB2312"/>
                <w:b w:val="0"/>
                <w:bCs w:val="0"/>
                <w:color w:val="auto"/>
                <w:sz w:val="24"/>
                <w:szCs w:val="24"/>
                <w:highlight w:val="none"/>
                <w:u w:val="none"/>
                <w:lang w:val="en-US" w:eastAsia="zh-CN"/>
              </w:rPr>
              <w:t>要求，其中力学性能标准，金属件外观性能要求（喷漆（塑）涂层）检测合格，金属喷漆（塑）涂层（硬度、冲击强度、附着力）检测合格，</w:t>
            </w:r>
            <w:r>
              <w:rPr>
                <w:rFonts w:hint="eastAsia" w:ascii="仿宋_GB2312" w:hAnsi="仿宋_GB2312" w:eastAsia="仿宋_GB2312" w:cs="仿宋_GB2312"/>
                <w:b w:val="0"/>
                <w:bCs w:val="0"/>
                <w:color w:val="auto"/>
                <w:kern w:val="2"/>
                <w:sz w:val="24"/>
                <w:szCs w:val="24"/>
                <w:highlight w:val="none"/>
                <w:u w:val="none"/>
                <w:lang w:val="en-US" w:eastAsia="zh-CN" w:bidi="ar-SA"/>
              </w:rPr>
              <w:t>产品有害物质：家具涂层可迁移元素：铅Pb≤90mg/kg、镉Cd≤50mg/kg、铬Cr≤25mg/kg、汞Hg≤25mg/kg；</w:t>
            </w:r>
            <w:r>
              <w:rPr>
                <w:rFonts w:hint="eastAsia" w:ascii="仿宋_GB2312" w:hAnsi="仿宋_GB2312" w:eastAsia="仿宋_GB2312" w:cs="仿宋_GB2312"/>
                <w:b w:val="0"/>
                <w:bCs w:val="0"/>
                <w:color w:val="auto"/>
                <w:sz w:val="24"/>
                <w:szCs w:val="24"/>
                <w:highlight w:val="none"/>
                <w:u w:val="none"/>
                <w:lang w:val="en-US" w:eastAsia="zh-CN"/>
              </w:rPr>
              <w:t>经过人96h造气氛腐蚀试验（中性盐雾NSS、乙酸盐雾AASS），保护评级、外观评级均不低于9级。</w:t>
            </w:r>
          </w:p>
          <w:p w14:paraId="2117F835">
            <w:pPr>
              <w:pStyle w:val="865"/>
              <w:keepNext w:val="0"/>
              <w:keepLines w:val="0"/>
              <w:pageBreakBefore w:val="0"/>
              <w:kinsoku/>
              <w:wordWrap/>
              <w:overflowPunct/>
              <w:topLinePunct w:val="0"/>
              <w:bidi w:val="0"/>
              <w:adjustRightInd/>
              <w:spacing w:line="400" w:lineRule="exact"/>
              <w:ind w:firstLine="482" w:firstLineChars="200"/>
              <w:jc w:val="both"/>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val="en-US" w:eastAsia="zh-CN"/>
              </w:rPr>
              <w:t>（五）</w:t>
            </w:r>
            <w:r>
              <w:rPr>
                <w:rFonts w:hint="eastAsia" w:ascii="仿宋_GB2312" w:hAnsi="仿宋_GB2312" w:eastAsia="仿宋_GB2312" w:cs="仿宋_GB2312"/>
                <w:b/>
                <w:bCs/>
                <w:color w:val="auto"/>
                <w:sz w:val="24"/>
                <w:szCs w:val="24"/>
                <w:highlight w:val="none"/>
                <w:u w:val="none"/>
              </w:rPr>
              <w:t>桌架：</w:t>
            </w:r>
          </w:p>
          <w:p w14:paraId="428F86B5">
            <w:pPr>
              <w:pStyle w:val="865"/>
              <w:keepNext w:val="0"/>
              <w:keepLines w:val="0"/>
              <w:pageBreakBefore w:val="0"/>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val="en-US" w:eastAsia="zh-CN"/>
              </w:rPr>
              <w:t>1.立柱连接</w:t>
            </w:r>
            <w:r>
              <w:rPr>
                <w:rFonts w:hint="eastAsia" w:ascii="仿宋_GB2312" w:hAnsi="仿宋_GB2312" w:eastAsia="仿宋_GB2312" w:cs="仿宋_GB2312"/>
                <w:color w:val="auto"/>
                <w:sz w:val="24"/>
                <w:szCs w:val="24"/>
                <w:highlight w:val="none"/>
                <w:u w:val="none"/>
              </w:rPr>
              <w:t>底脚</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椭圆管焊接成型</w:t>
            </w:r>
            <w:r>
              <w:rPr>
                <w:rFonts w:hint="eastAsia" w:ascii="仿宋_GB2312" w:hAnsi="仿宋_GB2312" w:eastAsia="仿宋_GB2312" w:cs="仿宋_GB2312"/>
                <w:color w:val="auto"/>
                <w:sz w:val="24"/>
                <w:szCs w:val="24"/>
                <w:highlight w:val="none"/>
                <w:u w:val="none"/>
                <w:lang w:eastAsia="zh-CN"/>
              </w:rPr>
              <w:t>。</w:t>
            </w:r>
          </w:p>
          <w:p w14:paraId="1D996C96">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2.课桌</w:t>
            </w:r>
            <w:r>
              <w:rPr>
                <w:rFonts w:hint="eastAsia" w:ascii="仿宋_GB2312" w:hAnsi="仿宋_GB2312" w:eastAsia="仿宋_GB2312" w:cs="仿宋_GB2312"/>
                <w:color w:val="auto"/>
                <w:sz w:val="24"/>
                <w:szCs w:val="24"/>
                <w:highlight w:val="none"/>
                <w:u w:val="none"/>
              </w:rPr>
              <w:t>立柱</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椭圆管焊接成型，</w:t>
            </w:r>
            <w:r>
              <w:rPr>
                <w:rFonts w:hint="eastAsia" w:ascii="仿宋_GB2312" w:hAnsi="仿宋_GB2312" w:eastAsia="仿宋_GB2312" w:cs="仿宋_GB2312"/>
                <w:color w:val="auto"/>
                <w:sz w:val="24"/>
                <w:szCs w:val="24"/>
                <w:highlight w:val="none"/>
                <w:u w:val="none"/>
                <w:lang w:val="en-US" w:eastAsia="zh-CN"/>
              </w:rPr>
              <w:t>课桌</w:t>
            </w:r>
            <w:r>
              <w:rPr>
                <w:rFonts w:hint="eastAsia" w:ascii="仿宋_GB2312" w:hAnsi="仿宋_GB2312" w:eastAsia="仿宋_GB2312" w:cs="仿宋_GB2312"/>
                <w:color w:val="auto"/>
                <w:sz w:val="24"/>
                <w:szCs w:val="24"/>
                <w:highlight w:val="none"/>
                <w:u w:val="none"/>
              </w:rPr>
              <w:t>升降立柱套管采用50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20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椭圆管，方便调节高度</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课桌立柱符合GB/T 11253-2019 《碳素结构钢冷轧钢板及钢带》、GB/T 3325-2024《金属家具通用技术条件》、GB/T 10125-2021《人造气氛腐蚀试验 盐雾试验》、GB/T6461-2002《金属基体上金属和其他无机覆盖层 经腐蚀试验后的试样和试件的评级》、GB/T 35607-2024《绿色产品评价 家具》标准，其中：力学性能标准，金属件外观性能要求（喷</w:t>
            </w:r>
            <w:r>
              <w:rPr>
                <w:rFonts w:hint="eastAsia" w:ascii="仿宋_GB2312" w:hAnsi="仿宋_GB2312" w:eastAsia="仿宋_GB2312" w:cs="仿宋_GB2312"/>
                <w:b w:val="0"/>
                <w:bCs w:val="0"/>
                <w:color w:val="auto"/>
                <w:sz w:val="24"/>
                <w:szCs w:val="24"/>
                <w:highlight w:val="none"/>
                <w:u w:val="none"/>
                <w:lang w:val="en-US" w:eastAsia="zh-CN"/>
              </w:rPr>
              <w:t>漆（塑）</w:t>
            </w:r>
            <w:r>
              <w:rPr>
                <w:rFonts w:hint="eastAsia" w:ascii="仿宋_GB2312" w:hAnsi="仿宋_GB2312" w:eastAsia="仿宋_GB2312" w:cs="仿宋_GB2312"/>
                <w:color w:val="auto"/>
                <w:sz w:val="24"/>
                <w:szCs w:val="24"/>
                <w:highlight w:val="none"/>
                <w:u w:val="none"/>
                <w:lang w:val="en-US" w:eastAsia="zh-CN"/>
              </w:rPr>
              <w:t>涂层）检测合格，金属喷漆（塑）涂层（硬度、冲击强度、附着力）检测合格，产品有害物质：家具涂层可迁移元素：铅Pb≤90mg/kg、镉Cd≤50mg/kg、铬Cr≤25mg/kg、汞Hg≤25mg/kg；经过</w:t>
            </w:r>
            <w:r>
              <w:rPr>
                <w:rFonts w:hint="eastAsia" w:ascii="仿宋_GB2312" w:hAnsi="仿宋_GB2312" w:eastAsia="仿宋_GB2312" w:cs="仿宋_GB2312"/>
                <w:color w:val="auto"/>
                <w:sz w:val="24"/>
                <w:szCs w:val="24"/>
                <w:highlight w:val="none"/>
                <w:lang w:val="en-US" w:eastAsia="zh-CN"/>
              </w:rPr>
              <w:t>96h</w:t>
            </w:r>
            <w:r>
              <w:rPr>
                <w:rFonts w:hint="eastAsia" w:ascii="仿宋_GB2312" w:hAnsi="仿宋_GB2312" w:eastAsia="仿宋_GB2312" w:cs="仿宋_GB2312"/>
                <w:color w:val="auto"/>
                <w:sz w:val="24"/>
                <w:szCs w:val="24"/>
                <w:highlight w:val="none"/>
                <w:u w:val="none"/>
                <w:lang w:val="en-US" w:eastAsia="zh-CN"/>
              </w:rPr>
              <w:t>人造气氛腐蚀试验（中性盐雾NSS、乙酸盐雾AASS），保护评级、外观评级均不低于9级。</w:t>
            </w:r>
          </w:p>
          <w:p w14:paraId="71214103">
            <w:pPr>
              <w:pStyle w:val="865"/>
              <w:keepNext w:val="0"/>
              <w:keepLines w:val="0"/>
              <w:pageBreakBefore w:val="0"/>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val="en-US" w:eastAsia="zh-CN"/>
              </w:rPr>
              <w:t>3.</w:t>
            </w:r>
            <w:r>
              <w:rPr>
                <w:rFonts w:hint="eastAsia" w:ascii="仿宋_GB2312" w:hAnsi="仿宋_GB2312" w:eastAsia="仿宋_GB2312" w:cs="仿宋_GB2312"/>
                <w:color w:val="auto"/>
                <w:sz w:val="24"/>
                <w:szCs w:val="24"/>
                <w:highlight w:val="none"/>
                <w:u w:val="none"/>
              </w:rPr>
              <w:t>横杆采用60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椭圆管焊接成型。</w:t>
            </w:r>
          </w:p>
          <w:p w14:paraId="3F865557">
            <w:pPr>
              <w:pStyle w:val="865"/>
              <w:keepNext w:val="0"/>
              <w:keepLines w:val="0"/>
              <w:pageBreakBefore w:val="0"/>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lang w:val="en-US" w:eastAsia="zh-CN"/>
              </w:rPr>
              <w:t>4.</w:t>
            </w:r>
            <w:r>
              <w:rPr>
                <w:rFonts w:hint="eastAsia" w:ascii="仿宋_GB2312" w:hAnsi="仿宋_GB2312" w:eastAsia="仿宋_GB2312" w:cs="仿宋_GB2312"/>
                <w:color w:val="auto"/>
                <w:sz w:val="24"/>
                <w:szCs w:val="24"/>
                <w:highlight w:val="none"/>
                <w:u w:val="none"/>
              </w:rPr>
              <w:t>书斗支架采用40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20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w:t>
            </w:r>
          </w:p>
          <w:p w14:paraId="3EC75101">
            <w:pPr>
              <w:keepNext w:val="0"/>
              <w:keepLines w:val="0"/>
              <w:pageBreakBefore w:val="0"/>
              <w:kinsoku/>
              <w:wordWrap/>
              <w:overflowPunct/>
              <w:topLinePunct w:val="0"/>
              <w:autoSpaceDE w:val="0"/>
              <w:autoSpaceDN w:val="0"/>
              <w:bidi w:val="0"/>
              <w:adjustRightInd/>
              <w:spacing w:line="400" w:lineRule="exact"/>
              <w:ind w:firstLine="482" w:firstLineChars="200"/>
              <w:jc w:val="both"/>
              <w:textAlignment w:val="auto"/>
              <w:rPr>
                <w:rFonts w:hint="eastAsia" w:ascii="仿宋_GB2312" w:hAnsi="仿宋_GB2312" w:eastAsia="仿宋_GB2312" w:cs="仿宋_GB2312"/>
                <w:b/>
                <w:bCs/>
                <w:color w:val="auto"/>
                <w:kern w:val="2"/>
                <w:sz w:val="24"/>
                <w:szCs w:val="24"/>
                <w:highlight w:val="none"/>
                <w:u w:val="none"/>
                <w:lang w:val="en-US" w:eastAsia="zh-CN" w:bidi="ar-SA"/>
              </w:rPr>
            </w:pPr>
            <w:r>
              <w:rPr>
                <w:rFonts w:hint="eastAsia" w:ascii="仿宋_GB2312" w:hAnsi="仿宋_GB2312" w:eastAsia="仿宋_GB2312" w:cs="仿宋_GB2312"/>
                <w:b/>
                <w:bCs/>
                <w:color w:val="auto"/>
                <w:kern w:val="2"/>
                <w:sz w:val="24"/>
                <w:szCs w:val="24"/>
                <w:highlight w:val="none"/>
                <w:u w:val="none"/>
                <w:lang w:val="en-US" w:eastAsia="zh-CN" w:bidi="ar-SA"/>
              </w:rPr>
              <w:t>（六）脚套：</w:t>
            </w:r>
          </w:p>
          <w:p w14:paraId="4937ADCD">
            <w:pPr>
              <w:pStyle w:val="865"/>
              <w:spacing w:line="400" w:lineRule="exact"/>
              <w:ind w:firstLine="480" w:firstLineChars="200"/>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rPr>
              <w:t>采用PP工程塑料</w:t>
            </w:r>
            <w:r>
              <w:rPr>
                <w:rFonts w:hint="eastAsia" w:ascii="仿宋_GB2312" w:hAnsi="仿宋_GB2312" w:eastAsia="仿宋_GB2312" w:cs="仿宋_GB2312"/>
                <w:color w:val="auto"/>
                <w:sz w:val="24"/>
                <w:szCs w:val="24"/>
                <w:highlight w:val="none"/>
                <w:u w:val="none"/>
                <w:lang w:val="en-US" w:eastAsia="zh-CN"/>
              </w:rPr>
              <w:t>一次性</w:t>
            </w:r>
            <w:r>
              <w:rPr>
                <w:rFonts w:hint="eastAsia" w:ascii="仿宋_GB2312" w:hAnsi="仿宋_GB2312" w:eastAsia="仿宋_GB2312" w:cs="仿宋_GB2312"/>
                <w:color w:val="auto"/>
                <w:sz w:val="24"/>
                <w:szCs w:val="24"/>
                <w:highlight w:val="none"/>
                <w:u w:val="none"/>
              </w:rPr>
              <w:t>注塑成型，</w:t>
            </w:r>
            <w:r>
              <w:rPr>
                <w:rFonts w:hint="eastAsia" w:ascii="仿宋_GB2312" w:hAnsi="仿宋_GB2312" w:eastAsia="仿宋_GB2312" w:cs="仿宋_GB2312"/>
                <w:color w:val="auto"/>
                <w:sz w:val="24"/>
                <w:szCs w:val="24"/>
                <w:highlight w:val="none"/>
                <w:u w:val="none"/>
                <w:lang w:val="en-US" w:eastAsia="zh-CN"/>
              </w:rPr>
              <w:t>颜色为蓝色。</w:t>
            </w:r>
            <w:r>
              <w:rPr>
                <w:rFonts w:hint="eastAsia" w:ascii="仿宋_GB2312" w:hAnsi="仿宋_GB2312" w:eastAsia="仿宋_GB2312" w:cs="仿宋_GB2312"/>
                <w:color w:val="auto"/>
                <w:sz w:val="24"/>
                <w:szCs w:val="24"/>
                <w:highlight w:val="none"/>
                <w:u w:val="none"/>
              </w:rPr>
              <w:t>环保无异味</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起到防滑、防摩擦等作用</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脚套符合GB/T 32487-2016 《塑料家具通用技术条件》、</w:t>
            </w:r>
            <w:r>
              <w:rPr>
                <w:rFonts w:hint="eastAsia" w:ascii="仿宋_GB2312" w:hAnsi="仿宋_GB2312" w:eastAsia="仿宋_GB2312" w:cs="仿宋_GB2312"/>
                <w:i w:val="0"/>
                <w:iCs w:val="0"/>
                <w:caps w:val="0"/>
                <w:color w:val="auto"/>
                <w:spacing w:val="0"/>
                <w:sz w:val="24"/>
                <w:szCs w:val="24"/>
                <w:highlight w:val="none"/>
                <w:u w:val="none"/>
                <w:shd w:val="clear" w:color="auto" w:fill="auto"/>
              </w:rPr>
              <w:t>GB 28481-2012</w:t>
            </w:r>
            <w:r>
              <w:rPr>
                <w:rFonts w:hint="eastAsia" w:ascii="仿宋_GB2312" w:hAnsi="仿宋_GB2312" w:eastAsia="仿宋_GB2312" w:cs="仿宋_GB2312"/>
                <w:i w:val="0"/>
                <w:iCs w:val="0"/>
                <w:caps w:val="0"/>
                <w:color w:val="auto"/>
                <w:spacing w:val="0"/>
                <w:sz w:val="24"/>
                <w:szCs w:val="24"/>
                <w:highlight w:val="none"/>
                <w:u w:val="none"/>
                <w:shd w:val="clear" w:color="auto" w:fill="auto"/>
                <w:lang w:eastAsia="zh-CN"/>
              </w:rPr>
              <w:t>《</w:t>
            </w:r>
            <w:r>
              <w:rPr>
                <w:rFonts w:hint="eastAsia" w:ascii="仿宋_GB2312" w:hAnsi="仿宋_GB2312" w:eastAsia="仿宋_GB2312" w:cs="仿宋_GB2312"/>
                <w:i w:val="0"/>
                <w:iCs w:val="0"/>
                <w:caps w:val="0"/>
                <w:color w:val="auto"/>
                <w:spacing w:val="0"/>
                <w:sz w:val="24"/>
                <w:szCs w:val="24"/>
                <w:highlight w:val="none"/>
                <w:u w:val="none"/>
                <w:shd w:val="clear" w:color="auto" w:fill="auto"/>
              </w:rPr>
              <w:t>塑料家具中有害物质限量</w:t>
            </w:r>
            <w:r>
              <w:rPr>
                <w:rFonts w:hint="eastAsia" w:ascii="仿宋_GB2312" w:hAnsi="仿宋_GB2312" w:eastAsia="仿宋_GB2312" w:cs="仿宋_GB2312"/>
                <w:i w:val="0"/>
                <w:iCs w:val="0"/>
                <w:caps w:val="0"/>
                <w:color w:val="auto"/>
                <w:spacing w:val="0"/>
                <w:sz w:val="24"/>
                <w:szCs w:val="24"/>
                <w:highlight w:val="none"/>
                <w:u w:val="none"/>
                <w:shd w:val="clear" w:color="auto" w:fill="auto"/>
                <w:lang w:eastAsia="zh-CN"/>
              </w:rPr>
              <w:t>》</w:t>
            </w:r>
            <w:r>
              <w:rPr>
                <w:rFonts w:hint="eastAsia" w:ascii="仿宋_GB2312" w:hAnsi="仿宋_GB2312" w:eastAsia="仿宋_GB2312" w:cs="仿宋_GB2312"/>
                <w:color w:val="auto"/>
                <w:sz w:val="24"/>
                <w:szCs w:val="24"/>
                <w:highlight w:val="none"/>
                <w:u w:val="none"/>
                <w:lang w:val="en-US" w:eastAsia="zh-CN"/>
              </w:rPr>
              <w:t>要求，其中：苯并［a］芘≤1.0mg/kg；塑料件外观合格，塑料材料耐老化性合格，塑料件硬度（邵氏D硬度）≥HD63，塑料邻苯二甲酸酯合格，塑料多环芳烃合格，塑料重金属：可溶性铅≤90mg/kg、可溶性镉≤75mg/kg、可溶性铬≤60mg/kg、可溶性汞≤60mg/kg。</w:t>
            </w:r>
          </w:p>
          <w:p w14:paraId="51F72A46">
            <w:pPr>
              <w:keepNext w:val="0"/>
              <w:keepLines w:val="0"/>
              <w:pageBreakBefore w:val="0"/>
              <w:kinsoku/>
              <w:wordWrap/>
              <w:overflowPunct/>
              <w:topLinePunct w:val="0"/>
              <w:bidi w:val="0"/>
              <w:adjustRightIn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szCs w:val="24"/>
                <w:highlight w:val="none"/>
                <w:u w:val="none"/>
                <w:lang w:val="en-US" w:eastAsia="zh-CN"/>
              </w:rPr>
              <w:t>（七）书包挂钩：</w:t>
            </w:r>
          </w:p>
          <w:p w14:paraId="000AE0AB">
            <w:pPr>
              <w:keepNext w:val="0"/>
              <w:keepLines w:val="0"/>
              <w:pageBreakBefore w:val="0"/>
              <w:kinsoku/>
              <w:wordWrap/>
              <w:overflowPunct/>
              <w:topLinePunct w:val="0"/>
              <w:bidi w:val="0"/>
              <w:adjustRightInd/>
              <w:spacing w:line="400" w:lineRule="exact"/>
              <w:ind w:firstLine="480" w:firstLineChars="200"/>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在桌面的左右下方，在钢制支撑架上，须焊接设置左右两个实心钢制书包挂钩，承重强且耐用。</w:t>
            </w:r>
          </w:p>
          <w:p w14:paraId="75E4B06A">
            <w:pPr>
              <w:keepNext w:val="0"/>
              <w:keepLines w:val="0"/>
              <w:pageBreakBefore w:val="0"/>
              <w:kinsoku/>
              <w:wordWrap/>
              <w:overflowPunct/>
              <w:topLinePunct w:val="0"/>
              <w:autoSpaceDE w:val="0"/>
              <w:autoSpaceDN w:val="0"/>
              <w:bidi w:val="0"/>
              <w:adjustRightInd/>
              <w:spacing w:line="400" w:lineRule="exact"/>
              <w:ind w:firstLine="482" w:firstLineChars="200"/>
              <w:jc w:val="both"/>
              <w:textAlignment w:val="auto"/>
              <w:rPr>
                <w:rFonts w:hint="eastAsia" w:ascii="仿宋_GB2312" w:hAnsi="仿宋_GB2312" w:eastAsia="仿宋_GB2312" w:cs="仿宋_GB2312"/>
                <w:b/>
                <w:bCs/>
                <w:color w:val="auto"/>
                <w:kern w:val="2"/>
                <w:sz w:val="24"/>
                <w:szCs w:val="24"/>
                <w:highlight w:val="none"/>
                <w:u w:val="none"/>
                <w:lang w:val="en-US" w:eastAsia="zh-CN" w:bidi="ar-SA"/>
              </w:rPr>
            </w:pPr>
            <w:r>
              <w:rPr>
                <w:rFonts w:hint="eastAsia" w:ascii="仿宋_GB2312" w:hAnsi="仿宋_GB2312" w:eastAsia="仿宋_GB2312" w:cs="仿宋_GB2312"/>
                <w:b/>
                <w:bCs/>
                <w:color w:val="auto"/>
                <w:kern w:val="2"/>
                <w:sz w:val="24"/>
                <w:szCs w:val="24"/>
                <w:highlight w:val="none"/>
                <w:u w:val="none"/>
                <w:lang w:val="en-US" w:eastAsia="zh-CN" w:bidi="ar-SA"/>
              </w:rPr>
              <w:t>（八）连接部件：</w:t>
            </w:r>
          </w:p>
          <w:p w14:paraId="1DC8F65C">
            <w:pPr>
              <w:keepNext w:val="0"/>
              <w:keepLines w:val="0"/>
              <w:pageBreakBefore w:val="0"/>
              <w:widowControl/>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 xml:space="preserve">各连接部位用止退螺丝、螺母。螺丝升降调节高低。 </w:t>
            </w:r>
          </w:p>
          <w:p w14:paraId="0B0376F5">
            <w:pPr>
              <w:keepNext w:val="0"/>
              <w:keepLines w:val="0"/>
              <w:pageBreakBefore w:val="0"/>
              <w:numPr>
                <w:ilvl w:val="0"/>
                <w:numId w:val="0"/>
              </w:numPr>
              <w:kinsoku/>
              <w:wordWrap/>
              <w:overflowPunct/>
              <w:topLinePunct w:val="0"/>
              <w:autoSpaceDE w:val="0"/>
              <w:autoSpaceDN w:val="0"/>
              <w:bidi w:val="0"/>
              <w:adjustRightInd/>
              <w:spacing w:line="400" w:lineRule="exact"/>
              <w:ind w:firstLine="482" w:firstLineChars="200"/>
              <w:jc w:val="left"/>
              <w:textAlignment w:val="auto"/>
              <w:rPr>
                <w:rFonts w:hint="eastAsia" w:ascii="仿宋_GB2312" w:hAnsi="仿宋_GB2312" w:eastAsia="仿宋_GB2312" w:cs="仿宋_GB2312"/>
                <w:b/>
                <w:bCs/>
                <w:color w:val="auto"/>
                <w:kern w:val="2"/>
                <w:sz w:val="24"/>
                <w:szCs w:val="24"/>
                <w:highlight w:val="none"/>
                <w:u w:val="none"/>
                <w:lang w:val="en-US" w:eastAsia="zh-CN" w:bidi="ar-SA"/>
              </w:rPr>
            </w:pPr>
            <w:r>
              <w:rPr>
                <w:rFonts w:hint="eastAsia" w:ascii="仿宋_GB2312" w:hAnsi="仿宋_GB2312" w:eastAsia="仿宋_GB2312" w:cs="仿宋_GB2312"/>
                <w:b/>
                <w:bCs/>
                <w:color w:val="auto"/>
                <w:kern w:val="2"/>
                <w:sz w:val="24"/>
                <w:szCs w:val="24"/>
                <w:highlight w:val="none"/>
                <w:u w:val="none"/>
                <w:lang w:val="en-US" w:eastAsia="zh-CN" w:bidi="ar-SA"/>
              </w:rPr>
              <w:t>（九）桌子重量</w:t>
            </w:r>
          </w:p>
          <w:p w14:paraId="7539DFF9">
            <w:pPr>
              <w:keepNext w:val="0"/>
              <w:keepLines w:val="0"/>
              <w:pageBreakBefore w:val="0"/>
              <w:widowControl/>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color w:val="auto"/>
                <w:sz w:val="24"/>
                <w:szCs w:val="24"/>
                <w:highlight w:val="none"/>
                <w:u w:val="none"/>
                <w:lang w:val="en-US" w:eastAsia="zh-CN"/>
              </w:rPr>
              <w:t>整张桌子</w:t>
            </w:r>
            <w:r>
              <w:rPr>
                <w:rFonts w:hint="eastAsia" w:ascii="仿宋_GB2312" w:hAnsi="仿宋_GB2312" w:eastAsia="仿宋_GB2312" w:cs="仿宋_GB2312"/>
                <w:color w:val="auto"/>
                <w:kern w:val="2"/>
                <w:sz w:val="24"/>
                <w:szCs w:val="24"/>
                <w:highlight w:val="none"/>
                <w:u w:val="none"/>
                <w:lang w:val="en-US" w:eastAsia="zh-CN" w:bidi="ar-SA"/>
              </w:rPr>
              <w:t>净重不小于13.8公斤。</w:t>
            </w:r>
            <w:r>
              <w:rPr>
                <w:rFonts w:hint="eastAsia" w:ascii="仿宋_GB2312" w:hAnsi="仿宋_GB2312" w:eastAsia="仿宋_GB2312" w:cs="仿宋_GB2312"/>
                <w:color w:val="auto"/>
                <w:sz w:val="24"/>
                <w:szCs w:val="24"/>
                <w:highlight w:val="none"/>
                <w:u w:val="none"/>
              </w:rPr>
              <w:t xml:space="preserve">                                                       </w:t>
            </w:r>
          </w:p>
          <w:p w14:paraId="63D1AEB9">
            <w:pPr>
              <w:keepNext w:val="0"/>
              <w:keepLines w:val="0"/>
              <w:pageBreakBefore w:val="0"/>
              <w:widowControl/>
              <w:kinsoku/>
              <w:wordWrap/>
              <w:overflowPunct/>
              <w:topLinePunct w:val="0"/>
              <w:bidi w:val="0"/>
              <w:adjustRightInd/>
              <w:spacing w:line="400" w:lineRule="exact"/>
              <w:jc w:val="both"/>
              <w:textAlignment w:val="auto"/>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lang w:val="en-US" w:eastAsia="zh-CN"/>
              </w:rPr>
              <w:t>二、</w:t>
            </w:r>
            <w:r>
              <w:rPr>
                <w:rFonts w:hint="eastAsia" w:ascii="仿宋_GB2312" w:hAnsi="仿宋_GB2312" w:eastAsia="仿宋_GB2312" w:cs="仿宋_GB2312"/>
                <w:b/>
                <w:bCs/>
                <w:color w:val="auto"/>
                <w:sz w:val="24"/>
                <w:szCs w:val="24"/>
                <w:highlight w:val="none"/>
                <w:u w:val="none"/>
              </w:rPr>
              <w:t>学生课椅</w:t>
            </w:r>
          </w:p>
          <w:p w14:paraId="2CEC2268">
            <w:pPr>
              <w:pStyle w:val="865"/>
              <w:keepNext w:val="0"/>
              <w:keepLines w:val="0"/>
              <w:pageBreakBefore w:val="0"/>
              <w:kinsoku/>
              <w:wordWrap/>
              <w:overflowPunct/>
              <w:topLinePunct w:val="0"/>
              <w:bidi w:val="0"/>
              <w:adjustRightInd/>
              <w:spacing w:line="400" w:lineRule="exact"/>
              <w:ind w:left="0" w:leftChars="0" w:firstLine="482" w:firstLineChars="200"/>
              <w:jc w:val="both"/>
              <w:textAlignment w:val="auto"/>
              <w:rPr>
                <w:rFonts w:hint="eastAsia" w:ascii="仿宋_GB2312" w:hAnsi="仿宋_GB2312" w:eastAsia="仿宋_GB2312" w:cs="仿宋_GB2312"/>
                <w:b/>
                <w:bCs/>
                <w:color w:val="auto"/>
                <w:sz w:val="24"/>
                <w:szCs w:val="24"/>
                <w:highlight w:val="none"/>
                <w:u w:val="none"/>
                <w:lang w:val="en-US" w:eastAsia="zh-CN"/>
              </w:rPr>
            </w:pPr>
            <w:r>
              <w:rPr>
                <w:rFonts w:ascii="仿宋_GB2312" w:eastAsia="仿宋_GB2312"/>
                <w:b/>
                <w:bCs/>
                <w:color w:val="auto"/>
                <w:sz w:val="24"/>
                <w:highlight w:val="none"/>
              </w:rPr>
              <w:t>★</w:t>
            </w:r>
            <w:r>
              <w:rPr>
                <w:rFonts w:hint="eastAsia" w:ascii="仿宋_GB2312" w:hAnsi="仿宋_GB2312" w:eastAsia="仿宋_GB2312" w:cs="仿宋_GB2312"/>
                <w:b/>
                <w:bCs/>
                <w:color w:val="auto"/>
                <w:sz w:val="24"/>
                <w:szCs w:val="24"/>
                <w:highlight w:val="none"/>
                <w:u w:val="none"/>
                <w:lang w:val="en-US" w:eastAsia="zh-CN"/>
              </w:rPr>
              <w:t>（一）规格：</w:t>
            </w:r>
          </w:p>
          <w:p w14:paraId="0297CBEF">
            <w:pPr>
              <w:pStyle w:val="865"/>
              <w:keepNext w:val="0"/>
              <w:keepLines w:val="0"/>
              <w:pageBreakBefore w:val="0"/>
              <w:kinsoku/>
              <w:wordWrap/>
              <w:overflowPunct/>
              <w:topLinePunct w:val="0"/>
              <w:bidi w:val="0"/>
              <w:adjustRightInd/>
              <w:spacing w:line="4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none"/>
              </w:rPr>
              <w:t>座高3</w:t>
            </w:r>
            <w:r>
              <w:rPr>
                <w:rFonts w:hint="eastAsia" w:ascii="仿宋_GB2312" w:hAnsi="仿宋_GB2312" w:eastAsia="仿宋_GB2312" w:cs="仿宋_GB2312"/>
                <w:color w:val="auto"/>
                <w:sz w:val="24"/>
                <w:szCs w:val="24"/>
                <w:highlight w:val="none"/>
                <w:u w:val="none"/>
                <w:lang w:val="en-US" w:eastAsia="zh-CN"/>
              </w:rPr>
              <w:t>7</w:t>
            </w:r>
            <w:r>
              <w:rPr>
                <w:rFonts w:hint="eastAsia" w:ascii="仿宋_GB2312" w:hAnsi="仿宋_GB2312" w:eastAsia="仿宋_GB2312" w:cs="仿宋_GB2312"/>
                <w:color w:val="auto"/>
                <w:sz w:val="24"/>
                <w:szCs w:val="24"/>
                <w:highlight w:val="none"/>
                <w:u w:val="none"/>
              </w:rPr>
              <w:t>0-4</w:t>
            </w:r>
            <w:r>
              <w:rPr>
                <w:rFonts w:hint="eastAsia" w:ascii="仿宋_GB2312" w:hAnsi="仿宋_GB2312" w:eastAsia="仿宋_GB2312" w:cs="仿宋_GB2312"/>
                <w:color w:val="auto"/>
                <w:sz w:val="24"/>
                <w:szCs w:val="24"/>
                <w:highlight w:val="none"/>
                <w:u w:val="none"/>
                <w:lang w:val="en-US" w:eastAsia="zh-CN"/>
              </w:rPr>
              <w:t>5</w:t>
            </w:r>
            <w:r>
              <w:rPr>
                <w:rFonts w:hint="eastAsia" w:ascii="仿宋_GB2312" w:hAnsi="仿宋_GB2312" w:eastAsia="仿宋_GB2312" w:cs="仿宋_GB2312"/>
                <w:color w:val="auto"/>
                <w:sz w:val="24"/>
                <w:szCs w:val="24"/>
                <w:highlight w:val="none"/>
                <w:u w:val="none"/>
              </w:rPr>
              <w:t>0mm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5mm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（可调节</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，整椅高750-830mm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5mm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调节高度须至少满足</w:t>
            </w:r>
            <w:r>
              <w:rPr>
                <w:rFonts w:hint="eastAsia" w:ascii="仿宋_GB2312" w:hAnsi="仿宋_GB2312" w:eastAsia="仿宋_GB2312" w:cs="仿宋_GB2312"/>
                <w:color w:val="auto"/>
                <w:sz w:val="24"/>
                <w:szCs w:val="24"/>
                <w:highlight w:val="none"/>
                <w:u w:val="none"/>
                <w:lang w:val="en-US" w:eastAsia="zh-CN"/>
              </w:rPr>
              <w:t>坐高370mm、390mm、410mm、430mm、450mm等5个高度的调整。</w:t>
            </w:r>
          </w:p>
          <w:p w14:paraId="17197334">
            <w:pPr>
              <w:keepNext w:val="0"/>
              <w:keepLines w:val="0"/>
              <w:pageBreakBefore w:val="0"/>
              <w:widowControl/>
              <w:kinsoku/>
              <w:wordWrap/>
              <w:overflowPunct/>
              <w:topLinePunct w:val="0"/>
              <w:bidi w:val="0"/>
              <w:adjustRightInd/>
              <w:spacing w:line="400" w:lineRule="exact"/>
              <w:ind w:firstLine="482" w:firstLineChars="200"/>
              <w:jc w:val="both"/>
              <w:textAlignment w:val="auto"/>
              <w:rPr>
                <w:rFonts w:hint="eastAsia" w:ascii="仿宋_GB2312" w:hAnsi="仿宋_GB2312" w:eastAsia="仿宋_GB2312" w:cs="仿宋_GB2312"/>
                <w:b/>
                <w:bCs/>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szCs w:val="24"/>
                <w:highlight w:val="none"/>
                <w:u w:val="none"/>
                <w:lang w:val="en-US" w:eastAsia="zh-CN"/>
              </w:rPr>
              <w:t>（二）课</w:t>
            </w:r>
            <w:r>
              <w:rPr>
                <w:rFonts w:hint="eastAsia" w:ascii="仿宋_GB2312" w:hAnsi="仿宋_GB2312" w:eastAsia="仿宋_GB2312" w:cs="仿宋_GB2312"/>
                <w:b/>
                <w:bCs/>
                <w:color w:val="auto"/>
                <w:kern w:val="0"/>
                <w:sz w:val="24"/>
                <w:szCs w:val="24"/>
                <w:highlight w:val="none"/>
                <w:u w:val="none"/>
              </w:rPr>
              <w:t>椅座</w:t>
            </w:r>
            <w:r>
              <w:rPr>
                <w:rFonts w:hint="eastAsia" w:ascii="仿宋_GB2312" w:hAnsi="仿宋_GB2312" w:eastAsia="仿宋_GB2312" w:cs="仿宋_GB2312"/>
                <w:b/>
                <w:bCs/>
                <w:color w:val="auto"/>
                <w:kern w:val="0"/>
                <w:sz w:val="24"/>
                <w:szCs w:val="24"/>
                <w:highlight w:val="none"/>
                <w:u w:val="none"/>
                <w:lang w:val="en-US" w:eastAsia="zh-CN"/>
              </w:rPr>
              <w:t>板、背板：</w:t>
            </w:r>
          </w:p>
          <w:p w14:paraId="48FF675F">
            <w:pPr>
              <w:keepNext w:val="0"/>
              <w:keepLines w:val="0"/>
              <w:pageBreakBefore w:val="0"/>
              <w:widowControl/>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kern w:val="0"/>
                <w:sz w:val="24"/>
                <w:szCs w:val="24"/>
                <w:highlight w:val="none"/>
                <w:u w:val="none"/>
                <w:lang w:val="en-US" w:eastAsia="zh-CN"/>
              </w:rPr>
              <w:t>1.课</w:t>
            </w:r>
            <w:r>
              <w:rPr>
                <w:rFonts w:hint="eastAsia" w:ascii="仿宋_GB2312" w:hAnsi="仿宋_GB2312" w:eastAsia="仿宋_GB2312" w:cs="仿宋_GB2312"/>
                <w:color w:val="auto"/>
                <w:kern w:val="0"/>
                <w:sz w:val="24"/>
                <w:szCs w:val="24"/>
                <w:highlight w:val="none"/>
                <w:u w:val="none"/>
              </w:rPr>
              <w:t>椅座</w:t>
            </w:r>
            <w:r>
              <w:rPr>
                <w:rFonts w:hint="eastAsia" w:ascii="仿宋_GB2312" w:hAnsi="仿宋_GB2312" w:eastAsia="仿宋_GB2312" w:cs="仿宋_GB2312"/>
                <w:color w:val="auto"/>
                <w:kern w:val="0"/>
                <w:sz w:val="24"/>
                <w:szCs w:val="24"/>
                <w:highlight w:val="none"/>
                <w:u w:val="none"/>
                <w:lang w:val="en-US" w:eastAsia="zh-CN"/>
              </w:rPr>
              <w:t>板</w:t>
            </w:r>
            <w:r>
              <w:rPr>
                <w:rFonts w:hint="eastAsia" w:ascii="仿宋_GB2312" w:hAnsi="仿宋_GB2312" w:eastAsia="仿宋_GB2312" w:cs="仿宋_GB2312"/>
                <w:color w:val="auto"/>
                <w:kern w:val="0"/>
                <w:sz w:val="24"/>
                <w:szCs w:val="24"/>
                <w:highlight w:val="none"/>
                <w:u w:val="none"/>
              </w:rPr>
              <w:t>：采用全新PP塑料一次压注成型，规格（宽</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kern w:val="0"/>
                <w:sz w:val="24"/>
                <w:szCs w:val="24"/>
                <w:highlight w:val="none"/>
                <w:u w:val="none"/>
              </w:rPr>
              <w:t>深）：</w:t>
            </w:r>
            <w:r>
              <w:rPr>
                <w:rFonts w:hint="eastAsia" w:ascii="仿宋_GB2312" w:hAnsi="仿宋_GB2312" w:eastAsia="仿宋_GB2312" w:cs="仿宋_GB2312"/>
                <w:color w:val="auto"/>
                <w:sz w:val="24"/>
                <w:szCs w:val="24"/>
                <w:highlight w:val="none"/>
                <w:u w:val="none"/>
              </w:rPr>
              <w:t>4</w:t>
            </w:r>
            <w:r>
              <w:rPr>
                <w:rFonts w:hint="eastAsia" w:ascii="仿宋_GB2312" w:hAnsi="仿宋_GB2312" w:eastAsia="仿宋_GB2312" w:cs="仿宋_GB2312"/>
                <w:color w:val="auto"/>
                <w:sz w:val="24"/>
                <w:szCs w:val="24"/>
                <w:highlight w:val="none"/>
                <w:u w:val="none"/>
                <w:lang w:val="en-US" w:eastAsia="zh-CN"/>
              </w:rPr>
              <w:t>20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420</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5mm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，厚度≥5mm。</w:t>
            </w:r>
            <w:r>
              <w:rPr>
                <w:rFonts w:hint="eastAsia" w:ascii="仿宋_GB2312" w:hAnsi="仿宋_GB2312" w:eastAsia="仿宋_GB2312" w:cs="仿宋_GB2312"/>
                <w:color w:val="auto"/>
                <w:kern w:val="0"/>
                <w:sz w:val="24"/>
                <w:szCs w:val="24"/>
                <w:highlight w:val="none"/>
                <w:u w:val="none"/>
              </w:rPr>
              <w:t>中间内凹型符合人体结构曲线设计，表面设有</w:t>
            </w:r>
            <w:r>
              <w:rPr>
                <w:rFonts w:hint="eastAsia" w:ascii="仿宋_GB2312" w:hAnsi="仿宋_GB2312" w:eastAsia="仿宋_GB2312" w:cs="仿宋_GB2312"/>
                <w:color w:val="auto"/>
                <w:kern w:val="0"/>
                <w:sz w:val="24"/>
                <w:szCs w:val="24"/>
                <w:highlight w:val="none"/>
                <w:u w:val="none"/>
                <w:lang w:val="en-US" w:eastAsia="zh-CN"/>
              </w:rPr>
              <w:t>不少于270</w:t>
            </w:r>
            <w:r>
              <w:rPr>
                <w:rFonts w:hint="eastAsia" w:ascii="仿宋_GB2312" w:hAnsi="仿宋_GB2312" w:eastAsia="仿宋_GB2312" w:cs="仿宋_GB2312"/>
                <w:color w:val="auto"/>
                <w:kern w:val="0"/>
                <w:sz w:val="24"/>
                <w:szCs w:val="24"/>
                <w:highlight w:val="none"/>
                <w:u w:val="none"/>
              </w:rPr>
              <w:t>个“</w:t>
            </w:r>
            <w:r>
              <w:rPr>
                <w:rFonts w:hint="eastAsia" w:ascii="仿宋_GB2312" w:hAnsi="仿宋_GB2312" w:eastAsia="仿宋_GB2312" w:cs="仿宋_GB2312"/>
                <w:color w:val="auto"/>
                <w:kern w:val="0"/>
                <w:sz w:val="24"/>
                <w:szCs w:val="24"/>
                <w:highlight w:val="none"/>
                <w:u w:val="none"/>
                <w:lang w:val="en-US" w:eastAsia="zh-CN"/>
              </w:rPr>
              <w:t>椭圆形</w:t>
            </w:r>
            <w:r>
              <w:rPr>
                <w:rFonts w:hint="eastAsia" w:ascii="仿宋_GB2312" w:hAnsi="仿宋_GB2312" w:eastAsia="仿宋_GB2312" w:cs="仿宋_GB2312"/>
                <w:color w:val="auto"/>
                <w:kern w:val="0"/>
                <w:sz w:val="24"/>
                <w:szCs w:val="24"/>
                <w:highlight w:val="none"/>
                <w:u w:val="none"/>
              </w:rPr>
              <w:t>”透气孔，便于久坐散热。</w:t>
            </w:r>
          </w:p>
          <w:p w14:paraId="4A44F034">
            <w:pPr>
              <w:pStyle w:val="865"/>
              <w:keepNext w:val="0"/>
              <w:keepLines w:val="0"/>
              <w:pageBreakBefore w:val="0"/>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kern w:val="0"/>
                <w:sz w:val="24"/>
                <w:szCs w:val="24"/>
                <w:highlight w:val="none"/>
                <w:u w:val="none"/>
                <w:lang w:val="en-US" w:eastAsia="zh-CN"/>
              </w:rPr>
              <w:t>2.课</w:t>
            </w:r>
            <w:r>
              <w:rPr>
                <w:rFonts w:hint="eastAsia" w:ascii="仿宋_GB2312" w:hAnsi="仿宋_GB2312" w:eastAsia="仿宋_GB2312" w:cs="仿宋_GB2312"/>
                <w:color w:val="auto"/>
                <w:kern w:val="0"/>
                <w:sz w:val="24"/>
                <w:szCs w:val="24"/>
                <w:highlight w:val="none"/>
                <w:u w:val="none"/>
              </w:rPr>
              <w:t>椅背</w:t>
            </w:r>
            <w:r>
              <w:rPr>
                <w:rFonts w:hint="eastAsia" w:ascii="仿宋_GB2312" w:hAnsi="仿宋_GB2312" w:eastAsia="仿宋_GB2312" w:cs="仿宋_GB2312"/>
                <w:color w:val="auto"/>
                <w:kern w:val="0"/>
                <w:sz w:val="24"/>
                <w:szCs w:val="24"/>
                <w:highlight w:val="none"/>
                <w:u w:val="none"/>
                <w:lang w:val="en-US" w:eastAsia="zh-CN"/>
              </w:rPr>
              <w:t>板</w:t>
            </w:r>
            <w:r>
              <w:rPr>
                <w:rFonts w:hint="eastAsia" w:ascii="仿宋_GB2312" w:hAnsi="仿宋_GB2312" w:eastAsia="仿宋_GB2312" w:cs="仿宋_GB2312"/>
                <w:color w:val="auto"/>
                <w:kern w:val="0"/>
                <w:sz w:val="24"/>
                <w:szCs w:val="24"/>
                <w:highlight w:val="none"/>
                <w:u w:val="none"/>
              </w:rPr>
              <w:t>：采用全新PP工程塑料一次压注成型，规格（宽</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kern w:val="0"/>
                <w:sz w:val="24"/>
                <w:szCs w:val="24"/>
                <w:highlight w:val="none"/>
                <w:u w:val="none"/>
              </w:rPr>
              <w:t>高）</w:t>
            </w:r>
            <w:r>
              <w:rPr>
                <w:rFonts w:hint="eastAsia" w:ascii="仿宋_GB2312" w:hAnsi="仿宋_GB2312" w:eastAsia="仿宋_GB2312" w:cs="仿宋_GB2312"/>
                <w:color w:val="auto"/>
                <w:sz w:val="24"/>
                <w:szCs w:val="24"/>
                <w:highlight w:val="none"/>
                <w:u w:val="none"/>
              </w:rPr>
              <w:t>41</w:t>
            </w:r>
            <w:r>
              <w:rPr>
                <w:rFonts w:hint="eastAsia" w:ascii="仿宋_GB2312" w:hAnsi="仿宋_GB2312" w:eastAsia="仿宋_GB2312" w:cs="仿宋_GB2312"/>
                <w:color w:val="auto"/>
                <w:sz w:val="24"/>
                <w:szCs w:val="24"/>
                <w:highlight w:val="none"/>
                <w:u w:val="none"/>
                <w:lang w:val="en-US" w:eastAsia="zh-CN"/>
              </w:rPr>
              <w:t>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w:t>
            </w:r>
            <w:r>
              <w:rPr>
                <w:rFonts w:hint="eastAsia" w:ascii="仿宋_GB2312" w:hAnsi="仿宋_GB2312" w:eastAsia="仿宋_GB2312" w:cs="仿宋_GB2312"/>
                <w:color w:val="auto"/>
                <w:sz w:val="24"/>
                <w:szCs w:val="24"/>
                <w:highlight w:val="none"/>
                <w:u w:val="none"/>
                <w:lang w:val="en-US" w:eastAsia="zh-CN"/>
              </w:rPr>
              <w:t>60</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5mm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，厚度≥5mm。</w:t>
            </w:r>
            <w:r>
              <w:rPr>
                <w:rFonts w:hint="eastAsia" w:ascii="仿宋_GB2312" w:hAnsi="仿宋_GB2312" w:eastAsia="仿宋_GB2312" w:cs="仿宋_GB2312"/>
                <w:color w:val="auto"/>
                <w:kern w:val="0"/>
                <w:sz w:val="24"/>
                <w:szCs w:val="24"/>
                <w:highlight w:val="none"/>
                <w:u w:val="none"/>
              </w:rPr>
              <w:t>中间凹凸顶腰设计，符合人体结构曲线设计，表面设有</w:t>
            </w:r>
            <w:r>
              <w:rPr>
                <w:rFonts w:hint="eastAsia" w:ascii="仿宋_GB2312" w:hAnsi="仿宋_GB2312" w:eastAsia="仿宋_GB2312" w:cs="仿宋_GB2312"/>
                <w:color w:val="auto"/>
                <w:kern w:val="0"/>
                <w:sz w:val="24"/>
                <w:szCs w:val="24"/>
                <w:highlight w:val="none"/>
                <w:u w:val="none"/>
                <w:lang w:val="en-US" w:eastAsia="zh-CN"/>
              </w:rPr>
              <w:t>不少于168</w:t>
            </w:r>
            <w:r>
              <w:rPr>
                <w:rFonts w:hint="eastAsia" w:ascii="仿宋_GB2312" w:hAnsi="仿宋_GB2312" w:eastAsia="仿宋_GB2312" w:cs="仿宋_GB2312"/>
                <w:color w:val="auto"/>
                <w:kern w:val="0"/>
                <w:sz w:val="24"/>
                <w:szCs w:val="24"/>
                <w:highlight w:val="none"/>
                <w:u w:val="none"/>
              </w:rPr>
              <w:t>个“</w:t>
            </w:r>
            <w:r>
              <w:rPr>
                <w:rFonts w:hint="eastAsia" w:ascii="仿宋_GB2312" w:hAnsi="仿宋_GB2312" w:eastAsia="仿宋_GB2312" w:cs="仿宋_GB2312"/>
                <w:color w:val="auto"/>
                <w:kern w:val="0"/>
                <w:sz w:val="24"/>
                <w:szCs w:val="24"/>
                <w:highlight w:val="none"/>
                <w:u w:val="none"/>
                <w:lang w:val="en-US" w:eastAsia="zh-CN"/>
              </w:rPr>
              <w:t>椭圆形</w:t>
            </w:r>
            <w:r>
              <w:rPr>
                <w:rFonts w:hint="eastAsia" w:ascii="仿宋_GB2312" w:hAnsi="仿宋_GB2312" w:eastAsia="仿宋_GB2312" w:cs="仿宋_GB2312"/>
                <w:color w:val="auto"/>
                <w:kern w:val="0"/>
                <w:sz w:val="24"/>
                <w:szCs w:val="24"/>
                <w:highlight w:val="none"/>
                <w:u w:val="none"/>
              </w:rPr>
              <w:t>”透气孔，便于久靠散热。</w:t>
            </w:r>
          </w:p>
          <w:p w14:paraId="4D19985B">
            <w:pPr>
              <w:pStyle w:val="865"/>
              <w:keepNext w:val="0"/>
              <w:keepLines w:val="0"/>
              <w:pageBreakBefore w:val="0"/>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3.</w:t>
            </w:r>
            <w:r>
              <w:rPr>
                <w:rFonts w:hint="eastAsia" w:ascii="仿宋_GB2312" w:hAnsi="仿宋_GB2312" w:eastAsia="仿宋_GB2312" w:cs="仿宋_GB2312"/>
                <w:color w:val="auto"/>
                <w:sz w:val="24"/>
                <w:szCs w:val="24"/>
                <w:highlight w:val="none"/>
                <w:u w:val="none"/>
                <w:lang w:val="en-US" w:eastAsia="zh-CN"/>
              </w:rPr>
              <w:t>课椅座板、课椅背板符合GB/T 35607-2024 GB/T 32487-2016《塑料家具通用技术条件》、</w:t>
            </w:r>
            <w:r>
              <w:rPr>
                <w:rFonts w:hint="eastAsia" w:ascii="仿宋_GB2312" w:hAnsi="仿宋_GB2312" w:eastAsia="仿宋_GB2312" w:cs="仿宋_GB2312"/>
                <w:i w:val="0"/>
                <w:iCs w:val="0"/>
                <w:caps w:val="0"/>
                <w:color w:val="auto"/>
                <w:spacing w:val="0"/>
                <w:sz w:val="24"/>
                <w:szCs w:val="24"/>
                <w:highlight w:val="none"/>
                <w:u w:val="none"/>
                <w:shd w:val="clear" w:color="auto" w:fill="auto"/>
              </w:rPr>
              <w:t>GB 28481-2012</w:t>
            </w:r>
            <w:r>
              <w:rPr>
                <w:rFonts w:hint="eastAsia" w:ascii="仿宋_GB2312" w:hAnsi="仿宋_GB2312" w:eastAsia="仿宋_GB2312" w:cs="仿宋_GB2312"/>
                <w:i w:val="0"/>
                <w:iCs w:val="0"/>
                <w:caps w:val="0"/>
                <w:color w:val="auto"/>
                <w:spacing w:val="0"/>
                <w:sz w:val="24"/>
                <w:szCs w:val="24"/>
                <w:highlight w:val="none"/>
                <w:u w:val="none"/>
                <w:shd w:val="clear" w:color="auto" w:fill="auto"/>
                <w:lang w:eastAsia="zh-CN"/>
              </w:rPr>
              <w:t>《</w:t>
            </w:r>
            <w:r>
              <w:rPr>
                <w:rFonts w:hint="eastAsia" w:ascii="仿宋_GB2312" w:hAnsi="仿宋_GB2312" w:eastAsia="仿宋_GB2312" w:cs="仿宋_GB2312"/>
                <w:i w:val="0"/>
                <w:iCs w:val="0"/>
                <w:caps w:val="0"/>
                <w:color w:val="auto"/>
                <w:spacing w:val="0"/>
                <w:sz w:val="24"/>
                <w:szCs w:val="24"/>
                <w:highlight w:val="none"/>
                <w:u w:val="none"/>
                <w:shd w:val="clear" w:color="auto" w:fill="auto"/>
              </w:rPr>
              <w:t>塑料家具中有害物质限量</w:t>
            </w:r>
            <w:r>
              <w:rPr>
                <w:rFonts w:hint="eastAsia" w:ascii="仿宋_GB2312" w:hAnsi="仿宋_GB2312" w:eastAsia="仿宋_GB2312" w:cs="仿宋_GB2312"/>
                <w:i w:val="0"/>
                <w:iCs w:val="0"/>
                <w:caps w:val="0"/>
                <w:color w:val="auto"/>
                <w:spacing w:val="0"/>
                <w:sz w:val="24"/>
                <w:szCs w:val="24"/>
                <w:highlight w:val="none"/>
                <w:u w:val="none"/>
                <w:shd w:val="clear" w:color="auto" w:fill="auto"/>
                <w:lang w:eastAsia="zh-CN"/>
              </w:rPr>
              <w:t>》</w:t>
            </w:r>
            <w:r>
              <w:rPr>
                <w:rFonts w:hint="eastAsia" w:ascii="仿宋_GB2312" w:hAnsi="仿宋_GB2312" w:eastAsia="仿宋_GB2312" w:cs="仿宋_GB2312"/>
                <w:color w:val="auto"/>
                <w:sz w:val="24"/>
                <w:szCs w:val="24"/>
                <w:highlight w:val="none"/>
                <w:u w:val="none"/>
                <w:lang w:val="en-US" w:eastAsia="zh-CN"/>
              </w:rPr>
              <w:t>要求，苯并［a］芘≤1.0mg/kg；塑料件外观合格，塑料材料耐老化性≥3级，塑料件硬度（邵氏D硬度）≥HD63，塑料邻苯二甲酸酯合格，塑料多环芳烃合格，塑料重金属：可溶性铅≤90mg/kg、可溶性镉≤75mg/kg、可溶性铬≤60mg/kg、可溶性汞≤60mg/kg。</w:t>
            </w:r>
          </w:p>
          <w:p w14:paraId="22B85806">
            <w:pPr>
              <w:keepNext w:val="0"/>
              <w:keepLines w:val="0"/>
              <w:pageBreakBefore w:val="0"/>
              <w:widowControl/>
              <w:kinsoku/>
              <w:wordWrap/>
              <w:overflowPunct/>
              <w:topLinePunct w:val="0"/>
              <w:bidi w:val="0"/>
              <w:adjustRightInd/>
              <w:spacing w:line="400" w:lineRule="exact"/>
              <w:ind w:firstLine="482" w:firstLineChars="200"/>
              <w:jc w:val="both"/>
              <w:textAlignment w:val="auto"/>
              <w:rPr>
                <w:rFonts w:hint="eastAsia" w:ascii="仿宋_GB2312" w:hAnsi="仿宋_GB2312" w:eastAsia="仿宋_GB2312" w:cs="仿宋_GB2312"/>
                <w:b/>
                <w:bCs/>
                <w:color w:val="auto"/>
                <w:kern w:val="0"/>
                <w:sz w:val="24"/>
                <w:szCs w:val="24"/>
                <w:highlight w:val="none"/>
                <w:u w:val="none"/>
                <w:lang w:eastAsia="zh-CN"/>
              </w:rPr>
            </w:pPr>
            <w:r>
              <w:rPr>
                <w:rFonts w:hint="eastAsia" w:ascii="仿宋_GB2312" w:hAnsi="仿宋_GB2312" w:eastAsia="仿宋_GB2312" w:cs="仿宋_GB2312"/>
                <w:b/>
                <w:bCs/>
                <w:color w:val="auto"/>
                <w:kern w:val="0"/>
                <w:sz w:val="24"/>
                <w:szCs w:val="24"/>
                <w:highlight w:val="none"/>
                <w:u w:val="none"/>
                <w:lang w:val="en-US" w:eastAsia="zh-CN"/>
              </w:rPr>
              <w:t>（三）</w:t>
            </w:r>
            <w:r>
              <w:rPr>
                <w:rFonts w:hint="eastAsia" w:ascii="仿宋_GB2312" w:hAnsi="仿宋_GB2312" w:eastAsia="仿宋_GB2312" w:cs="仿宋_GB2312"/>
                <w:b/>
                <w:bCs/>
                <w:color w:val="auto"/>
                <w:kern w:val="0"/>
                <w:sz w:val="24"/>
                <w:szCs w:val="24"/>
                <w:highlight w:val="none"/>
                <w:u w:val="none"/>
              </w:rPr>
              <w:t>椅架：</w:t>
            </w:r>
          </w:p>
          <w:p w14:paraId="6188D4D4">
            <w:pPr>
              <w:keepNext w:val="0"/>
              <w:keepLines w:val="0"/>
              <w:pageBreakBefore w:val="0"/>
              <w:widowControl/>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kern w:val="0"/>
                <w:sz w:val="24"/>
                <w:szCs w:val="24"/>
                <w:highlight w:val="none"/>
                <w:u w:val="none"/>
                <w:lang w:val="en-US" w:eastAsia="zh-CN"/>
              </w:rPr>
              <w:t>1.</w:t>
            </w:r>
            <w:r>
              <w:rPr>
                <w:rFonts w:hint="eastAsia" w:ascii="仿宋_GB2312" w:hAnsi="仿宋_GB2312" w:eastAsia="仿宋_GB2312" w:cs="仿宋_GB2312"/>
                <w:color w:val="auto"/>
                <w:sz w:val="24"/>
                <w:szCs w:val="24"/>
                <w:highlight w:val="none"/>
                <w:u w:val="none"/>
                <w:lang w:val="en-US" w:eastAsia="zh-CN"/>
              </w:rPr>
              <w:t>立柱连接底脚</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椭圆管焊接成型</w:t>
            </w:r>
            <w:r>
              <w:rPr>
                <w:rFonts w:hint="eastAsia" w:ascii="仿宋_GB2312" w:hAnsi="仿宋_GB2312" w:eastAsia="仿宋_GB2312" w:cs="仿宋_GB2312"/>
                <w:color w:val="auto"/>
                <w:sz w:val="24"/>
                <w:szCs w:val="24"/>
                <w:highlight w:val="none"/>
                <w:u w:val="none"/>
                <w:lang w:eastAsia="zh-CN"/>
              </w:rPr>
              <w:t>。</w:t>
            </w:r>
          </w:p>
          <w:p w14:paraId="534E819C">
            <w:pPr>
              <w:keepNext w:val="0"/>
              <w:keepLines w:val="0"/>
              <w:pageBreakBefore w:val="0"/>
              <w:widowControl/>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b w:val="0"/>
                <w:bCs w:val="0"/>
                <w:color w:val="auto"/>
                <w:sz w:val="24"/>
                <w:szCs w:val="24"/>
                <w:highlight w:val="none"/>
                <w:u w:val="none"/>
                <w:lang w:val="en-US" w:eastAsia="zh-CN"/>
              </w:rPr>
              <w:t>2.课椅</w:t>
            </w:r>
            <w:r>
              <w:rPr>
                <w:rFonts w:hint="eastAsia" w:ascii="仿宋_GB2312" w:hAnsi="仿宋_GB2312" w:eastAsia="仿宋_GB2312" w:cs="仿宋_GB2312"/>
                <w:b w:val="0"/>
                <w:bCs w:val="0"/>
                <w:color w:val="auto"/>
                <w:sz w:val="24"/>
                <w:szCs w:val="24"/>
                <w:highlight w:val="none"/>
                <w:u w:val="none"/>
              </w:rPr>
              <w:t>立柱</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val="0"/>
                <w:bCs w:val="0"/>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val="0"/>
                <w:bCs w:val="0"/>
                <w:color w:val="auto"/>
                <w:sz w:val="24"/>
                <w:szCs w:val="24"/>
                <w:highlight w:val="none"/>
                <w:u w:val="none"/>
              </w:rPr>
              <w:t>1.</w:t>
            </w:r>
            <w:r>
              <w:rPr>
                <w:rFonts w:hint="eastAsia" w:ascii="仿宋_GB2312" w:hAnsi="仿宋_GB2312" w:eastAsia="仿宋_GB2312" w:cs="仿宋_GB2312"/>
                <w:b w:val="0"/>
                <w:bCs w:val="0"/>
                <w:color w:val="auto"/>
                <w:sz w:val="24"/>
                <w:szCs w:val="24"/>
                <w:highlight w:val="none"/>
                <w:u w:val="none"/>
                <w:lang w:val="en-US" w:eastAsia="zh-CN"/>
              </w:rPr>
              <w:t>2</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mm</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lang w:val="en-US" w:eastAsia="zh-CN"/>
              </w:rPr>
              <w:t>冷轧钢</w:t>
            </w:r>
            <w:r>
              <w:rPr>
                <w:rFonts w:hint="eastAsia" w:ascii="仿宋_GB2312" w:hAnsi="仿宋_GB2312" w:eastAsia="仿宋_GB2312" w:cs="仿宋_GB2312"/>
                <w:b w:val="0"/>
                <w:bCs w:val="0"/>
                <w:color w:val="auto"/>
                <w:sz w:val="24"/>
                <w:szCs w:val="24"/>
                <w:highlight w:val="none"/>
                <w:u w:val="none"/>
              </w:rPr>
              <w:t>椭圆管焊接成型</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椅上架升降立柱套管采用50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val="0"/>
                <w:bCs w:val="0"/>
                <w:color w:val="auto"/>
                <w:sz w:val="24"/>
                <w:szCs w:val="24"/>
                <w:highlight w:val="none"/>
                <w:u w:val="none"/>
              </w:rPr>
              <w:t>20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val="0"/>
                <w:bCs w:val="0"/>
                <w:color w:val="auto"/>
                <w:sz w:val="24"/>
                <w:szCs w:val="24"/>
                <w:highlight w:val="none"/>
                <w:u w:val="none"/>
              </w:rPr>
              <w:t>1.</w:t>
            </w:r>
            <w:r>
              <w:rPr>
                <w:rFonts w:hint="eastAsia" w:ascii="仿宋_GB2312" w:hAnsi="仿宋_GB2312" w:eastAsia="仿宋_GB2312" w:cs="仿宋_GB2312"/>
                <w:b w:val="0"/>
                <w:bCs w:val="0"/>
                <w:color w:val="auto"/>
                <w:sz w:val="24"/>
                <w:szCs w:val="24"/>
                <w:highlight w:val="none"/>
                <w:u w:val="none"/>
                <w:lang w:val="en-US" w:eastAsia="zh-CN"/>
              </w:rPr>
              <w:t>5</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mm</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lang w:val="en-US" w:eastAsia="zh-CN"/>
              </w:rPr>
              <w:t>冷轧钢</w:t>
            </w:r>
            <w:r>
              <w:rPr>
                <w:rFonts w:hint="eastAsia" w:ascii="仿宋_GB2312" w:hAnsi="仿宋_GB2312" w:eastAsia="仿宋_GB2312" w:cs="仿宋_GB2312"/>
                <w:b w:val="0"/>
                <w:bCs w:val="0"/>
                <w:color w:val="auto"/>
                <w:sz w:val="24"/>
                <w:szCs w:val="24"/>
                <w:highlight w:val="none"/>
                <w:u w:val="none"/>
              </w:rPr>
              <w:t>椭圆管，外侧方配刻度,方便调节高度。</w:t>
            </w:r>
            <w:r>
              <w:rPr>
                <w:rFonts w:hint="eastAsia" w:ascii="仿宋_GB2312" w:hAnsi="仿宋_GB2312" w:eastAsia="仿宋_GB2312" w:cs="仿宋_GB2312"/>
                <w:b w:val="0"/>
                <w:bCs w:val="0"/>
                <w:color w:val="auto"/>
                <w:sz w:val="24"/>
                <w:szCs w:val="24"/>
                <w:highlight w:val="none"/>
                <w:u w:val="none"/>
                <w:lang w:val="en-US" w:eastAsia="zh-CN"/>
              </w:rPr>
              <w:t>课椅立柱符合</w:t>
            </w:r>
            <w:r>
              <w:rPr>
                <w:rFonts w:hint="eastAsia" w:ascii="仿宋_GB2312" w:hAnsi="仿宋_GB2312" w:eastAsia="仿宋_GB2312" w:cs="仿宋_GB2312"/>
                <w:color w:val="auto"/>
                <w:sz w:val="24"/>
                <w:szCs w:val="24"/>
                <w:highlight w:val="none"/>
                <w:u w:val="none"/>
                <w:lang w:val="en-US" w:eastAsia="zh-CN"/>
              </w:rPr>
              <w:t>GB/T 11253-2019 《碳素结构钢冷轧钢板及钢带》、</w:t>
            </w:r>
            <w:r>
              <w:rPr>
                <w:rFonts w:hint="eastAsia" w:ascii="仿宋_GB2312" w:hAnsi="仿宋_GB2312" w:eastAsia="仿宋_GB2312" w:cs="仿宋_GB2312"/>
                <w:b w:val="0"/>
                <w:bCs w:val="0"/>
                <w:color w:val="auto"/>
                <w:sz w:val="24"/>
                <w:szCs w:val="24"/>
                <w:highlight w:val="none"/>
                <w:u w:val="none"/>
                <w:lang w:val="en-US" w:eastAsia="zh-CN"/>
              </w:rPr>
              <w:t>GB/T 3325-2024《金属家具通用技术条件》、GB/T 10125-2021《人造气氛腐蚀试验 盐雾试验》、GB/T6461-2002《金属基体上金属和其他无机覆盖层经腐蚀试验后的试样和试件的评级》、</w:t>
            </w:r>
            <w:r>
              <w:rPr>
                <w:rFonts w:hint="eastAsia" w:ascii="仿宋_GB2312" w:hAnsi="仿宋_GB2312" w:eastAsia="仿宋_GB2312" w:cs="仿宋_GB2312"/>
                <w:b w:val="0"/>
                <w:bCs w:val="0"/>
                <w:color w:val="auto"/>
                <w:kern w:val="2"/>
                <w:sz w:val="24"/>
                <w:szCs w:val="24"/>
                <w:highlight w:val="none"/>
                <w:u w:val="none"/>
                <w:lang w:val="en-US" w:eastAsia="zh-CN" w:bidi="ar-SA"/>
              </w:rPr>
              <w:t>GB/T35607-2024《绿色产品评价 家具》</w:t>
            </w:r>
            <w:r>
              <w:rPr>
                <w:rFonts w:hint="eastAsia" w:ascii="仿宋_GB2312" w:hAnsi="仿宋_GB2312" w:eastAsia="仿宋_GB2312" w:cs="仿宋_GB2312"/>
                <w:b w:val="0"/>
                <w:bCs w:val="0"/>
                <w:color w:val="auto"/>
                <w:sz w:val="24"/>
                <w:szCs w:val="24"/>
                <w:highlight w:val="none"/>
                <w:u w:val="none"/>
                <w:lang w:val="en-US" w:eastAsia="zh-CN"/>
              </w:rPr>
              <w:t>要求，其中力学性能标准，金属件外观性能要求（喷涂层）检测合格，金属喷漆（塑）涂层（硬度、冲击强度、附着力）检测合格，</w:t>
            </w:r>
            <w:r>
              <w:rPr>
                <w:rFonts w:hint="eastAsia" w:ascii="仿宋_GB2312" w:hAnsi="仿宋_GB2312" w:eastAsia="仿宋_GB2312" w:cs="仿宋_GB2312"/>
                <w:b w:val="0"/>
                <w:bCs w:val="0"/>
                <w:color w:val="auto"/>
                <w:kern w:val="2"/>
                <w:sz w:val="24"/>
                <w:szCs w:val="24"/>
                <w:highlight w:val="none"/>
                <w:u w:val="none"/>
                <w:lang w:val="en-US" w:eastAsia="zh-CN" w:bidi="ar-SA"/>
              </w:rPr>
              <w:t>产品有害物质：家具涂层可迁移元素：铅Pb≤90mg/kg、镉Cd≤50mg/kg、铬Cr≤25mg/kg、汞Hg≤25mg/kg；</w:t>
            </w:r>
            <w:r>
              <w:rPr>
                <w:rFonts w:hint="eastAsia" w:ascii="仿宋_GB2312" w:hAnsi="仿宋_GB2312" w:eastAsia="仿宋_GB2312" w:cs="仿宋_GB2312"/>
                <w:b w:val="0"/>
                <w:bCs w:val="0"/>
                <w:color w:val="auto"/>
                <w:sz w:val="24"/>
                <w:szCs w:val="24"/>
                <w:highlight w:val="none"/>
                <w:u w:val="none"/>
                <w:lang w:val="en-US" w:eastAsia="zh-CN"/>
              </w:rPr>
              <w:t>经过人造气氛腐蚀试验（中性盐雾NSS、乙酸盐雾AASS），保护评级、外观评级均不低于9级。</w:t>
            </w:r>
          </w:p>
          <w:p w14:paraId="42A0E57B">
            <w:pPr>
              <w:keepNext w:val="0"/>
              <w:keepLines w:val="0"/>
              <w:pageBreakBefore w:val="0"/>
              <w:widowControl/>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b w:val="0"/>
                <w:bCs w:val="0"/>
                <w:color w:val="auto"/>
                <w:sz w:val="24"/>
                <w:szCs w:val="24"/>
                <w:highlight w:val="none"/>
                <w:u w:val="none"/>
                <w:lang w:eastAsia="zh-CN"/>
              </w:rPr>
            </w:pPr>
            <w:r>
              <w:rPr>
                <w:rFonts w:hint="eastAsia" w:ascii="仿宋_GB2312" w:hAnsi="仿宋_GB2312" w:eastAsia="仿宋_GB2312" w:cs="仿宋_GB2312"/>
                <w:b w:val="0"/>
                <w:bCs w:val="0"/>
                <w:color w:val="auto"/>
                <w:sz w:val="24"/>
                <w:szCs w:val="24"/>
                <w:highlight w:val="none"/>
                <w:u w:val="none"/>
                <w:lang w:val="en-US" w:eastAsia="zh-CN"/>
              </w:rPr>
              <w:t>3.</w:t>
            </w:r>
            <w:r>
              <w:rPr>
                <w:rFonts w:hint="eastAsia" w:ascii="仿宋_GB2312" w:hAnsi="仿宋_GB2312" w:eastAsia="仿宋_GB2312" w:cs="仿宋_GB2312"/>
                <w:b w:val="0"/>
                <w:bCs w:val="0"/>
                <w:color w:val="auto"/>
                <w:sz w:val="24"/>
                <w:szCs w:val="24"/>
                <w:highlight w:val="none"/>
                <w:u w:val="none"/>
              </w:rPr>
              <w:t>横杆</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val="0"/>
                <w:bCs w:val="0"/>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val="0"/>
                <w:bCs w:val="0"/>
                <w:color w:val="auto"/>
                <w:sz w:val="24"/>
                <w:szCs w:val="24"/>
                <w:highlight w:val="none"/>
                <w:u w:val="none"/>
              </w:rPr>
              <w:t>1.</w:t>
            </w:r>
            <w:r>
              <w:rPr>
                <w:rFonts w:hint="eastAsia" w:ascii="仿宋_GB2312" w:hAnsi="仿宋_GB2312" w:eastAsia="仿宋_GB2312" w:cs="仿宋_GB2312"/>
                <w:b w:val="0"/>
                <w:bCs w:val="0"/>
                <w:color w:val="auto"/>
                <w:sz w:val="24"/>
                <w:szCs w:val="24"/>
                <w:highlight w:val="none"/>
                <w:u w:val="none"/>
                <w:lang w:val="en-US" w:eastAsia="zh-CN"/>
              </w:rPr>
              <w:t>2</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mm</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lang w:val="en-US" w:eastAsia="zh-CN"/>
              </w:rPr>
              <w:t>冷轧钢</w:t>
            </w:r>
            <w:r>
              <w:rPr>
                <w:rFonts w:hint="eastAsia" w:ascii="仿宋_GB2312" w:hAnsi="仿宋_GB2312" w:eastAsia="仿宋_GB2312" w:cs="仿宋_GB2312"/>
                <w:b w:val="0"/>
                <w:bCs w:val="0"/>
                <w:color w:val="auto"/>
                <w:sz w:val="24"/>
                <w:szCs w:val="24"/>
                <w:highlight w:val="none"/>
                <w:u w:val="none"/>
              </w:rPr>
              <w:t>椭圆管焊接成型</w:t>
            </w:r>
            <w:r>
              <w:rPr>
                <w:rFonts w:hint="eastAsia" w:ascii="仿宋_GB2312" w:hAnsi="仿宋_GB2312" w:eastAsia="仿宋_GB2312" w:cs="仿宋_GB2312"/>
                <w:b w:val="0"/>
                <w:bCs w:val="0"/>
                <w:color w:val="auto"/>
                <w:sz w:val="24"/>
                <w:szCs w:val="24"/>
                <w:highlight w:val="none"/>
                <w:u w:val="none"/>
                <w:lang w:eastAsia="zh-CN"/>
              </w:rPr>
              <w:t>。</w:t>
            </w:r>
          </w:p>
          <w:p w14:paraId="7A6C806A">
            <w:pPr>
              <w:keepNext w:val="0"/>
              <w:keepLines w:val="0"/>
              <w:pageBreakBefore w:val="0"/>
              <w:widowControl/>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lang w:val="en-US" w:eastAsia="zh-CN"/>
              </w:rPr>
              <w:t>4.</w:t>
            </w:r>
            <w:r>
              <w:rPr>
                <w:rFonts w:hint="eastAsia" w:ascii="仿宋_GB2312" w:hAnsi="仿宋_GB2312" w:eastAsia="仿宋_GB2312" w:cs="仿宋_GB2312"/>
                <w:color w:val="auto"/>
                <w:sz w:val="24"/>
                <w:szCs w:val="24"/>
                <w:highlight w:val="none"/>
                <w:u w:val="none"/>
              </w:rPr>
              <w:t>背架采用15</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椭圆管做S型抽芯弯曲处理。背架两端由椅座、椅背包裹，螺丝锁定</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要求</w:t>
            </w:r>
            <w:r>
              <w:rPr>
                <w:rFonts w:hint="eastAsia" w:ascii="仿宋_GB2312" w:hAnsi="仿宋_GB2312" w:eastAsia="仿宋_GB2312" w:cs="仿宋_GB2312"/>
                <w:color w:val="auto"/>
                <w:sz w:val="24"/>
                <w:szCs w:val="24"/>
                <w:highlight w:val="none"/>
                <w:u w:val="none"/>
              </w:rPr>
              <w:t>稳固、不松动。</w:t>
            </w:r>
          </w:p>
          <w:p w14:paraId="3726D501">
            <w:pPr>
              <w:keepNext w:val="0"/>
              <w:keepLines w:val="0"/>
              <w:pageBreakBefore w:val="0"/>
              <w:widowControl/>
              <w:kinsoku/>
              <w:wordWrap/>
              <w:overflowPunct/>
              <w:topLinePunct w:val="0"/>
              <w:bidi w:val="0"/>
              <w:adjustRightInd/>
              <w:spacing w:line="400" w:lineRule="exact"/>
              <w:ind w:firstLine="482" w:firstLineChars="200"/>
              <w:jc w:val="both"/>
              <w:textAlignment w:val="auto"/>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lang w:val="en-US" w:eastAsia="zh-CN"/>
              </w:rPr>
              <w:t>（四）</w:t>
            </w:r>
            <w:r>
              <w:rPr>
                <w:rFonts w:hint="eastAsia" w:ascii="仿宋_GB2312" w:hAnsi="仿宋_GB2312" w:eastAsia="仿宋_GB2312" w:cs="仿宋_GB2312"/>
                <w:b/>
                <w:bCs/>
                <w:color w:val="auto"/>
                <w:sz w:val="24"/>
                <w:szCs w:val="24"/>
                <w:highlight w:val="none"/>
                <w:u w:val="none"/>
              </w:rPr>
              <w:t>脚套：</w:t>
            </w:r>
          </w:p>
          <w:p w14:paraId="7FA29C85">
            <w:pPr>
              <w:keepNext w:val="0"/>
              <w:keepLines w:val="0"/>
              <w:pageBreakBefore w:val="0"/>
              <w:widowControl/>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rPr>
              <w:t>采用PP工程塑料</w:t>
            </w:r>
            <w:r>
              <w:rPr>
                <w:rFonts w:hint="eastAsia" w:ascii="仿宋_GB2312" w:hAnsi="仿宋_GB2312" w:eastAsia="仿宋_GB2312" w:cs="仿宋_GB2312"/>
                <w:color w:val="auto"/>
                <w:sz w:val="24"/>
                <w:szCs w:val="24"/>
                <w:highlight w:val="none"/>
                <w:u w:val="none"/>
                <w:lang w:val="en-US" w:eastAsia="zh-CN"/>
              </w:rPr>
              <w:t>一次性</w:t>
            </w:r>
            <w:r>
              <w:rPr>
                <w:rFonts w:hint="eastAsia" w:ascii="仿宋_GB2312" w:hAnsi="仿宋_GB2312" w:eastAsia="仿宋_GB2312" w:cs="仿宋_GB2312"/>
                <w:color w:val="auto"/>
                <w:sz w:val="24"/>
                <w:szCs w:val="24"/>
                <w:highlight w:val="none"/>
                <w:u w:val="none"/>
              </w:rPr>
              <w:t>注塑成型，</w:t>
            </w:r>
            <w:r>
              <w:rPr>
                <w:rFonts w:hint="eastAsia" w:ascii="仿宋_GB2312" w:hAnsi="仿宋_GB2312" w:eastAsia="仿宋_GB2312" w:cs="仿宋_GB2312"/>
                <w:color w:val="auto"/>
                <w:sz w:val="24"/>
                <w:szCs w:val="24"/>
                <w:highlight w:val="none"/>
                <w:u w:val="none"/>
                <w:lang w:val="en-US" w:eastAsia="zh-CN"/>
              </w:rPr>
              <w:t>颜色为蓝色。</w:t>
            </w:r>
            <w:r>
              <w:rPr>
                <w:rFonts w:hint="eastAsia" w:ascii="仿宋_GB2312" w:hAnsi="仿宋_GB2312" w:eastAsia="仿宋_GB2312" w:cs="仿宋_GB2312"/>
                <w:color w:val="auto"/>
                <w:sz w:val="24"/>
                <w:szCs w:val="24"/>
                <w:highlight w:val="none"/>
                <w:u w:val="none"/>
              </w:rPr>
              <w:t>环保无异味</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起到防滑、防摩擦等作用</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脚套符合GB/T 32487-2016 《塑料家具通用技术条件》、</w:t>
            </w:r>
            <w:r>
              <w:rPr>
                <w:rFonts w:hint="eastAsia" w:ascii="仿宋_GB2312" w:hAnsi="仿宋_GB2312" w:eastAsia="仿宋_GB2312" w:cs="仿宋_GB2312"/>
                <w:color w:val="auto"/>
                <w:sz w:val="24"/>
                <w:highlight w:val="none"/>
                <w:u w:val="none"/>
                <w:lang w:val="en-US" w:eastAsia="zh-CN"/>
              </w:rPr>
              <w:t>GB 28481-2012《塑料家具中有害物质限量》</w:t>
            </w:r>
            <w:r>
              <w:rPr>
                <w:rFonts w:hint="eastAsia" w:ascii="仿宋_GB2312" w:hAnsi="仿宋_GB2312" w:eastAsia="仿宋_GB2312" w:cs="仿宋_GB2312"/>
                <w:color w:val="auto"/>
                <w:sz w:val="24"/>
                <w:szCs w:val="24"/>
                <w:highlight w:val="none"/>
                <w:u w:val="none"/>
                <w:lang w:val="en-US" w:eastAsia="zh-CN"/>
              </w:rPr>
              <w:t>要求，苯并［a］芘≤1.0mg/kg；塑料件外观合格，塑料材料耐老化性合格，塑料件硬度（邵氏D硬度）≥HD63，塑料邻苯二甲酸酯合格，塑料多环芳烃合格，塑料重金属：可溶性铅≤90mg/kg、可溶性镉≤75mg/kg、可溶性铬≤60mg/kg、可溶性汞≤60mg/kg。</w:t>
            </w:r>
          </w:p>
          <w:p w14:paraId="5FE9139C">
            <w:pPr>
              <w:keepNext w:val="0"/>
              <w:keepLines w:val="0"/>
              <w:pageBreakBefore w:val="0"/>
              <w:widowControl/>
              <w:kinsoku/>
              <w:wordWrap/>
              <w:overflowPunct/>
              <w:topLinePunct w:val="0"/>
              <w:bidi w:val="0"/>
              <w:adjustRightInd/>
              <w:spacing w:line="400" w:lineRule="exact"/>
              <w:ind w:firstLine="482" w:firstLineChars="200"/>
              <w:jc w:val="both"/>
              <w:textAlignment w:val="auto"/>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lang w:val="en-US" w:eastAsia="zh-CN"/>
              </w:rPr>
              <w:t>（五）连接部件</w:t>
            </w:r>
            <w:r>
              <w:rPr>
                <w:rFonts w:hint="eastAsia" w:ascii="仿宋_GB2312" w:hAnsi="仿宋_GB2312" w:eastAsia="仿宋_GB2312" w:cs="仿宋_GB2312"/>
                <w:b/>
                <w:bCs/>
                <w:color w:val="auto"/>
                <w:sz w:val="24"/>
                <w:szCs w:val="24"/>
                <w:highlight w:val="none"/>
                <w:u w:val="none"/>
              </w:rPr>
              <w:t>：</w:t>
            </w:r>
          </w:p>
          <w:p w14:paraId="1DAD21CC">
            <w:pPr>
              <w:keepNext w:val="0"/>
              <w:keepLines w:val="0"/>
              <w:pageBreakBefore w:val="0"/>
              <w:widowControl/>
              <w:numPr>
                <w:ilvl w:val="0"/>
                <w:numId w:val="0"/>
              </w:numPr>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各连接部位</w:t>
            </w:r>
            <w:r>
              <w:rPr>
                <w:rFonts w:hint="eastAsia" w:ascii="仿宋_GB2312" w:hAnsi="仿宋_GB2312" w:eastAsia="仿宋_GB2312" w:cs="仿宋_GB2312"/>
                <w:color w:val="auto"/>
                <w:sz w:val="24"/>
                <w:szCs w:val="24"/>
                <w:highlight w:val="none"/>
                <w:u w:val="none"/>
                <w:lang w:val="en-US" w:eastAsia="zh-CN"/>
              </w:rPr>
              <w:t>采</w:t>
            </w:r>
            <w:r>
              <w:rPr>
                <w:rFonts w:hint="eastAsia" w:ascii="仿宋_GB2312" w:hAnsi="仿宋_GB2312" w:eastAsia="仿宋_GB2312" w:cs="仿宋_GB2312"/>
                <w:color w:val="auto"/>
                <w:sz w:val="24"/>
                <w:szCs w:val="24"/>
                <w:highlight w:val="none"/>
                <w:u w:val="none"/>
              </w:rPr>
              <w:t>用止退螺丝、螺母。螺丝升降调节高低。</w:t>
            </w:r>
          </w:p>
          <w:p w14:paraId="2C2B8619">
            <w:pPr>
              <w:keepNext w:val="0"/>
              <w:keepLines w:val="0"/>
              <w:pageBreakBefore w:val="0"/>
              <w:widowControl/>
              <w:kinsoku/>
              <w:wordWrap/>
              <w:overflowPunct/>
              <w:topLinePunct w:val="0"/>
              <w:bidi w:val="0"/>
              <w:adjustRightInd/>
              <w:spacing w:line="400" w:lineRule="exact"/>
              <w:ind w:firstLine="482" w:firstLineChars="200"/>
              <w:jc w:val="both"/>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（六）椅子重量</w:t>
            </w:r>
          </w:p>
          <w:p w14:paraId="67049B9D">
            <w:pPr>
              <w:keepNext w:val="0"/>
              <w:keepLines w:val="0"/>
              <w:pageBreakBefore w:val="0"/>
              <w:widowControl/>
              <w:numPr>
                <w:ilvl w:val="0"/>
                <w:numId w:val="0"/>
              </w:numPr>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lang w:val="en-US" w:eastAsia="zh-CN"/>
              </w:rPr>
              <w:t>整张桌子净重不小于6.6公斤。</w:t>
            </w:r>
          </w:p>
          <w:p w14:paraId="1E34789A">
            <w:pPr>
              <w:pStyle w:val="868"/>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三、其他要求</w:t>
            </w:r>
          </w:p>
          <w:p w14:paraId="03696E9D">
            <w:pPr>
              <w:pStyle w:val="868"/>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kern w:val="2"/>
                <w:sz w:val="24"/>
                <w:szCs w:val="24"/>
                <w:highlight w:val="none"/>
                <w:u w:val="none"/>
                <w:lang w:val="en-US" w:eastAsia="zh-CN" w:bidi="ar-SA"/>
              </w:rPr>
              <w:t>1.钢制件表面经过酸洗磷化处理，全部采用环保粉末进行喷涂。为保证产品质量与安全，不能有气味，以免造成人体伤害</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kern w:val="2"/>
                <w:sz w:val="24"/>
                <w:szCs w:val="24"/>
                <w:highlight w:val="none"/>
                <w:u w:val="none"/>
                <w:lang w:val="en-US" w:eastAsia="zh-CN" w:bidi="ar-SA"/>
              </w:rPr>
              <w:t>粉末涂料符合HG/T 2006-2022 《热固性和热塑性粉末涂料》、GB/T 35602-2017《绿色产品评价 涂料》要求，外观：色泽均匀，无异物，呈松散粉末状；筛余物（125μm）全部通过；涂膜外观：正常；附着力（干附着力）≤1级；铅笔硬度≥H；耐冲击性（正向冲击）：50cm；杯突试验≥4mm；弯曲试验≤4mm；耐磨性≤50mg；、耐酸性[3%(质量分数）盐酸溶液]：240h无异常；耐碱性[5%（质量分数）氢氧化钠溶液]：168h无异常；耐沸水性（2h）：无异常；耐盐雾性：中性盐雾500h划痕处单向腐蚀蔓延宽度≤2.0mm，未划痕区无起泡、生锈、开裂、剥落等异常现象；耐湿性（室内用）：500h无异常。重金属元素含量：铅≤20mg/kg、镉≤20mg/kg、六价铬≤20mg/kg、汞≤20mg/kg、砷≤20mg/kg、钡≤100mg/kg、硒≤20mg/kg、锑≤20mg/kg、钴≤20mg/kg。</w:t>
            </w:r>
          </w:p>
          <w:p w14:paraId="2A947AE7">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kern w:val="2"/>
                <w:sz w:val="24"/>
                <w:szCs w:val="24"/>
                <w:highlight w:val="none"/>
                <w:u w:val="none"/>
                <w:lang w:val="en-US" w:eastAsia="zh-CN" w:bidi="ar-SA"/>
              </w:rPr>
              <w:t>2.</w:t>
            </w:r>
            <w:r>
              <w:rPr>
                <w:rFonts w:hint="eastAsia" w:ascii="仿宋_GB2312" w:hAnsi="仿宋_GB2312" w:eastAsia="仿宋_GB2312" w:cs="仿宋_GB2312"/>
                <w:color w:val="auto"/>
                <w:sz w:val="24"/>
                <w:szCs w:val="24"/>
                <w:highlight w:val="none"/>
                <w:u w:val="none"/>
                <w:lang w:val="en-US" w:eastAsia="zh-CN"/>
              </w:rPr>
              <w:t>课椅性能检测必须符合：</w:t>
            </w:r>
            <w:r>
              <w:rPr>
                <w:rFonts w:hint="eastAsia" w:ascii="仿宋_GB2312" w:hAnsi="仿宋_GB2312" w:eastAsia="仿宋_GB2312" w:cs="仿宋_GB2312"/>
                <w:b w:val="0"/>
                <w:bCs w:val="0"/>
                <w:color w:val="auto"/>
                <w:sz w:val="24"/>
                <w:szCs w:val="24"/>
                <w:highlight w:val="none"/>
                <w:u w:val="none"/>
                <w:lang w:val="en-US" w:eastAsia="zh-CN"/>
              </w:rPr>
              <w:t>GB/T 3325-2024《金属家具通用技术条件》、</w:t>
            </w:r>
            <w:r>
              <w:rPr>
                <w:rFonts w:hint="eastAsia" w:ascii="仿宋_GB2312" w:hAnsi="仿宋_GB2312" w:eastAsia="仿宋_GB2312" w:cs="仿宋_GB2312"/>
                <w:color w:val="auto"/>
                <w:sz w:val="24"/>
                <w:szCs w:val="24"/>
                <w:highlight w:val="none"/>
                <w:u w:val="none"/>
                <w:lang w:val="en-US" w:eastAsia="zh-CN"/>
              </w:rPr>
              <w:t>GB/T 32487-2016《塑料家具通用技术条件》、GB/T 35607-2024《绿色产品评价 家具》、QB/T 4071-2021《课桌椅》、</w:t>
            </w:r>
            <w:r>
              <w:rPr>
                <w:rFonts w:hint="eastAsia" w:ascii="仿宋_GB2312" w:hAnsi="仿宋_GB2312" w:eastAsia="仿宋_GB2312" w:cs="仿宋_GB2312"/>
                <w:i w:val="0"/>
                <w:iCs w:val="0"/>
                <w:caps w:val="0"/>
                <w:color w:val="auto"/>
                <w:spacing w:val="0"/>
                <w:sz w:val="24"/>
                <w:szCs w:val="24"/>
                <w:highlight w:val="none"/>
                <w:u w:val="none"/>
                <w:shd w:val="clear" w:color="auto" w:fill="auto"/>
              </w:rPr>
              <w:t>GB 28481-2012</w:t>
            </w:r>
            <w:r>
              <w:rPr>
                <w:rFonts w:hint="eastAsia" w:ascii="仿宋_GB2312" w:hAnsi="仿宋_GB2312" w:eastAsia="仿宋_GB2312" w:cs="仿宋_GB2312"/>
                <w:i w:val="0"/>
                <w:iCs w:val="0"/>
                <w:caps w:val="0"/>
                <w:color w:val="auto"/>
                <w:spacing w:val="0"/>
                <w:sz w:val="24"/>
                <w:szCs w:val="24"/>
                <w:highlight w:val="none"/>
                <w:u w:val="none"/>
                <w:shd w:val="clear" w:color="auto" w:fill="auto"/>
                <w:lang w:eastAsia="zh-CN"/>
              </w:rPr>
              <w:t>《</w:t>
            </w:r>
            <w:r>
              <w:rPr>
                <w:rFonts w:hint="eastAsia" w:ascii="仿宋_GB2312" w:hAnsi="仿宋_GB2312" w:eastAsia="仿宋_GB2312" w:cs="仿宋_GB2312"/>
                <w:i w:val="0"/>
                <w:iCs w:val="0"/>
                <w:caps w:val="0"/>
                <w:color w:val="auto"/>
                <w:spacing w:val="0"/>
                <w:sz w:val="24"/>
                <w:szCs w:val="24"/>
                <w:highlight w:val="none"/>
                <w:u w:val="none"/>
                <w:shd w:val="clear" w:color="auto" w:fill="auto"/>
              </w:rPr>
              <w:t>塑料家具中有害物质限量</w:t>
            </w:r>
            <w:r>
              <w:rPr>
                <w:rFonts w:hint="eastAsia" w:ascii="仿宋_GB2312" w:hAnsi="仿宋_GB2312" w:eastAsia="仿宋_GB2312" w:cs="仿宋_GB2312"/>
                <w:i w:val="0"/>
                <w:iCs w:val="0"/>
                <w:caps w:val="0"/>
                <w:color w:val="auto"/>
                <w:spacing w:val="0"/>
                <w:sz w:val="24"/>
                <w:szCs w:val="24"/>
                <w:highlight w:val="none"/>
                <w:u w:val="none"/>
                <w:shd w:val="clear" w:color="auto" w:fill="auto"/>
                <w:lang w:eastAsia="zh-CN"/>
              </w:rPr>
              <w:t>》、</w:t>
            </w:r>
            <w:r>
              <w:rPr>
                <w:rFonts w:hint="eastAsia" w:ascii="仿宋_GB2312" w:hAnsi="仿宋_GB2312" w:eastAsia="仿宋_GB2312" w:cs="仿宋_GB2312"/>
                <w:color w:val="auto"/>
                <w:sz w:val="24"/>
                <w:szCs w:val="24"/>
                <w:highlight w:val="none"/>
                <w:u w:val="none"/>
                <w:lang w:val="en-US" w:eastAsia="zh-CN"/>
              </w:rPr>
              <w:t>要求，其中：</w:t>
            </w:r>
          </w:p>
          <w:p w14:paraId="07CBB113">
            <w:pPr>
              <w:pStyle w:val="868"/>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金属件外观（管材、焊接件、喷漆（塑）涂层）符合要求；塑料件外观符合要求；塑料件形状和位置公差（翘曲度、平整度、底脚平稳性）符合要求；理化性能符合要求；课桌/课椅力学性能符合要求；有害物质限量（表面涂层可迁移元素含量）：铅Pb≤90mg/kg、镉Cd≤50mg/kg、铬Cr≤25mg/kg、汞Hg≤25mg/kg、锑Sb≤60mg/kg、钡Ba≤1000mg/kg、硒Se≤500mg/kg、砷As≤25mg/kg；苯并[a]芘≤1.0mg/kg、16 种多环芳烃（PAH）总量≤10mg/kg；挥发性有机化合物TVOC≤0.3mg/m³</w:t>
            </w:r>
            <w:r>
              <w:rPr>
                <w:rFonts w:hint="eastAsia" w:ascii="仿宋_GB2312" w:hAnsi="仿宋_GB2312" w:eastAsia="仿宋_GB2312" w:cs="仿宋_GB2312"/>
                <w:color w:val="auto"/>
                <w:kern w:val="2"/>
                <w:sz w:val="24"/>
                <w:szCs w:val="24"/>
                <w:highlight w:val="none"/>
                <w:u w:val="none"/>
                <w:lang w:val="en-US" w:eastAsia="zh-CN" w:bidi="ar-SA"/>
              </w:rPr>
              <w:t>。</w:t>
            </w:r>
          </w:p>
          <w:p w14:paraId="0718188D">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3.金属件</w:t>
            </w:r>
            <w:r>
              <w:rPr>
                <w:rFonts w:hint="eastAsia" w:ascii="仿宋_GB2312" w:hAnsi="仿宋_GB2312" w:eastAsia="仿宋_GB2312" w:cs="仿宋_GB2312"/>
                <w:color w:val="auto"/>
                <w:sz w:val="24"/>
                <w:szCs w:val="24"/>
                <w:highlight w:val="none"/>
                <w:u w:val="none"/>
                <w:lang w:val="en-US" w:eastAsia="zh-CN"/>
              </w:rPr>
              <w:t>表面应光滑平整，应无起泡、泛黄、花斑、烧焦、裂纹、划痕和磕碰伤等。焊接部位应牢固，应无脱焊、虚焊、焊穿；焊缝均匀，应无毛刺、锐棱、飞溅、裂纹等缺陷。</w:t>
            </w:r>
          </w:p>
          <w:p w14:paraId="12F965D1">
            <w:pPr>
              <w:pStyle w:val="868"/>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4.每张课桌前方需粘贴直径60mm的标识，标识中有产品尺寸、年份。</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0CD817BE">
            <w:pPr>
              <w:keepNext w:val="0"/>
              <w:keepLines w:val="0"/>
              <w:pageBreakBefore w:val="0"/>
              <w:kinsoku/>
              <w:wordWrap/>
              <w:overflowPunct/>
              <w:topLinePunct w:val="0"/>
              <w:bidi w:val="0"/>
              <w:adjustRightInd/>
              <w:snapToGrid w:val="0"/>
              <w:spacing w:line="400" w:lineRule="exact"/>
              <w:jc w:val="center"/>
              <w:textAlignment w:val="auto"/>
              <w:rPr>
                <w:rFonts w:hint="default" w:ascii="宋体" w:hAnsi="宋体" w:eastAsia="宋体" w:cs="宋体"/>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500套</w:t>
            </w:r>
          </w:p>
        </w:tc>
      </w:tr>
    </w:tbl>
    <w:p w14:paraId="30CB2361">
      <w:pPr>
        <w:spacing w:line="276" w:lineRule="auto"/>
        <w:ind w:left="420" w:hanging="420"/>
        <w:jc w:val="left"/>
        <w:rPr>
          <w:rFonts w:hint="eastAsia" w:ascii="仿宋_GB2312" w:hAnsi="宋体" w:eastAsia="仿宋_GB2312" w:cs="Times New Roman"/>
          <w:b/>
          <w:color w:val="auto"/>
          <w:sz w:val="24"/>
          <w:lang w:val="en-US" w:eastAsia="zh-CN"/>
        </w:rPr>
      </w:pPr>
    </w:p>
    <w:p w14:paraId="3B86D0A3">
      <w:pPr>
        <w:rPr>
          <w:rFonts w:hint="eastAsia" w:ascii="仿宋_GB2312" w:hAnsi="宋体" w:eastAsia="仿宋_GB2312" w:cs="Times New Roman"/>
          <w:b/>
          <w:color w:val="auto"/>
          <w:sz w:val="24"/>
          <w:lang w:val="en-US" w:eastAsia="zh-CN"/>
        </w:rPr>
      </w:pPr>
      <w:r>
        <w:rPr>
          <w:rFonts w:hint="eastAsia" w:ascii="仿宋_GB2312" w:hAnsi="宋体" w:eastAsia="仿宋_GB2312" w:cs="Times New Roman"/>
          <w:b/>
          <w:color w:val="auto"/>
          <w:sz w:val="24"/>
          <w:lang w:val="en-US" w:eastAsia="zh-CN"/>
        </w:rPr>
        <w:br w:type="page"/>
      </w:r>
    </w:p>
    <w:p w14:paraId="7F761C46">
      <w:pPr>
        <w:spacing w:line="276" w:lineRule="auto"/>
        <w:ind w:left="420" w:hanging="420"/>
        <w:jc w:val="left"/>
        <w:rPr>
          <w:rFonts w:hint="eastAsia" w:ascii="仿宋_GB2312" w:hAnsi="宋体" w:eastAsia="仿宋_GB2312" w:cs="Times New Roman"/>
          <w:b/>
          <w:color w:val="auto"/>
          <w:sz w:val="24"/>
          <w:lang w:val="en-US" w:eastAsia="zh-CN"/>
        </w:rPr>
      </w:pPr>
      <w:r>
        <w:rPr>
          <w:rFonts w:hint="eastAsia" w:ascii="仿宋_GB2312" w:hAnsi="宋体" w:eastAsia="仿宋_GB2312" w:cs="Times New Roman"/>
          <w:b/>
          <w:color w:val="auto"/>
          <w:sz w:val="24"/>
          <w:lang w:val="en-US" w:eastAsia="zh-CN"/>
        </w:rPr>
        <w:t>分标二：</w:t>
      </w:r>
    </w:p>
    <w:tbl>
      <w:tblPr>
        <w:tblStyle w:val="48"/>
        <w:tblW w:w="0" w:type="auto"/>
        <w:tblInd w:w="0" w:type="dxa"/>
        <w:tblLayout w:type="fixed"/>
        <w:tblCellMar>
          <w:top w:w="0" w:type="dxa"/>
          <w:left w:w="108" w:type="dxa"/>
          <w:bottom w:w="0" w:type="dxa"/>
          <w:right w:w="108" w:type="dxa"/>
        </w:tblCellMar>
      </w:tblPr>
      <w:tblGrid>
        <w:gridCol w:w="770"/>
        <w:gridCol w:w="975"/>
        <w:gridCol w:w="6375"/>
        <w:gridCol w:w="904"/>
      </w:tblGrid>
      <w:tr w14:paraId="4EA8DF95">
        <w:tblPrEx>
          <w:tblCellMar>
            <w:top w:w="0" w:type="dxa"/>
            <w:left w:w="108" w:type="dxa"/>
            <w:bottom w:w="0" w:type="dxa"/>
            <w:right w:w="108" w:type="dxa"/>
          </w:tblCellMar>
        </w:tblPrEx>
        <w:trPr>
          <w:trHeight w:val="603" w:hRule="atLeast"/>
        </w:trPr>
        <w:tc>
          <w:tcPr>
            <w:tcW w:w="9024" w:type="dxa"/>
            <w:gridSpan w:val="4"/>
            <w:tcBorders>
              <w:top w:val="single" w:color="000000" w:sz="4" w:space="0"/>
              <w:left w:val="single" w:color="000000" w:sz="4" w:space="0"/>
              <w:bottom w:val="single" w:color="000000" w:sz="4" w:space="0"/>
              <w:right w:val="single" w:color="000000" w:sz="4" w:space="0"/>
            </w:tcBorders>
            <w:noWrap w:val="0"/>
            <w:vAlign w:val="center"/>
          </w:tcPr>
          <w:p w14:paraId="78236BFE">
            <w:pPr>
              <w:widowControl/>
              <w:spacing w:line="380" w:lineRule="exact"/>
              <w:textAlignment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0"/>
                <w:sz w:val="24"/>
                <w:highlight w:val="none"/>
                <w:lang w:bidi="ar"/>
              </w:rPr>
              <w:t>一、项目技术规格参数及要求</w:t>
            </w:r>
          </w:p>
        </w:tc>
      </w:tr>
      <w:tr w14:paraId="446C0B53">
        <w:tblPrEx>
          <w:tblCellMar>
            <w:top w:w="0" w:type="dxa"/>
            <w:left w:w="108" w:type="dxa"/>
            <w:bottom w:w="0" w:type="dxa"/>
            <w:right w:w="108" w:type="dxa"/>
          </w:tblCellMar>
        </w:tblPrEx>
        <w:trPr>
          <w:trHeight w:val="285"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771C8149">
            <w:pPr>
              <w:widowControl/>
              <w:spacing w:line="38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序号</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BE9369A">
            <w:pPr>
              <w:widowControl/>
              <w:spacing w:line="38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标的</w:t>
            </w:r>
          </w:p>
          <w:p w14:paraId="15AF0D1B">
            <w:pPr>
              <w:widowControl/>
              <w:spacing w:line="38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名称</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286CDB66">
            <w:pPr>
              <w:widowControl/>
              <w:spacing w:line="380" w:lineRule="exact"/>
              <w:jc w:val="center"/>
              <w:textAlignment w:val="center"/>
              <w:rPr>
                <w:color w:val="auto"/>
                <w:highlight w:val="none"/>
              </w:rPr>
            </w:pPr>
            <w:r>
              <w:rPr>
                <w:rFonts w:hint="eastAsia" w:ascii="仿宋_GB2312" w:hAnsi="仿宋_GB2312" w:eastAsia="仿宋_GB2312" w:cs="仿宋_GB2312"/>
                <w:b/>
                <w:bCs/>
                <w:color w:val="auto"/>
                <w:kern w:val="0"/>
                <w:sz w:val="24"/>
                <w:highlight w:val="none"/>
                <w:lang w:bidi="ar"/>
              </w:rPr>
              <w:t>技术参数</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65FC3637">
            <w:pPr>
              <w:widowControl/>
              <w:spacing w:line="380" w:lineRule="exact"/>
              <w:jc w:val="center"/>
              <w:textAlignment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数量及单位</w:t>
            </w:r>
          </w:p>
        </w:tc>
      </w:tr>
      <w:tr w14:paraId="08526999">
        <w:tblPrEx>
          <w:tblCellMar>
            <w:top w:w="0" w:type="dxa"/>
            <w:left w:w="108" w:type="dxa"/>
            <w:bottom w:w="0" w:type="dxa"/>
            <w:right w:w="108" w:type="dxa"/>
          </w:tblCellMar>
        </w:tblPrEx>
        <w:trPr>
          <w:trHeight w:val="285"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5A514CD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color w:val="auto"/>
                <w:kern w:val="0"/>
                <w:sz w:val="24"/>
                <w:szCs w:val="24"/>
                <w:lang w:val="en-US" w:eastAsia="zh-CN"/>
              </w:rPr>
              <w:t>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981DB05">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color w:val="auto"/>
                <w:kern w:val="0"/>
                <w:sz w:val="24"/>
                <w:szCs w:val="24"/>
                <w:highlight w:val="none"/>
                <w:lang w:bidi="ar"/>
              </w:rPr>
            </w:pPr>
            <w:r>
              <w:rPr>
                <w:rFonts w:hint="eastAsia" w:ascii="仿宋_GB2312" w:eastAsia="仿宋_GB2312"/>
                <w:b/>
                <w:bCs/>
                <w:color w:val="auto"/>
                <w:sz w:val="24"/>
              </w:rPr>
              <w:t>▲</w:t>
            </w:r>
            <w:r>
              <w:rPr>
                <w:rFonts w:hint="eastAsia" w:ascii="仿宋_GB2312" w:hAnsi="仿宋_GB2312" w:eastAsia="仿宋_GB2312" w:cs="仿宋_GB2312"/>
                <w:color w:val="auto"/>
                <w:sz w:val="24"/>
                <w:szCs w:val="24"/>
              </w:rPr>
              <w:t>小学课桌椅</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0829FD9D">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一、学生课桌：</w:t>
            </w:r>
          </w:p>
          <w:p w14:paraId="6269310A">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sz w:val="24"/>
                <w:szCs w:val="24"/>
              </w:rPr>
            </w:pPr>
            <w:r>
              <w:rPr>
                <w:rFonts w:ascii="仿宋_GB2312" w:eastAsia="仿宋_GB2312"/>
                <w:b/>
                <w:bCs/>
                <w:color w:val="auto"/>
                <w:sz w:val="24"/>
              </w:rPr>
              <w:t>★</w:t>
            </w:r>
            <w:r>
              <w:rPr>
                <w:rFonts w:hint="eastAsia" w:ascii="仿宋_GB2312" w:hAnsi="仿宋_GB2312" w:eastAsia="仿宋_GB2312" w:cs="仿宋_GB2312"/>
                <w:b/>
                <w:bCs/>
                <w:color w:val="auto"/>
                <w:sz w:val="24"/>
                <w:szCs w:val="24"/>
              </w:rPr>
              <w:t>（一）课桌整体规格（长×宽×高）</w:t>
            </w:r>
          </w:p>
          <w:p w14:paraId="2A196841">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600mm×450mm×（640-760）mm（可调节高度640mm、670mm、700mm、730mm、760mm五档）（±5mm）；</w:t>
            </w:r>
          </w:p>
          <w:p w14:paraId="5E0CC3E6">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（二）课桌面板</w:t>
            </w:r>
          </w:p>
          <w:p w14:paraId="4C29F403">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采用原材料为</w:t>
            </w:r>
            <w:r>
              <w:rPr>
                <w:rFonts w:hint="eastAsia" w:ascii="仿宋_GB2312" w:hAnsi="仿宋_GB2312" w:eastAsia="仿宋_GB2312" w:cs="仿宋_GB2312"/>
                <w:bCs/>
                <w:color w:val="auto"/>
                <w:kern w:val="0"/>
                <w:sz w:val="24"/>
                <w:szCs w:val="24"/>
              </w:rPr>
              <w:t>全新ABS塑料注塑一体成型</w:t>
            </w:r>
            <w:r>
              <w:rPr>
                <w:rFonts w:hint="eastAsia" w:ascii="仿宋_GB2312" w:hAnsi="仿宋_GB2312" w:eastAsia="仿宋_GB2312" w:cs="仿宋_GB2312"/>
                <w:color w:val="auto"/>
                <w:kern w:val="0"/>
                <w:sz w:val="24"/>
                <w:szCs w:val="24"/>
              </w:rPr>
              <w:t>，厚度不小于22mm；</w:t>
            </w:r>
            <w:r>
              <w:rPr>
                <w:rFonts w:hint="eastAsia" w:ascii="仿宋_GB2312" w:hAnsi="仿宋_GB2312" w:eastAsia="仿宋_GB2312" w:cs="仿宋_GB2312"/>
                <w:bCs/>
                <w:color w:val="auto"/>
                <w:sz w:val="24"/>
                <w:szCs w:val="24"/>
              </w:rPr>
              <w:t>桌面下方设计有加强筋，坚固耐用</w:t>
            </w:r>
            <w:r>
              <w:rPr>
                <w:rFonts w:hint="eastAsia" w:ascii="仿宋_GB2312" w:hAnsi="仿宋_GB2312" w:eastAsia="仿宋_GB2312" w:cs="仿宋_GB2312"/>
                <w:color w:val="auto"/>
                <w:kern w:val="0"/>
                <w:sz w:val="24"/>
                <w:szCs w:val="24"/>
              </w:rPr>
              <w:t>。</w:t>
            </w:r>
          </w:p>
          <w:p w14:paraId="17E98805">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u w:val="single"/>
              </w:rPr>
              <w:t>桌面板符合</w:t>
            </w:r>
            <w:bookmarkStart w:id="25" w:name="OLE_LINK1"/>
            <w:bookmarkStart w:id="26" w:name="OLE_LINK6"/>
            <w:bookmarkStart w:id="27" w:name="OLE_LINK2"/>
            <w:bookmarkStart w:id="28" w:name="OLE_LINK5"/>
            <w:r>
              <w:rPr>
                <w:rFonts w:hint="eastAsia" w:ascii="仿宋_GB2312" w:hAnsi="仿宋_GB2312" w:eastAsia="仿宋_GB2312" w:cs="仿宋_GB2312"/>
                <w:color w:val="auto"/>
                <w:sz w:val="24"/>
                <w:szCs w:val="24"/>
                <w:u w:val="single"/>
              </w:rPr>
              <w:t>GB/T 32487-2016</w:t>
            </w:r>
            <w:bookmarkEnd w:id="25"/>
            <w:bookmarkEnd w:id="26"/>
            <w:bookmarkEnd w:id="27"/>
            <w:bookmarkEnd w:id="28"/>
            <w:r>
              <w:rPr>
                <w:rFonts w:hint="eastAsia" w:ascii="仿宋_GB2312" w:hAnsi="仿宋_GB2312" w:eastAsia="仿宋_GB2312" w:cs="仿宋_GB2312"/>
                <w:color w:val="auto"/>
                <w:sz w:val="24"/>
                <w:szCs w:val="24"/>
                <w:u w:val="single"/>
              </w:rPr>
              <w:t>《塑料家具通用技术条件》、</w:t>
            </w:r>
            <w:bookmarkStart w:id="29" w:name="OLE_LINK4"/>
            <w:bookmarkStart w:id="30" w:name="OLE_LINK3"/>
            <w:r>
              <w:rPr>
                <w:rFonts w:hint="eastAsia" w:ascii="仿宋_GB2312" w:hAnsi="仿宋_GB2312" w:eastAsia="仿宋_GB2312" w:cs="仿宋_GB2312"/>
                <w:color w:val="auto"/>
                <w:sz w:val="24"/>
                <w:szCs w:val="24"/>
                <w:u w:val="single"/>
              </w:rPr>
              <w:t>GB 28481-2012《塑料家具中有害物质限量》</w:t>
            </w:r>
            <w:bookmarkEnd w:id="29"/>
            <w:bookmarkEnd w:id="30"/>
            <w:r>
              <w:rPr>
                <w:rFonts w:hint="eastAsia" w:ascii="仿宋_GB2312" w:hAnsi="仿宋_GB2312" w:eastAsia="仿宋_GB2312" w:cs="仿宋_GB2312"/>
                <w:color w:val="auto"/>
                <w:sz w:val="24"/>
                <w:szCs w:val="24"/>
                <w:u w:val="single"/>
              </w:rPr>
              <w:t>要求</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lang w:val="en-US" w:eastAsia="zh-CN"/>
              </w:rPr>
              <w:t>其中：</w:t>
            </w:r>
          </w:p>
          <w:p w14:paraId="43411824">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耐老化性(室内用：500h)(冲击强度的保持率≥60%、外观颜色变色评级≥3级)，冲击强度≥10J/㎡，塑料件外观应无明显色差，耐冷热循环应无裂纹、鼓泡、变色、起皱，邵氏D硬度≥HD63。重金属可溶性铅≤90mg/kg、可溶性镉≤75mg/kg、可溶性汞≤60mg/kg、可溶性铬≤60mg/kg、多溴联苯（PBB）≤1000mg/kg、多溴二苯醚（PBDE）≤1000mg/kg、邻苯二甲酸-2-乙基己基酯（DEHP）≤0.1%、邻苯二甲酸丁基苄酯（BBP）≤0.1%、邻苯二甲酸二丁酯（DBP）≤0.1%、邻苯二甲酸二正辛酯（DNOP）≤0.1%、邻苯二甲酸二异壬酯（DINP）≤0.1%、邻苯二甲酸二异癸酯（DIDP）≤0.1%、苯并</w:t>
            </w:r>
            <w:r>
              <w:rPr>
                <w:rFonts w:hint="eastAsia" w:ascii="仿宋_GB2312" w:hAnsi="仿宋_GB2312" w:eastAsia="仿宋_GB2312" w:cs="仿宋_GB2312"/>
                <w:color w:val="auto"/>
                <w:sz w:val="24"/>
                <w:szCs w:val="24"/>
                <w:u w:val="single"/>
                <w:lang w:val="en-US" w:eastAsia="zh-CN"/>
              </w:rPr>
              <w:t>[</w:t>
            </w:r>
            <w:r>
              <w:rPr>
                <w:rFonts w:hint="eastAsia" w:ascii="仿宋_GB2312" w:hAnsi="仿宋_GB2312" w:eastAsia="仿宋_GB2312" w:cs="仿宋_GB2312"/>
                <w:color w:val="auto"/>
                <w:sz w:val="24"/>
                <w:szCs w:val="24"/>
                <w:u w:val="single"/>
              </w:rPr>
              <w:t>a</w:t>
            </w:r>
            <w:r>
              <w:rPr>
                <w:rFonts w:hint="eastAsia" w:ascii="仿宋_GB2312" w:hAnsi="仿宋_GB2312" w:eastAsia="仿宋_GB2312" w:cs="仿宋_GB2312"/>
                <w:color w:val="auto"/>
                <w:sz w:val="24"/>
                <w:szCs w:val="24"/>
                <w:u w:val="single"/>
                <w:lang w:val="en-US" w:eastAsia="zh-CN"/>
              </w:rPr>
              <w:t>]</w:t>
            </w:r>
            <w:r>
              <w:rPr>
                <w:rFonts w:hint="eastAsia" w:ascii="仿宋_GB2312" w:hAnsi="仿宋_GB2312" w:eastAsia="仿宋_GB2312" w:cs="仿宋_GB2312"/>
                <w:color w:val="auto"/>
                <w:sz w:val="24"/>
                <w:szCs w:val="24"/>
                <w:u w:val="single"/>
              </w:rPr>
              <w:t>芘≤</w:t>
            </w:r>
            <w:r>
              <w:rPr>
                <w:rFonts w:hint="eastAsia" w:ascii="仿宋_GB2312" w:hAnsi="仿宋_GB2312" w:eastAsia="仿宋_GB2312" w:cs="仿宋_GB2312"/>
                <w:color w:val="auto"/>
                <w:sz w:val="24"/>
                <w:szCs w:val="24"/>
                <w:u w:val="single"/>
                <w:lang w:val="en-US" w:eastAsia="zh-CN"/>
              </w:rPr>
              <w:t>1.0</w:t>
            </w:r>
            <w:r>
              <w:rPr>
                <w:rFonts w:hint="eastAsia" w:ascii="仿宋_GB2312" w:hAnsi="仿宋_GB2312" w:eastAsia="仿宋_GB2312" w:cs="仿宋_GB2312"/>
                <w:color w:val="auto"/>
                <w:sz w:val="24"/>
                <w:szCs w:val="24"/>
                <w:u w:val="single"/>
              </w:rPr>
              <w:t>mg/kg、16种多环芳烃（PAH）总量≤10mg/kg。</w:t>
            </w:r>
          </w:p>
          <w:p w14:paraId="0B1F06EF">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（三）课桌书斗</w:t>
            </w:r>
          </w:p>
          <w:p w14:paraId="67956DD4">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长450mm×深300mm×高150mm（±5mm）。采用冷轧钢板(书斗三立面冲压网孔)，厚度不小于0.8mm。</w:t>
            </w:r>
          </w:p>
          <w:p w14:paraId="1ABA3508">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u w:val="single"/>
                <w:lang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kern w:val="0"/>
                <w:sz w:val="24"/>
                <w:szCs w:val="24"/>
                <w:u w:val="single"/>
              </w:rPr>
              <w:t>冷轧钢板符合</w:t>
            </w:r>
            <w:bookmarkStart w:id="31" w:name="OLE_LINK9"/>
            <w:bookmarkStart w:id="32" w:name="OLE_LINK10"/>
            <w:r>
              <w:rPr>
                <w:rFonts w:hint="eastAsia" w:ascii="仿宋_GB2312" w:hAnsi="仿宋_GB2312" w:eastAsia="仿宋_GB2312" w:cs="仿宋_GB2312"/>
                <w:color w:val="auto"/>
                <w:kern w:val="0"/>
                <w:sz w:val="24"/>
                <w:szCs w:val="24"/>
                <w:u w:val="single"/>
              </w:rPr>
              <w:t>GB/T 700-2006</w:t>
            </w:r>
            <w:bookmarkEnd w:id="31"/>
            <w:bookmarkEnd w:id="32"/>
            <w:r>
              <w:rPr>
                <w:rFonts w:hint="eastAsia" w:ascii="仿宋_GB2312" w:hAnsi="仿宋_GB2312" w:eastAsia="仿宋_GB2312" w:cs="仿宋_GB2312"/>
                <w:color w:val="auto"/>
                <w:kern w:val="0"/>
                <w:sz w:val="24"/>
                <w:szCs w:val="24"/>
                <w:u w:val="single"/>
              </w:rPr>
              <w:t>《</w:t>
            </w:r>
            <w:bookmarkStart w:id="33" w:name="OLE_LINK12"/>
            <w:bookmarkStart w:id="34" w:name="OLE_LINK11"/>
            <w:r>
              <w:rPr>
                <w:rFonts w:hint="eastAsia" w:ascii="仿宋_GB2312" w:hAnsi="仿宋_GB2312" w:eastAsia="仿宋_GB2312" w:cs="仿宋_GB2312"/>
                <w:color w:val="auto"/>
                <w:kern w:val="0"/>
                <w:sz w:val="24"/>
                <w:szCs w:val="24"/>
                <w:u w:val="single"/>
              </w:rPr>
              <w:t>碳素结构钢</w:t>
            </w:r>
            <w:bookmarkEnd w:id="33"/>
            <w:bookmarkEnd w:id="34"/>
            <w:r>
              <w:rPr>
                <w:rFonts w:hint="eastAsia" w:ascii="仿宋_GB2312" w:hAnsi="仿宋_GB2312" w:eastAsia="仿宋_GB2312" w:cs="仿宋_GB2312"/>
                <w:color w:val="auto"/>
                <w:kern w:val="0"/>
                <w:sz w:val="24"/>
                <w:szCs w:val="24"/>
                <w:u w:val="single"/>
              </w:rPr>
              <w:t>》</w:t>
            </w:r>
            <w:r>
              <w:rPr>
                <w:rFonts w:hint="eastAsia" w:ascii="仿宋_GB2312" w:hAnsi="仿宋_GB2312" w:eastAsia="仿宋_GB2312" w:cs="仿宋_GB2312"/>
                <w:color w:val="auto"/>
                <w:kern w:val="0"/>
                <w:sz w:val="24"/>
                <w:szCs w:val="24"/>
                <w:u w:val="single"/>
                <w:lang w:eastAsia="zh-CN"/>
              </w:rPr>
              <w:t>、</w:t>
            </w:r>
            <w:bookmarkStart w:id="35" w:name="OLE_LINK14"/>
            <w:bookmarkStart w:id="36" w:name="OLE_LINK13"/>
            <w:r>
              <w:rPr>
                <w:rFonts w:hint="eastAsia" w:ascii="仿宋_GB2312" w:hAnsi="仿宋_GB2312" w:eastAsia="仿宋_GB2312" w:cs="仿宋_GB2312"/>
                <w:color w:val="auto"/>
                <w:kern w:val="0"/>
                <w:sz w:val="24"/>
                <w:szCs w:val="24"/>
                <w:u w:val="single"/>
              </w:rPr>
              <w:t>QB/T</w:t>
            </w: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u w:val="single"/>
              </w:rPr>
              <w:t>3826-1999</w:t>
            </w:r>
            <w:bookmarkEnd w:id="35"/>
            <w:bookmarkEnd w:id="36"/>
            <w:r>
              <w:rPr>
                <w:rFonts w:hint="eastAsia" w:ascii="仿宋_GB2312" w:hAnsi="仿宋_GB2312" w:eastAsia="仿宋_GB2312" w:cs="仿宋_GB2312"/>
                <w:color w:val="auto"/>
                <w:kern w:val="0"/>
                <w:sz w:val="24"/>
                <w:szCs w:val="24"/>
                <w:u w:val="single"/>
              </w:rPr>
              <w:t>《轻工产品金属镀层和化学处理层的耐腐蚀试验方法 中性盐雾试验(NSS)法》、QB/T 3832-1999《轻工产品金属镀层腐蚀试验结果的评价》要求</w:t>
            </w:r>
            <w:r>
              <w:rPr>
                <w:rFonts w:hint="eastAsia" w:ascii="仿宋_GB2312" w:hAnsi="仿宋_GB2312" w:eastAsia="仿宋_GB2312" w:cs="仿宋_GB2312"/>
                <w:color w:val="auto"/>
                <w:kern w:val="0"/>
                <w:sz w:val="24"/>
                <w:szCs w:val="24"/>
                <w:u w:val="single"/>
                <w:lang w:eastAsia="zh-CN"/>
              </w:rPr>
              <w:t>，</w:t>
            </w:r>
          </w:p>
          <w:p w14:paraId="0E1C80DC">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u w:val="single"/>
                <w:lang w:val="en-US" w:eastAsia="zh-CN"/>
              </w:rPr>
              <w:t>其中：</w:t>
            </w:r>
            <w:r>
              <w:rPr>
                <w:rFonts w:hint="eastAsia" w:ascii="仿宋_GB2312" w:hAnsi="仿宋_GB2312" w:eastAsia="仿宋_GB2312" w:cs="仿宋_GB2312"/>
                <w:color w:val="auto"/>
                <w:kern w:val="0"/>
                <w:sz w:val="24"/>
                <w:szCs w:val="24"/>
                <w:u w:val="single"/>
              </w:rPr>
              <w:t>化学成分(%)（C≤0.20、Si≤0.35、Mn≤1.40、P≤0.045、S≤0.045）</w:t>
            </w:r>
            <w:r>
              <w:rPr>
                <w:rFonts w:hint="eastAsia" w:ascii="仿宋_GB2312" w:hAnsi="仿宋_GB2312" w:eastAsia="仿宋_GB2312" w:cs="仿宋_GB2312"/>
                <w:color w:val="auto"/>
                <w:kern w:val="0"/>
                <w:sz w:val="24"/>
                <w:szCs w:val="24"/>
                <w:u w:val="single"/>
                <w:lang w:eastAsia="zh-CN"/>
              </w:rPr>
              <w:t>；</w:t>
            </w:r>
            <w:r>
              <w:rPr>
                <w:rFonts w:hint="eastAsia" w:ascii="仿宋_GB2312" w:hAnsi="仿宋_GB2312" w:eastAsia="仿宋_GB2312" w:cs="仿宋_GB2312"/>
                <w:color w:val="auto"/>
                <w:kern w:val="0"/>
                <w:sz w:val="24"/>
                <w:szCs w:val="24"/>
                <w:u w:val="single"/>
              </w:rPr>
              <w:t>力学性能（</w:t>
            </w:r>
            <w:r>
              <w:rPr>
                <w:rFonts w:hint="eastAsia" w:ascii="仿宋_GB2312" w:hAnsi="仿宋_GB2312" w:eastAsia="仿宋_GB2312" w:cs="仿宋_GB2312"/>
                <w:color w:val="auto"/>
                <w:kern w:val="0"/>
                <w:sz w:val="24"/>
                <w:szCs w:val="24"/>
                <w:u w:val="single"/>
                <w:lang w:val="en-US" w:eastAsia="zh-CN"/>
              </w:rPr>
              <w:t>屈服</w:t>
            </w:r>
            <w:r>
              <w:rPr>
                <w:rFonts w:hint="eastAsia" w:ascii="仿宋_GB2312" w:hAnsi="仿宋_GB2312" w:eastAsia="仿宋_GB2312" w:cs="仿宋_GB2312"/>
                <w:color w:val="auto"/>
                <w:kern w:val="0"/>
                <w:sz w:val="24"/>
                <w:szCs w:val="24"/>
                <w:u w:val="single"/>
              </w:rPr>
              <w:t>强度≥235N/m㎡、抗拉强度为370-500 N/m㎡、断后伸长率≥26%）</w:t>
            </w:r>
            <w:r>
              <w:rPr>
                <w:rFonts w:hint="eastAsia" w:ascii="仿宋_GB2312" w:hAnsi="仿宋_GB2312" w:eastAsia="仿宋_GB2312" w:cs="仿宋_GB2312"/>
                <w:color w:val="auto"/>
                <w:kern w:val="0"/>
                <w:sz w:val="24"/>
                <w:szCs w:val="24"/>
                <w:u w:val="single"/>
                <w:lang w:eastAsia="zh-CN"/>
              </w:rPr>
              <w:t>；</w:t>
            </w:r>
            <w:r>
              <w:rPr>
                <w:rFonts w:hint="eastAsia" w:ascii="仿宋_GB2312" w:hAnsi="仿宋_GB2312" w:eastAsia="仿宋_GB2312" w:cs="仿宋_GB2312"/>
                <w:color w:val="auto"/>
                <w:kern w:val="0"/>
                <w:sz w:val="24"/>
                <w:szCs w:val="24"/>
                <w:u w:val="single"/>
              </w:rPr>
              <w:t>经过不少于12</w:t>
            </w:r>
            <w:r>
              <w:rPr>
                <w:rFonts w:hint="eastAsia" w:ascii="仿宋_GB2312" w:hAnsi="仿宋_GB2312" w:eastAsia="仿宋_GB2312" w:cs="仿宋_GB2312"/>
                <w:color w:val="auto"/>
                <w:kern w:val="0"/>
                <w:sz w:val="24"/>
                <w:szCs w:val="24"/>
                <w:u w:val="single"/>
                <w:lang w:val="en-US" w:eastAsia="zh-CN"/>
              </w:rPr>
              <w:t>0</w:t>
            </w:r>
            <w:r>
              <w:rPr>
                <w:rFonts w:hint="eastAsia" w:ascii="仿宋_GB2312" w:hAnsi="仿宋_GB2312" w:eastAsia="仿宋_GB2312" w:cs="仿宋_GB2312"/>
                <w:color w:val="auto"/>
                <w:kern w:val="0"/>
                <w:sz w:val="24"/>
                <w:szCs w:val="24"/>
                <w:u w:val="single"/>
              </w:rPr>
              <w:t>h试验，</w:t>
            </w:r>
            <w:r>
              <w:rPr>
                <w:rFonts w:hint="eastAsia" w:ascii="仿宋_GB2312" w:hAnsi="仿宋_GB2312" w:eastAsia="仿宋_GB2312" w:cs="仿宋_GB2312"/>
                <w:color w:val="auto"/>
                <w:kern w:val="0"/>
                <w:sz w:val="24"/>
                <w:szCs w:val="24"/>
                <w:u w:val="single"/>
                <w:lang w:val="en-US" w:eastAsia="zh-CN"/>
              </w:rPr>
              <w:t>耐腐蚀等级</w:t>
            </w:r>
            <w:r>
              <w:rPr>
                <w:rFonts w:hint="eastAsia" w:ascii="仿宋_GB2312" w:hAnsi="仿宋_GB2312" w:eastAsia="仿宋_GB2312" w:cs="仿宋_GB2312"/>
                <w:color w:val="auto"/>
                <w:kern w:val="0"/>
                <w:sz w:val="24"/>
                <w:szCs w:val="24"/>
                <w:u w:val="single"/>
              </w:rPr>
              <w:t>达到</w:t>
            </w:r>
            <w:r>
              <w:rPr>
                <w:rFonts w:hint="eastAsia" w:ascii="仿宋_GB2312" w:hAnsi="仿宋_GB2312" w:eastAsia="仿宋_GB2312" w:cs="仿宋_GB2312"/>
                <w:color w:val="auto"/>
                <w:kern w:val="0"/>
                <w:sz w:val="24"/>
                <w:szCs w:val="24"/>
                <w:u w:val="single"/>
                <w:lang w:val="en-US" w:eastAsia="zh-CN"/>
              </w:rPr>
              <w:t>9</w:t>
            </w:r>
            <w:r>
              <w:rPr>
                <w:rFonts w:hint="eastAsia" w:ascii="仿宋_GB2312" w:hAnsi="仿宋_GB2312" w:eastAsia="仿宋_GB2312" w:cs="仿宋_GB2312"/>
                <w:color w:val="auto"/>
                <w:kern w:val="0"/>
                <w:sz w:val="24"/>
                <w:szCs w:val="24"/>
                <w:u w:val="single"/>
              </w:rPr>
              <w:t>级</w:t>
            </w:r>
            <w:r>
              <w:rPr>
                <w:rFonts w:hint="eastAsia" w:ascii="仿宋_GB2312" w:hAnsi="仿宋_GB2312" w:eastAsia="仿宋_GB2312" w:cs="仿宋_GB2312"/>
                <w:color w:val="auto"/>
                <w:kern w:val="0"/>
                <w:sz w:val="24"/>
                <w:szCs w:val="24"/>
                <w:u w:val="single"/>
                <w:lang w:val="en-US" w:eastAsia="zh-CN"/>
              </w:rPr>
              <w:t>以上</w:t>
            </w:r>
            <w:r>
              <w:rPr>
                <w:rFonts w:hint="eastAsia" w:ascii="仿宋_GB2312" w:hAnsi="仿宋_GB2312" w:eastAsia="仿宋_GB2312" w:cs="仿宋_GB2312"/>
                <w:color w:val="auto"/>
                <w:kern w:val="0"/>
                <w:sz w:val="24"/>
                <w:szCs w:val="24"/>
                <w:u w:val="single"/>
              </w:rPr>
              <w:t>。</w:t>
            </w:r>
          </w:p>
          <w:p w14:paraId="57163D61">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（四）课桌书篮</w:t>
            </w:r>
          </w:p>
          <w:p w14:paraId="6A9DBE80">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kern w:val="0"/>
                <w:sz w:val="24"/>
                <w:szCs w:val="24"/>
              </w:rPr>
              <w:t>规格为不小于490mm×180mm×180mm（±5mm），采用厚度不小于0.7mm的冷轧钢板冲压而成。</w:t>
            </w:r>
          </w:p>
          <w:p w14:paraId="00CC7CA9">
            <w:pPr>
              <w:keepNext w:val="0"/>
              <w:keepLines w:val="0"/>
              <w:pageBreakBefore w:val="0"/>
              <w:widowControl/>
              <w:suppressAutoHyphens/>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 xml:space="preserve">    （五）桌架</w:t>
            </w:r>
          </w:p>
          <w:p w14:paraId="58AE7CF9">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采用单柱升降课桌。</w:t>
            </w:r>
          </w:p>
          <w:p w14:paraId="2B6DC984">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★1.课桌脚底部横杆采用不小于60mm×30mm冷轧钢椭圆管，管壁厚度不小于1.2mm。横杆离地高度不小于150mm。</w:t>
            </w:r>
          </w:p>
          <w:p w14:paraId="5ACA22D9">
            <w:pPr>
              <w:keepNext w:val="0"/>
              <w:keepLines w:val="0"/>
              <w:pageBreakBefore w:val="0"/>
              <w:widowControl/>
              <w:numPr>
                <w:ilvl w:val="0"/>
                <w:numId w:val="0"/>
              </w:numPr>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立柱采用不小于60mm×30mm冷轧钢椭圆管</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管壁厚度不小于1.2mm</w:t>
            </w:r>
            <w:r>
              <w:rPr>
                <w:rFonts w:hint="eastAsia" w:ascii="仿宋_GB2312" w:hAnsi="仿宋_GB2312" w:eastAsia="仿宋_GB2312" w:cs="仿宋_GB2312"/>
                <w:color w:val="auto"/>
                <w:kern w:val="0"/>
                <w:sz w:val="24"/>
                <w:szCs w:val="24"/>
                <w:lang w:eastAsia="zh-CN"/>
              </w:rPr>
              <w:t>。</w:t>
            </w:r>
          </w:p>
          <w:p w14:paraId="5681BC91">
            <w:pPr>
              <w:keepNext w:val="0"/>
              <w:keepLines w:val="0"/>
              <w:pageBreakBefore w:val="0"/>
              <w:widowControl/>
              <w:numPr>
                <w:ilvl w:val="0"/>
                <w:numId w:val="0"/>
              </w:numPr>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u w:val="single"/>
              </w:rPr>
              <w:t>钢管符合GB/T 3094-2012《冷拔异型钢管》</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rPr>
              <w:t>QB/T3826-1999《轻工产品金属镀层和化学处理层的耐腐蚀试验方法 中性盐雾试验(NSS)法》、QB/T 3832-1999《轻工产品金属镀层腐蚀试验结果的评价》要求</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lang w:val="en-US" w:eastAsia="zh-CN"/>
              </w:rPr>
              <w:t>其中：</w:t>
            </w:r>
          </w:p>
          <w:p w14:paraId="2066C641">
            <w:pPr>
              <w:keepNext w:val="0"/>
              <w:keepLines w:val="0"/>
              <w:pageBreakBefore w:val="0"/>
              <w:widowControl/>
              <w:numPr>
                <w:ilvl w:val="0"/>
                <w:numId w:val="0"/>
              </w:numPr>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化学成分(%)（C≤0.20、Si≤0.35、Mn≤1.40、P≤0.045、S≤0.045），力学性能（</w:t>
            </w:r>
            <w:r>
              <w:rPr>
                <w:rFonts w:hint="eastAsia" w:ascii="仿宋_GB2312" w:hAnsi="仿宋_GB2312" w:eastAsia="仿宋_GB2312" w:cs="仿宋_GB2312"/>
                <w:color w:val="auto"/>
                <w:sz w:val="24"/>
                <w:szCs w:val="24"/>
                <w:u w:val="single"/>
                <w:lang w:val="en-US" w:eastAsia="zh-CN"/>
              </w:rPr>
              <w:t>下</w:t>
            </w:r>
            <w:r>
              <w:rPr>
                <w:rFonts w:hint="eastAsia" w:ascii="仿宋_GB2312" w:hAnsi="仿宋_GB2312" w:eastAsia="仿宋_GB2312" w:cs="仿宋_GB2312"/>
                <w:color w:val="auto"/>
                <w:sz w:val="24"/>
                <w:szCs w:val="24"/>
                <w:u w:val="single"/>
              </w:rPr>
              <w:t>屈服强度≥235N/m㎡、抗拉强度为370-500 N/m㎡、断后伸长率≥2</w:t>
            </w:r>
            <w:r>
              <w:rPr>
                <w:rFonts w:hint="eastAsia" w:ascii="仿宋_GB2312" w:hAnsi="仿宋_GB2312" w:eastAsia="仿宋_GB2312" w:cs="仿宋_GB2312"/>
                <w:color w:val="auto"/>
                <w:sz w:val="24"/>
                <w:szCs w:val="24"/>
                <w:u w:val="single"/>
                <w:lang w:val="en-US" w:eastAsia="zh-CN"/>
              </w:rPr>
              <w:t>5</w:t>
            </w:r>
            <w:r>
              <w:rPr>
                <w:rFonts w:hint="eastAsia" w:ascii="仿宋_GB2312" w:hAnsi="仿宋_GB2312" w:eastAsia="仿宋_GB2312" w:cs="仿宋_GB2312"/>
                <w:color w:val="auto"/>
                <w:sz w:val="24"/>
                <w:szCs w:val="24"/>
                <w:u w:val="single"/>
              </w:rPr>
              <w:t>%）。</w:t>
            </w:r>
            <w:r>
              <w:rPr>
                <w:rFonts w:hint="eastAsia" w:ascii="仿宋_GB2312" w:hAnsi="仿宋_GB2312" w:eastAsia="仿宋_GB2312" w:cs="仿宋_GB2312"/>
                <w:color w:val="auto"/>
                <w:kern w:val="0"/>
                <w:sz w:val="24"/>
                <w:szCs w:val="24"/>
                <w:u w:val="single"/>
              </w:rPr>
              <w:t>经过不少于12</w:t>
            </w:r>
            <w:r>
              <w:rPr>
                <w:rFonts w:hint="eastAsia" w:ascii="仿宋_GB2312" w:hAnsi="仿宋_GB2312" w:eastAsia="仿宋_GB2312" w:cs="仿宋_GB2312"/>
                <w:color w:val="auto"/>
                <w:kern w:val="0"/>
                <w:sz w:val="24"/>
                <w:szCs w:val="24"/>
                <w:u w:val="single"/>
                <w:lang w:val="en-US" w:eastAsia="zh-CN"/>
              </w:rPr>
              <w:t>0</w:t>
            </w:r>
            <w:r>
              <w:rPr>
                <w:rFonts w:hint="eastAsia" w:ascii="仿宋_GB2312" w:hAnsi="仿宋_GB2312" w:eastAsia="仿宋_GB2312" w:cs="仿宋_GB2312"/>
                <w:color w:val="auto"/>
                <w:kern w:val="0"/>
                <w:sz w:val="24"/>
                <w:szCs w:val="24"/>
                <w:u w:val="single"/>
              </w:rPr>
              <w:t>h试验，</w:t>
            </w:r>
            <w:r>
              <w:rPr>
                <w:rFonts w:hint="eastAsia" w:ascii="仿宋_GB2312" w:hAnsi="仿宋_GB2312" w:eastAsia="仿宋_GB2312" w:cs="仿宋_GB2312"/>
                <w:color w:val="auto"/>
                <w:kern w:val="0"/>
                <w:sz w:val="24"/>
                <w:szCs w:val="24"/>
                <w:u w:val="single"/>
                <w:lang w:val="en-US" w:eastAsia="zh-CN"/>
              </w:rPr>
              <w:t>耐腐蚀等级</w:t>
            </w:r>
            <w:r>
              <w:rPr>
                <w:rFonts w:hint="eastAsia" w:ascii="仿宋_GB2312" w:hAnsi="仿宋_GB2312" w:eastAsia="仿宋_GB2312" w:cs="仿宋_GB2312"/>
                <w:color w:val="auto"/>
                <w:kern w:val="0"/>
                <w:sz w:val="24"/>
                <w:szCs w:val="24"/>
                <w:u w:val="single"/>
              </w:rPr>
              <w:t>达到</w:t>
            </w:r>
            <w:r>
              <w:rPr>
                <w:rFonts w:hint="eastAsia" w:ascii="仿宋_GB2312" w:hAnsi="仿宋_GB2312" w:eastAsia="仿宋_GB2312" w:cs="仿宋_GB2312"/>
                <w:color w:val="auto"/>
                <w:kern w:val="0"/>
                <w:sz w:val="24"/>
                <w:szCs w:val="24"/>
                <w:u w:val="single"/>
                <w:lang w:val="en-US" w:eastAsia="zh-CN"/>
              </w:rPr>
              <w:t>9</w:t>
            </w:r>
            <w:r>
              <w:rPr>
                <w:rFonts w:hint="eastAsia" w:ascii="仿宋_GB2312" w:hAnsi="仿宋_GB2312" w:eastAsia="仿宋_GB2312" w:cs="仿宋_GB2312"/>
                <w:color w:val="auto"/>
                <w:kern w:val="0"/>
                <w:sz w:val="24"/>
                <w:szCs w:val="24"/>
                <w:u w:val="single"/>
              </w:rPr>
              <w:t>级</w:t>
            </w:r>
            <w:r>
              <w:rPr>
                <w:rFonts w:hint="eastAsia" w:ascii="仿宋_GB2312" w:hAnsi="仿宋_GB2312" w:eastAsia="仿宋_GB2312" w:cs="仿宋_GB2312"/>
                <w:color w:val="auto"/>
                <w:kern w:val="0"/>
                <w:sz w:val="24"/>
                <w:szCs w:val="24"/>
                <w:u w:val="single"/>
                <w:lang w:val="en-US" w:eastAsia="zh-CN"/>
              </w:rPr>
              <w:t>以上</w:t>
            </w:r>
            <w:r>
              <w:rPr>
                <w:rFonts w:hint="eastAsia" w:ascii="仿宋_GB2312" w:hAnsi="仿宋_GB2312" w:eastAsia="仿宋_GB2312" w:cs="仿宋_GB2312"/>
                <w:color w:val="auto"/>
                <w:kern w:val="0"/>
                <w:sz w:val="24"/>
                <w:szCs w:val="24"/>
                <w:u w:val="single"/>
              </w:rPr>
              <w:t>。</w:t>
            </w:r>
          </w:p>
          <w:p w14:paraId="7BCCC423">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kern w:val="0"/>
                <w:sz w:val="24"/>
                <w:szCs w:val="24"/>
              </w:rPr>
              <w:t>调节柱采用不小于50mm×25mm冷轧钢椭圆管，管壁厚度不小于1.2mm。</w:t>
            </w:r>
          </w:p>
          <w:p w14:paraId="7EFBBB3F">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b/>
                <w:bCs/>
                <w:color w:val="auto"/>
                <w:kern w:val="0"/>
                <w:sz w:val="24"/>
                <w:szCs w:val="24"/>
              </w:rPr>
              <w:t>（六）脚套</w:t>
            </w:r>
          </w:p>
          <w:p w14:paraId="29B25D1A">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课桌脚套采用优质PVC软塑料制作，能有效防脱落；</w:t>
            </w:r>
          </w:p>
          <w:p w14:paraId="4967ED2F">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kern w:val="0"/>
                <w:sz w:val="24"/>
                <w:szCs w:val="24"/>
                <w:u w:val="single"/>
              </w:rPr>
              <w:t>脚套符合GB 28481-2012《塑料家具中有害物质限量》要求</w:t>
            </w:r>
            <w:r>
              <w:rPr>
                <w:rFonts w:hint="eastAsia" w:ascii="仿宋_GB2312" w:hAnsi="仿宋_GB2312" w:eastAsia="仿宋_GB2312" w:cs="仿宋_GB2312"/>
                <w:color w:val="auto"/>
                <w:kern w:val="0"/>
                <w:sz w:val="24"/>
                <w:szCs w:val="24"/>
                <w:u w:val="single"/>
                <w:lang w:eastAsia="zh-CN"/>
              </w:rPr>
              <w:t>，</w:t>
            </w:r>
            <w:r>
              <w:rPr>
                <w:rFonts w:hint="eastAsia" w:ascii="仿宋_GB2312" w:hAnsi="仿宋_GB2312" w:eastAsia="仿宋_GB2312" w:cs="仿宋_GB2312"/>
                <w:color w:val="auto"/>
                <w:kern w:val="0"/>
                <w:sz w:val="24"/>
                <w:szCs w:val="24"/>
                <w:u w:val="single"/>
                <w:lang w:val="en-US" w:eastAsia="zh-CN"/>
              </w:rPr>
              <w:t>其中</w:t>
            </w:r>
            <w:r>
              <w:rPr>
                <w:rFonts w:hint="eastAsia" w:ascii="仿宋_GB2312" w:hAnsi="仿宋_GB2312" w:eastAsia="仿宋_GB2312" w:cs="仿宋_GB2312"/>
                <w:color w:val="auto"/>
                <w:kern w:val="0"/>
                <w:sz w:val="24"/>
                <w:szCs w:val="24"/>
                <w:u w:val="single"/>
              </w:rPr>
              <w:t>：</w:t>
            </w:r>
          </w:p>
          <w:p w14:paraId="2E7AE554">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u w:val="single"/>
              </w:rPr>
              <w:t>重金属可溶性铅≤90mg/kg、可溶性镉≤75mg/kg、可溶性汞≤60mg/kg、可溶性铬≤60mg/kg、多溴联苯（PBB）≤1000mg/kg、多溴二苯醚（PBDE）≤1000mg/kg、邻苯二甲酸-2-乙基己基酯（DEHP）≤0.1%、邻苯二甲酸丁基苄酯（BBP）≤0.1%、邻苯二甲酸二丁酯（DBP）≤0.1%、邻苯二甲酸二正辛酯（DNOP）≤0.1%、邻苯二甲酸二异壬酯（DINP）≤0.1%、邻苯二甲酸二异癸酯（DIDP）≤0.1%、苯并</w:t>
            </w:r>
            <w:r>
              <w:rPr>
                <w:rFonts w:hint="eastAsia" w:ascii="仿宋_GB2312" w:hAnsi="仿宋_GB2312" w:eastAsia="仿宋_GB2312" w:cs="仿宋_GB2312"/>
                <w:color w:val="auto"/>
                <w:kern w:val="0"/>
                <w:sz w:val="24"/>
                <w:szCs w:val="24"/>
                <w:u w:val="single"/>
                <w:lang w:val="en-US" w:eastAsia="zh-CN"/>
              </w:rPr>
              <w:t>[</w:t>
            </w:r>
            <w:r>
              <w:rPr>
                <w:rFonts w:hint="eastAsia" w:ascii="仿宋_GB2312" w:hAnsi="仿宋_GB2312" w:eastAsia="仿宋_GB2312" w:cs="仿宋_GB2312"/>
                <w:color w:val="auto"/>
                <w:kern w:val="0"/>
                <w:sz w:val="24"/>
                <w:szCs w:val="24"/>
                <w:u w:val="single"/>
              </w:rPr>
              <w:t>a</w:t>
            </w:r>
            <w:r>
              <w:rPr>
                <w:rFonts w:hint="eastAsia" w:ascii="仿宋_GB2312" w:hAnsi="仿宋_GB2312" w:eastAsia="仿宋_GB2312" w:cs="仿宋_GB2312"/>
                <w:color w:val="auto"/>
                <w:kern w:val="0"/>
                <w:sz w:val="24"/>
                <w:szCs w:val="24"/>
                <w:u w:val="single"/>
                <w:lang w:val="en-US" w:eastAsia="zh-CN"/>
              </w:rPr>
              <w:t>]</w:t>
            </w:r>
            <w:r>
              <w:rPr>
                <w:rFonts w:hint="eastAsia" w:ascii="仿宋_GB2312" w:hAnsi="仿宋_GB2312" w:eastAsia="仿宋_GB2312" w:cs="仿宋_GB2312"/>
                <w:color w:val="auto"/>
                <w:kern w:val="0"/>
                <w:sz w:val="24"/>
                <w:szCs w:val="24"/>
                <w:u w:val="single"/>
              </w:rPr>
              <w:t>芘≤</w:t>
            </w:r>
            <w:r>
              <w:rPr>
                <w:rFonts w:hint="eastAsia" w:ascii="仿宋_GB2312" w:hAnsi="仿宋_GB2312" w:eastAsia="仿宋_GB2312" w:cs="仿宋_GB2312"/>
                <w:color w:val="auto"/>
                <w:kern w:val="0"/>
                <w:sz w:val="24"/>
                <w:szCs w:val="24"/>
                <w:u w:val="single"/>
                <w:lang w:val="en-US" w:eastAsia="zh-CN"/>
              </w:rPr>
              <w:t>1.0</w:t>
            </w:r>
            <w:r>
              <w:rPr>
                <w:rFonts w:hint="eastAsia" w:ascii="仿宋_GB2312" w:hAnsi="仿宋_GB2312" w:eastAsia="仿宋_GB2312" w:cs="仿宋_GB2312"/>
                <w:color w:val="auto"/>
                <w:kern w:val="0"/>
                <w:sz w:val="24"/>
                <w:szCs w:val="24"/>
                <w:u w:val="single"/>
              </w:rPr>
              <w:t>mg/kg、16种多环芳烃（PAH）总量≤10mg/kg。</w:t>
            </w:r>
          </w:p>
          <w:p w14:paraId="0B5A661A">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（七）书包挂钩</w:t>
            </w:r>
          </w:p>
          <w:p w14:paraId="21429266">
            <w:pPr>
              <w:keepNext w:val="0"/>
              <w:keepLines w:val="0"/>
              <w:pageBreakBefore w:val="0"/>
              <w:suppressAutoHyphens/>
              <w:kinsoku/>
              <w:wordWrap/>
              <w:overflowPunct/>
              <w:topLinePunct w:val="0"/>
              <w:autoSpaceDE/>
              <w:autoSpaceDN/>
              <w:bidi w:val="0"/>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在桌面的左右下方，在钢制支撑架上，须焊接设置左右两个实心钢制书包挂钩，承重强且耐用。</w:t>
            </w:r>
          </w:p>
          <w:p w14:paraId="1A818D4C">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（八）重量</w:t>
            </w:r>
          </w:p>
          <w:p w14:paraId="0810029A">
            <w:pPr>
              <w:keepNext w:val="0"/>
              <w:keepLines w:val="0"/>
              <w:pageBreakBefore w:val="0"/>
              <w:suppressAutoHyphens/>
              <w:kinsoku/>
              <w:wordWrap/>
              <w:overflowPunct/>
              <w:topLinePunct w:val="0"/>
              <w:autoSpaceDE/>
              <w:autoSpaceDN/>
              <w:bidi w:val="0"/>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整张桌子净重不小于9.0公斤。</w:t>
            </w:r>
          </w:p>
          <w:p w14:paraId="7CAD80E5">
            <w:pPr>
              <w:keepNext w:val="0"/>
              <w:keepLines w:val="0"/>
              <w:pageBreakBefore w:val="0"/>
              <w:suppressAutoHyphens/>
              <w:kinsoku/>
              <w:wordWrap/>
              <w:overflowPunct/>
              <w:topLinePunct w:val="0"/>
              <w:autoSpaceDE/>
              <w:autoSpaceDN/>
              <w:bidi w:val="0"/>
              <w:adjustRightInd/>
              <w:snapToGrid/>
              <w:spacing w:line="400" w:lineRule="exact"/>
              <w:ind w:firstLine="482"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（九）固定</w:t>
            </w:r>
          </w:p>
          <w:p w14:paraId="1589AA1E">
            <w:pPr>
              <w:keepNext w:val="0"/>
              <w:keepLines w:val="0"/>
              <w:pageBreakBefore w:val="0"/>
              <w:suppressAutoHyphens/>
              <w:kinsoku/>
              <w:wordWrap/>
              <w:overflowPunct/>
              <w:topLinePunct w:val="0"/>
              <w:autoSpaceDE/>
              <w:autoSpaceDN/>
              <w:bidi w:val="0"/>
              <w:adjustRightInd/>
              <w:snapToGrid/>
              <w:spacing w:line="400" w:lineRule="exact"/>
              <w:ind w:firstLine="480"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桌脚架每边立柱采用两颗M8</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sz w:val="24"/>
                <w:szCs w:val="24"/>
              </w:rPr>
              <w:t>15内六角螺栓进行固定。</w:t>
            </w:r>
          </w:p>
          <w:p w14:paraId="253301B9">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二、学生课椅：</w:t>
            </w:r>
          </w:p>
          <w:p w14:paraId="0448B77A">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color w:val="auto"/>
                <w:kern w:val="0"/>
                <w:sz w:val="24"/>
                <w:szCs w:val="24"/>
              </w:rPr>
            </w:pPr>
            <w:r>
              <w:rPr>
                <w:rFonts w:ascii="仿宋_GB2312" w:eastAsia="仿宋_GB2312"/>
                <w:b/>
                <w:bCs/>
                <w:color w:val="auto"/>
                <w:sz w:val="24"/>
              </w:rPr>
              <w:t>★</w:t>
            </w:r>
            <w:r>
              <w:rPr>
                <w:rFonts w:hint="eastAsia" w:ascii="仿宋_GB2312" w:hAnsi="仿宋_GB2312" w:eastAsia="仿宋_GB2312" w:cs="仿宋_GB2312"/>
                <w:b/>
                <w:bCs/>
                <w:color w:val="auto"/>
                <w:kern w:val="0"/>
                <w:sz w:val="24"/>
                <w:szCs w:val="24"/>
              </w:rPr>
              <w:t>（一）课椅整体尺寸</w:t>
            </w:r>
            <w:r>
              <w:rPr>
                <w:rFonts w:hint="eastAsia" w:ascii="仿宋_GB2312" w:hAnsi="仿宋_GB2312" w:eastAsia="仿宋_GB2312" w:cs="仿宋_GB2312"/>
                <w:color w:val="auto"/>
                <w:kern w:val="0"/>
                <w:sz w:val="24"/>
                <w:szCs w:val="24"/>
              </w:rPr>
              <w:t>：</w:t>
            </w:r>
          </w:p>
          <w:p w14:paraId="45E6B9B2">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椅座板尺寸：（长×宽）415mm×380mm（±5mm）；椅靠背面尺寸：（长×宽）415mm×360mm（±5mm）。可在400mm、420mm、440mm、460mm</w:t>
            </w:r>
            <w:r>
              <w:rPr>
                <w:rFonts w:hint="eastAsia" w:ascii="仿宋_GB2312" w:hAnsi="仿宋_GB2312" w:eastAsia="仿宋_GB2312" w:cs="仿宋_GB2312"/>
                <w:color w:val="auto"/>
                <w:kern w:val="0"/>
                <w:sz w:val="24"/>
                <w:szCs w:val="24"/>
                <w:lang w:val="en-US" w:eastAsia="zh-CN"/>
              </w:rPr>
              <w:t>四种</w:t>
            </w:r>
            <w:r>
              <w:rPr>
                <w:rFonts w:hint="eastAsia" w:ascii="仿宋_GB2312" w:hAnsi="仿宋_GB2312" w:eastAsia="仿宋_GB2312" w:cs="仿宋_GB2312"/>
                <w:color w:val="auto"/>
                <w:kern w:val="0"/>
                <w:sz w:val="24"/>
                <w:szCs w:val="24"/>
              </w:rPr>
              <w:t>高度进行升降调整，允许误差±5mm。</w:t>
            </w:r>
          </w:p>
          <w:p w14:paraId="30BF57B0">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（二）座椅座板、靠板</w:t>
            </w:r>
          </w:p>
          <w:p w14:paraId="21DF6DE4">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采用原材料为</w:t>
            </w:r>
            <w:r>
              <w:rPr>
                <w:rFonts w:hint="eastAsia" w:ascii="仿宋_GB2312" w:hAnsi="仿宋_GB2312" w:eastAsia="仿宋_GB2312" w:cs="仿宋_GB2312"/>
                <w:bCs/>
                <w:color w:val="auto"/>
                <w:kern w:val="0"/>
                <w:sz w:val="24"/>
                <w:szCs w:val="24"/>
              </w:rPr>
              <w:t>全新ABS塑料注塑一体成型</w:t>
            </w:r>
            <w:r>
              <w:rPr>
                <w:rFonts w:hint="eastAsia" w:ascii="仿宋_GB2312" w:hAnsi="仿宋_GB2312" w:eastAsia="仿宋_GB2312" w:cs="仿宋_GB2312"/>
                <w:color w:val="auto"/>
                <w:kern w:val="0"/>
                <w:sz w:val="24"/>
                <w:szCs w:val="24"/>
              </w:rPr>
              <w:t>，并有散热孔。</w:t>
            </w:r>
          </w:p>
          <w:p w14:paraId="2C710622">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u w:val="single"/>
              </w:rPr>
              <w:t>课椅座面板、靠背面板符合GB/T 32487-2016《塑料家具通用技术条件》、GB 28481-2012 《塑料家具中有害物质限量》要求</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lang w:val="en-US" w:eastAsia="zh-CN"/>
              </w:rPr>
              <w:t>其中：</w:t>
            </w:r>
          </w:p>
          <w:p w14:paraId="31CB381E">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u w:val="single"/>
              </w:rPr>
              <w:t>耐老化性(室内用：500h)(冲击强度的保持率≥60%、外观颜色变色评级≥3级)，冲击强度≥10J/㎡，塑料件外观应无明显色差，耐冷热循环应无裂纹、鼓泡、变色、起皱，邵氏D硬度≥HD63。重金属可溶性铅≤90mg/kg、可溶性镉≤75mg/kg、可溶性汞≤60mg/kg、可溶性铬≤60mg/kg、多溴联苯（PBB）≤1000mg/kg、多溴二苯醚（PBDE）≤1000mg/kg、邻苯二甲酸-2-乙基己基酯（DEHP）≤0.1%、邻苯二甲酸丁基苄酯（BBP）≤0.1%、邻苯二甲酸二丁酯（DBP）≤0.1%、邻苯二甲酸二正辛酯（DNOP）≤0.1%、邻苯二甲酸二异壬酯（DINP）≤0.1%、邻苯二甲酸二异癸酯（DIDP）≤0.1%、苯并</w:t>
            </w:r>
            <w:r>
              <w:rPr>
                <w:rFonts w:hint="eastAsia" w:ascii="仿宋_GB2312" w:hAnsi="仿宋_GB2312" w:eastAsia="仿宋_GB2312" w:cs="仿宋_GB2312"/>
                <w:color w:val="auto"/>
                <w:kern w:val="0"/>
                <w:sz w:val="24"/>
                <w:szCs w:val="24"/>
                <w:u w:val="single"/>
                <w:lang w:val="en-US" w:eastAsia="zh-CN"/>
              </w:rPr>
              <w:t>[</w:t>
            </w:r>
            <w:r>
              <w:rPr>
                <w:rFonts w:hint="eastAsia" w:ascii="仿宋_GB2312" w:hAnsi="仿宋_GB2312" w:eastAsia="仿宋_GB2312" w:cs="仿宋_GB2312"/>
                <w:color w:val="auto"/>
                <w:kern w:val="0"/>
                <w:sz w:val="24"/>
                <w:szCs w:val="24"/>
                <w:u w:val="single"/>
              </w:rPr>
              <w:t>a</w:t>
            </w:r>
            <w:r>
              <w:rPr>
                <w:rFonts w:hint="eastAsia" w:ascii="仿宋_GB2312" w:hAnsi="仿宋_GB2312" w:eastAsia="仿宋_GB2312" w:cs="仿宋_GB2312"/>
                <w:color w:val="auto"/>
                <w:kern w:val="0"/>
                <w:sz w:val="24"/>
                <w:szCs w:val="24"/>
                <w:u w:val="single"/>
                <w:lang w:val="en-US" w:eastAsia="zh-CN"/>
              </w:rPr>
              <w:t>]</w:t>
            </w:r>
            <w:r>
              <w:rPr>
                <w:rFonts w:hint="eastAsia" w:ascii="仿宋_GB2312" w:hAnsi="仿宋_GB2312" w:eastAsia="仿宋_GB2312" w:cs="仿宋_GB2312"/>
                <w:color w:val="auto"/>
                <w:kern w:val="0"/>
                <w:sz w:val="24"/>
                <w:szCs w:val="24"/>
                <w:u w:val="single"/>
              </w:rPr>
              <w:t>芘≤</w:t>
            </w:r>
            <w:r>
              <w:rPr>
                <w:rFonts w:hint="eastAsia" w:ascii="仿宋_GB2312" w:hAnsi="仿宋_GB2312" w:eastAsia="仿宋_GB2312" w:cs="仿宋_GB2312"/>
                <w:color w:val="auto"/>
                <w:kern w:val="0"/>
                <w:sz w:val="24"/>
                <w:szCs w:val="24"/>
                <w:u w:val="single"/>
                <w:lang w:val="en-US" w:eastAsia="zh-CN"/>
              </w:rPr>
              <w:t>1.0</w:t>
            </w:r>
            <w:r>
              <w:rPr>
                <w:rFonts w:hint="eastAsia" w:ascii="仿宋_GB2312" w:hAnsi="仿宋_GB2312" w:eastAsia="仿宋_GB2312" w:cs="仿宋_GB2312"/>
                <w:color w:val="auto"/>
                <w:kern w:val="0"/>
                <w:sz w:val="24"/>
                <w:szCs w:val="24"/>
                <w:u w:val="single"/>
              </w:rPr>
              <w:t>mg/kg、16种多环芳烃（PAH）总量≤10mg/kg。</w:t>
            </w:r>
          </w:p>
          <w:p w14:paraId="18522279">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（三）椅架</w:t>
            </w:r>
          </w:p>
          <w:p w14:paraId="077F4B48">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采用单柱升降课椅；</w:t>
            </w:r>
          </w:p>
          <w:p w14:paraId="608CA4E2">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★1.课桌脚底部横杆采用不小于60mm×30mm冷轧钢椭圆管，管壁厚度不小于1.2mm</w:t>
            </w:r>
          </w:p>
          <w:p w14:paraId="2B096253">
            <w:pPr>
              <w:keepNext w:val="0"/>
              <w:keepLines w:val="0"/>
              <w:pageBreakBefore w:val="0"/>
              <w:widowControl/>
              <w:numPr>
                <w:ilvl w:val="0"/>
                <w:numId w:val="0"/>
              </w:numPr>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立柱采用不小于60mm×30mm冷轧钢椭圆管</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管壁厚度不小于1.2mm</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钢管符合GB/T 3094-2012《冷拔异型钢管》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QB/T</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3826-1999《轻工产品金属镀层和化学处理层的耐腐蚀试验方法 中性盐雾试验(NSS)法》、QB/T 3832-1999《轻工产品金属镀层腐蚀试验结果的评价》要求</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其中</w:t>
            </w:r>
            <w:r>
              <w:rPr>
                <w:rFonts w:hint="eastAsia" w:ascii="仿宋_GB2312" w:hAnsi="仿宋_GB2312" w:eastAsia="仿宋_GB2312" w:cs="仿宋_GB2312"/>
                <w:color w:val="auto"/>
                <w:sz w:val="24"/>
                <w:szCs w:val="24"/>
              </w:rPr>
              <w:t>：化学成分(%)（C≤0.20、Si≤0.35、Mn≤1.40、P≤0.045、S≤0.045）</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力学性能（</w:t>
            </w:r>
            <w:r>
              <w:rPr>
                <w:rFonts w:hint="eastAsia" w:ascii="仿宋_GB2312" w:hAnsi="仿宋_GB2312" w:eastAsia="仿宋_GB2312" w:cs="仿宋_GB2312"/>
                <w:color w:val="auto"/>
                <w:sz w:val="24"/>
                <w:szCs w:val="24"/>
                <w:lang w:val="en-US" w:eastAsia="zh-CN"/>
              </w:rPr>
              <w:t>下</w:t>
            </w:r>
            <w:r>
              <w:rPr>
                <w:rFonts w:hint="eastAsia" w:ascii="仿宋_GB2312" w:hAnsi="仿宋_GB2312" w:eastAsia="仿宋_GB2312" w:cs="仿宋_GB2312"/>
                <w:color w:val="auto"/>
                <w:sz w:val="24"/>
                <w:szCs w:val="24"/>
              </w:rPr>
              <w:t>屈服强度≥235N/m㎡、抗拉强度为370-500 N/m㎡、断后伸长率≥2</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kern w:val="0"/>
                <w:sz w:val="24"/>
                <w:szCs w:val="24"/>
                <w:u w:val="none"/>
              </w:rPr>
              <w:t>经过不少于12</w:t>
            </w:r>
            <w:r>
              <w:rPr>
                <w:rFonts w:hint="eastAsia" w:ascii="仿宋_GB2312" w:hAnsi="仿宋_GB2312" w:eastAsia="仿宋_GB2312" w:cs="仿宋_GB2312"/>
                <w:color w:val="auto"/>
                <w:kern w:val="0"/>
                <w:sz w:val="24"/>
                <w:szCs w:val="24"/>
                <w:u w:val="none"/>
                <w:lang w:val="en-US" w:eastAsia="zh-CN"/>
              </w:rPr>
              <w:t>0</w:t>
            </w:r>
            <w:r>
              <w:rPr>
                <w:rFonts w:hint="eastAsia" w:ascii="仿宋_GB2312" w:hAnsi="仿宋_GB2312" w:eastAsia="仿宋_GB2312" w:cs="仿宋_GB2312"/>
                <w:color w:val="auto"/>
                <w:kern w:val="0"/>
                <w:sz w:val="24"/>
                <w:szCs w:val="24"/>
                <w:u w:val="none"/>
              </w:rPr>
              <w:t>h试验，</w:t>
            </w:r>
            <w:r>
              <w:rPr>
                <w:rFonts w:hint="eastAsia" w:ascii="仿宋_GB2312" w:hAnsi="仿宋_GB2312" w:eastAsia="仿宋_GB2312" w:cs="仿宋_GB2312"/>
                <w:color w:val="auto"/>
                <w:kern w:val="0"/>
                <w:sz w:val="24"/>
                <w:szCs w:val="24"/>
                <w:u w:val="none"/>
                <w:lang w:val="en-US" w:eastAsia="zh-CN"/>
              </w:rPr>
              <w:t>耐腐蚀等级</w:t>
            </w:r>
            <w:r>
              <w:rPr>
                <w:rFonts w:hint="eastAsia" w:ascii="仿宋_GB2312" w:hAnsi="仿宋_GB2312" w:eastAsia="仿宋_GB2312" w:cs="仿宋_GB2312"/>
                <w:color w:val="auto"/>
                <w:kern w:val="0"/>
                <w:sz w:val="24"/>
                <w:szCs w:val="24"/>
                <w:u w:val="none"/>
              </w:rPr>
              <w:t>达到</w:t>
            </w:r>
            <w:r>
              <w:rPr>
                <w:rFonts w:hint="eastAsia" w:ascii="仿宋_GB2312" w:hAnsi="仿宋_GB2312" w:eastAsia="仿宋_GB2312" w:cs="仿宋_GB2312"/>
                <w:color w:val="auto"/>
                <w:kern w:val="0"/>
                <w:sz w:val="24"/>
                <w:szCs w:val="24"/>
                <w:u w:val="none"/>
                <w:lang w:val="en-US" w:eastAsia="zh-CN"/>
              </w:rPr>
              <w:t>9</w:t>
            </w:r>
            <w:r>
              <w:rPr>
                <w:rFonts w:hint="eastAsia" w:ascii="仿宋_GB2312" w:hAnsi="仿宋_GB2312" w:eastAsia="仿宋_GB2312" w:cs="仿宋_GB2312"/>
                <w:color w:val="auto"/>
                <w:kern w:val="0"/>
                <w:sz w:val="24"/>
                <w:szCs w:val="24"/>
                <w:u w:val="none"/>
              </w:rPr>
              <w:t>级</w:t>
            </w:r>
            <w:r>
              <w:rPr>
                <w:rFonts w:hint="eastAsia" w:ascii="仿宋_GB2312" w:hAnsi="仿宋_GB2312" w:eastAsia="仿宋_GB2312" w:cs="仿宋_GB2312"/>
                <w:color w:val="auto"/>
                <w:kern w:val="0"/>
                <w:sz w:val="24"/>
                <w:szCs w:val="24"/>
                <w:u w:val="none"/>
                <w:lang w:val="en-US" w:eastAsia="zh-CN"/>
              </w:rPr>
              <w:t>以上</w:t>
            </w:r>
            <w:r>
              <w:rPr>
                <w:rFonts w:hint="eastAsia" w:ascii="仿宋_GB2312" w:hAnsi="仿宋_GB2312" w:eastAsia="仿宋_GB2312" w:cs="仿宋_GB2312"/>
                <w:color w:val="auto"/>
                <w:kern w:val="0"/>
                <w:sz w:val="24"/>
                <w:szCs w:val="24"/>
                <w:u w:val="none"/>
              </w:rPr>
              <w:t>。</w:t>
            </w:r>
          </w:p>
          <w:p w14:paraId="67BCBE3E">
            <w:pPr>
              <w:keepNext w:val="0"/>
              <w:keepLines w:val="0"/>
              <w:pageBreakBefore w:val="0"/>
              <w:widowControl/>
              <w:numPr>
                <w:ilvl w:val="0"/>
                <w:numId w:val="0"/>
              </w:numPr>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3.调节柱采用不小于50mm×25mm冷轧钢椭圆管，管壁厚度不小于1.2mm；</w:t>
            </w:r>
          </w:p>
          <w:p w14:paraId="2A293ACB">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4.椅子靠背支架采用约40mm×20mm优质高频焊接冷轧钢椭圆管，管壁厚度不小于1.2mm。</w:t>
            </w:r>
          </w:p>
          <w:p w14:paraId="77427243">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kern w:val="0"/>
                <w:sz w:val="24"/>
                <w:szCs w:val="24"/>
                <w:u w:val="single"/>
              </w:rPr>
              <w:t>钢管符合GB/T 3094-2012《冷拔异型钢管》</w:t>
            </w:r>
            <w:r>
              <w:rPr>
                <w:rFonts w:hint="eastAsia" w:ascii="仿宋_GB2312" w:hAnsi="仿宋_GB2312" w:eastAsia="仿宋_GB2312" w:cs="仿宋_GB2312"/>
                <w:color w:val="auto"/>
                <w:kern w:val="0"/>
                <w:sz w:val="24"/>
                <w:szCs w:val="24"/>
                <w:u w:val="single"/>
                <w:lang w:eastAsia="zh-CN"/>
              </w:rPr>
              <w:t>、</w:t>
            </w:r>
            <w:r>
              <w:rPr>
                <w:rFonts w:hint="eastAsia" w:ascii="仿宋_GB2312" w:hAnsi="仿宋_GB2312" w:eastAsia="仿宋_GB2312" w:cs="仿宋_GB2312"/>
                <w:color w:val="auto"/>
                <w:kern w:val="0"/>
                <w:sz w:val="24"/>
                <w:szCs w:val="24"/>
                <w:u w:val="single"/>
              </w:rPr>
              <w:t>QB/T</w:t>
            </w: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u w:val="single"/>
              </w:rPr>
              <w:t>3826-1999《轻工产品金属镀层和化学处理层的耐腐蚀试验方法 中性盐雾试验(NSS)法》、QB/T 3832-1999《轻工产品金属镀层腐蚀试验结果的评价》要求</w:t>
            </w:r>
            <w:r>
              <w:rPr>
                <w:rFonts w:hint="eastAsia" w:ascii="仿宋_GB2312" w:hAnsi="仿宋_GB2312" w:eastAsia="仿宋_GB2312" w:cs="仿宋_GB2312"/>
                <w:color w:val="auto"/>
                <w:kern w:val="0"/>
                <w:sz w:val="24"/>
                <w:szCs w:val="24"/>
                <w:u w:val="single"/>
                <w:lang w:eastAsia="zh-CN"/>
              </w:rPr>
              <w:t>，</w:t>
            </w:r>
            <w:r>
              <w:rPr>
                <w:rFonts w:hint="eastAsia" w:ascii="仿宋_GB2312" w:hAnsi="仿宋_GB2312" w:eastAsia="仿宋_GB2312" w:cs="仿宋_GB2312"/>
                <w:color w:val="auto"/>
                <w:kern w:val="0"/>
                <w:sz w:val="24"/>
                <w:szCs w:val="24"/>
                <w:u w:val="single"/>
                <w:lang w:val="en-US" w:eastAsia="zh-CN"/>
              </w:rPr>
              <w:t>其中：</w:t>
            </w:r>
          </w:p>
          <w:p w14:paraId="7E49F0CB">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u w:val="single"/>
              </w:rPr>
              <w:t>化学成分(%)（C≤0.20、Si≤0.35、Mn≤1.40、P≤0.045、S≤0.045），力学性能（下屈服强度≥235N/m㎡、抗拉强度为370-500 N/m㎡、断后伸长率≥2</w:t>
            </w:r>
            <w:r>
              <w:rPr>
                <w:rFonts w:hint="eastAsia" w:ascii="仿宋_GB2312" w:hAnsi="仿宋_GB2312" w:eastAsia="仿宋_GB2312" w:cs="仿宋_GB2312"/>
                <w:color w:val="auto"/>
                <w:kern w:val="0"/>
                <w:sz w:val="24"/>
                <w:szCs w:val="24"/>
                <w:u w:val="single"/>
                <w:lang w:val="en-US" w:eastAsia="zh-CN"/>
              </w:rPr>
              <w:t>5</w:t>
            </w:r>
            <w:r>
              <w:rPr>
                <w:rFonts w:hint="eastAsia" w:ascii="仿宋_GB2312" w:hAnsi="仿宋_GB2312" w:eastAsia="仿宋_GB2312" w:cs="仿宋_GB2312"/>
                <w:color w:val="auto"/>
                <w:kern w:val="0"/>
                <w:sz w:val="24"/>
                <w:szCs w:val="24"/>
                <w:u w:val="single"/>
              </w:rPr>
              <w:t>%）。经过不少于12</w:t>
            </w:r>
            <w:r>
              <w:rPr>
                <w:rFonts w:hint="eastAsia" w:ascii="仿宋_GB2312" w:hAnsi="仿宋_GB2312" w:eastAsia="仿宋_GB2312" w:cs="仿宋_GB2312"/>
                <w:color w:val="auto"/>
                <w:kern w:val="0"/>
                <w:sz w:val="24"/>
                <w:szCs w:val="24"/>
                <w:u w:val="single"/>
                <w:lang w:val="en-US" w:eastAsia="zh-CN"/>
              </w:rPr>
              <w:t>0</w:t>
            </w:r>
            <w:r>
              <w:rPr>
                <w:rFonts w:hint="eastAsia" w:ascii="仿宋_GB2312" w:hAnsi="仿宋_GB2312" w:eastAsia="仿宋_GB2312" w:cs="仿宋_GB2312"/>
                <w:color w:val="auto"/>
                <w:kern w:val="0"/>
                <w:sz w:val="24"/>
                <w:szCs w:val="24"/>
                <w:u w:val="single"/>
              </w:rPr>
              <w:t>h试验，</w:t>
            </w:r>
            <w:r>
              <w:rPr>
                <w:rFonts w:hint="eastAsia" w:ascii="仿宋_GB2312" w:hAnsi="仿宋_GB2312" w:eastAsia="仿宋_GB2312" w:cs="仿宋_GB2312"/>
                <w:color w:val="auto"/>
                <w:kern w:val="0"/>
                <w:sz w:val="24"/>
                <w:szCs w:val="24"/>
                <w:u w:val="single"/>
                <w:lang w:val="en-US" w:eastAsia="zh-CN"/>
              </w:rPr>
              <w:t>耐腐蚀等级</w:t>
            </w:r>
            <w:r>
              <w:rPr>
                <w:rFonts w:hint="eastAsia" w:ascii="仿宋_GB2312" w:hAnsi="仿宋_GB2312" w:eastAsia="仿宋_GB2312" w:cs="仿宋_GB2312"/>
                <w:color w:val="auto"/>
                <w:kern w:val="0"/>
                <w:sz w:val="24"/>
                <w:szCs w:val="24"/>
                <w:u w:val="single"/>
              </w:rPr>
              <w:t>达到</w:t>
            </w:r>
            <w:r>
              <w:rPr>
                <w:rFonts w:hint="eastAsia" w:ascii="仿宋_GB2312" w:hAnsi="仿宋_GB2312" w:eastAsia="仿宋_GB2312" w:cs="仿宋_GB2312"/>
                <w:color w:val="auto"/>
                <w:kern w:val="0"/>
                <w:sz w:val="24"/>
                <w:szCs w:val="24"/>
                <w:u w:val="single"/>
                <w:lang w:val="en-US" w:eastAsia="zh-CN"/>
              </w:rPr>
              <w:t>9</w:t>
            </w:r>
            <w:r>
              <w:rPr>
                <w:rFonts w:hint="eastAsia" w:ascii="仿宋_GB2312" w:hAnsi="仿宋_GB2312" w:eastAsia="仿宋_GB2312" w:cs="仿宋_GB2312"/>
                <w:color w:val="auto"/>
                <w:kern w:val="0"/>
                <w:sz w:val="24"/>
                <w:szCs w:val="24"/>
                <w:u w:val="single"/>
              </w:rPr>
              <w:t>级</w:t>
            </w:r>
            <w:r>
              <w:rPr>
                <w:rFonts w:hint="eastAsia" w:ascii="仿宋_GB2312" w:hAnsi="仿宋_GB2312" w:eastAsia="仿宋_GB2312" w:cs="仿宋_GB2312"/>
                <w:color w:val="auto"/>
                <w:kern w:val="0"/>
                <w:sz w:val="24"/>
                <w:szCs w:val="24"/>
                <w:u w:val="single"/>
                <w:lang w:val="en-US" w:eastAsia="zh-CN"/>
              </w:rPr>
              <w:t>以上</w:t>
            </w:r>
            <w:r>
              <w:rPr>
                <w:rFonts w:hint="eastAsia" w:ascii="仿宋_GB2312" w:hAnsi="仿宋_GB2312" w:eastAsia="仿宋_GB2312" w:cs="仿宋_GB2312"/>
                <w:color w:val="auto"/>
                <w:kern w:val="0"/>
                <w:sz w:val="24"/>
                <w:szCs w:val="24"/>
                <w:u w:val="single"/>
              </w:rPr>
              <w:t>。</w:t>
            </w:r>
          </w:p>
          <w:p w14:paraId="063462B8">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（四）脚套</w:t>
            </w:r>
          </w:p>
          <w:p w14:paraId="66622550">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课桌脚套采用优质PVC软塑料制作，能有效防脱落；脚套符合GB28481-2012《塑料家具中有害物质限量》的标准要求：重金属可溶性铅≤90mg/kg、可溶性镉≤75mg/kg、可溶性汞≤60mg/kg、可溶性铬≤60mg/kg、多溴联苯（PBB）≤1000mg/kg、多溴二苯醚（PBDE）≤1000mg/kg、邻苯二甲酸-2-乙基己基酯（DEHP）≤0.1%、邻苯二甲酸丁基苄酯（BBP）≤0.1%、邻苯二甲酸二丁酯（DBP）≤0.1%、邻苯二甲酸二正辛酯（DNOP）≤0.1%、邻苯二甲酸二异壬酯（DINP）≤0.1%、邻苯二甲酸二异癸酯（DIDP）≤0.1%、多环芳烃苯并</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a</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芘≤1.0mg/kg、16种多环芳烃（PAH）总量≤10mg/kg。</w:t>
            </w:r>
          </w:p>
          <w:p w14:paraId="45BC9427">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（五）椅子重量</w:t>
            </w:r>
          </w:p>
          <w:p w14:paraId="69E97EAB">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整张椅子净重不小于4.6公斤。</w:t>
            </w:r>
          </w:p>
          <w:p w14:paraId="52362406">
            <w:pPr>
              <w:keepNext w:val="0"/>
              <w:keepLines w:val="0"/>
              <w:pageBreakBefore w:val="0"/>
              <w:suppressAutoHyphens/>
              <w:kinsoku/>
              <w:wordWrap/>
              <w:overflowPunct/>
              <w:topLinePunct w:val="0"/>
              <w:autoSpaceDE/>
              <w:autoSpaceDN/>
              <w:bidi w:val="0"/>
              <w:adjustRightInd/>
              <w:snapToGrid/>
              <w:spacing w:line="400" w:lineRule="exact"/>
              <w:ind w:firstLine="482"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（六）固定</w:t>
            </w:r>
          </w:p>
          <w:p w14:paraId="56909530">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椅脚架每边立柱采用两颗M8</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sz w:val="24"/>
                <w:szCs w:val="24"/>
              </w:rPr>
              <w:t>15内六角螺栓进行固定。</w:t>
            </w:r>
          </w:p>
          <w:p w14:paraId="6A63D690">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三、其他要求</w:t>
            </w:r>
          </w:p>
          <w:p w14:paraId="044BB773">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焊接要求：所有钢材焊接方式为二氧化碳保护焊，焊接表面波纹均匀，焊接处无夹渣、气孔、焊瘤、焊丝头咬边飞溅，并保证无脱焊、虚焊及焊穿等现象。各钢件经除锈等工序，经防锈处理，外层采用聚脂环氧粉末喷塑。</w:t>
            </w:r>
          </w:p>
          <w:p w14:paraId="6CA013E7">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金属部件表面除锈镀层要求：表面须经过“预脱脂→主脱脂→水洗→水洗→陶化→水洗→纯水洗→预烘干→静电喷塑→高温固化”十工序处理，预备处理后表面无氧化皮、锈蚀、粘砂等其他杂质并及时进行涂饰。</w:t>
            </w:r>
          </w:p>
          <w:p w14:paraId="68D70E13">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kern w:val="0"/>
                <w:sz w:val="24"/>
                <w:szCs w:val="24"/>
                <w:u w:val="single"/>
              </w:rPr>
              <w:t>金属部件表面涂层的可迁移元素含量符合HJ 2547-2016《环境标志产品技术要求 家具》要求</w:t>
            </w:r>
            <w:r>
              <w:rPr>
                <w:rFonts w:hint="eastAsia" w:ascii="仿宋_GB2312" w:hAnsi="仿宋_GB2312" w:eastAsia="仿宋_GB2312" w:cs="仿宋_GB2312"/>
                <w:color w:val="auto"/>
                <w:kern w:val="0"/>
                <w:sz w:val="24"/>
                <w:szCs w:val="24"/>
                <w:u w:val="single"/>
                <w:lang w:eastAsia="zh-CN"/>
              </w:rPr>
              <w:t>，</w:t>
            </w:r>
            <w:r>
              <w:rPr>
                <w:rFonts w:hint="eastAsia" w:ascii="仿宋_GB2312" w:hAnsi="仿宋_GB2312" w:eastAsia="仿宋_GB2312" w:cs="仿宋_GB2312"/>
                <w:color w:val="auto"/>
                <w:kern w:val="0"/>
                <w:sz w:val="24"/>
                <w:szCs w:val="24"/>
                <w:u w:val="single"/>
                <w:lang w:val="en-US" w:eastAsia="zh-CN"/>
              </w:rPr>
              <w:t>其中</w:t>
            </w:r>
            <w:r>
              <w:rPr>
                <w:rFonts w:hint="eastAsia" w:ascii="仿宋_GB2312" w:hAnsi="仿宋_GB2312" w:eastAsia="仿宋_GB2312" w:cs="仿宋_GB2312"/>
                <w:color w:val="auto"/>
                <w:kern w:val="0"/>
                <w:sz w:val="24"/>
                <w:szCs w:val="24"/>
                <w:u w:val="single"/>
              </w:rPr>
              <w:t>：</w:t>
            </w:r>
          </w:p>
          <w:p w14:paraId="5E9FA344">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u w:val="single"/>
              </w:rPr>
              <w:t>锑(Sb)≤60mg/kg、砷(As)≤25mg/kg、钡(Ba)≤1000mg/kg、镉(Cd)≤75mg/kg、铬(Cr)≤60mg/kg、铅(Pb)≤90mg/kg、汞(Hg)≤60mg/kg、硒(Se)≤500mg/kg。</w:t>
            </w:r>
          </w:p>
          <w:p w14:paraId="69B4139B">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3.喷塑要求：</w:t>
            </w:r>
            <w:r>
              <w:rPr>
                <w:rFonts w:hint="eastAsia" w:ascii="仿宋_GB2312" w:hAnsi="仿宋_GB2312" w:eastAsia="仿宋_GB2312" w:cs="仿宋_GB2312"/>
                <w:color w:val="auto"/>
                <w:kern w:val="0"/>
                <w:sz w:val="24"/>
                <w:szCs w:val="24"/>
              </w:rPr>
              <w:t>喷涂采用全自动360度大型喷涂设备，使用喷粉烤漆工艺，不易脱漆掉漆。</w:t>
            </w:r>
            <w:r>
              <w:rPr>
                <w:rFonts w:hint="eastAsia" w:ascii="仿宋_GB2312" w:hAnsi="仿宋_GB2312" w:eastAsia="仿宋_GB2312" w:cs="仿宋_GB2312"/>
                <w:color w:val="auto"/>
                <w:sz w:val="24"/>
                <w:szCs w:val="24"/>
              </w:rPr>
              <w:t>采用环保产品环氧聚脂塑粉静电喷塑。喷塑外膜的表面光滑平整，色泽均匀，喷塑层无漏喷、起泡、模糊、划痕或碰伤等缺陷。</w:t>
            </w:r>
          </w:p>
          <w:p w14:paraId="6F7EB3A3">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u w:val="single"/>
              </w:rPr>
              <w:t>塑粉符合HG/T 2006-2022《热固性和热塑性粉末涂料》要求</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lang w:val="en-US" w:eastAsia="zh-CN"/>
              </w:rPr>
              <w:t>其中：</w:t>
            </w:r>
          </w:p>
          <w:p w14:paraId="66F7D3E9">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筛余物(125μm)全部通过、涂膜外观正常、铅笔硬度(内聚破坏中擦伤)≥H、附着力(干附着力)≤1级、弯曲试验≤4mm、耐冲击性(正向冲击)50cm、杯突试验≥4mm、耐磨性(750g/500r)≤50mg、耐碱性168h无异常、耐酸性240h无异常、耐湿性500h无异常、耐沸水性(2h)无异常。</w:t>
            </w:r>
          </w:p>
          <w:p w14:paraId="53DD8F81">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rPr>
              <w:t>4.课椅性能检测必须符合：</w:t>
            </w:r>
            <w:r>
              <w:rPr>
                <w:rFonts w:hint="eastAsia" w:ascii="仿宋_GB2312" w:hAnsi="仿宋_GB2312" w:eastAsia="仿宋_GB2312" w:cs="仿宋_GB2312"/>
                <w:b w:val="0"/>
                <w:bCs w:val="0"/>
                <w:color w:val="auto"/>
                <w:sz w:val="24"/>
                <w:szCs w:val="24"/>
                <w:highlight w:val="none"/>
                <w:u w:val="none"/>
                <w:lang w:val="en-US" w:eastAsia="zh-CN"/>
              </w:rPr>
              <w:t>GB/T 3325-2024《金属家具通用技术条件》、</w:t>
            </w:r>
            <w:r>
              <w:rPr>
                <w:rFonts w:hint="eastAsia" w:ascii="仿宋_GB2312" w:hAnsi="仿宋_GB2312" w:eastAsia="仿宋_GB2312" w:cs="仿宋_GB2312"/>
                <w:color w:val="auto"/>
                <w:sz w:val="24"/>
                <w:szCs w:val="24"/>
                <w:highlight w:val="none"/>
                <w:u w:val="none"/>
                <w:lang w:val="en-US" w:eastAsia="zh-CN"/>
              </w:rPr>
              <w:t>GB/T 32487-2016 《塑料家具通用技术条件》、</w:t>
            </w:r>
            <w:r>
              <w:rPr>
                <w:rFonts w:hint="eastAsia" w:ascii="仿宋_GB2312" w:hAnsi="仿宋_GB2312" w:eastAsia="仿宋_GB2312" w:cs="仿宋_GB2312"/>
                <w:color w:val="auto"/>
                <w:sz w:val="24"/>
                <w:szCs w:val="24"/>
              </w:rPr>
              <w:t>GB/T 35607-2024《绿色产品评价家具》、QB/T 4071-2021《课桌椅》</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GB 28481-2012 《塑料家具中有害物质限量</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要求，其中：</w:t>
            </w:r>
          </w:p>
          <w:p w14:paraId="023B850F">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u w:val="none"/>
                <w:lang w:val="en-US" w:eastAsia="zh-CN"/>
              </w:rPr>
              <w:t>金属件外观（管材、焊接件、喷漆（塑）涂层）符合要求；塑料件外观符合要求；塑料件形状和位置公差（翘曲度、平整度、底脚平稳性）符合要求；理化性能符合要求；课桌/课椅力学性能符合要求；有害物质限量（表面涂层可迁移元素含量）：铅Pb≤90mg/kg、镉Cd≤50mg/kg、铬Cr≤25mg/kg、汞Hg≤25mg/kg、锑Sb≤60mg/kg、钡Ba≤1000mg/kg、硒Se≤500mg/kg、砷As≤25mg/kg</w:t>
            </w:r>
            <w:r>
              <w:rPr>
                <w:rFonts w:hint="eastAsia" w:ascii="仿宋_GB2312" w:hAnsi="仿宋_GB2312" w:eastAsia="仿宋_GB2312" w:cs="仿宋_GB2312"/>
                <w:color w:val="auto"/>
                <w:sz w:val="24"/>
                <w:szCs w:val="24"/>
              </w:rPr>
              <w:t>；苯并</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芘≤</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mg/kg、16 种多环芳烃（PAH）总量≤10mg/kg；挥发性有机化合物TVOC≤0.3mg/m³。</w:t>
            </w:r>
          </w:p>
          <w:p w14:paraId="527FDA19">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3.金属件表面应光滑平整，应无起泡、泛黄、花斑、烧焦、裂纹、划痕和磕碰伤等。焊接部位应牢固，应无脱焊、虚焊、焊穿；焊缝均匀，应无毛刺、锐棱、飞溅、裂纹等缺陷。</w:t>
            </w:r>
          </w:p>
          <w:p w14:paraId="5F1CDEB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color w:val="auto"/>
                <w:sz w:val="24"/>
                <w:szCs w:val="24"/>
              </w:rPr>
              <w:t>4.每张课桌前方需粘贴直径60mm的标识，标识中有产品尺寸、年份。</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42A58F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kern w:val="0"/>
                <w:sz w:val="24"/>
                <w:szCs w:val="24"/>
                <w:lang w:val="en-US" w:eastAsia="zh-CN" w:bidi="ar"/>
              </w:rPr>
              <w:t>4600套</w:t>
            </w:r>
          </w:p>
        </w:tc>
      </w:tr>
      <w:tr w14:paraId="5FFD6332">
        <w:tblPrEx>
          <w:tblCellMar>
            <w:top w:w="0" w:type="dxa"/>
            <w:left w:w="108" w:type="dxa"/>
            <w:bottom w:w="0" w:type="dxa"/>
            <w:right w:w="108" w:type="dxa"/>
          </w:tblCellMar>
        </w:tblPrEx>
        <w:trPr>
          <w:trHeight w:val="285"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4E12272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color w:val="auto"/>
                <w:kern w:val="0"/>
                <w:sz w:val="24"/>
                <w:szCs w:val="24"/>
                <w:lang w:val="en-US" w:eastAsia="zh-CN"/>
              </w:rPr>
              <w:t>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1D5EDD9">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color w:val="auto"/>
                <w:sz w:val="24"/>
                <w:szCs w:val="24"/>
              </w:rPr>
              <w:t>中学课桌椅</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65E270D8">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kern w:val="0"/>
                <w:sz w:val="24"/>
                <w:szCs w:val="24"/>
              </w:rPr>
              <w:t>一、学生课桌：</w:t>
            </w:r>
          </w:p>
          <w:p w14:paraId="58DADECF">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color w:val="auto"/>
                <w:kern w:val="0"/>
                <w:sz w:val="24"/>
                <w:szCs w:val="24"/>
              </w:rPr>
            </w:pPr>
            <w:r>
              <w:rPr>
                <w:rFonts w:ascii="仿宋_GB2312" w:eastAsia="仿宋_GB2312"/>
                <w:b/>
                <w:bCs/>
                <w:color w:val="auto"/>
                <w:sz w:val="24"/>
              </w:rPr>
              <w:t>★</w:t>
            </w:r>
            <w:r>
              <w:rPr>
                <w:rFonts w:hint="eastAsia" w:ascii="仿宋_GB2312" w:hAnsi="仿宋_GB2312" w:eastAsia="仿宋_GB2312" w:cs="仿宋_GB2312"/>
                <w:b/>
                <w:bCs/>
                <w:color w:val="auto"/>
                <w:kern w:val="0"/>
                <w:sz w:val="24"/>
                <w:szCs w:val="24"/>
              </w:rPr>
              <w:t>（一）课桌整体规格（长×宽×高）：</w:t>
            </w:r>
          </w:p>
          <w:p w14:paraId="01677F0E">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650mm×500mm×（7</w:t>
            </w:r>
            <w:r>
              <w:rPr>
                <w:rFonts w:hint="eastAsia" w:ascii="仿宋_GB2312" w:hAnsi="仿宋_GB2312" w:eastAsia="仿宋_GB2312" w:cs="仿宋_GB2312"/>
                <w:color w:val="auto"/>
                <w:kern w:val="0"/>
                <w:sz w:val="24"/>
                <w:szCs w:val="24"/>
                <w:lang w:val="en-US" w:eastAsia="zh-CN"/>
              </w:rPr>
              <w:t>0</w:t>
            </w:r>
            <w:r>
              <w:rPr>
                <w:rFonts w:hint="eastAsia" w:ascii="仿宋_GB2312" w:hAnsi="仿宋_GB2312" w:eastAsia="仿宋_GB2312" w:cs="仿宋_GB2312"/>
                <w:color w:val="auto"/>
                <w:kern w:val="0"/>
                <w:sz w:val="24"/>
                <w:szCs w:val="24"/>
              </w:rPr>
              <w:t>0-820）mm，可调节高度</w:t>
            </w:r>
            <w:r>
              <w:rPr>
                <w:rFonts w:hint="eastAsia" w:ascii="仿宋_GB2312" w:hAnsi="仿宋_GB2312" w:eastAsia="仿宋_GB2312" w:cs="仿宋_GB2312"/>
                <w:color w:val="auto"/>
                <w:kern w:val="0"/>
                <w:sz w:val="24"/>
                <w:szCs w:val="24"/>
                <w:lang w:val="en-US" w:eastAsia="zh-CN"/>
              </w:rPr>
              <w:t>700mm、</w:t>
            </w:r>
            <w:r>
              <w:rPr>
                <w:rFonts w:hint="eastAsia" w:ascii="仿宋_GB2312" w:hAnsi="仿宋_GB2312" w:eastAsia="仿宋_GB2312" w:cs="仿宋_GB2312"/>
                <w:color w:val="auto"/>
                <w:kern w:val="0"/>
                <w:sz w:val="24"/>
                <w:szCs w:val="24"/>
              </w:rPr>
              <w:t>730mm、760mm、790mm、820mm</w:t>
            </w:r>
            <w:r>
              <w:rPr>
                <w:rFonts w:hint="eastAsia" w:ascii="仿宋_GB2312" w:hAnsi="仿宋_GB2312" w:eastAsia="仿宋_GB2312" w:cs="仿宋_GB2312"/>
                <w:color w:val="auto"/>
                <w:sz w:val="24"/>
                <w:szCs w:val="24"/>
              </w:rPr>
              <w:t>（±5mm）</w:t>
            </w:r>
            <w:r>
              <w:rPr>
                <w:rFonts w:hint="eastAsia" w:ascii="仿宋_GB2312" w:hAnsi="仿宋_GB2312" w:eastAsia="仿宋_GB2312" w:cs="仿宋_GB2312"/>
                <w:color w:val="auto"/>
                <w:kern w:val="0"/>
                <w:sz w:val="24"/>
                <w:szCs w:val="24"/>
              </w:rPr>
              <w:t>；</w:t>
            </w:r>
          </w:p>
          <w:p w14:paraId="0E6CFB33">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（二）课桌桌面</w:t>
            </w:r>
          </w:p>
          <w:p w14:paraId="58DF8F6B">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rPr>
              <w:t>长650mm×宽500mm（±5mm）。采用原材料为</w:t>
            </w:r>
            <w:r>
              <w:rPr>
                <w:rFonts w:hint="eastAsia" w:ascii="仿宋_GB2312" w:hAnsi="仿宋_GB2312" w:eastAsia="仿宋_GB2312" w:cs="仿宋_GB2312"/>
                <w:bCs/>
                <w:color w:val="auto"/>
                <w:kern w:val="0"/>
                <w:sz w:val="24"/>
                <w:szCs w:val="24"/>
              </w:rPr>
              <w:t>全新ABS塑料注塑一体成型</w:t>
            </w:r>
            <w:r>
              <w:rPr>
                <w:rFonts w:hint="eastAsia" w:ascii="仿宋_GB2312" w:hAnsi="仿宋_GB2312" w:eastAsia="仿宋_GB2312" w:cs="仿宋_GB2312"/>
                <w:color w:val="auto"/>
                <w:kern w:val="0"/>
                <w:sz w:val="24"/>
                <w:szCs w:val="24"/>
              </w:rPr>
              <w:t>，厚度不小于22mm；</w:t>
            </w:r>
            <w:r>
              <w:rPr>
                <w:rFonts w:hint="eastAsia" w:ascii="仿宋_GB2312" w:hAnsi="仿宋_GB2312" w:eastAsia="仿宋_GB2312" w:cs="仿宋_GB2312"/>
                <w:bCs/>
                <w:color w:val="auto"/>
                <w:sz w:val="24"/>
                <w:szCs w:val="24"/>
              </w:rPr>
              <w:t>桌面下方设计有加强筋，坚固耐用</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sz w:val="24"/>
                <w:szCs w:val="24"/>
              </w:rPr>
              <w:t>桌面板符合GB/T 32487-2016《塑料家具通用技术条件》、GB 28481-2012 《塑料家具中有害物质限量》</w:t>
            </w:r>
            <w:r>
              <w:rPr>
                <w:rFonts w:hint="eastAsia" w:ascii="仿宋_GB2312" w:hAnsi="仿宋_GB2312" w:eastAsia="仿宋_GB2312" w:cs="仿宋_GB2312"/>
                <w:color w:val="auto"/>
                <w:sz w:val="24"/>
                <w:szCs w:val="24"/>
                <w:lang w:val="en-US" w:eastAsia="zh-CN"/>
              </w:rPr>
              <w:t>要求，其中：</w:t>
            </w:r>
          </w:p>
          <w:p w14:paraId="6CCD61EB">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rPr>
              <w:t>耐老化性(室内用：500h)(冲击强度的保持率≥60%、外观颜色变色评级≥3级)，冲击强度≥10J/㎡，塑料件外观应无明显色差，耐冷热循环应无裂纹、鼓泡、变色、起皱，邵氏D硬度≥HD63。重金属可溶性铅≤90mg/kg、可溶性镉≤75mg/kg、可溶性汞≤60mg/kg、可溶性铬≤60mg/kg、多溴联苯（PBB）≤1000mg/kg、多溴二苯醚（PBDE）≤1000mg/kg、邻苯二甲酸-2-乙基己基酯（DEHP）≤0.1%、邻苯二甲酸丁基苄酯（BBP）≤0.1%、邻苯二甲酸二丁酯（DBP）≤0.1%、邻苯二甲酸二正辛酯（DNOP）≤0.1%、邻苯二甲酸二异壬酯（DINP）≤0.1%、邻苯二甲酸二异癸酯（DIDP）≤0.1%、苯并{a}芘≤</w:t>
            </w:r>
            <w:r>
              <w:rPr>
                <w:rFonts w:hint="eastAsia" w:ascii="仿宋_GB2312" w:hAnsi="仿宋_GB2312" w:eastAsia="仿宋_GB2312" w:cs="仿宋_GB2312"/>
                <w:color w:val="auto"/>
                <w:kern w:val="0"/>
                <w:sz w:val="24"/>
                <w:szCs w:val="24"/>
                <w:lang w:val="en-US" w:eastAsia="zh-CN"/>
              </w:rPr>
              <w:t>1.0</w:t>
            </w:r>
            <w:r>
              <w:rPr>
                <w:rFonts w:hint="eastAsia" w:ascii="仿宋_GB2312" w:hAnsi="仿宋_GB2312" w:eastAsia="仿宋_GB2312" w:cs="仿宋_GB2312"/>
                <w:color w:val="auto"/>
                <w:kern w:val="0"/>
                <w:sz w:val="24"/>
                <w:szCs w:val="24"/>
              </w:rPr>
              <w:t>mg/kg、16种多环芳烃（PAH）总量≤10mg/kg。</w:t>
            </w:r>
          </w:p>
          <w:p w14:paraId="5657ED13">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（三）课桌书斗</w:t>
            </w:r>
          </w:p>
          <w:p w14:paraId="45F170AA">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长450mm×深300mm×高150mm（</w:t>
            </w:r>
            <w:r>
              <w:rPr>
                <w:rFonts w:hint="eastAsia" w:ascii="仿宋_GB2312" w:hAnsi="仿宋_GB2312" w:eastAsia="仿宋_GB2312" w:cs="仿宋_GB2312"/>
                <w:color w:val="auto"/>
                <w:sz w:val="24"/>
                <w:szCs w:val="24"/>
              </w:rPr>
              <w:t>±5mm</w:t>
            </w:r>
            <w:r>
              <w:rPr>
                <w:rFonts w:hint="eastAsia" w:ascii="仿宋_GB2312" w:hAnsi="仿宋_GB2312" w:eastAsia="仿宋_GB2312" w:cs="仿宋_GB2312"/>
                <w:color w:val="auto"/>
                <w:kern w:val="0"/>
                <w:sz w:val="24"/>
                <w:szCs w:val="24"/>
              </w:rPr>
              <w:t>）。采用冷轧钢板(书斗三立面冲压网孔)，厚度不小于0.8mm；冷轧钢板符合GB/T 700-2006《碳素结构钢》</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QB/T3826-1999《轻工产品金属镀层和化学处理层的耐腐蚀试验方法 中性盐雾试验(NSS)法》、QB/T 3832-1999《轻工产品金属镀层腐蚀试验结果的评价》要求</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其中：</w:t>
            </w:r>
            <w:r>
              <w:rPr>
                <w:rFonts w:hint="eastAsia" w:ascii="仿宋_GB2312" w:hAnsi="仿宋_GB2312" w:eastAsia="仿宋_GB2312" w:cs="仿宋_GB2312"/>
                <w:color w:val="auto"/>
                <w:kern w:val="0"/>
                <w:sz w:val="24"/>
                <w:szCs w:val="24"/>
              </w:rPr>
              <w:t>化学成分(%)（C≤0.20、Si≤0.35、Mn≤1.40、P≤0.045、S≤0.045），力学性能（</w:t>
            </w:r>
            <w:r>
              <w:rPr>
                <w:rFonts w:hint="eastAsia" w:ascii="仿宋_GB2312" w:hAnsi="仿宋_GB2312" w:eastAsia="仿宋_GB2312" w:cs="仿宋_GB2312"/>
                <w:color w:val="auto"/>
                <w:kern w:val="0"/>
                <w:sz w:val="24"/>
                <w:szCs w:val="24"/>
                <w:lang w:val="en-US" w:eastAsia="zh-CN"/>
              </w:rPr>
              <w:t>屈服强度</w:t>
            </w:r>
            <w:r>
              <w:rPr>
                <w:rFonts w:hint="eastAsia" w:ascii="仿宋_GB2312" w:hAnsi="仿宋_GB2312" w:eastAsia="仿宋_GB2312" w:cs="仿宋_GB2312"/>
                <w:color w:val="auto"/>
                <w:kern w:val="0"/>
                <w:sz w:val="24"/>
                <w:szCs w:val="24"/>
              </w:rPr>
              <w:t>≥235N/m㎡、抗拉强度为370-500 N/m㎡、断后伸长率≥26%）。</w:t>
            </w:r>
            <w:r>
              <w:rPr>
                <w:rFonts w:hint="eastAsia" w:ascii="仿宋_GB2312" w:hAnsi="仿宋_GB2312" w:eastAsia="仿宋_GB2312" w:cs="仿宋_GB2312"/>
                <w:color w:val="auto"/>
                <w:kern w:val="0"/>
                <w:sz w:val="24"/>
                <w:szCs w:val="24"/>
                <w:u w:val="none"/>
              </w:rPr>
              <w:t>经过不少于12</w:t>
            </w:r>
            <w:r>
              <w:rPr>
                <w:rFonts w:hint="eastAsia" w:ascii="仿宋_GB2312" w:hAnsi="仿宋_GB2312" w:eastAsia="仿宋_GB2312" w:cs="仿宋_GB2312"/>
                <w:color w:val="auto"/>
                <w:kern w:val="0"/>
                <w:sz w:val="24"/>
                <w:szCs w:val="24"/>
                <w:u w:val="none"/>
                <w:lang w:val="en-US" w:eastAsia="zh-CN"/>
              </w:rPr>
              <w:t>0</w:t>
            </w:r>
            <w:r>
              <w:rPr>
                <w:rFonts w:hint="eastAsia" w:ascii="仿宋_GB2312" w:hAnsi="仿宋_GB2312" w:eastAsia="仿宋_GB2312" w:cs="仿宋_GB2312"/>
                <w:color w:val="auto"/>
                <w:kern w:val="0"/>
                <w:sz w:val="24"/>
                <w:szCs w:val="24"/>
                <w:u w:val="none"/>
              </w:rPr>
              <w:t>h试验，</w:t>
            </w:r>
            <w:r>
              <w:rPr>
                <w:rFonts w:hint="eastAsia" w:ascii="仿宋_GB2312" w:hAnsi="仿宋_GB2312" w:eastAsia="仿宋_GB2312" w:cs="仿宋_GB2312"/>
                <w:color w:val="auto"/>
                <w:kern w:val="0"/>
                <w:sz w:val="24"/>
                <w:szCs w:val="24"/>
                <w:u w:val="none"/>
                <w:lang w:val="en-US" w:eastAsia="zh-CN"/>
              </w:rPr>
              <w:t>耐腐蚀等级</w:t>
            </w:r>
            <w:r>
              <w:rPr>
                <w:rFonts w:hint="eastAsia" w:ascii="仿宋_GB2312" w:hAnsi="仿宋_GB2312" w:eastAsia="仿宋_GB2312" w:cs="仿宋_GB2312"/>
                <w:color w:val="auto"/>
                <w:kern w:val="0"/>
                <w:sz w:val="24"/>
                <w:szCs w:val="24"/>
                <w:u w:val="none"/>
              </w:rPr>
              <w:t>达到</w:t>
            </w:r>
            <w:r>
              <w:rPr>
                <w:rFonts w:hint="eastAsia" w:ascii="仿宋_GB2312" w:hAnsi="仿宋_GB2312" w:eastAsia="仿宋_GB2312" w:cs="仿宋_GB2312"/>
                <w:color w:val="auto"/>
                <w:kern w:val="0"/>
                <w:sz w:val="24"/>
                <w:szCs w:val="24"/>
                <w:u w:val="none"/>
                <w:lang w:val="en-US" w:eastAsia="zh-CN"/>
              </w:rPr>
              <w:t>9</w:t>
            </w:r>
            <w:r>
              <w:rPr>
                <w:rFonts w:hint="eastAsia" w:ascii="仿宋_GB2312" w:hAnsi="仿宋_GB2312" w:eastAsia="仿宋_GB2312" w:cs="仿宋_GB2312"/>
                <w:color w:val="auto"/>
                <w:kern w:val="0"/>
                <w:sz w:val="24"/>
                <w:szCs w:val="24"/>
                <w:u w:val="none"/>
              </w:rPr>
              <w:t>级</w:t>
            </w:r>
            <w:r>
              <w:rPr>
                <w:rFonts w:hint="eastAsia" w:ascii="仿宋_GB2312" w:hAnsi="仿宋_GB2312" w:eastAsia="仿宋_GB2312" w:cs="仿宋_GB2312"/>
                <w:color w:val="auto"/>
                <w:kern w:val="0"/>
                <w:sz w:val="24"/>
                <w:szCs w:val="24"/>
                <w:u w:val="none"/>
                <w:lang w:val="en-US" w:eastAsia="zh-CN"/>
              </w:rPr>
              <w:t>以上</w:t>
            </w:r>
            <w:r>
              <w:rPr>
                <w:rFonts w:hint="eastAsia" w:ascii="仿宋_GB2312" w:hAnsi="仿宋_GB2312" w:eastAsia="仿宋_GB2312" w:cs="仿宋_GB2312"/>
                <w:color w:val="auto"/>
                <w:kern w:val="0"/>
                <w:sz w:val="24"/>
                <w:szCs w:val="24"/>
                <w:u w:val="none"/>
              </w:rPr>
              <w:t>。</w:t>
            </w:r>
          </w:p>
          <w:p w14:paraId="70F716DB">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（四）课桌书篮</w:t>
            </w:r>
          </w:p>
          <w:p w14:paraId="48FC543B">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color w:val="auto"/>
                <w:kern w:val="0"/>
                <w:sz w:val="24"/>
                <w:szCs w:val="24"/>
              </w:rPr>
              <w:t>规格为不小于490mm×180mm×180mm（±5mm），采用厚度不小于0.7mm的冷轧钢板冲压而成。</w:t>
            </w:r>
          </w:p>
          <w:p w14:paraId="03CF2561">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（五）桌架</w:t>
            </w:r>
          </w:p>
          <w:p w14:paraId="53325320">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采用单柱升降课桌。</w:t>
            </w:r>
          </w:p>
          <w:p w14:paraId="6536216E">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★1.课桌脚底部横杆采用不小于60mm×30mm（±</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mm）冷轧钢椭圆管，管壁厚度不小于1.2mm。横杆离地高度不小于150mm。</w:t>
            </w:r>
          </w:p>
          <w:p w14:paraId="24CF6A38">
            <w:pPr>
              <w:keepNext w:val="0"/>
              <w:keepLines w:val="0"/>
              <w:pageBreakBefore w:val="0"/>
              <w:widowControl/>
              <w:numPr>
                <w:ilvl w:val="0"/>
                <w:numId w:val="0"/>
              </w:numPr>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立柱采用不小于60mm×30mm（±</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mm）冷轧钢椭圆管，管壁厚度不小于1.2mm</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sz w:val="24"/>
                <w:szCs w:val="24"/>
              </w:rPr>
              <w:t>钢管符合GB/T 3094-2012《冷拔异型钢管》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QB/T3826-1999《轻工产品金属镀层和化学处理层的耐腐蚀试验方法 中性盐雾试验(NSS)法》、QB/T 3832-1999《轻工产品金属镀层腐蚀试验结果的评价》要求</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其中</w:t>
            </w:r>
            <w:r>
              <w:rPr>
                <w:rFonts w:hint="eastAsia" w:ascii="仿宋_GB2312" w:hAnsi="仿宋_GB2312" w:eastAsia="仿宋_GB2312" w:cs="仿宋_GB2312"/>
                <w:color w:val="auto"/>
                <w:sz w:val="24"/>
                <w:szCs w:val="24"/>
              </w:rPr>
              <w:t>：化学成分(%)（C≤0.20、Si≤0.35、Mn≤1.40、P≤0.045、S≤0.045）</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力学性能（</w:t>
            </w:r>
            <w:r>
              <w:rPr>
                <w:rFonts w:hint="eastAsia" w:ascii="仿宋_GB2312" w:hAnsi="仿宋_GB2312" w:eastAsia="仿宋_GB2312" w:cs="仿宋_GB2312"/>
                <w:color w:val="auto"/>
                <w:sz w:val="24"/>
                <w:szCs w:val="24"/>
                <w:lang w:val="en-US" w:eastAsia="zh-CN"/>
              </w:rPr>
              <w:t>下</w:t>
            </w:r>
            <w:r>
              <w:rPr>
                <w:rFonts w:hint="eastAsia" w:ascii="仿宋_GB2312" w:hAnsi="仿宋_GB2312" w:eastAsia="仿宋_GB2312" w:cs="仿宋_GB2312"/>
                <w:color w:val="auto"/>
                <w:sz w:val="24"/>
                <w:szCs w:val="24"/>
              </w:rPr>
              <w:t>屈服强度≥235N/m㎡、抗拉强度为370-500 N/m㎡、断后伸长率≥2</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kern w:val="0"/>
                <w:sz w:val="24"/>
                <w:szCs w:val="24"/>
                <w:u w:val="none"/>
              </w:rPr>
              <w:t>经过不少于12</w:t>
            </w:r>
            <w:r>
              <w:rPr>
                <w:rFonts w:hint="eastAsia" w:ascii="仿宋_GB2312" w:hAnsi="仿宋_GB2312" w:eastAsia="仿宋_GB2312" w:cs="仿宋_GB2312"/>
                <w:color w:val="auto"/>
                <w:kern w:val="0"/>
                <w:sz w:val="24"/>
                <w:szCs w:val="24"/>
                <w:u w:val="none"/>
                <w:lang w:val="en-US" w:eastAsia="zh-CN"/>
              </w:rPr>
              <w:t>0</w:t>
            </w:r>
            <w:r>
              <w:rPr>
                <w:rFonts w:hint="eastAsia" w:ascii="仿宋_GB2312" w:hAnsi="仿宋_GB2312" w:eastAsia="仿宋_GB2312" w:cs="仿宋_GB2312"/>
                <w:color w:val="auto"/>
                <w:kern w:val="0"/>
                <w:sz w:val="24"/>
                <w:szCs w:val="24"/>
                <w:u w:val="none"/>
              </w:rPr>
              <w:t>h试验，</w:t>
            </w:r>
            <w:r>
              <w:rPr>
                <w:rFonts w:hint="eastAsia" w:ascii="仿宋_GB2312" w:hAnsi="仿宋_GB2312" w:eastAsia="仿宋_GB2312" w:cs="仿宋_GB2312"/>
                <w:color w:val="auto"/>
                <w:kern w:val="0"/>
                <w:sz w:val="24"/>
                <w:szCs w:val="24"/>
                <w:u w:val="none"/>
                <w:lang w:val="en-US" w:eastAsia="zh-CN"/>
              </w:rPr>
              <w:t>耐腐蚀等级</w:t>
            </w:r>
            <w:r>
              <w:rPr>
                <w:rFonts w:hint="eastAsia" w:ascii="仿宋_GB2312" w:hAnsi="仿宋_GB2312" w:eastAsia="仿宋_GB2312" w:cs="仿宋_GB2312"/>
                <w:color w:val="auto"/>
                <w:kern w:val="0"/>
                <w:sz w:val="24"/>
                <w:szCs w:val="24"/>
                <w:u w:val="none"/>
              </w:rPr>
              <w:t>达到</w:t>
            </w:r>
            <w:r>
              <w:rPr>
                <w:rFonts w:hint="eastAsia" w:ascii="仿宋_GB2312" w:hAnsi="仿宋_GB2312" w:eastAsia="仿宋_GB2312" w:cs="仿宋_GB2312"/>
                <w:color w:val="auto"/>
                <w:kern w:val="0"/>
                <w:sz w:val="24"/>
                <w:szCs w:val="24"/>
                <w:u w:val="none"/>
                <w:lang w:val="en-US" w:eastAsia="zh-CN"/>
              </w:rPr>
              <w:t>9</w:t>
            </w:r>
            <w:r>
              <w:rPr>
                <w:rFonts w:hint="eastAsia" w:ascii="仿宋_GB2312" w:hAnsi="仿宋_GB2312" w:eastAsia="仿宋_GB2312" w:cs="仿宋_GB2312"/>
                <w:color w:val="auto"/>
                <w:kern w:val="0"/>
                <w:sz w:val="24"/>
                <w:szCs w:val="24"/>
                <w:u w:val="none"/>
              </w:rPr>
              <w:t>级</w:t>
            </w:r>
            <w:r>
              <w:rPr>
                <w:rFonts w:hint="eastAsia" w:ascii="仿宋_GB2312" w:hAnsi="仿宋_GB2312" w:eastAsia="仿宋_GB2312" w:cs="仿宋_GB2312"/>
                <w:color w:val="auto"/>
                <w:kern w:val="0"/>
                <w:sz w:val="24"/>
                <w:szCs w:val="24"/>
                <w:u w:val="none"/>
                <w:lang w:val="en-US" w:eastAsia="zh-CN"/>
              </w:rPr>
              <w:t>以上</w:t>
            </w:r>
            <w:r>
              <w:rPr>
                <w:rFonts w:hint="eastAsia" w:ascii="仿宋_GB2312" w:hAnsi="仿宋_GB2312" w:eastAsia="仿宋_GB2312" w:cs="仿宋_GB2312"/>
                <w:color w:val="auto"/>
                <w:kern w:val="0"/>
                <w:sz w:val="24"/>
                <w:szCs w:val="24"/>
                <w:u w:val="none"/>
              </w:rPr>
              <w:t>。</w:t>
            </w:r>
          </w:p>
          <w:p w14:paraId="02973935">
            <w:pPr>
              <w:keepNext w:val="0"/>
              <w:keepLines w:val="0"/>
              <w:pageBreakBefore w:val="0"/>
              <w:widowControl/>
              <w:numPr>
                <w:ilvl w:val="0"/>
                <w:numId w:val="0"/>
              </w:numPr>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调节柱采用不小于50mm×25mm（±</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mm）冷轧钢椭圆管，管壁厚度不小于1.2mm。</w:t>
            </w:r>
          </w:p>
          <w:p w14:paraId="2F8970B6">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b/>
                <w:bCs/>
                <w:color w:val="auto"/>
                <w:kern w:val="0"/>
                <w:sz w:val="24"/>
                <w:szCs w:val="24"/>
              </w:rPr>
              <w:t>（六）脚套</w:t>
            </w:r>
          </w:p>
          <w:p w14:paraId="3A98FD2A">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课桌脚套采用优质PVC软塑料制作，能有效防脱落；脚套符合GB</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28481-2012《塑料家具中有害物质限量》的标准要求：重金属可溶性铅≤90mg/kg、可溶性镉≤75mg/kg、可溶性汞≤60mg/kg、可溶性铬≤60mg/kg、多溴联苯（PBB）≤1000mg/kg、多溴二苯醚（PBDE）≤1000mg/kg、邻苯二甲酸-2-乙基己基酯（DEHP）≤0.1%、邻苯二甲酸丁基苄酯（BBP）≤0.1%、邻苯二甲酸二丁酯（DBP）≤0.1%、邻苯二甲酸二正辛酯（DNOP）≤0.1%、邻苯二甲酸二异壬酯（DINP）≤0.1%、邻苯二甲酸二异癸酯（DIDP）≤0.1%、多环芳烃苯并</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a</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芘≤1.0mg/kg、16种多环芳烃（PAH）总量≤10mg/kg。</w:t>
            </w:r>
          </w:p>
          <w:p w14:paraId="4B8ACF7E">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（七）书包挂钩</w:t>
            </w:r>
          </w:p>
          <w:p w14:paraId="72F9BECA">
            <w:pPr>
              <w:keepNext w:val="0"/>
              <w:keepLines w:val="0"/>
              <w:pageBreakBefore w:val="0"/>
              <w:suppressAutoHyphens/>
              <w:kinsoku/>
              <w:wordWrap/>
              <w:overflowPunct/>
              <w:topLinePunct w:val="0"/>
              <w:autoSpaceDE/>
              <w:autoSpaceDN/>
              <w:bidi w:val="0"/>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在桌面的左右下方，在钢制支撑架上，须焊接设置左右两个实心钢制书包挂钩，承重强且耐用。</w:t>
            </w:r>
          </w:p>
          <w:p w14:paraId="1C9DB540">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（八）重量</w:t>
            </w:r>
          </w:p>
          <w:p w14:paraId="1BADBAD2">
            <w:pPr>
              <w:keepNext w:val="0"/>
              <w:keepLines w:val="0"/>
              <w:pageBreakBefore w:val="0"/>
              <w:suppressAutoHyphens/>
              <w:kinsoku/>
              <w:wordWrap/>
              <w:overflowPunct/>
              <w:topLinePunct w:val="0"/>
              <w:autoSpaceDE/>
              <w:autoSpaceDN/>
              <w:bidi w:val="0"/>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整张桌子净重不小于9.3公斤。</w:t>
            </w:r>
          </w:p>
          <w:p w14:paraId="1FE9AB34">
            <w:pPr>
              <w:keepNext w:val="0"/>
              <w:keepLines w:val="0"/>
              <w:pageBreakBefore w:val="0"/>
              <w:suppressAutoHyphens/>
              <w:kinsoku/>
              <w:wordWrap/>
              <w:overflowPunct/>
              <w:topLinePunct w:val="0"/>
              <w:autoSpaceDE/>
              <w:autoSpaceDN/>
              <w:bidi w:val="0"/>
              <w:adjustRightInd/>
              <w:snapToGrid/>
              <w:spacing w:line="400" w:lineRule="exact"/>
              <w:ind w:firstLine="482"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（九）固定</w:t>
            </w:r>
          </w:p>
          <w:p w14:paraId="214A2205">
            <w:pPr>
              <w:keepNext w:val="0"/>
              <w:keepLines w:val="0"/>
              <w:pageBreakBefore w:val="0"/>
              <w:suppressAutoHyphens/>
              <w:kinsoku/>
              <w:wordWrap/>
              <w:overflowPunct/>
              <w:topLinePunct w:val="0"/>
              <w:autoSpaceDE/>
              <w:autoSpaceDN/>
              <w:bidi w:val="0"/>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桌脚架每边立柱采用两颗M8</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sz w:val="24"/>
                <w:szCs w:val="24"/>
              </w:rPr>
              <w:t>15内六角螺栓进行固定。</w:t>
            </w:r>
          </w:p>
          <w:p w14:paraId="209F651D">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二、学生课椅：</w:t>
            </w:r>
          </w:p>
          <w:p w14:paraId="636DEF32">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（一）课桌尺寸：</w:t>
            </w:r>
          </w:p>
          <w:p w14:paraId="64792FD9">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椅座板尺寸：（长×宽）415mm×380mm（±5mm）；椅靠背面尺寸：（长×宽）415mm×360mm（±5mm）。可在400mm、420mm、440mm、460mm</w:t>
            </w:r>
            <w:r>
              <w:rPr>
                <w:rFonts w:hint="eastAsia" w:ascii="仿宋_GB2312" w:hAnsi="仿宋_GB2312" w:eastAsia="仿宋_GB2312" w:cs="仿宋_GB2312"/>
                <w:color w:val="auto"/>
                <w:kern w:val="0"/>
                <w:sz w:val="24"/>
                <w:szCs w:val="24"/>
                <w:lang w:val="en-US" w:eastAsia="zh-CN"/>
              </w:rPr>
              <w:t>四种</w:t>
            </w:r>
            <w:r>
              <w:rPr>
                <w:rFonts w:hint="eastAsia" w:ascii="仿宋_GB2312" w:hAnsi="仿宋_GB2312" w:eastAsia="仿宋_GB2312" w:cs="仿宋_GB2312"/>
                <w:color w:val="auto"/>
                <w:kern w:val="0"/>
                <w:sz w:val="24"/>
                <w:szCs w:val="24"/>
              </w:rPr>
              <w:t>高度进行升降调整，允许误差±5mm。</w:t>
            </w:r>
          </w:p>
          <w:p w14:paraId="0351FF5B">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（二）座椅座板、靠板</w:t>
            </w:r>
          </w:p>
          <w:p w14:paraId="382F4F34">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rPr>
              <w:t>采用原材料为</w:t>
            </w:r>
            <w:r>
              <w:rPr>
                <w:rFonts w:hint="eastAsia" w:ascii="仿宋_GB2312" w:hAnsi="仿宋_GB2312" w:eastAsia="仿宋_GB2312" w:cs="仿宋_GB2312"/>
                <w:bCs/>
                <w:color w:val="auto"/>
                <w:kern w:val="0"/>
                <w:sz w:val="24"/>
                <w:szCs w:val="24"/>
              </w:rPr>
              <w:t>全新ABS塑料注塑一体成型</w:t>
            </w:r>
            <w:r>
              <w:rPr>
                <w:rFonts w:hint="eastAsia" w:ascii="仿宋_GB2312" w:hAnsi="仿宋_GB2312" w:eastAsia="仿宋_GB2312" w:cs="仿宋_GB2312"/>
                <w:color w:val="auto"/>
                <w:kern w:val="0"/>
                <w:sz w:val="24"/>
                <w:szCs w:val="24"/>
              </w:rPr>
              <w:t>，并有散热孔。</w:t>
            </w:r>
            <w:r>
              <w:rPr>
                <w:rFonts w:hint="eastAsia" w:ascii="仿宋_GB2312" w:hAnsi="仿宋_GB2312" w:eastAsia="仿宋_GB2312" w:cs="仿宋_GB2312"/>
                <w:color w:val="auto"/>
                <w:sz w:val="24"/>
                <w:szCs w:val="24"/>
              </w:rPr>
              <w:t>课椅座面板、靠背面板符合GB/T 32487-2016《塑料家具通用技术条件》、GB 28481-2012 《塑料家具中有害物质限量》</w:t>
            </w:r>
            <w:r>
              <w:rPr>
                <w:rFonts w:hint="eastAsia" w:ascii="仿宋_GB2312" w:hAnsi="仿宋_GB2312" w:eastAsia="仿宋_GB2312" w:cs="仿宋_GB2312"/>
                <w:color w:val="auto"/>
                <w:sz w:val="24"/>
                <w:szCs w:val="24"/>
                <w:lang w:val="en-US" w:eastAsia="zh-CN"/>
              </w:rPr>
              <w:t>要求，其中：耐老化性(室内用：500h)(冲击强度的保持率≥60%、外观颜色变色评级≥3级)，冲击强度≥10J/㎡，塑料件外观应无明显色差，耐冷热循环应无裂纹、鼓泡、变色、起皱，塑料件硬度：邵氏D硬度≥HD63。重金属可溶性铅≤90mg/kg、可溶性镉≤75mg/kg、可溶性汞≤60mg/kg、可溶性铬≤60mg/kg、多溴联苯（PBB）≤1000mg/kg、多溴二苯醚（PBDE）≤1000mg/kg、邻苯二甲酸-2-乙基己基酯（DEHP）≤0.1%、邻苯二甲酸丁基苄酯（BBP）≤0.1%、邻苯二甲酸二丁酯（DBP）≤0.1%、邻苯二甲酸二正辛酯（DNOP）≤0.1%、邻苯二甲酸二异壬酯（DINP）≤0.1%、邻苯二甲酸二异癸酯（DIDP）≤0.1%、苯并[a]芘≤1.0mg/kg、16种多环芳烃（PAH）总量≤10mg/kg。</w:t>
            </w:r>
          </w:p>
          <w:p w14:paraId="27C17287">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（三）椅架</w:t>
            </w:r>
          </w:p>
          <w:p w14:paraId="6C4A7664">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采用单柱升降课椅；</w:t>
            </w:r>
          </w:p>
          <w:p w14:paraId="0E8502D9">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★1.课桌脚底部横杆采用不小于60mm×30mm（±</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mm）冷轧钢椭圆管，管壁厚度不小于1.2mm。</w:t>
            </w:r>
          </w:p>
          <w:p w14:paraId="16E73526">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2.立柱采用不小于60mm×30mm冷轧钢椭圆管，管壁厚度不小于1.2mm</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sz w:val="24"/>
                <w:szCs w:val="24"/>
              </w:rPr>
              <w:t>钢管符合GB/T 3094-2012《冷拔异型钢管》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QB/T3826-1999《轻工产品金属镀层和化学处理层的耐腐蚀试验方法 中性盐雾试验(NSS)法》、QB/T 3832-1999《轻工产品金属镀层腐蚀试验结果的评价》要求</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其中</w:t>
            </w:r>
            <w:r>
              <w:rPr>
                <w:rFonts w:hint="eastAsia" w:ascii="仿宋_GB2312" w:hAnsi="仿宋_GB2312" w:eastAsia="仿宋_GB2312" w:cs="仿宋_GB2312"/>
                <w:color w:val="auto"/>
                <w:sz w:val="24"/>
                <w:szCs w:val="24"/>
              </w:rPr>
              <w:t>：化学成分(%)（C≤0.20、Si≤0.35、Mn≤1.40、P≤0.045、S≤0.045）</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力学性能（</w:t>
            </w:r>
            <w:r>
              <w:rPr>
                <w:rFonts w:hint="eastAsia" w:ascii="仿宋_GB2312" w:hAnsi="仿宋_GB2312" w:eastAsia="仿宋_GB2312" w:cs="仿宋_GB2312"/>
                <w:color w:val="auto"/>
                <w:sz w:val="24"/>
                <w:szCs w:val="24"/>
                <w:lang w:val="en-US" w:eastAsia="zh-CN"/>
              </w:rPr>
              <w:t>下</w:t>
            </w:r>
            <w:r>
              <w:rPr>
                <w:rFonts w:hint="eastAsia" w:ascii="仿宋_GB2312" w:hAnsi="仿宋_GB2312" w:eastAsia="仿宋_GB2312" w:cs="仿宋_GB2312"/>
                <w:color w:val="auto"/>
                <w:sz w:val="24"/>
                <w:szCs w:val="24"/>
              </w:rPr>
              <w:t>屈服强度≥235N/m㎡、抗拉强度为370-500 N/m㎡、断后伸长率≥2</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kern w:val="0"/>
                <w:sz w:val="24"/>
                <w:szCs w:val="24"/>
                <w:u w:val="none"/>
              </w:rPr>
              <w:t>经过不少于12</w:t>
            </w:r>
            <w:r>
              <w:rPr>
                <w:rFonts w:hint="eastAsia" w:ascii="仿宋_GB2312" w:hAnsi="仿宋_GB2312" w:eastAsia="仿宋_GB2312" w:cs="仿宋_GB2312"/>
                <w:color w:val="auto"/>
                <w:kern w:val="0"/>
                <w:sz w:val="24"/>
                <w:szCs w:val="24"/>
                <w:u w:val="none"/>
                <w:lang w:val="en-US" w:eastAsia="zh-CN"/>
              </w:rPr>
              <w:t>0</w:t>
            </w:r>
            <w:r>
              <w:rPr>
                <w:rFonts w:hint="eastAsia" w:ascii="仿宋_GB2312" w:hAnsi="仿宋_GB2312" w:eastAsia="仿宋_GB2312" w:cs="仿宋_GB2312"/>
                <w:color w:val="auto"/>
                <w:kern w:val="0"/>
                <w:sz w:val="24"/>
                <w:szCs w:val="24"/>
                <w:u w:val="none"/>
              </w:rPr>
              <w:t>h试验，</w:t>
            </w:r>
            <w:r>
              <w:rPr>
                <w:rFonts w:hint="eastAsia" w:ascii="仿宋_GB2312" w:hAnsi="仿宋_GB2312" w:eastAsia="仿宋_GB2312" w:cs="仿宋_GB2312"/>
                <w:color w:val="auto"/>
                <w:kern w:val="0"/>
                <w:sz w:val="24"/>
                <w:szCs w:val="24"/>
                <w:u w:val="none"/>
                <w:lang w:val="en-US" w:eastAsia="zh-CN"/>
              </w:rPr>
              <w:t>耐腐蚀等级</w:t>
            </w:r>
            <w:r>
              <w:rPr>
                <w:rFonts w:hint="eastAsia" w:ascii="仿宋_GB2312" w:hAnsi="仿宋_GB2312" w:eastAsia="仿宋_GB2312" w:cs="仿宋_GB2312"/>
                <w:color w:val="auto"/>
                <w:kern w:val="0"/>
                <w:sz w:val="24"/>
                <w:szCs w:val="24"/>
                <w:u w:val="none"/>
              </w:rPr>
              <w:t>达到</w:t>
            </w:r>
            <w:r>
              <w:rPr>
                <w:rFonts w:hint="eastAsia" w:ascii="仿宋_GB2312" w:hAnsi="仿宋_GB2312" w:eastAsia="仿宋_GB2312" w:cs="仿宋_GB2312"/>
                <w:color w:val="auto"/>
                <w:kern w:val="0"/>
                <w:sz w:val="24"/>
                <w:szCs w:val="24"/>
                <w:u w:val="none"/>
                <w:lang w:val="en-US" w:eastAsia="zh-CN"/>
              </w:rPr>
              <w:t>9</w:t>
            </w:r>
            <w:r>
              <w:rPr>
                <w:rFonts w:hint="eastAsia" w:ascii="仿宋_GB2312" w:hAnsi="仿宋_GB2312" w:eastAsia="仿宋_GB2312" w:cs="仿宋_GB2312"/>
                <w:color w:val="auto"/>
                <w:kern w:val="0"/>
                <w:sz w:val="24"/>
                <w:szCs w:val="24"/>
                <w:u w:val="none"/>
              </w:rPr>
              <w:t>级</w:t>
            </w:r>
            <w:r>
              <w:rPr>
                <w:rFonts w:hint="eastAsia" w:ascii="仿宋_GB2312" w:hAnsi="仿宋_GB2312" w:eastAsia="仿宋_GB2312" w:cs="仿宋_GB2312"/>
                <w:color w:val="auto"/>
                <w:kern w:val="0"/>
                <w:sz w:val="24"/>
                <w:szCs w:val="24"/>
                <w:u w:val="none"/>
                <w:lang w:val="en-US" w:eastAsia="zh-CN"/>
              </w:rPr>
              <w:t>以上</w:t>
            </w:r>
            <w:r>
              <w:rPr>
                <w:rFonts w:hint="eastAsia" w:ascii="仿宋_GB2312" w:hAnsi="仿宋_GB2312" w:eastAsia="仿宋_GB2312" w:cs="仿宋_GB2312"/>
                <w:color w:val="auto"/>
                <w:kern w:val="0"/>
                <w:sz w:val="24"/>
                <w:szCs w:val="24"/>
                <w:u w:val="none"/>
              </w:rPr>
              <w:t>。</w:t>
            </w:r>
          </w:p>
          <w:p w14:paraId="6A4859D5">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3.调节柱采用不小于50mm×25mm（±</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mm）冷轧钢椭圆管，管壁厚度不小于1.2mm；</w:t>
            </w:r>
          </w:p>
          <w:p w14:paraId="50C62969">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4.椅子靠背支架采用约40mm×20mm（±</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mm）优质高频焊接冷轧钢椭圆管，管壁厚度不小于1.2mm。</w:t>
            </w:r>
            <w:r>
              <w:rPr>
                <w:rFonts w:hint="eastAsia" w:ascii="仿宋_GB2312" w:hAnsi="仿宋_GB2312" w:eastAsia="仿宋_GB2312" w:cs="仿宋_GB2312"/>
                <w:color w:val="auto"/>
                <w:sz w:val="24"/>
                <w:szCs w:val="24"/>
              </w:rPr>
              <w:t>钢管符合GB/T 3094-2012《冷拔异型钢管》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QB/T3826-1999《轻工产品金属镀层和化学处理层的耐腐蚀试验方法 中性盐雾试验(NSS)法》、QB/T 3832-1999《轻工产品金属镀层腐蚀试验结果的评价》要求</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其中</w:t>
            </w:r>
            <w:r>
              <w:rPr>
                <w:rFonts w:hint="eastAsia" w:ascii="仿宋_GB2312" w:hAnsi="仿宋_GB2312" w:eastAsia="仿宋_GB2312" w:cs="仿宋_GB2312"/>
                <w:color w:val="auto"/>
                <w:sz w:val="24"/>
                <w:szCs w:val="24"/>
              </w:rPr>
              <w:t>：化学成分(%)（C≤0.20、Si≤0.35、Mn≤1.40、P≤0.045、S≤0.045）</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力学性能（</w:t>
            </w:r>
            <w:r>
              <w:rPr>
                <w:rFonts w:hint="eastAsia" w:ascii="仿宋_GB2312" w:hAnsi="仿宋_GB2312" w:eastAsia="仿宋_GB2312" w:cs="仿宋_GB2312"/>
                <w:color w:val="auto"/>
                <w:sz w:val="24"/>
                <w:szCs w:val="24"/>
                <w:lang w:val="en-US" w:eastAsia="zh-CN"/>
              </w:rPr>
              <w:t>下</w:t>
            </w:r>
            <w:r>
              <w:rPr>
                <w:rFonts w:hint="eastAsia" w:ascii="仿宋_GB2312" w:hAnsi="仿宋_GB2312" w:eastAsia="仿宋_GB2312" w:cs="仿宋_GB2312"/>
                <w:color w:val="auto"/>
                <w:sz w:val="24"/>
                <w:szCs w:val="24"/>
              </w:rPr>
              <w:t>屈服强度≥235N/m㎡、抗拉强度为370-500 N/m㎡、断后伸长率≥2</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kern w:val="0"/>
                <w:sz w:val="24"/>
                <w:szCs w:val="24"/>
                <w:u w:val="none"/>
              </w:rPr>
              <w:t>经过不少于12</w:t>
            </w:r>
            <w:r>
              <w:rPr>
                <w:rFonts w:hint="eastAsia" w:ascii="仿宋_GB2312" w:hAnsi="仿宋_GB2312" w:eastAsia="仿宋_GB2312" w:cs="仿宋_GB2312"/>
                <w:color w:val="auto"/>
                <w:kern w:val="0"/>
                <w:sz w:val="24"/>
                <w:szCs w:val="24"/>
                <w:u w:val="none"/>
                <w:lang w:val="en-US" w:eastAsia="zh-CN"/>
              </w:rPr>
              <w:t>0</w:t>
            </w:r>
            <w:r>
              <w:rPr>
                <w:rFonts w:hint="eastAsia" w:ascii="仿宋_GB2312" w:hAnsi="仿宋_GB2312" w:eastAsia="仿宋_GB2312" w:cs="仿宋_GB2312"/>
                <w:color w:val="auto"/>
                <w:kern w:val="0"/>
                <w:sz w:val="24"/>
                <w:szCs w:val="24"/>
                <w:u w:val="none"/>
              </w:rPr>
              <w:t>h试验，</w:t>
            </w:r>
            <w:r>
              <w:rPr>
                <w:rFonts w:hint="eastAsia" w:ascii="仿宋_GB2312" w:hAnsi="仿宋_GB2312" w:eastAsia="仿宋_GB2312" w:cs="仿宋_GB2312"/>
                <w:color w:val="auto"/>
                <w:kern w:val="0"/>
                <w:sz w:val="24"/>
                <w:szCs w:val="24"/>
                <w:u w:val="none"/>
                <w:lang w:val="en-US" w:eastAsia="zh-CN"/>
              </w:rPr>
              <w:t>耐腐蚀等级</w:t>
            </w:r>
            <w:r>
              <w:rPr>
                <w:rFonts w:hint="eastAsia" w:ascii="仿宋_GB2312" w:hAnsi="仿宋_GB2312" w:eastAsia="仿宋_GB2312" w:cs="仿宋_GB2312"/>
                <w:color w:val="auto"/>
                <w:kern w:val="0"/>
                <w:sz w:val="24"/>
                <w:szCs w:val="24"/>
                <w:u w:val="none"/>
              </w:rPr>
              <w:t>达到</w:t>
            </w:r>
            <w:r>
              <w:rPr>
                <w:rFonts w:hint="eastAsia" w:ascii="仿宋_GB2312" w:hAnsi="仿宋_GB2312" w:eastAsia="仿宋_GB2312" w:cs="仿宋_GB2312"/>
                <w:color w:val="auto"/>
                <w:kern w:val="0"/>
                <w:sz w:val="24"/>
                <w:szCs w:val="24"/>
                <w:u w:val="none"/>
                <w:lang w:val="en-US" w:eastAsia="zh-CN"/>
              </w:rPr>
              <w:t>9</w:t>
            </w:r>
            <w:r>
              <w:rPr>
                <w:rFonts w:hint="eastAsia" w:ascii="仿宋_GB2312" w:hAnsi="仿宋_GB2312" w:eastAsia="仿宋_GB2312" w:cs="仿宋_GB2312"/>
                <w:color w:val="auto"/>
                <w:kern w:val="0"/>
                <w:sz w:val="24"/>
                <w:szCs w:val="24"/>
                <w:u w:val="none"/>
              </w:rPr>
              <w:t>级</w:t>
            </w:r>
            <w:r>
              <w:rPr>
                <w:rFonts w:hint="eastAsia" w:ascii="仿宋_GB2312" w:hAnsi="仿宋_GB2312" w:eastAsia="仿宋_GB2312" w:cs="仿宋_GB2312"/>
                <w:color w:val="auto"/>
                <w:kern w:val="0"/>
                <w:sz w:val="24"/>
                <w:szCs w:val="24"/>
                <w:u w:val="none"/>
                <w:lang w:val="en-US" w:eastAsia="zh-CN"/>
              </w:rPr>
              <w:t>以上</w:t>
            </w:r>
            <w:r>
              <w:rPr>
                <w:rFonts w:hint="eastAsia" w:ascii="仿宋_GB2312" w:hAnsi="仿宋_GB2312" w:eastAsia="仿宋_GB2312" w:cs="仿宋_GB2312"/>
                <w:color w:val="auto"/>
                <w:kern w:val="0"/>
                <w:sz w:val="24"/>
                <w:szCs w:val="24"/>
                <w:u w:val="none"/>
              </w:rPr>
              <w:t>。</w:t>
            </w:r>
          </w:p>
          <w:p w14:paraId="0072C6B5">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（四）脚套</w:t>
            </w:r>
          </w:p>
          <w:p w14:paraId="1380A436">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课桌脚套采用优质PVC软塑料制作，能有效防脱落；脚套符合GB28481-2012《塑料家具中有害物质限量》的标准要求：重金属可溶性铅≤90mg/kg、可溶性镉≤75mg/kg、可溶性汞≤60mg/kg、可溶性铬≤60mg/kg、多溴联苯（PBB）≤1000mg/kg、多溴二苯醚（PBDE）≤1000mg/kg、邻苯二甲酸-2-乙基己基酯（DEHP）≤0.1%、邻苯二甲酸丁基苄酯（BBP）≤0.1%、邻苯二甲酸二丁酯（DBP）≤0.1%、邻苯二甲酸二正辛酯（DNOP）≤0.1%、邻苯二甲酸二异壬酯（DINP）≤0.1%、邻苯二甲酸二异癸酯（DIDP）≤0.1%、多环芳烃苯并</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a</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芘≤1.0mg/kg、16种多环芳烃（PAH）总量≤10mg/kg。</w:t>
            </w:r>
          </w:p>
          <w:p w14:paraId="0DB05D6F">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（五）椅子重量</w:t>
            </w:r>
          </w:p>
          <w:p w14:paraId="7830967C">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整张椅子净重不小于4.6公斤。</w:t>
            </w:r>
          </w:p>
          <w:p w14:paraId="7724AAE7">
            <w:pPr>
              <w:keepNext w:val="0"/>
              <w:keepLines w:val="0"/>
              <w:pageBreakBefore w:val="0"/>
              <w:suppressAutoHyphens/>
              <w:kinsoku/>
              <w:wordWrap/>
              <w:overflowPunct/>
              <w:topLinePunct w:val="0"/>
              <w:autoSpaceDE/>
              <w:autoSpaceDN/>
              <w:bidi w:val="0"/>
              <w:adjustRightInd/>
              <w:snapToGrid/>
              <w:spacing w:line="400" w:lineRule="exact"/>
              <w:ind w:firstLine="482"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（六）固定</w:t>
            </w:r>
          </w:p>
          <w:p w14:paraId="5151A72D">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桌脚架每边立柱采用两颗M8</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sz w:val="24"/>
                <w:szCs w:val="24"/>
              </w:rPr>
              <w:t>15内六角螺栓进行固定。</w:t>
            </w:r>
          </w:p>
          <w:p w14:paraId="45F6CCEC">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三、其他要求</w:t>
            </w:r>
          </w:p>
          <w:p w14:paraId="2A5C930B">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焊接要求：所有钢材焊接方式为二氧化碳保护焊，焊接表面波纹均匀，焊接处无夹渣、气孔、焊瘤、焊丝头咬边飞溅，并保证无脱焊、虚焊及焊穿等现象。各钢件经除锈等工序，经防锈处理，外层采用聚脂环氧粉末喷塑。</w:t>
            </w:r>
          </w:p>
          <w:p w14:paraId="71147BBC">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金属部件表面除锈镀层要求：表面须经过“预脱脂→主脱脂→水洗→水洗→陶化→水洗→纯水洗→预烘干→静电喷塑→高温固化”十工序处理，预备处理后表面无氧化皮、锈蚀、粘砂等其他杂质并及时进行涂饰。金属部件表面涂层的可迁移元素含量符合HJ 2547-2016《环境标志产品技术要求 家具》要求</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其中：</w:t>
            </w:r>
            <w:r>
              <w:rPr>
                <w:rFonts w:hint="eastAsia" w:ascii="仿宋_GB2312" w:hAnsi="仿宋_GB2312" w:eastAsia="仿宋_GB2312" w:cs="仿宋_GB2312"/>
                <w:color w:val="auto"/>
                <w:kern w:val="0"/>
                <w:sz w:val="24"/>
                <w:szCs w:val="24"/>
              </w:rPr>
              <w:t>锑(Sb)≤60mg/kg、砷(As)≤25mg/kg、钡(Ba)≤1000mg/kg、镉(Cd)≤75mg/kg、铬(Cr)≤60mg/kg、铅(Pb)≤90mg/kg、汞(Hg)≤60mg/kg、硒(Se)≤500mg/kg。</w:t>
            </w:r>
          </w:p>
          <w:p w14:paraId="2C19A19E">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3.喷塑要求：</w:t>
            </w:r>
            <w:r>
              <w:rPr>
                <w:rFonts w:hint="eastAsia" w:ascii="仿宋_GB2312" w:hAnsi="仿宋_GB2312" w:eastAsia="仿宋_GB2312" w:cs="仿宋_GB2312"/>
                <w:color w:val="auto"/>
                <w:kern w:val="0"/>
                <w:sz w:val="24"/>
                <w:szCs w:val="24"/>
              </w:rPr>
              <w:t>喷涂采用全自动360度大型喷涂设备，使用喷粉烤漆工艺，不易脱漆掉漆。</w:t>
            </w:r>
            <w:r>
              <w:rPr>
                <w:rFonts w:hint="eastAsia" w:ascii="仿宋_GB2312" w:hAnsi="仿宋_GB2312" w:eastAsia="仿宋_GB2312" w:cs="仿宋_GB2312"/>
                <w:color w:val="auto"/>
                <w:sz w:val="24"/>
                <w:szCs w:val="24"/>
              </w:rPr>
              <w:t>采用环保产品环氧聚脂塑粉静电喷塑。喷塑外膜的表面光滑平整，色泽均匀，喷塑层无漏喷、起泡、模糊、划痕或碰伤等缺陷。塑粉符合HG/T 2006-2022《热固性和热塑性粉末涂料》要求</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其中：</w:t>
            </w:r>
            <w:r>
              <w:rPr>
                <w:rFonts w:hint="eastAsia" w:ascii="仿宋_GB2312" w:hAnsi="仿宋_GB2312" w:eastAsia="仿宋_GB2312" w:cs="仿宋_GB2312"/>
                <w:color w:val="auto"/>
                <w:sz w:val="24"/>
                <w:szCs w:val="24"/>
              </w:rPr>
              <w:t>筛余物(125μm)全部通过、涂膜外观正常、铅笔硬度(内聚破坏中擦伤)≥H、附着力(干附着力)≤1级、弯曲试验≤4mm、耐冲击性(正向冲击)50cm、杯突试验≥4mm、耐磨性(750g/500r)≤50mg、耐碱性168h无异常、耐酸性240h无异常、耐湿性500h无异常、耐沸水性(2h)无异常。</w:t>
            </w:r>
          </w:p>
          <w:p w14:paraId="08096874">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rPr>
              <w:t>4.课椅性能检测必须符合：</w:t>
            </w:r>
            <w:r>
              <w:rPr>
                <w:rFonts w:hint="eastAsia" w:ascii="仿宋_GB2312" w:hAnsi="仿宋_GB2312" w:eastAsia="仿宋_GB2312" w:cs="仿宋_GB2312"/>
                <w:b w:val="0"/>
                <w:bCs w:val="0"/>
                <w:color w:val="auto"/>
                <w:sz w:val="24"/>
                <w:szCs w:val="24"/>
                <w:highlight w:val="none"/>
                <w:u w:val="none"/>
                <w:lang w:val="en-US" w:eastAsia="zh-CN"/>
              </w:rPr>
              <w:t>GB/T 3325-2024《金属家具通用技术条件》、</w:t>
            </w:r>
            <w:r>
              <w:rPr>
                <w:rFonts w:hint="eastAsia" w:ascii="仿宋_GB2312" w:hAnsi="仿宋_GB2312" w:eastAsia="仿宋_GB2312" w:cs="仿宋_GB2312"/>
                <w:color w:val="auto"/>
                <w:sz w:val="24"/>
                <w:szCs w:val="24"/>
                <w:highlight w:val="none"/>
                <w:u w:val="none"/>
                <w:lang w:val="en-US" w:eastAsia="zh-CN"/>
              </w:rPr>
              <w:t>GB/T 32487-2016 《塑料家具通用技术条件》、</w:t>
            </w:r>
            <w:r>
              <w:rPr>
                <w:rFonts w:hint="eastAsia" w:ascii="仿宋_GB2312" w:hAnsi="仿宋_GB2312" w:eastAsia="仿宋_GB2312" w:cs="仿宋_GB2312"/>
                <w:color w:val="auto"/>
                <w:sz w:val="24"/>
                <w:szCs w:val="24"/>
              </w:rPr>
              <w:t>GB/T 35607-2024《绿色产品评价家具》、QB/T 4071-2021《</w:t>
            </w:r>
            <w:r>
              <w:rPr>
                <w:rFonts w:hint="eastAsia" w:ascii="仿宋_GB2312" w:hAnsi="仿宋_GB2312" w:eastAsia="仿宋_GB2312" w:cs="仿宋_GB2312"/>
                <w:color w:val="auto"/>
                <w:sz w:val="24"/>
                <w:szCs w:val="24"/>
                <w:u w:val="none"/>
              </w:rPr>
              <w:t>课桌椅》</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GB 28481-2012 《塑料家具中有害物质限量</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要求，其中：</w:t>
            </w:r>
          </w:p>
          <w:p w14:paraId="5D98EDEF">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u w:val="none"/>
                <w:lang w:val="en-US" w:eastAsia="zh-CN"/>
              </w:rPr>
              <w:t>金属件外观（管材、焊接件、喷漆（塑）涂层）符合要求；塑料件外观符合要求；塑料件形状和位置公差（翘曲度、平整度、底脚平稳性）符合要求；理化性能符合要求；课桌/课椅力学性能符合要求；有害物质限量（表面涂层可迁移元素含量）：铅Pb≤90mg/kg、镉Cd≤50mg/kg、铬Cr≤25mg/kg、汞Hg≤25mg/kg、锑Sb≤60mg/kg、钡Ba≤1000mg/kg、硒Se≤500mg/kg、砷As≤25mg/kg</w:t>
            </w:r>
            <w:r>
              <w:rPr>
                <w:rFonts w:hint="eastAsia" w:ascii="仿宋_GB2312" w:hAnsi="仿宋_GB2312" w:eastAsia="仿宋_GB2312" w:cs="仿宋_GB2312"/>
                <w:color w:val="auto"/>
                <w:sz w:val="24"/>
                <w:szCs w:val="24"/>
              </w:rPr>
              <w:t>；苯并</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芘≤</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mg/kg、16 种多环芳烃（PAH）总量≤10mg/kg；挥发性有机化合物TVOC≤0.3mg/m³。</w:t>
            </w:r>
          </w:p>
          <w:p w14:paraId="7F898A28">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5.金属件表面应光滑平整，应无起泡、泛黄、花斑、烧焦、裂纹、划痕和磕碰伤等。焊接部位应牢固，应无脱焊、虚焊、焊穿；焊缝均匀，应无毛刺、锐棱、飞溅、裂纹等缺陷。</w:t>
            </w:r>
          </w:p>
          <w:p w14:paraId="7465BB7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color w:val="auto"/>
                <w:kern w:val="2"/>
                <w:sz w:val="24"/>
                <w:szCs w:val="24"/>
                <w:lang w:val="en-US" w:eastAsia="zh-CN" w:bidi="ar-SA"/>
              </w:rPr>
              <w:t>6.每张课桌前方需粘贴直径60mm的标识，标识中有产品尺寸、年份。</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2B0FC6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kern w:val="0"/>
                <w:sz w:val="24"/>
                <w:szCs w:val="24"/>
                <w:lang w:val="en-US" w:eastAsia="zh-CN" w:bidi="ar"/>
              </w:rPr>
              <w:t>3000套</w:t>
            </w:r>
          </w:p>
        </w:tc>
      </w:tr>
    </w:tbl>
    <w:p w14:paraId="6BF1DDEE">
      <w:pPr>
        <w:spacing w:line="276" w:lineRule="auto"/>
        <w:ind w:left="420" w:hanging="420"/>
        <w:jc w:val="left"/>
        <w:rPr>
          <w:rFonts w:hint="eastAsia" w:ascii="仿宋_GB2312" w:hAnsi="宋体" w:eastAsia="仿宋_GB2312" w:cs="Times New Roman"/>
          <w:b/>
          <w:color w:val="auto"/>
          <w:sz w:val="24"/>
          <w:lang w:val="en-US" w:eastAsia="zh-CN"/>
        </w:rPr>
      </w:pPr>
    </w:p>
    <w:p w14:paraId="3FB9C19F">
      <w:pPr>
        <w:rPr>
          <w:rFonts w:hint="eastAsia" w:ascii="仿宋_GB2312" w:hAnsi="宋体" w:eastAsia="仿宋_GB2312" w:cs="Times New Roman"/>
          <w:b/>
          <w:color w:val="auto"/>
          <w:sz w:val="24"/>
          <w:lang w:val="en-US" w:eastAsia="zh-CN"/>
        </w:rPr>
      </w:pPr>
      <w:r>
        <w:rPr>
          <w:rFonts w:hint="eastAsia" w:ascii="仿宋_GB2312" w:hAnsi="宋体" w:eastAsia="仿宋_GB2312" w:cs="Times New Roman"/>
          <w:b/>
          <w:color w:val="auto"/>
          <w:sz w:val="24"/>
          <w:lang w:val="en-US" w:eastAsia="zh-CN"/>
        </w:rPr>
        <w:br w:type="page"/>
      </w:r>
    </w:p>
    <w:p w14:paraId="083372F7">
      <w:pPr>
        <w:spacing w:line="276" w:lineRule="auto"/>
        <w:ind w:left="420" w:hanging="420"/>
        <w:jc w:val="left"/>
        <w:rPr>
          <w:rFonts w:hint="eastAsia" w:ascii="仿宋_GB2312" w:hAnsi="宋体" w:eastAsia="仿宋_GB2312" w:cs="Times New Roman"/>
          <w:b/>
          <w:color w:val="auto"/>
          <w:sz w:val="24"/>
          <w:lang w:val="en-US" w:eastAsia="zh-CN"/>
        </w:rPr>
      </w:pPr>
      <w:r>
        <w:rPr>
          <w:rFonts w:hint="eastAsia" w:ascii="仿宋_GB2312" w:hAnsi="宋体" w:eastAsia="仿宋_GB2312" w:cs="Times New Roman"/>
          <w:b/>
          <w:color w:val="auto"/>
          <w:sz w:val="24"/>
          <w:lang w:val="en-US" w:eastAsia="zh-CN"/>
        </w:rPr>
        <w:t>分标三：</w:t>
      </w:r>
    </w:p>
    <w:tbl>
      <w:tblPr>
        <w:tblStyle w:val="48"/>
        <w:tblW w:w="0" w:type="auto"/>
        <w:tblInd w:w="0" w:type="dxa"/>
        <w:tblLayout w:type="fixed"/>
        <w:tblCellMar>
          <w:top w:w="0" w:type="dxa"/>
          <w:left w:w="108" w:type="dxa"/>
          <w:bottom w:w="0" w:type="dxa"/>
          <w:right w:w="108" w:type="dxa"/>
        </w:tblCellMar>
      </w:tblPr>
      <w:tblGrid>
        <w:gridCol w:w="770"/>
        <w:gridCol w:w="975"/>
        <w:gridCol w:w="6375"/>
        <w:gridCol w:w="904"/>
      </w:tblGrid>
      <w:tr w14:paraId="658F0CAA">
        <w:tblPrEx>
          <w:tblCellMar>
            <w:top w:w="0" w:type="dxa"/>
            <w:left w:w="108" w:type="dxa"/>
            <w:bottom w:w="0" w:type="dxa"/>
            <w:right w:w="108" w:type="dxa"/>
          </w:tblCellMar>
        </w:tblPrEx>
        <w:trPr>
          <w:trHeight w:val="603" w:hRule="atLeast"/>
        </w:trPr>
        <w:tc>
          <w:tcPr>
            <w:tcW w:w="9024" w:type="dxa"/>
            <w:gridSpan w:val="4"/>
            <w:tcBorders>
              <w:top w:val="single" w:color="000000" w:sz="4" w:space="0"/>
              <w:left w:val="single" w:color="000000" w:sz="4" w:space="0"/>
              <w:bottom w:val="single" w:color="000000" w:sz="4" w:space="0"/>
              <w:right w:val="single" w:color="000000" w:sz="4" w:space="0"/>
            </w:tcBorders>
            <w:noWrap w:val="0"/>
            <w:vAlign w:val="center"/>
          </w:tcPr>
          <w:p w14:paraId="1175210D">
            <w:pPr>
              <w:widowControl/>
              <w:spacing w:line="380" w:lineRule="exact"/>
              <w:textAlignment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0"/>
                <w:sz w:val="24"/>
                <w:highlight w:val="none"/>
                <w:lang w:bidi="ar"/>
              </w:rPr>
              <w:t>一、项目技术规格参数及要求</w:t>
            </w:r>
          </w:p>
        </w:tc>
      </w:tr>
      <w:tr w14:paraId="255ED406">
        <w:tblPrEx>
          <w:tblCellMar>
            <w:top w:w="0" w:type="dxa"/>
            <w:left w:w="108" w:type="dxa"/>
            <w:bottom w:w="0" w:type="dxa"/>
            <w:right w:w="108" w:type="dxa"/>
          </w:tblCellMar>
        </w:tblPrEx>
        <w:trPr>
          <w:trHeight w:val="285"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565C8D2E">
            <w:pPr>
              <w:widowControl/>
              <w:spacing w:line="38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序号</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8734F93">
            <w:pPr>
              <w:widowControl/>
              <w:spacing w:line="38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标的</w:t>
            </w:r>
          </w:p>
          <w:p w14:paraId="35AB72AF">
            <w:pPr>
              <w:widowControl/>
              <w:spacing w:line="38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名称</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7C1D22D0">
            <w:pPr>
              <w:widowControl/>
              <w:spacing w:line="380" w:lineRule="exact"/>
              <w:jc w:val="center"/>
              <w:textAlignment w:val="center"/>
              <w:rPr>
                <w:color w:val="auto"/>
                <w:highlight w:val="none"/>
              </w:rPr>
            </w:pPr>
            <w:r>
              <w:rPr>
                <w:rFonts w:hint="eastAsia" w:ascii="仿宋_GB2312" w:hAnsi="仿宋_GB2312" w:eastAsia="仿宋_GB2312" w:cs="仿宋_GB2312"/>
                <w:b/>
                <w:bCs/>
                <w:color w:val="auto"/>
                <w:kern w:val="0"/>
                <w:sz w:val="24"/>
                <w:highlight w:val="none"/>
                <w:lang w:bidi="ar"/>
              </w:rPr>
              <w:t>技术参数</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42C501C1">
            <w:pPr>
              <w:widowControl/>
              <w:spacing w:line="380" w:lineRule="exact"/>
              <w:jc w:val="center"/>
              <w:textAlignment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数量及单位</w:t>
            </w:r>
          </w:p>
        </w:tc>
      </w:tr>
      <w:tr w14:paraId="7CB5F2C8">
        <w:tblPrEx>
          <w:tblCellMar>
            <w:top w:w="0" w:type="dxa"/>
            <w:left w:w="108" w:type="dxa"/>
            <w:bottom w:w="0" w:type="dxa"/>
            <w:right w:w="108" w:type="dxa"/>
          </w:tblCellMar>
        </w:tblPrEx>
        <w:trPr>
          <w:trHeight w:val="285"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3F4FB4C7">
            <w:pPr>
              <w:keepNext w:val="0"/>
              <w:keepLines w:val="0"/>
              <w:pageBreakBefore w:val="0"/>
              <w:kinsoku/>
              <w:wordWrap/>
              <w:overflowPunct/>
              <w:topLinePunct w:val="0"/>
              <w:autoSpaceDE/>
              <w:autoSpaceDN/>
              <w:bidi w:val="0"/>
              <w:adjustRightInd/>
              <w:snapToGrid w:val="0"/>
              <w:spacing w:line="400" w:lineRule="exact"/>
              <w:jc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bCs/>
                <w:color w:val="auto"/>
                <w:sz w:val="24"/>
                <w:szCs w:val="24"/>
                <w:highlight w:val="none"/>
                <w:u w:val="none"/>
              </w:rPr>
              <w:t>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7AAEF61">
            <w:pPr>
              <w:keepNext w:val="0"/>
              <w:keepLines w:val="0"/>
              <w:pageBreakBefore w:val="0"/>
              <w:kinsoku/>
              <w:wordWrap/>
              <w:overflowPunct/>
              <w:topLinePunct w:val="0"/>
              <w:autoSpaceDE/>
              <w:autoSpaceDN/>
              <w:bidi w:val="0"/>
              <w:adjustRightInd/>
              <w:snapToGrid w:val="0"/>
              <w:spacing w:line="400" w:lineRule="exact"/>
              <w:jc w:val="center"/>
              <w:rPr>
                <w:rFonts w:hint="eastAsia" w:ascii="仿宋_GB2312" w:hAnsi="仿宋_GB2312" w:eastAsia="仿宋_GB2312" w:cs="仿宋_GB2312"/>
                <w:b/>
                <w:bCs/>
                <w:color w:val="auto"/>
                <w:kern w:val="0"/>
                <w:sz w:val="24"/>
                <w:szCs w:val="24"/>
                <w:highlight w:val="none"/>
                <w:lang w:bidi="ar"/>
              </w:rPr>
            </w:pPr>
            <w:r>
              <w:rPr>
                <w:rFonts w:hint="eastAsia" w:ascii="仿宋_GB2312" w:eastAsia="仿宋_GB2312"/>
                <w:b/>
                <w:bCs/>
                <w:color w:val="auto"/>
                <w:sz w:val="24"/>
              </w:rPr>
              <w:t>▲</w:t>
            </w:r>
            <w:r>
              <w:rPr>
                <w:rFonts w:hint="eastAsia" w:ascii="仿宋_GB2312" w:hAnsi="仿宋_GB2312" w:eastAsia="仿宋_GB2312" w:cs="仿宋_GB2312"/>
                <w:bCs/>
                <w:color w:val="auto"/>
                <w:sz w:val="24"/>
                <w:szCs w:val="24"/>
                <w:highlight w:val="none"/>
                <w:u w:val="none"/>
                <w:lang w:val="en-US" w:eastAsia="zh-CN"/>
              </w:rPr>
              <w:t>小学</w:t>
            </w:r>
            <w:r>
              <w:rPr>
                <w:rFonts w:hint="eastAsia" w:ascii="仿宋_GB2312" w:hAnsi="仿宋_GB2312" w:eastAsia="仿宋_GB2312" w:cs="仿宋_GB2312"/>
                <w:bCs/>
                <w:color w:val="auto"/>
                <w:sz w:val="24"/>
                <w:szCs w:val="24"/>
                <w:highlight w:val="none"/>
                <w:u w:val="none"/>
              </w:rPr>
              <w:t>课桌椅</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47447C1F">
            <w:pPr>
              <w:keepNext w:val="0"/>
              <w:keepLines w:val="0"/>
              <w:pageBreakBefore w:val="0"/>
              <w:numPr>
                <w:ilvl w:val="0"/>
                <w:numId w:val="0"/>
              </w:numPr>
              <w:kinsoku/>
              <w:wordWrap/>
              <w:overflowPunct/>
              <w:topLinePunct w:val="0"/>
              <w:autoSpaceDE/>
              <w:autoSpaceDN/>
              <w:bidi w:val="0"/>
              <w:adjustRightInd/>
              <w:spacing w:line="400" w:lineRule="exact"/>
              <w:rPr>
                <w:rFonts w:hint="eastAsia" w:ascii="仿宋_GB2312" w:hAnsi="仿宋_GB2312" w:eastAsia="仿宋_GB2312" w:cs="仿宋_GB2312"/>
                <w:b/>
                <w:bCs/>
                <w:color w:val="auto"/>
                <w:kern w:val="0"/>
                <w:sz w:val="24"/>
                <w:szCs w:val="24"/>
                <w:u w:val="none"/>
              </w:rPr>
            </w:pPr>
            <w:r>
              <w:rPr>
                <w:rFonts w:hint="eastAsia" w:ascii="仿宋_GB2312" w:hAnsi="仿宋_GB2312" w:eastAsia="仿宋_GB2312" w:cs="仿宋_GB2312"/>
                <w:b/>
                <w:bCs/>
                <w:color w:val="auto"/>
                <w:kern w:val="0"/>
                <w:sz w:val="24"/>
                <w:szCs w:val="24"/>
                <w:u w:val="none"/>
                <w:lang w:val="en-US" w:eastAsia="zh-CN"/>
              </w:rPr>
              <w:t>一、学生课桌</w:t>
            </w:r>
          </w:p>
          <w:p w14:paraId="582C9849">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ascii="仿宋_GB2312" w:eastAsia="仿宋_GB2312"/>
                <w:b/>
                <w:bCs/>
                <w:color w:val="auto"/>
                <w:sz w:val="24"/>
              </w:rPr>
              <w:t>★</w:t>
            </w:r>
            <w:r>
              <w:rPr>
                <w:rFonts w:hint="eastAsia" w:ascii="仿宋_GB2312" w:hAnsi="仿宋_GB2312" w:eastAsia="仿宋_GB2312" w:cs="仿宋_GB2312"/>
                <w:b/>
                <w:bCs/>
                <w:color w:val="auto"/>
                <w:kern w:val="0"/>
                <w:sz w:val="24"/>
                <w:szCs w:val="24"/>
                <w:u w:val="none"/>
                <w:lang w:eastAsia="zh-CN"/>
              </w:rPr>
              <w:t>（</w:t>
            </w:r>
            <w:r>
              <w:rPr>
                <w:rFonts w:hint="eastAsia" w:ascii="仿宋_GB2312" w:hAnsi="仿宋_GB2312" w:eastAsia="仿宋_GB2312" w:cs="仿宋_GB2312"/>
                <w:b/>
                <w:bCs/>
                <w:color w:val="auto"/>
                <w:kern w:val="0"/>
                <w:sz w:val="24"/>
                <w:szCs w:val="24"/>
                <w:u w:val="none"/>
                <w:lang w:val="en-US" w:eastAsia="zh-CN"/>
              </w:rPr>
              <w:t>一</w:t>
            </w:r>
            <w:r>
              <w:rPr>
                <w:rFonts w:hint="eastAsia" w:ascii="仿宋_GB2312" w:hAnsi="仿宋_GB2312" w:eastAsia="仿宋_GB2312" w:cs="仿宋_GB2312"/>
                <w:b/>
                <w:bCs/>
                <w:color w:val="auto"/>
                <w:kern w:val="0"/>
                <w:sz w:val="24"/>
                <w:szCs w:val="24"/>
                <w:u w:val="none"/>
                <w:lang w:eastAsia="zh-CN"/>
              </w:rPr>
              <w:t>）</w:t>
            </w:r>
            <w:r>
              <w:rPr>
                <w:rFonts w:hint="eastAsia" w:ascii="仿宋_GB2312" w:hAnsi="仿宋_GB2312" w:eastAsia="仿宋_GB2312" w:cs="仿宋_GB2312"/>
                <w:b/>
                <w:bCs/>
                <w:color w:val="auto"/>
                <w:kern w:val="0"/>
                <w:sz w:val="24"/>
                <w:szCs w:val="24"/>
                <w:u w:val="none"/>
                <w:lang w:val="en-US" w:eastAsia="zh-CN"/>
              </w:rPr>
              <w:t>课桌整体规格（长×宽×高）</w:t>
            </w:r>
          </w:p>
          <w:p w14:paraId="2BAB8DE0">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kern w:val="0"/>
                <w:sz w:val="24"/>
                <w:szCs w:val="24"/>
                <w:u w:val="none"/>
              </w:rPr>
              <w:t>6</w:t>
            </w:r>
            <w:r>
              <w:rPr>
                <w:rFonts w:hint="eastAsia" w:ascii="仿宋_GB2312" w:hAnsi="仿宋_GB2312" w:eastAsia="仿宋_GB2312" w:cs="仿宋_GB2312"/>
                <w:color w:val="auto"/>
                <w:kern w:val="0"/>
                <w:sz w:val="24"/>
                <w:szCs w:val="24"/>
                <w:u w:val="none"/>
                <w:lang w:val="en-US" w:eastAsia="zh-CN"/>
              </w:rPr>
              <w:t>0</w:t>
            </w:r>
            <w:r>
              <w:rPr>
                <w:rFonts w:hint="eastAsia" w:ascii="仿宋_GB2312" w:hAnsi="仿宋_GB2312" w:eastAsia="仿宋_GB2312" w:cs="仿宋_GB2312"/>
                <w:color w:val="auto"/>
                <w:kern w:val="0"/>
                <w:sz w:val="24"/>
                <w:szCs w:val="24"/>
                <w:u w:val="none"/>
              </w:rPr>
              <w:t>0×</w:t>
            </w:r>
            <w:r>
              <w:rPr>
                <w:rFonts w:hint="eastAsia" w:ascii="仿宋_GB2312" w:hAnsi="仿宋_GB2312" w:eastAsia="仿宋_GB2312" w:cs="仿宋_GB2312"/>
                <w:color w:val="auto"/>
                <w:kern w:val="0"/>
                <w:sz w:val="24"/>
                <w:szCs w:val="24"/>
                <w:u w:val="none"/>
                <w:lang w:val="en-US" w:eastAsia="zh-CN"/>
              </w:rPr>
              <w:t>450</w:t>
            </w:r>
            <w:r>
              <w:rPr>
                <w:rFonts w:hint="eastAsia" w:ascii="仿宋_GB2312" w:hAnsi="仿宋_GB2312" w:eastAsia="仿宋_GB2312" w:cs="仿宋_GB2312"/>
                <w:color w:val="auto"/>
                <w:kern w:val="0"/>
                <w:sz w:val="24"/>
                <w:szCs w:val="24"/>
                <w:u w:val="none"/>
              </w:rPr>
              <w:t>×</w:t>
            </w:r>
            <w:r>
              <w:rPr>
                <w:rFonts w:hint="eastAsia" w:ascii="仿宋_GB2312" w:hAnsi="仿宋_GB2312" w:eastAsia="仿宋_GB2312" w:cs="仿宋_GB2312"/>
                <w:color w:val="auto"/>
                <w:kern w:val="0"/>
                <w:sz w:val="24"/>
                <w:szCs w:val="24"/>
                <w:u w:val="none"/>
                <w:lang w:eastAsia="zh-CN"/>
              </w:rPr>
              <w:t>（</w:t>
            </w:r>
            <w:r>
              <w:rPr>
                <w:rFonts w:hint="eastAsia" w:ascii="仿宋_GB2312" w:hAnsi="仿宋_GB2312" w:eastAsia="仿宋_GB2312" w:cs="仿宋_GB2312"/>
                <w:color w:val="auto"/>
                <w:kern w:val="0"/>
                <w:sz w:val="24"/>
                <w:szCs w:val="24"/>
                <w:u w:val="none"/>
                <w:lang w:val="en-US" w:eastAsia="zh-CN"/>
              </w:rPr>
              <w:t>640-760</w:t>
            </w:r>
            <w:r>
              <w:rPr>
                <w:rFonts w:hint="eastAsia" w:ascii="仿宋_GB2312" w:hAnsi="仿宋_GB2312" w:eastAsia="仿宋_GB2312" w:cs="仿宋_GB2312"/>
                <w:color w:val="auto"/>
                <w:kern w:val="0"/>
                <w:sz w:val="24"/>
                <w:szCs w:val="24"/>
                <w:u w:val="none"/>
                <w:lang w:eastAsia="zh-CN"/>
              </w:rPr>
              <w:t>）</w:t>
            </w:r>
            <w:r>
              <w:rPr>
                <w:rFonts w:hint="eastAsia" w:ascii="仿宋_GB2312" w:hAnsi="仿宋_GB2312" w:eastAsia="仿宋_GB2312" w:cs="仿宋_GB2312"/>
                <w:color w:val="auto"/>
                <w:kern w:val="0"/>
                <w:sz w:val="24"/>
                <w:szCs w:val="24"/>
                <w:u w:val="none"/>
              </w:rPr>
              <w:t>mm</w:t>
            </w:r>
            <w:r>
              <w:rPr>
                <w:rFonts w:hint="eastAsia" w:ascii="仿宋_GB2312" w:hAnsi="仿宋_GB2312" w:eastAsia="仿宋_GB2312" w:cs="仿宋_GB2312"/>
                <w:color w:val="auto"/>
                <w:kern w:val="0"/>
                <w:sz w:val="24"/>
                <w:szCs w:val="24"/>
                <w:u w:val="none"/>
                <w:lang w:eastAsia="zh-CN"/>
              </w:rPr>
              <w:t>（</w:t>
            </w:r>
            <w:r>
              <w:rPr>
                <w:rFonts w:hint="eastAsia" w:ascii="仿宋_GB2312" w:hAnsi="仿宋_GB2312" w:eastAsia="仿宋_GB2312" w:cs="仿宋_GB2312"/>
                <w:color w:val="auto"/>
                <w:kern w:val="0"/>
                <w:sz w:val="24"/>
                <w:szCs w:val="24"/>
                <w:u w:val="none"/>
                <w:lang w:val="en-US" w:eastAsia="zh-CN"/>
              </w:rPr>
              <w:t>可调节高度640mm、670mm、700mm、730mm、760mm</w:t>
            </w:r>
            <w:r>
              <w:rPr>
                <w:rFonts w:hint="eastAsia" w:ascii="仿宋_GB2312" w:hAnsi="仿宋_GB2312" w:eastAsia="仿宋_GB2312" w:cs="仿宋_GB2312"/>
                <w:color w:val="auto"/>
                <w:kern w:val="0"/>
                <w:sz w:val="24"/>
                <w:szCs w:val="24"/>
                <w:u w:val="none"/>
                <w:lang w:eastAsia="zh-CN"/>
              </w:rPr>
              <w:t>）</w:t>
            </w:r>
            <w:r>
              <w:rPr>
                <w:rFonts w:hint="eastAsia" w:ascii="仿宋_GB2312" w:hAnsi="仿宋_GB2312" w:eastAsia="仿宋_GB2312" w:cs="仿宋_GB2312"/>
                <w:color w:val="auto"/>
                <w:sz w:val="24"/>
                <w:szCs w:val="24"/>
                <w:u w:val="none"/>
              </w:rPr>
              <w:t>(±5mm)</w:t>
            </w:r>
            <w:r>
              <w:rPr>
                <w:rFonts w:hint="eastAsia" w:ascii="仿宋_GB2312" w:hAnsi="仿宋_GB2312" w:eastAsia="仿宋_GB2312" w:cs="仿宋_GB2312"/>
                <w:color w:val="auto"/>
                <w:sz w:val="24"/>
                <w:szCs w:val="24"/>
                <w:u w:val="none"/>
                <w:lang w:val="en-US" w:eastAsia="zh-CN"/>
              </w:rPr>
              <w:t>等5个高度的调整</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lang w:val="en-US" w:eastAsia="zh-CN"/>
              </w:rPr>
              <w:t xml:space="preserve">  </w:t>
            </w:r>
          </w:p>
          <w:p w14:paraId="71F5F0F4">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（二）课桌桌面</w:t>
            </w:r>
          </w:p>
          <w:p w14:paraId="4ABA4D94">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1.</w:t>
            </w:r>
            <w:r>
              <w:rPr>
                <w:rFonts w:hint="eastAsia" w:ascii="仿宋_GB2312" w:hAnsi="仿宋_GB2312" w:eastAsia="仿宋_GB2312" w:cs="仿宋_GB2312"/>
                <w:color w:val="auto"/>
                <w:sz w:val="24"/>
                <w:szCs w:val="24"/>
                <w:u w:val="none"/>
              </w:rPr>
              <w:t xml:space="preserve">桌面规格600 (±5mm) </w:t>
            </w:r>
            <w:r>
              <w:rPr>
                <w:rFonts w:hint="eastAsia" w:ascii="仿宋_GB2312" w:hAnsi="仿宋_GB2312" w:eastAsia="仿宋_GB2312" w:cs="仿宋_GB2312"/>
                <w:color w:val="auto"/>
                <w:kern w:val="0"/>
                <w:sz w:val="24"/>
                <w:szCs w:val="24"/>
                <w:u w:val="none"/>
              </w:rPr>
              <w:t>×</w:t>
            </w:r>
            <w:r>
              <w:rPr>
                <w:rFonts w:hint="eastAsia" w:ascii="仿宋_GB2312" w:hAnsi="仿宋_GB2312" w:eastAsia="仿宋_GB2312" w:cs="仿宋_GB2312"/>
                <w:color w:val="auto"/>
                <w:sz w:val="24"/>
                <w:szCs w:val="24"/>
                <w:u w:val="none"/>
              </w:rPr>
              <w:t>4</w:t>
            </w:r>
            <w:r>
              <w:rPr>
                <w:rFonts w:hint="eastAsia" w:ascii="仿宋_GB2312" w:hAnsi="仿宋_GB2312" w:eastAsia="仿宋_GB2312" w:cs="仿宋_GB2312"/>
                <w:color w:val="auto"/>
                <w:sz w:val="24"/>
                <w:szCs w:val="24"/>
                <w:u w:val="none"/>
                <w:lang w:val="en-US" w:eastAsia="zh-CN"/>
              </w:rPr>
              <w:t>5</w:t>
            </w:r>
            <w:r>
              <w:rPr>
                <w:rFonts w:hint="eastAsia" w:ascii="仿宋_GB2312" w:hAnsi="仿宋_GB2312" w:eastAsia="仿宋_GB2312" w:cs="仿宋_GB2312"/>
                <w:color w:val="auto"/>
                <w:sz w:val="24"/>
                <w:szCs w:val="24"/>
                <w:u w:val="none"/>
              </w:rPr>
              <w:t>0 (±5mm)</w:t>
            </w:r>
            <w:r>
              <w:rPr>
                <w:rFonts w:hint="eastAsia" w:ascii="仿宋_GB2312" w:hAnsi="仿宋_GB2312" w:eastAsia="仿宋_GB2312" w:cs="仿宋_GB2312"/>
                <w:color w:val="auto"/>
                <w:kern w:val="0"/>
                <w:sz w:val="24"/>
                <w:szCs w:val="24"/>
                <w:u w:val="none"/>
              </w:rPr>
              <w:t>×</w:t>
            </w:r>
            <w:r>
              <w:rPr>
                <w:rFonts w:hint="eastAsia" w:ascii="仿宋_GB2312" w:hAnsi="仿宋_GB2312" w:eastAsia="仿宋_GB2312" w:cs="仿宋_GB2312"/>
                <w:color w:val="auto"/>
                <w:sz w:val="24"/>
                <w:szCs w:val="24"/>
                <w:u w:val="none"/>
                <w:lang w:val="en-US" w:eastAsia="zh-CN"/>
              </w:rPr>
              <w:t>25</w:t>
            </w:r>
            <w:r>
              <w:rPr>
                <w:rFonts w:hint="eastAsia" w:ascii="仿宋_GB2312" w:hAnsi="仿宋_GB2312" w:eastAsia="仿宋_GB2312" w:cs="仿宋_GB2312"/>
                <w:color w:val="auto"/>
                <w:sz w:val="24"/>
                <w:szCs w:val="24"/>
                <w:u w:val="none"/>
              </w:rPr>
              <w:t>(±2mm) 。</w:t>
            </w:r>
          </w:p>
          <w:p w14:paraId="3AF2CC87">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2.材质：</w:t>
            </w:r>
            <w:r>
              <w:rPr>
                <w:rFonts w:hint="eastAsia" w:ascii="仿宋_GB2312" w:hAnsi="仿宋_GB2312" w:eastAsia="仿宋_GB2312" w:cs="仿宋_GB2312"/>
                <w:color w:val="auto"/>
                <w:sz w:val="24"/>
                <w:szCs w:val="24"/>
                <w:u w:val="none"/>
              </w:rPr>
              <w:t>采用环保ABS全新塑料一体成型，整体厚度达</w:t>
            </w:r>
            <w:r>
              <w:rPr>
                <w:rFonts w:hint="eastAsia" w:ascii="仿宋_GB2312" w:hAnsi="仿宋_GB2312" w:eastAsia="仿宋_GB2312" w:cs="仿宋_GB2312"/>
                <w:color w:val="auto"/>
                <w:sz w:val="24"/>
                <w:szCs w:val="24"/>
                <w:u w:val="none"/>
                <w:lang w:val="en-US" w:eastAsia="zh-CN"/>
              </w:rPr>
              <w:t>25</w:t>
            </w:r>
            <w:r>
              <w:rPr>
                <w:rFonts w:hint="eastAsia" w:ascii="仿宋_GB2312" w:hAnsi="仿宋_GB2312" w:eastAsia="仿宋_GB2312" w:cs="仿宋_GB2312"/>
                <w:color w:val="auto"/>
                <w:sz w:val="24"/>
                <w:szCs w:val="24"/>
                <w:u w:val="none"/>
              </w:rPr>
              <w:t>mm(±2mm)。桌面正面为整个平面设计，不能有凹凸，不能有文具槽、挡笔条、水杯槽等凹凸的设置。桌面四个角的转角</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桌面上下边沿平整圆滑。桌面反面（底部）设计有纵横加强筋，加强筋两两间距离≤</w:t>
            </w:r>
            <w:r>
              <w:rPr>
                <w:rFonts w:hint="eastAsia" w:ascii="仿宋_GB2312" w:hAnsi="仿宋_GB2312" w:eastAsia="仿宋_GB2312" w:cs="仿宋_GB2312"/>
                <w:color w:val="auto"/>
                <w:sz w:val="24"/>
                <w:szCs w:val="24"/>
                <w:u w:val="none"/>
                <w:lang w:val="en-US" w:eastAsia="zh-CN"/>
              </w:rPr>
              <w:t>6</w:t>
            </w:r>
            <w:r>
              <w:rPr>
                <w:rFonts w:hint="eastAsia" w:ascii="仿宋_GB2312" w:hAnsi="仿宋_GB2312" w:eastAsia="仿宋_GB2312" w:cs="仿宋_GB2312"/>
                <w:color w:val="auto"/>
                <w:sz w:val="24"/>
                <w:szCs w:val="24"/>
                <w:u w:val="none"/>
              </w:rPr>
              <w:t>0mm，以保证坚固可靠性。桌面下面设有两个15mm(±2mm)×30mm(±2mm)的</w:t>
            </w:r>
            <w:r>
              <w:rPr>
                <w:rFonts w:hint="eastAsia" w:ascii="仿宋_GB2312" w:hAnsi="仿宋_GB2312" w:eastAsia="仿宋_GB2312" w:cs="仿宋_GB2312"/>
                <w:color w:val="auto"/>
                <w:sz w:val="24"/>
                <w:szCs w:val="24"/>
                <w:u w:val="none"/>
                <w:lang w:val="en-US" w:eastAsia="zh-CN"/>
              </w:rPr>
              <w:t>冷轧钢</w:t>
            </w:r>
            <w:r>
              <w:rPr>
                <w:rFonts w:hint="eastAsia" w:ascii="仿宋_GB2312" w:hAnsi="仿宋_GB2312" w:eastAsia="仿宋_GB2312" w:cs="仿宋_GB2312"/>
                <w:color w:val="auto"/>
                <w:sz w:val="24"/>
                <w:szCs w:val="24"/>
                <w:u w:val="none"/>
              </w:rPr>
              <w:t>方管支撑桌面，方管材料厚度≥1.0mm。</w:t>
            </w:r>
          </w:p>
          <w:p w14:paraId="48034F6F">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u w:val="single"/>
              </w:rPr>
              <w:t>ABS桌面符合GB/T</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32487-2016《塑料家具通用技术条件》</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rPr>
              <w:t>GB 28481-2012 《塑料家具中有害物质限量》</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rPr>
              <w:t>GB/T</w:t>
            </w:r>
            <w:r>
              <w:rPr>
                <w:rFonts w:hint="eastAsia" w:ascii="仿宋_GB2312" w:hAnsi="仿宋_GB2312" w:eastAsia="仿宋_GB2312" w:cs="仿宋_GB2312"/>
                <w:color w:val="auto"/>
                <w:sz w:val="24"/>
                <w:szCs w:val="24"/>
                <w:u w:val="single"/>
                <w:lang w:val="en-US" w:eastAsia="zh-CN"/>
              </w:rPr>
              <w:t xml:space="preserve"> 31402-2023</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lang w:val="en-US" w:eastAsia="zh-CN"/>
              </w:rPr>
              <w:t>塑料和其他无孔材料表面抗菌活性的测定》</w:t>
            </w:r>
            <w:r>
              <w:rPr>
                <w:rFonts w:hint="eastAsia" w:ascii="仿宋_GB2312" w:hAnsi="仿宋_GB2312" w:eastAsia="仿宋_GB2312" w:cs="仿宋_GB2312"/>
                <w:color w:val="auto"/>
                <w:sz w:val="24"/>
                <w:szCs w:val="24"/>
                <w:u w:val="single"/>
              </w:rPr>
              <w:t>标准，有害物质邻苯二甲酸酯≤</w:t>
            </w:r>
            <w:r>
              <w:rPr>
                <w:rFonts w:hint="eastAsia" w:ascii="仿宋_GB2312" w:hAnsi="仿宋_GB2312" w:eastAsia="仿宋_GB2312" w:cs="仿宋_GB2312"/>
                <w:color w:val="auto"/>
                <w:sz w:val="24"/>
                <w:szCs w:val="24"/>
                <w:u w:val="single"/>
                <w:lang w:val="en-US" w:eastAsia="zh-CN"/>
              </w:rPr>
              <w:t>0.1%</w:t>
            </w:r>
            <w:r>
              <w:rPr>
                <w:rFonts w:hint="eastAsia" w:ascii="仿宋_GB2312" w:hAnsi="仿宋_GB2312" w:eastAsia="仿宋_GB2312" w:cs="仿宋_GB2312"/>
                <w:color w:val="auto"/>
                <w:sz w:val="24"/>
                <w:szCs w:val="24"/>
                <w:u w:val="single"/>
              </w:rPr>
              <w:t>、多溴联苯(PBB)≤</w:t>
            </w:r>
            <w:r>
              <w:rPr>
                <w:rFonts w:hint="eastAsia" w:ascii="仿宋_GB2312" w:hAnsi="仿宋_GB2312" w:eastAsia="仿宋_GB2312" w:cs="仿宋_GB2312"/>
                <w:color w:val="auto"/>
                <w:sz w:val="24"/>
                <w:szCs w:val="24"/>
                <w:u w:val="single"/>
                <w:lang w:val="en-US" w:eastAsia="zh-CN"/>
              </w:rPr>
              <w:t>1000mg/kg</w:t>
            </w:r>
            <w:r>
              <w:rPr>
                <w:rFonts w:hint="eastAsia" w:ascii="仿宋_GB2312" w:hAnsi="仿宋_GB2312" w:eastAsia="仿宋_GB2312" w:cs="仿宋_GB2312"/>
                <w:color w:val="auto"/>
                <w:sz w:val="24"/>
                <w:szCs w:val="24"/>
                <w:u w:val="single"/>
              </w:rPr>
              <w:t>、多溴二苯醚(PBDE)≤</w:t>
            </w:r>
            <w:r>
              <w:rPr>
                <w:rFonts w:hint="eastAsia" w:ascii="仿宋_GB2312" w:hAnsi="仿宋_GB2312" w:eastAsia="仿宋_GB2312" w:cs="仿宋_GB2312"/>
                <w:color w:val="auto"/>
                <w:sz w:val="24"/>
                <w:szCs w:val="24"/>
                <w:u w:val="single"/>
                <w:lang w:val="en-US" w:eastAsia="zh-CN"/>
              </w:rPr>
              <w:t>1000mg/kg</w:t>
            </w:r>
            <w:r>
              <w:rPr>
                <w:rFonts w:hint="eastAsia" w:ascii="仿宋_GB2312" w:hAnsi="仿宋_GB2312" w:eastAsia="仿宋_GB2312" w:cs="仿宋_GB2312"/>
                <w:color w:val="auto"/>
                <w:sz w:val="24"/>
                <w:szCs w:val="24"/>
                <w:u w:val="single"/>
              </w:rPr>
              <w:t>；</w:t>
            </w:r>
            <w:r>
              <w:rPr>
                <w:rFonts w:hint="eastAsia" w:ascii="仿宋_GB2312" w:hAnsi="仿宋_GB2312" w:eastAsia="仿宋_GB2312" w:cs="仿宋_GB2312"/>
                <w:color w:val="auto"/>
                <w:sz w:val="24"/>
                <w:szCs w:val="24"/>
                <w:u w:val="single"/>
                <w:lang w:val="en-US" w:eastAsia="zh-CN"/>
              </w:rPr>
              <w:t>塑料件</w:t>
            </w:r>
            <w:r>
              <w:rPr>
                <w:rFonts w:hint="eastAsia" w:ascii="仿宋_GB2312" w:hAnsi="仿宋_GB2312" w:eastAsia="仿宋_GB2312" w:cs="仿宋_GB2312"/>
                <w:color w:val="auto"/>
                <w:sz w:val="24"/>
                <w:szCs w:val="24"/>
                <w:u w:val="single"/>
              </w:rPr>
              <w:t>硬度≥HD63</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rPr>
              <w:t>耐冷热循环：应无裂纹、鼓泡、变色、起皱；耐老化性:500h测试，冲击强度的保持率≥60%，外观颜色变色评级≥3级</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lang w:val="en-US" w:eastAsia="zh-CN"/>
              </w:rPr>
              <w:t>抗</w:t>
            </w:r>
            <w:r>
              <w:rPr>
                <w:rFonts w:hint="eastAsia" w:ascii="仿宋_GB2312" w:hAnsi="仿宋_GB2312" w:eastAsia="仿宋_GB2312" w:cs="仿宋_GB2312"/>
                <w:color w:val="auto"/>
                <w:kern w:val="2"/>
                <w:sz w:val="24"/>
                <w:szCs w:val="24"/>
                <w:highlight w:val="none"/>
                <w:u w:val="single"/>
                <w:lang w:val="en-US" w:eastAsia="zh-CN" w:bidi="ar-SA"/>
              </w:rPr>
              <w:t>金黄色葡萄球菌</w:t>
            </w:r>
            <w:r>
              <w:rPr>
                <w:rFonts w:hint="eastAsia" w:ascii="仿宋_GB2312" w:hAnsi="仿宋_GB2312" w:eastAsia="仿宋_GB2312" w:cs="仿宋_GB2312"/>
                <w:color w:val="auto"/>
                <w:sz w:val="24"/>
                <w:szCs w:val="24"/>
                <w:u w:val="single"/>
                <w:lang w:val="en-US" w:eastAsia="zh-CN"/>
              </w:rPr>
              <w:t>率</w:t>
            </w:r>
            <w:r>
              <w:rPr>
                <w:rFonts w:hint="eastAsia" w:ascii="仿宋_GB2312" w:hAnsi="仿宋_GB2312" w:eastAsia="仿宋_GB2312" w:cs="仿宋_GB2312"/>
                <w:color w:val="auto"/>
                <w:sz w:val="24"/>
                <w:szCs w:val="24"/>
                <w:u w:val="single"/>
              </w:rPr>
              <w:t>≥</w:t>
            </w:r>
            <w:r>
              <w:rPr>
                <w:rFonts w:hint="eastAsia" w:ascii="仿宋_GB2312" w:hAnsi="仿宋_GB2312" w:eastAsia="仿宋_GB2312" w:cs="仿宋_GB2312"/>
                <w:color w:val="auto"/>
                <w:sz w:val="24"/>
                <w:szCs w:val="24"/>
                <w:u w:val="single"/>
                <w:lang w:val="en-US" w:eastAsia="zh-CN"/>
              </w:rPr>
              <w:t>99%</w:t>
            </w:r>
            <w:r>
              <w:rPr>
                <w:rFonts w:hint="eastAsia" w:ascii="仿宋_GB2312" w:hAnsi="仿宋_GB2312" w:eastAsia="仿宋_GB2312" w:cs="仿宋_GB2312"/>
                <w:color w:val="auto"/>
                <w:sz w:val="24"/>
                <w:szCs w:val="24"/>
                <w:u w:val="single"/>
              </w:rPr>
              <w:t>。</w:t>
            </w:r>
          </w:p>
          <w:p w14:paraId="295C2D8D">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（三）课桌书斗：</w:t>
            </w:r>
          </w:p>
          <w:p w14:paraId="6A254423">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采用≥0.</w:t>
            </w:r>
            <w:r>
              <w:rPr>
                <w:rFonts w:hint="eastAsia" w:ascii="仿宋_GB2312" w:hAnsi="仿宋_GB2312" w:eastAsia="仿宋_GB2312" w:cs="仿宋_GB2312"/>
                <w:color w:val="auto"/>
                <w:sz w:val="24"/>
                <w:szCs w:val="24"/>
                <w:u w:val="none"/>
                <w:lang w:val="en-US" w:eastAsia="zh-CN"/>
              </w:rPr>
              <w:t>8</w:t>
            </w:r>
            <w:r>
              <w:rPr>
                <w:rFonts w:hint="eastAsia" w:ascii="仿宋_GB2312" w:hAnsi="仿宋_GB2312" w:eastAsia="仿宋_GB2312" w:cs="仿宋_GB2312"/>
                <w:color w:val="auto"/>
                <w:kern w:val="0"/>
                <w:sz w:val="24"/>
                <w:szCs w:val="24"/>
                <w:u w:val="none"/>
              </w:rPr>
              <w:t>mm厚（按国标测量，测量裸板，不含涂料）冷轧钢板液压一次成型，</w:t>
            </w:r>
            <w:r>
              <w:rPr>
                <w:rFonts w:hint="eastAsia" w:ascii="仿宋_GB2312" w:hAnsi="仿宋_GB2312" w:eastAsia="仿宋_GB2312" w:cs="仿宋_GB2312"/>
                <w:color w:val="auto"/>
                <w:sz w:val="24"/>
                <w:szCs w:val="24"/>
                <w:u w:val="none"/>
              </w:rPr>
              <w:t>尺寸为</w:t>
            </w:r>
            <w:r>
              <w:rPr>
                <w:rFonts w:hint="eastAsia" w:ascii="仿宋_GB2312" w:hAnsi="仿宋_GB2312" w:eastAsia="仿宋_GB2312" w:cs="仿宋_GB2312"/>
                <w:color w:val="auto"/>
                <w:sz w:val="24"/>
                <w:szCs w:val="24"/>
                <w:u w:val="none"/>
                <w:lang w:val="en-US" w:eastAsia="zh-CN"/>
              </w:rPr>
              <w:t>长</w:t>
            </w:r>
            <w:r>
              <w:rPr>
                <w:rFonts w:hint="eastAsia" w:ascii="仿宋_GB2312" w:hAnsi="仿宋_GB2312" w:eastAsia="仿宋_GB2312" w:cs="仿宋_GB2312"/>
                <w:color w:val="auto"/>
                <w:sz w:val="24"/>
                <w:szCs w:val="24"/>
                <w:u w:val="none"/>
              </w:rPr>
              <w:t>450×</w:t>
            </w:r>
            <w:r>
              <w:rPr>
                <w:rFonts w:hint="eastAsia" w:ascii="仿宋_GB2312" w:hAnsi="仿宋_GB2312" w:eastAsia="仿宋_GB2312" w:cs="仿宋_GB2312"/>
                <w:color w:val="auto"/>
                <w:sz w:val="24"/>
                <w:szCs w:val="24"/>
                <w:u w:val="none"/>
                <w:lang w:val="en-US" w:eastAsia="zh-CN"/>
              </w:rPr>
              <w:t>宽</w:t>
            </w:r>
            <w:r>
              <w:rPr>
                <w:rFonts w:hint="eastAsia" w:ascii="仿宋_GB2312" w:hAnsi="仿宋_GB2312" w:eastAsia="仿宋_GB2312" w:cs="仿宋_GB2312"/>
                <w:color w:val="auto"/>
                <w:sz w:val="24"/>
                <w:szCs w:val="24"/>
                <w:u w:val="none"/>
              </w:rPr>
              <w:t>300×</w:t>
            </w:r>
            <w:r>
              <w:rPr>
                <w:rFonts w:hint="eastAsia" w:ascii="仿宋_GB2312" w:hAnsi="仿宋_GB2312" w:eastAsia="仿宋_GB2312" w:cs="仿宋_GB2312"/>
                <w:color w:val="auto"/>
                <w:sz w:val="24"/>
                <w:szCs w:val="24"/>
                <w:u w:val="none"/>
                <w:lang w:val="en-US" w:eastAsia="zh-CN"/>
              </w:rPr>
              <w:t>高</w:t>
            </w:r>
            <w:r>
              <w:rPr>
                <w:rFonts w:hint="eastAsia" w:ascii="仿宋_GB2312" w:hAnsi="仿宋_GB2312" w:eastAsia="仿宋_GB2312" w:cs="仿宋_GB2312"/>
                <w:color w:val="auto"/>
                <w:sz w:val="24"/>
                <w:szCs w:val="24"/>
                <w:u w:val="none"/>
              </w:rPr>
              <w:t>150</w:t>
            </w:r>
            <w:r>
              <w:rPr>
                <w:rFonts w:hint="eastAsia" w:ascii="仿宋_GB2312" w:hAnsi="仿宋_GB2312" w:eastAsia="仿宋_GB2312" w:cs="仿宋_GB2312"/>
                <w:color w:val="auto"/>
                <w:kern w:val="0"/>
                <w:sz w:val="24"/>
                <w:szCs w:val="24"/>
                <w:u w:val="none"/>
              </w:rPr>
              <w:t>mm</w:t>
            </w:r>
            <w:r>
              <w:rPr>
                <w:rFonts w:hint="eastAsia" w:ascii="仿宋_GB2312" w:hAnsi="仿宋_GB2312" w:eastAsia="仿宋_GB2312" w:cs="仿宋_GB2312"/>
                <w:color w:val="auto"/>
                <w:sz w:val="24"/>
                <w:szCs w:val="24"/>
                <w:u w:val="none"/>
              </w:rPr>
              <w:t>(±5mm)</w:t>
            </w:r>
            <w:r>
              <w:rPr>
                <w:rFonts w:hint="eastAsia" w:ascii="仿宋_GB2312" w:hAnsi="仿宋_GB2312" w:eastAsia="仿宋_GB2312" w:cs="仿宋_GB2312"/>
                <w:color w:val="auto"/>
                <w:kern w:val="0"/>
                <w:sz w:val="24"/>
                <w:szCs w:val="24"/>
                <w:u w:val="none"/>
              </w:rPr>
              <w:t>，</w:t>
            </w:r>
            <w:r>
              <w:rPr>
                <w:rFonts w:hint="eastAsia" w:ascii="仿宋_GB2312" w:hAnsi="仿宋_GB2312" w:eastAsia="仿宋_GB2312" w:cs="仿宋_GB2312"/>
                <w:color w:val="auto"/>
                <w:sz w:val="24"/>
                <w:szCs w:val="24"/>
                <w:u w:val="none"/>
              </w:rPr>
              <w:t>方便学生放取书物。</w:t>
            </w:r>
          </w:p>
          <w:p w14:paraId="29FE3327">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single"/>
                <w:lang w:val="en-US" w:eastAsia="zh-CN"/>
              </w:rPr>
              <w:t>冷轧钢板符合GB/T 11253-2019《碳素结构钢冷轧钢板及钢带》、GB/T 10125-2021《人造气氛腐蚀试验 盐雾试验》、GB/T6461-2002《金属基体上金属和其他无机覆盖层经腐蚀试验后的试样和试件的评级》、GB/T3325-2024《金属家具通用技术条件》标准，力学性能：下屈服强度≥195Mpa、抗拉强度315～430Mpa、断后伸长率≥24%，表面结构（平均粗糙度）≤0.9μm，弯曲试验（180°）、表面质量合格，经过96h人造气氛腐蚀试验（中性盐雾NSS、乙酸盐雾AASS），保护评级、外观评级均不低于9级；</w:t>
            </w:r>
            <w:r>
              <w:rPr>
                <w:rFonts w:hint="eastAsia" w:ascii="仿宋_GB2312" w:hAnsi="仿宋_GB2312" w:eastAsia="仿宋_GB2312" w:cs="仿宋_GB2312"/>
                <w:b w:val="0"/>
                <w:bCs w:val="0"/>
                <w:color w:val="auto"/>
                <w:sz w:val="24"/>
                <w:szCs w:val="24"/>
                <w:highlight w:val="none"/>
                <w:u w:val="single"/>
                <w:lang w:val="en-US" w:eastAsia="zh-CN"/>
              </w:rPr>
              <w:t>金属喷漆（塑）涂层：硬度（铅笔硬度H，应无塑性变形和或内聚破坏）、冲击强度（冲击高度400mm，应无剥落、裂纹、皱纹）、附着力（2级或优于2级）。</w:t>
            </w:r>
          </w:p>
          <w:p w14:paraId="4CD013A7">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（四）课桌书篮：</w:t>
            </w:r>
          </w:p>
          <w:p w14:paraId="6A13E491">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kern w:val="2"/>
                <w:sz w:val="24"/>
                <w:szCs w:val="24"/>
                <w:u w:val="none"/>
                <w:lang w:val="en-US" w:eastAsia="zh-CN" w:bidi="ar-SA"/>
              </w:rPr>
              <w:t>桌斗下设置置物书包篮，长500mm×160mm×高160mm</w:t>
            </w:r>
            <w:r>
              <w:rPr>
                <w:rFonts w:hint="eastAsia" w:ascii="仿宋_GB2312" w:hAnsi="仿宋_GB2312" w:eastAsia="仿宋_GB2312" w:cs="仿宋_GB2312"/>
                <w:color w:val="auto"/>
                <w:sz w:val="24"/>
                <w:szCs w:val="24"/>
                <w:u w:val="none"/>
              </w:rPr>
              <w:t>(±5mm)</w:t>
            </w:r>
            <w:r>
              <w:rPr>
                <w:rFonts w:hint="eastAsia" w:ascii="仿宋_GB2312" w:hAnsi="仿宋_GB2312" w:eastAsia="仿宋_GB2312" w:cs="仿宋_GB2312"/>
                <w:color w:val="auto"/>
                <w:kern w:val="2"/>
                <w:sz w:val="24"/>
                <w:szCs w:val="24"/>
                <w:u w:val="none"/>
                <w:lang w:val="en-US" w:eastAsia="zh-CN" w:bidi="ar-SA"/>
              </w:rPr>
              <w:t>，φ16mm(±2mm)冷轧钢圆管和≥0.7mm厚冷轧钢板焊接成型，可放书包或书籍，采用整钢板细孔设计，每个孔空大小需≤10mm，放书籍时不能掉落。</w:t>
            </w:r>
          </w:p>
          <w:p w14:paraId="2FB062A0">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singl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w:t>
            </w:r>
            <w:r>
              <w:rPr>
                <w:rFonts w:hint="eastAsia" w:ascii="仿宋_GB2312" w:hAnsi="仿宋_GB2312" w:eastAsia="仿宋_GB2312" w:cs="仿宋_GB2312"/>
                <w:color w:val="auto"/>
                <w:kern w:val="2"/>
                <w:sz w:val="24"/>
                <w:szCs w:val="24"/>
                <w:highlight w:val="none"/>
                <w:u w:val="single"/>
                <w:lang w:val="en-US" w:eastAsia="zh-CN" w:bidi="ar-SA"/>
              </w:rPr>
              <w:t>课桌书篮符合GB/T 3325-2024 《金属家具通用技术条件》、GB/T 10125-2021 《人造气氛腐蚀试验 盐雾试验》、GB/T6461-2002 《金属基体上金属和其他无机覆盖层经腐蚀试验后的试样和试件的评级》、</w:t>
            </w:r>
            <w:r>
              <w:rPr>
                <w:rFonts w:hint="eastAsia" w:ascii="仿宋_GB2312" w:hAnsi="仿宋_GB2312" w:eastAsia="仿宋_GB2312" w:cs="仿宋_GB2312"/>
                <w:b w:val="0"/>
                <w:bCs w:val="0"/>
                <w:color w:val="auto"/>
                <w:kern w:val="2"/>
                <w:sz w:val="24"/>
                <w:szCs w:val="24"/>
                <w:highlight w:val="none"/>
                <w:u w:val="single"/>
                <w:lang w:val="en-US" w:eastAsia="zh-CN" w:bidi="ar-SA"/>
              </w:rPr>
              <w:t>GB/T 35607-2024《绿色产品评价 家具》、</w:t>
            </w:r>
            <w:r>
              <w:rPr>
                <w:rFonts w:hint="eastAsia" w:ascii="仿宋_GB2312" w:hAnsi="仿宋_GB2312" w:eastAsia="仿宋_GB2312" w:cs="仿宋_GB2312"/>
                <w:color w:val="auto"/>
                <w:kern w:val="2"/>
                <w:sz w:val="24"/>
                <w:szCs w:val="24"/>
                <w:highlight w:val="none"/>
                <w:u w:val="single"/>
                <w:lang w:val="en-US" w:eastAsia="zh-CN" w:bidi="ar-SA"/>
              </w:rPr>
              <w:t xml:space="preserve">GB/T 11253-2019《 碳素结构钢冷轧钢板及钢带》要求，其中：  </w:t>
            </w:r>
          </w:p>
          <w:p w14:paraId="6B5EE003">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single"/>
                <w:lang w:val="en-US" w:eastAsia="zh-CN" w:bidi="ar-SA"/>
              </w:rPr>
            </w:pPr>
            <w:r>
              <w:rPr>
                <w:rFonts w:hint="eastAsia" w:ascii="仿宋_GB2312" w:hAnsi="仿宋_GB2312" w:eastAsia="仿宋_GB2312" w:cs="仿宋_GB2312"/>
                <w:color w:val="auto"/>
                <w:kern w:val="2"/>
                <w:sz w:val="24"/>
                <w:szCs w:val="24"/>
                <w:highlight w:val="none"/>
                <w:u w:val="single"/>
                <w:lang w:val="en-US" w:eastAsia="zh-CN" w:bidi="ar-SA"/>
              </w:rPr>
              <w:t>外观性能（金属件喷漆（塑）涂层）：应无漏喷、锈蚀、脱色、掉色等，应光滑均匀，色泽一致，应无挂流、疙瘩、皱皮、飞漆等；力学性能：下屈服强度≥195Mpa，抗拉强度315～430Mpa，断后伸长率≥24%；</w:t>
            </w:r>
            <w:r>
              <w:rPr>
                <w:rFonts w:hint="eastAsia" w:ascii="仿宋_GB2312" w:hAnsi="仿宋_GB2312" w:eastAsia="仿宋_GB2312" w:cs="仿宋_GB2312"/>
                <w:b w:val="0"/>
                <w:bCs w:val="0"/>
                <w:color w:val="auto"/>
                <w:kern w:val="2"/>
                <w:sz w:val="24"/>
                <w:szCs w:val="24"/>
                <w:highlight w:val="none"/>
                <w:u w:val="single"/>
                <w:lang w:val="en-US" w:eastAsia="zh-CN" w:bidi="ar-SA"/>
              </w:rPr>
              <w:t>金属喷漆（塑）涂层：硬度（铅笔硬度H，应无塑性变形和或内聚破坏）、冲击强度（冲击高度400mm，应无剥落、裂纹、皱纹）、附着力（2级或优于2级）</w:t>
            </w:r>
            <w:r>
              <w:rPr>
                <w:rFonts w:hint="eastAsia" w:ascii="仿宋_GB2312" w:hAnsi="仿宋_GB2312" w:eastAsia="仿宋_GB2312" w:cs="仿宋_GB2312"/>
                <w:color w:val="auto"/>
                <w:kern w:val="2"/>
                <w:sz w:val="24"/>
                <w:szCs w:val="24"/>
                <w:highlight w:val="none"/>
                <w:u w:val="single"/>
                <w:lang w:val="en-US" w:eastAsia="zh-CN" w:bidi="ar-SA"/>
              </w:rPr>
              <w:t>；</w:t>
            </w:r>
            <w:r>
              <w:rPr>
                <w:rFonts w:hint="eastAsia" w:ascii="仿宋_GB2312" w:hAnsi="仿宋_GB2312" w:eastAsia="仿宋_GB2312" w:cs="仿宋_GB2312"/>
                <w:b w:val="0"/>
                <w:bCs w:val="0"/>
                <w:color w:val="auto"/>
                <w:kern w:val="2"/>
                <w:sz w:val="24"/>
                <w:szCs w:val="24"/>
                <w:highlight w:val="none"/>
                <w:u w:val="single"/>
                <w:lang w:val="en-US" w:eastAsia="zh-CN" w:bidi="ar-SA"/>
              </w:rPr>
              <w:t>产品有害物质（家具涂层可迁移元素：铅Pb≤90mg/kg、镉Cd≤50mg/kg、铬Cr≤25mg/kg、汞Hg≤25mg/kg、锑Sb≤60mg/kg、钡Ba≤1000mg/kg、硒Se≤500mg/kg、砷As≤25mg/kg）；</w:t>
            </w:r>
            <w:r>
              <w:rPr>
                <w:rFonts w:hint="eastAsia" w:ascii="仿宋_GB2312" w:hAnsi="仿宋_GB2312" w:eastAsia="仿宋_GB2312" w:cs="仿宋_GB2312"/>
                <w:color w:val="auto"/>
                <w:kern w:val="2"/>
                <w:sz w:val="24"/>
                <w:szCs w:val="24"/>
                <w:highlight w:val="none"/>
                <w:u w:val="single"/>
                <w:lang w:val="en-US" w:eastAsia="zh-CN" w:bidi="ar-SA"/>
              </w:rPr>
              <w:t>经过96h人造气氛腐蚀试验（中性盐雾NSS、乙酸盐雾AASS），保护评级、外观评级均不低于9级。</w:t>
            </w:r>
          </w:p>
          <w:p w14:paraId="52F9752F">
            <w:pPr>
              <w:keepNext w:val="0"/>
              <w:keepLines w:val="0"/>
              <w:pageBreakBefore w:val="0"/>
              <w:numPr>
                <w:ilvl w:val="0"/>
                <w:numId w:val="0"/>
              </w:numPr>
              <w:kinsoku/>
              <w:wordWrap/>
              <w:overflowPunct/>
              <w:topLinePunct w:val="0"/>
              <w:autoSpaceDE/>
              <w:autoSpaceDN/>
              <w:bidi w:val="0"/>
              <w:adjustRightInd/>
              <w:spacing w:line="400" w:lineRule="exact"/>
              <w:ind w:firstLine="241" w:firstLineChars="100"/>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（五）桌架：</w:t>
            </w:r>
          </w:p>
          <w:p w14:paraId="6AB721E7">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sz w:val="24"/>
                <w:szCs w:val="24"/>
                <w:u w:val="none"/>
                <w:lang w:val="en-US" w:eastAsia="zh-CN"/>
              </w:rPr>
              <w:t>1.</w:t>
            </w:r>
            <w:r>
              <w:rPr>
                <w:rFonts w:hint="eastAsia" w:ascii="仿宋_GB2312" w:hAnsi="仿宋_GB2312" w:eastAsia="仿宋_GB2312" w:cs="仿宋_GB2312"/>
                <w:color w:val="auto"/>
                <w:sz w:val="24"/>
                <w:szCs w:val="24"/>
                <w:u w:val="none"/>
              </w:rPr>
              <w:t>桌面支架：桌面和书斗与支撑钢脚架间使用支架连接固定，桌面支架是规格300mm(±2mm)×65mm(±2mm)的冷轧钢板，冷轧钢板材料厚度≥1.2mm。</w:t>
            </w:r>
          </w:p>
          <w:p w14:paraId="0ACE29F5">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kern w:val="0"/>
                <w:sz w:val="24"/>
                <w:szCs w:val="24"/>
                <w:u w:val="none"/>
                <w:lang w:val="en-US" w:eastAsia="zh-CN"/>
              </w:rPr>
              <w:t>2.</w:t>
            </w:r>
            <w:r>
              <w:rPr>
                <w:rFonts w:hint="eastAsia" w:ascii="仿宋_GB2312" w:hAnsi="仿宋_GB2312" w:eastAsia="仿宋_GB2312" w:cs="仿宋_GB2312"/>
                <w:color w:val="auto"/>
                <w:sz w:val="24"/>
                <w:szCs w:val="24"/>
                <w:u w:val="none"/>
              </w:rPr>
              <w:t>钢脚架：桌腿与地脚为直角支撑，桌腿和地脚采用椭圆钢管并使用套管式升降。外钢管尺寸为60×30mm(±2mm)，钢管壁厚≥1.</w:t>
            </w: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mm；内钢管50×20mm(±2mm)，钢管壁厚≥1.</w:t>
            </w: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mm；桌脚采用60×30mm(±2mm)的椭圆形钢管，钢管壁厚≥1.</w:t>
            </w: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mm；两桌腿间有横管。</w:t>
            </w:r>
          </w:p>
          <w:p w14:paraId="084F1022">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u w:val="single"/>
              </w:rPr>
              <w:t>钢管</w:t>
            </w:r>
            <w:r>
              <w:rPr>
                <w:rFonts w:hint="eastAsia" w:ascii="仿宋_GB2312" w:hAnsi="仿宋_GB2312" w:eastAsia="仿宋_GB2312" w:cs="仿宋_GB2312"/>
                <w:color w:val="auto"/>
                <w:sz w:val="24"/>
                <w:szCs w:val="24"/>
                <w:u w:val="single"/>
                <w:lang w:val="en-US" w:eastAsia="zh-CN"/>
              </w:rPr>
              <w:t>符合</w:t>
            </w:r>
            <w:r>
              <w:rPr>
                <w:rFonts w:hint="eastAsia" w:ascii="仿宋_GB2312" w:hAnsi="仿宋_GB2312" w:eastAsia="仿宋_GB2312" w:cs="仿宋_GB2312"/>
                <w:color w:val="auto"/>
                <w:sz w:val="24"/>
                <w:szCs w:val="24"/>
                <w:highlight w:val="none"/>
                <w:u w:val="single"/>
                <w:lang w:val="en-US" w:eastAsia="zh-CN"/>
              </w:rPr>
              <w:t>GB/T 11253-2019 《碳素结构钢冷轧钢板及钢带》、GB/T 10125-2021 《人造气氛腐蚀试验 盐雾试验》、GB/T 6461-2002 《金属基体上金属和其他无机覆盖层经腐蚀试验后的试样和试件的评级》、GB/T 3325-2024《金属家具通用技术条件》标准，其中力学性能：下屈服强度≥195Mpa、抗拉强度315～430Mpa、断后伸长率≥24%；表面结构（平均粗糙度）≤0.9μm，弯曲试验（180°）、表面质量合格，经过96h人造气氛腐蚀试验（中性盐雾NSS、乙酸盐雾AASS），保护评级、外观评级均不低于9级，</w:t>
            </w:r>
            <w:r>
              <w:rPr>
                <w:rFonts w:hint="eastAsia" w:ascii="仿宋_GB2312" w:hAnsi="仿宋_GB2312" w:eastAsia="仿宋_GB2312" w:cs="仿宋_GB2312"/>
                <w:b w:val="0"/>
                <w:bCs w:val="0"/>
                <w:color w:val="auto"/>
                <w:sz w:val="24"/>
                <w:szCs w:val="24"/>
                <w:highlight w:val="none"/>
                <w:u w:val="single"/>
                <w:lang w:val="en-US" w:eastAsia="zh-CN"/>
              </w:rPr>
              <w:t>金属喷漆（塑）涂层：硬度（铅笔硬度H，应无塑性变形和或内聚破坏）、冲击强度（冲击高度400mm，应无剥落、裂纹、皱纹）、附着力（2级或优于2级）。</w:t>
            </w:r>
          </w:p>
          <w:p w14:paraId="762D7744">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kern w:val="0"/>
                <w:sz w:val="24"/>
                <w:szCs w:val="24"/>
                <w:u w:val="none"/>
                <w:lang w:val="en-US" w:eastAsia="zh-CN"/>
              </w:rPr>
              <w:t>3.</w:t>
            </w:r>
            <w:r>
              <w:rPr>
                <w:rFonts w:hint="eastAsia" w:ascii="仿宋_GB2312" w:hAnsi="仿宋_GB2312" w:eastAsia="仿宋_GB2312" w:cs="仿宋_GB2312"/>
                <w:color w:val="auto"/>
                <w:sz w:val="24"/>
                <w:szCs w:val="24"/>
                <w:u w:val="none"/>
              </w:rPr>
              <w:t>支撑钢脚架升降方式</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桌腿和地脚采用椭圆钢管并使用套管式升降，安装和调节高度时用螺栓固定。螺栓符合QB/T</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u w:val="none"/>
              </w:rPr>
              <w:t>3826-1999《轻工产品金属镀层和化学处理层的耐腐蚀试验方法 中性盐雾试验（NSS）法》</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QB/T 3827-1999《轻工产品金属镀层和化学处理层的耐腐蚀试验方法 乙酸盐雾试验（ASS）法》</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QB/T 3832-1999《轻工产品金属镀层腐蚀试验结果的评价》，金属表面耐腐蚀性：乙酸盐雾试</w:t>
            </w:r>
            <w:r>
              <w:rPr>
                <w:rFonts w:hint="eastAsia" w:ascii="仿宋_GB2312" w:hAnsi="仿宋_GB2312" w:eastAsia="仿宋_GB2312" w:cs="仿宋_GB2312"/>
                <w:color w:val="auto"/>
                <w:sz w:val="24"/>
                <w:szCs w:val="24"/>
                <w:highlight w:val="none"/>
                <w:u w:val="none"/>
              </w:rPr>
              <w:t>验（ASS）</w:t>
            </w:r>
            <w:r>
              <w:rPr>
                <w:rFonts w:hint="default" w:ascii="仿宋_GB2312" w:hAnsi="仿宋_GB2312" w:eastAsia="仿宋_GB2312" w:cs="仿宋_GB2312"/>
                <w:color w:val="auto"/>
                <w:sz w:val="24"/>
                <w:szCs w:val="24"/>
                <w:highlight w:val="none"/>
                <w:u w:val="none"/>
                <w:lang w:val="en-US"/>
              </w:rPr>
              <w:t>120</w:t>
            </w:r>
            <w:r>
              <w:rPr>
                <w:rFonts w:hint="eastAsia" w:ascii="仿宋_GB2312" w:hAnsi="仿宋_GB2312" w:eastAsia="仿宋_GB2312" w:cs="仿宋_GB2312"/>
                <w:color w:val="auto"/>
                <w:sz w:val="24"/>
                <w:szCs w:val="24"/>
                <w:highlight w:val="none"/>
                <w:u w:val="none"/>
              </w:rPr>
              <w:t>h</w:t>
            </w:r>
            <w:r>
              <w:rPr>
                <w:rFonts w:hint="eastAsia" w:ascii="仿宋_GB2312" w:hAnsi="仿宋_GB2312" w:eastAsia="仿宋_GB2312" w:cs="仿宋_GB2312"/>
                <w:color w:val="auto"/>
                <w:sz w:val="24"/>
                <w:szCs w:val="24"/>
                <w:u w:val="none"/>
              </w:rPr>
              <w:t>，等级达到9级以上，中性盐雾试验（NSS）</w:t>
            </w:r>
            <w:r>
              <w:rPr>
                <w:rFonts w:hint="default" w:ascii="仿宋_GB2312" w:hAnsi="仿宋_GB2312" w:eastAsia="仿宋_GB2312" w:cs="仿宋_GB2312"/>
                <w:color w:val="auto"/>
                <w:sz w:val="24"/>
                <w:szCs w:val="24"/>
                <w:u w:val="none"/>
                <w:lang w:val="en-US"/>
              </w:rPr>
              <w:t>120</w:t>
            </w:r>
            <w:r>
              <w:rPr>
                <w:rFonts w:hint="eastAsia" w:ascii="仿宋_GB2312" w:hAnsi="仿宋_GB2312" w:eastAsia="仿宋_GB2312" w:cs="仿宋_GB2312"/>
                <w:color w:val="auto"/>
                <w:sz w:val="24"/>
                <w:szCs w:val="24"/>
                <w:u w:val="none"/>
              </w:rPr>
              <w:t>h，等级达到9级以上。</w:t>
            </w:r>
          </w:p>
          <w:p w14:paraId="14FCB67E">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lang w:val="en-US" w:eastAsia="zh-CN"/>
              </w:rPr>
              <w:t>4.</w:t>
            </w:r>
            <w:r>
              <w:rPr>
                <w:rFonts w:hint="eastAsia" w:ascii="仿宋_GB2312" w:hAnsi="仿宋_GB2312" w:eastAsia="仿宋_GB2312" w:cs="仿宋_GB2312"/>
                <w:color w:val="auto"/>
                <w:kern w:val="0"/>
                <w:sz w:val="24"/>
                <w:szCs w:val="24"/>
                <w:u w:val="none"/>
              </w:rPr>
              <w:t>套管胶套：升降内外管间使用优质PP塑料胶套，规格72</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kern w:val="0"/>
                <w:sz w:val="24"/>
                <w:szCs w:val="24"/>
                <w:u w:val="none"/>
              </w:rPr>
              <w:t>35mm</w:t>
            </w:r>
            <w:r>
              <w:rPr>
                <w:rFonts w:hint="eastAsia" w:ascii="仿宋_GB2312" w:hAnsi="仿宋_GB2312" w:eastAsia="仿宋_GB2312" w:cs="仿宋_GB2312"/>
                <w:color w:val="auto"/>
                <w:sz w:val="24"/>
                <w:szCs w:val="24"/>
                <w:u w:val="none"/>
              </w:rPr>
              <w:t>(±2mm)，胶套起到防尘、防水、耐磨的作用。</w:t>
            </w:r>
          </w:p>
          <w:p w14:paraId="53B28CA8">
            <w:pPr>
              <w:keepNext w:val="0"/>
              <w:keepLines w:val="0"/>
              <w:pageBreakBefore w:val="0"/>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eastAsia="zh-CN"/>
              </w:rPr>
              <w:t>（</w:t>
            </w:r>
            <w:r>
              <w:rPr>
                <w:rFonts w:hint="eastAsia" w:ascii="仿宋_GB2312" w:hAnsi="仿宋_GB2312" w:eastAsia="仿宋_GB2312" w:cs="仿宋_GB2312"/>
                <w:b/>
                <w:bCs/>
                <w:color w:val="auto"/>
                <w:kern w:val="0"/>
                <w:sz w:val="24"/>
                <w:szCs w:val="24"/>
                <w:u w:val="none"/>
                <w:lang w:val="en-US" w:eastAsia="zh-CN"/>
              </w:rPr>
              <w:t>六</w:t>
            </w:r>
            <w:r>
              <w:rPr>
                <w:rFonts w:hint="eastAsia" w:ascii="仿宋_GB2312" w:hAnsi="仿宋_GB2312" w:eastAsia="仿宋_GB2312" w:cs="仿宋_GB2312"/>
                <w:b/>
                <w:bCs/>
                <w:color w:val="auto"/>
                <w:kern w:val="0"/>
                <w:sz w:val="24"/>
                <w:szCs w:val="24"/>
                <w:u w:val="none"/>
                <w:lang w:eastAsia="zh-CN"/>
              </w:rPr>
              <w:t>）</w:t>
            </w:r>
            <w:r>
              <w:rPr>
                <w:rFonts w:hint="eastAsia" w:ascii="仿宋_GB2312" w:hAnsi="仿宋_GB2312" w:eastAsia="仿宋_GB2312" w:cs="仿宋_GB2312"/>
                <w:b/>
                <w:bCs/>
                <w:color w:val="auto"/>
                <w:kern w:val="0"/>
                <w:sz w:val="24"/>
                <w:szCs w:val="24"/>
                <w:u w:val="none"/>
                <w:lang w:val="en-US" w:eastAsia="zh-CN"/>
              </w:rPr>
              <w:t>脚套：</w:t>
            </w:r>
          </w:p>
          <w:p w14:paraId="50F032D8">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采用全新 PP 塑料一次性注塑成型，规格75×65×45mm(±2mm)；脚套自带塑料垫螺旋调节功能，防止地板不平影响使用舒适度；脚套起到防滑、防摩擦、防碰撞、静音等作用。</w:t>
            </w:r>
          </w:p>
          <w:p w14:paraId="3612C9EF">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u w:val="single"/>
              </w:rPr>
              <w:t>脚套符合GB/T 32487-2016《塑料家具通用技术条件》、GB 28481-2012 《塑料家具中有害物质限量》标准，</w:t>
            </w:r>
          </w:p>
          <w:p w14:paraId="35279BAC">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u w:val="single"/>
                <w:lang w:val="en-US" w:eastAsia="zh-CN"/>
              </w:rPr>
              <w:t>其中</w:t>
            </w:r>
            <w:r>
              <w:rPr>
                <w:rFonts w:hint="eastAsia" w:ascii="仿宋_GB2312" w:hAnsi="仿宋_GB2312" w:eastAsia="仿宋_GB2312" w:cs="仿宋_GB2312"/>
                <w:color w:val="auto"/>
                <w:sz w:val="24"/>
                <w:szCs w:val="24"/>
                <w:u w:val="single"/>
              </w:rPr>
              <w:t>塑料件外观符合要求；有害物质</w:t>
            </w:r>
            <w:r>
              <w:rPr>
                <w:rFonts w:hint="eastAsia" w:ascii="仿宋_GB2312" w:hAnsi="仿宋_GB2312" w:eastAsia="仿宋_GB2312" w:cs="仿宋_GB2312"/>
                <w:color w:val="auto"/>
                <w:sz w:val="24"/>
                <w:szCs w:val="24"/>
                <w:u w:val="single"/>
                <w:lang w:val="en-US" w:eastAsia="zh-CN"/>
              </w:rPr>
              <w:t>限量</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rPr>
              <w:t>邻苯二甲酸</w:t>
            </w:r>
            <w:r>
              <w:rPr>
                <w:rFonts w:hint="eastAsia" w:ascii="仿宋_GB2312" w:hAnsi="仿宋_GB2312" w:eastAsia="仿宋_GB2312" w:cs="仿宋_GB2312"/>
                <w:color w:val="auto"/>
                <w:sz w:val="24"/>
                <w:szCs w:val="24"/>
                <w:highlight w:val="none"/>
                <w:u w:val="single"/>
              </w:rPr>
              <w:t>酯</w:t>
            </w:r>
            <w:r>
              <w:rPr>
                <w:rFonts w:hint="eastAsia" w:ascii="仿宋_GB2312" w:hAnsi="仿宋_GB2312" w:eastAsia="仿宋_GB2312" w:cs="仿宋_GB2312"/>
                <w:color w:val="auto"/>
                <w:sz w:val="24"/>
                <w:szCs w:val="24"/>
                <w:highlight w:val="none"/>
                <w:u w:val="single"/>
                <w:lang w:val="en-US" w:eastAsia="zh-CN"/>
              </w:rPr>
              <w:t>≤0.1%</w:t>
            </w:r>
            <w:r>
              <w:rPr>
                <w:rFonts w:hint="eastAsia" w:ascii="仿宋_GB2312" w:hAnsi="仿宋_GB2312" w:eastAsia="仿宋_GB2312" w:cs="仿宋_GB2312"/>
                <w:color w:val="auto"/>
                <w:sz w:val="24"/>
                <w:szCs w:val="24"/>
                <w:highlight w:val="none"/>
                <w:u w:val="single"/>
                <w:lang w:eastAsia="zh-CN"/>
              </w:rPr>
              <w:t>；</w:t>
            </w:r>
            <w:r>
              <w:rPr>
                <w:rFonts w:hint="eastAsia" w:ascii="仿宋_GB2312" w:hAnsi="仿宋_GB2312" w:eastAsia="仿宋_GB2312" w:cs="仿宋_GB2312"/>
                <w:color w:val="auto"/>
                <w:sz w:val="24"/>
                <w:szCs w:val="24"/>
                <w:highlight w:val="none"/>
                <w:u w:val="single"/>
                <w:lang w:val="en-US" w:eastAsia="zh-CN"/>
              </w:rPr>
              <w:t>16种</w:t>
            </w:r>
            <w:r>
              <w:rPr>
                <w:rFonts w:hint="eastAsia" w:ascii="仿宋_GB2312" w:hAnsi="仿宋_GB2312" w:eastAsia="仿宋_GB2312" w:cs="仿宋_GB2312"/>
                <w:color w:val="auto"/>
                <w:sz w:val="24"/>
                <w:szCs w:val="24"/>
                <w:highlight w:val="none"/>
                <w:u w:val="single"/>
              </w:rPr>
              <w:t>多环芳烃</w:t>
            </w:r>
            <w:r>
              <w:rPr>
                <w:rFonts w:hint="eastAsia" w:ascii="仿宋_GB2312" w:hAnsi="仿宋_GB2312" w:eastAsia="仿宋_GB2312" w:cs="仿宋_GB2312"/>
                <w:color w:val="auto"/>
                <w:sz w:val="24"/>
                <w:szCs w:val="24"/>
                <w:highlight w:val="none"/>
                <w:u w:val="single"/>
                <w:lang w:eastAsia="zh-CN"/>
              </w:rPr>
              <w:t>（</w:t>
            </w:r>
            <w:r>
              <w:rPr>
                <w:rFonts w:hint="eastAsia" w:ascii="仿宋_GB2312" w:hAnsi="仿宋_GB2312" w:eastAsia="仿宋_GB2312" w:cs="仿宋_GB2312"/>
                <w:color w:val="auto"/>
                <w:sz w:val="24"/>
                <w:szCs w:val="24"/>
                <w:highlight w:val="none"/>
                <w:u w:val="single"/>
                <w:lang w:val="en-US" w:eastAsia="zh-CN"/>
              </w:rPr>
              <w:t>PAH)总量≤10mg/kg</w:t>
            </w:r>
            <w:r>
              <w:rPr>
                <w:rFonts w:hint="eastAsia" w:ascii="仿宋_GB2312" w:hAnsi="仿宋_GB2312" w:eastAsia="仿宋_GB2312" w:cs="仿宋_GB2312"/>
                <w:color w:val="auto"/>
                <w:sz w:val="24"/>
                <w:szCs w:val="24"/>
                <w:highlight w:val="none"/>
                <w:u w:val="single"/>
                <w:lang w:eastAsia="zh-CN"/>
              </w:rPr>
              <w:t>；</w:t>
            </w:r>
            <w:r>
              <w:rPr>
                <w:rFonts w:hint="eastAsia" w:ascii="仿宋_GB2312" w:hAnsi="仿宋_GB2312" w:eastAsia="仿宋_GB2312" w:cs="仿宋_GB2312"/>
                <w:color w:val="auto"/>
                <w:sz w:val="24"/>
                <w:szCs w:val="24"/>
                <w:highlight w:val="none"/>
                <w:u w:val="single"/>
              </w:rPr>
              <w:t>多溴联苯(PBB)</w:t>
            </w:r>
            <w:r>
              <w:rPr>
                <w:rFonts w:hint="eastAsia" w:ascii="仿宋_GB2312" w:hAnsi="仿宋_GB2312" w:eastAsia="仿宋_GB2312" w:cs="仿宋_GB2312"/>
                <w:color w:val="auto"/>
                <w:sz w:val="24"/>
                <w:szCs w:val="24"/>
                <w:highlight w:val="none"/>
                <w:u w:val="single"/>
                <w:lang w:val="en-US" w:eastAsia="zh-CN"/>
              </w:rPr>
              <w:t>≤1000mg/kg</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u w:val="single"/>
              </w:rPr>
              <w:t>耐老化性：500h测试，冲击强度的保持率</w:t>
            </w:r>
            <w:r>
              <w:rPr>
                <w:rFonts w:hint="eastAsia" w:ascii="仿宋_GB2312" w:hAnsi="仿宋_GB2312" w:eastAsia="仿宋_GB2312" w:cs="仿宋_GB2312"/>
                <w:color w:val="auto"/>
                <w:sz w:val="24"/>
                <w:szCs w:val="24"/>
                <w:highlight w:val="none"/>
                <w:u w:val="single"/>
                <w:lang w:val="en-US" w:eastAsia="zh-CN"/>
              </w:rPr>
              <w:t>≥60%，外观颜色变色评级≥3级。</w:t>
            </w:r>
          </w:p>
          <w:p w14:paraId="23D85FA5">
            <w:pPr>
              <w:keepNext w:val="0"/>
              <w:keepLines w:val="0"/>
              <w:pageBreakBefore w:val="0"/>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（七）书包挂钩：</w:t>
            </w:r>
          </w:p>
          <w:p w14:paraId="1642005F">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在桌面的左右下方，在钢制支撑架上，须焊接设置左右两个实心钢制书包挂钩，承重强且耐用。</w:t>
            </w:r>
          </w:p>
          <w:p w14:paraId="0073794F">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（八）桌子重量：</w:t>
            </w:r>
          </w:p>
          <w:p w14:paraId="7A33850A">
            <w:pPr>
              <w:keepNext w:val="0"/>
              <w:keepLines w:val="0"/>
              <w:pageBreakBefore w:val="0"/>
              <w:numPr>
                <w:ilvl w:val="0"/>
                <w:numId w:val="0"/>
              </w:numPr>
              <w:kinsoku/>
              <w:wordWrap/>
              <w:overflowPunct/>
              <w:topLinePunct w:val="0"/>
              <w:autoSpaceDE/>
              <w:autoSpaceDN/>
              <w:bidi w:val="0"/>
              <w:adjustRightInd/>
              <w:spacing w:line="400" w:lineRule="exact"/>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 xml:space="preserve">    </w:t>
            </w:r>
            <w:r>
              <w:rPr>
                <w:rFonts w:hint="eastAsia" w:ascii="仿宋_GB2312" w:hAnsi="仿宋_GB2312" w:eastAsia="仿宋_GB2312" w:cs="仿宋_GB2312"/>
                <w:color w:val="auto"/>
                <w:kern w:val="0"/>
                <w:sz w:val="24"/>
                <w:szCs w:val="24"/>
                <w:u w:val="none"/>
                <w:lang w:val="en-US" w:eastAsia="zh-CN"/>
              </w:rPr>
              <w:t>整张桌子净重不小于11.5公斤。</w:t>
            </w:r>
          </w:p>
          <w:p w14:paraId="14E04292">
            <w:pPr>
              <w:keepNext w:val="0"/>
              <w:keepLines w:val="0"/>
              <w:pageBreakBefore w:val="0"/>
              <w:kinsoku/>
              <w:wordWrap/>
              <w:overflowPunct/>
              <w:topLinePunct w:val="0"/>
              <w:autoSpaceDE/>
              <w:autoSpaceDN/>
              <w:bidi w:val="0"/>
              <w:adjustRightInd/>
              <w:spacing w:line="400" w:lineRule="exact"/>
              <w:rPr>
                <w:rFonts w:hint="eastAsia" w:ascii="仿宋_GB2312" w:hAnsi="仿宋_GB2312" w:eastAsia="仿宋_GB2312" w:cs="仿宋_GB2312"/>
                <w:b/>
                <w:bCs/>
                <w:color w:val="auto"/>
                <w:kern w:val="0"/>
                <w:sz w:val="24"/>
                <w:szCs w:val="24"/>
                <w:u w:val="none"/>
              </w:rPr>
            </w:pPr>
            <w:r>
              <w:rPr>
                <w:rFonts w:hint="eastAsia" w:ascii="仿宋_GB2312" w:hAnsi="仿宋_GB2312" w:eastAsia="仿宋_GB2312" w:cs="仿宋_GB2312"/>
                <w:b/>
                <w:bCs/>
                <w:color w:val="auto"/>
                <w:kern w:val="0"/>
                <w:sz w:val="24"/>
                <w:szCs w:val="24"/>
                <w:u w:val="none"/>
                <w:lang w:val="en-US" w:eastAsia="zh-CN"/>
              </w:rPr>
              <w:t>二、</w:t>
            </w:r>
            <w:r>
              <w:rPr>
                <w:rFonts w:hint="eastAsia" w:ascii="仿宋_GB2312" w:hAnsi="仿宋_GB2312" w:eastAsia="仿宋_GB2312" w:cs="仿宋_GB2312"/>
                <w:b/>
                <w:bCs/>
                <w:color w:val="auto"/>
                <w:kern w:val="0"/>
                <w:sz w:val="24"/>
                <w:szCs w:val="24"/>
                <w:u w:val="none"/>
              </w:rPr>
              <w:t>小学生课椅：</w:t>
            </w:r>
          </w:p>
          <w:p w14:paraId="2E6B1D3C">
            <w:pPr>
              <w:keepNext w:val="0"/>
              <w:keepLines w:val="0"/>
              <w:pageBreakBefore w:val="0"/>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sz w:val="24"/>
                <w:szCs w:val="24"/>
                <w:u w:val="none"/>
              </w:rPr>
            </w:pPr>
            <w:r>
              <w:rPr>
                <w:rFonts w:hint="eastAsia" w:ascii="仿宋_GB2312" w:hAnsi="仿宋_GB2312" w:eastAsia="仿宋_GB2312" w:cs="仿宋_GB2312"/>
                <w:b/>
                <w:bCs/>
                <w:color w:val="auto"/>
                <w:kern w:val="0"/>
                <w:sz w:val="24"/>
                <w:szCs w:val="24"/>
                <w:u w:val="none"/>
                <w:lang w:eastAsia="zh-CN"/>
              </w:rPr>
              <w:t>（</w:t>
            </w:r>
            <w:r>
              <w:rPr>
                <w:rFonts w:hint="eastAsia" w:ascii="仿宋_GB2312" w:hAnsi="仿宋_GB2312" w:eastAsia="仿宋_GB2312" w:cs="仿宋_GB2312"/>
                <w:b/>
                <w:bCs/>
                <w:color w:val="auto"/>
                <w:kern w:val="0"/>
                <w:sz w:val="24"/>
                <w:szCs w:val="24"/>
                <w:u w:val="none"/>
                <w:lang w:val="en-US" w:eastAsia="zh-CN"/>
              </w:rPr>
              <w:t>一</w:t>
            </w:r>
            <w:r>
              <w:rPr>
                <w:rFonts w:hint="eastAsia" w:ascii="仿宋_GB2312" w:hAnsi="仿宋_GB2312" w:eastAsia="仿宋_GB2312" w:cs="仿宋_GB2312"/>
                <w:b/>
                <w:bCs/>
                <w:color w:val="auto"/>
                <w:kern w:val="0"/>
                <w:sz w:val="24"/>
                <w:szCs w:val="24"/>
                <w:u w:val="none"/>
                <w:lang w:eastAsia="zh-CN"/>
              </w:rPr>
              <w:t>）</w:t>
            </w:r>
            <w:r>
              <w:rPr>
                <w:rFonts w:hint="eastAsia" w:ascii="仿宋_GB2312" w:hAnsi="仿宋_GB2312" w:eastAsia="仿宋_GB2312" w:cs="仿宋_GB2312"/>
                <w:b/>
                <w:bCs/>
                <w:color w:val="auto"/>
                <w:sz w:val="24"/>
                <w:szCs w:val="24"/>
                <w:u w:val="none"/>
              </w:rPr>
              <w:t>课椅</w:t>
            </w:r>
            <w:r>
              <w:rPr>
                <w:rFonts w:hint="eastAsia" w:ascii="仿宋_GB2312" w:hAnsi="仿宋_GB2312" w:eastAsia="仿宋_GB2312" w:cs="仿宋_GB2312"/>
                <w:b/>
                <w:bCs/>
                <w:color w:val="auto"/>
                <w:sz w:val="24"/>
                <w:szCs w:val="24"/>
                <w:u w:val="none"/>
                <w:lang w:val="en-US" w:eastAsia="zh-CN"/>
              </w:rPr>
              <w:t>整体尺寸</w:t>
            </w:r>
            <w:r>
              <w:rPr>
                <w:rFonts w:hint="eastAsia" w:ascii="仿宋_GB2312" w:hAnsi="仿宋_GB2312" w:eastAsia="仿宋_GB2312" w:cs="仿宋_GB2312"/>
                <w:b/>
                <w:bCs/>
                <w:color w:val="auto"/>
                <w:sz w:val="24"/>
                <w:szCs w:val="24"/>
                <w:u w:val="none"/>
              </w:rPr>
              <w:t>：</w:t>
            </w:r>
          </w:p>
          <w:p w14:paraId="25500F2D">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长520×宽430</w:t>
            </w:r>
            <w:r>
              <w:rPr>
                <w:rFonts w:hint="eastAsia" w:ascii="仿宋_GB2312" w:hAnsi="仿宋_GB2312" w:eastAsia="仿宋_GB2312" w:cs="仿宋_GB2312"/>
                <w:color w:val="auto"/>
                <w:kern w:val="0"/>
                <w:sz w:val="24"/>
                <w:szCs w:val="24"/>
                <w:u w:val="none"/>
              </w:rPr>
              <w:t>×</w:t>
            </w:r>
            <w:r>
              <w:rPr>
                <w:rFonts w:hint="eastAsia" w:ascii="仿宋_GB2312" w:hAnsi="仿宋_GB2312" w:eastAsia="仿宋_GB2312" w:cs="仿宋_GB2312"/>
                <w:color w:val="auto"/>
                <w:sz w:val="24"/>
                <w:szCs w:val="24"/>
                <w:u w:val="none"/>
              </w:rPr>
              <w:t>高</w:t>
            </w:r>
            <w:r>
              <w:rPr>
                <w:rFonts w:hint="eastAsia" w:ascii="仿宋_GB2312" w:hAnsi="仿宋_GB2312" w:eastAsia="仿宋_GB2312" w:cs="仿宋_GB2312"/>
                <w:color w:val="auto"/>
                <w:sz w:val="24"/>
                <w:szCs w:val="24"/>
                <w:u w:val="none"/>
                <w:lang w:val="en-US" w:eastAsia="zh-CN"/>
              </w:rPr>
              <w:t>450</w:t>
            </w:r>
            <w:r>
              <w:rPr>
                <w:rFonts w:hint="eastAsia" w:ascii="仿宋_GB2312" w:hAnsi="仿宋_GB2312" w:eastAsia="仿宋_GB2312" w:cs="仿宋_GB2312"/>
                <w:color w:val="auto"/>
                <w:sz w:val="24"/>
                <w:szCs w:val="24"/>
                <w:u w:val="none"/>
              </w:rPr>
              <w:t>mm(±5mm)，调节高度须至少满足</w:t>
            </w:r>
            <w:r>
              <w:rPr>
                <w:rFonts w:hint="eastAsia" w:ascii="仿宋_GB2312" w:hAnsi="仿宋_GB2312" w:eastAsia="仿宋_GB2312" w:cs="仿宋_GB2312"/>
                <w:color w:val="auto"/>
                <w:sz w:val="24"/>
                <w:szCs w:val="24"/>
                <w:u w:val="none"/>
                <w:lang w:val="en-US" w:eastAsia="zh-CN"/>
              </w:rPr>
              <w:t>坐高370mm、390mm、410mm、430mm、450mm等5个高度的调整。</w:t>
            </w:r>
          </w:p>
          <w:p w14:paraId="16C9D94C">
            <w:pPr>
              <w:keepNext w:val="0"/>
              <w:keepLines w:val="0"/>
              <w:pageBreakBefore w:val="0"/>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（二）椅子座板、靠板：</w:t>
            </w:r>
          </w:p>
          <w:p w14:paraId="72D1A07C">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1.材质</w:t>
            </w:r>
            <w:r>
              <w:rPr>
                <w:rFonts w:hint="eastAsia" w:ascii="仿宋_GB2312" w:hAnsi="仿宋_GB2312" w:eastAsia="仿宋_GB2312" w:cs="仿宋_GB2312"/>
                <w:color w:val="auto"/>
                <w:sz w:val="24"/>
                <w:szCs w:val="24"/>
                <w:u w:val="none"/>
              </w:rPr>
              <w:t>：椅座、靠板都采用环保PP全新塑料，耐热、耐冲击、耐抗压、耐磨。</w:t>
            </w:r>
          </w:p>
          <w:p w14:paraId="106676DE">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座板：座板尺寸4</w:t>
            </w:r>
            <w:r>
              <w:rPr>
                <w:rFonts w:hint="eastAsia" w:ascii="仿宋_GB2312" w:hAnsi="仿宋_GB2312" w:eastAsia="仿宋_GB2312" w:cs="仿宋_GB2312"/>
                <w:color w:val="auto"/>
                <w:sz w:val="24"/>
                <w:szCs w:val="24"/>
                <w:u w:val="none"/>
                <w:lang w:val="en-US" w:eastAsia="zh-CN"/>
              </w:rPr>
              <w:t>30</w:t>
            </w:r>
            <w:r>
              <w:rPr>
                <w:rFonts w:hint="eastAsia" w:ascii="仿宋_GB2312" w:hAnsi="仿宋_GB2312" w:eastAsia="仿宋_GB2312" w:cs="仿宋_GB2312"/>
                <w:color w:val="auto"/>
                <w:sz w:val="24"/>
                <w:szCs w:val="24"/>
                <w:u w:val="none"/>
              </w:rPr>
              <w:t>mm×4</w:t>
            </w:r>
            <w:r>
              <w:rPr>
                <w:rFonts w:hint="eastAsia" w:ascii="仿宋_GB2312" w:hAnsi="仿宋_GB2312" w:eastAsia="仿宋_GB2312" w:cs="仿宋_GB2312"/>
                <w:color w:val="auto"/>
                <w:sz w:val="24"/>
                <w:szCs w:val="24"/>
                <w:u w:val="none"/>
                <w:lang w:val="en-US" w:eastAsia="zh-CN"/>
              </w:rPr>
              <w:t>30</w:t>
            </w:r>
            <w:r>
              <w:rPr>
                <w:rFonts w:hint="eastAsia" w:ascii="仿宋_GB2312" w:hAnsi="仿宋_GB2312" w:eastAsia="仿宋_GB2312" w:cs="仿宋_GB2312"/>
                <w:color w:val="auto"/>
                <w:sz w:val="24"/>
                <w:szCs w:val="24"/>
                <w:u w:val="none"/>
              </w:rPr>
              <w:t>mm(±5mm)； 座板与椅架采用自攻螺丝固定；座板底部横向和竖向必须各有加强筋≥4条，增强承受力；多孔内凹设计，座板有≥300个透气孔</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保持通风干爽；座板靠外围边有散热细点≥220个，保持久座舒适。座板采用人体工学型设计，坐垫倾斜式设计，坐垫前端需有前弯弧度设计中间采用凹型设计能让学生臀部与座板完美贴合有效减轻臀部与腰部压力。</w:t>
            </w:r>
            <w:r>
              <w:rPr>
                <w:rFonts w:hint="eastAsia" w:ascii="仿宋_GB2312" w:hAnsi="仿宋_GB2312" w:eastAsia="仿宋_GB2312" w:cs="仿宋_GB2312"/>
                <w:color w:val="auto"/>
                <w:sz w:val="24"/>
                <w:szCs w:val="24"/>
                <w:u w:val="none"/>
                <w:lang w:val="en-US" w:eastAsia="zh-CN"/>
              </w:rPr>
              <w:t xml:space="preserve"> </w:t>
            </w:r>
          </w:p>
          <w:p w14:paraId="769DAF88">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single"/>
                <w:lang w:val="en-US" w:eastAsia="zh-CN"/>
              </w:rPr>
              <w:t>椅子座板符合GB 28481-2012《塑料家具中有害物质限量》、GB/T 35607-2024《绿色产品评价 家具》、GB/T 32487-2016《塑料家具通用技术条件》要求，其中：</w:t>
            </w:r>
          </w:p>
          <w:p w14:paraId="433469F2">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highlight w:val="none"/>
                <w:u w:val="single"/>
                <w:lang w:val="en-US" w:eastAsia="zh-CN"/>
              </w:rPr>
              <w:t>邻苯二甲酸二丁酯（DBP)≤0.1%，邻苯二甲酸丁酯苄酯（BBP)≤0.1%、邻苯二甲酸-2-乙基己基酯（DEHP)≤0.1%，邻苯二甲酸二正辛酯（DNOP)≤0.1%、邻苯二甲酸二异壬酯（DINP)≤0.1%、邻苯二甲酸二异癸酯（DIDP)≤0.1%；有害物质（重金属：可溶性铅≤90mg/kg、可溶性镉≤75mg/kg、可溶性铬≤60mg/kg、可溶性汞≤60mg/kg）；16 种多环芳烃（PAH）总量≤10mg/kg；多溴联苯（PBB）≤1000mg/kg；多溴二苯醚（PBDE）≤1000mg/kg；甲醛释放量≤0.05mg/m³；总挥发性有机化合物（TVOC≤0.3mg/m³）；苯并[α]芘≤1.0mg/kg；冲击强度≥10J/m²；耐老化性：（室内用 500h）冲击强度的保持率≥60%，外观颜色变色评级≥3；</w:t>
            </w:r>
            <w:r>
              <w:rPr>
                <w:rFonts w:hint="eastAsia" w:ascii="仿宋_GB2312" w:hAnsi="仿宋_GB2312" w:eastAsia="仿宋_GB2312" w:cs="仿宋_GB2312"/>
                <w:color w:val="auto"/>
                <w:sz w:val="24"/>
                <w:szCs w:val="24"/>
                <w:lang w:val="en-US" w:eastAsia="zh-CN"/>
              </w:rPr>
              <w:t>塑料件</w:t>
            </w:r>
            <w:r>
              <w:rPr>
                <w:rFonts w:hint="eastAsia" w:ascii="仿宋_GB2312" w:hAnsi="仿宋_GB2312" w:eastAsia="仿宋_GB2312" w:cs="仿宋_GB2312"/>
                <w:color w:val="auto"/>
                <w:sz w:val="24"/>
                <w:szCs w:val="24"/>
                <w:highlight w:val="none"/>
                <w:u w:val="single"/>
                <w:lang w:val="en-US" w:eastAsia="zh-CN"/>
              </w:rPr>
              <w:t>硬度：邵氏D硬度≥HD63。</w:t>
            </w:r>
          </w:p>
          <w:p w14:paraId="46C38DDC">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3</w:t>
            </w:r>
            <w:r>
              <w:rPr>
                <w:rFonts w:hint="eastAsia" w:ascii="仿宋_GB2312" w:hAnsi="仿宋_GB2312" w:eastAsia="仿宋_GB2312" w:cs="仿宋_GB2312"/>
                <w:color w:val="auto"/>
                <w:sz w:val="24"/>
                <w:szCs w:val="24"/>
                <w:u w:val="none"/>
              </w:rPr>
              <w:t>.靠板：靠板尺寸</w:t>
            </w:r>
            <w:r>
              <w:rPr>
                <w:rFonts w:hint="eastAsia" w:ascii="仿宋_GB2312" w:hAnsi="仿宋_GB2312" w:eastAsia="仿宋_GB2312" w:cs="仿宋_GB2312"/>
                <w:color w:val="auto"/>
                <w:sz w:val="24"/>
                <w:szCs w:val="24"/>
                <w:u w:val="none"/>
                <w:lang w:val="en-US" w:eastAsia="zh-CN"/>
              </w:rPr>
              <w:t>275</w:t>
            </w:r>
            <w:r>
              <w:rPr>
                <w:rFonts w:hint="eastAsia" w:ascii="仿宋_GB2312" w:hAnsi="仿宋_GB2312" w:eastAsia="仿宋_GB2312" w:cs="仿宋_GB2312"/>
                <w:color w:val="auto"/>
                <w:sz w:val="24"/>
                <w:szCs w:val="24"/>
                <w:u w:val="none"/>
              </w:rPr>
              <w:t>mm×</w:t>
            </w:r>
            <w:r>
              <w:rPr>
                <w:rFonts w:hint="eastAsia" w:ascii="仿宋_GB2312" w:hAnsi="仿宋_GB2312" w:eastAsia="仿宋_GB2312" w:cs="仿宋_GB2312"/>
                <w:color w:val="auto"/>
                <w:sz w:val="24"/>
                <w:szCs w:val="24"/>
                <w:u w:val="none"/>
                <w:lang w:val="en-US" w:eastAsia="zh-CN"/>
              </w:rPr>
              <w:t>415</w:t>
            </w:r>
            <w:r>
              <w:rPr>
                <w:rFonts w:hint="eastAsia" w:ascii="仿宋_GB2312" w:hAnsi="仿宋_GB2312" w:eastAsia="仿宋_GB2312" w:cs="仿宋_GB2312"/>
                <w:color w:val="auto"/>
                <w:sz w:val="24"/>
                <w:szCs w:val="24"/>
                <w:u w:val="none"/>
              </w:rPr>
              <w:t>mm(±5mm)；多孔内凹设计，背板有≥140个透气孔，保持通风干爽；座板靠外围边有散热细点≥130个，保持久座舒适。靠背中上方1个提手孔，方便移动椅子。靠背根据青少年脊椎曲线设计</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保证背脊及两侧肌肉得到完美支撑，能有效降低疲劳。</w:t>
            </w:r>
          </w:p>
          <w:p w14:paraId="28A5EB7D">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single"/>
                <w:lang w:val="en-US" w:eastAsia="zh-CN"/>
              </w:rPr>
              <w:t>靠背面板符合GB 28481-2012《塑料家具中有害物质限量》、GB/T35607-2024《绿色产品评价 家具》、GB/T 32487-2016《塑料家具通用技术条件》要求，其中：</w:t>
            </w:r>
          </w:p>
          <w:p w14:paraId="644440A3">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highlight w:val="none"/>
                <w:u w:val="single"/>
                <w:lang w:val="en-US" w:eastAsia="zh-CN"/>
              </w:rPr>
              <w:t>邻苯二甲酸二丁酯（DBP)≤0.1%，邻苯二甲酸丁酯苄酯（BBP)≤0.1%、邻苯二甲酸-2-乙基己基酯（DEHP)≤0.1%，邻苯二甲酸二正辛酯（DNOP)≤0.1%、邻苯二甲酸二异壬酯（DINP)≤0.1%、邻苯二甲酸二异癸酯（DIDP)≤0.1%；有害物质（重金属：可溶性铅≤90mg/kg、可溶性镉≤75mg/kg、可溶性铬≤60mg/kg、可溶性汞≤60mg/kg）；16 种多环芳烃（PAH）总量≤10mg/kg；多溴联苯（PBB）≤1000mg/kg；多溴二苯醚（PBDE）≤1000mg/kg；甲醛释放量≤0.05mg/m³；挥发性有机化合物（TVOC≤0.3mg/m</w:t>
            </w:r>
            <w:r>
              <w:rPr>
                <w:rFonts w:hint="eastAsia" w:ascii="仿宋_GB2312" w:hAnsi="仿宋_GB2312" w:eastAsia="仿宋_GB2312" w:cs="仿宋_GB2312"/>
                <w:color w:val="auto"/>
                <w:sz w:val="24"/>
                <w:szCs w:val="24"/>
                <w:highlight w:val="none"/>
                <w:u w:val="single"/>
                <w:vertAlign w:val="superscript"/>
                <w:lang w:val="en-US" w:eastAsia="zh-CN"/>
              </w:rPr>
              <w:t>3</w:t>
            </w:r>
            <w:r>
              <w:rPr>
                <w:rFonts w:hint="eastAsia" w:ascii="仿宋_GB2312" w:hAnsi="仿宋_GB2312" w:eastAsia="仿宋_GB2312" w:cs="仿宋_GB2312"/>
                <w:color w:val="auto"/>
                <w:sz w:val="24"/>
                <w:szCs w:val="24"/>
                <w:highlight w:val="none"/>
                <w:u w:val="single"/>
                <w:lang w:val="en-US" w:eastAsia="zh-CN"/>
              </w:rPr>
              <w:t>）；苯并[α]芘≤1.0mg/kg；耐老化性：（室内用 500h），冲击强度的保持率≥60%，外观颜色变色评级≥3级；冲击强度≥10J/m²。</w:t>
            </w:r>
          </w:p>
          <w:p w14:paraId="0CE28742">
            <w:pPr>
              <w:keepNext w:val="0"/>
              <w:keepLines w:val="0"/>
              <w:pageBreakBefore w:val="0"/>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（三）椅架：</w:t>
            </w:r>
          </w:p>
          <w:p w14:paraId="57D1BD7C">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u w:val="none"/>
                <w:lang w:val="en-US" w:eastAsia="zh-CN"/>
              </w:rPr>
              <w:t>1.</w:t>
            </w:r>
            <w:r>
              <w:rPr>
                <w:rFonts w:hint="eastAsia" w:ascii="仿宋_GB2312" w:hAnsi="仿宋_GB2312" w:eastAsia="仿宋_GB2312" w:cs="仿宋_GB2312"/>
                <w:color w:val="auto"/>
                <w:sz w:val="24"/>
                <w:szCs w:val="24"/>
                <w:u w:val="none"/>
              </w:rPr>
              <w:t>椅腿与地脚为直角支撑，椅腿和地脚采用椭圆钢管并使用套管式升降。椅上管采用50×25mm(±2mm)椭圆型钢管；钢管壁厚≥1.2mm，椅下管采用 60mm×30mm(±2mm)椭圆型钢管；钢管壁厚≥1.2mm；椅靠背跟坐架连接管采用 22mm×32mm(±2mm)眼镜形管折弯管成型，管壁厚≥1.</w:t>
            </w: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mm；坐垫下方设有2根支撑16mm(±2mm) 圆管；椅脚管与立管采用平管贯穿式焊接，椅脚管为60×30mm(±2mm)椭圆型钢管，钢管壁厚≥1.2mm。</w:t>
            </w:r>
            <w:r>
              <w:rPr>
                <w:rFonts w:hint="eastAsia" w:ascii="仿宋_GB2312" w:hAnsi="仿宋_GB2312" w:eastAsia="仿宋_GB2312" w:cs="仿宋_GB2312"/>
                <w:color w:val="auto"/>
                <w:sz w:val="24"/>
                <w:szCs w:val="24"/>
                <w:highlight w:val="none"/>
                <w:u w:val="none"/>
                <w:lang w:val="en-US" w:eastAsia="zh-CN"/>
              </w:rPr>
              <w:t>课椅</w:t>
            </w:r>
            <w:r>
              <w:rPr>
                <w:rFonts w:hint="eastAsia" w:ascii="仿宋_GB2312" w:hAnsi="仿宋_GB2312" w:eastAsia="仿宋_GB2312" w:cs="仿宋_GB2312"/>
                <w:color w:val="auto"/>
                <w:sz w:val="24"/>
                <w:szCs w:val="24"/>
                <w:highlight w:val="none"/>
                <w:u w:val="none"/>
              </w:rPr>
              <w:t>立柱</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椭圆管焊接成型</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椅上架升降立柱套管采用50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20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椭圆管，外侧方配刻度,方便调节高度。</w:t>
            </w:r>
          </w:p>
          <w:p w14:paraId="0CC613C2">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single"/>
                <w:lang w:val="en-US" w:eastAsia="zh-CN"/>
              </w:rPr>
              <w:t>课椅立柱符合GB/T 13793-2016 《直缝电焊钢管》、GB/T 3325-2024 《金属家具通用技术条件》、GB/T 10125-2021 《人造气氛腐蚀试验 盐雾试验》、GB/T 6461-2002 《金属基体上金属和其他无机覆盖层经腐蚀试验后的试样和试件的评级》、GB/T 35607-2024《绿色产品评价 家具》、GB/T 11253-2019 《碳素结构钢冷轧钢板及钢带》要求，其中：</w:t>
            </w:r>
          </w:p>
          <w:p w14:paraId="68EC813C">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外观性能（金属件喷漆（塑）涂层）：应无漏喷、锈蚀、脱色、掉色等，应光滑均匀，色泽一致，应无挂流、疙瘩、皱皮、飞漆等；力学性能：下屈服强度≥195Mpa，抗拉强度315～430Mpa，断后伸长率≥24%；</w:t>
            </w:r>
            <w:r>
              <w:rPr>
                <w:rFonts w:hint="eastAsia" w:ascii="仿宋_GB2312" w:hAnsi="仿宋_GB2312" w:eastAsia="仿宋_GB2312" w:cs="仿宋_GB2312"/>
                <w:b w:val="0"/>
                <w:bCs w:val="0"/>
                <w:color w:val="auto"/>
                <w:sz w:val="24"/>
                <w:szCs w:val="24"/>
                <w:highlight w:val="none"/>
                <w:u w:val="single"/>
                <w:lang w:val="en-US" w:eastAsia="zh-CN"/>
              </w:rPr>
              <w:t>金属喷漆（塑）涂层：硬度（铅笔硬度H，应无塑性变形和或内聚破坏）、冲击强度（冲击高度400mm，应无剥落、裂纹、皱纹）、附着力（2级或优于2级）</w:t>
            </w:r>
            <w:r>
              <w:rPr>
                <w:rFonts w:hint="eastAsia" w:ascii="仿宋_GB2312" w:hAnsi="仿宋_GB2312" w:eastAsia="仿宋_GB2312" w:cs="仿宋_GB2312"/>
                <w:color w:val="auto"/>
                <w:sz w:val="24"/>
                <w:szCs w:val="24"/>
                <w:highlight w:val="none"/>
                <w:u w:val="single"/>
                <w:lang w:val="en-US" w:eastAsia="zh-CN"/>
              </w:rPr>
              <w:t>；</w:t>
            </w:r>
            <w:r>
              <w:rPr>
                <w:rFonts w:hint="eastAsia" w:ascii="仿宋_GB2312" w:hAnsi="仿宋_GB2312" w:eastAsia="仿宋_GB2312" w:cs="仿宋_GB2312"/>
                <w:b w:val="0"/>
                <w:bCs w:val="0"/>
                <w:color w:val="auto"/>
                <w:kern w:val="2"/>
                <w:sz w:val="24"/>
                <w:szCs w:val="24"/>
                <w:highlight w:val="none"/>
                <w:u w:val="single"/>
                <w:lang w:val="en-US" w:eastAsia="zh-CN" w:bidi="ar-SA"/>
              </w:rPr>
              <w:t>产品有害物质（家具涂层可迁移元素：铅Pb≤90mg/kg、镉Cd≤50mg/kg、铬Cr≤25mg/kg、汞Hg≤25mg/kg、锑Sb≤60mg/kg、钡Ba≤1000mg/kg、硒Se≤500mg/kg、砷As≤25mg/kg）；</w:t>
            </w:r>
            <w:r>
              <w:rPr>
                <w:rFonts w:hint="eastAsia" w:ascii="仿宋_GB2312" w:hAnsi="仿宋_GB2312" w:eastAsia="仿宋_GB2312" w:cs="仿宋_GB2312"/>
                <w:color w:val="auto"/>
                <w:sz w:val="24"/>
                <w:szCs w:val="24"/>
                <w:highlight w:val="none"/>
                <w:u w:val="single"/>
                <w:lang w:val="en-US" w:eastAsia="zh-CN"/>
              </w:rPr>
              <w:t>经过96h人造气氛腐蚀试验（中性盐雾NSS、乙酸盐雾AASS、铜加速乙酸盐雾CASS），保护评级、外观评级均不低于9级。</w:t>
            </w:r>
          </w:p>
          <w:p w14:paraId="54EF2728">
            <w:pPr>
              <w:pStyle w:val="869"/>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single"/>
              </w:rPr>
              <w:t>螺杆和预埋螺母符合QB/T 3832-1999《轻工产品金属镀层腐蚀试验结果的评价》</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rPr>
              <w:t>GB/T 3325-2024 《金属家具通用技术条件》</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rPr>
              <w:t>QB/T</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3826-1999《轻工产品金属镀层和化学处理层的耐腐蚀试验方法 中性盐雾试验（NSS）法》</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rPr>
              <w:t>QB/T 3827-1999《轻工产品金属镀层和化学处理层的耐腐蚀试验方法 乙酸盐雾试验（ASS）法》</w:t>
            </w:r>
            <w:r>
              <w:rPr>
                <w:rFonts w:hint="eastAsia" w:ascii="仿宋_GB2312" w:hAnsi="仿宋_GB2312" w:eastAsia="仿宋_GB2312" w:cs="仿宋_GB2312"/>
                <w:color w:val="auto"/>
                <w:sz w:val="24"/>
                <w:szCs w:val="24"/>
                <w:u w:val="single"/>
                <w:lang w:val="en-US" w:eastAsia="zh-CN"/>
              </w:rPr>
              <w:t>要求，其中：</w:t>
            </w:r>
          </w:p>
          <w:p w14:paraId="30D719CB">
            <w:pPr>
              <w:pStyle w:val="869"/>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single"/>
              </w:rPr>
              <w:t>标准金属表面耐腐蚀性：乙酸盐雾试验（ASS）120h，等级达到9级以上，中性盐雾试验（NSS）120h，等级达到9级以上</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rPr>
              <w:t>抗盐雾：直径1.5mm以下锈点≤20点/dm,其中直径≥1.0mm</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rPr>
              <w:t>锈点不超过5点(距边缘棱角2mm以内的不计)</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lang w:val="en-US" w:eastAsia="zh-CN"/>
              </w:rPr>
              <w:t>外观性能符合要求。</w:t>
            </w:r>
          </w:p>
          <w:p w14:paraId="3296B856">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kern w:val="0"/>
                <w:sz w:val="24"/>
                <w:szCs w:val="24"/>
                <w:u w:val="none"/>
                <w:lang w:val="en-US" w:eastAsia="zh-CN"/>
              </w:rPr>
              <w:t>3.</w:t>
            </w:r>
            <w:r>
              <w:rPr>
                <w:rFonts w:hint="eastAsia" w:ascii="仿宋_GB2312" w:hAnsi="仿宋_GB2312" w:eastAsia="仿宋_GB2312" w:cs="仿宋_GB2312"/>
                <w:color w:val="auto"/>
                <w:kern w:val="0"/>
                <w:sz w:val="24"/>
                <w:szCs w:val="24"/>
                <w:u w:val="none"/>
              </w:rPr>
              <w:t>套管胶套：升降内外管间使用优质PP塑料胶套，规格72</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kern w:val="0"/>
                <w:sz w:val="24"/>
                <w:szCs w:val="24"/>
                <w:u w:val="none"/>
              </w:rPr>
              <w:t>35mm</w:t>
            </w:r>
            <w:r>
              <w:rPr>
                <w:rFonts w:hint="eastAsia" w:ascii="仿宋_GB2312" w:hAnsi="仿宋_GB2312" w:eastAsia="仿宋_GB2312" w:cs="仿宋_GB2312"/>
                <w:color w:val="auto"/>
                <w:sz w:val="24"/>
                <w:szCs w:val="24"/>
                <w:u w:val="none"/>
              </w:rPr>
              <w:t>(±2mm)，胶套起到防尘、防水、耐磨的作用。</w:t>
            </w:r>
          </w:p>
          <w:p w14:paraId="705D63AC">
            <w:pPr>
              <w:keepNext w:val="0"/>
              <w:keepLines w:val="0"/>
              <w:pageBreakBefore w:val="0"/>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（四）脚套：</w:t>
            </w:r>
          </w:p>
          <w:p w14:paraId="08179F2B">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采用全新颗粒 PP 塑料一次性注塑成型，规格75×65×45mm(±2mm)；脚套自带塑料垫螺旋调节功能，防止地板不平影响使用舒适度；脚套起到防滑、防摩擦、防碰撞、静音等作用。</w:t>
            </w:r>
          </w:p>
          <w:p w14:paraId="43303B72">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脚套符合GB/T 32487-2016《塑料家具通用技术条件》、GB 28481-2012 《塑料家具中有害物质限量》的国家标准，塑料件外观符合要求；有害物质</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邻苯二甲酸</w:t>
            </w:r>
            <w:r>
              <w:rPr>
                <w:rFonts w:hint="eastAsia" w:ascii="仿宋_GB2312" w:hAnsi="仿宋_GB2312" w:eastAsia="仿宋_GB2312" w:cs="仿宋_GB2312"/>
                <w:color w:val="auto"/>
                <w:sz w:val="24"/>
                <w:szCs w:val="24"/>
                <w:highlight w:val="none"/>
                <w:u w:val="none"/>
              </w:rPr>
              <w:t>酯</w:t>
            </w:r>
            <w:r>
              <w:rPr>
                <w:rFonts w:hint="eastAsia" w:ascii="仿宋_GB2312" w:hAnsi="仿宋_GB2312" w:eastAsia="仿宋_GB2312" w:cs="仿宋_GB2312"/>
                <w:color w:val="auto"/>
                <w:sz w:val="24"/>
                <w:szCs w:val="24"/>
                <w:highlight w:val="none"/>
                <w:u w:val="none"/>
                <w:lang w:val="en-US" w:eastAsia="zh-CN"/>
              </w:rPr>
              <w:t>≤0.1%</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16种</w:t>
            </w:r>
            <w:r>
              <w:rPr>
                <w:rFonts w:hint="eastAsia" w:ascii="仿宋_GB2312" w:hAnsi="仿宋_GB2312" w:eastAsia="仿宋_GB2312" w:cs="仿宋_GB2312"/>
                <w:color w:val="auto"/>
                <w:sz w:val="24"/>
                <w:szCs w:val="24"/>
                <w:highlight w:val="none"/>
                <w:u w:val="none"/>
              </w:rPr>
              <w:t>多环芳烃</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PAH)总量≤10mg/kg</w:t>
            </w:r>
            <w:r>
              <w:rPr>
                <w:rFonts w:hint="eastAsia" w:ascii="仿宋_GB2312" w:hAnsi="仿宋_GB2312" w:eastAsia="仿宋_GB2312" w:cs="仿宋_GB2312"/>
                <w:color w:val="auto"/>
                <w:sz w:val="24"/>
                <w:szCs w:val="24"/>
                <w:highlight w:val="none"/>
                <w:u w:val="none"/>
              </w:rPr>
              <w:t>、多溴联苯(PBB)</w:t>
            </w:r>
            <w:r>
              <w:rPr>
                <w:rFonts w:hint="eastAsia" w:ascii="仿宋_GB2312" w:hAnsi="仿宋_GB2312" w:eastAsia="仿宋_GB2312" w:cs="仿宋_GB2312"/>
                <w:color w:val="auto"/>
                <w:sz w:val="24"/>
                <w:szCs w:val="24"/>
                <w:highlight w:val="none"/>
                <w:u w:val="none"/>
                <w:lang w:val="en-US" w:eastAsia="zh-CN"/>
              </w:rPr>
              <w:t>≤1000mg/kg</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u w:val="none"/>
              </w:rPr>
              <w:t>耐老化性：500h测试，冲击强度的保持率≥60%，外观颜色变色评级≥3级；</w:t>
            </w:r>
          </w:p>
          <w:p w14:paraId="700E79EF">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（五）椅子重量：</w:t>
            </w:r>
          </w:p>
          <w:p w14:paraId="658B7EE9">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整张椅子净重不小于6公斤。</w:t>
            </w:r>
          </w:p>
          <w:p w14:paraId="1D011EFD">
            <w:pPr>
              <w:keepNext w:val="0"/>
              <w:keepLines w:val="0"/>
              <w:pageBreakBefore w:val="0"/>
              <w:kinsoku/>
              <w:wordWrap/>
              <w:overflowPunct/>
              <w:topLinePunct w:val="0"/>
              <w:autoSpaceDE/>
              <w:autoSpaceDN/>
              <w:bidi w:val="0"/>
              <w:adjustRightInd/>
              <w:spacing w:line="400" w:lineRule="exact"/>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b/>
                <w:bCs/>
                <w:color w:val="auto"/>
                <w:sz w:val="24"/>
                <w:szCs w:val="24"/>
                <w:u w:val="none"/>
                <w:lang w:val="en-US" w:eastAsia="zh-CN"/>
              </w:rPr>
              <w:t>三、其他要求</w:t>
            </w:r>
          </w:p>
          <w:p w14:paraId="75B62F63">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kern w:val="0"/>
                <w:sz w:val="24"/>
                <w:szCs w:val="24"/>
                <w:u w:val="none"/>
                <w:lang w:val="en-US" w:eastAsia="zh-CN"/>
              </w:rPr>
              <w:t>1.</w:t>
            </w:r>
            <w:r>
              <w:rPr>
                <w:rFonts w:hint="eastAsia" w:ascii="仿宋_GB2312" w:hAnsi="仿宋_GB2312" w:eastAsia="仿宋_GB2312" w:cs="仿宋_GB2312"/>
                <w:color w:val="auto"/>
                <w:sz w:val="24"/>
                <w:szCs w:val="24"/>
                <w:u w:val="none"/>
              </w:rPr>
              <w:t>钢管表面涂装工艺要求：表面经酸洗、脱脂、磷化处理，耐腐蚀、防锈，表面采用一级颗粒粉末经静电喷涂，附着力强，不脱漆，涂层无漏喷，锈蚀涂层光滑均匀，色泽一致。</w:t>
            </w:r>
          </w:p>
          <w:p w14:paraId="28476286">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钢管和钢板表面采用塑粉喷涂</w:t>
            </w:r>
            <w:r>
              <w:rPr>
                <w:rFonts w:hint="eastAsia" w:ascii="仿宋_GB2312" w:hAnsi="仿宋_GB2312" w:eastAsia="仿宋_GB2312" w:cs="仿宋_GB2312"/>
                <w:color w:val="auto"/>
                <w:sz w:val="24"/>
                <w:szCs w:val="24"/>
                <w:u w:val="none"/>
                <w:lang w:eastAsia="zh-CN"/>
              </w:rPr>
              <w:t>。</w:t>
            </w:r>
          </w:p>
          <w:p w14:paraId="037AEB3F">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u w:val="single"/>
              </w:rPr>
              <w:t>塑粉符合GB/T 21866-2008《抗菌涂料(漆膜)抗菌性测定法和抗菌效果》</w:t>
            </w:r>
            <w:r>
              <w:rPr>
                <w:rFonts w:hint="eastAsia" w:ascii="仿宋_GB2312" w:hAnsi="仿宋_GB2312" w:eastAsia="仿宋_GB2312" w:cs="仿宋_GB2312"/>
                <w:color w:val="auto"/>
                <w:kern w:val="2"/>
                <w:sz w:val="24"/>
                <w:szCs w:val="24"/>
                <w:highlight w:val="none"/>
                <w:u w:val="single"/>
                <w:lang w:val="en-US" w:eastAsia="zh-CN" w:bidi="ar-SA"/>
              </w:rPr>
              <w:t>、HG/T 2006-2022 《热固性和热塑性粉末涂料》、GB/T 35602-2017《绿色产品评价 涂料》要求</w:t>
            </w:r>
            <w:r>
              <w:rPr>
                <w:rFonts w:hint="eastAsia" w:ascii="仿宋_GB2312" w:hAnsi="仿宋_GB2312" w:eastAsia="仿宋_GB2312" w:cs="仿宋_GB2312"/>
                <w:color w:val="auto"/>
                <w:sz w:val="24"/>
                <w:szCs w:val="24"/>
                <w:u w:val="single"/>
              </w:rPr>
              <w:t>，</w:t>
            </w:r>
            <w:r>
              <w:rPr>
                <w:rFonts w:hint="eastAsia" w:ascii="仿宋_GB2312" w:hAnsi="仿宋_GB2312" w:eastAsia="仿宋_GB2312" w:cs="仿宋_GB2312"/>
                <w:color w:val="auto"/>
                <w:sz w:val="24"/>
                <w:szCs w:val="24"/>
                <w:u w:val="single"/>
                <w:lang w:val="en-US" w:eastAsia="zh-CN"/>
              </w:rPr>
              <w:t>其中：</w:t>
            </w:r>
          </w:p>
          <w:p w14:paraId="166FE41A">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抗菌性能：抗细菌率≥99%</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kern w:val="2"/>
                <w:sz w:val="24"/>
                <w:szCs w:val="24"/>
                <w:highlight w:val="none"/>
                <w:u w:val="single"/>
                <w:lang w:val="en-US" w:eastAsia="zh-CN" w:bidi="ar-SA"/>
              </w:rPr>
              <w:t>外观：色泽均匀，无异物，呈松散粉末状；筛余物（125μm）全部通过；涂膜外观：正常；附着力（干附着力）≤1级；铅笔硬度≥H；耐冲击性（正向冲击）：50cm；杯突试验≥4mm；弯曲试验≤4mm；耐磨性（750g/500r）≤50mg；耐酸性[3%(质量分数）盐酸溶液]：240h无异常；耐碱性[5%（质量分数）氢氧化钠溶液]：168h无异常；耐沸水性（2h）：无异常；耐盐雾性：中性盐雾500h划痕处单向腐蚀蔓延宽度≤2.0mm，未划痕区无起泡、生锈、开裂、剥落等异常现象；耐湿性（室内用）：500h无异常。重金属元素含量：铅Pb≤20mg/kg、镉Cd≤20mg/kg、六价铬（Cr</w:t>
            </w:r>
            <w:r>
              <w:rPr>
                <w:rFonts w:hint="eastAsia" w:ascii="仿宋_GB2312" w:hAnsi="仿宋_GB2312" w:eastAsia="仿宋_GB2312" w:cs="仿宋_GB2312"/>
                <w:color w:val="auto"/>
                <w:kern w:val="2"/>
                <w:sz w:val="24"/>
                <w:szCs w:val="24"/>
                <w:highlight w:val="none"/>
                <w:u w:val="single"/>
                <w:vertAlign w:val="superscript"/>
                <w:lang w:val="en-US" w:eastAsia="zh-CN" w:bidi="ar-SA"/>
              </w:rPr>
              <w:t>6+</w:t>
            </w:r>
            <w:r>
              <w:rPr>
                <w:rFonts w:hint="eastAsia" w:ascii="仿宋_GB2312" w:hAnsi="仿宋_GB2312" w:eastAsia="仿宋_GB2312" w:cs="仿宋_GB2312"/>
                <w:color w:val="auto"/>
                <w:kern w:val="2"/>
                <w:sz w:val="24"/>
                <w:szCs w:val="24"/>
                <w:highlight w:val="none"/>
                <w:u w:val="single"/>
                <w:lang w:val="en-US" w:eastAsia="zh-CN" w:bidi="ar-SA"/>
              </w:rPr>
              <w:t>）≤20mg/kg、汞Hg≤20mg/kg、砷As≤20mg/kg、钡Ba≤100mg/kg、硒Se≤20mg/kg、锑Sb≤20mg/kg、钴Co≤20mg/kg。</w:t>
            </w:r>
          </w:p>
          <w:p w14:paraId="54EF9A9D">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kern w:val="2"/>
                <w:sz w:val="24"/>
                <w:szCs w:val="24"/>
                <w:highlight w:val="none"/>
                <w:u w:val="none"/>
                <w:lang w:val="en-US" w:eastAsia="zh-CN" w:bidi="ar-SA"/>
              </w:rPr>
              <w:t>3.</w:t>
            </w:r>
            <w:r>
              <w:rPr>
                <w:rFonts w:hint="eastAsia" w:ascii="仿宋_GB2312" w:hAnsi="仿宋_GB2312" w:eastAsia="仿宋_GB2312" w:cs="仿宋_GB2312"/>
                <w:color w:val="auto"/>
                <w:sz w:val="24"/>
                <w:szCs w:val="24"/>
                <w:highlight w:val="none"/>
                <w:u w:val="none"/>
                <w:lang w:val="en-US" w:eastAsia="zh-CN"/>
              </w:rPr>
              <w:t>课椅性能检测必须符合：</w:t>
            </w:r>
            <w:r>
              <w:rPr>
                <w:rFonts w:hint="eastAsia" w:ascii="仿宋_GB2312" w:hAnsi="仿宋_GB2312" w:eastAsia="仿宋_GB2312" w:cs="仿宋_GB2312"/>
                <w:b w:val="0"/>
                <w:bCs w:val="0"/>
                <w:color w:val="auto"/>
                <w:sz w:val="24"/>
                <w:szCs w:val="24"/>
                <w:highlight w:val="none"/>
                <w:u w:val="none"/>
                <w:lang w:val="en-US" w:eastAsia="zh-CN"/>
              </w:rPr>
              <w:t>GB/T 3325-2024《金属家具通用技术条件》、</w:t>
            </w:r>
            <w:r>
              <w:rPr>
                <w:rFonts w:hint="eastAsia" w:ascii="仿宋_GB2312" w:hAnsi="仿宋_GB2312" w:eastAsia="仿宋_GB2312" w:cs="仿宋_GB2312"/>
                <w:color w:val="auto"/>
                <w:sz w:val="24"/>
                <w:szCs w:val="24"/>
                <w:highlight w:val="none"/>
                <w:u w:val="none"/>
                <w:lang w:val="en-US" w:eastAsia="zh-CN"/>
              </w:rPr>
              <w:t>GB/T 32487-2016 《塑料家具通用技术条件》、GB/T 35607-2024《绿色产品评价 家具》、QB/T 4071-2021《课桌椅》、</w:t>
            </w:r>
            <w:r>
              <w:rPr>
                <w:rFonts w:hint="eastAsia" w:ascii="仿宋_GB2312" w:hAnsi="仿宋_GB2312" w:eastAsia="仿宋_GB2312" w:cs="仿宋_GB2312"/>
                <w:color w:val="auto"/>
                <w:sz w:val="24"/>
                <w:szCs w:val="24"/>
                <w:u w:val="none"/>
              </w:rPr>
              <w:t>GB 28481-2012 《塑料家具中有害物质限量》</w:t>
            </w:r>
            <w:r>
              <w:rPr>
                <w:rFonts w:hint="eastAsia" w:ascii="仿宋_GB2312" w:hAnsi="仿宋_GB2312" w:eastAsia="仿宋_GB2312" w:cs="仿宋_GB2312"/>
                <w:color w:val="auto"/>
                <w:sz w:val="24"/>
                <w:szCs w:val="24"/>
                <w:highlight w:val="none"/>
                <w:u w:val="none"/>
                <w:lang w:val="en-US" w:eastAsia="zh-CN"/>
              </w:rPr>
              <w:t>要求，其中：</w:t>
            </w:r>
          </w:p>
          <w:p w14:paraId="5DD629F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金属件外观（管材、焊接件、喷漆（塑）涂层）符合要求；塑料件外观符合要求；塑料件形状和位置公差（翘曲度、平整度、底脚平稳性）符合要求；理化性能符合要求；课桌/课椅力学性能符合要求；有害物质限量（表面涂层可迁移元素含量）：铅Pb≤90mg/kg、镉Cd≤50mg/kg、铬Cr≤25mg/kg、汞Hg≤25mg/kg、锑Sb≤60mg/kg、钡Ba≤1000mg/kg、硒Se≤500mg/kg、砷As≤25mg/kg</w:t>
            </w:r>
            <w:r>
              <w:rPr>
                <w:rFonts w:hint="eastAsia" w:ascii="仿宋_GB2312" w:hAnsi="仿宋_GB2312" w:eastAsia="仿宋_GB2312" w:cs="仿宋_GB2312"/>
                <w:color w:val="auto"/>
                <w:kern w:val="2"/>
                <w:sz w:val="24"/>
                <w:szCs w:val="24"/>
                <w:highlight w:val="none"/>
                <w:u w:val="none"/>
                <w:lang w:val="en-US" w:eastAsia="zh-CN" w:bidi="ar-SA"/>
              </w:rPr>
              <w:t>；苯并[a]芘≤1.0mg/kg、16 种多环芳烃（PAH）总量≤10mg/kg；挥发性有机化合物TVOC≤0.3mg/m³。</w:t>
            </w:r>
          </w:p>
          <w:p w14:paraId="266B7320">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4.金属件</w:t>
            </w:r>
            <w:r>
              <w:rPr>
                <w:rFonts w:hint="eastAsia" w:ascii="仿宋_GB2312" w:hAnsi="仿宋_GB2312" w:eastAsia="仿宋_GB2312" w:cs="仿宋_GB2312"/>
                <w:color w:val="auto"/>
                <w:sz w:val="24"/>
                <w:szCs w:val="24"/>
                <w:highlight w:val="none"/>
                <w:u w:val="none"/>
                <w:lang w:val="en-US" w:eastAsia="zh-CN"/>
              </w:rPr>
              <w:t>表面应光滑平整，应无起泡、泛黄、花斑、烧焦、裂纹、划痕和磕碰伤等；涂层应光滑均匀，色泽一致，应无流挂、疙瘩、皱皮、飞漆等；焊接部位应牢固，应无脱焊、虚焊、焊穿；焊缝均匀，应无毛刺、锐棱、飞溅、裂纹等缺陷；塑料件表面应光洁，应无裂纹、皱褶、污渍、明显色差。</w:t>
            </w:r>
          </w:p>
          <w:p w14:paraId="40BEB9E2">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color w:val="auto"/>
                <w:kern w:val="2"/>
                <w:sz w:val="24"/>
                <w:szCs w:val="24"/>
                <w:highlight w:val="none"/>
                <w:u w:val="none"/>
                <w:lang w:val="en-US" w:eastAsia="zh-CN" w:bidi="ar-SA"/>
              </w:rPr>
              <w:t xml:space="preserve">   5.每张课桌前方需粘贴直径60mm的标识，标识中有产品尺寸、年份。</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1A5D3CA9">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u w:val="none"/>
                <w:lang w:val="en-US" w:eastAsia="zh-CN"/>
              </w:rPr>
              <w:t>6635套</w:t>
            </w:r>
          </w:p>
        </w:tc>
      </w:tr>
      <w:tr w14:paraId="4A0C93D3">
        <w:tblPrEx>
          <w:tblCellMar>
            <w:top w:w="0" w:type="dxa"/>
            <w:left w:w="108" w:type="dxa"/>
            <w:bottom w:w="0" w:type="dxa"/>
            <w:right w:w="108" w:type="dxa"/>
          </w:tblCellMar>
        </w:tblPrEx>
        <w:trPr>
          <w:trHeight w:val="285"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3A0ADB90">
            <w:pPr>
              <w:keepNext w:val="0"/>
              <w:keepLines w:val="0"/>
              <w:pageBreakBefore w:val="0"/>
              <w:kinsoku/>
              <w:wordWrap/>
              <w:overflowPunct/>
              <w:topLinePunct w:val="0"/>
              <w:autoSpaceDE/>
              <w:autoSpaceDN/>
              <w:bidi w:val="0"/>
              <w:adjustRightInd/>
              <w:snapToGrid w:val="0"/>
              <w:spacing w:line="400" w:lineRule="exact"/>
              <w:jc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bCs/>
                <w:color w:val="auto"/>
                <w:sz w:val="24"/>
                <w:szCs w:val="24"/>
                <w:highlight w:val="none"/>
                <w:u w:val="none"/>
                <w:lang w:val="en-US" w:eastAsia="zh-CN"/>
              </w:rPr>
              <w:t>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07A0C65">
            <w:pPr>
              <w:keepNext w:val="0"/>
              <w:keepLines w:val="0"/>
              <w:pageBreakBefore w:val="0"/>
              <w:kinsoku/>
              <w:wordWrap/>
              <w:overflowPunct/>
              <w:topLinePunct w:val="0"/>
              <w:autoSpaceDE/>
              <w:autoSpaceDN/>
              <w:bidi w:val="0"/>
              <w:adjustRightInd/>
              <w:snapToGrid w:val="0"/>
              <w:spacing w:line="400" w:lineRule="exact"/>
              <w:jc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bCs/>
                <w:color w:val="auto"/>
                <w:sz w:val="24"/>
                <w:szCs w:val="24"/>
                <w:highlight w:val="none"/>
                <w:u w:val="none"/>
                <w:lang w:val="en-US" w:eastAsia="zh-CN"/>
              </w:rPr>
              <w:t>中学课桌椅</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680F0EBB">
            <w:pPr>
              <w:keepNext w:val="0"/>
              <w:keepLines w:val="0"/>
              <w:pageBreakBefore w:val="0"/>
              <w:numPr>
                <w:ilvl w:val="0"/>
                <w:numId w:val="0"/>
              </w:numPr>
              <w:kinsoku/>
              <w:wordWrap/>
              <w:overflowPunct/>
              <w:topLinePunct w:val="0"/>
              <w:autoSpaceDE/>
              <w:autoSpaceDN/>
              <w:bidi w:val="0"/>
              <w:adjustRightInd/>
              <w:spacing w:line="400" w:lineRule="exact"/>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一、学生课桌：</w:t>
            </w:r>
          </w:p>
          <w:p w14:paraId="57C38018">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ascii="仿宋_GB2312" w:eastAsia="仿宋_GB2312"/>
                <w:b/>
                <w:bCs/>
                <w:color w:val="auto"/>
                <w:sz w:val="24"/>
              </w:rPr>
              <w:t>★</w:t>
            </w:r>
            <w:r>
              <w:rPr>
                <w:rFonts w:hint="eastAsia" w:ascii="仿宋_GB2312" w:hAnsi="仿宋_GB2312" w:eastAsia="仿宋_GB2312" w:cs="仿宋_GB2312"/>
                <w:b/>
                <w:bCs/>
                <w:color w:val="auto"/>
                <w:kern w:val="0"/>
                <w:sz w:val="24"/>
                <w:szCs w:val="24"/>
                <w:u w:val="none"/>
                <w:lang w:eastAsia="zh-CN"/>
              </w:rPr>
              <w:t>（</w:t>
            </w:r>
            <w:r>
              <w:rPr>
                <w:rFonts w:hint="eastAsia" w:ascii="仿宋_GB2312" w:hAnsi="仿宋_GB2312" w:eastAsia="仿宋_GB2312" w:cs="仿宋_GB2312"/>
                <w:b/>
                <w:bCs/>
                <w:color w:val="auto"/>
                <w:kern w:val="0"/>
                <w:sz w:val="24"/>
                <w:szCs w:val="24"/>
                <w:u w:val="none"/>
                <w:lang w:val="en-US" w:eastAsia="zh-CN"/>
              </w:rPr>
              <w:t>一</w:t>
            </w:r>
            <w:r>
              <w:rPr>
                <w:rFonts w:hint="eastAsia" w:ascii="仿宋_GB2312" w:hAnsi="仿宋_GB2312" w:eastAsia="仿宋_GB2312" w:cs="仿宋_GB2312"/>
                <w:b/>
                <w:bCs/>
                <w:color w:val="auto"/>
                <w:kern w:val="0"/>
                <w:sz w:val="24"/>
                <w:szCs w:val="24"/>
                <w:u w:val="none"/>
                <w:lang w:eastAsia="zh-CN"/>
              </w:rPr>
              <w:t>）</w:t>
            </w:r>
            <w:r>
              <w:rPr>
                <w:rFonts w:hint="eastAsia" w:ascii="仿宋_GB2312" w:hAnsi="仿宋_GB2312" w:eastAsia="仿宋_GB2312" w:cs="仿宋_GB2312"/>
                <w:b/>
                <w:bCs/>
                <w:color w:val="auto"/>
                <w:kern w:val="0"/>
                <w:sz w:val="24"/>
                <w:szCs w:val="24"/>
                <w:u w:val="none"/>
                <w:lang w:val="en-US" w:eastAsia="zh-CN"/>
              </w:rPr>
              <w:t>课桌整体规格（长×宽×高）：</w:t>
            </w:r>
          </w:p>
          <w:p w14:paraId="56FC31B3">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长6</w:t>
            </w:r>
            <w:r>
              <w:rPr>
                <w:rFonts w:hint="eastAsia" w:ascii="仿宋_GB2312" w:hAnsi="仿宋_GB2312" w:eastAsia="仿宋_GB2312" w:cs="仿宋_GB2312"/>
                <w:color w:val="auto"/>
                <w:kern w:val="0"/>
                <w:sz w:val="24"/>
                <w:szCs w:val="24"/>
                <w:u w:val="none"/>
                <w:lang w:val="en-US" w:eastAsia="zh-CN"/>
              </w:rPr>
              <w:t>5</w:t>
            </w:r>
            <w:r>
              <w:rPr>
                <w:rFonts w:hint="eastAsia" w:ascii="仿宋_GB2312" w:hAnsi="仿宋_GB2312" w:eastAsia="仿宋_GB2312" w:cs="仿宋_GB2312"/>
                <w:color w:val="auto"/>
                <w:kern w:val="0"/>
                <w:sz w:val="24"/>
                <w:szCs w:val="24"/>
                <w:u w:val="none"/>
              </w:rPr>
              <w:t>0×宽</w:t>
            </w:r>
            <w:r>
              <w:rPr>
                <w:rFonts w:hint="eastAsia" w:ascii="仿宋_GB2312" w:hAnsi="仿宋_GB2312" w:eastAsia="仿宋_GB2312" w:cs="仿宋_GB2312"/>
                <w:color w:val="auto"/>
                <w:kern w:val="0"/>
                <w:sz w:val="24"/>
                <w:szCs w:val="24"/>
                <w:u w:val="none"/>
                <w:lang w:val="en-US" w:eastAsia="zh-CN"/>
              </w:rPr>
              <w:t>500</w:t>
            </w:r>
            <w:r>
              <w:rPr>
                <w:rFonts w:hint="eastAsia" w:ascii="仿宋_GB2312" w:hAnsi="仿宋_GB2312" w:eastAsia="仿宋_GB2312" w:cs="仿宋_GB2312"/>
                <w:color w:val="auto"/>
                <w:kern w:val="0"/>
                <w:sz w:val="24"/>
                <w:szCs w:val="24"/>
                <w:u w:val="none"/>
              </w:rPr>
              <w:t>×高</w:t>
            </w:r>
            <w:r>
              <w:rPr>
                <w:rFonts w:hint="eastAsia" w:ascii="仿宋_GB2312" w:hAnsi="仿宋_GB2312" w:eastAsia="仿宋_GB2312" w:cs="仿宋_GB2312"/>
                <w:color w:val="auto"/>
                <w:kern w:val="0"/>
                <w:sz w:val="24"/>
                <w:szCs w:val="24"/>
                <w:u w:val="none"/>
                <w:lang w:eastAsia="zh-CN"/>
              </w:rPr>
              <w:t>（</w:t>
            </w:r>
            <w:r>
              <w:rPr>
                <w:rFonts w:hint="eastAsia" w:ascii="仿宋_GB2312" w:hAnsi="仿宋_GB2312" w:eastAsia="仿宋_GB2312" w:cs="仿宋_GB2312"/>
                <w:color w:val="auto"/>
                <w:kern w:val="0"/>
                <w:sz w:val="24"/>
                <w:szCs w:val="24"/>
                <w:u w:val="none"/>
              </w:rPr>
              <w:t>7</w:t>
            </w:r>
            <w:r>
              <w:rPr>
                <w:rFonts w:hint="eastAsia" w:ascii="仿宋_GB2312" w:hAnsi="仿宋_GB2312" w:eastAsia="仿宋_GB2312" w:cs="仿宋_GB2312"/>
                <w:color w:val="auto"/>
                <w:kern w:val="0"/>
                <w:sz w:val="24"/>
                <w:szCs w:val="24"/>
                <w:u w:val="none"/>
                <w:lang w:val="en-US" w:eastAsia="zh-CN"/>
              </w:rPr>
              <w:t>0</w:t>
            </w:r>
            <w:r>
              <w:rPr>
                <w:rFonts w:hint="eastAsia" w:ascii="仿宋_GB2312" w:hAnsi="仿宋_GB2312" w:eastAsia="仿宋_GB2312" w:cs="仿宋_GB2312"/>
                <w:color w:val="auto"/>
                <w:kern w:val="0"/>
                <w:sz w:val="24"/>
                <w:szCs w:val="24"/>
                <w:u w:val="none"/>
              </w:rPr>
              <w:t>0</w:t>
            </w:r>
            <w:r>
              <w:rPr>
                <w:rFonts w:hint="eastAsia" w:ascii="仿宋_GB2312" w:hAnsi="仿宋_GB2312" w:eastAsia="仿宋_GB2312" w:cs="仿宋_GB2312"/>
                <w:color w:val="auto"/>
                <w:kern w:val="0"/>
                <w:sz w:val="24"/>
                <w:szCs w:val="24"/>
                <w:u w:val="none"/>
                <w:lang w:val="en-US" w:eastAsia="zh-CN"/>
              </w:rPr>
              <w:t>-820</w:t>
            </w:r>
            <w:r>
              <w:rPr>
                <w:rFonts w:hint="eastAsia" w:ascii="仿宋_GB2312" w:hAnsi="仿宋_GB2312" w:eastAsia="仿宋_GB2312" w:cs="仿宋_GB2312"/>
                <w:color w:val="auto"/>
                <w:kern w:val="0"/>
                <w:sz w:val="24"/>
                <w:szCs w:val="24"/>
                <w:u w:val="none"/>
              </w:rPr>
              <w:t>mm</w:t>
            </w:r>
            <w:r>
              <w:rPr>
                <w:rFonts w:hint="eastAsia" w:ascii="仿宋_GB2312" w:hAnsi="仿宋_GB2312" w:eastAsia="仿宋_GB2312" w:cs="仿宋_GB2312"/>
                <w:color w:val="auto"/>
                <w:kern w:val="0"/>
                <w:sz w:val="24"/>
                <w:szCs w:val="24"/>
                <w:u w:val="none"/>
                <w:lang w:eastAsia="zh-CN"/>
              </w:rPr>
              <w:t>）</w:t>
            </w:r>
            <w:r>
              <w:rPr>
                <w:rFonts w:hint="eastAsia" w:ascii="仿宋_GB2312" w:hAnsi="仿宋_GB2312" w:eastAsia="仿宋_GB2312" w:cs="仿宋_GB2312"/>
                <w:color w:val="auto"/>
                <w:kern w:val="0"/>
                <w:sz w:val="24"/>
                <w:szCs w:val="24"/>
                <w:u w:val="none"/>
              </w:rPr>
              <w:t>mm</w:t>
            </w:r>
            <w:r>
              <w:rPr>
                <w:rFonts w:hint="eastAsia" w:ascii="仿宋_GB2312" w:hAnsi="仿宋_GB2312" w:eastAsia="仿宋_GB2312" w:cs="仿宋_GB2312"/>
                <w:color w:val="auto"/>
                <w:kern w:val="0"/>
                <w:sz w:val="24"/>
                <w:szCs w:val="24"/>
                <w:u w:val="none"/>
                <w:lang w:val="en-US" w:eastAsia="zh-CN"/>
              </w:rPr>
              <w:t>可调节高度700mm、730mm、760mm、790mm、820mm</w:t>
            </w:r>
            <w:r>
              <w:rPr>
                <w:rFonts w:hint="eastAsia" w:ascii="仿宋_GB2312" w:hAnsi="仿宋_GB2312" w:eastAsia="仿宋_GB2312" w:cs="仿宋_GB2312"/>
                <w:color w:val="auto"/>
                <w:kern w:val="0"/>
                <w:sz w:val="24"/>
                <w:szCs w:val="24"/>
                <w:u w:val="none"/>
                <w:lang w:eastAsia="zh-CN"/>
              </w:rPr>
              <w:t>）</w:t>
            </w:r>
            <w:r>
              <w:rPr>
                <w:rFonts w:hint="eastAsia" w:ascii="仿宋_GB2312" w:hAnsi="仿宋_GB2312" w:eastAsia="仿宋_GB2312" w:cs="仿宋_GB2312"/>
                <w:color w:val="auto"/>
                <w:sz w:val="24"/>
                <w:szCs w:val="24"/>
                <w:u w:val="none"/>
              </w:rPr>
              <w:t>(±5mm)</w:t>
            </w:r>
            <w:r>
              <w:rPr>
                <w:rFonts w:hint="eastAsia" w:ascii="仿宋_GB2312" w:hAnsi="仿宋_GB2312" w:eastAsia="仿宋_GB2312" w:cs="仿宋_GB2312"/>
                <w:color w:val="auto"/>
                <w:sz w:val="24"/>
                <w:szCs w:val="24"/>
                <w:u w:val="none"/>
                <w:lang w:val="en-US" w:eastAsia="zh-CN"/>
              </w:rPr>
              <w:t>等5个高度的调整</w:t>
            </w:r>
            <w:r>
              <w:rPr>
                <w:rFonts w:hint="eastAsia" w:ascii="仿宋_GB2312" w:hAnsi="仿宋_GB2312" w:eastAsia="仿宋_GB2312" w:cs="仿宋_GB2312"/>
                <w:color w:val="auto"/>
                <w:sz w:val="24"/>
                <w:szCs w:val="24"/>
                <w:u w:val="none"/>
                <w:lang w:eastAsia="zh-CN"/>
              </w:rPr>
              <w:t>。</w:t>
            </w:r>
          </w:p>
          <w:p w14:paraId="2AD8BE89">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（二）课桌桌面：</w:t>
            </w:r>
          </w:p>
          <w:p w14:paraId="7FC06039">
            <w:pPr>
              <w:keepNext w:val="0"/>
              <w:keepLines w:val="0"/>
              <w:pageBreakBefore w:val="0"/>
              <w:numPr>
                <w:ilvl w:val="0"/>
                <w:numId w:val="0"/>
              </w:numPr>
              <w:kinsoku/>
              <w:wordWrap/>
              <w:overflowPunct/>
              <w:topLinePunct w:val="0"/>
              <w:autoSpaceDE/>
              <w:autoSpaceDN/>
              <w:bidi w:val="0"/>
              <w:adjustRightInd/>
              <w:spacing w:line="400" w:lineRule="exact"/>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 xml:space="preserve">   </w:t>
            </w:r>
            <w:r>
              <w:rPr>
                <w:rFonts w:hint="eastAsia" w:ascii="仿宋_GB2312" w:hAnsi="仿宋_GB2312" w:eastAsia="仿宋_GB2312" w:cs="仿宋_GB2312"/>
                <w:color w:val="auto"/>
                <w:kern w:val="0"/>
                <w:sz w:val="24"/>
                <w:szCs w:val="24"/>
                <w:u w:val="none"/>
                <w:lang w:val="en-US" w:eastAsia="zh-CN"/>
              </w:rPr>
              <w:t xml:space="preserve"> 1.</w:t>
            </w:r>
            <w:r>
              <w:rPr>
                <w:rFonts w:hint="eastAsia" w:ascii="仿宋_GB2312" w:hAnsi="仿宋_GB2312" w:eastAsia="仿宋_GB2312" w:cs="仿宋_GB2312"/>
                <w:color w:val="auto"/>
                <w:sz w:val="24"/>
                <w:szCs w:val="24"/>
                <w:u w:val="none"/>
              </w:rPr>
              <w:t>桌面规格</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6</w:t>
            </w:r>
            <w:r>
              <w:rPr>
                <w:rFonts w:hint="eastAsia" w:ascii="仿宋_GB2312" w:hAnsi="仿宋_GB2312" w:eastAsia="仿宋_GB2312" w:cs="仿宋_GB2312"/>
                <w:color w:val="auto"/>
                <w:sz w:val="24"/>
                <w:szCs w:val="24"/>
                <w:u w:val="none"/>
                <w:lang w:val="en-US" w:eastAsia="zh-CN"/>
              </w:rPr>
              <w:t>5</w:t>
            </w:r>
            <w:r>
              <w:rPr>
                <w:rFonts w:hint="eastAsia" w:ascii="仿宋_GB2312" w:hAnsi="仿宋_GB2312" w:eastAsia="仿宋_GB2312" w:cs="仿宋_GB2312"/>
                <w:color w:val="auto"/>
                <w:sz w:val="24"/>
                <w:szCs w:val="24"/>
                <w:u w:val="none"/>
              </w:rPr>
              <w:t xml:space="preserve">0 (±5mm) </w:t>
            </w:r>
            <w:r>
              <w:rPr>
                <w:rFonts w:hint="eastAsia" w:ascii="仿宋_GB2312" w:hAnsi="仿宋_GB2312" w:eastAsia="仿宋_GB2312" w:cs="仿宋_GB2312"/>
                <w:color w:val="auto"/>
                <w:kern w:val="0"/>
                <w:sz w:val="24"/>
                <w:szCs w:val="24"/>
                <w:u w:val="none"/>
              </w:rPr>
              <w:t>×</w:t>
            </w:r>
            <w:r>
              <w:rPr>
                <w:rFonts w:hint="eastAsia" w:ascii="仿宋_GB2312" w:hAnsi="仿宋_GB2312" w:eastAsia="仿宋_GB2312" w:cs="仿宋_GB2312"/>
                <w:color w:val="auto"/>
                <w:sz w:val="24"/>
                <w:szCs w:val="24"/>
                <w:u w:val="none"/>
                <w:lang w:val="en-US" w:eastAsia="zh-CN"/>
              </w:rPr>
              <w:t>50</w:t>
            </w:r>
            <w:r>
              <w:rPr>
                <w:rFonts w:hint="eastAsia" w:ascii="仿宋_GB2312" w:hAnsi="仿宋_GB2312" w:eastAsia="仿宋_GB2312" w:cs="仿宋_GB2312"/>
                <w:color w:val="auto"/>
                <w:sz w:val="24"/>
                <w:szCs w:val="24"/>
                <w:u w:val="none"/>
              </w:rPr>
              <w:t>0 (±5mm)</w:t>
            </w:r>
            <w:r>
              <w:rPr>
                <w:rFonts w:hint="eastAsia" w:ascii="仿宋_GB2312" w:hAnsi="仿宋_GB2312" w:eastAsia="仿宋_GB2312" w:cs="仿宋_GB2312"/>
                <w:color w:val="auto"/>
                <w:kern w:val="0"/>
                <w:sz w:val="24"/>
                <w:szCs w:val="24"/>
                <w:u w:val="none"/>
              </w:rPr>
              <w:t>×</w:t>
            </w:r>
            <w:r>
              <w:rPr>
                <w:rFonts w:hint="eastAsia" w:ascii="仿宋_GB2312" w:hAnsi="仿宋_GB2312" w:eastAsia="仿宋_GB2312" w:cs="仿宋_GB2312"/>
                <w:color w:val="auto"/>
                <w:sz w:val="24"/>
                <w:szCs w:val="24"/>
                <w:u w:val="none"/>
                <w:lang w:val="en-US" w:eastAsia="zh-CN"/>
              </w:rPr>
              <w:t>25</w:t>
            </w:r>
            <w:r>
              <w:rPr>
                <w:rFonts w:hint="eastAsia" w:ascii="仿宋_GB2312" w:hAnsi="仿宋_GB2312" w:eastAsia="仿宋_GB2312" w:cs="仿宋_GB2312"/>
                <w:color w:val="auto"/>
                <w:kern w:val="0"/>
                <w:sz w:val="24"/>
                <w:szCs w:val="24"/>
                <w:u w:val="none"/>
              </w:rPr>
              <w:t>mm</w:t>
            </w:r>
            <w:r>
              <w:rPr>
                <w:rFonts w:hint="eastAsia" w:ascii="仿宋_GB2312" w:hAnsi="仿宋_GB2312" w:eastAsia="仿宋_GB2312" w:cs="仿宋_GB2312"/>
                <w:color w:val="auto"/>
                <w:sz w:val="24"/>
                <w:szCs w:val="24"/>
                <w:u w:val="none"/>
              </w:rPr>
              <w:t xml:space="preserve">(±2mm) </w:t>
            </w:r>
          </w:p>
          <w:p w14:paraId="3B772E9A">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2.材质：</w:t>
            </w:r>
            <w:r>
              <w:rPr>
                <w:rFonts w:hint="eastAsia" w:ascii="仿宋_GB2312" w:hAnsi="仿宋_GB2312" w:eastAsia="仿宋_GB2312" w:cs="仿宋_GB2312"/>
                <w:color w:val="auto"/>
                <w:sz w:val="24"/>
                <w:szCs w:val="24"/>
                <w:u w:val="none"/>
              </w:rPr>
              <w:t>采用环保ABS全新塑料一体成型，整体厚度达</w:t>
            </w:r>
            <w:r>
              <w:rPr>
                <w:rFonts w:hint="eastAsia" w:ascii="仿宋_GB2312" w:hAnsi="仿宋_GB2312" w:eastAsia="仿宋_GB2312" w:cs="仿宋_GB2312"/>
                <w:color w:val="auto"/>
                <w:sz w:val="24"/>
                <w:szCs w:val="24"/>
                <w:u w:val="none"/>
                <w:lang w:val="en-US" w:eastAsia="zh-CN"/>
              </w:rPr>
              <w:t>25</w:t>
            </w:r>
            <w:r>
              <w:rPr>
                <w:rFonts w:hint="eastAsia" w:ascii="仿宋_GB2312" w:hAnsi="仿宋_GB2312" w:eastAsia="仿宋_GB2312" w:cs="仿宋_GB2312"/>
                <w:color w:val="auto"/>
                <w:sz w:val="24"/>
                <w:szCs w:val="24"/>
                <w:u w:val="none"/>
              </w:rPr>
              <w:t>mm(±2mm)。桌面正面为整个平面设计，不能有凹凸，不能有文具槽、挡笔条、水杯槽等凹凸的设置。桌面四个角的转角</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桌面上下边沿平整圆滑。桌面反面（底部）设计有纵横加强筋，加强筋两两间距离≤</w:t>
            </w:r>
            <w:r>
              <w:rPr>
                <w:rFonts w:hint="eastAsia" w:ascii="仿宋_GB2312" w:hAnsi="仿宋_GB2312" w:eastAsia="仿宋_GB2312" w:cs="仿宋_GB2312"/>
                <w:color w:val="auto"/>
                <w:sz w:val="24"/>
                <w:szCs w:val="24"/>
                <w:u w:val="none"/>
                <w:lang w:val="en-US" w:eastAsia="zh-CN"/>
              </w:rPr>
              <w:t>6</w:t>
            </w:r>
            <w:r>
              <w:rPr>
                <w:rFonts w:hint="eastAsia" w:ascii="仿宋_GB2312" w:hAnsi="仿宋_GB2312" w:eastAsia="仿宋_GB2312" w:cs="仿宋_GB2312"/>
                <w:color w:val="auto"/>
                <w:sz w:val="24"/>
                <w:szCs w:val="24"/>
                <w:u w:val="none"/>
              </w:rPr>
              <w:t>0mm，以保证坚固可靠性。桌面下面设有两个15mm(±2mm)×30mm(±2mm)的</w:t>
            </w:r>
            <w:r>
              <w:rPr>
                <w:rFonts w:hint="eastAsia" w:ascii="仿宋_GB2312" w:hAnsi="仿宋_GB2312" w:eastAsia="仿宋_GB2312" w:cs="仿宋_GB2312"/>
                <w:color w:val="auto"/>
                <w:sz w:val="24"/>
                <w:szCs w:val="24"/>
                <w:u w:val="none"/>
                <w:lang w:val="en-US" w:eastAsia="zh-CN"/>
              </w:rPr>
              <w:t>冷轧钢</w:t>
            </w:r>
            <w:r>
              <w:rPr>
                <w:rFonts w:hint="eastAsia" w:ascii="仿宋_GB2312" w:hAnsi="仿宋_GB2312" w:eastAsia="仿宋_GB2312" w:cs="仿宋_GB2312"/>
                <w:color w:val="auto"/>
                <w:sz w:val="24"/>
                <w:szCs w:val="24"/>
                <w:u w:val="none"/>
              </w:rPr>
              <w:t>方管支撑桌面，方管材料厚度≥1.0mm。</w:t>
            </w:r>
          </w:p>
          <w:p w14:paraId="3FD29773">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ABS桌面符合GB/T 32487-2016《塑料家具通用技术条件》、GB 28481-2012 《塑料家具中有害物质限量》</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GB/T</w:t>
            </w:r>
            <w:r>
              <w:rPr>
                <w:rFonts w:hint="eastAsia" w:ascii="仿宋_GB2312" w:hAnsi="仿宋_GB2312" w:eastAsia="仿宋_GB2312" w:cs="仿宋_GB2312"/>
                <w:color w:val="auto"/>
                <w:sz w:val="24"/>
                <w:szCs w:val="24"/>
                <w:u w:val="none"/>
                <w:lang w:val="en-US" w:eastAsia="zh-CN"/>
              </w:rPr>
              <w:t>31402-2023</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lang w:val="en-US" w:eastAsia="zh-CN"/>
              </w:rPr>
              <w:t>塑料和其他无孔材料表面抗菌活性的测定》要求</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val="en-US" w:eastAsia="zh-CN"/>
              </w:rPr>
              <w:t>其中：</w:t>
            </w:r>
            <w:r>
              <w:rPr>
                <w:rFonts w:hint="eastAsia" w:ascii="仿宋_GB2312" w:hAnsi="仿宋_GB2312" w:eastAsia="仿宋_GB2312" w:cs="仿宋_GB2312"/>
                <w:color w:val="auto"/>
                <w:sz w:val="24"/>
                <w:szCs w:val="24"/>
                <w:u w:val="none"/>
              </w:rPr>
              <w:t>有害物质</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邻苯二甲酸酯≤</w:t>
            </w:r>
            <w:r>
              <w:rPr>
                <w:rFonts w:hint="eastAsia" w:ascii="仿宋_GB2312" w:hAnsi="仿宋_GB2312" w:eastAsia="仿宋_GB2312" w:cs="仿宋_GB2312"/>
                <w:color w:val="auto"/>
                <w:sz w:val="24"/>
                <w:szCs w:val="24"/>
                <w:u w:val="none"/>
                <w:lang w:val="en-US" w:eastAsia="zh-CN"/>
              </w:rPr>
              <w:t>0.1%</w:t>
            </w:r>
            <w:r>
              <w:rPr>
                <w:rFonts w:hint="eastAsia" w:ascii="仿宋_GB2312" w:hAnsi="仿宋_GB2312" w:eastAsia="仿宋_GB2312" w:cs="仿宋_GB2312"/>
                <w:color w:val="auto"/>
                <w:sz w:val="24"/>
                <w:szCs w:val="24"/>
                <w:u w:val="none"/>
              </w:rPr>
              <w:t>、多溴联苯(PBB)≤</w:t>
            </w:r>
            <w:r>
              <w:rPr>
                <w:rFonts w:hint="eastAsia" w:ascii="仿宋_GB2312" w:hAnsi="仿宋_GB2312" w:eastAsia="仿宋_GB2312" w:cs="仿宋_GB2312"/>
                <w:color w:val="auto"/>
                <w:sz w:val="24"/>
                <w:szCs w:val="24"/>
                <w:u w:val="none"/>
                <w:lang w:val="en-US" w:eastAsia="zh-CN"/>
              </w:rPr>
              <w:t>1000mg/kg</w:t>
            </w:r>
            <w:r>
              <w:rPr>
                <w:rFonts w:hint="eastAsia" w:ascii="仿宋_GB2312" w:hAnsi="仿宋_GB2312" w:eastAsia="仿宋_GB2312" w:cs="仿宋_GB2312"/>
                <w:color w:val="auto"/>
                <w:sz w:val="24"/>
                <w:szCs w:val="24"/>
                <w:u w:val="none"/>
              </w:rPr>
              <w:t>、多溴二苯醚(PBDE)≤</w:t>
            </w:r>
            <w:r>
              <w:rPr>
                <w:rFonts w:hint="eastAsia" w:ascii="仿宋_GB2312" w:hAnsi="仿宋_GB2312" w:eastAsia="仿宋_GB2312" w:cs="仿宋_GB2312"/>
                <w:color w:val="auto"/>
                <w:sz w:val="24"/>
                <w:szCs w:val="24"/>
                <w:u w:val="none"/>
                <w:lang w:val="en-US" w:eastAsia="zh-CN"/>
              </w:rPr>
              <w:t>1000mg/kg</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lang w:val="en-US" w:eastAsia="zh-CN"/>
              </w:rPr>
              <w:t>塑料件</w:t>
            </w:r>
            <w:r>
              <w:rPr>
                <w:rFonts w:hint="eastAsia" w:ascii="仿宋_GB2312" w:hAnsi="仿宋_GB2312" w:eastAsia="仿宋_GB2312" w:cs="仿宋_GB2312"/>
                <w:color w:val="auto"/>
                <w:sz w:val="24"/>
                <w:szCs w:val="24"/>
                <w:u w:val="none"/>
              </w:rPr>
              <w:t>硬度</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≥HD63</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耐冷热循环：应无裂纹、鼓泡、变色、起皱；耐老化性:500h测试，冲击强度的保持率≥60%，外观颜色变色评级≥3级</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lang w:val="en-US" w:eastAsia="zh-CN"/>
              </w:rPr>
              <w:t>抗菌率</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val="en-US" w:eastAsia="zh-CN"/>
              </w:rPr>
              <w:t>99%</w:t>
            </w:r>
            <w:r>
              <w:rPr>
                <w:rFonts w:hint="eastAsia" w:ascii="仿宋_GB2312" w:hAnsi="仿宋_GB2312" w:eastAsia="仿宋_GB2312" w:cs="仿宋_GB2312"/>
                <w:color w:val="auto"/>
                <w:sz w:val="24"/>
                <w:szCs w:val="24"/>
                <w:u w:val="none"/>
              </w:rPr>
              <w:t>。</w:t>
            </w:r>
          </w:p>
          <w:p w14:paraId="109E03AF">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（三）课桌书斗：</w:t>
            </w:r>
          </w:p>
          <w:p w14:paraId="45DD13ED">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采用≥0.</w:t>
            </w:r>
            <w:r>
              <w:rPr>
                <w:rFonts w:hint="eastAsia" w:ascii="仿宋_GB2312" w:hAnsi="仿宋_GB2312" w:eastAsia="仿宋_GB2312" w:cs="仿宋_GB2312"/>
                <w:color w:val="auto"/>
                <w:sz w:val="24"/>
                <w:szCs w:val="24"/>
                <w:u w:val="none"/>
                <w:lang w:val="en-US" w:eastAsia="zh-CN"/>
              </w:rPr>
              <w:t>8</w:t>
            </w:r>
            <w:r>
              <w:rPr>
                <w:rFonts w:hint="eastAsia" w:ascii="仿宋_GB2312" w:hAnsi="仿宋_GB2312" w:eastAsia="仿宋_GB2312" w:cs="仿宋_GB2312"/>
                <w:color w:val="auto"/>
                <w:kern w:val="0"/>
                <w:sz w:val="24"/>
                <w:szCs w:val="24"/>
                <w:u w:val="none"/>
              </w:rPr>
              <w:t>mm厚（按国标测量，测量裸板，不含涂料）冷轧钢板液压一次成型，</w:t>
            </w:r>
            <w:r>
              <w:rPr>
                <w:rFonts w:hint="eastAsia" w:ascii="仿宋_GB2312" w:hAnsi="仿宋_GB2312" w:eastAsia="仿宋_GB2312" w:cs="仿宋_GB2312"/>
                <w:color w:val="auto"/>
                <w:sz w:val="24"/>
                <w:szCs w:val="24"/>
                <w:u w:val="none"/>
              </w:rPr>
              <w:t>尺寸为</w:t>
            </w:r>
            <w:r>
              <w:rPr>
                <w:rFonts w:hint="eastAsia" w:ascii="仿宋_GB2312" w:hAnsi="仿宋_GB2312" w:eastAsia="仿宋_GB2312" w:cs="仿宋_GB2312"/>
                <w:color w:val="auto"/>
                <w:sz w:val="24"/>
                <w:szCs w:val="24"/>
                <w:u w:val="none"/>
                <w:lang w:val="en-US" w:eastAsia="zh-CN"/>
              </w:rPr>
              <w:t>长</w:t>
            </w:r>
            <w:r>
              <w:rPr>
                <w:rFonts w:hint="eastAsia" w:ascii="仿宋_GB2312" w:hAnsi="仿宋_GB2312" w:eastAsia="仿宋_GB2312" w:cs="仿宋_GB2312"/>
                <w:color w:val="auto"/>
                <w:sz w:val="24"/>
                <w:szCs w:val="24"/>
                <w:u w:val="none"/>
              </w:rPr>
              <w:t>450×</w:t>
            </w:r>
            <w:r>
              <w:rPr>
                <w:rFonts w:hint="eastAsia" w:ascii="仿宋_GB2312" w:hAnsi="仿宋_GB2312" w:eastAsia="仿宋_GB2312" w:cs="仿宋_GB2312"/>
                <w:color w:val="auto"/>
                <w:sz w:val="24"/>
                <w:szCs w:val="24"/>
                <w:u w:val="none"/>
                <w:lang w:val="en-US" w:eastAsia="zh-CN"/>
              </w:rPr>
              <w:t>宽</w:t>
            </w:r>
            <w:r>
              <w:rPr>
                <w:rFonts w:hint="eastAsia" w:ascii="仿宋_GB2312" w:hAnsi="仿宋_GB2312" w:eastAsia="仿宋_GB2312" w:cs="仿宋_GB2312"/>
                <w:color w:val="auto"/>
                <w:sz w:val="24"/>
                <w:szCs w:val="24"/>
                <w:u w:val="none"/>
              </w:rPr>
              <w:t>300×</w:t>
            </w:r>
            <w:r>
              <w:rPr>
                <w:rFonts w:hint="eastAsia" w:ascii="仿宋_GB2312" w:hAnsi="仿宋_GB2312" w:eastAsia="仿宋_GB2312" w:cs="仿宋_GB2312"/>
                <w:color w:val="auto"/>
                <w:sz w:val="24"/>
                <w:szCs w:val="24"/>
                <w:u w:val="none"/>
                <w:lang w:val="en-US" w:eastAsia="zh-CN"/>
              </w:rPr>
              <w:t>高</w:t>
            </w:r>
            <w:r>
              <w:rPr>
                <w:rFonts w:hint="eastAsia" w:ascii="仿宋_GB2312" w:hAnsi="仿宋_GB2312" w:eastAsia="仿宋_GB2312" w:cs="仿宋_GB2312"/>
                <w:color w:val="auto"/>
                <w:sz w:val="24"/>
                <w:szCs w:val="24"/>
                <w:u w:val="none"/>
              </w:rPr>
              <w:t>150</w:t>
            </w:r>
            <w:r>
              <w:rPr>
                <w:rFonts w:hint="eastAsia" w:ascii="仿宋_GB2312" w:hAnsi="仿宋_GB2312" w:eastAsia="仿宋_GB2312" w:cs="仿宋_GB2312"/>
                <w:color w:val="auto"/>
                <w:kern w:val="0"/>
                <w:sz w:val="24"/>
                <w:szCs w:val="24"/>
                <w:u w:val="none"/>
              </w:rPr>
              <w:t>mm</w:t>
            </w:r>
            <w:r>
              <w:rPr>
                <w:rFonts w:hint="eastAsia" w:ascii="仿宋_GB2312" w:hAnsi="仿宋_GB2312" w:eastAsia="仿宋_GB2312" w:cs="仿宋_GB2312"/>
                <w:color w:val="auto"/>
                <w:sz w:val="24"/>
                <w:szCs w:val="24"/>
                <w:u w:val="none"/>
              </w:rPr>
              <w:t>(±5mm)</w:t>
            </w:r>
            <w:r>
              <w:rPr>
                <w:rFonts w:hint="eastAsia" w:ascii="仿宋_GB2312" w:hAnsi="仿宋_GB2312" w:eastAsia="仿宋_GB2312" w:cs="仿宋_GB2312"/>
                <w:color w:val="auto"/>
                <w:kern w:val="0"/>
                <w:sz w:val="24"/>
                <w:szCs w:val="24"/>
                <w:u w:val="none"/>
              </w:rPr>
              <w:t>，</w:t>
            </w:r>
            <w:r>
              <w:rPr>
                <w:rFonts w:hint="eastAsia" w:ascii="仿宋_GB2312" w:hAnsi="仿宋_GB2312" w:eastAsia="仿宋_GB2312" w:cs="仿宋_GB2312"/>
                <w:color w:val="auto"/>
                <w:sz w:val="24"/>
                <w:szCs w:val="24"/>
                <w:u w:val="none"/>
              </w:rPr>
              <w:t>方便学生放取书物。</w:t>
            </w:r>
          </w:p>
          <w:p w14:paraId="7917239D">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highlight w:val="none"/>
                <w:u w:val="none"/>
                <w:lang w:val="en-US" w:eastAsia="zh-CN"/>
              </w:rPr>
              <w:t>冷轧钢板符合GB/T 11253-2019 《碳素结构钢冷轧钢板及钢带》、GB/T 10125-2021 《人造气氛腐蚀试验 盐雾试验》、GB/T 6461-2002 《金属基体上金属和其他无机覆盖层经腐蚀试验后的试样和试件的评级》、GB/T 3325-2024《金属家具通用技术条件》标准，其中力学性能：规定下屈服强度度≥195Mpa、抗拉强度315～430Mpa、断后伸长率≥24%，表面结构（平均粗糙度）≤0.9μm，弯曲试验（180°）、表面质量合格，经过</w:t>
            </w:r>
            <w:r>
              <w:rPr>
                <w:rFonts w:hint="eastAsia" w:ascii="仿宋_GB2312" w:hAnsi="仿宋_GB2312" w:eastAsia="仿宋_GB2312" w:cs="仿宋_GB2312"/>
                <w:color w:val="auto"/>
                <w:sz w:val="24"/>
                <w:szCs w:val="24"/>
                <w:lang w:val="en-US" w:eastAsia="zh-CN"/>
              </w:rPr>
              <w:t>96h</w:t>
            </w:r>
            <w:r>
              <w:rPr>
                <w:rFonts w:hint="eastAsia" w:ascii="仿宋_GB2312" w:hAnsi="仿宋_GB2312" w:eastAsia="仿宋_GB2312" w:cs="仿宋_GB2312"/>
                <w:color w:val="auto"/>
                <w:sz w:val="24"/>
                <w:szCs w:val="24"/>
                <w:highlight w:val="none"/>
                <w:u w:val="none"/>
                <w:lang w:val="en-US" w:eastAsia="zh-CN"/>
              </w:rPr>
              <w:t>人造气氛腐蚀试验（中性盐雾NSS、乙酸盐雾AASS、铜加速乙酸盐雾CASS），保护评级、外观评级均不低于9级，金属喷漆（塑）涂层（硬度、冲击强度、附着力）符合国家检测标准</w:t>
            </w:r>
            <w:r>
              <w:rPr>
                <w:rFonts w:hint="eastAsia" w:ascii="仿宋_GB2312" w:hAnsi="仿宋_GB2312" w:eastAsia="仿宋_GB2312" w:cs="仿宋_GB2312"/>
                <w:color w:val="auto"/>
                <w:sz w:val="24"/>
                <w:szCs w:val="24"/>
                <w:u w:val="none"/>
              </w:rPr>
              <w:t>。</w:t>
            </w:r>
          </w:p>
          <w:p w14:paraId="0420EA45">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（四）课桌书篮：</w:t>
            </w:r>
          </w:p>
          <w:p w14:paraId="06699103">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single"/>
                <w:lang w:val="en-US" w:eastAsia="zh-CN" w:bidi="ar-SA"/>
              </w:rPr>
            </w:pPr>
            <w:r>
              <w:rPr>
                <w:rFonts w:hint="eastAsia" w:ascii="仿宋_GB2312" w:hAnsi="仿宋_GB2312" w:eastAsia="仿宋_GB2312" w:cs="仿宋_GB2312"/>
                <w:color w:val="auto"/>
                <w:kern w:val="2"/>
                <w:sz w:val="24"/>
                <w:szCs w:val="24"/>
                <w:u w:val="none"/>
                <w:lang w:val="en-US" w:eastAsia="zh-CN" w:bidi="ar-SA"/>
              </w:rPr>
              <w:t>桌斗下设置置物书包篮，长500mm×160mm×高160mm</w:t>
            </w:r>
            <w:r>
              <w:rPr>
                <w:rFonts w:hint="eastAsia" w:ascii="仿宋_GB2312" w:hAnsi="仿宋_GB2312" w:eastAsia="仿宋_GB2312" w:cs="仿宋_GB2312"/>
                <w:color w:val="auto"/>
                <w:sz w:val="24"/>
                <w:szCs w:val="24"/>
                <w:u w:val="none"/>
              </w:rPr>
              <w:t>(±5mm)</w:t>
            </w:r>
            <w:r>
              <w:rPr>
                <w:rFonts w:hint="eastAsia" w:ascii="仿宋_GB2312" w:hAnsi="仿宋_GB2312" w:eastAsia="仿宋_GB2312" w:cs="仿宋_GB2312"/>
                <w:color w:val="auto"/>
                <w:kern w:val="2"/>
                <w:sz w:val="24"/>
                <w:szCs w:val="24"/>
                <w:u w:val="none"/>
                <w:lang w:val="en-US" w:eastAsia="zh-CN" w:bidi="ar-SA"/>
              </w:rPr>
              <w:t>，φ16mm(±2mm)冷轧钢圆管和≥0.7mm厚冷轧钢板焊接成型，可放书包或书籍，采用整钢板细孔设计，每个孔空大小需≤10mm，放书籍时不能掉落。</w:t>
            </w:r>
            <w:r>
              <w:rPr>
                <w:rFonts w:hint="eastAsia" w:ascii="仿宋_GB2312" w:hAnsi="仿宋_GB2312" w:eastAsia="仿宋_GB2312" w:cs="仿宋_GB2312"/>
                <w:color w:val="auto"/>
                <w:kern w:val="2"/>
                <w:sz w:val="24"/>
                <w:szCs w:val="24"/>
                <w:highlight w:val="none"/>
                <w:u w:val="none"/>
                <w:lang w:val="en-US" w:eastAsia="zh-CN" w:bidi="ar-SA"/>
              </w:rPr>
              <w:t>课桌书蓝符合GB/T 3325-2024 《金属家具通用技术条件》、GB/T 10125-2021 《人造气氛腐蚀试验 盐雾试验》、GB/T 6461-2002 《金属基体上金属和其他无机覆盖层经腐蚀试验后的试样和试件的评级》、</w:t>
            </w:r>
            <w:r>
              <w:rPr>
                <w:rFonts w:hint="eastAsia" w:ascii="仿宋_GB2312" w:hAnsi="仿宋_GB2312" w:eastAsia="仿宋_GB2312" w:cs="仿宋_GB2312"/>
                <w:b w:val="0"/>
                <w:bCs w:val="0"/>
                <w:color w:val="auto"/>
                <w:kern w:val="2"/>
                <w:sz w:val="24"/>
                <w:szCs w:val="24"/>
                <w:highlight w:val="none"/>
                <w:u w:val="none"/>
                <w:lang w:val="en-US" w:eastAsia="zh-CN" w:bidi="ar-SA"/>
              </w:rPr>
              <w:t>GB/T 35607-2024《绿色产品评价 家具》</w:t>
            </w:r>
            <w:r>
              <w:rPr>
                <w:rFonts w:hint="eastAsia" w:ascii="仿宋_GB2312" w:hAnsi="仿宋_GB2312" w:eastAsia="仿宋_GB2312" w:cs="仿宋_GB2312"/>
                <w:color w:val="auto"/>
                <w:sz w:val="24"/>
                <w:szCs w:val="24"/>
                <w:highlight w:val="none"/>
                <w:u w:val="none"/>
                <w:lang w:val="en-US" w:eastAsia="zh-CN"/>
              </w:rPr>
              <w:t>GB/T 11253-2019 《碳素结构钢冷轧钢板及钢带》</w:t>
            </w:r>
            <w:r>
              <w:rPr>
                <w:rFonts w:hint="eastAsia" w:ascii="仿宋_GB2312" w:hAnsi="仿宋_GB2312" w:eastAsia="仿宋_GB2312" w:cs="仿宋_GB2312"/>
                <w:b w:val="0"/>
                <w:bCs w:val="0"/>
                <w:color w:val="auto"/>
                <w:kern w:val="2"/>
                <w:sz w:val="24"/>
                <w:szCs w:val="24"/>
                <w:highlight w:val="none"/>
                <w:u w:val="none"/>
                <w:lang w:val="en-US" w:eastAsia="zh-CN" w:bidi="ar-SA"/>
              </w:rPr>
              <w:t>要求，其中</w:t>
            </w:r>
            <w:r>
              <w:rPr>
                <w:rFonts w:hint="eastAsia" w:ascii="仿宋_GB2312" w:hAnsi="仿宋_GB2312" w:eastAsia="仿宋_GB2312" w:cs="仿宋_GB2312"/>
                <w:color w:val="auto"/>
                <w:kern w:val="2"/>
                <w:sz w:val="24"/>
                <w:szCs w:val="24"/>
                <w:highlight w:val="none"/>
                <w:u w:val="none"/>
                <w:lang w:val="en-US" w:eastAsia="zh-CN" w:bidi="ar-SA"/>
              </w:rPr>
              <w:t>外观性能（金属件喷漆（塑）涂层）：应无漏喷、锈蚀、脱色、掉色等，应光滑均匀，色泽一致，应无挂流、疙瘩、皱皮、飞漆等；力学性能：下屈服强度≥195Mpa，抗拉强度315～430Mpa，断后伸长率≥24%；</w:t>
            </w:r>
            <w:r>
              <w:rPr>
                <w:rFonts w:hint="eastAsia" w:ascii="仿宋_GB2312" w:hAnsi="仿宋_GB2312" w:eastAsia="仿宋_GB2312" w:cs="仿宋_GB2312"/>
                <w:b w:val="0"/>
                <w:bCs w:val="0"/>
                <w:color w:val="auto"/>
                <w:kern w:val="2"/>
                <w:sz w:val="24"/>
                <w:szCs w:val="24"/>
                <w:highlight w:val="none"/>
                <w:u w:val="none"/>
                <w:lang w:val="en-US" w:eastAsia="zh-CN" w:bidi="ar-SA"/>
              </w:rPr>
              <w:t>金属喷漆（塑）涂层：硬度（铅笔硬度H，应无塑性变形和或内聚破坏）、冲击强度（冲击高度400mm，应无剥落、裂纹、皱纹）、附着力（2级或优于2级）</w:t>
            </w:r>
            <w:r>
              <w:rPr>
                <w:rFonts w:hint="eastAsia" w:ascii="仿宋_GB2312" w:hAnsi="仿宋_GB2312" w:eastAsia="仿宋_GB2312" w:cs="仿宋_GB2312"/>
                <w:color w:val="auto"/>
                <w:kern w:val="2"/>
                <w:sz w:val="24"/>
                <w:szCs w:val="24"/>
                <w:highlight w:val="none"/>
                <w:u w:val="none"/>
                <w:lang w:val="en-US" w:eastAsia="zh-CN" w:bidi="ar-SA"/>
              </w:rPr>
              <w:t>；</w:t>
            </w:r>
            <w:r>
              <w:rPr>
                <w:rFonts w:hint="eastAsia" w:ascii="仿宋_GB2312" w:hAnsi="仿宋_GB2312" w:eastAsia="仿宋_GB2312" w:cs="仿宋_GB2312"/>
                <w:b w:val="0"/>
                <w:bCs w:val="0"/>
                <w:color w:val="auto"/>
                <w:kern w:val="2"/>
                <w:sz w:val="24"/>
                <w:szCs w:val="24"/>
                <w:highlight w:val="none"/>
                <w:u w:val="none"/>
                <w:lang w:val="en-US" w:eastAsia="zh-CN" w:bidi="ar-SA"/>
              </w:rPr>
              <w:t>产品有害物质（家具涂层可迁移元素：铅Pb≤90mg/kg、镉Cd≤50mg/kg、铬Cr≤25mg/kg、汞Hg≤25mg/kg、锑Sb≤60mg/kg、钡Ba≤1000mg/kg、硒Se≤500mg/kg、砷As≤25mg/kg）；经</w:t>
            </w:r>
            <w:r>
              <w:rPr>
                <w:rFonts w:hint="eastAsia" w:ascii="仿宋_GB2312" w:hAnsi="仿宋_GB2312" w:eastAsia="仿宋_GB2312" w:cs="仿宋_GB2312"/>
                <w:color w:val="auto"/>
                <w:kern w:val="2"/>
                <w:sz w:val="24"/>
                <w:szCs w:val="24"/>
                <w:highlight w:val="none"/>
                <w:u w:val="none"/>
                <w:lang w:val="en-US" w:eastAsia="zh-CN" w:bidi="ar-SA"/>
              </w:rPr>
              <w:t>过</w:t>
            </w:r>
            <w:r>
              <w:rPr>
                <w:rFonts w:hint="eastAsia" w:ascii="仿宋_GB2312" w:hAnsi="仿宋_GB2312" w:eastAsia="仿宋_GB2312" w:cs="仿宋_GB2312"/>
                <w:color w:val="auto"/>
                <w:sz w:val="24"/>
                <w:szCs w:val="24"/>
                <w:lang w:val="en-US" w:eastAsia="zh-CN"/>
              </w:rPr>
              <w:t>96h</w:t>
            </w:r>
            <w:r>
              <w:rPr>
                <w:rFonts w:hint="eastAsia" w:ascii="仿宋_GB2312" w:hAnsi="仿宋_GB2312" w:eastAsia="仿宋_GB2312" w:cs="仿宋_GB2312"/>
                <w:color w:val="auto"/>
                <w:kern w:val="2"/>
                <w:sz w:val="24"/>
                <w:szCs w:val="24"/>
                <w:highlight w:val="none"/>
                <w:u w:val="none"/>
                <w:lang w:val="en-US" w:eastAsia="zh-CN" w:bidi="ar-SA"/>
              </w:rPr>
              <w:t>人造气氛腐蚀试验（中性盐雾NSS、乙酸盐雾AASS），保护评级、外观评级均不低于9级。</w:t>
            </w:r>
          </w:p>
          <w:p w14:paraId="0DCE6DEA">
            <w:pPr>
              <w:keepNext w:val="0"/>
              <w:keepLines w:val="0"/>
              <w:pageBreakBefore w:val="0"/>
              <w:numPr>
                <w:ilvl w:val="0"/>
                <w:numId w:val="0"/>
              </w:numPr>
              <w:kinsoku/>
              <w:wordWrap/>
              <w:overflowPunct/>
              <w:topLinePunct w:val="0"/>
              <w:autoSpaceDE/>
              <w:autoSpaceDN/>
              <w:bidi w:val="0"/>
              <w:adjustRightInd/>
              <w:spacing w:line="400" w:lineRule="exact"/>
              <w:ind w:firstLine="241" w:firstLineChars="100"/>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（五）桌架：</w:t>
            </w:r>
          </w:p>
          <w:p w14:paraId="568EA3A2">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sz w:val="24"/>
                <w:szCs w:val="24"/>
                <w:u w:val="none"/>
                <w:lang w:val="en-US" w:eastAsia="zh-CN"/>
              </w:rPr>
              <w:t>1.</w:t>
            </w:r>
            <w:r>
              <w:rPr>
                <w:rFonts w:hint="eastAsia" w:ascii="仿宋_GB2312" w:hAnsi="仿宋_GB2312" w:eastAsia="仿宋_GB2312" w:cs="仿宋_GB2312"/>
                <w:color w:val="auto"/>
                <w:sz w:val="24"/>
                <w:szCs w:val="24"/>
                <w:u w:val="none"/>
              </w:rPr>
              <w:t>桌面支架：桌面和书斗与支撑钢脚架间使用支架连接固定，桌面支架是规格300mm(±2mm)×65mm(±2mm)的冷轧钢板，冷轧钢板材料厚度≥1.2mm。</w:t>
            </w:r>
          </w:p>
          <w:p w14:paraId="16892DCF">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kern w:val="0"/>
                <w:sz w:val="24"/>
                <w:szCs w:val="24"/>
                <w:u w:val="none"/>
                <w:lang w:val="en-US" w:eastAsia="zh-CN"/>
              </w:rPr>
              <w:t>2.</w:t>
            </w:r>
            <w:r>
              <w:rPr>
                <w:rFonts w:hint="eastAsia" w:ascii="仿宋_GB2312" w:hAnsi="仿宋_GB2312" w:eastAsia="仿宋_GB2312" w:cs="仿宋_GB2312"/>
                <w:color w:val="auto"/>
                <w:sz w:val="24"/>
                <w:szCs w:val="24"/>
                <w:u w:val="none"/>
              </w:rPr>
              <w:t>钢脚架：桌腿与地脚为直角支撑，桌腿和地脚采用椭圆钢管并使用套管式升降。外钢管尺寸为60×30mm(±2mm)，钢管壁厚≥1.</w:t>
            </w: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mm；内钢管50×20mm(±2mm)，钢管壁厚≥1.</w:t>
            </w: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mm；桌脚采用60×30mm(±2mm)的椭圆形钢管，钢管壁厚≥1.</w:t>
            </w: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mm；两桌腿间有横管。</w:t>
            </w:r>
          </w:p>
          <w:p w14:paraId="477A2B76">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none"/>
              </w:rPr>
              <w:t>钢管</w:t>
            </w:r>
            <w:r>
              <w:rPr>
                <w:rFonts w:hint="eastAsia" w:ascii="仿宋_GB2312" w:hAnsi="仿宋_GB2312" w:eastAsia="仿宋_GB2312" w:cs="仿宋_GB2312"/>
                <w:color w:val="auto"/>
                <w:sz w:val="24"/>
                <w:szCs w:val="24"/>
                <w:highlight w:val="none"/>
                <w:u w:val="none"/>
                <w:lang w:val="en-US" w:eastAsia="zh-CN"/>
              </w:rPr>
              <w:t>GB/T 11253-2019 《碳素结构钢冷轧钢板及钢带》、GB/T 10125-2021 《人造气氛腐蚀试验 盐雾试验》、GB/T6461-2002 《金属基体上金属和其他无机覆盖层经腐蚀试验后的试样和试件的评级》、GB/T3325-2024《金属家具通用技术条件》要求，其中力学性能：下屈服强度≥195Mpa、抗拉强度315～430Mpa、断后伸长率≥24%，表面结构（平均粗糙度）≤0.9μm，弯曲试验（180°）、表面质量合格，经过96h人造气氛腐蚀试验（中性盐雾NSS、乙酸盐雾AASS、铜加速乙酸盐雾CASS），保护评级、外观评级均不低于9级；金属喷涂（塑）涂层：</w:t>
            </w:r>
            <w:r>
              <w:rPr>
                <w:rFonts w:hint="eastAsia" w:ascii="仿宋_GB2312" w:hAnsi="仿宋_GB2312" w:eastAsia="仿宋_GB2312" w:cs="仿宋_GB2312"/>
                <w:b w:val="0"/>
                <w:bCs w:val="0"/>
                <w:color w:val="auto"/>
                <w:kern w:val="2"/>
                <w:sz w:val="24"/>
                <w:szCs w:val="24"/>
                <w:highlight w:val="none"/>
                <w:u w:val="none"/>
                <w:lang w:val="en-US" w:eastAsia="zh-CN" w:bidi="ar-SA"/>
              </w:rPr>
              <w:t>硬度（铅笔硬度H，应无塑性变形和或内聚破坏）、冲击强度（冲击高度400mm，应无剥落、裂纹、皱纹）、附着力（2级或优于2级）</w:t>
            </w:r>
            <w:r>
              <w:rPr>
                <w:rFonts w:hint="eastAsia" w:ascii="仿宋_GB2312" w:hAnsi="仿宋_GB2312" w:eastAsia="仿宋_GB2312" w:cs="仿宋_GB2312"/>
                <w:color w:val="auto"/>
                <w:sz w:val="24"/>
                <w:szCs w:val="24"/>
                <w:u w:val="none"/>
              </w:rPr>
              <w:t>。</w:t>
            </w:r>
          </w:p>
          <w:p w14:paraId="13068250">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3.</w:t>
            </w:r>
            <w:r>
              <w:rPr>
                <w:rFonts w:hint="eastAsia" w:ascii="仿宋_GB2312" w:hAnsi="仿宋_GB2312" w:eastAsia="仿宋_GB2312" w:cs="仿宋_GB2312"/>
                <w:color w:val="auto"/>
                <w:sz w:val="24"/>
                <w:szCs w:val="24"/>
                <w:u w:val="none"/>
              </w:rPr>
              <w:t>支撑钢脚架升降方式</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桌腿和地脚采用椭圆钢管并使用套管式升降，安装和调节高度时用螺栓固定。螺栓符合QB/T 3832-1999《轻工产品金属镀层腐蚀试验结果的评价》</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QB/T</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u w:val="none"/>
              </w:rPr>
              <w:t>3826-1999《轻工产品金属镀层和化学处理层的耐腐蚀试验方法 中性盐雾试验（NSS）法》</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QB/T 3827-1999《轻工产品金属镀层和化学处理层的耐腐蚀试验方法 乙酸盐雾试验（ASS）法》</w:t>
            </w:r>
            <w:r>
              <w:rPr>
                <w:rFonts w:hint="eastAsia" w:ascii="仿宋_GB2312" w:hAnsi="仿宋_GB2312" w:eastAsia="仿宋_GB2312" w:cs="仿宋_GB2312"/>
                <w:color w:val="auto"/>
                <w:sz w:val="24"/>
                <w:szCs w:val="24"/>
                <w:u w:val="none"/>
                <w:lang w:val="en-US" w:eastAsia="zh-CN"/>
              </w:rPr>
              <w:t>要求</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val="en-US" w:eastAsia="zh-CN"/>
              </w:rPr>
              <w:t>其中：</w:t>
            </w:r>
            <w:r>
              <w:rPr>
                <w:rFonts w:hint="eastAsia" w:ascii="仿宋_GB2312" w:hAnsi="仿宋_GB2312" w:eastAsia="仿宋_GB2312" w:cs="仿宋_GB2312"/>
                <w:color w:val="auto"/>
                <w:sz w:val="24"/>
                <w:szCs w:val="24"/>
                <w:u w:val="none"/>
              </w:rPr>
              <w:t>金属表面耐腐蚀性：乙酸盐雾试验（ASS）120h，等级达到9级以上，中性盐雾试验（NSS）120h，等级达到9级以上。</w:t>
            </w:r>
          </w:p>
          <w:p w14:paraId="76A98D15">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lang w:val="en-US" w:eastAsia="zh-CN"/>
              </w:rPr>
              <w:t>4.</w:t>
            </w:r>
            <w:r>
              <w:rPr>
                <w:rFonts w:hint="eastAsia" w:ascii="仿宋_GB2312" w:hAnsi="仿宋_GB2312" w:eastAsia="仿宋_GB2312" w:cs="仿宋_GB2312"/>
                <w:color w:val="auto"/>
                <w:kern w:val="0"/>
                <w:sz w:val="24"/>
                <w:szCs w:val="24"/>
                <w:u w:val="none"/>
              </w:rPr>
              <w:t>套管胶套：升降内外管间使用优质PP塑料胶套，规格72</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kern w:val="0"/>
                <w:sz w:val="24"/>
                <w:szCs w:val="24"/>
                <w:u w:val="none"/>
              </w:rPr>
              <w:t>35mm</w:t>
            </w:r>
            <w:r>
              <w:rPr>
                <w:rFonts w:hint="eastAsia" w:ascii="仿宋_GB2312" w:hAnsi="仿宋_GB2312" w:eastAsia="仿宋_GB2312" w:cs="仿宋_GB2312"/>
                <w:color w:val="auto"/>
                <w:sz w:val="24"/>
                <w:szCs w:val="24"/>
                <w:u w:val="none"/>
              </w:rPr>
              <w:t>(±2mm)，胶套起到防尘、防水、耐磨的作用。</w:t>
            </w:r>
          </w:p>
          <w:p w14:paraId="7A16530B">
            <w:pPr>
              <w:keepNext w:val="0"/>
              <w:keepLines w:val="0"/>
              <w:pageBreakBefore w:val="0"/>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eastAsia="zh-CN"/>
              </w:rPr>
              <w:t>（</w:t>
            </w:r>
            <w:r>
              <w:rPr>
                <w:rFonts w:hint="eastAsia" w:ascii="仿宋_GB2312" w:hAnsi="仿宋_GB2312" w:eastAsia="仿宋_GB2312" w:cs="仿宋_GB2312"/>
                <w:b/>
                <w:bCs/>
                <w:color w:val="auto"/>
                <w:kern w:val="0"/>
                <w:sz w:val="24"/>
                <w:szCs w:val="24"/>
                <w:u w:val="none"/>
                <w:lang w:val="en-US" w:eastAsia="zh-CN"/>
              </w:rPr>
              <w:t>六</w:t>
            </w:r>
            <w:r>
              <w:rPr>
                <w:rFonts w:hint="eastAsia" w:ascii="仿宋_GB2312" w:hAnsi="仿宋_GB2312" w:eastAsia="仿宋_GB2312" w:cs="仿宋_GB2312"/>
                <w:b/>
                <w:bCs/>
                <w:color w:val="auto"/>
                <w:kern w:val="0"/>
                <w:sz w:val="24"/>
                <w:szCs w:val="24"/>
                <w:u w:val="none"/>
                <w:lang w:eastAsia="zh-CN"/>
              </w:rPr>
              <w:t>）</w:t>
            </w:r>
            <w:r>
              <w:rPr>
                <w:rFonts w:hint="eastAsia" w:ascii="仿宋_GB2312" w:hAnsi="仿宋_GB2312" w:eastAsia="仿宋_GB2312" w:cs="仿宋_GB2312"/>
                <w:b/>
                <w:bCs/>
                <w:color w:val="auto"/>
                <w:kern w:val="0"/>
                <w:sz w:val="24"/>
                <w:szCs w:val="24"/>
                <w:u w:val="none"/>
                <w:lang w:val="en-US" w:eastAsia="zh-CN"/>
              </w:rPr>
              <w:t>脚套：</w:t>
            </w:r>
          </w:p>
          <w:p w14:paraId="7E02EA1E">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采用全新 PP 塑料一次性注塑成型，规格75×65×45mm(±2mm)；脚套自带塑料垫螺旋调节功能，防止地板不平影响使用舒适度；脚套起到防滑、防摩擦、防碰撞、静音等作用。</w:t>
            </w:r>
          </w:p>
          <w:p w14:paraId="656BDDCF">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u w:val="none"/>
              </w:rPr>
              <w:t>脚套符合GB/T 32487-2016《塑料家具通用技术条件》、GB 28481-2012 《塑料家具中有害物质限量》</w:t>
            </w:r>
            <w:r>
              <w:rPr>
                <w:rFonts w:hint="eastAsia" w:ascii="仿宋_GB2312" w:hAnsi="仿宋_GB2312" w:eastAsia="仿宋_GB2312" w:cs="仿宋_GB2312"/>
                <w:color w:val="auto"/>
                <w:sz w:val="24"/>
                <w:szCs w:val="24"/>
                <w:u w:val="none"/>
                <w:lang w:val="en-US" w:eastAsia="zh-CN"/>
              </w:rPr>
              <w:t>要求</w:t>
            </w:r>
            <w:r>
              <w:rPr>
                <w:rFonts w:hint="eastAsia" w:ascii="仿宋_GB2312" w:hAnsi="仿宋_GB2312" w:eastAsia="仿宋_GB2312" w:cs="仿宋_GB2312"/>
                <w:color w:val="auto"/>
                <w:sz w:val="24"/>
                <w:szCs w:val="24"/>
                <w:u w:val="none"/>
              </w:rPr>
              <w:t>，塑料件外观符合国标要求；有害物质邻苯二甲酸</w:t>
            </w:r>
            <w:r>
              <w:rPr>
                <w:rFonts w:hint="eastAsia" w:ascii="仿宋_GB2312" w:hAnsi="仿宋_GB2312" w:eastAsia="仿宋_GB2312" w:cs="仿宋_GB2312"/>
                <w:color w:val="auto"/>
                <w:sz w:val="24"/>
                <w:szCs w:val="24"/>
                <w:highlight w:val="none"/>
                <w:u w:val="none"/>
              </w:rPr>
              <w:t>酯</w:t>
            </w:r>
            <w:r>
              <w:rPr>
                <w:rFonts w:hint="eastAsia" w:ascii="仿宋_GB2312" w:hAnsi="仿宋_GB2312" w:eastAsia="仿宋_GB2312" w:cs="仿宋_GB2312"/>
                <w:color w:val="auto"/>
                <w:sz w:val="24"/>
                <w:szCs w:val="24"/>
                <w:highlight w:val="none"/>
                <w:u w:val="none"/>
                <w:lang w:val="en-US" w:eastAsia="zh-CN"/>
              </w:rPr>
              <w:t>≤0.1%</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16种</w:t>
            </w:r>
            <w:r>
              <w:rPr>
                <w:rFonts w:hint="eastAsia" w:ascii="仿宋_GB2312" w:hAnsi="仿宋_GB2312" w:eastAsia="仿宋_GB2312" w:cs="仿宋_GB2312"/>
                <w:color w:val="auto"/>
                <w:sz w:val="24"/>
                <w:szCs w:val="24"/>
                <w:highlight w:val="none"/>
                <w:u w:val="none"/>
              </w:rPr>
              <w:t>多环芳烃</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PAH)总量≤10mg/kg</w:t>
            </w:r>
            <w:r>
              <w:rPr>
                <w:rFonts w:hint="eastAsia" w:ascii="仿宋_GB2312" w:hAnsi="仿宋_GB2312" w:eastAsia="仿宋_GB2312" w:cs="仿宋_GB2312"/>
                <w:color w:val="auto"/>
                <w:sz w:val="24"/>
                <w:szCs w:val="24"/>
                <w:highlight w:val="none"/>
                <w:u w:val="none"/>
              </w:rPr>
              <w:t>、多溴联苯(PBB)</w:t>
            </w:r>
            <w:r>
              <w:rPr>
                <w:rFonts w:hint="eastAsia" w:ascii="仿宋_GB2312" w:hAnsi="仿宋_GB2312" w:eastAsia="仿宋_GB2312" w:cs="仿宋_GB2312"/>
                <w:color w:val="auto"/>
                <w:sz w:val="24"/>
                <w:szCs w:val="24"/>
                <w:highlight w:val="none"/>
                <w:u w:val="none"/>
                <w:lang w:val="en-US" w:eastAsia="zh-CN"/>
              </w:rPr>
              <w:t>≤1000mg/kg</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u w:val="none"/>
              </w:rPr>
              <w:t>耐老化性：500h测试，冲击强度的保持率</w:t>
            </w:r>
            <w:r>
              <w:rPr>
                <w:rFonts w:hint="eastAsia" w:ascii="仿宋_GB2312" w:hAnsi="仿宋_GB2312" w:eastAsia="仿宋_GB2312" w:cs="仿宋_GB2312"/>
                <w:color w:val="auto"/>
                <w:sz w:val="24"/>
                <w:szCs w:val="24"/>
                <w:highlight w:val="none"/>
                <w:u w:val="none"/>
                <w:lang w:val="en-US" w:eastAsia="zh-CN"/>
              </w:rPr>
              <w:t>≥60%，外观颜色变色评级≥3级。</w:t>
            </w:r>
          </w:p>
          <w:p w14:paraId="3CD03AC7">
            <w:pPr>
              <w:keepNext w:val="0"/>
              <w:keepLines w:val="0"/>
              <w:pageBreakBefore w:val="0"/>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（七）书包挂钩：</w:t>
            </w:r>
          </w:p>
          <w:p w14:paraId="3A41309C">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在桌面的左右下方，在钢制支撑架上，须焊接设置左右两个实心钢制书包挂钩，承重强且耐用。</w:t>
            </w:r>
          </w:p>
          <w:p w14:paraId="329EEDB2">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（八）桌子重量：</w:t>
            </w:r>
          </w:p>
          <w:p w14:paraId="4DC21240">
            <w:pPr>
              <w:keepNext w:val="0"/>
              <w:keepLines w:val="0"/>
              <w:pageBreakBefore w:val="0"/>
              <w:numPr>
                <w:ilvl w:val="0"/>
                <w:numId w:val="0"/>
              </w:numPr>
              <w:kinsoku/>
              <w:wordWrap/>
              <w:overflowPunct/>
              <w:topLinePunct w:val="0"/>
              <w:autoSpaceDE/>
              <w:autoSpaceDN/>
              <w:bidi w:val="0"/>
              <w:adjustRightInd/>
              <w:spacing w:line="400" w:lineRule="exact"/>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 xml:space="preserve">    </w:t>
            </w:r>
            <w:r>
              <w:rPr>
                <w:rFonts w:hint="eastAsia" w:ascii="仿宋_GB2312" w:hAnsi="仿宋_GB2312" w:eastAsia="仿宋_GB2312" w:cs="仿宋_GB2312"/>
                <w:color w:val="auto"/>
                <w:kern w:val="0"/>
                <w:sz w:val="24"/>
                <w:szCs w:val="24"/>
                <w:u w:val="none"/>
                <w:lang w:val="en-US" w:eastAsia="zh-CN"/>
              </w:rPr>
              <w:t>整张桌子净重不小于12公斤。</w:t>
            </w:r>
          </w:p>
          <w:p w14:paraId="55F263C0">
            <w:pPr>
              <w:keepNext w:val="0"/>
              <w:keepLines w:val="0"/>
              <w:pageBreakBefore w:val="0"/>
              <w:kinsoku/>
              <w:wordWrap/>
              <w:overflowPunct/>
              <w:topLinePunct w:val="0"/>
              <w:autoSpaceDE/>
              <w:autoSpaceDN/>
              <w:bidi w:val="0"/>
              <w:adjustRightInd/>
              <w:spacing w:line="400" w:lineRule="exact"/>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b/>
                <w:bCs/>
                <w:color w:val="auto"/>
                <w:kern w:val="0"/>
                <w:sz w:val="24"/>
                <w:szCs w:val="24"/>
                <w:u w:val="none"/>
                <w:lang w:val="en-US" w:eastAsia="zh-CN"/>
              </w:rPr>
              <w:t>二、学生课椅</w:t>
            </w:r>
          </w:p>
          <w:p w14:paraId="653AFD6E">
            <w:pPr>
              <w:keepNext w:val="0"/>
              <w:keepLines w:val="0"/>
              <w:pageBreakBefore w:val="0"/>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sz w:val="24"/>
                <w:szCs w:val="24"/>
                <w:u w:val="none"/>
              </w:rPr>
            </w:pPr>
            <w:r>
              <w:rPr>
                <w:rFonts w:hint="eastAsia" w:ascii="仿宋_GB2312" w:hAnsi="仿宋_GB2312" w:eastAsia="仿宋_GB2312" w:cs="仿宋_GB2312"/>
                <w:b/>
                <w:bCs/>
                <w:color w:val="auto"/>
                <w:kern w:val="0"/>
                <w:sz w:val="24"/>
                <w:szCs w:val="24"/>
                <w:u w:val="none"/>
                <w:lang w:eastAsia="zh-CN"/>
              </w:rPr>
              <w:t>（</w:t>
            </w:r>
            <w:r>
              <w:rPr>
                <w:rFonts w:hint="eastAsia" w:ascii="仿宋_GB2312" w:hAnsi="仿宋_GB2312" w:eastAsia="仿宋_GB2312" w:cs="仿宋_GB2312"/>
                <w:b/>
                <w:bCs/>
                <w:color w:val="auto"/>
                <w:kern w:val="0"/>
                <w:sz w:val="24"/>
                <w:szCs w:val="24"/>
                <w:u w:val="none"/>
                <w:lang w:val="en-US" w:eastAsia="zh-CN"/>
              </w:rPr>
              <w:t>一</w:t>
            </w:r>
            <w:r>
              <w:rPr>
                <w:rFonts w:hint="eastAsia" w:ascii="仿宋_GB2312" w:hAnsi="仿宋_GB2312" w:eastAsia="仿宋_GB2312" w:cs="仿宋_GB2312"/>
                <w:b/>
                <w:bCs/>
                <w:color w:val="auto"/>
                <w:kern w:val="0"/>
                <w:sz w:val="24"/>
                <w:szCs w:val="24"/>
                <w:u w:val="none"/>
                <w:lang w:eastAsia="zh-CN"/>
              </w:rPr>
              <w:t>）</w:t>
            </w:r>
            <w:r>
              <w:rPr>
                <w:rFonts w:hint="eastAsia" w:ascii="仿宋_GB2312" w:hAnsi="仿宋_GB2312" w:eastAsia="仿宋_GB2312" w:cs="仿宋_GB2312"/>
                <w:b/>
                <w:bCs/>
                <w:color w:val="auto"/>
                <w:sz w:val="24"/>
                <w:szCs w:val="24"/>
                <w:u w:val="none"/>
              </w:rPr>
              <w:t>课椅</w:t>
            </w:r>
            <w:r>
              <w:rPr>
                <w:rFonts w:hint="eastAsia" w:ascii="仿宋_GB2312" w:hAnsi="仿宋_GB2312" w:eastAsia="仿宋_GB2312" w:cs="仿宋_GB2312"/>
                <w:b/>
                <w:bCs/>
                <w:color w:val="auto"/>
                <w:sz w:val="24"/>
                <w:szCs w:val="24"/>
                <w:u w:val="none"/>
                <w:lang w:val="en-US" w:eastAsia="zh-CN"/>
              </w:rPr>
              <w:t>整体</w:t>
            </w:r>
            <w:r>
              <w:rPr>
                <w:rFonts w:hint="eastAsia" w:ascii="仿宋_GB2312" w:hAnsi="仿宋_GB2312" w:eastAsia="仿宋_GB2312" w:cs="仿宋_GB2312"/>
                <w:b/>
                <w:bCs/>
                <w:color w:val="auto"/>
                <w:sz w:val="24"/>
                <w:szCs w:val="24"/>
                <w:u w:val="none"/>
              </w:rPr>
              <w:t>尺寸：</w:t>
            </w:r>
          </w:p>
          <w:p w14:paraId="09999C37">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长520×宽430</w:t>
            </w:r>
            <w:r>
              <w:rPr>
                <w:rFonts w:hint="eastAsia" w:ascii="仿宋_GB2312" w:hAnsi="仿宋_GB2312" w:eastAsia="仿宋_GB2312" w:cs="仿宋_GB2312"/>
                <w:color w:val="auto"/>
                <w:kern w:val="0"/>
                <w:sz w:val="24"/>
                <w:szCs w:val="24"/>
                <w:u w:val="none"/>
              </w:rPr>
              <w:t>×</w:t>
            </w:r>
            <w:r>
              <w:rPr>
                <w:rFonts w:hint="eastAsia" w:ascii="仿宋_GB2312" w:hAnsi="仿宋_GB2312" w:eastAsia="仿宋_GB2312" w:cs="仿宋_GB2312"/>
                <w:color w:val="auto"/>
                <w:sz w:val="24"/>
                <w:szCs w:val="24"/>
                <w:u w:val="none"/>
              </w:rPr>
              <w:t>高</w:t>
            </w:r>
            <w:r>
              <w:rPr>
                <w:rFonts w:hint="eastAsia" w:ascii="仿宋_GB2312" w:hAnsi="仿宋_GB2312" w:eastAsia="仿宋_GB2312" w:cs="仿宋_GB2312"/>
                <w:color w:val="auto"/>
                <w:sz w:val="24"/>
                <w:szCs w:val="24"/>
                <w:u w:val="none"/>
                <w:lang w:val="en-US" w:eastAsia="zh-CN"/>
              </w:rPr>
              <w:t>4</w:t>
            </w:r>
            <w:r>
              <w:rPr>
                <w:rFonts w:hint="eastAsia" w:ascii="仿宋_GB2312" w:hAnsi="仿宋_GB2312" w:eastAsia="仿宋_GB2312" w:cs="仿宋_GB2312"/>
                <w:color w:val="auto"/>
                <w:sz w:val="24"/>
                <w:szCs w:val="24"/>
                <w:u w:val="none"/>
              </w:rPr>
              <w:t>50mm(±5mm)，调节高度须至少满足</w:t>
            </w:r>
            <w:r>
              <w:rPr>
                <w:rFonts w:hint="eastAsia" w:ascii="仿宋_GB2312" w:hAnsi="仿宋_GB2312" w:eastAsia="仿宋_GB2312" w:cs="仿宋_GB2312"/>
                <w:color w:val="auto"/>
                <w:sz w:val="24"/>
                <w:szCs w:val="24"/>
                <w:u w:val="none"/>
                <w:lang w:val="en-US" w:eastAsia="zh-CN"/>
              </w:rPr>
              <w:t>坐高370mm、390mm、410mm、430mm、450mm等5个高度的调整。</w:t>
            </w:r>
          </w:p>
          <w:p w14:paraId="0C6F3361">
            <w:pPr>
              <w:keepNext w:val="0"/>
              <w:keepLines w:val="0"/>
              <w:pageBreakBefore w:val="0"/>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（二）椅子座板、靠板：</w:t>
            </w:r>
          </w:p>
          <w:p w14:paraId="146EECF5">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1.材质</w:t>
            </w:r>
            <w:r>
              <w:rPr>
                <w:rFonts w:hint="eastAsia" w:ascii="仿宋_GB2312" w:hAnsi="仿宋_GB2312" w:eastAsia="仿宋_GB2312" w:cs="仿宋_GB2312"/>
                <w:color w:val="auto"/>
                <w:sz w:val="24"/>
                <w:szCs w:val="24"/>
                <w:u w:val="none"/>
              </w:rPr>
              <w:t>：椅座、靠板都采用环保PP全新塑料，耐热、耐冲击、耐抗压、耐磨。</w:t>
            </w:r>
          </w:p>
          <w:p w14:paraId="02B6614F">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座板：座板尺寸4</w:t>
            </w:r>
            <w:r>
              <w:rPr>
                <w:rFonts w:hint="eastAsia" w:ascii="仿宋_GB2312" w:hAnsi="仿宋_GB2312" w:eastAsia="仿宋_GB2312" w:cs="仿宋_GB2312"/>
                <w:color w:val="auto"/>
                <w:sz w:val="24"/>
                <w:szCs w:val="24"/>
                <w:u w:val="none"/>
                <w:lang w:val="en-US" w:eastAsia="zh-CN"/>
              </w:rPr>
              <w:t>30</w:t>
            </w:r>
            <w:r>
              <w:rPr>
                <w:rFonts w:hint="eastAsia" w:ascii="仿宋_GB2312" w:hAnsi="仿宋_GB2312" w:eastAsia="仿宋_GB2312" w:cs="仿宋_GB2312"/>
                <w:color w:val="auto"/>
                <w:sz w:val="24"/>
                <w:szCs w:val="24"/>
                <w:u w:val="none"/>
              </w:rPr>
              <w:t>mm×4</w:t>
            </w:r>
            <w:r>
              <w:rPr>
                <w:rFonts w:hint="eastAsia" w:ascii="仿宋_GB2312" w:hAnsi="仿宋_GB2312" w:eastAsia="仿宋_GB2312" w:cs="仿宋_GB2312"/>
                <w:color w:val="auto"/>
                <w:sz w:val="24"/>
                <w:szCs w:val="24"/>
                <w:u w:val="none"/>
                <w:lang w:val="en-US" w:eastAsia="zh-CN"/>
              </w:rPr>
              <w:t>30</w:t>
            </w:r>
            <w:r>
              <w:rPr>
                <w:rFonts w:hint="eastAsia" w:ascii="仿宋_GB2312" w:hAnsi="仿宋_GB2312" w:eastAsia="仿宋_GB2312" w:cs="仿宋_GB2312"/>
                <w:color w:val="auto"/>
                <w:sz w:val="24"/>
                <w:szCs w:val="24"/>
                <w:u w:val="none"/>
              </w:rPr>
              <w:t>mm(±5mm)； 座板与椅架采用自攻螺丝固定；座板底部横向和竖向必须各有加强筋≥4条，增强承受力；多孔内凹设计，座板有≥300个透气孔</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保持通风干爽；座板靠外围边有散热细点≥220个，保持久座舒适。座板采用人体工学型设计，坐垫倾斜式设计，坐垫前端需有前弯弧度设计中间采用凹型设计能让学生臀部与座板完美贴合有效减轻臀部与腰部压力，使学童在学习时更舒服，更健康的成长。</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椅子座板符合GB 28481-2012《塑料家具中有害物质限量》、GB/T35607-2024《绿色产品评价 家具》、GB/T 32487-2016《塑料家具通用技术条件》要求，其中：</w:t>
            </w:r>
          </w:p>
          <w:p w14:paraId="44BAA36A">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highlight w:val="none"/>
                <w:u w:val="none"/>
                <w:lang w:val="en-US" w:eastAsia="zh-CN"/>
              </w:rPr>
              <w:t>邻苯二甲酸二丁酯（DBP)≤0.1%，邻苯二甲酸丁酯苄酯（BBP)≤0.1%、邻苯二甲酸-2-乙基己基酯（DEHP)≤0.1%，邻苯二甲酸二正辛酯（DNOP)≤0.1%、邻苯二甲酸二异壬酯（DINP)≤0.1%、邻苯二甲酸二异癸酯（DIDP)≤0.1%；有害物质（重金属：可溶性铅≤90mg/kg、可溶性镉≤75mg/kg、可溶性铬≤60mg/kg、可溶性汞≤60mg/kg）、16 种多环芳烃（PAH）总量≤10mg/kg、多溴联苯（PBB）≤1000mg/kg、多溴二苯醚（PBDE）≤1000mg/kg。甲醛释放量≤0.05mg/m³、挥发性有机化合物（TVOC≤0.3mg/m3），苯并[α]芘≤1.0mg/kg，冲击强度≥10J/m²，邵氏D硬度≥HD63，耐老化性：（室内用 500h）冲击强度的保持率≥60%，外观颜色变色评级≥3。</w:t>
            </w:r>
          </w:p>
          <w:p w14:paraId="45BB25A8">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u w:val="none"/>
                <w:lang w:val="en-US" w:eastAsia="zh-CN"/>
              </w:rPr>
              <w:t>3</w:t>
            </w:r>
            <w:r>
              <w:rPr>
                <w:rFonts w:hint="eastAsia" w:ascii="仿宋_GB2312" w:hAnsi="仿宋_GB2312" w:eastAsia="仿宋_GB2312" w:cs="仿宋_GB2312"/>
                <w:color w:val="auto"/>
                <w:sz w:val="24"/>
                <w:szCs w:val="24"/>
                <w:u w:val="none"/>
              </w:rPr>
              <w:t>.靠板：靠板尺寸</w:t>
            </w:r>
            <w:r>
              <w:rPr>
                <w:rFonts w:hint="eastAsia" w:ascii="仿宋_GB2312" w:hAnsi="仿宋_GB2312" w:eastAsia="仿宋_GB2312" w:cs="仿宋_GB2312"/>
                <w:color w:val="auto"/>
                <w:sz w:val="24"/>
                <w:szCs w:val="24"/>
                <w:u w:val="none"/>
                <w:lang w:val="en-US" w:eastAsia="zh-CN"/>
              </w:rPr>
              <w:t>275</w:t>
            </w:r>
            <w:r>
              <w:rPr>
                <w:rFonts w:hint="eastAsia" w:ascii="仿宋_GB2312" w:hAnsi="仿宋_GB2312" w:eastAsia="仿宋_GB2312" w:cs="仿宋_GB2312"/>
                <w:color w:val="auto"/>
                <w:sz w:val="24"/>
                <w:szCs w:val="24"/>
                <w:u w:val="none"/>
              </w:rPr>
              <w:t>mm×</w:t>
            </w:r>
            <w:r>
              <w:rPr>
                <w:rFonts w:hint="eastAsia" w:ascii="仿宋_GB2312" w:hAnsi="仿宋_GB2312" w:eastAsia="仿宋_GB2312" w:cs="仿宋_GB2312"/>
                <w:color w:val="auto"/>
                <w:sz w:val="24"/>
                <w:szCs w:val="24"/>
                <w:u w:val="none"/>
                <w:lang w:val="en-US" w:eastAsia="zh-CN"/>
              </w:rPr>
              <w:t>415</w:t>
            </w:r>
            <w:r>
              <w:rPr>
                <w:rFonts w:hint="eastAsia" w:ascii="仿宋_GB2312" w:hAnsi="仿宋_GB2312" w:eastAsia="仿宋_GB2312" w:cs="仿宋_GB2312"/>
                <w:color w:val="auto"/>
                <w:sz w:val="24"/>
                <w:szCs w:val="24"/>
                <w:u w:val="none"/>
              </w:rPr>
              <w:t>mm(±5mm)；多孔内凹设计，背板有≥140个透气孔，保持通风干爽；座板靠外围边有散热细点≥130个，保持久座舒适。靠背中上方1个提手孔，方便移动椅子。靠背根据青少年脊椎曲线设计</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保证背脊及两侧肌肉得到完美支撑，能有效降低疲劳。</w:t>
            </w:r>
            <w:r>
              <w:rPr>
                <w:rFonts w:hint="eastAsia" w:ascii="仿宋_GB2312" w:hAnsi="仿宋_GB2312" w:eastAsia="仿宋_GB2312" w:cs="仿宋_GB2312"/>
                <w:color w:val="auto"/>
                <w:sz w:val="24"/>
                <w:szCs w:val="24"/>
                <w:highlight w:val="none"/>
                <w:u w:val="none"/>
                <w:lang w:val="en-US" w:eastAsia="zh-CN"/>
              </w:rPr>
              <w:t>靠背面板符合GB 28481-2012《塑料家具中有害物质限量》、GB/T35607-2024《绿色产品评价 家具》、GB/T 32487-2016《塑料家具通用技术条件》要求，其中：</w:t>
            </w:r>
          </w:p>
          <w:p w14:paraId="1E7D554E">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邻苯二甲酸二丁酯（DBP)≤0.1%，邻苯二甲酸丁酯苄酯（BBP)≤0.1%、邻苯二甲酸-2-乙基己基酯（DEHP)≤0.1%，邻苯二甲酸二正辛酯（DNOP)≤0.1%、邻苯二甲酸二异壬酯（DINP)≤0.1%、邻苯二甲酸二异癸酯（DIDP)≤0.1%；有害物质（重金属：可溶性铅≤90mg/kg、可溶性镉≤75mg/kg、可溶性铬≤60mg/kg、可溶性汞≤60mg/kg）；16 种多环芳烃（PAH）总量≤10mg/kg、多溴联苯（PBB）≤1000mg/kg、多溴二苯醚（PBDE）≤1000mg/kg；甲醛释放量≤0.05mg/m³；挥发性有机化合物（TVOC≤0.3mg/m3）；苯并[α]芘≤1.0mg/kg；塑料材料理化性能耐老化性：（室内用 500h），外观颜色变色评级≥3级，冲击强度≥10J/m²。</w:t>
            </w:r>
          </w:p>
          <w:p w14:paraId="44EA15EE">
            <w:pPr>
              <w:keepNext w:val="0"/>
              <w:keepLines w:val="0"/>
              <w:pageBreakBefore w:val="0"/>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（三）椅架：</w:t>
            </w:r>
          </w:p>
          <w:p w14:paraId="355EBC65">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u w:val="none"/>
                <w:lang w:val="en-US" w:eastAsia="zh-CN"/>
              </w:rPr>
              <w:t>1.</w:t>
            </w:r>
            <w:r>
              <w:rPr>
                <w:rFonts w:hint="eastAsia" w:ascii="仿宋_GB2312" w:hAnsi="仿宋_GB2312" w:eastAsia="仿宋_GB2312" w:cs="仿宋_GB2312"/>
                <w:color w:val="auto"/>
                <w:sz w:val="24"/>
                <w:szCs w:val="24"/>
                <w:u w:val="none"/>
              </w:rPr>
              <w:t>椅腿与地脚为直角支撑，椅腿和地脚采用椭圆钢管并使用套管式升降。椅上管采用50×25mm(±2mm)椭圆型钢管；钢管壁厚≥1.2mm，椅下管采用 60mm×30mm(±2mm)椭圆型钢管；钢管壁厚≥1.2mm；椅靠背跟坐架连接管采用 22mm×32mm(±2mm)眼镜形管折弯管成型，管壁厚≥1.</w:t>
            </w: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mm；坐垫下方设有2根支撑16mm(±2mm) 圆管；椅脚管与立管采用平管贯穿式焊接，椅脚管为60×30mm(±2mm)椭圆型钢管，钢管壁厚≥1.2mm。</w:t>
            </w:r>
            <w:r>
              <w:rPr>
                <w:rFonts w:hint="eastAsia" w:ascii="仿宋_GB2312" w:hAnsi="仿宋_GB2312" w:eastAsia="仿宋_GB2312" w:cs="仿宋_GB2312"/>
                <w:color w:val="auto"/>
                <w:sz w:val="24"/>
                <w:szCs w:val="24"/>
                <w:highlight w:val="none"/>
                <w:u w:val="none"/>
                <w:lang w:val="en-US" w:eastAsia="zh-CN"/>
              </w:rPr>
              <w:t>课椅</w:t>
            </w:r>
            <w:r>
              <w:rPr>
                <w:rFonts w:hint="eastAsia" w:ascii="仿宋_GB2312" w:hAnsi="仿宋_GB2312" w:eastAsia="仿宋_GB2312" w:cs="仿宋_GB2312"/>
                <w:color w:val="auto"/>
                <w:sz w:val="24"/>
                <w:szCs w:val="24"/>
                <w:highlight w:val="none"/>
                <w:u w:val="none"/>
              </w:rPr>
              <w:t>立柱</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椭圆管焊接成型</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椅上架升降立柱套管采用50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20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椭圆管，外侧方配刻度,方便调节高度。</w:t>
            </w:r>
          </w:p>
          <w:p w14:paraId="1C7B47AA">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课椅立柱符合GB/T 13793-2016 《直缝电焊钢管》、GB/T 3325-2024 《金属家具通用技术条件》、GB/T 10125-2021 《人造气氛腐蚀试验 盐雾试验》、GB/T6461-2002 《金属基体上金属和其他无机覆盖层经腐蚀试验后的试样和试件的评级》、GB/T35607-2024《绿色产品评价 家具》、GB/T 11253-2019 《碳素结构钢冷轧钢板及钢带》要求，其中</w:t>
            </w:r>
            <w:r>
              <w:rPr>
                <w:rFonts w:hint="eastAsia" w:ascii="仿宋_GB2312" w:hAnsi="仿宋_GB2312" w:eastAsia="仿宋_GB2312" w:cs="仿宋_GB2312"/>
                <w:color w:val="auto"/>
                <w:kern w:val="2"/>
                <w:sz w:val="24"/>
                <w:szCs w:val="24"/>
                <w:highlight w:val="none"/>
                <w:u w:val="none"/>
                <w:lang w:val="en-US" w:eastAsia="zh-CN" w:bidi="ar-SA"/>
              </w:rPr>
              <w:t>外观性能（金属件喷漆（塑）涂层）：应无漏喷、锈蚀、脱色、掉色等，应光滑均匀，色泽一致，应无挂流、疙瘩、皱皮、飞漆等；力学性能：下屈服强度≥195Mpa，抗拉强度315～430Mpa，断后伸长率≥24%；</w:t>
            </w:r>
            <w:r>
              <w:rPr>
                <w:rFonts w:hint="eastAsia" w:ascii="仿宋_GB2312" w:hAnsi="仿宋_GB2312" w:eastAsia="仿宋_GB2312" w:cs="仿宋_GB2312"/>
                <w:b w:val="0"/>
                <w:bCs w:val="0"/>
                <w:color w:val="auto"/>
                <w:kern w:val="2"/>
                <w:sz w:val="24"/>
                <w:szCs w:val="24"/>
                <w:highlight w:val="none"/>
                <w:u w:val="none"/>
                <w:lang w:val="en-US" w:eastAsia="zh-CN" w:bidi="ar-SA"/>
              </w:rPr>
              <w:t>金属喷漆（塑）涂层：硬度（铅笔硬度H，应无塑性变形和或内聚破坏）、冲击强度（冲击高度400mm，应无剥落、裂纹、皱纹）、附着力（2级或优于2级）</w:t>
            </w:r>
            <w:r>
              <w:rPr>
                <w:rFonts w:hint="eastAsia" w:ascii="仿宋_GB2312" w:hAnsi="仿宋_GB2312" w:eastAsia="仿宋_GB2312" w:cs="仿宋_GB2312"/>
                <w:color w:val="auto"/>
                <w:sz w:val="24"/>
                <w:szCs w:val="24"/>
                <w:highlight w:val="none"/>
                <w:u w:val="none"/>
                <w:lang w:val="en-US" w:eastAsia="zh-CN"/>
              </w:rPr>
              <w:t>；</w:t>
            </w:r>
            <w:r>
              <w:rPr>
                <w:rFonts w:hint="eastAsia" w:ascii="仿宋_GB2312" w:hAnsi="仿宋_GB2312" w:eastAsia="仿宋_GB2312" w:cs="仿宋_GB2312"/>
                <w:b w:val="0"/>
                <w:bCs w:val="0"/>
                <w:color w:val="auto"/>
                <w:kern w:val="2"/>
                <w:sz w:val="24"/>
                <w:szCs w:val="24"/>
                <w:highlight w:val="none"/>
                <w:u w:val="none"/>
                <w:lang w:val="en-US" w:eastAsia="zh-CN" w:bidi="ar-SA"/>
              </w:rPr>
              <w:t>产品有害物质（家具涂层可迁移元素：铅Pb≤90mg/kg、镉Cd≤50mg/kg、铬Cr≤25mg/kg、汞Hg≤25mg/kg、锑Sb≤60mg/kg、钡Ba≤1000mg/kg、硒Se≤500mg/kg、砷As≤25mg/kg）</w:t>
            </w:r>
            <w:r>
              <w:rPr>
                <w:rFonts w:hint="eastAsia" w:ascii="仿宋_GB2312" w:hAnsi="仿宋_GB2312" w:eastAsia="仿宋_GB2312" w:cs="仿宋_GB2312"/>
                <w:color w:val="auto"/>
                <w:sz w:val="24"/>
                <w:szCs w:val="24"/>
                <w:highlight w:val="none"/>
                <w:u w:val="none"/>
                <w:lang w:val="en-US" w:eastAsia="zh-CN"/>
              </w:rPr>
              <w:t>；经过96h人造气氛腐蚀试验（中性盐雾NSS、乙酸盐雾AASS），保护评级、外观评级均不低于9级。</w:t>
            </w:r>
          </w:p>
          <w:p w14:paraId="532749E7">
            <w:pPr>
              <w:pStyle w:val="869"/>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螺杆和预埋螺母符合QB/T 3832-1999《轻工产品金属镀层腐蚀试验结果的评价》，GB/T 3325-2024 《金属家具通用技术条件》</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QB/T3826-1999《轻工产品金属镀层和化学处理层的耐腐蚀试验方法 中性盐雾试验（NSS）法》，QB/T 3827-1999《轻工产品金属镀层和化学处理层的耐腐蚀试验方法 乙酸盐雾试验（ASS）法》</w:t>
            </w:r>
            <w:r>
              <w:rPr>
                <w:rFonts w:hint="eastAsia" w:ascii="仿宋_GB2312" w:hAnsi="仿宋_GB2312" w:eastAsia="仿宋_GB2312" w:cs="仿宋_GB2312"/>
                <w:color w:val="auto"/>
                <w:sz w:val="24"/>
                <w:szCs w:val="24"/>
                <w:u w:val="none"/>
                <w:lang w:val="en-US" w:eastAsia="zh-CN"/>
              </w:rPr>
              <w:t>要求，其中</w:t>
            </w:r>
            <w:r>
              <w:rPr>
                <w:rFonts w:hint="eastAsia" w:ascii="仿宋_GB2312" w:hAnsi="仿宋_GB2312" w:eastAsia="仿宋_GB2312" w:cs="仿宋_GB2312"/>
                <w:color w:val="auto"/>
                <w:sz w:val="24"/>
                <w:szCs w:val="24"/>
                <w:u w:val="none"/>
              </w:rPr>
              <w:t>标准金属表面耐腐蚀性：乙酸盐雾试验（ASS）120h，等级达到9级以上，中性盐雾试验（NSS）120h，等级达到9级以上</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抗盐雾：直径1.5mm以下锈点≤20点/dm,其中直径≥1.0mm锈点不超过5点(距边缘棱角2mm以内的不计)</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金属喷漆(塑)涂层</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b w:val="0"/>
                <w:bCs w:val="0"/>
                <w:color w:val="auto"/>
                <w:kern w:val="2"/>
                <w:sz w:val="24"/>
                <w:szCs w:val="24"/>
                <w:highlight w:val="none"/>
                <w:u w:val="none"/>
                <w:lang w:val="en-US" w:eastAsia="zh-CN" w:bidi="ar-SA"/>
              </w:rPr>
              <w:t>硬度（铅笔硬度H，应无塑性变形和或内聚破坏）、冲击强度（冲击高度400mm，应无剥落、裂纹、皱纹）、附着力（2级或优于2级）</w:t>
            </w:r>
            <w:r>
              <w:rPr>
                <w:rFonts w:hint="eastAsia" w:ascii="仿宋_GB2312" w:hAnsi="仿宋_GB2312" w:eastAsia="仿宋_GB2312" w:cs="仿宋_GB2312"/>
                <w:color w:val="auto"/>
                <w:sz w:val="24"/>
                <w:szCs w:val="24"/>
                <w:u w:val="none"/>
              </w:rPr>
              <w:t>。</w:t>
            </w:r>
          </w:p>
          <w:p w14:paraId="17389102">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kern w:val="0"/>
                <w:sz w:val="24"/>
                <w:szCs w:val="24"/>
                <w:u w:val="none"/>
                <w:lang w:val="en-US" w:eastAsia="zh-CN"/>
              </w:rPr>
              <w:t>3.</w:t>
            </w:r>
            <w:r>
              <w:rPr>
                <w:rFonts w:hint="eastAsia" w:ascii="仿宋_GB2312" w:hAnsi="仿宋_GB2312" w:eastAsia="仿宋_GB2312" w:cs="仿宋_GB2312"/>
                <w:color w:val="auto"/>
                <w:kern w:val="0"/>
                <w:sz w:val="24"/>
                <w:szCs w:val="24"/>
                <w:u w:val="none"/>
              </w:rPr>
              <w:t>套管胶套：升降内外管间使用优质PP塑料胶套，规格72</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kern w:val="0"/>
                <w:sz w:val="24"/>
                <w:szCs w:val="24"/>
                <w:u w:val="none"/>
              </w:rPr>
              <w:t>35mm</w:t>
            </w:r>
            <w:r>
              <w:rPr>
                <w:rFonts w:hint="eastAsia" w:ascii="仿宋_GB2312" w:hAnsi="仿宋_GB2312" w:eastAsia="仿宋_GB2312" w:cs="仿宋_GB2312"/>
                <w:color w:val="auto"/>
                <w:sz w:val="24"/>
                <w:szCs w:val="24"/>
                <w:u w:val="none"/>
              </w:rPr>
              <w:t>(±2mm)，胶套起到防尘、防水、耐磨的作用。</w:t>
            </w:r>
          </w:p>
          <w:p w14:paraId="214038BB">
            <w:pPr>
              <w:keepNext w:val="0"/>
              <w:keepLines w:val="0"/>
              <w:pageBreakBefore w:val="0"/>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（四）脚套：</w:t>
            </w:r>
          </w:p>
          <w:p w14:paraId="09547610">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采用全新颗粒 PP 塑料一次性注塑成型，规格75×65×45mm(±2mm)；脚套自带塑料垫螺旋调节功能，防止地板不平影响使用舒适度；脚套起到防滑、防摩擦、防碰撞、静音等作用。</w:t>
            </w:r>
          </w:p>
          <w:p w14:paraId="5B7B841D">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脚套符合GB/T 32487-2016《塑料家具通用技术条件》、GB 28481-2012 《塑料家具中有害物质限量》</w:t>
            </w:r>
            <w:r>
              <w:rPr>
                <w:rFonts w:hint="eastAsia" w:ascii="仿宋_GB2312" w:hAnsi="仿宋_GB2312" w:eastAsia="仿宋_GB2312" w:cs="仿宋_GB2312"/>
                <w:color w:val="auto"/>
                <w:sz w:val="24"/>
                <w:szCs w:val="24"/>
                <w:u w:val="none"/>
                <w:lang w:val="en-US" w:eastAsia="zh-CN"/>
              </w:rPr>
              <w:t>要求</w:t>
            </w:r>
            <w:r>
              <w:rPr>
                <w:rFonts w:hint="eastAsia" w:ascii="仿宋_GB2312" w:hAnsi="仿宋_GB2312" w:eastAsia="仿宋_GB2312" w:cs="仿宋_GB2312"/>
                <w:color w:val="auto"/>
                <w:sz w:val="24"/>
                <w:szCs w:val="24"/>
                <w:u w:val="none"/>
              </w:rPr>
              <w:t>，塑料件外观符合要求；有害物质</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邻苯二甲酸</w:t>
            </w:r>
            <w:r>
              <w:rPr>
                <w:rFonts w:hint="eastAsia" w:ascii="仿宋_GB2312" w:hAnsi="仿宋_GB2312" w:eastAsia="仿宋_GB2312" w:cs="仿宋_GB2312"/>
                <w:color w:val="auto"/>
                <w:sz w:val="24"/>
                <w:szCs w:val="24"/>
                <w:highlight w:val="none"/>
                <w:u w:val="none"/>
              </w:rPr>
              <w:t>酯</w:t>
            </w:r>
            <w:r>
              <w:rPr>
                <w:rFonts w:hint="eastAsia" w:ascii="仿宋_GB2312" w:hAnsi="仿宋_GB2312" w:eastAsia="仿宋_GB2312" w:cs="仿宋_GB2312"/>
                <w:color w:val="auto"/>
                <w:sz w:val="24"/>
                <w:szCs w:val="24"/>
                <w:highlight w:val="none"/>
                <w:u w:val="none"/>
                <w:lang w:val="en-US" w:eastAsia="zh-CN"/>
              </w:rPr>
              <w:t>≤0.1%</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16种</w:t>
            </w:r>
            <w:r>
              <w:rPr>
                <w:rFonts w:hint="eastAsia" w:ascii="仿宋_GB2312" w:hAnsi="仿宋_GB2312" w:eastAsia="仿宋_GB2312" w:cs="仿宋_GB2312"/>
                <w:color w:val="auto"/>
                <w:sz w:val="24"/>
                <w:szCs w:val="24"/>
                <w:highlight w:val="none"/>
                <w:u w:val="none"/>
              </w:rPr>
              <w:t>多环芳烃</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PAH)总量≤10mg/kg</w:t>
            </w:r>
            <w:r>
              <w:rPr>
                <w:rFonts w:hint="eastAsia" w:ascii="仿宋_GB2312" w:hAnsi="仿宋_GB2312" w:eastAsia="仿宋_GB2312" w:cs="仿宋_GB2312"/>
                <w:color w:val="auto"/>
                <w:sz w:val="24"/>
                <w:szCs w:val="24"/>
                <w:highlight w:val="none"/>
                <w:u w:val="none"/>
              </w:rPr>
              <w:t>、多溴联苯(PBB)</w:t>
            </w:r>
            <w:r>
              <w:rPr>
                <w:rFonts w:hint="eastAsia" w:ascii="仿宋_GB2312" w:hAnsi="仿宋_GB2312" w:eastAsia="仿宋_GB2312" w:cs="仿宋_GB2312"/>
                <w:color w:val="auto"/>
                <w:sz w:val="24"/>
                <w:szCs w:val="24"/>
                <w:highlight w:val="none"/>
                <w:u w:val="none"/>
                <w:lang w:val="en-US" w:eastAsia="zh-CN"/>
              </w:rPr>
              <w:t>≤1000mg/kg</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u w:val="none"/>
              </w:rPr>
              <w:t>耐老化性：500h测试，冲击强度的保持率≥60%，外观颜色变色评级≥3级；</w:t>
            </w:r>
          </w:p>
          <w:p w14:paraId="063DA133">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（五）椅子重量：</w:t>
            </w:r>
          </w:p>
          <w:p w14:paraId="2C0BB975">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整张椅子净重不小于6公斤。</w:t>
            </w:r>
          </w:p>
          <w:p w14:paraId="5E185D0E">
            <w:pPr>
              <w:keepNext w:val="0"/>
              <w:keepLines w:val="0"/>
              <w:pageBreakBefore w:val="0"/>
              <w:kinsoku/>
              <w:wordWrap/>
              <w:overflowPunct/>
              <w:topLinePunct w:val="0"/>
              <w:autoSpaceDE/>
              <w:autoSpaceDN/>
              <w:bidi w:val="0"/>
              <w:adjustRightInd/>
              <w:spacing w:line="400" w:lineRule="exact"/>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b/>
                <w:bCs/>
                <w:color w:val="auto"/>
                <w:sz w:val="24"/>
                <w:szCs w:val="24"/>
                <w:u w:val="none"/>
                <w:lang w:val="en-US" w:eastAsia="zh-CN"/>
              </w:rPr>
              <w:t>三、其他要求</w:t>
            </w:r>
          </w:p>
          <w:p w14:paraId="07D6ACC6">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kern w:val="0"/>
                <w:sz w:val="24"/>
                <w:szCs w:val="24"/>
                <w:u w:val="none"/>
                <w:lang w:val="en-US" w:eastAsia="zh-CN"/>
              </w:rPr>
              <w:t>1.</w:t>
            </w:r>
            <w:r>
              <w:rPr>
                <w:rFonts w:hint="eastAsia" w:ascii="仿宋_GB2312" w:hAnsi="仿宋_GB2312" w:eastAsia="仿宋_GB2312" w:cs="仿宋_GB2312"/>
                <w:color w:val="auto"/>
                <w:sz w:val="24"/>
                <w:szCs w:val="24"/>
                <w:u w:val="none"/>
              </w:rPr>
              <w:t>钢管表面涂装工艺要求：表面经酸洗、脱脂、磷化处理，耐腐蚀、防锈，表面采用一级颗粒粉末经静电喷涂，附着力强，不脱漆，涂层无漏喷，锈蚀涂层光滑均匀，色泽一致。</w:t>
            </w:r>
          </w:p>
          <w:p w14:paraId="0F2CD5BD">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钢管和钢板表面采用塑粉喷涂，塑粉符合GB/T 21866-2008《抗菌涂料(漆膜)抗菌性测定法和抗菌效果》</w:t>
            </w:r>
            <w:r>
              <w:rPr>
                <w:rFonts w:hint="eastAsia" w:ascii="仿宋_GB2312" w:hAnsi="仿宋_GB2312" w:eastAsia="仿宋_GB2312" w:cs="仿宋_GB2312"/>
                <w:color w:val="auto"/>
                <w:kern w:val="2"/>
                <w:sz w:val="24"/>
                <w:szCs w:val="24"/>
                <w:highlight w:val="none"/>
                <w:u w:val="none"/>
                <w:lang w:val="en-US" w:eastAsia="zh-CN" w:bidi="ar-SA"/>
              </w:rPr>
              <w:t>、《HG/T 2006-2022 热固性和热塑性粉末涂料》、《GB/T 35602-2017 绿色产品评价 涂料》</w:t>
            </w:r>
            <w:r>
              <w:rPr>
                <w:rFonts w:hint="eastAsia" w:ascii="仿宋_GB2312" w:hAnsi="仿宋_GB2312" w:eastAsia="仿宋_GB2312" w:cs="仿宋_GB2312"/>
                <w:color w:val="auto"/>
                <w:sz w:val="24"/>
                <w:szCs w:val="24"/>
                <w:u w:val="none"/>
              </w:rPr>
              <w:t>的国家标准，抗菌性能：抗细菌率≥99%。</w:t>
            </w:r>
            <w:r>
              <w:rPr>
                <w:rFonts w:hint="eastAsia" w:ascii="仿宋_GB2312" w:hAnsi="仿宋_GB2312" w:eastAsia="仿宋_GB2312" w:cs="仿宋_GB2312"/>
                <w:color w:val="auto"/>
                <w:kern w:val="2"/>
                <w:sz w:val="24"/>
                <w:szCs w:val="24"/>
                <w:highlight w:val="none"/>
                <w:u w:val="none"/>
                <w:lang w:val="en-US" w:eastAsia="zh-CN" w:bidi="ar-SA"/>
              </w:rPr>
              <w:t>外观：色泽均匀，无异物，呈松散粉末状；筛余物（125μm）全部通过；涂膜外观：正常；附着力（干附着力）≤1级；铅笔硬度≥H；耐冲击性（正向冲击）：50cm；杯突试验≥4mm；弯曲试验≤4mm；耐磨性≤50mg；耐酸性[3%(质量分数）盐酸溶液]：240h无异常；耐碱性[5%（质量分数）氢氧化钠溶液]：168h无异常；耐沸水性（2h）：无异常；耐盐雾性：中性盐雾500h划痕处单向腐蚀蔓延宽度≤2.0mm，未划痕区无起泡、生锈、开裂、剥落等异常现象；耐湿性（室内用）：500h无异常。重金属元素含量：铅Pb≤20mg/kg、镉Cd≤20mg/kg、六价铬（Cr</w:t>
            </w:r>
            <w:r>
              <w:rPr>
                <w:rFonts w:hint="eastAsia" w:ascii="仿宋_GB2312" w:hAnsi="仿宋_GB2312" w:eastAsia="仿宋_GB2312" w:cs="仿宋_GB2312"/>
                <w:color w:val="auto"/>
                <w:kern w:val="2"/>
                <w:sz w:val="24"/>
                <w:szCs w:val="24"/>
                <w:highlight w:val="none"/>
                <w:u w:val="none"/>
                <w:vertAlign w:val="superscript"/>
                <w:lang w:val="en-US" w:eastAsia="zh-CN" w:bidi="ar-SA"/>
              </w:rPr>
              <w:t>6+</w:t>
            </w:r>
            <w:r>
              <w:rPr>
                <w:rFonts w:hint="eastAsia" w:ascii="仿宋_GB2312" w:hAnsi="仿宋_GB2312" w:eastAsia="仿宋_GB2312" w:cs="仿宋_GB2312"/>
                <w:color w:val="auto"/>
                <w:kern w:val="2"/>
                <w:sz w:val="24"/>
                <w:szCs w:val="24"/>
                <w:highlight w:val="none"/>
                <w:u w:val="none"/>
                <w:lang w:val="en-US" w:eastAsia="zh-CN" w:bidi="ar-SA"/>
              </w:rPr>
              <w:t>）≤20mg/kg、汞Hg≤20mg/kg、砷As≤20mg/kg、钡Ba≤100mg/kg、硒Se≤20mg/kg、锑Sb≤20mg/kg、钴Co≤20mg/kg。</w:t>
            </w:r>
          </w:p>
          <w:p w14:paraId="08BE870D">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kern w:val="2"/>
                <w:sz w:val="24"/>
                <w:szCs w:val="24"/>
                <w:highlight w:val="none"/>
                <w:u w:val="none"/>
                <w:lang w:val="en-US" w:eastAsia="zh-CN" w:bidi="ar-SA"/>
              </w:rPr>
              <w:t>2.</w:t>
            </w:r>
            <w:r>
              <w:rPr>
                <w:rFonts w:hint="eastAsia" w:ascii="仿宋_GB2312" w:hAnsi="仿宋_GB2312" w:eastAsia="仿宋_GB2312" w:cs="仿宋_GB2312"/>
                <w:color w:val="auto"/>
                <w:sz w:val="24"/>
                <w:szCs w:val="24"/>
                <w:highlight w:val="none"/>
                <w:u w:val="none"/>
                <w:lang w:val="en-US" w:eastAsia="zh-CN"/>
              </w:rPr>
              <w:t>课椅性能检测必须符合：</w:t>
            </w:r>
            <w:r>
              <w:rPr>
                <w:rFonts w:hint="eastAsia" w:ascii="仿宋_GB2312" w:hAnsi="仿宋_GB2312" w:eastAsia="仿宋_GB2312" w:cs="仿宋_GB2312"/>
                <w:b w:val="0"/>
                <w:bCs w:val="0"/>
                <w:color w:val="auto"/>
                <w:sz w:val="24"/>
                <w:szCs w:val="24"/>
                <w:highlight w:val="none"/>
                <w:u w:val="none"/>
                <w:lang w:val="en-US" w:eastAsia="zh-CN"/>
              </w:rPr>
              <w:t>GB/T 3325-2024《金属家具通用技术条件》、</w:t>
            </w:r>
            <w:r>
              <w:rPr>
                <w:rFonts w:hint="eastAsia" w:ascii="仿宋_GB2312" w:hAnsi="仿宋_GB2312" w:eastAsia="仿宋_GB2312" w:cs="仿宋_GB2312"/>
                <w:color w:val="auto"/>
                <w:sz w:val="24"/>
                <w:szCs w:val="24"/>
                <w:highlight w:val="none"/>
                <w:u w:val="none"/>
                <w:lang w:val="en-US" w:eastAsia="zh-CN"/>
              </w:rPr>
              <w:t>GB/T 32487-2016 《塑料家具通用技术条件》、GB/T 35607-2024《绿色产品评价家具》、QB/T 4071-2021《课桌椅》、</w:t>
            </w:r>
            <w:r>
              <w:rPr>
                <w:rFonts w:hint="eastAsia" w:ascii="仿宋_GB2312" w:hAnsi="仿宋_GB2312" w:eastAsia="仿宋_GB2312" w:cs="仿宋_GB2312"/>
                <w:color w:val="auto"/>
                <w:sz w:val="24"/>
                <w:szCs w:val="24"/>
                <w:u w:val="none"/>
              </w:rPr>
              <w:t>GB 28481-2012 《塑料家具中有害物质限量》</w:t>
            </w:r>
            <w:r>
              <w:rPr>
                <w:rFonts w:hint="eastAsia" w:ascii="仿宋_GB2312" w:hAnsi="仿宋_GB2312" w:eastAsia="仿宋_GB2312" w:cs="仿宋_GB2312"/>
                <w:color w:val="auto"/>
                <w:sz w:val="24"/>
                <w:szCs w:val="24"/>
                <w:highlight w:val="none"/>
                <w:u w:val="none"/>
                <w:lang w:val="en-US" w:eastAsia="zh-CN"/>
              </w:rPr>
              <w:t>要求，其中：</w:t>
            </w:r>
          </w:p>
          <w:p w14:paraId="7FC244F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金属件外观（管材、焊接件、喷漆（塑）涂层）符合要求；塑料件外观符合要求；塑料件形状和位置公差（翘曲度、平整度、底脚平稳性）符合要求；理化性能符合要求；课桌/课椅力学性能符合要求；有害物质限量（表面涂层可迁移元素含量）：铅Pb≤90mg/kg、镉Cd≤50mg/kg、铬Cr≤25mg/kg、汞Hg≤25mg/kg、锑Sb≤60mg/kg、钡Ba≤1000mg/kg、硒Se≤500mg/kg、砷As≤25mg/kg</w:t>
            </w:r>
            <w:r>
              <w:rPr>
                <w:rFonts w:hint="eastAsia" w:ascii="仿宋_GB2312" w:hAnsi="仿宋_GB2312" w:eastAsia="仿宋_GB2312" w:cs="仿宋_GB2312"/>
                <w:color w:val="auto"/>
                <w:kern w:val="2"/>
                <w:sz w:val="24"/>
                <w:szCs w:val="24"/>
                <w:highlight w:val="none"/>
                <w:u w:val="none"/>
                <w:lang w:val="en-US" w:eastAsia="zh-CN" w:bidi="ar-SA"/>
              </w:rPr>
              <w:t>；苯并[a]芘≤1.0mg/kg、16 种多环芳烃（PAH）总量≤10mg/kg；挥发性有机化合物TVOC≤0.3mg/m³。</w:t>
            </w:r>
          </w:p>
          <w:p w14:paraId="47670B14">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3.金属件</w:t>
            </w:r>
            <w:r>
              <w:rPr>
                <w:rFonts w:hint="eastAsia" w:ascii="仿宋_GB2312" w:hAnsi="仿宋_GB2312" w:eastAsia="仿宋_GB2312" w:cs="仿宋_GB2312"/>
                <w:color w:val="auto"/>
                <w:sz w:val="24"/>
                <w:szCs w:val="24"/>
                <w:highlight w:val="none"/>
                <w:u w:val="none"/>
                <w:lang w:val="en-US" w:eastAsia="zh-CN"/>
              </w:rPr>
              <w:t>表面应光滑平整，应无起泡、泛黄、花斑、烧焦、裂纹、划痕和磕碰伤等；涂层应光滑均匀，色泽一致，应无流挂、疙瘩、皱皮、飞漆等；焊接部位应牢固，应无脱焊、虚焊、焊穿；焊缝均匀，应无毛刺、锐棱、飞溅、裂纹等缺陷；塑料件表面应光洁，应无裂纹、皱褶、污渍、明显色差。</w:t>
            </w:r>
          </w:p>
          <w:p w14:paraId="6BD435CA">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color w:val="auto"/>
                <w:kern w:val="2"/>
                <w:sz w:val="24"/>
                <w:szCs w:val="24"/>
                <w:highlight w:val="none"/>
                <w:u w:val="none"/>
                <w:lang w:val="en-US" w:eastAsia="zh-CN" w:bidi="ar-SA"/>
              </w:rPr>
              <w:t xml:space="preserve">   4.每张课桌前方需粘贴直径60mm的标识，标识中有产品尺寸、年份。</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083EFCE2">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u w:val="none"/>
                <w:lang w:val="en-US" w:eastAsia="zh-CN"/>
              </w:rPr>
              <w:t>2365套</w:t>
            </w:r>
          </w:p>
        </w:tc>
      </w:tr>
    </w:tbl>
    <w:p w14:paraId="2C981CA7">
      <w:pPr>
        <w:spacing w:line="276" w:lineRule="auto"/>
        <w:ind w:left="420" w:hanging="420"/>
        <w:jc w:val="left"/>
        <w:rPr>
          <w:rFonts w:hint="eastAsia" w:ascii="仿宋_GB2312" w:hAnsi="宋体" w:eastAsia="仿宋_GB2312" w:cs="Times New Roman"/>
          <w:b/>
          <w:color w:val="auto"/>
          <w:sz w:val="24"/>
          <w:lang w:val="en-US" w:eastAsia="zh-CN"/>
        </w:rPr>
      </w:pPr>
    </w:p>
    <w:p w14:paraId="51C34B0A">
      <w:pPr>
        <w:spacing w:line="276" w:lineRule="auto"/>
        <w:ind w:left="420" w:hanging="420"/>
        <w:jc w:val="left"/>
        <w:rPr>
          <w:rFonts w:hint="default" w:ascii="仿宋_GB2312" w:hAnsi="宋体" w:eastAsia="仿宋_GB2312" w:cs="Times New Roman"/>
          <w:b/>
          <w:color w:val="auto"/>
          <w:sz w:val="24"/>
          <w:lang w:val="en-US" w:eastAsia="zh-CN"/>
        </w:rPr>
      </w:pPr>
      <w:r>
        <w:rPr>
          <w:rFonts w:hint="eastAsia" w:ascii="仿宋_GB2312" w:hAnsi="宋体" w:eastAsia="仿宋_GB2312" w:cs="Times New Roman"/>
          <w:b/>
          <w:color w:val="auto"/>
          <w:sz w:val="24"/>
          <w:lang w:val="en-US" w:eastAsia="zh-CN"/>
        </w:rPr>
        <w:t>注：以下商务要求适用于分标一、分标二、分标三</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60"/>
        <w:gridCol w:w="7763"/>
      </w:tblGrid>
      <w:tr w14:paraId="6260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noWrap w:val="0"/>
            <w:vAlign w:val="center"/>
          </w:tcPr>
          <w:p w14:paraId="6BABEB8A">
            <w:pPr>
              <w:spacing w:line="276" w:lineRule="auto"/>
              <w:ind w:left="420" w:hanging="420"/>
              <w:jc w:val="left"/>
              <w:rPr>
                <w:rFonts w:hint="eastAsia" w:ascii="仿宋_GB2312" w:hAnsi="宋体" w:eastAsia="仿宋_GB2312"/>
                <w:color w:val="auto"/>
                <w:sz w:val="24"/>
              </w:rPr>
            </w:pPr>
            <w:r>
              <w:rPr>
                <w:rFonts w:ascii="仿宋_GB2312" w:hAnsi="宋体" w:eastAsia="仿宋_GB2312" w:cs="宋体"/>
                <w:b/>
                <w:color w:val="auto"/>
                <w:kern w:val="0"/>
                <w:sz w:val="24"/>
              </w:rPr>
              <w:t>★</w:t>
            </w:r>
            <w:r>
              <w:rPr>
                <w:rFonts w:hint="eastAsia" w:ascii="仿宋_GB2312" w:hAnsi="宋体" w:eastAsia="仿宋_GB2312"/>
                <w:b/>
                <w:color w:val="auto"/>
                <w:sz w:val="24"/>
              </w:rPr>
              <w:t>二、商务要求</w:t>
            </w:r>
          </w:p>
        </w:tc>
      </w:tr>
      <w:tr w14:paraId="15B9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gridSpan w:val="2"/>
            <w:noWrap w:val="0"/>
            <w:vAlign w:val="center"/>
          </w:tcPr>
          <w:p w14:paraId="7DF8194F">
            <w:pPr>
              <w:spacing w:line="440" w:lineRule="exact"/>
              <w:jc w:val="left"/>
              <w:rPr>
                <w:rFonts w:hint="eastAsia" w:ascii="等线" w:hAnsi="等线" w:eastAsia="仿宋_GB2312" w:cs="Arial"/>
                <w:bCs/>
                <w:color w:val="auto"/>
                <w:sz w:val="24"/>
                <w:lang w:val="en-GB"/>
              </w:rPr>
            </w:pPr>
            <w:r>
              <w:rPr>
                <w:rFonts w:ascii="仿宋_GB2312" w:hAnsi="仿宋_GB2312" w:eastAsia="仿宋_GB2312" w:cs="仿宋_GB2312"/>
                <w:color w:val="auto"/>
                <w:sz w:val="24"/>
              </w:rPr>
              <w:t>基本要求</w:t>
            </w:r>
          </w:p>
        </w:tc>
        <w:tc>
          <w:tcPr>
            <w:tcW w:w="7763" w:type="dxa"/>
            <w:noWrap w:val="0"/>
            <w:vAlign w:val="center"/>
          </w:tcPr>
          <w:p w14:paraId="7DD91B40">
            <w:pPr>
              <w:spacing w:line="440" w:lineRule="exact"/>
              <w:jc w:val="left"/>
              <w:rPr>
                <w:rFonts w:hint="eastAsia" w:ascii="仿宋_GB2312" w:hAnsi="仿宋_GB2312" w:eastAsia="仿宋_GB2312" w:cs="仿宋_GB2312"/>
                <w:bCs/>
                <w:color w:val="auto"/>
                <w:sz w:val="24"/>
              </w:rPr>
            </w:pPr>
            <w:r>
              <w:rPr>
                <w:rFonts w:ascii="仿宋_GB2312" w:hAnsi="仿宋_GB2312" w:eastAsia="仿宋_GB2312" w:cs="仿宋_GB2312"/>
                <w:bCs/>
                <w:color w:val="auto"/>
                <w:sz w:val="24"/>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ascii="仿宋_GB2312" w:hAnsi="仿宋_GB2312" w:eastAsia="仿宋_GB2312" w:cs="仿宋_GB2312"/>
                <w:bCs/>
                <w:color w:val="auto"/>
                <w:sz w:val="24"/>
              </w:rPr>
              <w:br w:type="textWrapping"/>
            </w:r>
            <w:r>
              <w:rPr>
                <w:rFonts w:ascii="仿宋_GB2312" w:hAnsi="仿宋_GB2312" w:eastAsia="仿宋_GB2312" w:cs="仿宋_GB2312"/>
                <w:bCs/>
                <w:color w:val="auto"/>
                <w:sz w:val="24"/>
              </w:rPr>
              <w:t>3.投标人所投产品应符合国家有关部门规定的相应技术、节能、安全和环保标准；国家有关部门对所投产品有强制性规定或要求的，必须符合相应规定或要求。</w:t>
            </w:r>
          </w:p>
        </w:tc>
      </w:tr>
      <w:tr w14:paraId="2B31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gridSpan w:val="2"/>
            <w:noWrap w:val="0"/>
            <w:vAlign w:val="center"/>
          </w:tcPr>
          <w:p w14:paraId="18EBA8CD">
            <w:pPr>
              <w:spacing w:line="440" w:lineRule="exact"/>
              <w:jc w:val="left"/>
              <w:rPr>
                <w:rFonts w:hint="eastAsia" w:ascii="等线" w:hAnsi="等线" w:eastAsia="仿宋_GB2312" w:cs="Arial"/>
                <w:bCs/>
                <w:color w:val="auto"/>
                <w:sz w:val="24"/>
                <w:lang w:val="en-GB"/>
              </w:rPr>
            </w:pPr>
            <w:r>
              <w:rPr>
                <w:rFonts w:ascii="仿宋_GB2312" w:hAnsi="仿宋_GB2312" w:eastAsia="仿宋_GB2312" w:cs="仿宋_GB2312"/>
                <w:color w:val="auto"/>
                <w:sz w:val="24"/>
              </w:rPr>
              <w:t>质量保证期</w:t>
            </w:r>
          </w:p>
        </w:tc>
        <w:tc>
          <w:tcPr>
            <w:tcW w:w="7763" w:type="dxa"/>
            <w:noWrap w:val="0"/>
            <w:vAlign w:val="center"/>
          </w:tcPr>
          <w:p w14:paraId="7E81FF5B">
            <w:pPr>
              <w:spacing w:line="440" w:lineRule="exact"/>
              <w:jc w:val="left"/>
              <w:rPr>
                <w:rFonts w:hint="eastAsia" w:ascii="仿宋_GB2312" w:hAnsi="仿宋_GB2312" w:eastAsia="仿宋_GB2312" w:cs="仿宋_GB2312"/>
                <w:bCs/>
                <w:color w:val="auto"/>
                <w:sz w:val="24"/>
              </w:rPr>
            </w:pPr>
            <w:r>
              <w:rPr>
                <w:rFonts w:ascii="仿宋_GB2312" w:hAnsi="仿宋_GB2312" w:eastAsia="仿宋_GB2312" w:cs="仿宋_GB2312"/>
                <w:bCs/>
                <w:color w:val="auto"/>
                <w:sz w:val="24"/>
              </w:rPr>
              <w:t>自验收合格后交付使用之日起5年。</w:t>
            </w:r>
          </w:p>
        </w:tc>
      </w:tr>
      <w:tr w14:paraId="26C1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gridSpan w:val="2"/>
            <w:noWrap w:val="0"/>
            <w:vAlign w:val="center"/>
          </w:tcPr>
          <w:p w14:paraId="1008970F">
            <w:pPr>
              <w:spacing w:line="440" w:lineRule="exact"/>
              <w:jc w:val="left"/>
              <w:rPr>
                <w:rFonts w:hint="eastAsia" w:ascii="等线" w:hAnsi="等线" w:eastAsia="仿宋_GB2312" w:cs="Arial"/>
                <w:bCs/>
                <w:color w:val="auto"/>
                <w:sz w:val="24"/>
                <w:lang w:val="en-GB"/>
              </w:rPr>
            </w:pPr>
            <w:r>
              <w:rPr>
                <w:rFonts w:ascii="仿宋_GB2312" w:hAnsi="仿宋_GB2312" w:eastAsia="仿宋_GB2312" w:cs="仿宋_GB2312"/>
                <w:color w:val="auto"/>
                <w:sz w:val="24"/>
              </w:rPr>
              <w:t>售后服务要求</w:t>
            </w:r>
          </w:p>
        </w:tc>
        <w:tc>
          <w:tcPr>
            <w:tcW w:w="7763" w:type="dxa"/>
            <w:noWrap w:val="0"/>
            <w:vAlign w:val="center"/>
          </w:tcPr>
          <w:p w14:paraId="20148C49">
            <w:pPr>
              <w:spacing w:line="440" w:lineRule="exact"/>
              <w:jc w:val="left"/>
              <w:rPr>
                <w:rFonts w:hint="eastAsia" w:ascii="仿宋_GB2312" w:hAnsi="仿宋_GB2312" w:eastAsia="仿宋_GB2312" w:cs="仿宋_GB2312"/>
                <w:bCs/>
                <w:color w:val="auto"/>
                <w:sz w:val="24"/>
              </w:rPr>
            </w:pPr>
            <w:r>
              <w:rPr>
                <w:rFonts w:ascii="仿宋_GB2312" w:hAnsi="仿宋_GB2312" w:eastAsia="仿宋_GB2312" w:cs="仿宋_GB2312"/>
                <w:bCs/>
                <w:color w:val="auto"/>
                <w:sz w:val="24"/>
              </w:rPr>
              <w:t>1.投标产品必须是按厂家标准配置的整套全新产品，按国家规定实行“三包”，免费送货上门、免费安装调试（附安装说明书）及人员培训，培训后采购人可熟悉基本操作；
</w:t>
            </w:r>
            <w:r>
              <w:rPr>
                <w:rFonts w:ascii="仿宋_GB2312" w:hAnsi="仿宋_GB2312" w:eastAsia="仿宋_GB2312" w:cs="仿宋_GB2312"/>
                <w:bCs/>
                <w:color w:val="auto"/>
                <w:sz w:val="24"/>
              </w:rPr>
              <w:br w:type="textWrapping"/>
            </w:r>
            <w:r>
              <w:rPr>
                <w:rFonts w:ascii="仿宋_GB2312" w:hAnsi="仿宋_GB2312" w:eastAsia="仿宋_GB2312" w:cs="仿宋_GB2312"/>
                <w:bCs/>
                <w:color w:val="auto"/>
                <w:sz w:val="24"/>
              </w:rPr>
              <w:t>2.损坏处理：提供7*24小时维修服务，并提供售后服务电话，在使用过程中（质量保证期内）出现损坏应在接到通知起2小时内响应，12小时内派技术人员到达现场维修，损坏修复时限不超过48小时,如超过时限无法排除损坏，投标人提供同等质量的产品供采购人使用。
</w:t>
            </w:r>
            <w:r>
              <w:rPr>
                <w:rFonts w:ascii="仿宋_GB2312" w:hAnsi="仿宋_GB2312" w:eastAsia="仿宋_GB2312" w:cs="仿宋_GB2312"/>
                <w:bCs/>
                <w:color w:val="auto"/>
                <w:sz w:val="24"/>
              </w:rPr>
              <w:br w:type="textWrapping"/>
            </w:r>
            <w:r>
              <w:rPr>
                <w:rFonts w:ascii="仿宋_GB2312" w:hAnsi="仿宋_GB2312" w:eastAsia="仿宋_GB2312" w:cs="仿宋_GB2312"/>
                <w:bCs/>
                <w:color w:val="auto"/>
                <w:sz w:val="24"/>
              </w:rPr>
              <w:t>3.质量保证期内免费提供维修服务（含人工费、配件费、差旅费等各项费用），所更换的所有零配件全部使用原厂配件；保修期以外一律按投标文件承诺的优惠价收费，提供终身上门维修服务。</w:t>
            </w:r>
          </w:p>
        </w:tc>
      </w:tr>
      <w:tr w14:paraId="3B41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gridSpan w:val="2"/>
            <w:noWrap w:val="0"/>
            <w:vAlign w:val="center"/>
          </w:tcPr>
          <w:p w14:paraId="30297B9A">
            <w:pPr>
              <w:spacing w:line="440" w:lineRule="exact"/>
              <w:jc w:val="left"/>
              <w:rPr>
                <w:rFonts w:hint="eastAsia" w:ascii="等线" w:hAnsi="等线" w:eastAsia="仿宋_GB2312" w:cs="Arial"/>
                <w:bCs/>
                <w:color w:val="auto"/>
                <w:sz w:val="24"/>
                <w:lang w:val="en-GB"/>
              </w:rPr>
            </w:pPr>
            <w:r>
              <w:rPr>
                <w:rFonts w:ascii="仿宋_GB2312" w:hAnsi="仿宋_GB2312" w:eastAsia="仿宋_GB2312" w:cs="仿宋_GB2312"/>
                <w:color w:val="auto"/>
                <w:sz w:val="24"/>
              </w:rPr>
              <w:t>交货时间及地点</w:t>
            </w:r>
          </w:p>
        </w:tc>
        <w:tc>
          <w:tcPr>
            <w:tcW w:w="7763" w:type="dxa"/>
            <w:noWrap w:val="0"/>
            <w:vAlign w:val="center"/>
          </w:tcPr>
          <w:p w14:paraId="3F43CAA4">
            <w:pPr>
              <w:spacing w:line="440" w:lineRule="exact"/>
              <w:jc w:val="left"/>
              <w:rPr>
                <w:rFonts w:hint="eastAsia" w:ascii="仿宋_GB2312" w:hAnsi="仿宋_GB2312" w:eastAsia="仿宋_GB2312" w:cs="仿宋_GB2312"/>
                <w:bCs/>
                <w:color w:val="auto"/>
                <w:sz w:val="24"/>
              </w:rPr>
            </w:pPr>
            <w:r>
              <w:rPr>
                <w:rFonts w:ascii="仿宋_GB2312" w:hAnsi="仿宋_GB2312" w:eastAsia="仿宋_GB2312" w:cs="仿宋_GB2312"/>
                <w:bCs/>
                <w:color w:val="auto"/>
                <w:sz w:val="24"/>
              </w:rPr>
              <w:t>1.交货时间：自签订合同之日起30日内安装完毕，验收合格并交付使用；2.交货地点：广西柳州市教学设备供应站指定的地点。</w:t>
            </w:r>
          </w:p>
        </w:tc>
      </w:tr>
      <w:tr w14:paraId="36B7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gridSpan w:val="2"/>
            <w:noWrap w:val="0"/>
            <w:vAlign w:val="center"/>
          </w:tcPr>
          <w:p w14:paraId="132E1625">
            <w:pPr>
              <w:spacing w:line="440" w:lineRule="exact"/>
              <w:jc w:val="left"/>
              <w:rPr>
                <w:rFonts w:hint="eastAsia" w:ascii="等线" w:hAnsi="等线" w:eastAsia="仿宋_GB2312" w:cs="Arial"/>
                <w:bCs/>
                <w:color w:val="auto"/>
                <w:sz w:val="24"/>
                <w:lang w:val="en-GB"/>
              </w:rPr>
            </w:pPr>
            <w:r>
              <w:rPr>
                <w:rFonts w:ascii="仿宋_GB2312" w:hAnsi="仿宋_GB2312" w:eastAsia="仿宋_GB2312" w:cs="仿宋_GB2312"/>
                <w:color w:val="auto"/>
                <w:sz w:val="24"/>
              </w:rPr>
              <w:t>付款方式</w:t>
            </w:r>
          </w:p>
        </w:tc>
        <w:tc>
          <w:tcPr>
            <w:tcW w:w="7763" w:type="dxa"/>
            <w:noWrap w:val="0"/>
            <w:vAlign w:val="center"/>
          </w:tcPr>
          <w:p w14:paraId="06354A8B">
            <w:pPr>
              <w:spacing w:line="440" w:lineRule="exact"/>
              <w:jc w:val="left"/>
              <w:rPr>
                <w:rFonts w:ascii="仿宋_GB2312" w:hAnsi="仿宋_GB2312" w:eastAsia="仿宋_GB2312" w:cs="仿宋_GB2312"/>
                <w:bCs/>
                <w:color w:val="auto"/>
                <w:sz w:val="24"/>
              </w:rPr>
            </w:pPr>
            <w:r>
              <w:rPr>
                <w:rFonts w:ascii="仿宋_GB2312" w:hAnsi="仿宋_GB2312" w:eastAsia="仿宋_GB2312" w:cs="仿宋_GB2312"/>
                <w:bCs/>
                <w:color w:val="auto"/>
                <w:sz w:val="24"/>
              </w:rPr>
              <w:t>财政性资金按财政国库集中支付规定程序办理。</w:t>
            </w:r>
            <w:r>
              <w:rPr>
                <w:rFonts w:hint="eastAsia" w:ascii="仿宋_GB2312" w:hAnsi="仿宋_GB2312" w:eastAsia="仿宋_GB2312" w:cs="仿宋_GB2312"/>
                <w:bCs/>
                <w:color w:val="auto"/>
                <w:sz w:val="24"/>
              </w:rPr>
              <w:t>本项目无预付款，货物全部到货完毕，货物验收合格之日起10个工作日内，支付合同价款的40%；全部安装完毕，项目整体交付使用并通过最终验收合格后10个工作日内支付合同价款的60%</w:t>
            </w:r>
            <w:r>
              <w:rPr>
                <w:rFonts w:hint="eastAsia" w:ascii="仿宋_GB2312" w:hAnsi="仿宋_GB2312" w:eastAsia="仿宋_GB2312" w:cs="仿宋_GB2312"/>
                <w:bCs/>
                <w:color w:val="auto"/>
                <w:sz w:val="24"/>
                <w:lang w:eastAsia="zh-CN"/>
              </w:rPr>
              <w:t>。</w:t>
            </w:r>
          </w:p>
          <w:p w14:paraId="23EEB3C6">
            <w:pPr>
              <w:spacing w:line="440" w:lineRule="exact"/>
              <w:jc w:val="left"/>
              <w:rPr>
                <w:rFonts w:hint="eastAsia" w:ascii="仿宋_GB2312" w:hAnsi="仿宋_GB2312" w:eastAsia="仿宋_GB2312" w:cs="仿宋_GB2312"/>
                <w:bCs/>
                <w:color w:val="auto"/>
                <w:sz w:val="24"/>
              </w:rPr>
            </w:pPr>
            <w:r>
              <w:rPr>
                <w:rFonts w:ascii="仿宋_GB2312" w:hAnsi="仿宋_GB2312" w:eastAsia="仿宋_GB2312" w:cs="仿宋_GB2312"/>
                <w:bCs/>
                <w:color w:val="auto"/>
                <w:sz w:val="24"/>
              </w:rPr>
              <w:t>注：资金支付等事项按照《保障中小企业款项支付条例》（国务院令第728号）、《运用政府采购政策支持柳州市中小微企业发展暂行办法》要求执行。</w:t>
            </w:r>
          </w:p>
        </w:tc>
      </w:tr>
      <w:tr w14:paraId="39D5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gridSpan w:val="2"/>
            <w:noWrap w:val="0"/>
            <w:vAlign w:val="center"/>
          </w:tcPr>
          <w:p w14:paraId="0CBA8E17">
            <w:pPr>
              <w:spacing w:line="440" w:lineRule="exact"/>
              <w:jc w:val="left"/>
              <w:rPr>
                <w:rFonts w:hint="eastAsia" w:ascii="等线" w:hAnsi="等线" w:eastAsia="仿宋_GB2312" w:cs="Arial"/>
                <w:bCs/>
                <w:color w:val="auto"/>
                <w:sz w:val="24"/>
                <w:lang w:val="en-GB"/>
              </w:rPr>
            </w:pPr>
            <w:r>
              <w:rPr>
                <w:rFonts w:ascii="仿宋_GB2312" w:hAnsi="仿宋_GB2312" w:eastAsia="仿宋_GB2312" w:cs="仿宋_GB2312"/>
                <w:color w:val="auto"/>
                <w:sz w:val="24"/>
              </w:rPr>
              <w:t>备品备件及耗材等要求</w:t>
            </w:r>
          </w:p>
        </w:tc>
        <w:tc>
          <w:tcPr>
            <w:tcW w:w="7763" w:type="dxa"/>
            <w:noWrap w:val="0"/>
            <w:vAlign w:val="center"/>
          </w:tcPr>
          <w:p w14:paraId="40306BF8">
            <w:pPr>
              <w:spacing w:line="440" w:lineRule="exact"/>
              <w:jc w:val="left"/>
              <w:rPr>
                <w:rFonts w:hint="eastAsia" w:ascii="仿宋_GB2312" w:hAnsi="仿宋_GB2312" w:eastAsia="仿宋_GB2312" w:cs="仿宋_GB2312"/>
                <w:bCs/>
                <w:color w:val="auto"/>
                <w:sz w:val="24"/>
              </w:rPr>
            </w:pPr>
            <w:r>
              <w:rPr>
                <w:rFonts w:ascii="仿宋_GB2312" w:hAnsi="仿宋_GB2312" w:eastAsia="仿宋_GB2312" w:cs="仿宋_GB2312"/>
                <w:bCs/>
                <w:color w:val="auto"/>
                <w:sz w:val="24"/>
              </w:rPr>
              <w:t>1.投标人所提供零部件、配件及安装材料必须是符合国家规定质量安全标准的全新、合格产品；该项费用应包含在报价中；
</w:t>
            </w:r>
            <w:r>
              <w:rPr>
                <w:rFonts w:ascii="仿宋_GB2312" w:hAnsi="仿宋_GB2312" w:eastAsia="仿宋_GB2312" w:cs="仿宋_GB2312"/>
                <w:bCs/>
                <w:color w:val="auto"/>
                <w:sz w:val="24"/>
              </w:rPr>
              <w:br w:type="textWrapping"/>
            </w:r>
            <w:r>
              <w:rPr>
                <w:rFonts w:ascii="仿宋_GB2312" w:hAnsi="仿宋_GB2312" w:eastAsia="仿宋_GB2312" w:cs="仿宋_GB2312"/>
                <w:bCs/>
                <w:color w:val="auto"/>
                <w:sz w:val="24"/>
              </w:rPr>
              <w:t>2.投标人所提供完整的全套设备须包括必备的易损耗备件和专用工具
</w:t>
            </w:r>
            <w:r>
              <w:rPr>
                <w:rFonts w:ascii="仿宋_GB2312" w:hAnsi="仿宋_GB2312" w:eastAsia="仿宋_GB2312" w:cs="仿宋_GB2312"/>
                <w:bCs/>
                <w:color w:val="auto"/>
                <w:sz w:val="24"/>
              </w:rPr>
              <w:br w:type="textWrapping"/>
            </w:r>
            <w:r>
              <w:rPr>
                <w:rFonts w:ascii="仿宋_GB2312" w:hAnsi="仿宋_GB2312" w:eastAsia="仿宋_GB2312" w:cs="仿宋_GB2312"/>
                <w:bCs/>
                <w:color w:val="auto"/>
                <w:sz w:val="24"/>
              </w:rPr>
              <w:t>3.投标人必须有完善的备品备件库体系，质保期内能提供相应的免费的措施和配件，保证过质保期后五年内有足够的备品备件，为完成本项目技术支持、服务需求提供可靠保证。</w:t>
            </w:r>
          </w:p>
        </w:tc>
      </w:tr>
      <w:tr w14:paraId="7B15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noWrap w:val="0"/>
            <w:vAlign w:val="center"/>
          </w:tcPr>
          <w:p w14:paraId="7BA71B1C">
            <w:pPr>
              <w:widowControl/>
              <w:spacing w:line="276" w:lineRule="auto"/>
              <w:jc w:val="left"/>
              <w:rPr>
                <w:rFonts w:ascii="仿宋_GB2312" w:eastAsia="仿宋_GB2312"/>
                <w:bCs/>
                <w:color w:val="auto"/>
                <w:sz w:val="24"/>
              </w:rPr>
            </w:pPr>
            <w:r>
              <w:rPr>
                <w:rFonts w:ascii="仿宋_GB2312" w:hAnsi="宋体" w:eastAsia="仿宋_GB2312" w:cs="宋体"/>
                <w:b/>
                <w:color w:val="auto"/>
                <w:kern w:val="0"/>
                <w:sz w:val="24"/>
              </w:rPr>
              <w:t>★</w:t>
            </w:r>
            <w:r>
              <w:rPr>
                <w:rFonts w:hint="eastAsia" w:ascii="仿宋_GB2312" w:hAnsi="宋体" w:eastAsia="仿宋_GB2312" w:cs="Arial"/>
                <w:b/>
                <w:bCs/>
                <w:color w:val="auto"/>
                <w:sz w:val="24"/>
              </w:rPr>
              <w:t>三、验收要求</w:t>
            </w:r>
          </w:p>
        </w:tc>
      </w:tr>
      <w:tr w14:paraId="5557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gridSpan w:val="2"/>
            <w:noWrap w:val="0"/>
            <w:vAlign w:val="center"/>
          </w:tcPr>
          <w:p w14:paraId="21B09FD5">
            <w:pPr>
              <w:snapToGrid w:val="0"/>
              <w:spacing w:line="400" w:lineRule="exact"/>
              <w:jc w:val="center"/>
              <w:rPr>
                <w:rFonts w:hint="eastAsia" w:ascii="等线" w:hAnsi="等线" w:eastAsia="仿宋_GB2312" w:cs="Arial"/>
                <w:bCs/>
                <w:color w:val="auto"/>
                <w:sz w:val="24"/>
                <w:lang w:val="en-GB"/>
              </w:rPr>
            </w:pPr>
            <w:r>
              <w:rPr>
                <w:rFonts w:ascii="仿宋_GB2312" w:hAnsi="仿宋_GB2312" w:eastAsia="仿宋_GB2312" w:cs="仿宋_GB2312"/>
                <w:bCs/>
                <w:color w:val="auto"/>
                <w:sz w:val="24"/>
                <w:szCs w:val="21"/>
              </w:rPr>
              <w:t>验收标准及要求</w:t>
            </w:r>
          </w:p>
        </w:tc>
        <w:tc>
          <w:tcPr>
            <w:tcW w:w="7763" w:type="dxa"/>
            <w:noWrap w:val="0"/>
            <w:vAlign w:val="center"/>
          </w:tcPr>
          <w:p w14:paraId="3C0ECD7D">
            <w:pPr>
              <w:spacing w:line="440" w:lineRule="exact"/>
              <w:jc w:val="left"/>
              <w:rPr>
                <w:rFonts w:hint="eastAsia" w:ascii="仿宋_GB2312" w:hAnsi="仿宋_GB2312" w:eastAsia="仿宋_GB2312" w:cs="仿宋_GB2312"/>
                <w:bCs/>
                <w:color w:val="auto"/>
                <w:sz w:val="24"/>
                <w:szCs w:val="21"/>
              </w:rPr>
            </w:pPr>
            <w:r>
              <w:rPr>
                <w:rFonts w:hint="eastAsia" w:ascii="仿宋_GB2312" w:hAnsi="等线" w:eastAsia="仿宋_GB2312" w:cs="Arial"/>
                <w:bCs/>
                <w:color w:val="auto"/>
                <w:sz w:val="24"/>
                <w:lang w:val="en-GB"/>
              </w:rPr>
              <w:t>1.签订合同后，在批量送货前，中标人提供标记“●”号的检测报告原件给采购人查验，采购人随机抽取1-3套产品进行破坏性拆解测量。此过程产生的一切费用由中标人承担。
</w:t>
            </w:r>
            <w:r>
              <w:rPr>
                <w:rFonts w:hint="eastAsia" w:ascii="仿宋_GB2312" w:hAnsi="等线" w:eastAsia="仿宋_GB2312" w:cs="Arial"/>
                <w:bCs/>
                <w:color w:val="auto"/>
                <w:sz w:val="24"/>
                <w:lang w:val="en-GB"/>
              </w:rPr>
              <w:br w:type="textWrapping"/>
            </w:r>
            <w:r>
              <w:rPr>
                <w:rFonts w:hint="eastAsia" w:ascii="仿宋_GB2312" w:hAnsi="等线" w:eastAsia="仿宋_GB2312" w:cs="Arial"/>
                <w:bCs/>
                <w:color w:val="auto"/>
                <w:sz w:val="24"/>
                <w:lang w:val="en-GB"/>
              </w:rPr>
              <w:t>2.国家强制性技术标准及有关规定；
</w:t>
            </w:r>
            <w:r>
              <w:rPr>
                <w:rFonts w:hint="eastAsia" w:ascii="仿宋_GB2312" w:hAnsi="等线" w:eastAsia="仿宋_GB2312" w:cs="Arial"/>
                <w:bCs/>
                <w:color w:val="auto"/>
                <w:sz w:val="24"/>
                <w:lang w:val="en-GB"/>
              </w:rPr>
              <w:br w:type="textWrapping"/>
            </w:r>
            <w:r>
              <w:rPr>
                <w:rFonts w:hint="eastAsia" w:ascii="仿宋_GB2312" w:hAnsi="等线" w:eastAsia="仿宋_GB2312" w:cs="Arial"/>
                <w:bCs/>
                <w:color w:val="auto"/>
                <w:sz w:val="24"/>
                <w:lang w:val="en-GB"/>
              </w:rPr>
              <w:t>3.交货验收时，采购人根据《广西壮族自治区政府采购项目履约验收管理办法》的规定，由采购人及中标人双方共同进行验收。必要时可委托国家认可的质量检测机构开展采购项目验收工作；
</w:t>
            </w:r>
            <w:r>
              <w:rPr>
                <w:rFonts w:hint="eastAsia" w:ascii="仿宋_GB2312" w:hAnsi="等线" w:eastAsia="仿宋_GB2312" w:cs="Arial"/>
                <w:bCs/>
                <w:color w:val="auto"/>
                <w:sz w:val="24"/>
                <w:lang w:val="en-GB"/>
              </w:rPr>
              <w:br w:type="textWrapping"/>
            </w:r>
            <w:r>
              <w:rPr>
                <w:rFonts w:hint="eastAsia" w:ascii="仿宋_GB2312" w:hAnsi="等线" w:eastAsia="仿宋_GB2312" w:cs="Arial"/>
                <w:bCs/>
                <w:color w:val="auto"/>
                <w:sz w:val="24"/>
                <w:lang w:val="en-GB"/>
              </w:rPr>
              <w:t>4.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hint="eastAsia" w:ascii="仿宋_GB2312" w:hAnsi="等线" w:eastAsia="仿宋_GB2312" w:cs="Arial"/>
                <w:bCs/>
                <w:color w:val="auto"/>
                <w:sz w:val="24"/>
                <w:lang w:val="en-GB"/>
              </w:rPr>
              <w:br w:type="textWrapping"/>
            </w:r>
            <w:r>
              <w:rPr>
                <w:rFonts w:hint="eastAsia" w:ascii="仿宋_GB2312" w:hAnsi="等线" w:eastAsia="仿宋_GB2312" w:cs="Arial"/>
                <w:bCs/>
                <w:color w:val="auto"/>
                <w:sz w:val="24"/>
                <w:lang w:val="en-GB"/>
              </w:rPr>
              <w:t>5.验收费用：验收所产生的检验费及相关的全部费用均由中标人承担。</w:t>
            </w:r>
          </w:p>
        </w:tc>
      </w:tr>
      <w:tr w14:paraId="03B8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noWrap w:val="0"/>
            <w:vAlign w:val="center"/>
          </w:tcPr>
          <w:p w14:paraId="48AB5DC7">
            <w:pPr>
              <w:widowControl/>
              <w:snapToGrid w:val="0"/>
              <w:spacing w:before="120" w:after="120" w:line="440" w:lineRule="exact"/>
              <w:jc w:val="left"/>
              <w:rPr>
                <w:rFonts w:hint="eastAsia" w:ascii="仿宋_GB2312" w:hAnsi="宋体" w:eastAsia="仿宋_GB2312" w:cs="宋体"/>
                <w:bCs/>
                <w:color w:val="auto"/>
                <w:sz w:val="24"/>
              </w:rPr>
            </w:pPr>
            <w:r>
              <w:rPr>
                <w:rFonts w:hint="eastAsia" w:ascii="仿宋_GB2312" w:hAnsi="宋体" w:eastAsia="仿宋_GB2312" w:cs="Arial"/>
                <w:b/>
                <w:bCs/>
                <w:color w:val="auto"/>
                <w:sz w:val="24"/>
              </w:rPr>
              <w:t>四、资信要求</w:t>
            </w:r>
          </w:p>
        </w:tc>
      </w:tr>
      <w:tr w14:paraId="5D9E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gridSpan w:val="2"/>
            <w:noWrap w:val="0"/>
            <w:vAlign w:val="center"/>
          </w:tcPr>
          <w:p w14:paraId="0F94D572">
            <w:pPr>
              <w:snapToGrid w:val="0"/>
              <w:spacing w:line="400" w:lineRule="exact"/>
              <w:jc w:val="center"/>
              <w:rPr>
                <w:rFonts w:hint="eastAsia" w:ascii="仿宋_GB2312" w:hAnsi="宋体" w:eastAsia="仿宋_GB2312" w:cs="Arial"/>
                <w:bCs/>
                <w:color w:val="auto"/>
                <w:sz w:val="24"/>
              </w:rPr>
            </w:pPr>
            <w:r>
              <w:rPr>
                <w:rFonts w:ascii="仿宋_GB2312" w:hAnsi="仿宋_GB2312" w:eastAsia="仿宋_GB2312" w:cs="仿宋_GB2312"/>
                <w:bCs/>
                <w:color w:val="auto"/>
                <w:sz w:val="24"/>
                <w:szCs w:val="21"/>
              </w:rPr>
              <w:t>★政策性资格要求</w:t>
            </w:r>
          </w:p>
        </w:tc>
        <w:tc>
          <w:tcPr>
            <w:tcW w:w="7763" w:type="dxa"/>
            <w:noWrap w:val="0"/>
            <w:vAlign w:val="center"/>
          </w:tcPr>
          <w:p w14:paraId="5DF26402">
            <w:pPr>
              <w:pStyle w:val="653"/>
              <w:spacing w:before="0" w:beforeAutospacing="0" w:after="0" w:afterAutospacing="0" w:line="460" w:lineRule="atLeast"/>
              <w:rPr>
                <w:rFonts w:ascii="仿宋_GB2312" w:eastAsia="仿宋_GB2312"/>
                <w:color w:val="auto"/>
              </w:rPr>
            </w:pPr>
            <w:r>
              <w:rPr>
                <w:rStyle w:val="245"/>
                <w:rFonts w:hint="eastAsia" w:ascii="仿宋_GB2312" w:eastAsia="仿宋_GB2312"/>
                <w:color w:val="auto"/>
              </w:rPr>
              <w:t>1.根据《政府采购促进中小企业发展管理办法》（财库〔2020〕46号），本项目属于专门面向中小企业采购的项目，</w:t>
            </w:r>
            <w:r>
              <w:rPr>
                <w:rFonts w:hint="eastAsia" w:ascii="仿宋_GB2312" w:eastAsia="仿宋_GB2312"/>
                <w:color w:val="auto"/>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4EF2D6EF">
            <w:pPr>
              <w:pStyle w:val="653"/>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2.中小企业须符合本项目采购标的所属行业对应的中小企业划分标准：</w:t>
            </w:r>
          </w:p>
          <w:p w14:paraId="27AA6995">
            <w:pPr>
              <w:pStyle w:val="653"/>
              <w:spacing w:before="0" w:beforeAutospacing="0" w:after="0" w:afterAutospacing="0" w:line="460" w:lineRule="atLeast"/>
              <w:rPr>
                <w:rFonts w:hint="eastAsia" w:ascii="仿宋_GB2312" w:eastAsia="仿宋_GB2312"/>
                <w:color w:val="auto"/>
              </w:rPr>
            </w:pPr>
            <w:r>
              <w:rPr>
                <w:rStyle w:val="245"/>
                <w:rFonts w:hint="eastAsia" w:ascii="仿宋_GB2312" w:eastAsia="仿宋_GB2312"/>
                <w:color w:val="auto"/>
              </w:rPr>
              <w:t>（1）采购标的对应的中小企业划分标准所属行业：</w:t>
            </w:r>
            <w:r>
              <w:rPr>
                <w:rStyle w:val="245"/>
                <w:rFonts w:hint="eastAsia" w:ascii="仿宋_GB2312" w:eastAsia="仿宋_GB2312"/>
                <w:color w:val="auto"/>
                <w:u w:val="single"/>
              </w:rPr>
              <w:t>工业</w:t>
            </w:r>
            <w:r>
              <w:rPr>
                <w:rStyle w:val="245"/>
                <w:rFonts w:hint="eastAsia" w:ascii="仿宋_GB2312" w:eastAsia="仿宋_GB2312"/>
                <w:color w:val="auto"/>
              </w:rPr>
              <w:t>。</w:t>
            </w:r>
          </w:p>
          <w:p w14:paraId="55773368">
            <w:pPr>
              <w:pStyle w:val="653"/>
              <w:spacing w:before="0" w:beforeAutospacing="0" w:after="0" w:afterAutospacing="0" w:line="460" w:lineRule="atLeast"/>
              <w:rPr>
                <w:rFonts w:hint="eastAsia" w:ascii="仿宋_GB2312" w:eastAsia="仿宋_GB2312"/>
                <w:color w:val="auto"/>
              </w:rPr>
            </w:pPr>
            <w:r>
              <w:rPr>
                <w:rStyle w:val="245"/>
                <w:rFonts w:hint="eastAsia" w:ascii="仿宋_GB2312" w:eastAsia="仿宋_GB2312"/>
                <w:color w:val="auto"/>
              </w:rPr>
              <w:t>（2）中小企业划分有关标准根据工信部等部委发布的《关于印发中小企业划型标准规定的通知》（工信部联企业〔2011〕300号）确定；</w:t>
            </w:r>
          </w:p>
          <w:p w14:paraId="77D34150">
            <w:pPr>
              <w:pStyle w:val="653"/>
              <w:spacing w:before="0" w:beforeAutospacing="0" w:after="0" w:afterAutospacing="0" w:line="460" w:lineRule="atLeast"/>
              <w:rPr>
                <w:rFonts w:hint="eastAsia" w:ascii="仿宋_GB2312" w:eastAsia="仿宋_GB2312"/>
                <w:color w:val="auto"/>
              </w:rPr>
            </w:pPr>
            <w:r>
              <w:rPr>
                <w:rStyle w:val="245"/>
                <w:rFonts w:hint="eastAsia" w:ascii="仿宋_GB2312" w:eastAsia="仿宋_GB2312"/>
                <w:color w:val="auto"/>
              </w:rPr>
              <w:t>（3）为方便投标人识别企业规模类型，投标人可使用工业和信息化部组织开发的中小企业规模类型自测小程序生成企业规模类型测试结果。自测小程序链接：https://baosong.miit.gov.cn/ScaleTest</w:t>
            </w:r>
          </w:p>
        </w:tc>
      </w:tr>
      <w:tr w14:paraId="33A9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gridSpan w:val="2"/>
            <w:noWrap w:val="0"/>
            <w:vAlign w:val="center"/>
          </w:tcPr>
          <w:p w14:paraId="58553E88">
            <w:pPr>
              <w:snapToGrid w:val="0"/>
              <w:spacing w:line="400" w:lineRule="exact"/>
              <w:jc w:val="center"/>
              <w:rPr>
                <w:rFonts w:hint="eastAsia" w:ascii="仿宋_GB2312" w:hAnsi="宋体" w:eastAsia="仿宋_GB2312" w:cs="Arial"/>
                <w:bCs/>
                <w:color w:val="auto"/>
                <w:sz w:val="24"/>
              </w:rPr>
            </w:pPr>
            <w:r>
              <w:rPr>
                <w:rFonts w:ascii="仿宋_GB2312" w:hAnsi="仿宋_GB2312" w:eastAsia="仿宋_GB2312" w:cs="仿宋_GB2312"/>
                <w:bCs/>
                <w:color w:val="auto"/>
                <w:sz w:val="24"/>
                <w:szCs w:val="21"/>
              </w:rPr>
              <w:t xml:space="preserve">质量管理、企业信用要求（如有） </w:t>
            </w:r>
          </w:p>
        </w:tc>
        <w:tc>
          <w:tcPr>
            <w:tcW w:w="7763" w:type="dxa"/>
            <w:noWrap w:val="0"/>
            <w:vAlign w:val="center"/>
          </w:tcPr>
          <w:p w14:paraId="2507978C">
            <w:pPr>
              <w:pStyle w:val="698"/>
              <w:spacing w:before="0" w:beforeAutospacing="0" w:after="0" w:afterAutospacing="0" w:line="460" w:lineRule="atLeast"/>
              <w:rPr>
                <w:rFonts w:ascii="仿宋_GB2312" w:eastAsia="仿宋_GB2312"/>
                <w:color w:val="auto"/>
              </w:rPr>
            </w:pPr>
            <w:r>
              <w:rPr>
                <w:rFonts w:hint="eastAsia" w:ascii="仿宋_GB2312" w:eastAsia="仿宋_GB2312"/>
                <w:color w:val="auto"/>
              </w:rPr>
              <w:t>1.投标人或投标产品生产厂家具备有效的质量管理体系认证证书；</w:t>
            </w:r>
          </w:p>
          <w:p w14:paraId="4F3FE4B2">
            <w:pPr>
              <w:pStyle w:val="698"/>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2.投标人或投标产品生产厂家具备有效的职业健康安全管理体系认证证书；</w:t>
            </w:r>
          </w:p>
          <w:p w14:paraId="03EF1976">
            <w:pPr>
              <w:pStyle w:val="698"/>
              <w:spacing w:before="0" w:beforeAutospacing="0" w:after="0" w:afterAutospacing="0" w:line="460" w:lineRule="atLeast"/>
              <w:rPr>
                <w:rFonts w:hint="eastAsia" w:ascii="仿宋_GB2312" w:eastAsia="仿宋_GB2312"/>
                <w:color w:val="auto"/>
                <w:lang w:eastAsia="zh-CN"/>
              </w:rPr>
            </w:pPr>
            <w:r>
              <w:rPr>
                <w:rFonts w:hint="eastAsia" w:ascii="仿宋_GB2312" w:eastAsia="仿宋_GB2312"/>
                <w:color w:val="auto"/>
              </w:rPr>
              <w:t>3.投标人或投标产品生产厂家具备有效的环境管理体系认证证书</w:t>
            </w:r>
            <w:r>
              <w:rPr>
                <w:rFonts w:hint="eastAsia" w:ascii="仿宋_GB2312" w:eastAsia="仿宋_GB2312"/>
                <w:color w:val="auto"/>
                <w:lang w:eastAsia="zh-CN"/>
              </w:rPr>
              <w:t>。</w:t>
            </w:r>
          </w:p>
        </w:tc>
      </w:tr>
      <w:tr w14:paraId="1362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gridSpan w:val="2"/>
            <w:noWrap w:val="0"/>
            <w:vAlign w:val="center"/>
          </w:tcPr>
          <w:p w14:paraId="0BA6FC5F">
            <w:pPr>
              <w:snapToGrid w:val="0"/>
              <w:spacing w:line="400" w:lineRule="exact"/>
              <w:jc w:val="center"/>
              <w:rPr>
                <w:rFonts w:hint="eastAsia" w:ascii="仿宋_GB2312" w:hAnsi="宋体" w:eastAsia="仿宋_GB2312" w:cs="Arial"/>
                <w:bCs/>
                <w:color w:val="auto"/>
                <w:sz w:val="24"/>
              </w:rPr>
            </w:pPr>
            <w:r>
              <w:rPr>
                <w:rFonts w:ascii="仿宋_GB2312" w:hAnsi="仿宋_GB2312" w:eastAsia="仿宋_GB2312" w:cs="仿宋_GB2312"/>
                <w:bCs/>
                <w:color w:val="auto"/>
                <w:sz w:val="24"/>
                <w:szCs w:val="21"/>
              </w:rPr>
              <w:t>政策性加分条件（如有）</w:t>
            </w:r>
          </w:p>
        </w:tc>
        <w:tc>
          <w:tcPr>
            <w:tcW w:w="7763" w:type="dxa"/>
            <w:noWrap w:val="0"/>
            <w:vAlign w:val="center"/>
          </w:tcPr>
          <w:p w14:paraId="151E5021">
            <w:pPr>
              <w:pStyle w:val="705"/>
              <w:numPr>
                <w:ilvl w:val="0"/>
                <w:numId w:val="0"/>
              </w:numPr>
              <w:spacing w:before="0" w:beforeAutospacing="0" w:after="0" w:afterAutospacing="0" w:line="460" w:lineRule="atLeast"/>
              <w:rPr>
                <w:rFonts w:hint="eastAsia" w:ascii="仿宋_GB2312" w:eastAsia="仿宋_GB2312"/>
                <w:color w:val="auto"/>
                <w:sz w:val="24"/>
                <w:highlight w:val="none"/>
                <w:lang w:val="zh-CN"/>
              </w:rPr>
            </w:pPr>
            <w:r>
              <w:rPr>
                <w:rFonts w:hint="eastAsia" w:ascii="仿宋_GB2312" w:hAnsi="宋体" w:eastAsia="仿宋_GB2312" w:cs="宋体"/>
                <w:color w:val="auto"/>
                <w:sz w:val="24"/>
                <w:szCs w:val="24"/>
                <w:lang w:val="zh-CN" w:eastAsia="zh-CN" w:bidi="ar-SA"/>
              </w:rPr>
              <w:t>1.</w:t>
            </w:r>
            <w:r>
              <w:rPr>
                <w:rFonts w:hint="eastAsia" w:ascii="仿宋_GB2312" w:eastAsia="仿宋_GB2312"/>
                <w:color w:val="auto"/>
                <w:sz w:val="24"/>
                <w:highlight w:val="none"/>
              </w:rPr>
              <w:t>《财政部 发展改革委 生态环境部 市场监管总局</w:t>
            </w:r>
            <w:r>
              <w:rPr>
                <w:rFonts w:hint="eastAsia" w:ascii="仿宋_GB2312" w:eastAsia="仿宋_GB2312"/>
                <w:color w:val="auto"/>
                <w:sz w:val="24"/>
                <w:highlight w:val="none"/>
                <w:lang w:val="zh-CN"/>
              </w:rPr>
              <w:t>关于调整优化节能产品、环境标志产品政府采购执行机制的通知》（财库〔2019〕9号）：对政府采购节能产品、环境标志产品实施品目清单管理，依据品目清单和认证证书实施政府优先采购和强制采购；</w:t>
            </w:r>
          </w:p>
          <w:p w14:paraId="52B65B38">
            <w:pPr>
              <w:pStyle w:val="705"/>
              <w:numPr>
                <w:ilvl w:val="0"/>
                <w:numId w:val="0"/>
              </w:numPr>
              <w:spacing w:before="0" w:beforeAutospacing="0" w:after="0" w:afterAutospacing="0" w:line="460" w:lineRule="atLeast"/>
              <w:rPr>
                <w:rFonts w:ascii="仿宋_GB2312" w:eastAsia="仿宋_GB2312"/>
                <w:color w:val="auto"/>
              </w:rPr>
            </w:pPr>
            <w:r>
              <w:rPr>
                <w:rFonts w:hint="eastAsia" w:ascii="仿宋_GB2312" w:eastAsia="仿宋_GB2312"/>
                <w:color w:val="auto"/>
                <w:lang w:val="en-US" w:eastAsia="zh-CN"/>
              </w:rPr>
              <w:t>2.</w:t>
            </w:r>
            <w:r>
              <w:rPr>
                <w:rFonts w:hint="eastAsia" w:ascii="仿宋_GB2312" w:eastAsia="仿宋_GB2312"/>
                <w:color w:val="auto"/>
              </w:rPr>
              <w:t>财政部 生态环境部《关于印发环境标志产品政府采购品目清单的通知》（财库〔2019〕18号）。</w:t>
            </w:r>
          </w:p>
        </w:tc>
      </w:tr>
      <w:tr w14:paraId="5E96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noWrap w:val="0"/>
            <w:vAlign w:val="center"/>
          </w:tcPr>
          <w:p w14:paraId="59D67AD8">
            <w:pPr>
              <w:snapToGrid w:val="0"/>
              <w:spacing w:line="440" w:lineRule="exact"/>
              <w:rPr>
                <w:rFonts w:ascii="仿宋_GB2312" w:hAnsi="Courier New" w:eastAsia="仿宋_GB2312" w:cs="Courier New"/>
                <w:bCs/>
                <w:color w:val="auto"/>
                <w:kern w:val="0"/>
                <w:sz w:val="24"/>
                <w:szCs w:val="21"/>
              </w:rPr>
            </w:pPr>
            <w:r>
              <w:rPr>
                <w:rFonts w:hint="eastAsia" w:ascii="仿宋_GB2312" w:hAnsi="宋体" w:eastAsia="仿宋_GB2312" w:cs="Courier New"/>
                <w:b/>
                <w:bCs/>
                <w:color w:val="auto"/>
                <w:kern w:val="0"/>
                <w:sz w:val="24"/>
                <w:szCs w:val="21"/>
              </w:rPr>
              <w:t>五、其他要求</w:t>
            </w:r>
          </w:p>
        </w:tc>
      </w:tr>
      <w:tr w14:paraId="7136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481" w:type="dxa"/>
            <w:noWrap w:val="0"/>
            <w:vAlign w:val="center"/>
          </w:tcPr>
          <w:p w14:paraId="2813C774">
            <w:pPr>
              <w:jc w:val="center"/>
              <w:rPr>
                <w:rFonts w:hint="eastAsia" w:ascii="仿宋_GB2312" w:hAnsi="宋体" w:eastAsia="仿宋_GB2312"/>
                <w:color w:val="auto"/>
                <w:sz w:val="24"/>
              </w:rPr>
            </w:pPr>
            <w:r>
              <w:rPr>
                <w:rFonts w:ascii="仿宋_GB2312" w:hAnsi="宋体" w:eastAsia="仿宋_GB2312" w:cs="宋体"/>
                <w:bCs/>
                <w:color w:val="auto"/>
                <w:sz w:val="24"/>
              </w:rPr>
              <w:t>无</w:t>
            </w:r>
          </w:p>
        </w:tc>
        <w:tc>
          <w:tcPr>
            <w:tcW w:w="7823" w:type="dxa"/>
            <w:gridSpan w:val="2"/>
            <w:noWrap w:val="0"/>
            <w:vAlign w:val="center"/>
          </w:tcPr>
          <w:p w14:paraId="35802E41">
            <w:pPr>
              <w:snapToGrid w:val="0"/>
              <w:spacing w:line="440" w:lineRule="exact"/>
              <w:jc w:val="left"/>
              <w:rPr>
                <w:rFonts w:ascii="仿宋_GB2312" w:eastAsia="仿宋_GB2312"/>
                <w:bCs/>
                <w:color w:val="auto"/>
                <w:kern w:val="0"/>
                <w:sz w:val="24"/>
              </w:rPr>
            </w:pPr>
            <w:r>
              <w:rPr>
                <w:rFonts w:ascii="仿宋_GB2312" w:eastAsia="仿宋_GB2312"/>
                <w:bCs/>
                <w:color w:val="auto"/>
                <w:kern w:val="0"/>
                <w:sz w:val="24"/>
              </w:rPr>
              <w:t xml:space="preserve"> </w:t>
            </w:r>
          </w:p>
        </w:tc>
      </w:tr>
    </w:tbl>
    <w:p w14:paraId="127C0CB0">
      <w:pPr>
        <w:spacing w:line="360" w:lineRule="auto"/>
        <w:rPr>
          <w:rFonts w:hint="eastAsia" w:ascii="仿宋_GB2312" w:hAnsi="宋体" w:eastAsia="仿宋_GB2312"/>
          <w:color w:val="auto"/>
          <w:sz w:val="24"/>
        </w:rPr>
      </w:pPr>
    </w:p>
    <w:p w14:paraId="14D80B25">
      <w:pPr>
        <w:rPr>
          <w:color w:val="auto"/>
        </w:rPr>
        <w:sectPr>
          <w:pgSz w:w="11906" w:h="16838"/>
          <w:pgMar w:top="1440" w:right="1440" w:bottom="1440" w:left="1440" w:header="851" w:footer="992" w:gutter="0"/>
          <w:cols w:space="720" w:num="1"/>
          <w:docGrid w:linePitch="312" w:charSpace="0"/>
        </w:sectPr>
      </w:pPr>
    </w:p>
    <w:p w14:paraId="4D7BFD62">
      <w:pPr>
        <w:pStyle w:val="3"/>
        <w:spacing w:line="276" w:lineRule="auto"/>
        <w:jc w:val="center"/>
        <w:rPr>
          <w:color w:val="auto"/>
          <w:sz w:val="32"/>
          <w:szCs w:val="32"/>
        </w:rPr>
      </w:pPr>
      <w:bookmarkStart w:id="37" w:name="_Toc29711"/>
      <w:r>
        <w:rPr>
          <w:rFonts w:hint="eastAsia"/>
          <w:color w:val="auto"/>
          <w:sz w:val="32"/>
          <w:szCs w:val="32"/>
        </w:rPr>
        <w:t>第三章 投标人须知</w:t>
      </w:r>
      <w:bookmarkEnd w:id="37"/>
    </w:p>
    <w:p w14:paraId="5F01DFDA">
      <w:pPr>
        <w:spacing w:line="276" w:lineRule="auto"/>
        <w:jc w:val="center"/>
        <w:rPr>
          <w:rFonts w:ascii="仿宋_GB2312" w:eastAsia="仿宋_GB2312"/>
          <w:b/>
          <w:color w:val="auto"/>
          <w:sz w:val="28"/>
          <w:szCs w:val="28"/>
        </w:rPr>
      </w:pPr>
      <w:r>
        <w:rPr>
          <w:rFonts w:hint="eastAsia" w:ascii="仿宋_GB2312" w:eastAsia="仿宋_GB2312"/>
          <w:b/>
          <w:color w:val="auto"/>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32B99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14:paraId="5A14EF78">
            <w:pPr>
              <w:spacing w:line="400" w:lineRule="exact"/>
              <w:jc w:val="center"/>
              <w:rPr>
                <w:rFonts w:ascii="仿宋_GB2312" w:eastAsia="仿宋_GB2312"/>
                <w:b/>
                <w:color w:val="auto"/>
                <w:sz w:val="24"/>
              </w:rPr>
            </w:pPr>
            <w:r>
              <w:rPr>
                <w:rFonts w:hint="eastAsia" w:ascii="仿宋_GB2312" w:eastAsia="仿宋_GB2312"/>
                <w:b/>
                <w:color w:val="auto"/>
                <w:sz w:val="24"/>
              </w:rPr>
              <w:t>序号</w:t>
            </w:r>
          </w:p>
        </w:tc>
        <w:tc>
          <w:tcPr>
            <w:tcW w:w="8232" w:type="dxa"/>
            <w:noWrap w:val="0"/>
            <w:vAlign w:val="top"/>
          </w:tcPr>
          <w:p w14:paraId="3130F711">
            <w:pPr>
              <w:spacing w:line="400" w:lineRule="exact"/>
              <w:jc w:val="center"/>
              <w:rPr>
                <w:rFonts w:ascii="仿宋_GB2312" w:eastAsia="仿宋_GB2312"/>
                <w:b/>
                <w:color w:val="auto"/>
                <w:sz w:val="24"/>
              </w:rPr>
            </w:pPr>
            <w:r>
              <w:rPr>
                <w:rFonts w:hint="eastAsia" w:ascii="仿宋_GB2312" w:eastAsia="仿宋_GB2312"/>
                <w:b/>
                <w:color w:val="auto"/>
                <w:sz w:val="24"/>
              </w:rPr>
              <w:t>内    容</w:t>
            </w:r>
          </w:p>
        </w:tc>
      </w:tr>
      <w:tr w14:paraId="5B8BB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4CC2FCCB">
            <w:pPr>
              <w:spacing w:line="400" w:lineRule="exact"/>
              <w:jc w:val="center"/>
              <w:rPr>
                <w:rFonts w:ascii="仿宋_GB2312" w:eastAsia="仿宋_GB2312"/>
                <w:color w:val="auto"/>
                <w:sz w:val="24"/>
              </w:rPr>
            </w:pPr>
            <w:r>
              <w:rPr>
                <w:rFonts w:hint="eastAsia" w:ascii="仿宋_GB2312" w:eastAsia="仿宋_GB2312"/>
                <w:color w:val="auto"/>
                <w:sz w:val="24"/>
              </w:rPr>
              <w:t>1</w:t>
            </w:r>
          </w:p>
        </w:tc>
        <w:tc>
          <w:tcPr>
            <w:tcW w:w="8232" w:type="dxa"/>
            <w:noWrap w:val="0"/>
            <w:vAlign w:val="center"/>
          </w:tcPr>
          <w:p w14:paraId="56932B52">
            <w:pPr>
              <w:spacing w:line="400" w:lineRule="exact"/>
              <w:rPr>
                <w:rFonts w:ascii="仿宋_GB2312" w:eastAsia="仿宋_GB2312"/>
                <w:color w:val="auto"/>
                <w:sz w:val="24"/>
              </w:rPr>
            </w:pPr>
            <w:r>
              <w:rPr>
                <w:rFonts w:hint="eastAsia" w:ascii="仿宋_GB2312" w:eastAsia="仿宋_GB2312"/>
                <w:color w:val="auto"/>
                <w:sz w:val="24"/>
              </w:rPr>
              <w:t>项目名称：</w:t>
            </w:r>
            <w:r>
              <w:rPr>
                <w:rFonts w:ascii="仿宋_GB2312" w:hAnsi="宋体" w:eastAsia="仿宋_GB2312"/>
                <w:color w:val="auto"/>
                <w:sz w:val="24"/>
              </w:rPr>
              <w:t>课桌椅设备采购</w:t>
            </w:r>
          </w:p>
          <w:p w14:paraId="0EB73306">
            <w:pPr>
              <w:spacing w:line="400" w:lineRule="exact"/>
              <w:rPr>
                <w:rFonts w:hint="eastAsia" w:ascii="仿宋_GB2312" w:eastAsia="仿宋_GB2312"/>
                <w:color w:val="auto"/>
                <w:sz w:val="24"/>
                <w:lang w:eastAsia="zh-CN"/>
              </w:rPr>
            </w:pPr>
            <w:r>
              <w:rPr>
                <w:rFonts w:hint="eastAsia" w:ascii="仿宋_GB2312" w:eastAsia="仿宋_GB2312"/>
                <w:color w:val="auto"/>
                <w:sz w:val="24"/>
              </w:rPr>
              <w:t>项目编号：</w:t>
            </w:r>
            <w:r>
              <w:rPr>
                <w:rFonts w:hint="eastAsia" w:ascii="仿宋_GB2312" w:hAnsi="宋体" w:eastAsia="仿宋_GB2312"/>
                <w:color w:val="auto"/>
                <w:sz w:val="24"/>
                <w:lang w:eastAsia="zh-CN"/>
              </w:rPr>
              <w:t>LZZC2025-G1-990307-LZSZ</w:t>
            </w:r>
          </w:p>
        </w:tc>
      </w:tr>
      <w:tr w14:paraId="5CD90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5FE114FD">
            <w:pPr>
              <w:spacing w:line="400" w:lineRule="exact"/>
              <w:jc w:val="center"/>
              <w:rPr>
                <w:rFonts w:ascii="仿宋_GB2312" w:eastAsia="仿宋_GB2312"/>
                <w:color w:val="auto"/>
                <w:sz w:val="24"/>
              </w:rPr>
            </w:pPr>
            <w:r>
              <w:rPr>
                <w:rFonts w:ascii="仿宋_GB2312" w:eastAsia="仿宋_GB2312"/>
                <w:color w:val="auto"/>
                <w:sz w:val="24"/>
              </w:rPr>
              <w:t>2</w:t>
            </w:r>
          </w:p>
        </w:tc>
        <w:tc>
          <w:tcPr>
            <w:tcW w:w="8232" w:type="dxa"/>
            <w:noWrap w:val="0"/>
            <w:vAlign w:val="top"/>
          </w:tcPr>
          <w:p w14:paraId="07807216">
            <w:pPr>
              <w:autoSpaceDE w:val="0"/>
              <w:autoSpaceDN w:val="0"/>
              <w:spacing w:line="400" w:lineRule="exact"/>
              <w:textAlignment w:val="bottom"/>
              <w:rPr>
                <w:rFonts w:ascii="仿宋_GB2312" w:eastAsia="仿宋_GB2312"/>
                <w:color w:val="auto"/>
                <w:sz w:val="24"/>
              </w:rPr>
            </w:pPr>
            <w:r>
              <w:rPr>
                <w:rFonts w:hint="eastAsia" w:ascii="仿宋_GB2312" w:eastAsia="仿宋_GB2312"/>
                <w:color w:val="auto"/>
                <w:sz w:val="24"/>
              </w:rPr>
              <w:t>采购资金来源：财政性资金</w:t>
            </w:r>
          </w:p>
          <w:p w14:paraId="521878F7">
            <w:pPr>
              <w:autoSpaceDE w:val="0"/>
              <w:autoSpaceDN w:val="0"/>
              <w:spacing w:line="400" w:lineRule="exact"/>
              <w:textAlignment w:val="bottom"/>
              <w:rPr>
                <w:rFonts w:hint="default" w:ascii="仿宋_GB2312" w:eastAsia="仿宋_GB2312"/>
                <w:color w:val="auto"/>
                <w:sz w:val="24"/>
                <w:lang w:val="en-US" w:eastAsia="zh-CN"/>
              </w:rPr>
            </w:pPr>
            <w:r>
              <w:rPr>
                <w:rFonts w:hint="eastAsia" w:ascii="仿宋_GB2312" w:eastAsia="仿宋_GB2312"/>
                <w:color w:val="auto"/>
                <w:sz w:val="24"/>
              </w:rPr>
              <w:t>预算金额（人民币）：</w:t>
            </w:r>
            <w:r>
              <w:rPr>
                <w:rFonts w:hint="eastAsia" w:ascii="仿宋_GB2312" w:eastAsia="仿宋_GB2312"/>
                <w:color w:val="auto"/>
                <w:sz w:val="24"/>
                <w:lang w:val="en-US" w:eastAsia="zh-CN"/>
              </w:rPr>
              <w:t>柒佰壹拾贰万捌仟元整</w:t>
            </w:r>
            <w:r>
              <w:rPr>
                <w:rFonts w:hint="eastAsia" w:ascii="仿宋_GB2312" w:hAnsi="宋体" w:eastAsia="仿宋_GB2312"/>
                <w:color w:val="auto"/>
                <w:sz w:val="24"/>
              </w:rPr>
              <w:t>（¥</w:t>
            </w:r>
            <w:r>
              <w:rPr>
                <w:rFonts w:hint="eastAsia" w:ascii="仿宋_GB2312" w:eastAsia="仿宋_GB2312"/>
                <w:color w:val="auto"/>
                <w:sz w:val="24"/>
              </w:rPr>
              <w:t>7</w:t>
            </w:r>
            <w:r>
              <w:rPr>
                <w:rFonts w:hint="eastAsia" w:ascii="仿宋_GB2312" w:hAnsi="宋体" w:eastAsia="仿宋_GB2312"/>
                <w:color w:val="auto"/>
                <w:sz w:val="24"/>
              </w:rPr>
              <w:t>,</w:t>
            </w:r>
            <w:r>
              <w:rPr>
                <w:rFonts w:hint="eastAsia" w:ascii="仿宋_GB2312" w:eastAsia="仿宋_GB2312"/>
                <w:color w:val="auto"/>
                <w:sz w:val="24"/>
              </w:rPr>
              <w:t>128</w:t>
            </w:r>
            <w:r>
              <w:rPr>
                <w:rFonts w:hint="eastAsia" w:ascii="仿宋_GB2312" w:hAnsi="宋体" w:eastAsia="仿宋_GB2312"/>
                <w:color w:val="auto"/>
                <w:sz w:val="24"/>
              </w:rPr>
              <w:t>,</w:t>
            </w:r>
            <w:r>
              <w:rPr>
                <w:rFonts w:hint="eastAsia" w:ascii="仿宋_GB2312" w:eastAsia="仿宋_GB2312"/>
                <w:color w:val="auto"/>
                <w:sz w:val="24"/>
              </w:rPr>
              <w:t>000</w:t>
            </w:r>
            <w:r>
              <w:rPr>
                <w:rFonts w:hint="eastAsia" w:ascii="仿宋_GB2312" w:eastAsia="仿宋_GB2312"/>
                <w:color w:val="auto"/>
                <w:sz w:val="24"/>
                <w:lang w:val="en-US" w:eastAsia="zh-CN"/>
              </w:rPr>
              <w:t>.00</w:t>
            </w:r>
            <w:r>
              <w:rPr>
                <w:rFonts w:hint="eastAsia" w:ascii="仿宋_GB2312" w:hAnsi="宋体" w:eastAsia="仿宋_GB2312"/>
                <w:color w:val="auto"/>
                <w:sz w:val="24"/>
              </w:rPr>
              <w:t>）</w:t>
            </w:r>
            <w:r>
              <w:rPr>
                <w:rFonts w:hint="eastAsia" w:ascii="仿宋_GB2312" w:eastAsia="仿宋_GB2312"/>
                <w:color w:val="auto"/>
                <w:sz w:val="24"/>
                <w:lang w:val="en-US" w:eastAsia="zh-CN"/>
              </w:rPr>
              <w:t>，其中</w:t>
            </w:r>
          </w:p>
          <w:p w14:paraId="14A776BC">
            <w:pPr>
              <w:autoSpaceDE w:val="0"/>
              <w:autoSpaceDN w:val="0"/>
              <w:spacing w:line="400" w:lineRule="exact"/>
              <w:textAlignment w:val="bottom"/>
              <w:rPr>
                <w:rFonts w:ascii="仿宋_GB2312" w:eastAsia="仿宋_GB2312"/>
                <w:color w:val="auto"/>
                <w:sz w:val="24"/>
              </w:rPr>
            </w:pPr>
            <w:r>
              <w:rPr>
                <w:rFonts w:hint="eastAsia" w:ascii="仿宋_GB2312" w:hAnsi="宋体" w:eastAsia="仿宋_GB2312"/>
                <w:color w:val="auto"/>
                <w:sz w:val="24"/>
              </w:rPr>
              <w:t>分标</w:t>
            </w:r>
            <w:r>
              <w:rPr>
                <w:rFonts w:hint="eastAsia" w:ascii="仿宋_GB2312" w:hAnsi="宋体" w:eastAsia="仿宋_GB2312"/>
                <w:color w:val="auto"/>
                <w:sz w:val="24"/>
                <w:lang w:eastAsia="zh-CN"/>
              </w:rPr>
              <w:t>一</w:t>
            </w:r>
            <w:r>
              <w:rPr>
                <w:rFonts w:hint="eastAsia" w:ascii="仿宋_GB2312" w:hAnsi="宋体" w:eastAsia="仿宋_GB2312"/>
                <w:color w:val="auto"/>
                <w:sz w:val="24"/>
              </w:rPr>
              <w:t>：壹佰陆拾伍万元整（¥1,650,000.00）；</w:t>
            </w:r>
            <w:r>
              <w:rPr>
                <w:rFonts w:hint="eastAsia" w:ascii="仿宋_GB2312" w:hAnsi="宋体" w:eastAsia="仿宋_GB2312"/>
                <w:color w:val="auto"/>
                <w:sz w:val="24"/>
              </w:rPr>
              <w:br w:type="textWrapping"/>
            </w:r>
            <w:r>
              <w:rPr>
                <w:rFonts w:hint="eastAsia" w:ascii="仿宋_GB2312" w:hAnsi="宋体" w:eastAsia="仿宋_GB2312"/>
                <w:color w:val="auto"/>
                <w:sz w:val="24"/>
              </w:rPr>
              <w:t>分标</w:t>
            </w:r>
            <w:r>
              <w:rPr>
                <w:rFonts w:hint="eastAsia" w:ascii="仿宋_GB2312" w:hAnsi="宋体" w:eastAsia="仿宋_GB2312"/>
                <w:color w:val="auto"/>
                <w:sz w:val="24"/>
                <w:lang w:eastAsia="zh-CN"/>
              </w:rPr>
              <w:t>二</w:t>
            </w:r>
            <w:r>
              <w:rPr>
                <w:rFonts w:hint="eastAsia" w:ascii="仿宋_GB2312" w:hAnsi="宋体" w:eastAsia="仿宋_GB2312"/>
                <w:color w:val="auto"/>
                <w:sz w:val="24"/>
              </w:rPr>
              <w:t>：贰佰伍拾万零捌仟元整（¥2,508,000.00）；</w:t>
            </w:r>
            <w:r>
              <w:rPr>
                <w:rFonts w:hint="eastAsia" w:ascii="仿宋_GB2312" w:hAnsi="宋体" w:eastAsia="仿宋_GB2312"/>
                <w:color w:val="auto"/>
                <w:sz w:val="24"/>
              </w:rPr>
              <w:br w:type="textWrapping"/>
            </w:r>
            <w:r>
              <w:rPr>
                <w:rFonts w:hint="eastAsia" w:ascii="仿宋_GB2312" w:hAnsi="宋体" w:eastAsia="仿宋_GB2312"/>
                <w:color w:val="auto"/>
                <w:sz w:val="24"/>
              </w:rPr>
              <w:t>分标</w:t>
            </w:r>
            <w:r>
              <w:rPr>
                <w:rFonts w:hint="eastAsia" w:ascii="仿宋_GB2312" w:hAnsi="宋体" w:eastAsia="仿宋_GB2312"/>
                <w:color w:val="auto"/>
                <w:sz w:val="24"/>
                <w:lang w:eastAsia="zh-CN"/>
              </w:rPr>
              <w:t>三</w:t>
            </w:r>
            <w:r>
              <w:rPr>
                <w:rFonts w:hint="eastAsia" w:ascii="仿宋_GB2312" w:hAnsi="宋体" w:eastAsia="仿宋_GB2312"/>
                <w:color w:val="auto"/>
                <w:sz w:val="24"/>
              </w:rPr>
              <w:t>：贰佰玖拾柒万元整（¥2,970,000.00）。</w:t>
            </w:r>
          </w:p>
        </w:tc>
      </w:tr>
      <w:tr w14:paraId="5B7A3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2B4E83BE">
            <w:pPr>
              <w:spacing w:line="400" w:lineRule="exact"/>
              <w:jc w:val="center"/>
              <w:rPr>
                <w:rFonts w:ascii="仿宋_GB2312" w:eastAsia="仿宋_GB2312"/>
                <w:color w:val="auto"/>
                <w:sz w:val="24"/>
              </w:rPr>
            </w:pPr>
            <w:r>
              <w:rPr>
                <w:rFonts w:ascii="仿宋_GB2312" w:eastAsia="仿宋_GB2312"/>
                <w:color w:val="auto"/>
                <w:sz w:val="24"/>
              </w:rPr>
              <w:t>3</w:t>
            </w:r>
          </w:p>
        </w:tc>
        <w:tc>
          <w:tcPr>
            <w:tcW w:w="8232" w:type="dxa"/>
            <w:noWrap w:val="0"/>
            <w:vAlign w:val="center"/>
          </w:tcPr>
          <w:p w14:paraId="5AC94045">
            <w:pPr>
              <w:spacing w:line="400" w:lineRule="exact"/>
              <w:rPr>
                <w:rFonts w:ascii="仿宋_GB2312" w:eastAsia="仿宋_GB2312"/>
                <w:color w:val="auto"/>
                <w:sz w:val="24"/>
              </w:rPr>
            </w:pPr>
            <w:r>
              <w:rPr>
                <w:rFonts w:hint="eastAsia" w:ascii="仿宋_GB2312" w:eastAsia="仿宋_GB2312"/>
                <w:color w:val="auto"/>
                <w:sz w:val="24"/>
              </w:rPr>
              <w:t>投标报价及费用：</w:t>
            </w:r>
          </w:p>
          <w:p w14:paraId="3F964A7E">
            <w:pPr>
              <w:spacing w:line="400" w:lineRule="exact"/>
              <w:rPr>
                <w:rFonts w:ascii="仿宋_GB2312" w:eastAsia="仿宋_GB2312"/>
                <w:color w:val="auto"/>
                <w:sz w:val="24"/>
              </w:rPr>
            </w:pPr>
            <w:r>
              <w:rPr>
                <w:rFonts w:hint="eastAsia" w:ascii="仿宋_GB2312" w:eastAsia="仿宋_GB2312"/>
                <w:color w:val="auto"/>
                <w:sz w:val="24"/>
              </w:rPr>
              <w:t>1.本项目投标应以人民币报价；</w:t>
            </w:r>
          </w:p>
          <w:p w14:paraId="51576BEC">
            <w:pPr>
              <w:spacing w:line="400" w:lineRule="exact"/>
              <w:rPr>
                <w:rFonts w:ascii="仿宋_GB2312" w:eastAsia="仿宋_GB2312"/>
                <w:color w:val="auto"/>
                <w:sz w:val="24"/>
              </w:rPr>
            </w:pPr>
            <w:r>
              <w:rPr>
                <w:rFonts w:hint="eastAsia" w:ascii="仿宋_GB2312" w:eastAsia="仿宋_GB2312"/>
                <w:color w:val="auto"/>
                <w:sz w:val="24"/>
              </w:rPr>
              <w:t>2.不论投标结果如何，投标人均应自行承担所有与投标有关的全部费用；</w:t>
            </w:r>
          </w:p>
          <w:p w14:paraId="795552BD">
            <w:pPr>
              <w:spacing w:line="400" w:lineRule="exact"/>
              <w:rPr>
                <w:rFonts w:ascii="仿宋_GB2312" w:eastAsia="仿宋_GB2312"/>
                <w:color w:val="auto"/>
                <w:sz w:val="24"/>
              </w:rPr>
            </w:pPr>
            <w:r>
              <w:rPr>
                <w:rFonts w:hint="eastAsia" w:ascii="仿宋_GB2312" w:eastAsia="仿宋_GB2312"/>
                <w:color w:val="auto"/>
                <w:sz w:val="24"/>
              </w:rPr>
              <w:t>3.本次招标文件和代理服务费用全免。</w:t>
            </w:r>
          </w:p>
        </w:tc>
      </w:tr>
      <w:tr w14:paraId="4E9FC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noWrap w:val="0"/>
            <w:vAlign w:val="center"/>
          </w:tcPr>
          <w:p w14:paraId="3A7EB9AE">
            <w:pPr>
              <w:spacing w:line="400" w:lineRule="exact"/>
              <w:jc w:val="center"/>
              <w:rPr>
                <w:rFonts w:ascii="仿宋_GB2312" w:eastAsia="仿宋_GB2312"/>
                <w:color w:val="auto"/>
                <w:sz w:val="24"/>
              </w:rPr>
            </w:pPr>
            <w:r>
              <w:rPr>
                <w:rFonts w:ascii="仿宋_GB2312" w:eastAsia="仿宋_GB2312"/>
                <w:color w:val="auto"/>
                <w:sz w:val="24"/>
              </w:rPr>
              <w:t>4</w:t>
            </w:r>
          </w:p>
        </w:tc>
        <w:tc>
          <w:tcPr>
            <w:tcW w:w="8232" w:type="dxa"/>
            <w:noWrap w:val="0"/>
            <w:vAlign w:val="center"/>
          </w:tcPr>
          <w:p w14:paraId="1A2CCB29">
            <w:pPr>
              <w:spacing w:line="400" w:lineRule="exact"/>
              <w:rPr>
                <w:rFonts w:ascii="仿宋_GB2312" w:eastAsia="仿宋_GB2312"/>
                <w:color w:val="auto"/>
                <w:sz w:val="24"/>
              </w:rPr>
            </w:pPr>
            <w:r>
              <w:rPr>
                <w:rFonts w:hint="eastAsia" w:ascii="仿宋_GB2312" w:eastAsia="仿宋_GB2312"/>
                <w:color w:val="auto"/>
                <w:sz w:val="24"/>
              </w:rPr>
              <w:t>投标保证金为：本项目无需提交投标保证金。</w:t>
            </w:r>
          </w:p>
        </w:tc>
      </w:tr>
      <w:tr w14:paraId="63F83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0AFE188">
            <w:pPr>
              <w:spacing w:line="400" w:lineRule="exact"/>
              <w:jc w:val="center"/>
              <w:rPr>
                <w:rFonts w:ascii="仿宋_GB2312" w:eastAsia="仿宋_GB2312"/>
                <w:color w:val="auto"/>
                <w:sz w:val="24"/>
              </w:rPr>
            </w:pPr>
            <w:r>
              <w:rPr>
                <w:rFonts w:ascii="仿宋_GB2312" w:eastAsia="仿宋_GB2312"/>
                <w:color w:val="auto"/>
                <w:sz w:val="24"/>
              </w:rPr>
              <w:t>5</w:t>
            </w:r>
          </w:p>
        </w:tc>
        <w:tc>
          <w:tcPr>
            <w:tcW w:w="8232" w:type="dxa"/>
            <w:noWrap w:val="0"/>
            <w:vAlign w:val="center"/>
          </w:tcPr>
          <w:p w14:paraId="65D28D03">
            <w:pPr>
              <w:spacing w:line="400" w:lineRule="exact"/>
              <w:rPr>
                <w:rFonts w:ascii="仿宋_GB2312" w:eastAsia="仿宋_GB2312"/>
                <w:color w:val="auto"/>
                <w:sz w:val="24"/>
              </w:rPr>
            </w:pPr>
            <w:r>
              <w:rPr>
                <w:rFonts w:hint="eastAsia" w:ascii="仿宋_GB2312" w:hAnsi="宋体" w:eastAsia="仿宋_GB2312"/>
                <w:color w:val="auto"/>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color w:val="auto"/>
                <w:sz w:val="24"/>
              </w:rPr>
              <w:t>招标文件提供期限，并在财政部门指定的政府采购信息发布媒体上发布公告。</w:t>
            </w:r>
          </w:p>
        </w:tc>
      </w:tr>
      <w:tr w14:paraId="3BB13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FD02F63">
            <w:pPr>
              <w:spacing w:line="400" w:lineRule="exact"/>
              <w:jc w:val="center"/>
              <w:rPr>
                <w:rFonts w:ascii="仿宋_GB2312" w:eastAsia="仿宋_GB2312"/>
                <w:color w:val="auto"/>
                <w:sz w:val="24"/>
              </w:rPr>
            </w:pPr>
            <w:r>
              <w:rPr>
                <w:rFonts w:hint="eastAsia" w:ascii="仿宋_GB2312" w:eastAsia="仿宋_GB2312"/>
                <w:color w:val="auto"/>
                <w:sz w:val="24"/>
              </w:rPr>
              <w:t>6</w:t>
            </w:r>
          </w:p>
        </w:tc>
        <w:tc>
          <w:tcPr>
            <w:tcW w:w="8232" w:type="dxa"/>
            <w:noWrap w:val="0"/>
            <w:vAlign w:val="center"/>
          </w:tcPr>
          <w:p w14:paraId="743EBA11">
            <w:pPr>
              <w:pStyle w:val="753"/>
              <w:spacing w:before="0" w:beforeAutospacing="0" w:after="0" w:afterAutospacing="0" w:line="460" w:lineRule="atLeast"/>
              <w:rPr>
                <w:rFonts w:ascii="仿宋_GB2312" w:eastAsia="仿宋_GB2312"/>
                <w:color w:val="auto"/>
              </w:rPr>
            </w:pPr>
            <w:r>
              <w:rPr>
                <w:rStyle w:val="339"/>
                <w:rFonts w:hint="eastAsia" w:ascii="仿宋_GB2312" w:eastAsia="仿宋_GB2312"/>
                <w:color w:val="auto"/>
              </w:rPr>
              <w:t>本项目</w:t>
            </w:r>
            <w:r>
              <w:rPr>
                <w:rStyle w:val="442"/>
                <w:rFonts w:hint="eastAsia" w:ascii="仿宋_GB2312" w:eastAsia="仿宋_GB2312"/>
                <w:color w:val="auto"/>
                <w:lang w:val="en-US" w:eastAsia="zh-CN"/>
              </w:rPr>
              <w:t>分标一、分标二、分标三</w:t>
            </w:r>
            <w:r>
              <w:rPr>
                <w:rStyle w:val="339"/>
                <w:rFonts w:hint="eastAsia" w:ascii="仿宋_GB2312" w:eastAsia="仿宋_GB2312"/>
                <w:color w:val="auto"/>
              </w:rPr>
              <w:t>属于专门面向中小企业采购的项目，监狱企业、残疾人福利单位视同小型、微型企业：</w:t>
            </w:r>
            <w:r>
              <w:rPr>
                <w:rFonts w:hint="eastAsia" w:ascii="仿宋_GB2312" w:eastAsia="仿宋_GB2312"/>
                <w:color w:val="auto"/>
              </w:rPr>
              <w:br w:type="textWrapping"/>
            </w:r>
            <w:r>
              <w:rPr>
                <w:rFonts w:hint="eastAsia" w:ascii="仿宋_GB2312" w:eastAsia="仿宋_GB2312"/>
                <w:color w:val="auto"/>
              </w:rPr>
              <w:t>1.</w:t>
            </w:r>
            <w:r>
              <w:rPr>
                <w:rStyle w:val="339"/>
                <w:rFonts w:hint="eastAsia" w:ascii="仿宋_GB2312" w:eastAsia="仿宋_GB2312"/>
                <w:color w:val="auto"/>
              </w:rPr>
              <w:t>中小</w:t>
            </w:r>
            <w:r>
              <w:rPr>
                <w:rFonts w:hint="eastAsia" w:ascii="仿宋_GB2312" w:eastAsia="仿宋_GB2312"/>
                <w:color w:val="auto"/>
              </w:rPr>
              <w:t>企业以投标人填写的《中小企业声明函》为判定标准（格式见公开招标文件第六章）；</w:t>
            </w:r>
            <w:r>
              <w:rPr>
                <w:rFonts w:hint="eastAsia" w:ascii="仿宋_GB2312" w:eastAsia="仿宋_GB2312"/>
                <w:color w:val="auto"/>
              </w:rPr>
              <w:br w:type="textWrapping"/>
            </w:r>
            <w:r>
              <w:rPr>
                <w:rFonts w:hint="eastAsia" w:ascii="仿宋_GB2312" w:eastAsia="仿宋_GB2312"/>
                <w:color w:val="auto"/>
              </w:rPr>
              <w:t>2.残疾人福利性单位以投标人提供的《残疾人福利性单位声明函》为判定标准（格式见公开招标文件第六章）；</w:t>
            </w:r>
            <w:r>
              <w:rPr>
                <w:rFonts w:hint="eastAsia" w:ascii="仿宋_GB2312" w:eastAsia="仿宋_GB2312"/>
                <w:color w:val="auto"/>
              </w:rPr>
              <w:br w:type="textWrapping"/>
            </w:r>
            <w:r>
              <w:rPr>
                <w:rFonts w:hint="eastAsia" w:ascii="仿宋_GB2312" w:eastAsia="仿宋_GB2312"/>
                <w:color w:val="auto"/>
              </w:rPr>
              <w:t>3.监狱企业以投标人提供由省级以上监狱管理局、戒毒管理局（含新疆生产建设兵团）出具的属于监狱企业的证明文件为判定标准。</w:t>
            </w:r>
          </w:p>
        </w:tc>
      </w:tr>
      <w:tr w14:paraId="6FFB0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47FCE120">
            <w:pPr>
              <w:spacing w:line="400" w:lineRule="exact"/>
              <w:jc w:val="center"/>
              <w:rPr>
                <w:rFonts w:ascii="仿宋_GB2312" w:eastAsia="仿宋_GB2312"/>
                <w:color w:val="auto"/>
                <w:sz w:val="24"/>
              </w:rPr>
            </w:pPr>
            <w:r>
              <w:rPr>
                <w:rFonts w:hint="eastAsia" w:ascii="仿宋_GB2312" w:eastAsia="仿宋_GB2312"/>
                <w:color w:val="auto"/>
                <w:sz w:val="24"/>
              </w:rPr>
              <w:t>7</w:t>
            </w:r>
          </w:p>
        </w:tc>
        <w:tc>
          <w:tcPr>
            <w:tcW w:w="8232" w:type="dxa"/>
            <w:noWrap w:val="0"/>
            <w:vAlign w:val="center"/>
          </w:tcPr>
          <w:p w14:paraId="4C462530">
            <w:pPr>
              <w:pStyle w:val="769"/>
              <w:spacing w:before="0" w:beforeAutospacing="0" w:after="0" w:afterAutospacing="0" w:line="460" w:lineRule="atLeast"/>
              <w:rPr>
                <w:rFonts w:ascii="仿宋_GB2312" w:eastAsia="仿宋_GB2312"/>
                <w:color w:val="auto"/>
              </w:rPr>
            </w:pPr>
            <w:r>
              <w:rPr>
                <w:rStyle w:val="355"/>
                <w:rFonts w:hint="eastAsia" w:ascii="仿宋_GB2312" w:eastAsia="仿宋_GB2312"/>
                <w:color w:val="auto"/>
              </w:rPr>
              <w:t>电子投标文件：</w:t>
            </w:r>
            <w:r>
              <w:rPr>
                <w:rFonts w:hint="eastAsia" w:ascii="仿宋_GB2312" w:eastAsia="仿宋_GB2312"/>
                <w:b/>
                <w:bCs/>
                <w:color w:val="auto"/>
              </w:rPr>
              <w:br w:type="textWrapping"/>
            </w:r>
            <w:r>
              <w:rPr>
                <w:rStyle w:val="355"/>
                <w:rFonts w:hint="eastAsia" w:ascii="仿宋_GB2312" w:eastAsia="仿宋_GB2312"/>
                <w:color w:val="auto"/>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auto"/>
              </w:rPr>
              <w:br w:type="textWrapping"/>
            </w:r>
            <w:r>
              <w:rPr>
                <w:rStyle w:val="355"/>
                <w:rFonts w:hint="eastAsia" w:ascii="仿宋_GB2312" w:eastAsia="仿宋_GB2312"/>
                <w:color w:val="auto"/>
              </w:rPr>
              <w:t>2.未按规定传输提交电子投标文件的将被广西政府采购云平台拒绝。</w:t>
            </w:r>
            <w:r>
              <w:rPr>
                <w:rFonts w:hint="eastAsia" w:ascii="仿宋_GB2312" w:eastAsia="仿宋_GB2312"/>
                <w:b/>
                <w:bCs/>
                <w:color w:val="auto"/>
              </w:rPr>
              <w:br w:type="textWrapping"/>
            </w:r>
            <w:r>
              <w:rPr>
                <w:rStyle w:val="355"/>
                <w:rFonts w:hint="eastAsia" w:ascii="仿宋_GB2312" w:eastAsia="仿宋_GB2312"/>
                <w:color w:val="auto"/>
              </w:rPr>
              <w:t>3.电子投标文件成功提交后，投标人可自行打印投标文件接收回执。</w:t>
            </w:r>
          </w:p>
        </w:tc>
      </w:tr>
      <w:tr w14:paraId="522BD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4FA5786">
            <w:pPr>
              <w:spacing w:line="400" w:lineRule="exact"/>
              <w:jc w:val="center"/>
              <w:rPr>
                <w:rFonts w:ascii="仿宋_GB2312" w:eastAsia="仿宋_GB2312"/>
                <w:color w:val="auto"/>
                <w:sz w:val="24"/>
              </w:rPr>
            </w:pPr>
            <w:r>
              <w:rPr>
                <w:rFonts w:hint="eastAsia" w:ascii="仿宋_GB2312" w:eastAsia="仿宋_GB2312"/>
                <w:color w:val="auto"/>
                <w:sz w:val="24"/>
              </w:rPr>
              <w:t>8</w:t>
            </w:r>
          </w:p>
        </w:tc>
        <w:tc>
          <w:tcPr>
            <w:tcW w:w="8232" w:type="dxa"/>
            <w:noWrap w:val="0"/>
            <w:vAlign w:val="center"/>
          </w:tcPr>
          <w:p w14:paraId="108E3A96">
            <w:pPr>
              <w:pStyle w:val="784"/>
              <w:spacing w:before="0" w:beforeAutospacing="0" w:after="0" w:afterAutospacing="0" w:line="460" w:lineRule="atLeast"/>
              <w:rPr>
                <w:rFonts w:ascii="仿宋_GB2312" w:eastAsia="仿宋_GB2312"/>
                <w:color w:val="auto"/>
              </w:rPr>
            </w:pPr>
            <w:r>
              <w:rPr>
                <w:rFonts w:hint="eastAsia" w:ascii="仿宋_GB2312" w:eastAsia="仿宋_GB2312"/>
                <w:color w:val="auto"/>
              </w:rPr>
              <w:t>投标文件提交截止时间及地点：详见公开招标公告。</w:t>
            </w:r>
          </w:p>
        </w:tc>
      </w:tr>
      <w:tr w14:paraId="254CA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81430F7">
            <w:pPr>
              <w:spacing w:line="400" w:lineRule="exact"/>
              <w:jc w:val="center"/>
              <w:rPr>
                <w:rFonts w:ascii="仿宋_GB2312" w:eastAsia="仿宋_GB2312"/>
                <w:color w:val="auto"/>
                <w:sz w:val="24"/>
              </w:rPr>
            </w:pPr>
            <w:r>
              <w:rPr>
                <w:rFonts w:hint="eastAsia" w:ascii="仿宋_GB2312" w:eastAsia="仿宋_GB2312"/>
                <w:color w:val="auto"/>
                <w:sz w:val="24"/>
              </w:rPr>
              <w:t>9</w:t>
            </w:r>
          </w:p>
        </w:tc>
        <w:tc>
          <w:tcPr>
            <w:tcW w:w="8232" w:type="dxa"/>
            <w:noWrap w:val="0"/>
            <w:vAlign w:val="center"/>
          </w:tcPr>
          <w:p w14:paraId="3E942502">
            <w:pPr>
              <w:pStyle w:val="797"/>
              <w:spacing w:before="0" w:beforeAutospacing="0" w:after="0" w:afterAutospacing="0" w:line="460" w:lineRule="atLeast"/>
              <w:rPr>
                <w:rFonts w:ascii="仿宋_GB2312" w:eastAsia="仿宋_GB2312"/>
                <w:color w:val="auto"/>
              </w:rPr>
            </w:pPr>
            <w:r>
              <w:rPr>
                <w:rFonts w:hint="eastAsia" w:ascii="仿宋_GB2312" w:eastAsia="仿宋_GB2312"/>
                <w:color w:val="auto"/>
              </w:rPr>
              <w:t>开标时间：详见公开招标公告。</w:t>
            </w:r>
          </w:p>
        </w:tc>
      </w:tr>
      <w:tr w14:paraId="52D92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3C72ED9A">
            <w:pPr>
              <w:spacing w:line="400" w:lineRule="exact"/>
              <w:jc w:val="center"/>
              <w:rPr>
                <w:rFonts w:ascii="仿宋_GB2312" w:eastAsia="仿宋_GB2312"/>
                <w:color w:val="auto"/>
                <w:sz w:val="24"/>
              </w:rPr>
            </w:pPr>
            <w:r>
              <w:rPr>
                <w:rFonts w:hint="eastAsia" w:ascii="仿宋_GB2312" w:eastAsia="仿宋_GB2312"/>
                <w:color w:val="auto"/>
                <w:sz w:val="24"/>
              </w:rPr>
              <w:t>10</w:t>
            </w:r>
          </w:p>
        </w:tc>
        <w:tc>
          <w:tcPr>
            <w:tcW w:w="8232" w:type="dxa"/>
            <w:noWrap w:val="0"/>
            <w:vAlign w:val="center"/>
          </w:tcPr>
          <w:p w14:paraId="45BDF089">
            <w:pPr>
              <w:pStyle w:val="745"/>
              <w:spacing w:before="0" w:beforeAutospacing="0" w:after="0" w:afterAutospacing="0" w:line="460" w:lineRule="atLeast"/>
              <w:rPr>
                <w:rFonts w:ascii="仿宋_GB2312" w:eastAsia="仿宋_GB2312"/>
                <w:color w:val="auto"/>
              </w:rPr>
            </w:pPr>
            <w:r>
              <w:rPr>
                <w:rFonts w:hint="eastAsia" w:ascii="仿宋_GB2312" w:eastAsia="仿宋_GB2312"/>
                <w:color w:val="auto"/>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4C4D1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0456F18">
            <w:pPr>
              <w:spacing w:line="400" w:lineRule="exact"/>
              <w:jc w:val="center"/>
              <w:rPr>
                <w:rFonts w:ascii="仿宋_GB2312" w:eastAsia="仿宋_GB2312"/>
                <w:color w:val="auto"/>
                <w:sz w:val="24"/>
              </w:rPr>
            </w:pPr>
            <w:r>
              <w:rPr>
                <w:rFonts w:hint="eastAsia" w:ascii="仿宋_GB2312" w:eastAsia="仿宋_GB2312"/>
                <w:color w:val="auto"/>
                <w:sz w:val="24"/>
              </w:rPr>
              <w:t>11</w:t>
            </w:r>
          </w:p>
        </w:tc>
        <w:tc>
          <w:tcPr>
            <w:tcW w:w="8232" w:type="dxa"/>
            <w:noWrap w:val="0"/>
            <w:vAlign w:val="center"/>
          </w:tcPr>
          <w:p w14:paraId="70CB9064">
            <w:pPr>
              <w:pStyle w:val="692"/>
              <w:spacing w:before="0" w:beforeAutospacing="0" w:after="0" w:afterAutospacing="0" w:line="460" w:lineRule="atLeast"/>
              <w:rPr>
                <w:rFonts w:ascii="仿宋_GB2312" w:eastAsia="仿宋_GB2312"/>
                <w:color w:val="auto"/>
              </w:rPr>
            </w:pPr>
            <w:r>
              <w:rPr>
                <w:rFonts w:hint="eastAsia" w:ascii="仿宋_GB2312" w:eastAsia="仿宋_GB2312"/>
                <w:color w:val="auto"/>
              </w:rPr>
              <w:t>评标方法：综合评分法</w:t>
            </w:r>
          </w:p>
        </w:tc>
      </w:tr>
      <w:tr w14:paraId="6C37A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5EECF5E">
            <w:pPr>
              <w:spacing w:line="400" w:lineRule="exact"/>
              <w:jc w:val="center"/>
              <w:rPr>
                <w:rFonts w:ascii="仿宋_GB2312" w:eastAsia="仿宋_GB2312"/>
                <w:color w:val="auto"/>
                <w:sz w:val="24"/>
              </w:rPr>
            </w:pPr>
            <w:r>
              <w:rPr>
                <w:rFonts w:hint="eastAsia" w:ascii="仿宋_GB2312" w:eastAsia="仿宋_GB2312"/>
                <w:color w:val="auto"/>
                <w:sz w:val="24"/>
              </w:rPr>
              <w:t>12</w:t>
            </w:r>
          </w:p>
        </w:tc>
        <w:tc>
          <w:tcPr>
            <w:tcW w:w="8232" w:type="dxa"/>
            <w:noWrap w:val="0"/>
            <w:vAlign w:val="center"/>
          </w:tcPr>
          <w:p w14:paraId="6686AC3A">
            <w:pPr>
              <w:pStyle w:val="716"/>
              <w:spacing w:before="0" w:beforeAutospacing="0" w:after="0" w:afterAutospacing="0" w:line="460" w:lineRule="atLeast"/>
              <w:rPr>
                <w:rFonts w:ascii="仿宋_GB2312" w:eastAsia="仿宋_GB2312"/>
                <w:color w:val="auto"/>
              </w:rPr>
            </w:pPr>
            <w:r>
              <w:rPr>
                <w:rFonts w:hint="eastAsia" w:ascii="仿宋_GB2312" w:eastAsia="仿宋_GB2312"/>
                <w:color w:val="auto"/>
              </w:rPr>
              <w:t>发布媒体：中国政府采购网（www.ccgp.gov.cn）、广西壮族自治区政府采购网（zfcg.gxzf.gov.cn）、柳州市政府采购网（zfcg.lzscz.liuzhou.gov.cn）。</w:t>
            </w:r>
          </w:p>
        </w:tc>
      </w:tr>
      <w:tr w14:paraId="39EA3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52DC6207">
            <w:pPr>
              <w:spacing w:line="400" w:lineRule="exact"/>
              <w:jc w:val="center"/>
              <w:rPr>
                <w:rFonts w:ascii="仿宋_GB2312" w:eastAsia="仿宋_GB2312"/>
                <w:color w:val="auto"/>
                <w:sz w:val="24"/>
              </w:rPr>
            </w:pPr>
            <w:r>
              <w:rPr>
                <w:rFonts w:hint="eastAsia" w:ascii="仿宋_GB2312" w:eastAsia="仿宋_GB2312"/>
                <w:color w:val="auto"/>
                <w:sz w:val="24"/>
              </w:rPr>
              <w:t>13</w:t>
            </w:r>
          </w:p>
        </w:tc>
        <w:tc>
          <w:tcPr>
            <w:tcW w:w="8232" w:type="dxa"/>
            <w:noWrap w:val="0"/>
            <w:vAlign w:val="center"/>
          </w:tcPr>
          <w:p w14:paraId="396FA7A3">
            <w:pPr>
              <w:pStyle w:val="818"/>
              <w:spacing w:before="0" w:beforeAutospacing="0" w:after="0" w:afterAutospacing="0" w:line="460" w:lineRule="atLeast"/>
              <w:rPr>
                <w:rFonts w:ascii="仿宋_GB2312" w:eastAsia="仿宋_GB2312"/>
                <w:color w:val="auto"/>
              </w:rPr>
            </w:pPr>
            <w:r>
              <w:rPr>
                <w:rStyle w:val="411"/>
                <w:rFonts w:hint="eastAsia" w:ascii="仿宋_GB2312" w:eastAsia="仿宋_GB2312"/>
                <w:color w:val="auto"/>
              </w:rPr>
              <w:t>一、信用信息使用规则：</w:t>
            </w:r>
            <w:r>
              <w:rPr>
                <w:rFonts w:hint="eastAsia" w:ascii="仿宋_GB2312" w:eastAsia="仿宋_GB2312"/>
                <w:color w:val="auto"/>
              </w:rPr>
              <w:br w:type="textWrapping"/>
            </w:r>
            <w:r>
              <w:rPr>
                <w:rFonts w:hint="eastAsia" w:ascii="仿宋_GB2312" w:eastAsia="仿宋_GB2312"/>
                <w:color w:val="auto"/>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auto"/>
              </w:rPr>
              <w:br w:type="textWrapping"/>
            </w:r>
            <w:r>
              <w:rPr>
                <w:rStyle w:val="411"/>
                <w:rFonts w:hint="eastAsia" w:ascii="仿宋_GB2312" w:eastAsia="仿宋_GB2312"/>
                <w:color w:val="auto"/>
              </w:rPr>
              <w:t>二、甄别方式：</w:t>
            </w:r>
            <w:r>
              <w:rPr>
                <w:rFonts w:hint="eastAsia" w:ascii="仿宋_GB2312" w:eastAsia="仿宋_GB2312"/>
                <w:b/>
                <w:bCs/>
                <w:color w:val="auto"/>
              </w:rPr>
              <w:br w:type="textWrapping"/>
            </w:r>
            <w:r>
              <w:rPr>
                <w:rStyle w:val="411"/>
                <w:rFonts w:hint="eastAsia" w:ascii="仿宋_GB2312" w:eastAsia="仿宋_GB2312"/>
                <w:color w:val="auto"/>
              </w:rPr>
              <w:t>1.在本项目资格性审查时，采购人将对投标人信用进行查询，并按照以上信用信息使用规则处理；</w:t>
            </w:r>
            <w:r>
              <w:rPr>
                <w:rFonts w:hint="eastAsia" w:ascii="仿宋_GB2312" w:eastAsia="仿宋_GB2312"/>
                <w:b/>
                <w:bCs/>
                <w:color w:val="auto"/>
              </w:rPr>
              <w:br w:type="textWrapping"/>
            </w:r>
            <w:r>
              <w:rPr>
                <w:rStyle w:val="411"/>
                <w:rFonts w:hint="eastAsia" w:ascii="仿宋_GB2312" w:eastAsia="仿宋_GB2312"/>
                <w:color w:val="auto"/>
              </w:rPr>
              <w:t>2.在中标通知书发出前，采购人或者采购代理机构将对中标人信用进行查询，并按照以上信用信息使用规则处理；</w:t>
            </w:r>
            <w:r>
              <w:rPr>
                <w:rFonts w:hint="eastAsia" w:ascii="仿宋_GB2312" w:eastAsia="仿宋_GB2312"/>
                <w:b/>
                <w:bCs/>
                <w:color w:val="auto"/>
              </w:rPr>
              <w:br w:type="textWrapping"/>
            </w:r>
            <w:r>
              <w:rPr>
                <w:rStyle w:val="411"/>
                <w:rFonts w:hint="eastAsia" w:ascii="仿宋_GB2312" w:eastAsia="仿宋_GB2312"/>
                <w:color w:val="auto"/>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3CA5A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7AF6A03D">
            <w:pPr>
              <w:spacing w:line="400" w:lineRule="exact"/>
              <w:jc w:val="center"/>
              <w:rPr>
                <w:rFonts w:ascii="仿宋_GB2312" w:eastAsia="仿宋_GB2312"/>
                <w:color w:val="auto"/>
                <w:sz w:val="24"/>
              </w:rPr>
            </w:pPr>
            <w:r>
              <w:rPr>
                <w:rFonts w:hint="eastAsia" w:ascii="仿宋_GB2312" w:eastAsia="仿宋_GB2312"/>
                <w:color w:val="auto"/>
                <w:sz w:val="24"/>
              </w:rPr>
              <w:t>14</w:t>
            </w:r>
          </w:p>
        </w:tc>
        <w:tc>
          <w:tcPr>
            <w:tcW w:w="8232" w:type="dxa"/>
            <w:noWrap w:val="0"/>
            <w:vAlign w:val="center"/>
          </w:tcPr>
          <w:p w14:paraId="69A9A90C">
            <w:pPr>
              <w:pStyle w:val="748"/>
              <w:spacing w:before="0" w:beforeAutospacing="0" w:after="0" w:afterAutospacing="0" w:line="460" w:lineRule="atLeast"/>
              <w:rPr>
                <w:rFonts w:ascii="仿宋_GB2312" w:eastAsia="仿宋_GB2312"/>
                <w:color w:val="auto"/>
              </w:rPr>
            </w:pPr>
            <w:r>
              <w:rPr>
                <w:rFonts w:hint="eastAsia" w:ascii="仿宋_GB2312" w:eastAsia="仿宋_GB2312"/>
                <w:color w:val="auto"/>
              </w:rPr>
              <w:t>中标公告及中标通知书：采购代理机构在采购人依法确认中标人后两个工作日内发布中标公告和中标通知书。</w:t>
            </w:r>
            <w:r>
              <w:rPr>
                <w:rFonts w:hint="eastAsia" w:ascii="仿宋_GB2312" w:eastAsia="仿宋_GB2312"/>
                <w:color w:val="auto"/>
              </w:rPr>
              <w:br w:type="textWrapping"/>
            </w:r>
            <w:r>
              <w:rPr>
                <w:rStyle w:val="336"/>
                <w:rFonts w:hint="eastAsia" w:ascii="仿宋_GB2312" w:eastAsia="仿宋_GB2312"/>
                <w:color w:val="auto"/>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23B58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1D7818C">
            <w:pPr>
              <w:spacing w:line="400" w:lineRule="exact"/>
              <w:jc w:val="center"/>
              <w:rPr>
                <w:rFonts w:ascii="仿宋_GB2312" w:eastAsia="仿宋_GB2312"/>
                <w:color w:val="auto"/>
                <w:sz w:val="24"/>
              </w:rPr>
            </w:pPr>
            <w:r>
              <w:rPr>
                <w:rFonts w:hint="eastAsia" w:ascii="仿宋_GB2312" w:eastAsia="仿宋_GB2312"/>
                <w:color w:val="auto"/>
                <w:sz w:val="24"/>
              </w:rPr>
              <w:t>15</w:t>
            </w:r>
          </w:p>
        </w:tc>
        <w:tc>
          <w:tcPr>
            <w:tcW w:w="8232" w:type="dxa"/>
            <w:noWrap w:val="0"/>
            <w:vAlign w:val="center"/>
          </w:tcPr>
          <w:p w14:paraId="0ECA79FF">
            <w:pPr>
              <w:pStyle w:val="764"/>
              <w:spacing w:before="0" w:beforeAutospacing="0" w:after="0" w:afterAutospacing="0" w:line="460" w:lineRule="atLeast"/>
              <w:rPr>
                <w:rFonts w:ascii="仿宋_GB2312" w:eastAsia="仿宋_GB2312"/>
                <w:color w:val="auto"/>
              </w:rPr>
            </w:pPr>
            <w:r>
              <w:rPr>
                <w:rStyle w:val="352"/>
                <w:rFonts w:hint="eastAsia" w:ascii="仿宋_GB2312" w:eastAsia="仿宋_GB2312"/>
                <w:color w:val="auto"/>
              </w:rPr>
              <w:t>签订合同时间：中标通知书发出后</w:t>
            </w:r>
            <w:r>
              <w:rPr>
                <w:rStyle w:val="352"/>
                <w:rFonts w:hint="eastAsia" w:ascii="仿宋_GB2312" w:eastAsia="仿宋_GB2312"/>
                <w:color w:val="auto"/>
                <w:u w:val="single"/>
              </w:rPr>
              <w:t>25</w:t>
            </w:r>
            <w:r>
              <w:rPr>
                <w:rStyle w:val="352"/>
                <w:rFonts w:hint="eastAsia" w:ascii="仿宋_GB2312" w:eastAsia="仿宋_GB2312"/>
                <w:color w:val="auto"/>
              </w:rPr>
              <w:t>日内。</w:t>
            </w:r>
          </w:p>
        </w:tc>
      </w:tr>
      <w:tr w14:paraId="492A1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5048C750">
            <w:pPr>
              <w:spacing w:line="400" w:lineRule="exact"/>
              <w:jc w:val="center"/>
              <w:rPr>
                <w:rFonts w:ascii="仿宋_GB2312" w:eastAsia="仿宋_GB2312"/>
                <w:color w:val="auto"/>
                <w:sz w:val="24"/>
              </w:rPr>
            </w:pPr>
            <w:r>
              <w:rPr>
                <w:rFonts w:hint="eastAsia" w:ascii="仿宋_GB2312" w:eastAsia="仿宋_GB2312"/>
                <w:color w:val="auto"/>
                <w:sz w:val="24"/>
              </w:rPr>
              <w:t>16</w:t>
            </w:r>
          </w:p>
        </w:tc>
        <w:tc>
          <w:tcPr>
            <w:tcW w:w="8232" w:type="dxa"/>
            <w:noWrap w:val="0"/>
            <w:vAlign w:val="center"/>
          </w:tcPr>
          <w:p w14:paraId="1FEC53B8">
            <w:pPr>
              <w:pStyle w:val="780"/>
              <w:spacing w:before="0" w:beforeAutospacing="0" w:after="0" w:afterAutospacing="0" w:line="460" w:lineRule="atLeast"/>
              <w:rPr>
                <w:rFonts w:ascii="仿宋_GB2312" w:eastAsia="仿宋_GB2312"/>
                <w:color w:val="auto"/>
              </w:rPr>
            </w:pPr>
            <w:r>
              <w:rPr>
                <w:rFonts w:hint="eastAsia" w:ascii="仿宋_GB2312" w:eastAsia="仿宋_GB2312"/>
                <w:color w:val="auto"/>
              </w:rPr>
              <w:t>投标文件有效期：投标截止日期后</w:t>
            </w:r>
            <w:r>
              <w:rPr>
                <w:rFonts w:hint="eastAsia" w:ascii="仿宋_GB2312" w:eastAsia="仿宋_GB2312"/>
                <w:color w:val="auto"/>
                <w:u w:val="single"/>
              </w:rPr>
              <w:t>不得少于90天</w:t>
            </w:r>
            <w:r>
              <w:rPr>
                <w:rFonts w:hint="eastAsia" w:ascii="仿宋_GB2312" w:eastAsia="仿宋_GB2312"/>
                <w:color w:val="auto"/>
              </w:rPr>
              <w:t>。</w:t>
            </w:r>
          </w:p>
        </w:tc>
      </w:tr>
      <w:tr w14:paraId="79975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0CCD135">
            <w:pPr>
              <w:spacing w:line="400" w:lineRule="exact"/>
              <w:jc w:val="center"/>
              <w:rPr>
                <w:rFonts w:ascii="仿宋_GB2312" w:eastAsia="仿宋_GB2312"/>
                <w:color w:val="auto"/>
                <w:sz w:val="24"/>
              </w:rPr>
            </w:pPr>
            <w:r>
              <w:rPr>
                <w:rFonts w:hint="eastAsia" w:ascii="仿宋_GB2312" w:eastAsia="仿宋_GB2312"/>
                <w:color w:val="auto"/>
                <w:sz w:val="24"/>
              </w:rPr>
              <w:t>17</w:t>
            </w:r>
          </w:p>
        </w:tc>
        <w:tc>
          <w:tcPr>
            <w:tcW w:w="8232" w:type="dxa"/>
            <w:noWrap w:val="0"/>
            <w:vAlign w:val="center"/>
          </w:tcPr>
          <w:p w14:paraId="207506DA">
            <w:pPr>
              <w:pStyle w:val="836"/>
              <w:spacing w:before="0" w:beforeAutospacing="0" w:after="0" w:afterAutospacing="0" w:line="460" w:lineRule="atLeast"/>
              <w:rPr>
                <w:rFonts w:ascii="仿宋_GB2312" w:eastAsia="仿宋_GB2312"/>
                <w:color w:val="auto"/>
              </w:rPr>
            </w:pPr>
            <w:r>
              <w:rPr>
                <w:rFonts w:hint="eastAsia" w:ascii="仿宋_GB2312" w:eastAsia="仿宋_GB2312"/>
                <w:color w:val="auto"/>
              </w:rPr>
              <w:t>解释：本招标文件的解释权属于采购代理机构。</w:t>
            </w:r>
          </w:p>
        </w:tc>
      </w:tr>
      <w:tr w14:paraId="17F53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3FD00C3C">
            <w:pPr>
              <w:spacing w:line="400" w:lineRule="exact"/>
              <w:jc w:val="center"/>
              <w:rPr>
                <w:rFonts w:ascii="仿宋_GB2312" w:eastAsia="仿宋_GB2312"/>
                <w:color w:val="auto"/>
                <w:sz w:val="24"/>
              </w:rPr>
            </w:pPr>
            <w:r>
              <w:rPr>
                <w:rFonts w:hint="eastAsia" w:ascii="仿宋_GB2312" w:eastAsia="仿宋_GB2312"/>
                <w:color w:val="auto"/>
                <w:sz w:val="24"/>
              </w:rPr>
              <w:t>18</w:t>
            </w:r>
          </w:p>
        </w:tc>
        <w:tc>
          <w:tcPr>
            <w:tcW w:w="8232" w:type="dxa"/>
            <w:noWrap w:val="0"/>
            <w:vAlign w:val="center"/>
          </w:tcPr>
          <w:p w14:paraId="2369B030">
            <w:pPr>
              <w:pStyle w:val="846"/>
              <w:spacing w:before="0" w:beforeAutospacing="0" w:after="0" w:afterAutospacing="0" w:line="460" w:lineRule="atLeast"/>
              <w:rPr>
                <w:rFonts w:ascii="仿宋_GB2312" w:eastAsia="仿宋_GB2312"/>
                <w:color w:val="auto"/>
              </w:rPr>
            </w:pPr>
            <w:r>
              <w:rPr>
                <w:rFonts w:hint="eastAsia" w:ascii="仿宋_GB2312" w:eastAsia="仿宋_GB2312"/>
                <w:color w:val="auto"/>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4EFB5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5CF0EB89">
            <w:pPr>
              <w:spacing w:line="400" w:lineRule="exact"/>
              <w:jc w:val="center"/>
              <w:rPr>
                <w:rFonts w:ascii="仿宋_GB2312" w:eastAsia="仿宋_GB2312"/>
                <w:color w:val="auto"/>
                <w:sz w:val="24"/>
              </w:rPr>
            </w:pPr>
            <w:r>
              <w:rPr>
                <w:rFonts w:hint="eastAsia" w:ascii="仿宋_GB2312" w:eastAsia="仿宋_GB2312"/>
                <w:color w:val="auto"/>
                <w:sz w:val="24"/>
              </w:rPr>
              <w:t>19</w:t>
            </w:r>
          </w:p>
        </w:tc>
        <w:tc>
          <w:tcPr>
            <w:tcW w:w="8232" w:type="dxa"/>
            <w:noWrap w:val="0"/>
            <w:vAlign w:val="center"/>
          </w:tcPr>
          <w:p w14:paraId="2EB7210F">
            <w:pPr>
              <w:pStyle w:val="856"/>
              <w:spacing w:before="0" w:beforeAutospacing="0" w:after="0" w:afterAutospacing="0" w:line="460" w:lineRule="atLeast"/>
              <w:rPr>
                <w:rFonts w:ascii="仿宋_GB2312" w:eastAsia="仿宋_GB2312"/>
                <w:color w:val="auto"/>
              </w:rPr>
            </w:pPr>
            <w:r>
              <w:rPr>
                <w:rFonts w:hint="eastAsia" w:ascii="仿宋_GB2312" w:eastAsia="仿宋_GB2312"/>
                <w:color w:val="auto"/>
              </w:rPr>
              <w:t>1.本招标文件中描述投标人的“公章”是指投标人的CA电子签章。</w:t>
            </w:r>
            <w:r>
              <w:rPr>
                <w:rFonts w:hint="eastAsia" w:ascii="仿宋_GB2312" w:eastAsia="仿宋_GB2312"/>
                <w:color w:val="auto"/>
              </w:rPr>
              <w:br w:type="textWrapping"/>
            </w:r>
            <w:r>
              <w:rPr>
                <w:rFonts w:hint="eastAsia" w:ascii="仿宋_GB2312" w:eastAsia="仿宋_GB2312"/>
                <w:color w:val="auto"/>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7845D6D2">
      <w:pPr>
        <w:spacing w:line="360" w:lineRule="auto"/>
        <w:jc w:val="center"/>
        <w:rPr>
          <w:b/>
          <w:color w:val="auto"/>
          <w:sz w:val="32"/>
          <w:szCs w:val="32"/>
        </w:rPr>
        <w:sectPr>
          <w:pgSz w:w="11906" w:h="16838"/>
          <w:pgMar w:top="1440" w:right="1440" w:bottom="1440" w:left="1440" w:header="851" w:footer="992" w:gutter="0"/>
          <w:cols w:space="720" w:num="1"/>
          <w:docGrid w:linePitch="312" w:charSpace="0"/>
        </w:sectPr>
      </w:pPr>
    </w:p>
    <w:p w14:paraId="14D85440">
      <w:pPr>
        <w:spacing w:line="360" w:lineRule="auto"/>
        <w:jc w:val="center"/>
        <w:rPr>
          <w:b/>
          <w:color w:val="auto"/>
          <w:sz w:val="32"/>
          <w:szCs w:val="32"/>
        </w:rPr>
      </w:pPr>
      <w:r>
        <w:rPr>
          <w:rFonts w:hint="eastAsia"/>
          <w:b/>
          <w:color w:val="auto"/>
          <w:sz w:val="32"/>
          <w:szCs w:val="32"/>
        </w:rPr>
        <w:t>投标人须知</w:t>
      </w:r>
    </w:p>
    <w:p w14:paraId="33CB4143">
      <w:pPr>
        <w:spacing w:line="300" w:lineRule="exact"/>
        <w:jc w:val="center"/>
        <w:rPr>
          <w:b/>
          <w:color w:val="auto"/>
          <w:sz w:val="32"/>
          <w:szCs w:val="32"/>
        </w:rPr>
      </w:pPr>
    </w:p>
    <w:p w14:paraId="13B9CBFE">
      <w:pPr>
        <w:pStyle w:val="26"/>
        <w:snapToGrid w:val="0"/>
        <w:spacing w:line="360" w:lineRule="exact"/>
        <w:ind w:right="-330" w:rightChars="-157"/>
        <w:rPr>
          <w:rFonts w:hint="eastAsia" w:ascii="仿宋_GB2312" w:hAnsi="宋体" w:eastAsia="仿宋_GB2312"/>
          <w:b/>
          <w:color w:val="auto"/>
          <w:sz w:val="24"/>
          <w:szCs w:val="24"/>
        </w:rPr>
      </w:pPr>
      <w:r>
        <w:rPr>
          <w:rFonts w:hint="eastAsia" w:ascii="仿宋_GB2312" w:hAnsi="宋体" w:eastAsia="仿宋_GB2312"/>
          <w:b/>
          <w:color w:val="auto"/>
          <w:sz w:val="24"/>
          <w:szCs w:val="24"/>
        </w:rPr>
        <w:t>一、总  则</w:t>
      </w:r>
    </w:p>
    <w:p w14:paraId="541985A9">
      <w:pPr>
        <w:snapToGrid w:val="0"/>
        <w:spacing w:line="360" w:lineRule="exact"/>
        <w:ind w:right="-330" w:rightChars="-157" w:firstLine="472" w:firstLineChars="196"/>
        <w:jc w:val="left"/>
        <w:outlineLvl w:val="1"/>
        <w:rPr>
          <w:rFonts w:ascii="仿宋_GB2312" w:eastAsia="仿宋_GB2312"/>
          <w:b/>
          <w:color w:val="auto"/>
          <w:sz w:val="24"/>
        </w:rPr>
      </w:pPr>
      <w:bookmarkStart w:id="38" w:name="_Toc254970527"/>
      <w:bookmarkStart w:id="39" w:name="_Toc254970668"/>
      <w:r>
        <w:rPr>
          <w:rFonts w:hint="eastAsia" w:ascii="仿宋_GB2312" w:eastAsia="仿宋_GB2312"/>
          <w:b/>
          <w:color w:val="auto"/>
          <w:sz w:val="24"/>
        </w:rPr>
        <w:t>1. 适用范围</w:t>
      </w:r>
      <w:bookmarkEnd w:id="38"/>
      <w:bookmarkEnd w:id="39"/>
    </w:p>
    <w:p w14:paraId="4C0AA815">
      <w:pPr>
        <w:pStyle w:val="26"/>
        <w:snapToGrid w:val="0"/>
        <w:spacing w:line="360" w:lineRule="exact"/>
        <w:ind w:right="-330" w:rightChars="-157"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1.1本招标文件适用于</w:t>
      </w:r>
      <w:r>
        <w:rPr>
          <w:rFonts w:hint="eastAsia" w:ascii="仿宋_GB2312" w:hAnsi="宋体" w:eastAsia="仿宋_GB2312"/>
          <w:color w:val="auto"/>
          <w:sz w:val="24"/>
          <w:u w:val="single"/>
        </w:rPr>
        <w:t>课桌椅设备采购</w:t>
      </w:r>
      <w:r>
        <w:rPr>
          <w:rFonts w:hint="eastAsia" w:ascii="仿宋_GB2312" w:hAnsi="宋体" w:eastAsia="仿宋_GB2312"/>
          <w:bCs/>
          <w:color w:val="auto"/>
          <w:sz w:val="24"/>
          <w:szCs w:val="24"/>
        </w:rPr>
        <w:t>项目的招标、投标、评标、定标、验收、合同履约、付款等行为（法律、法规另有规定的，从其规定）。</w:t>
      </w:r>
    </w:p>
    <w:p w14:paraId="0BE3EF02">
      <w:pPr>
        <w:snapToGrid w:val="0"/>
        <w:spacing w:line="360" w:lineRule="exact"/>
        <w:ind w:right="-330" w:rightChars="-157" w:firstLine="354" w:firstLineChars="147"/>
        <w:jc w:val="left"/>
        <w:outlineLvl w:val="1"/>
        <w:rPr>
          <w:rFonts w:ascii="仿宋_GB2312" w:eastAsia="仿宋_GB2312"/>
          <w:b/>
          <w:color w:val="auto"/>
          <w:sz w:val="24"/>
        </w:rPr>
      </w:pPr>
      <w:bookmarkStart w:id="40" w:name="_Toc254970528"/>
      <w:bookmarkStart w:id="41" w:name="_Toc254970669"/>
      <w:r>
        <w:rPr>
          <w:rFonts w:hint="eastAsia" w:ascii="仿宋_GB2312" w:eastAsia="仿宋_GB2312"/>
          <w:b/>
          <w:color w:val="auto"/>
          <w:sz w:val="24"/>
        </w:rPr>
        <w:t>2.定义</w:t>
      </w:r>
      <w:bookmarkEnd w:id="40"/>
      <w:bookmarkEnd w:id="41"/>
    </w:p>
    <w:p w14:paraId="3BED7A8A">
      <w:pPr>
        <w:pStyle w:val="26"/>
        <w:snapToGrid w:val="0"/>
        <w:spacing w:line="360" w:lineRule="exact"/>
        <w:ind w:right="-330" w:rightChars="-157"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2.1“采购人”是指：</w:t>
      </w:r>
      <w:r>
        <w:rPr>
          <w:rFonts w:hint="eastAsia" w:ascii="仿宋_GB2312" w:hAnsi="宋体" w:eastAsia="仿宋_GB2312"/>
          <w:color w:val="auto"/>
          <w:sz w:val="24"/>
          <w:u w:val="single"/>
        </w:rPr>
        <w:t>柳州市教学设备供应站</w:t>
      </w:r>
      <w:r>
        <w:rPr>
          <w:rFonts w:hint="eastAsia" w:ascii="仿宋_GB2312" w:hAnsi="宋体" w:eastAsia="仿宋_GB2312"/>
          <w:bCs/>
          <w:color w:val="auto"/>
          <w:sz w:val="24"/>
          <w:szCs w:val="24"/>
        </w:rPr>
        <w:t>；“采购代理机构”是指：</w:t>
      </w:r>
      <w:r>
        <w:rPr>
          <w:rFonts w:hint="eastAsia" w:ascii="仿宋_GB2312" w:hAnsi="宋体" w:eastAsia="仿宋_GB2312"/>
          <w:bCs/>
          <w:color w:val="auto"/>
          <w:sz w:val="24"/>
          <w:szCs w:val="24"/>
          <w:u w:val="single"/>
        </w:rPr>
        <w:t>柳州市政府集中采购中心</w:t>
      </w:r>
      <w:r>
        <w:rPr>
          <w:rFonts w:hint="eastAsia" w:ascii="仿宋_GB2312" w:hAnsi="宋体" w:eastAsia="仿宋_GB2312"/>
          <w:bCs/>
          <w:color w:val="auto"/>
          <w:sz w:val="24"/>
          <w:szCs w:val="24"/>
        </w:rPr>
        <w:t>。</w:t>
      </w:r>
    </w:p>
    <w:p w14:paraId="6C2C8743">
      <w:pPr>
        <w:pStyle w:val="26"/>
        <w:snapToGrid w:val="0"/>
        <w:spacing w:line="360" w:lineRule="exact"/>
        <w:ind w:right="-330" w:rightChars="-157"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2.2“投标人”系指响应本公开招标文件要求，参加投标的法人或其他组织或自然人。如果该投标人在本次投标中中标，即成为“中标人”。</w:t>
      </w:r>
    </w:p>
    <w:p w14:paraId="53A565A2">
      <w:pPr>
        <w:pStyle w:val="26"/>
        <w:snapToGrid w:val="0"/>
        <w:spacing w:line="360" w:lineRule="exact"/>
        <w:ind w:right="-330" w:rightChars="-157"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2.3“产品”系指投标人按招标文件规定，须向采购人提供的一切设备（含安装）、保险、税金、备品备件、工具、手册及其它有关技术资料和材料。</w:t>
      </w:r>
    </w:p>
    <w:p w14:paraId="2C9C4C75">
      <w:pPr>
        <w:pStyle w:val="26"/>
        <w:snapToGrid w:val="0"/>
        <w:spacing w:line="360" w:lineRule="exact"/>
        <w:ind w:right="-330" w:rightChars="-157"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2.4“服务”系指招标文件规定投标人须承担的安装、调试、技术协助、校准、培训、技术指导以及其他类似的义务。</w:t>
      </w:r>
    </w:p>
    <w:p w14:paraId="5AC88036">
      <w:pPr>
        <w:pStyle w:val="26"/>
        <w:snapToGrid w:val="0"/>
        <w:spacing w:line="360" w:lineRule="exact"/>
        <w:ind w:right="-330" w:rightChars="-157"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2.5“项目”系指投标人按招标文件规定向采购人提供的产品和服务。</w:t>
      </w:r>
    </w:p>
    <w:p w14:paraId="7CF8B43D">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2.6“签字”系指投标人的法定代表人或授权委托代理人的电子签名或电子签章或手写签名或盖章，表示同意、认可、承担责任或义务的行为。</w:t>
      </w:r>
    </w:p>
    <w:p w14:paraId="4B213E5D">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2.7“电子投标文件”系指完整的投标文件，内容包括资格文件、报价要求文件、商务技术文件。</w:t>
      </w:r>
    </w:p>
    <w:p w14:paraId="1B771CA4">
      <w:pPr>
        <w:pStyle w:val="26"/>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2.8“★”系指本次采购项目“第二章 采购需求”中的实质性要求。</w:t>
      </w:r>
    </w:p>
    <w:p w14:paraId="31EAD57B">
      <w:pPr>
        <w:pStyle w:val="26"/>
        <w:snapToGrid w:val="0"/>
        <w:spacing w:line="360" w:lineRule="exact"/>
        <w:ind w:right="-330" w:rightChars="-157" w:firstLine="480" w:firstLineChars="200"/>
        <w:rPr>
          <w:rFonts w:hint="eastAsia" w:ascii="仿宋_GB2312" w:hAnsi="宋体" w:eastAsia="仿宋_GB2312"/>
          <w:bCs/>
          <w:color w:val="auto"/>
          <w:sz w:val="24"/>
          <w:szCs w:val="24"/>
        </w:rPr>
      </w:pPr>
      <w:bookmarkStart w:id="42" w:name="_Toc254970670"/>
      <w:bookmarkStart w:id="43" w:name="_Toc254970529"/>
      <w:bookmarkStart w:id="44" w:name="_Toc254970536"/>
      <w:bookmarkStart w:id="45" w:name="_Toc254970677"/>
      <w:r>
        <w:rPr>
          <w:rFonts w:hint="eastAsia" w:ascii="仿宋_GB2312" w:hAnsi="宋体" w:eastAsia="仿宋_GB2312"/>
          <w:bCs/>
          <w:color w:val="auto"/>
          <w:sz w:val="24"/>
          <w:szCs w:val="24"/>
        </w:rPr>
        <w:t>2.9“▲”系指本次采购的核心产品。</w:t>
      </w:r>
    </w:p>
    <w:p w14:paraId="55709D09">
      <w:pPr>
        <w:pStyle w:val="26"/>
        <w:snapToGrid w:val="0"/>
        <w:spacing w:line="360" w:lineRule="exact"/>
        <w:ind w:right="-330" w:rightChars="-157"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2.10公开招标文件中所称的“以上”、“以下”、“内”、“以内”、“届满”，包括本数；所称的“不满”、“不足”、“以外”，不包括本数。</w:t>
      </w:r>
    </w:p>
    <w:p w14:paraId="2C0C509A">
      <w:pPr>
        <w:pStyle w:val="26"/>
        <w:widowControl/>
        <w:snapToGrid w:val="0"/>
        <w:spacing w:line="400" w:lineRule="exact"/>
        <w:ind w:firstLine="480" w:firstLineChars="200"/>
        <w:rPr>
          <w:rFonts w:hint="eastAsia" w:ascii="仿宋_GB2312" w:hAnsi="宋体" w:eastAsia="仿宋_GB2312"/>
          <w:bCs/>
          <w:color w:val="auto"/>
          <w:sz w:val="24"/>
        </w:rPr>
      </w:pPr>
      <w:r>
        <w:rPr>
          <w:rFonts w:hint="eastAsia" w:ascii="仿宋_GB2312" w:hAnsi="宋体" w:eastAsia="仿宋_GB2312"/>
          <w:bCs/>
          <w:color w:val="auto"/>
          <w:sz w:val="24"/>
        </w:rPr>
        <w:t>2.11“法定代表人”系指投标人的法定代表人、负责人或自然人。</w:t>
      </w:r>
    </w:p>
    <w:p w14:paraId="093C5E54">
      <w:pPr>
        <w:snapToGrid w:val="0"/>
        <w:spacing w:line="360" w:lineRule="exact"/>
        <w:ind w:right="-330" w:rightChars="-157" w:firstLine="482" w:firstLineChars="200"/>
        <w:jc w:val="left"/>
        <w:rPr>
          <w:rFonts w:ascii="仿宋_GB2312" w:eastAsia="仿宋_GB2312"/>
          <w:b/>
          <w:color w:val="auto"/>
          <w:sz w:val="24"/>
        </w:rPr>
      </w:pPr>
      <w:r>
        <w:rPr>
          <w:rFonts w:hint="eastAsia" w:ascii="仿宋_GB2312" w:eastAsia="仿宋_GB2312"/>
          <w:b/>
          <w:color w:val="auto"/>
          <w:sz w:val="24"/>
        </w:rPr>
        <w:t>3.招标方式</w:t>
      </w:r>
      <w:bookmarkEnd w:id="42"/>
      <w:bookmarkEnd w:id="43"/>
    </w:p>
    <w:p w14:paraId="5841BDF8">
      <w:pPr>
        <w:snapToGrid w:val="0"/>
        <w:spacing w:line="360" w:lineRule="exact"/>
        <w:ind w:right="-330" w:rightChars="-157" w:firstLine="480" w:firstLineChars="200"/>
        <w:jc w:val="left"/>
        <w:rPr>
          <w:rFonts w:ascii="仿宋_GB2312" w:eastAsia="仿宋_GB2312"/>
          <w:color w:val="auto"/>
          <w:sz w:val="24"/>
        </w:rPr>
      </w:pPr>
      <w:r>
        <w:rPr>
          <w:rFonts w:hint="eastAsia" w:ascii="仿宋_GB2312" w:eastAsia="仿宋_GB2312"/>
          <w:color w:val="auto"/>
          <w:sz w:val="24"/>
        </w:rPr>
        <w:t>3.1公开招标方式。</w:t>
      </w:r>
    </w:p>
    <w:p w14:paraId="3D4F1C74">
      <w:pPr>
        <w:snapToGrid w:val="0"/>
        <w:spacing w:line="360" w:lineRule="exact"/>
        <w:ind w:right="-330" w:rightChars="-157" w:firstLine="482" w:firstLineChars="200"/>
        <w:jc w:val="left"/>
        <w:rPr>
          <w:rFonts w:ascii="仿宋_GB2312" w:eastAsia="仿宋_GB2312"/>
          <w:b/>
          <w:color w:val="auto"/>
          <w:sz w:val="24"/>
        </w:rPr>
      </w:pPr>
      <w:bookmarkStart w:id="46" w:name="_Toc254970530"/>
      <w:bookmarkStart w:id="47" w:name="_Toc254970671"/>
      <w:r>
        <w:rPr>
          <w:rFonts w:hint="eastAsia" w:ascii="仿宋_GB2312" w:eastAsia="仿宋_GB2312"/>
          <w:b/>
          <w:color w:val="auto"/>
          <w:sz w:val="24"/>
        </w:rPr>
        <w:t>4.投标委托</w:t>
      </w:r>
      <w:bookmarkEnd w:id="46"/>
      <w:bookmarkEnd w:id="47"/>
    </w:p>
    <w:p w14:paraId="6D18A841">
      <w:pPr>
        <w:pStyle w:val="26"/>
        <w:snapToGrid w:val="0"/>
        <w:spacing w:line="360" w:lineRule="exact"/>
        <w:ind w:right="-330" w:rightChars="-157"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4.1如投标人代表不是法定代表人，须有法定代表人出具的授权委托书（格式见第六章投标文件格式）。</w:t>
      </w:r>
      <w:bookmarkStart w:id="48" w:name="_Toc254970531"/>
      <w:bookmarkStart w:id="49" w:name="_Toc254970672"/>
    </w:p>
    <w:p w14:paraId="179D521C">
      <w:pPr>
        <w:snapToGrid w:val="0"/>
        <w:spacing w:line="360" w:lineRule="exact"/>
        <w:ind w:right="-330" w:rightChars="-157" w:firstLine="482" w:firstLineChars="200"/>
        <w:jc w:val="left"/>
        <w:rPr>
          <w:rFonts w:ascii="仿宋_GB2312" w:eastAsia="仿宋_GB2312"/>
          <w:b/>
          <w:color w:val="auto"/>
          <w:sz w:val="24"/>
        </w:rPr>
      </w:pPr>
      <w:r>
        <w:rPr>
          <w:rFonts w:hint="eastAsia" w:ascii="仿宋_GB2312" w:eastAsia="仿宋_GB2312"/>
          <w:b/>
          <w:color w:val="auto"/>
          <w:sz w:val="24"/>
        </w:rPr>
        <w:t>5.投标费用</w:t>
      </w:r>
      <w:bookmarkEnd w:id="48"/>
      <w:bookmarkEnd w:id="49"/>
    </w:p>
    <w:p w14:paraId="608D06A5">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5.1投标人均应自行承担所有与投标有关的全部费用（招标文件有相关规定的除外）。</w:t>
      </w:r>
    </w:p>
    <w:p w14:paraId="5B39FE26">
      <w:pPr>
        <w:snapToGrid w:val="0"/>
        <w:spacing w:line="360" w:lineRule="exact"/>
        <w:ind w:right="-330" w:rightChars="-157" w:firstLine="482" w:firstLineChars="200"/>
        <w:jc w:val="left"/>
        <w:rPr>
          <w:rFonts w:ascii="仿宋_GB2312" w:eastAsia="仿宋_GB2312"/>
          <w:b/>
          <w:color w:val="auto"/>
          <w:sz w:val="24"/>
        </w:rPr>
      </w:pPr>
      <w:r>
        <w:rPr>
          <w:rFonts w:hint="eastAsia" w:ascii="仿宋_GB2312" w:eastAsia="仿宋_GB2312"/>
          <w:b/>
          <w:color w:val="auto"/>
          <w:sz w:val="24"/>
        </w:rPr>
        <w:t>6.联合体投标</w:t>
      </w:r>
    </w:p>
    <w:p w14:paraId="00D7AC6A">
      <w:pPr>
        <w:snapToGrid w:val="0"/>
        <w:spacing w:line="360" w:lineRule="exact"/>
        <w:ind w:right="-330" w:rightChars="-157" w:firstLine="420"/>
        <w:jc w:val="left"/>
        <w:rPr>
          <w:rFonts w:ascii="仿宋_GB2312" w:eastAsia="仿宋_GB2312"/>
          <w:color w:val="auto"/>
          <w:sz w:val="24"/>
        </w:rPr>
      </w:pPr>
      <w:r>
        <w:rPr>
          <w:rFonts w:hint="eastAsia" w:ascii="仿宋_GB2312" w:eastAsia="仿宋_GB2312"/>
          <w:color w:val="auto"/>
          <w:sz w:val="24"/>
        </w:rPr>
        <w:t>6.1本项目</w:t>
      </w:r>
      <w:r>
        <w:rPr>
          <w:rFonts w:hint="eastAsia" w:ascii="仿宋_GB2312" w:eastAsia="仿宋_GB2312"/>
          <w:color w:val="auto"/>
          <w:sz w:val="24"/>
          <w:u w:val="single"/>
        </w:rPr>
        <w:t>不接受</w:t>
      </w:r>
      <w:r>
        <w:rPr>
          <w:rFonts w:hint="eastAsia" w:ascii="仿宋_GB2312" w:eastAsia="仿宋_GB2312"/>
          <w:color w:val="auto"/>
          <w:sz w:val="24"/>
        </w:rPr>
        <w:t>联合体投标。</w:t>
      </w:r>
    </w:p>
    <w:p w14:paraId="04D0C7B4">
      <w:pPr>
        <w:snapToGrid w:val="0"/>
        <w:spacing w:line="360" w:lineRule="exact"/>
        <w:ind w:right="-330" w:rightChars="-157" w:firstLine="470" w:firstLineChars="195"/>
        <w:rPr>
          <w:rFonts w:ascii="仿宋_GB2312" w:eastAsia="仿宋_GB2312"/>
          <w:b/>
          <w:color w:val="auto"/>
          <w:kern w:val="0"/>
          <w:sz w:val="24"/>
        </w:rPr>
      </w:pPr>
      <w:r>
        <w:rPr>
          <w:rFonts w:hint="eastAsia" w:ascii="仿宋_GB2312" w:eastAsia="仿宋_GB2312"/>
          <w:b/>
          <w:color w:val="auto"/>
          <w:sz w:val="24"/>
        </w:rPr>
        <w:t>7.</w:t>
      </w:r>
      <w:r>
        <w:rPr>
          <w:rFonts w:hint="eastAsia" w:ascii="仿宋_GB2312" w:eastAsia="仿宋_GB2312"/>
          <w:b/>
          <w:color w:val="auto"/>
          <w:kern w:val="0"/>
          <w:sz w:val="24"/>
        </w:rPr>
        <w:t xml:space="preserve">转包与分包             </w:t>
      </w:r>
    </w:p>
    <w:p w14:paraId="122CD5BA">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7.1本项目不允许转包。</w:t>
      </w:r>
    </w:p>
    <w:p w14:paraId="78D86976">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7.2本项目不可以分包。</w:t>
      </w:r>
    </w:p>
    <w:p w14:paraId="6F531196">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7.2.1享受扶持政策获得政府采购合同的，小微企业不得将合同分包给大中型企业，中型企业不得将合同分包给大型企业。</w:t>
      </w:r>
    </w:p>
    <w:p w14:paraId="06D2FF3B">
      <w:pPr>
        <w:snapToGrid w:val="0"/>
        <w:spacing w:line="360" w:lineRule="exact"/>
        <w:ind w:right="-330" w:rightChars="-157" w:firstLine="472" w:firstLineChars="196"/>
        <w:jc w:val="left"/>
        <w:outlineLvl w:val="1"/>
        <w:rPr>
          <w:rFonts w:ascii="仿宋_GB2312" w:eastAsia="仿宋_GB2312"/>
          <w:b/>
          <w:color w:val="auto"/>
          <w:sz w:val="24"/>
        </w:rPr>
      </w:pPr>
      <w:bookmarkStart w:id="50" w:name="_Toc254970673"/>
      <w:bookmarkStart w:id="51" w:name="_Toc254970532"/>
      <w:r>
        <w:rPr>
          <w:rFonts w:hint="eastAsia" w:ascii="仿宋_GB2312" w:eastAsia="仿宋_GB2312"/>
          <w:b/>
          <w:color w:val="auto"/>
          <w:sz w:val="24"/>
        </w:rPr>
        <w:t>8</w:t>
      </w:r>
      <w:r>
        <w:rPr>
          <w:rFonts w:ascii="仿宋_GB2312" w:eastAsia="仿宋_GB2312"/>
          <w:b/>
          <w:color w:val="auto"/>
          <w:sz w:val="24"/>
        </w:rPr>
        <w:t>.</w:t>
      </w:r>
      <w:r>
        <w:rPr>
          <w:rFonts w:hint="eastAsia" w:ascii="仿宋_GB2312" w:eastAsia="仿宋_GB2312"/>
          <w:b/>
          <w:color w:val="auto"/>
          <w:sz w:val="24"/>
        </w:rPr>
        <w:t>特别说明：</w:t>
      </w:r>
      <w:bookmarkEnd w:id="50"/>
      <w:bookmarkEnd w:id="51"/>
    </w:p>
    <w:p w14:paraId="48F5C77D">
      <w:pPr>
        <w:pStyle w:val="26"/>
        <w:snapToGrid w:val="0"/>
        <w:spacing w:line="400" w:lineRule="exact"/>
        <w:ind w:firstLine="480" w:firstLineChars="200"/>
        <w:rPr>
          <w:rFonts w:hint="eastAsia" w:ascii="仿宋_GB2312" w:hAnsi="宋体" w:eastAsia="仿宋_GB2312"/>
          <w:bCs/>
          <w:color w:val="auto"/>
          <w:sz w:val="24"/>
          <w:szCs w:val="24"/>
        </w:rPr>
      </w:pPr>
      <w:bookmarkStart w:id="52" w:name="_Toc254970533"/>
      <w:bookmarkStart w:id="53" w:name="_Toc254970674"/>
      <w:r>
        <w:rPr>
          <w:rFonts w:hint="eastAsia" w:ascii="仿宋_GB2312" w:hAnsi="宋体" w:eastAsia="仿宋_GB2312"/>
          <w:bCs/>
          <w:color w:val="auto"/>
          <w:sz w:val="24"/>
          <w:szCs w:val="24"/>
        </w:rPr>
        <w:t>8.1投标人投标所使用的资格、信誉、荣誉、业绩与企业认证必须为投标人所拥有。投标人投标的采购项目负责人必须为投标人员工（或必须本投标人或其控股公司员工）。</w:t>
      </w:r>
    </w:p>
    <w:p w14:paraId="4A6948AF">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8.2投标人应仔细阅读招标文件的所有内容，按照招标文件的要求提交投标文件，并对所提供的全部资料的真实性承担法律责任。</w:t>
      </w:r>
    </w:p>
    <w:p w14:paraId="1DDA3E82">
      <w:pPr>
        <w:pStyle w:val="26"/>
        <w:spacing w:line="400" w:lineRule="exact"/>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8.3关联供应商不得参加同一合同项下的政府采购活动，否则投标文件将被视为无效：</w:t>
      </w:r>
    </w:p>
    <w:p w14:paraId="3661B5B3">
      <w:pPr>
        <w:pStyle w:val="26"/>
        <w:snapToGrid w:val="0"/>
        <w:spacing w:line="400" w:lineRule="exact"/>
        <w:ind w:firstLine="480" w:firstLineChars="200"/>
        <w:outlineLvl w:val="1"/>
        <w:rPr>
          <w:rFonts w:hint="eastAsia" w:ascii="仿宋_GB2312" w:hAnsi="宋体" w:eastAsia="仿宋_GB2312"/>
          <w:color w:val="auto"/>
          <w:sz w:val="24"/>
          <w:szCs w:val="24"/>
        </w:rPr>
      </w:pPr>
      <w:r>
        <w:rPr>
          <w:rFonts w:hint="eastAsia" w:ascii="仿宋_GB2312" w:hAnsi="宋体" w:eastAsia="仿宋_GB2312"/>
          <w:color w:val="auto"/>
          <w:sz w:val="24"/>
          <w:szCs w:val="24"/>
        </w:rPr>
        <w:t>8.3.1 单位负责人为同一人或者存在直接控股、管理关系的不同供应商，不得参加同一合同项下的政府采购活动。</w:t>
      </w:r>
    </w:p>
    <w:p w14:paraId="1CDE15BE">
      <w:pPr>
        <w:pStyle w:val="26"/>
        <w:spacing w:line="360" w:lineRule="exact"/>
        <w:ind w:right="-187" w:rightChars="-89"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8.3.2生产厂商授权给供应商后自己不得参加同一合同项下的政府采购活动；生产厂商对同一品牌同一型号的货物，仅能委托一个代理商参加投标。</w:t>
      </w:r>
    </w:p>
    <w:p w14:paraId="7DED09CC">
      <w:pPr>
        <w:pStyle w:val="26"/>
        <w:widowControl/>
        <w:snapToGrid w:val="0"/>
        <w:spacing w:line="400" w:lineRule="atLeast"/>
        <w:ind w:firstLine="480" w:firstLineChars="200"/>
        <w:outlineLvl w:val="1"/>
        <w:rPr>
          <w:rFonts w:hint="eastAsia" w:ascii="仿宋_GB2312" w:hAnsi="宋体" w:eastAsia="仿宋_GB2312"/>
          <w:color w:val="auto"/>
          <w:sz w:val="24"/>
          <w:szCs w:val="24"/>
        </w:rPr>
      </w:pPr>
      <w:r>
        <w:rPr>
          <w:rFonts w:hint="eastAsia" w:ascii="仿宋_GB2312" w:hAnsi="宋体" w:eastAsia="仿宋_GB2312"/>
          <w:color w:val="auto"/>
          <w:sz w:val="24"/>
          <w:szCs w:val="24"/>
        </w:rPr>
        <w:t>8.4除单一来源采购项目外，为采购项目提供整体设计、规范编制或者项目管理、监理、检测等服务的供应商，不得再参加该采购项目的其他采购活动。</w:t>
      </w:r>
    </w:p>
    <w:bookmarkEnd w:id="52"/>
    <w:bookmarkEnd w:id="53"/>
    <w:p w14:paraId="717A3FFF">
      <w:pPr>
        <w:pStyle w:val="26"/>
        <w:snapToGrid w:val="0"/>
        <w:spacing w:line="360" w:lineRule="exact"/>
        <w:ind w:right="-330" w:rightChars="-157" w:firstLine="472" w:firstLineChars="196"/>
        <w:outlineLvl w:val="1"/>
        <w:rPr>
          <w:rFonts w:hint="eastAsia" w:ascii="仿宋_GB2312" w:hAnsi="宋体" w:eastAsia="仿宋_GB2312"/>
          <w:b/>
          <w:bCs/>
          <w:color w:val="auto"/>
          <w:sz w:val="24"/>
          <w:szCs w:val="24"/>
        </w:rPr>
      </w:pPr>
      <w:bookmarkStart w:id="54" w:name="_Toc254970675"/>
      <w:bookmarkStart w:id="55" w:name="_Toc254970534"/>
      <w:r>
        <w:rPr>
          <w:rFonts w:hint="eastAsia" w:ascii="仿宋_GB2312" w:hAnsi="宋体" w:eastAsia="仿宋_GB2312"/>
          <w:b/>
          <w:bCs/>
          <w:color w:val="auto"/>
          <w:sz w:val="24"/>
          <w:szCs w:val="24"/>
        </w:rPr>
        <w:t>9.</w:t>
      </w:r>
      <w:r>
        <w:rPr>
          <w:rFonts w:hint="eastAsia" w:ascii="仿宋_GB2312" w:hAnsi="宋体" w:eastAsia="仿宋_GB2312" w:cs="宋体"/>
          <w:b/>
          <w:color w:val="auto"/>
          <w:sz w:val="24"/>
          <w:szCs w:val="24"/>
        </w:rPr>
        <w:t>质疑和投诉</w:t>
      </w:r>
    </w:p>
    <w:p w14:paraId="6FC3D93D">
      <w:pPr>
        <w:pStyle w:val="26"/>
        <w:snapToGrid w:val="0"/>
        <w:spacing w:line="400" w:lineRule="exact"/>
        <w:ind w:firstLine="482" w:firstLineChars="200"/>
        <w:rPr>
          <w:rFonts w:hint="eastAsia" w:ascii="仿宋_GB2312" w:hAnsi="宋体" w:eastAsia="仿宋_GB2312"/>
          <w:bCs/>
          <w:color w:val="auto"/>
          <w:sz w:val="24"/>
          <w:szCs w:val="24"/>
        </w:rPr>
      </w:pPr>
      <w:r>
        <w:rPr>
          <w:rFonts w:hint="eastAsia" w:ascii="仿宋_GB2312" w:hAnsi="宋体" w:eastAsia="仿宋_GB2312"/>
          <w:b/>
          <w:color w:val="auto"/>
          <w:sz w:val="24"/>
        </w:rPr>
        <w:t>注：投标人对电子标项目提出质疑和投诉的，应按照《政府采购质疑和投诉办法》（财政部令第94号）规定的方式提交质疑和投诉。</w:t>
      </w:r>
    </w:p>
    <w:p w14:paraId="433D8F28">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76C55536">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9.1.1对可以质疑的采购文件提出质疑的，为收到采购文件之日或者采购文件公告期限届满之日；</w:t>
      </w:r>
    </w:p>
    <w:p w14:paraId="1FC5F3F9">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9.1.2对采购过程提出质疑的，为各采购程序环节结束之日；</w:t>
      </w:r>
    </w:p>
    <w:p w14:paraId="714C3ADB">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9.1.3对成交结果提出质疑的，为成交结果公告期限届满之日。</w:t>
      </w:r>
    </w:p>
    <w:p w14:paraId="6985CADF">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投标人对采购人或采购代理机构的答复不满意或者采购人、采购代理机构未在规定时间内作出答复的，可以在答复期满后十五个工作日内向同级政府采购监管部门投诉。</w:t>
      </w:r>
    </w:p>
    <w:p w14:paraId="06D1AF4A">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6DD783C8">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4253F82E">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9.4质疑书面要求</w:t>
      </w:r>
    </w:p>
    <w:p w14:paraId="46372129">
      <w:pPr>
        <w:pStyle w:val="26"/>
        <w:spacing w:line="400" w:lineRule="exact"/>
        <w:ind w:firstLine="480" w:firstLineChars="200"/>
        <w:rPr>
          <w:rFonts w:hint="eastAsia" w:ascii="仿宋_GB2312" w:hAnsi="宋体" w:eastAsia="仿宋_GB2312"/>
          <w:color w:val="auto"/>
          <w:sz w:val="24"/>
          <w:szCs w:val="24"/>
        </w:rPr>
      </w:pPr>
      <w:r>
        <w:rPr>
          <w:rFonts w:hint="eastAsia" w:ascii="仿宋_GB2312" w:hAnsi="宋体" w:eastAsia="仿宋_GB2312"/>
          <w:bCs/>
          <w:color w:val="auto"/>
          <w:sz w:val="24"/>
          <w:szCs w:val="24"/>
        </w:rPr>
        <w:t>9.4.1质疑人质疑时须提交质疑</w:t>
      </w:r>
      <w:r>
        <w:rPr>
          <w:rFonts w:ascii="仿宋_GB2312" w:hAnsi="宋体" w:eastAsia="仿宋_GB2312"/>
          <w:color w:val="auto"/>
          <w:sz w:val="24"/>
          <w:szCs w:val="24"/>
        </w:rPr>
        <w:t>函</w:t>
      </w:r>
      <w:r>
        <w:rPr>
          <w:rFonts w:hint="eastAsia" w:ascii="仿宋_GB2312" w:hAnsi="宋体" w:eastAsia="仿宋_GB2312"/>
          <w:color w:val="auto"/>
          <w:sz w:val="24"/>
          <w:szCs w:val="24"/>
        </w:rPr>
        <w:t>和必要的证明材料</w:t>
      </w:r>
      <w:r>
        <w:rPr>
          <w:rFonts w:hint="eastAsia" w:ascii="仿宋_GB2312" w:eastAsia="仿宋_GB2312"/>
          <w:color w:val="auto"/>
          <w:sz w:val="24"/>
        </w:rPr>
        <w:t>，</w:t>
      </w:r>
      <w:r>
        <w:rPr>
          <w:rFonts w:hint="eastAsia" w:ascii="仿宋_GB2312" w:hAnsi="宋体" w:eastAsia="仿宋_GB2312"/>
          <w:color w:val="auto"/>
          <w:sz w:val="24"/>
          <w:szCs w:val="24"/>
        </w:rPr>
        <w:t>供应商须在法定质疑期内一次性提出针对同一采购程序环节的质疑。</w:t>
      </w:r>
      <w:r>
        <w:rPr>
          <w:rFonts w:hint="eastAsia" w:ascii="仿宋_GB2312" w:hAnsi="宋体" w:eastAsia="仿宋_GB2312"/>
          <w:bCs/>
          <w:color w:val="auto"/>
          <w:sz w:val="24"/>
          <w:szCs w:val="24"/>
        </w:rPr>
        <w:t>质疑函至少包括下列主要内容：</w:t>
      </w:r>
    </w:p>
    <w:p w14:paraId="369673A4">
      <w:pPr>
        <w:pStyle w:val="26"/>
        <w:numPr>
          <w:ilvl w:val="0"/>
          <w:numId w:val="5"/>
        </w:numPr>
        <w:tabs>
          <w:tab w:val="left" w:pos="1150"/>
          <w:tab w:val="left" w:pos="1350"/>
        </w:tabs>
        <w:spacing w:line="400" w:lineRule="exact"/>
        <w:rPr>
          <w:rFonts w:hint="eastAsia" w:ascii="仿宋_GB2312" w:hAnsi="宋体" w:eastAsia="仿宋_GB2312"/>
          <w:color w:val="auto"/>
          <w:sz w:val="24"/>
          <w:szCs w:val="24"/>
        </w:rPr>
      </w:pPr>
      <w:r>
        <w:rPr>
          <w:rFonts w:hint="eastAsia" w:ascii="仿宋_GB2312" w:hAnsi="宋体" w:eastAsia="仿宋_GB2312"/>
          <w:color w:val="auto"/>
          <w:sz w:val="24"/>
          <w:szCs w:val="24"/>
        </w:rPr>
        <w:t>供应商的姓名或名称、地址、邮编、联系人及联系电话；</w:t>
      </w:r>
    </w:p>
    <w:p w14:paraId="5C18AE1E">
      <w:pPr>
        <w:pStyle w:val="26"/>
        <w:numPr>
          <w:ilvl w:val="0"/>
          <w:numId w:val="5"/>
        </w:numPr>
        <w:spacing w:line="400" w:lineRule="exact"/>
        <w:rPr>
          <w:rFonts w:hint="eastAsia" w:ascii="仿宋_GB2312" w:hAnsi="宋体" w:eastAsia="仿宋_GB2312"/>
          <w:color w:val="auto"/>
          <w:sz w:val="24"/>
          <w:szCs w:val="24"/>
        </w:rPr>
      </w:pPr>
      <w:r>
        <w:rPr>
          <w:rFonts w:hint="eastAsia" w:ascii="仿宋_GB2312" w:hAnsi="宋体" w:eastAsia="仿宋_GB2312"/>
          <w:color w:val="auto"/>
          <w:sz w:val="24"/>
          <w:szCs w:val="24"/>
        </w:rPr>
        <w:t>质疑项目的名称、编号；</w:t>
      </w:r>
    </w:p>
    <w:p w14:paraId="124ACCD6">
      <w:pPr>
        <w:pStyle w:val="26"/>
        <w:numPr>
          <w:ilvl w:val="0"/>
          <w:numId w:val="5"/>
        </w:numPr>
        <w:spacing w:line="400" w:lineRule="exact"/>
        <w:rPr>
          <w:rFonts w:hint="eastAsia" w:ascii="仿宋_GB2312" w:hAnsi="宋体" w:eastAsia="仿宋_GB2312"/>
          <w:color w:val="auto"/>
          <w:sz w:val="24"/>
          <w:szCs w:val="24"/>
        </w:rPr>
      </w:pPr>
      <w:r>
        <w:rPr>
          <w:rFonts w:hint="eastAsia" w:ascii="仿宋_GB2312" w:hAnsi="宋体" w:eastAsia="仿宋_GB2312"/>
          <w:color w:val="auto"/>
          <w:sz w:val="24"/>
          <w:szCs w:val="24"/>
        </w:rPr>
        <w:t>具体、明确的质疑事项和与质疑事项相关的请求；</w:t>
      </w:r>
    </w:p>
    <w:p w14:paraId="1E44A5C8">
      <w:pPr>
        <w:pStyle w:val="26"/>
        <w:numPr>
          <w:ilvl w:val="0"/>
          <w:numId w:val="5"/>
        </w:numPr>
        <w:spacing w:line="400" w:lineRule="exact"/>
        <w:rPr>
          <w:rFonts w:hint="eastAsia" w:ascii="仿宋_GB2312" w:hAnsi="宋体" w:eastAsia="仿宋_GB2312"/>
          <w:color w:val="auto"/>
          <w:sz w:val="24"/>
          <w:szCs w:val="24"/>
        </w:rPr>
      </w:pPr>
      <w:r>
        <w:rPr>
          <w:rFonts w:hint="eastAsia" w:ascii="仿宋_GB2312" w:hAnsi="宋体" w:eastAsia="仿宋_GB2312"/>
          <w:color w:val="auto"/>
          <w:sz w:val="24"/>
          <w:szCs w:val="24"/>
        </w:rPr>
        <w:t>事实依据；</w:t>
      </w:r>
    </w:p>
    <w:p w14:paraId="52A767B4">
      <w:pPr>
        <w:pStyle w:val="26"/>
        <w:numPr>
          <w:ilvl w:val="0"/>
          <w:numId w:val="5"/>
        </w:numPr>
        <w:spacing w:line="400" w:lineRule="exact"/>
        <w:rPr>
          <w:rFonts w:hint="eastAsia" w:ascii="仿宋_GB2312" w:hAnsi="宋体" w:eastAsia="仿宋_GB2312"/>
          <w:color w:val="auto"/>
          <w:sz w:val="24"/>
          <w:szCs w:val="24"/>
        </w:rPr>
      </w:pPr>
      <w:r>
        <w:rPr>
          <w:rFonts w:hint="eastAsia" w:ascii="仿宋_GB2312" w:hAnsi="宋体" w:eastAsia="仿宋_GB2312"/>
          <w:color w:val="auto"/>
          <w:sz w:val="24"/>
          <w:szCs w:val="24"/>
        </w:rPr>
        <w:t>必要的法律依据；</w:t>
      </w:r>
    </w:p>
    <w:p w14:paraId="7D4C744E">
      <w:pPr>
        <w:pStyle w:val="26"/>
        <w:numPr>
          <w:ilvl w:val="0"/>
          <w:numId w:val="5"/>
        </w:numPr>
        <w:spacing w:line="400" w:lineRule="exact"/>
        <w:ind w:left="1025" w:hanging="590"/>
        <w:rPr>
          <w:rFonts w:hint="eastAsia" w:ascii="仿宋_GB2312" w:hAnsi="宋体" w:eastAsia="仿宋_GB2312"/>
          <w:color w:val="auto"/>
          <w:sz w:val="24"/>
          <w:szCs w:val="24"/>
        </w:rPr>
      </w:pPr>
      <w:r>
        <w:rPr>
          <w:rFonts w:hint="eastAsia" w:ascii="仿宋_GB2312" w:hAnsi="宋体" w:eastAsia="仿宋_GB2312"/>
          <w:color w:val="auto"/>
          <w:sz w:val="24"/>
          <w:szCs w:val="24"/>
        </w:rPr>
        <w:t>提出质疑的日期。</w:t>
      </w:r>
    </w:p>
    <w:p w14:paraId="2E8EB4BD">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供应商为自然人的，应当由本人签字；供应商为法人或者其他组织的，应当由法定代表人、主要负责人，或其授权代表签字或者盖章，并加盖公章。</w:t>
      </w:r>
    </w:p>
    <w:p w14:paraId="30B28CDA">
      <w:pPr>
        <w:pStyle w:val="26"/>
        <w:spacing w:line="400" w:lineRule="exact"/>
        <w:ind w:firstLine="480" w:firstLineChars="200"/>
        <w:rPr>
          <w:rFonts w:hint="eastAsia" w:ascii="仿宋_GB2312" w:hAnsi="宋体" w:eastAsia="仿宋_GB2312"/>
          <w:color w:val="auto"/>
          <w:sz w:val="24"/>
          <w:szCs w:val="24"/>
        </w:rPr>
      </w:pPr>
      <w:r>
        <w:rPr>
          <w:rFonts w:hint="eastAsia" w:ascii="仿宋_GB2312" w:hAnsi="宋体" w:eastAsia="仿宋_GB2312"/>
          <w:bCs/>
          <w:color w:val="auto"/>
          <w:sz w:val="24"/>
          <w:szCs w:val="24"/>
        </w:rPr>
        <w:t>代理人提出质疑和投诉，应当提交供应商签署的授权委托书。</w:t>
      </w:r>
    </w:p>
    <w:p w14:paraId="5342337C">
      <w:pPr>
        <w:snapToGrid w:val="0"/>
        <w:spacing w:line="400" w:lineRule="exact"/>
        <w:ind w:firstLine="480" w:firstLineChars="200"/>
        <w:jc w:val="left"/>
        <w:rPr>
          <w:rFonts w:ascii="仿宋_GB2312" w:eastAsia="仿宋_GB2312" w:cs="Courier New"/>
          <w:color w:val="auto"/>
          <w:sz w:val="24"/>
        </w:rPr>
      </w:pPr>
      <w:r>
        <w:rPr>
          <w:rFonts w:hint="eastAsia" w:ascii="仿宋_GB2312" w:eastAsia="仿宋_GB2312" w:cs="Courier New"/>
          <w:color w:val="auto"/>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4AE7611B">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9.6联系部门：柳州市政府集中采购中心监督科。</w:t>
      </w:r>
    </w:p>
    <w:p w14:paraId="774A2017">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9.7联系电话：0772-2992103。</w:t>
      </w:r>
    </w:p>
    <w:p w14:paraId="0F411A40">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9.8通讯地址：广西</w:t>
      </w:r>
      <w:r>
        <w:rPr>
          <w:rFonts w:ascii="仿宋_GB2312" w:eastAsia="仿宋_GB2312" w:cs="Courier New"/>
          <w:color w:val="auto"/>
          <w:sz w:val="24"/>
        </w:rPr>
        <w:t>柳州市三中路6</w:t>
      </w:r>
      <w:r>
        <w:rPr>
          <w:rFonts w:hint="eastAsia" w:ascii="仿宋_GB2312" w:eastAsia="仿宋_GB2312" w:cs="Courier New"/>
          <w:color w:val="auto"/>
          <w:sz w:val="24"/>
        </w:rPr>
        <w:t>4-2</w:t>
      </w:r>
      <w:r>
        <w:rPr>
          <w:rFonts w:ascii="仿宋_GB2312" w:eastAsia="仿宋_GB2312" w:cs="Courier New"/>
          <w:color w:val="auto"/>
          <w:sz w:val="24"/>
        </w:rPr>
        <w:t>号</w:t>
      </w:r>
      <w:r>
        <w:rPr>
          <w:rFonts w:hint="eastAsia" w:ascii="仿宋_GB2312" w:eastAsia="仿宋_GB2312" w:cs="Courier New"/>
          <w:color w:val="auto"/>
          <w:sz w:val="24"/>
        </w:rPr>
        <w:t>。</w:t>
      </w:r>
    </w:p>
    <w:p w14:paraId="3A4203CB">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9.9现场提交质疑办理业务时间：工作日8时00分到12时00分，15时00分到18时 00分，业务时间以外、双休日和法定节假日不办理业务。</w:t>
      </w:r>
    </w:p>
    <w:p w14:paraId="46330CA4">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9.10投诉的书面要求</w:t>
      </w:r>
    </w:p>
    <w:p w14:paraId="4A9424EE">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9.10.1符合《政府采购质疑和投诉办法》（财政部第94号令）要求。</w:t>
      </w:r>
    </w:p>
    <w:p w14:paraId="321C2F9A">
      <w:pPr>
        <w:pStyle w:val="26"/>
        <w:snapToGrid w:val="0"/>
        <w:spacing w:line="360" w:lineRule="exact"/>
        <w:ind w:right="-330" w:rightChars="-157" w:firstLine="472" w:firstLineChars="196"/>
        <w:rPr>
          <w:rFonts w:hint="eastAsia" w:ascii="仿宋_GB2312" w:hAnsi="宋体" w:eastAsia="仿宋_GB2312"/>
          <w:b/>
          <w:color w:val="auto"/>
          <w:sz w:val="24"/>
          <w:szCs w:val="24"/>
        </w:rPr>
      </w:pPr>
      <w:r>
        <w:rPr>
          <w:rFonts w:hint="eastAsia" w:ascii="仿宋_GB2312" w:hAnsi="宋体" w:eastAsia="仿宋_GB2312"/>
          <w:b/>
          <w:color w:val="auto"/>
          <w:sz w:val="24"/>
          <w:szCs w:val="24"/>
        </w:rPr>
        <w:t>二、招标文件</w:t>
      </w:r>
      <w:bookmarkEnd w:id="54"/>
      <w:bookmarkEnd w:id="55"/>
    </w:p>
    <w:p w14:paraId="5D66B5F2">
      <w:pPr>
        <w:snapToGrid w:val="0"/>
        <w:spacing w:line="360" w:lineRule="exact"/>
        <w:ind w:right="-330" w:rightChars="-157" w:firstLine="472" w:firstLineChars="196"/>
        <w:jc w:val="left"/>
        <w:rPr>
          <w:rFonts w:hint="eastAsia" w:ascii="等线" w:hAnsi="等线" w:eastAsia="仿宋_GB2312"/>
          <w:b/>
          <w:color w:val="auto"/>
          <w:sz w:val="24"/>
          <w:lang w:val="en-GB"/>
        </w:rPr>
      </w:pPr>
      <w:r>
        <w:rPr>
          <w:rFonts w:hint="eastAsia" w:ascii="仿宋_GB2312" w:eastAsia="仿宋_GB2312" w:cs="Courier New"/>
          <w:b/>
          <w:color w:val="auto"/>
          <w:sz w:val="24"/>
        </w:rPr>
        <w:t>10.招标文件的构成</w:t>
      </w:r>
    </w:p>
    <w:p w14:paraId="6EC6B8EA">
      <w:pPr>
        <w:tabs>
          <w:tab w:val="left" w:pos="3870"/>
          <w:tab w:val="left" w:pos="4085"/>
        </w:tabs>
        <w:snapToGrid w:val="0"/>
        <w:spacing w:line="360" w:lineRule="exact"/>
        <w:ind w:right="-330" w:rightChars="-157" w:firstLine="720" w:firstLineChars="300"/>
        <w:jc w:val="left"/>
        <w:rPr>
          <w:rFonts w:ascii="仿宋_GB2312" w:eastAsia="仿宋_GB2312"/>
          <w:color w:val="auto"/>
          <w:sz w:val="24"/>
        </w:rPr>
      </w:pPr>
      <w:r>
        <w:rPr>
          <w:rFonts w:ascii="仿宋_GB2312" w:eastAsia="仿宋_GB2312"/>
          <w:color w:val="auto"/>
          <w:sz w:val="24"/>
        </w:rPr>
        <w:t>（1）公开招标公告；</w:t>
      </w:r>
    </w:p>
    <w:p w14:paraId="3867C339">
      <w:pPr>
        <w:tabs>
          <w:tab w:val="left" w:pos="3870"/>
          <w:tab w:val="left" w:pos="4085"/>
        </w:tabs>
        <w:snapToGrid w:val="0"/>
        <w:spacing w:line="360" w:lineRule="exact"/>
        <w:ind w:right="-330" w:rightChars="-157" w:firstLine="720" w:firstLineChars="300"/>
        <w:jc w:val="left"/>
        <w:rPr>
          <w:rFonts w:ascii="仿宋_GB2312" w:eastAsia="仿宋_GB2312"/>
          <w:color w:val="auto"/>
          <w:sz w:val="24"/>
        </w:rPr>
      </w:pPr>
      <w:r>
        <w:rPr>
          <w:rFonts w:ascii="仿宋_GB2312" w:eastAsia="仿宋_GB2312"/>
          <w:color w:val="auto"/>
          <w:sz w:val="24"/>
        </w:rPr>
        <w:t>（2）采购需求；</w:t>
      </w:r>
    </w:p>
    <w:p w14:paraId="06DBC46A">
      <w:pPr>
        <w:tabs>
          <w:tab w:val="left" w:pos="3870"/>
          <w:tab w:val="left" w:pos="4085"/>
        </w:tabs>
        <w:snapToGrid w:val="0"/>
        <w:spacing w:line="360" w:lineRule="exact"/>
        <w:ind w:right="-330" w:rightChars="-157" w:firstLine="720" w:firstLineChars="300"/>
        <w:jc w:val="left"/>
        <w:rPr>
          <w:rFonts w:ascii="仿宋_GB2312" w:eastAsia="仿宋_GB2312"/>
          <w:color w:val="auto"/>
          <w:sz w:val="24"/>
        </w:rPr>
      </w:pPr>
      <w:r>
        <w:rPr>
          <w:rFonts w:ascii="仿宋_GB2312" w:eastAsia="仿宋_GB2312"/>
          <w:color w:val="auto"/>
          <w:sz w:val="24"/>
        </w:rPr>
        <w:t>（3）投标人须知；</w:t>
      </w:r>
    </w:p>
    <w:p w14:paraId="02A0190D">
      <w:pPr>
        <w:tabs>
          <w:tab w:val="left" w:pos="3870"/>
          <w:tab w:val="left" w:pos="4085"/>
        </w:tabs>
        <w:snapToGrid w:val="0"/>
        <w:spacing w:line="360" w:lineRule="exact"/>
        <w:ind w:right="-330" w:rightChars="-157" w:firstLine="720" w:firstLineChars="300"/>
        <w:jc w:val="left"/>
        <w:rPr>
          <w:rFonts w:ascii="仿宋_GB2312" w:eastAsia="仿宋_GB2312"/>
          <w:color w:val="auto"/>
          <w:sz w:val="24"/>
        </w:rPr>
      </w:pPr>
      <w:r>
        <w:rPr>
          <w:rFonts w:ascii="仿宋_GB2312" w:eastAsia="仿宋_GB2312"/>
          <w:color w:val="auto"/>
          <w:sz w:val="24"/>
        </w:rPr>
        <w:t>（4）评标方法及评标标准；</w:t>
      </w:r>
    </w:p>
    <w:p w14:paraId="2198F61A">
      <w:pPr>
        <w:tabs>
          <w:tab w:val="left" w:pos="3870"/>
          <w:tab w:val="left" w:pos="4085"/>
        </w:tabs>
        <w:snapToGrid w:val="0"/>
        <w:spacing w:line="360" w:lineRule="exact"/>
        <w:ind w:right="-330" w:rightChars="-157" w:firstLine="720" w:firstLineChars="300"/>
        <w:jc w:val="left"/>
        <w:rPr>
          <w:rFonts w:ascii="仿宋_GB2312" w:eastAsia="仿宋_GB2312"/>
          <w:color w:val="auto"/>
          <w:sz w:val="24"/>
        </w:rPr>
      </w:pPr>
      <w:r>
        <w:rPr>
          <w:rFonts w:ascii="仿宋_GB2312" w:eastAsia="仿宋_GB2312"/>
          <w:color w:val="auto"/>
          <w:sz w:val="24"/>
        </w:rPr>
        <w:t>（5）合同主要条款及验收书格式；</w:t>
      </w:r>
    </w:p>
    <w:p w14:paraId="2E3C44B8">
      <w:pPr>
        <w:tabs>
          <w:tab w:val="left" w:pos="3870"/>
          <w:tab w:val="left" w:pos="4085"/>
        </w:tabs>
        <w:snapToGrid w:val="0"/>
        <w:spacing w:line="360" w:lineRule="exact"/>
        <w:ind w:right="-330" w:rightChars="-157" w:firstLine="720" w:firstLineChars="300"/>
        <w:jc w:val="left"/>
        <w:rPr>
          <w:rFonts w:ascii="仿宋_GB2312" w:eastAsia="仿宋_GB2312"/>
          <w:color w:val="auto"/>
          <w:sz w:val="24"/>
        </w:rPr>
      </w:pPr>
      <w:r>
        <w:rPr>
          <w:rFonts w:ascii="仿宋_GB2312" w:eastAsia="仿宋_GB2312"/>
          <w:color w:val="auto"/>
          <w:sz w:val="24"/>
        </w:rPr>
        <w:t>（6）投标文件格式。</w:t>
      </w:r>
    </w:p>
    <w:p w14:paraId="19D9553D">
      <w:pPr>
        <w:snapToGrid w:val="0"/>
        <w:spacing w:line="360" w:lineRule="exact"/>
        <w:ind w:right="-330" w:rightChars="-157" w:firstLine="472" w:firstLineChars="196"/>
        <w:jc w:val="left"/>
        <w:rPr>
          <w:rFonts w:ascii="仿宋_GB2312" w:eastAsia="仿宋_GB2312" w:cs="Courier New"/>
          <w:b/>
          <w:color w:val="auto"/>
          <w:sz w:val="24"/>
        </w:rPr>
      </w:pPr>
      <w:r>
        <w:rPr>
          <w:rFonts w:hint="eastAsia" w:ascii="仿宋_GB2312" w:eastAsia="仿宋_GB2312" w:cs="Courier New"/>
          <w:b/>
          <w:color w:val="auto"/>
          <w:sz w:val="24"/>
        </w:rPr>
        <w:t>11.投标人的风险</w:t>
      </w:r>
    </w:p>
    <w:p w14:paraId="6A8420BE">
      <w:pPr>
        <w:snapToGrid w:val="0"/>
        <w:spacing w:line="360" w:lineRule="exact"/>
        <w:ind w:right="-330" w:rightChars="-157" w:firstLine="420"/>
        <w:jc w:val="left"/>
        <w:rPr>
          <w:rFonts w:ascii="仿宋_GB2312" w:eastAsia="仿宋_GB2312" w:cs="Courier New"/>
          <w:color w:val="auto"/>
          <w:sz w:val="24"/>
        </w:rPr>
      </w:pPr>
      <w:r>
        <w:rPr>
          <w:rFonts w:hint="eastAsia" w:ascii="仿宋_GB2312" w:eastAsia="仿宋_GB2312" w:cs="Courier New"/>
          <w:color w:val="auto"/>
          <w:sz w:val="24"/>
        </w:rPr>
        <w:t>11.1投标人没有按照招标文件要求提供全部资料，或者投标人没有对招标文件在各方面作出实质性响应是投标人的风险，并可能导致其投标被拒绝。</w:t>
      </w:r>
    </w:p>
    <w:p w14:paraId="51D6A7D4">
      <w:pPr>
        <w:snapToGrid w:val="0"/>
        <w:spacing w:line="360" w:lineRule="exact"/>
        <w:ind w:right="-330" w:rightChars="-157" w:firstLine="472" w:firstLineChars="196"/>
        <w:jc w:val="left"/>
        <w:rPr>
          <w:rFonts w:ascii="仿宋_GB2312" w:eastAsia="仿宋_GB2312"/>
          <w:b/>
          <w:color w:val="auto"/>
          <w:sz w:val="24"/>
        </w:rPr>
      </w:pPr>
      <w:r>
        <w:rPr>
          <w:rFonts w:hint="eastAsia" w:ascii="仿宋_GB2312" w:eastAsia="仿宋_GB2312" w:cs="Courier New"/>
          <w:b/>
          <w:color w:val="auto"/>
          <w:sz w:val="24"/>
        </w:rPr>
        <w:t>12.招标文件的澄清与修改</w:t>
      </w:r>
      <w:r>
        <w:rPr>
          <w:rFonts w:hint="eastAsia" w:ascii="仿宋_GB2312" w:eastAsia="仿宋_GB2312"/>
          <w:b/>
          <w:color w:val="auto"/>
          <w:sz w:val="24"/>
        </w:rPr>
        <w:t xml:space="preserve"> </w:t>
      </w:r>
    </w:p>
    <w:p w14:paraId="5351B503">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5E2ED1DC">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12.2采购人或采购代理机构以书面形式答复投标人询问的问题，除书面答复以外的其他澄清方式及澄清内容均无效。</w:t>
      </w:r>
    </w:p>
    <w:p w14:paraId="0E02A463">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12.3招标文件澄清、答复、修改、补充的内容为招标文件的组成部分。当招标文件与招标文件的答复、澄清、修改、补充通知就同一内容的表述不一致时，以最后发出的书面文件为准。</w:t>
      </w:r>
    </w:p>
    <w:p w14:paraId="0FD0DDEA">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12.4招标文件的澄清、答复、修改或补充都应该通过本采购代理机构以法定形式发布，采购人非通过代理机构，不得擅自澄清、答复、修改或补充招标文件。</w:t>
      </w:r>
    </w:p>
    <w:p w14:paraId="477A072F">
      <w:pPr>
        <w:snapToGrid w:val="0"/>
        <w:spacing w:line="360" w:lineRule="exact"/>
        <w:ind w:right="-330" w:rightChars="-157" w:firstLine="420"/>
        <w:jc w:val="left"/>
        <w:rPr>
          <w:rFonts w:ascii="仿宋_GB2312" w:eastAsia="仿宋_GB2312" w:cs="Courier New"/>
          <w:color w:val="auto"/>
          <w:sz w:val="24"/>
        </w:rPr>
      </w:pPr>
      <w:r>
        <w:rPr>
          <w:rFonts w:hint="eastAsia" w:ascii="仿宋_GB2312" w:eastAsia="仿宋_GB2312" w:cs="Courier New"/>
          <w:color w:val="auto"/>
          <w:sz w:val="24"/>
        </w:rPr>
        <w:t>12.5</w:t>
      </w:r>
      <w:r>
        <w:rPr>
          <w:rFonts w:hint="eastAsia" w:ascii="仿宋_GB2312" w:hAnsi="宋体" w:eastAsia="仿宋_GB2312"/>
          <w:color w:val="auto"/>
          <w:sz w:val="24"/>
        </w:rPr>
        <w:t>采购人或采购代理机构可以视采购具体情况，延长</w:t>
      </w:r>
      <w:r>
        <w:rPr>
          <w:rFonts w:hint="eastAsia" w:ascii="仿宋_GB2312" w:eastAsia="仿宋_GB2312"/>
          <w:color w:val="auto"/>
          <w:sz w:val="24"/>
        </w:rPr>
        <w:t>招标文件提供期限，并在财政部门指定的政府采购信息发布媒体上发布公告</w:t>
      </w:r>
      <w:r>
        <w:rPr>
          <w:rFonts w:hint="eastAsia" w:ascii="仿宋_GB2312" w:eastAsia="仿宋_GB2312" w:cs="Courier New"/>
          <w:color w:val="auto"/>
          <w:sz w:val="24"/>
        </w:rPr>
        <w:t>。</w:t>
      </w:r>
    </w:p>
    <w:p w14:paraId="0F2D840B">
      <w:pPr>
        <w:snapToGrid w:val="0"/>
        <w:spacing w:line="360" w:lineRule="exact"/>
        <w:ind w:right="-330" w:rightChars="-157" w:firstLine="472" w:firstLineChars="196"/>
        <w:jc w:val="left"/>
        <w:rPr>
          <w:rFonts w:ascii="仿宋_GB2312" w:eastAsia="仿宋_GB2312" w:cs="Courier New"/>
          <w:b/>
          <w:color w:val="auto"/>
          <w:sz w:val="24"/>
        </w:rPr>
      </w:pPr>
      <w:bookmarkStart w:id="56" w:name="_Toc254970535"/>
      <w:bookmarkStart w:id="57" w:name="_Toc254970676"/>
      <w:r>
        <w:rPr>
          <w:rFonts w:hint="eastAsia" w:ascii="仿宋_GB2312" w:eastAsia="仿宋_GB2312" w:cs="Courier New"/>
          <w:b/>
          <w:color w:val="auto"/>
          <w:sz w:val="24"/>
        </w:rPr>
        <w:t>三、投标文件的编制</w:t>
      </w:r>
      <w:bookmarkEnd w:id="56"/>
      <w:bookmarkEnd w:id="57"/>
    </w:p>
    <w:p w14:paraId="0A31112C">
      <w:pPr>
        <w:snapToGrid w:val="0"/>
        <w:spacing w:line="360" w:lineRule="exact"/>
        <w:ind w:right="-330" w:rightChars="-157" w:firstLine="472" w:firstLineChars="196"/>
        <w:jc w:val="left"/>
        <w:rPr>
          <w:rFonts w:ascii="仿宋_GB2312" w:eastAsia="仿宋_GB2312"/>
          <w:b/>
          <w:color w:val="auto"/>
          <w:sz w:val="24"/>
        </w:rPr>
      </w:pPr>
      <w:r>
        <w:rPr>
          <w:rFonts w:hint="eastAsia" w:ascii="仿宋_GB2312" w:eastAsia="仿宋_GB2312" w:cs="Courier New"/>
          <w:b/>
          <w:color w:val="auto"/>
          <w:sz w:val="24"/>
        </w:rPr>
        <w:t>13.投标文件的组成</w:t>
      </w:r>
    </w:p>
    <w:p w14:paraId="2B0D4088">
      <w:pPr>
        <w:snapToGrid w:val="0"/>
        <w:spacing w:line="400" w:lineRule="exact"/>
        <w:ind w:firstLine="482" w:firstLineChars="200"/>
        <w:jc w:val="left"/>
        <w:rPr>
          <w:rFonts w:ascii="仿宋_GB2312" w:eastAsia="仿宋_GB2312"/>
          <w:b/>
          <w:bCs/>
          <w:color w:val="auto"/>
          <w:sz w:val="24"/>
        </w:rPr>
      </w:pPr>
      <w:r>
        <w:rPr>
          <w:rFonts w:hint="eastAsia" w:ascii="仿宋_GB2312" w:eastAsia="仿宋_GB2312"/>
          <w:b/>
          <w:bCs/>
          <w:color w:val="auto"/>
          <w:sz w:val="24"/>
        </w:rPr>
        <w:t>13.1投标文件由资格文件、报价要求文件、商务技术文件三部分组成。</w:t>
      </w:r>
    </w:p>
    <w:bookmarkEnd w:id="44"/>
    <w:bookmarkEnd w:id="45"/>
    <w:p w14:paraId="52538BEF">
      <w:pPr>
        <w:snapToGrid w:val="0"/>
        <w:spacing w:line="360" w:lineRule="exact"/>
        <w:ind w:right="-330" w:rightChars="-157" w:firstLine="472" w:firstLineChars="196"/>
        <w:jc w:val="left"/>
        <w:rPr>
          <w:rFonts w:ascii="仿宋_GB2312" w:eastAsia="仿宋_GB2312" w:cs="Courier New"/>
          <w:b/>
          <w:color w:val="auto"/>
          <w:sz w:val="24"/>
        </w:rPr>
      </w:pPr>
      <w:r>
        <w:rPr>
          <w:rFonts w:hint="eastAsia" w:ascii="仿宋_GB2312" w:eastAsia="仿宋_GB2312"/>
          <w:b/>
          <w:color w:val="auto"/>
          <w:sz w:val="24"/>
        </w:rPr>
        <w:t>13.1.</w:t>
      </w:r>
      <w:r>
        <w:rPr>
          <w:rFonts w:ascii="仿宋_GB2312" w:eastAsia="仿宋_GB2312"/>
          <w:b/>
          <w:color w:val="auto"/>
          <w:sz w:val="24"/>
        </w:rPr>
        <w:t>1</w:t>
      </w:r>
      <w:r>
        <w:rPr>
          <w:rFonts w:hint="eastAsia" w:ascii="仿宋_GB2312" w:eastAsia="仿宋_GB2312" w:cs="Courier New"/>
          <w:b/>
          <w:bCs/>
          <w:color w:val="auto"/>
          <w:sz w:val="24"/>
        </w:rPr>
        <w:t>资格文件</w:t>
      </w:r>
    </w:p>
    <w:p w14:paraId="4FFD303D">
      <w:pPr>
        <w:snapToGrid w:val="0"/>
        <w:spacing w:line="340" w:lineRule="exact"/>
        <w:ind w:right="-330" w:rightChars="-157" w:firstLine="472" w:firstLineChars="196"/>
        <w:jc w:val="left"/>
        <w:rPr>
          <w:rFonts w:hint="eastAsia" w:ascii="仿宋_GB2312" w:hAnsi="宋体" w:eastAsia="仿宋_GB2312" w:cs="Courier New"/>
          <w:color w:val="auto"/>
          <w:sz w:val="24"/>
        </w:rPr>
      </w:pPr>
      <w:r>
        <w:rPr>
          <w:rFonts w:hint="eastAsia" w:ascii="仿宋_GB2312" w:hAnsi="宋体" w:eastAsia="仿宋_GB2312"/>
          <w:b/>
          <w:bCs/>
          <w:color w:val="auto"/>
          <w:sz w:val="24"/>
        </w:rPr>
        <w:t>注：以下各项必须提供并加盖投标人CA电子签章、按照第六章格式要求签字，否则其投标无效。</w:t>
      </w:r>
    </w:p>
    <w:p w14:paraId="2CEF04F3">
      <w:pPr>
        <w:pStyle w:val="481"/>
        <w:spacing w:before="0" w:beforeAutospacing="0" w:after="0" w:afterAutospacing="0" w:line="360" w:lineRule="atLeast"/>
        <w:rPr>
          <w:rFonts w:ascii="仿宋_GB2312" w:eastAsia="仿宋_GB2312"/>
          <w:color w:val="auto"/>
        </w:rPr>
      </w:pPr>
      <w:r>
        <w:rPr>
          <w:rFonts w:hint="eastAsia" w:ascii="仿宋_GB2312" w:eastAsia="仿宋_GB2312"/>
          <w:color w:val="auto"/>
        </w:rPr>
        <w:t>  （1）法定代表人身份证明书（</w:t>
      </w:r>
      <w:r>
        <w:rPr>
          <w:rFonts w:hint="eastAsia" w:ascii="仿宋_GB2312" w:eastAsia="仿宋_GB2312"/>
          <w:b/>
          <w:bCs/>
          <w:color w:val="auto"/>
        </w:rPr>
        <w:t>必须提供</w:t>
      </w:r>
      <w:r>
        <w:rPr>
          <w:rFonts w:hint="eastAsia" w:ascii="仿宋_GB2312" w:eastAsia="仿宋_GB2312"/>
          <w:color w:val="auto"/>
        </w:rPr>
        <w:t>，格式见第六章）；</w:t>
      </w:r>
    </w:p>
    <w:p w14:paraId="0753E189">
      <w:pPr>
        <w:pStyle w:val="48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（2）法定代表人授权委托书（</w:t>
      </w:r>
      <w:r>
        <w:rPr>
          <w:rFonts w:hint="eastAsia" w:ascii="仿宋_GB2312" w:eastAsia="仿宋_GB2312"/>
          <w:b/>
          <w:bCs/>
          <w:color w:val="auto"/>
        </w:rPr>
        <w:t>委托代理时必须提供</w:t>
      </w:r>
      <w:r>
        <w:rPr>
          <w:rFonts w:hint="eastAsia" w:ascii="仿宋_GB2312" w:eastAsia="仿宋_GB2312"/>
          <w:color w:val="auto"/>
        </w:rPr>
        <w:t>，格式见第六章）；</w:t>
      </w:r>
    </w:p>
    <w:p w14:paraId="7D49F021">
      <w:pPr>
        <w:pStyle w:val="48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（3）投标人资格声明函（</w:t>
      </w:r>
      <w:r>
        <w:rPr>
          <w:rFonts w:hint="eastAsia" w:ascii="仿宋_GB2312" w:eastAsia="仿宋_GB2312"/>
          <w:b/>
          <w:bCs/>
          <w:color w:val="auto"/>
        </w:rPr>
        <w:t>必须提供</w:t>
      </w:r>
      <w:r>
        <w:rPr>
          <w:rFonts w:hint="eastAsia" w:ascii="仿宋_GB2312" w:eastAsia="仿宋_GB2312"/>
          <w:color w:val="auto"/>
        </w:rPr>
        <w:t>，格式见第六章）；</w:t>
      </w:r>
    </w:p>
    <w:p w14:paraId="7EDA047C">
      <w:pPr>
        <w:pStyle w:val="48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（4）投标人有效主体资格证明（如营业执照、事业单位法人证书、执业许可证、自然人身份证等）（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w:t>
      </w:r>
    </w:p>
    <w:p w14:paraId="3772CC62">
      <w:pPr>
        <w:pStyle w:val="48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（5）本项目</w:t>
      </w:r>
      <w:r>
        <w:rPr>
          <w:rFonts w:hint="eastAsia" w:ascii="仿宋_GB2312" w:eastAsia="仿宋_GB2312"/>
          <w:color w:val="auto"/>
          <w:lang w:val="en-US" w:eastAsia="zh-CN"/>
        </w:rPr>
        <w:t>分标</w:t>
      </w:r>
      <w:r>
        <w:rPr>
          <w:rFonts w:hint="eastAsia" w:ascii="仿宋_GB2312" w:eastAsia="仿宋_GB2312"/>
          <w:color w:val="auto"/>
        </w:rPr>
        <w:t>一、</w:t>
      </w:r>
      <w:r>
        <w:rPr>
          <w:rFonts w:hint="eastAsia" w:ascii="仿宋_GB2312" w:eastAsia="仿宋_GB2312"/>
          <w:color w:val="auto"/>
          <w:lang w:val="en-US" w:eastAsia="zh-CN"/>
        </w:rPr>
        <w:t>分标</w:t>
      </w:r>
      <w:r>
        <w:rPr>
          <w:rFonts w:hint="eastAsia" w:ascii="仿宋_GB2312" w:eastAsia="仿宋_GB2312"/>
          <w:color w:val="auto"/>
        </w:rPr>
        <w:t>二、</w:t>
      </w:r>
      <w:r>
        <w:rPr>
          <w:rFonts w:hint="eastAsia" w:ascii="仿宋_GB2312" w:eastAsia="仿宋_GB2312"/>
          <w:color w:val="auto"/>
          <w:lang w:val="en-US" w:eastAsia="zh-CN"/>
        </w:rPr>
        <w:t>分标</w:t>
      </w:r>
      <w:r>
        <w:rPr>
          <w:rFonts w:hint="eastAsia" w:ascii="仿宋_GB2312" w:eastAsia="仿宋_GB2312"/>
          <w:color w:val="auto"/>
        </w:rPr>
        <w:t>三属于专门面向中小企业采购的项目，投标人</w:t>
      </w:r>
      <w:r>
        <w:rPr>
          <w:rFonts w:hint="eastAsia" w:ascii="仿宋_GB2312" w:eastAsia="仿宋_GB2312"/>
          <w:b/>
          <w:bCs/>
          <w:color w:val="auto"/>
        </w:rPr>
        <w:t>必须提供</w:t>
      </w:r>
      <w:r>
        <w:rPr>
          <w:rFonts w:hint="eastAsia" w:ascii="仿宋_GB2312" w:eastAsia="仿宋_GB2312"/>
          <w:color w:val="auto"/>
        </w:rPr>
        <w:t>以下中小企业证明材料之一：</w:t>
      </w:r>
      <w:r>
        <w:rPr>
          <w:rFonts w:hint="eastAsia" w:ascii="仿宋_GB2312" w:eastAsia="仿宋_GB2312"/>
          <w:color w:val="auto"/>
        </w:rPr>
        <w:br w:type="textWrapping"/>
      </w:r>
      <w:r>
        <w:rPr>
          <w:rFonts w:hint="eastAsia" w:ascii="仿宋_GB2312" w:eastAsia="仿宋_GB2312"/>
          <w:color w:val="auto"/>
        </w:rPr>
        <w:t>   ①中小企业声明函（货物由中小企业制造的</w:t>
      </w:r>
      <w:r>
        <w:rPr>
          <w:rFonts w:hint="eastAsia" w:ascii="仿宋_GB2312" w:eastAsia="仿宋_GB2312"/>
          <w:b/>
          <w:bCs/>
          <w:color w:val="auto"/>
        </w:rPr>
        <w:t>必须提供</w:t>
      </w:r>
      <w:r>
        <w:rPr>
          <w:rFonts w:hint="eastAsia" w:ascii="仿宋_GB2312" w:eastAsia="仿宋_GB2312"/>
          <w:color w:val="auto"/>
        </w:rPr>
        <w:t>，格式见第六章）；</w:t>
      </w:r>
      <w:r>
        <w:rPr>
          <w:rFonts w:hint="eastAsia" w:ascii="仿宋_GB2312" w:eastAsia="仿宋_GB2312"/>
          <w:color w:val="auto"/>
        </w:rPr>
        <w:br w:type="textWrapping"/>
      </w:r>
      <w:r>
        <w:rPr>
          <w:rFonts w:hint="eastAsia" w:ascii="仿宋_GB2312" w:eastAsia="仿宋_GB2312"/>
          <w:color w:val="auto"/>
        </w:rPr>
        <w:t>   ②残疾人福利性单位声明函（货物由残疾人福利性单位制造的</w:t>
      </w:r>
      <w:r>
        <w:rPr>
          <w:rFonts w:hint="eastAsia" w:ascii="仿宋_GB2312" w:eastAsia="仿宋_GB2312"/>
          <w:b/>
          <w:bCs/>
          <w:color w:val="auto"/>
        </w:rPr>
        <w:t>必须提供</w:t>
      </w:r>
      <w:r>
        <w:rPr>
          <w:rFonts w:hint="eastAsia" w:ascii="仿宋_GB2312" w:eastAsia="仿宋_GB2312"/>
          <w:color w:val="auto"/>
        </w:rPr>
        <w:t>，格式见第六章）；</w:t>
      </w:r>
      <w:r>
        <w:rPr>
          <w:rFonts w:hint="eastAsia" w:ascii="仿宋_GB2312" w:eastAsia="仿宋_GB2312"/>
          <w:color w:val="auto"/>
        </w:rPr>
        <w:br w:type="textWrapping"/>
      </w:r>
      <w:r>
        <w:rPr>
          <w:rFonts w:hint="eastAsia" w:ascii="仿宋_GB2312" w:eastAsia="仿宋_GB2312"/>
          <w:color w:val="auto"/>
        </w:rPr>
        <w:t>   ③监狱企业由省级以上监狱管理局、戒毒管理局（含新疆生产建设兵团）出具的属于监狱企业的证明文件（货物由监狱企业制造的</w:t>
      </w:r>
      <w:r>
        <w:rPr>
          <w:rFonts w:hint="eastAsia" w:ascii="仿宋_GB2312" w:eastAsia="仿宋_GB2312"/>
          <w:b/>
          <w:bCs/>
          <w:color w:val="auto"/>
        </w:rPr>
        <w:t>必须提供</w:t>
      </w:r>
      <w:r>
        <w:rPr>
          <w:rFonts w:hint="eastAsia" w:ascii="仿宋_GB2312" w:eastAsia="仿宋_GB2312"/>
          <w:color w:val="auto"/>
        </w:rPr>
        <w:t>）；</w:t>
      </w:r>
    </w:p>
    <w:p w14:paraId="0A7A6F10">
      <w:pPr>
        <w:snapToGrid w:val="0"/>
        <w:spacing w:line="40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13.1.2报价要求文件</w:t>
      </w:r>
    </w:p>
    <w:p w14:paraId="5EEB3E25">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b/>
          <w:bCs/>
          <w:color w:val="auto"/>
          <w:sz w:val="24"/>
        </w:rPr>
        <w:t>注：以下各项必须提供并加盖投标人</w:t>
      </w:r>
      <w:r>
        <w:rPr>
          <w:rFonts w:hint="eastAsia" w:ascii="仿宋_GB2312" w:hAnsi="宋体" w:eastAsia="仿宋_GB2312"/>
          <w:b/>
          <w:bCs/>
          <w:color w:val="auto"/>
          <w:sz w:val="24"/>
        </w:rPr>
        <w:t>CA电子签章</w:t>
      </w:r>
      <w:r>
        <w:rPr>
          <w:rFonts w:hint="eastAsia" w:ascii="仿宋_GB2312" w:eastAsia="仿宋_GB2312" w:cs="Courier New"/>
          <w:b/>
          <w:bCs/>
          <w:color w:val="auto"/>
          <w:sz w:val="24"/>
        </w:rPr>
        <w:t>、</w:t>
      </w:r>
      <w:r>
        <w:rPr>
          <w:rFonts w:hint="eastAsia" w:ascii="仿宋_GB2312" w:eastAsia="仿宋_GB2312"/>
          <w:b/>
          <w:bCs/>
          <w:color w:val="auto"/>
          <w:sz w:val="24"/>
        </w:rPr>
        <w:t>按照第六章格式要求签字，</w:t>
      </w:r>
      <w:r>
        <w:rPr>
          <w:rFonts w:hint="eastAsia" w:ascii="仿宋_GB2312" w:eastAsia="仿宋_GB2312" w:cs="Courier New"/>
          <w:b/>
          <w:bCs/>
          <w:color w:val="auto"/>
          <w:sz w:val="24"/>
        </w:rPr>
        <w:t>否则其投标无效。</w:t>
      </w:r>
    </w:p>
    <w:p w14:paraId="75DC13B6">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（1）开标一览表（</w:t>
      </w:r>
      <w:r>
        <w:rPr>
          <w:rFonts w:hint="eastAsia" w:ascii="仿宋_GB2312" w:eastAsia="仿宋_GB2312"/>
          <w:b/>
          <w:bCs/>
          <w:color w:val="auto"/>
          <w:sz w:val="24"/>
        </w:rPr>
        <w:t>必须提供</w:t>
      </w:r>
      <w:r>
        <w:rPr>
          <w:rFonts w:hint="eastAsia" w:ascii="仿宋_GB2312" w:eastAsia="仿宋_GB2312"/>
          <w:color w:val="auto"/>
          <w:sz w:val="24"/>
        </w:rPr>
        <w:t>，格式见第六章</w:t>
      </w:r>
      <w:r>
        <w:rPr>
          <w:rFonts w:hint="eastAsia" w:ascii="仿宋_GB2312" w:eastAsia="仿宋_GB2312" w:cs="Courier New"/>
          <w:color w:val="auto"/>
          <w:sz w:val="24"/>
        </w:rPr>
        <w:t>）；</w:t>
      </w:r>
    </w:p>
    <w:p w14:paraId="2F371DC3">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（2）投标报价明细表（</w:t>
      </w:r>
      <w:r>
        <w:rPr>
          <w:rFonts w:hint="eastAsia" w:ascii="仿宋_GB2312" w:eastAsia="仿宋_GB2312"/>
          <w:b/>
          <w:bCs/>
          <w:color w:val="auto"/>
          <w:sz w:val="24"/>
        </w:rPr>
        <w:t>必须提供，</w:t>
      </w:r>
      <w:r>
        <w:rPr>
          <w:rFonts w:hint="eastAsia" w:ascii="仿宋_GB2312" w:eastAsia="仿宋_GB2312"/>
          <w:color w:val="auto"/>
          <w:sz w:val="24"/>
        </w:rPr>
        <w:t>格式见第六章</w:t>
      </w:r>
      <w:r>
        <w:rPr>
          <w:rFonts w:hint="eastAsia" w:ascii="仿宋_GB2312" w:eastAsia="仿宋_GB2312" w:cs="Courier New"/>
          <w:color w:val="auto"/>
          <w:sz w:val="24"/>
        </w:rPr>
        <w:t>）。</w:t>
      </w:r>
    </w:p>
    <w:p w14:paraId="5A22CB59">
      <w:pPr>
        <w:snapToGrid w:val="0"/>
        <w:spacing w:line="340" w:lineRule="exact"/>
        <w:ind w:right="-330" w:rightChars="-157" w:firstLine="441" w:firstLineChars="183"/>
        <w:jc w:val="left"/>
        <w:rPr>
          <w:rFonts w:ascii="仿宋_GB2312" w:eastAsia="仿宋_GB2312" w:cs="Courier New"/>
          <w:b/>
          <w:color w:val="auto"/>
          <w:sz w:val="24"/>
        </w:rPr>
      </w:pPr>
      <w:r>
        <w:rPr>
          <w:rFonts w:hint="eastAsia" w:ascii="仿宋_GB2312" w:eastAsia="仿宋_GB2312"/>
          <w:b/>
          <w:color w:val="auto"/>
          <w:sz w:val="24"/>
        </w:rPr>
        <w:t>13.1.3商务技术文件</w:t>
      </w:r>
    </w:p>
    <w:p w14:paraId="0ED26A56">
      <w:pPr>
        <w:snapToGrid w:val="0"/>
        <w:spacing w:line="340" w:lineRule="exact"/>
        <w:ind w:right="-330" w:rightChars="-157" w:firstLine="472" w:firstLineChars="196"/>
        <w:jc w:val="left"/>
        <w:rPr>
          <w:rFonts w:hint="eastAsia" w:ascii="仿宋_GB2312" w:hAnsi="宋体" w:eastAsia="仿宋_GB2312" w:cs="Courier New"/>
          <w:color w:val="auto"/>
          <w:sz w:val="24"/>
        </w:rPr>
      </w:pPr>
      <w:bookmarkStart w:id="58" w:name="_Hlk517112171"/>
      <w:bookmarkStart w:id="59" w:name="_Toc254970678"/>
      <w:bookmarkStart w:id="60" w:name="_Hlk517112217"/>
      <w:bookmarkStart w:id="61" w:name="_Toc254970537"/>
      <w:r>
        <w:rPr>
          <w:rFonts w:hint="eastAsia" w:ascii="仿宋_GB2312" w:hAnsi="宋体" w:eastAsia="仿宋_GB2312"/>
          <w:b/>
          <w:bCs/>
          <w:color w:val="auto"/>
          <w:sz w:val="24"/>
        </w:rPr>
        <w:t>注：以下第（1）至第（3）项必须提供并加盖投标人CA电子签章、并按照第六章格式要求签字，否则投标无效。其余各项如有请提供，同时要加盖投标人CA电子签章，否则该材料被视为无效。</w:t>
      </w:r>
    </w:p>
    <w:bookmarkEnd w:id="58"/>
    <w:p w14:paraId="24C1DD18">
      <w:pPr>
        <w:pStyle w:val="620"/>
        <w:spacing w:before="0" w:beforeAutospacing="0" w:after="0" w:afterAutospacing="0" w:line="360" w:lineRule="atLeast"/>
        <w:rPr>
          <w:rFonts w:ascii="仿宋_GB2312" w:eastAsia="仿宋_GB2312"/>
          <w:color w:val="auto"/>
        </w:rPr>
      </w:pPr>
      <w:r>
        <w:rPr>
          <w:rFonts w:hint="eastAsia" w:ascii="仿宋_GB2312" w:eastAsia="仿宋_GB2312"/>
          <w:color w:val="auto"/>
        </w:rPr>
        <w:t>  （1）投标函（</w:t>
      </w:r>
      <w:r>
        <w:rPr>
          <w:rFonts w:hint="eastAsia" w:ascii="仿宋_GB2312" w:eastAsia="仿宋_GB2312"/>
          <w:b/>
          <w:bCs/>
          <w:color w:val="auto"/>
        </w:rPr>
        <w:t>必须提供</w:t>
      </w:r>
      <w:r>
        <w:rPr>
          <w:rFonts w:hint="eastAsia" w:ascii="仿宋_GB2312" w:eastAsia="仿宋_GB2312"/>
          <w:color w:val="auto"/>
        </w:rPr>
        <w:t>，格式见第六章）；</w:t>
      </w:r>
    </w:p>
    <w:p w14:paraId="3EE5C704">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（2）技术响应表（</w:t>
      </w:r>
      <w:r>
        <w:rPr>
          <w:rFonts w:hint="eastAsia" w:ascii="仿宋_GB2312" w:eastAsia="仿宋_GB2312"/>
          <w:b/>
          <w:bCs/>
          <w:color w:val="auto"/>
        </w:rPr>
        <w:t>必须提供</w:t>
      </w:r>
      <w:r>
        <w:rPr>
          <w:rFonts w:hint="eastAsia" w:ascii="仿宋_GB2312" w:eastAsia="仿宋_GB2312"/>
          <w:color w:val="auto"/>
        </w:rPr>
        <w:t>，格式见第六章）；</w:t>
      </w:r>
    </w:p>
    <w:p w14:paraId="64DC90F7">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（3）商务响应表（</w:t>
      </w:r>
      <w:r>
        <w:rPr>
          <w:rFonts w:hint="eastAsia" w:ascii="仿宋_GB2312" w:eastAsia="仿宋_GB2312"/>
          <w:b/>
          <w:bCs/>
          <w:color w:val="auto"/>
        </w:rPr>
        <w:t>必须提供</w:t>
      </w:r>
      <w:r>
        <w:rPr>
          <w:rFonts w:hint="eastAsia" w:ascii="仿宋_GB2312" w:eastAsia="仿宋_GB2312"/>
          <w:color w:val="auto"/>
        </w:rPr>
        <w:t>，格式见第六章）；</w:t>
      </w:r>
    </w:p>
    <w:p w14:paraId="1EA94CC7">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（4）项目实施方案（如有，格式见第六章）；</w:t>
      </w:r>
    </w:p>
    <w:p w14:paraId="65008A17">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（5）生产能力和质量保障能力方案（如有，格式见第六章）；</w:t>
      </w:r>
    </w:p>
    <w:p w14:paraId="3C948840">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（6）产品设计方案（如有，格式见第六章）；</w:t>
      </w:r>
    </w:p>
    <w:p w14:paraId="7F621632">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（7）售后服务方案（如有，格式见第六章）；</w:t>
      </w:r>
    </w:p>
    <w:p w14:paraId="466002F7">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（8）</w:t>
      </w:r>
      <w:r>
        <w:rPr>
          <w:rFonts w:hint="eastAsia" w:ascii="仿宋_GB2312" w:eastAsia="仿宋_GB2312"/>
          <w:color w:val="auto"/>
          <w:lang w:val="en-US" w:eastAsia="zh-CN"/>
        </w:rPr>
        <w:t>分标一、分标</w:t>
      </w:r>
      <w:r>
        <w:rPr>
          <w:rFonts w:hint="eastAsia" w:ascii="仿宋_GB2312" w:eastAsia="仿宋_GB2312"/>
          <w:color w:val="auto"/>
        </w:rPr>
        <w:t>二</w:t>
      </w:r>
      <w:r>
        <w:rPr>
          <w:rFonts w:hint="eastAsia" w:ascii="仿宋_GB2312" w:eastAsia="仿宋_GB2312"/>
          <w:color w:val="auto"/>
          <w:lang w:eastAsia="zh-CN"/>
        </w:rPr>
        <w:t>、</w:t>
      </w:r>
      <w:r>
        <w:rPr>
          <w:rFonts w:hint="eastAsia" w:ascii="仿宋_GB2312" w:eastAsia="仿宋_GB2312"/>
          <w:color w:val="auto"/>
          <w:lang w:val="en-US" w:eastAsia="zh-CN"/>
        </w:rPr>
        <w:t>分标三</w:t>
      </w:r>
      <w:r>
        <w:rPr>
          <w:rFonts w:hint="eastAsia" w:ascii="仿宋_GB2312" w:eastAsia="仿宋_GB2312"/>
          <w:color w:val="auto"/>
        </w:rPr>
        <w:t>所投标记“●”号产品材料带下划线“＿”的技术参数，提供2020年以来具有CMA标识的检测（检验）报告（如有）；</w:t>
      </w:r>
    </w:p>
    <w:p w14:paraId="3D133233">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（9）投标人或投标产品生产厂家具备有效的质量管理体系认证证书（如有）；</w:t>
      </w:r>
    </w:p>
    <w:p w14:paraId="3B70D761">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（10）投标人或投标产品生产厂家具备有效的职业健康安全管理体系认证证书（如有）；</w:t>
      </w:r>
    </w:p>
    <w:p w14:paraId="5B3E0BBF">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（11）投标人或投标产品生产厂家具备有效的环境管理体系认证证书（如有）；</w:t>
      </w:r>
    </w:p>
    <w:p w14:paraId="2F7A81D6">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（12）投标产品为非政府强制采购节能产品，由国家确定的认证机构出具的、处于有效期之内的节能产品认证证书（如有）；</w:t>
      </w:r>
    </w:p>
    <w:p w14:paraId="047E90BE">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（13）投标人对本项目的合理化建议和改进措施（如有，格式自拟）；</w:t>
      </w:r>
    </w:p>
    <w:p w14:paraId="2D47A139">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（14）投标人认为必要提供的声明及文件资料（如有，格式自拟）。</w:t>
      </w:r>
    </w:p>
    <w:bookmarkEnd w:id="59"/>
    <w:bookmarkEnd w:id="60"/>
    <w:bookmarkEnd w:id="61"/>
    <w:p w14:paraId="4B4E1B73">
      <w:pPr>
        <w:snapToGrid w:val="0"/>
        <w:spacing w:line="400" w:lineRule="exact"/>
        <w:ind w:firstLine="422" w:firstLineChars="175"/>
        <w:jc w:val="left"/>
        <w:rPr>
          <w:rFonts w:ascii="仿宋_GB2312" w:eastAsia="仿宋_GB2312" w:cs="Courier New"/>
          <w:b/>
          <w:color w:val="auto"/>
          <w:sz w:val="24"/>
        </w:rPr>
      </w:pPr>
      <w:r>
        <w:rPr>
          <w:rFonts w:hint="eastAsia" w:ascii="仿宋_GB2312" w:eastAsia="仿宋_GB2312" w:cs="Courier New"/>
          <w:b/>
          <w:color w:val="auto"/>
          <w:sz w:val="24"/>
        </w:rPr>
        <w:t>14.投标文件的语言及计量</w:t>
      </w:r>
    </w:p>
    <w:p w14:paraId="6D09A46C">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14.1投标文件以及投标人与采购代理机构就有关投标事宜的所有来往函电，均应以中文汉语书写。除签字、盖章、专用名称等特殊情形外，以中文汉语以外的文字表述的投标文件视同未提供。</w:t>
      </w:r>
    </w:p>
    <w:p w14:paraId="09430E19">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14.2投标计量单位，招标文件已有明确规定的，使用招标文件规定的计量单位；招标文件没有规定的，应采用中华人民共和国法定计量单位，否则视同未响应。</w:t>
      </w:r>
    </w:p>
    <w:p w14:paraId="0830411A">
      <w:pPr>
        <w:snapToGrid w:val="0"/>
        <w:spacing w:line="400" w:lineRule="exact"/>
        <w:ind w:firstLine="422" w:firstLineChars="175"/>
        <w:jc w:val="left"/>
        <w:rPr>
          <w:rFonts w:ascii="仿宋_GB2312" w:eastAsia="仿宋_GB2312" w:cs="Courier New"/>
          <w:b/>
          <w:color w:val="auto"/>
          <w:sz w:val="24"/>
        </w:rPr>
      </w:pPr>
      <w:bookmarkStart w:id="62" w:name="_Toc254970538"/>
      <w:bookmarkStart w:id="63" w:name="_Toc254970679"/>
      <w:r>
        <w:rPr>
          <w:rFonts w:hint="eastAsia" w:ascii="仿宋_GB2312" w:eastAsia="仿宋_GB2312" w:cs="Courier New"/>
          <w:b/>
          <w:color w:val="auto"/>
          <w:sz w:val="24"/>
        </w:rPr>
        <w:t>15.投标报价</w:t>
      </w:r>
      <w:bookmarkEnd w:id="62"/>
      <w:bookmarkEnd w:id="63"/>
    </w:p>
    <w:p w14:paraId="7AC79558">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15.1投标报价应按招标文件中相关附表格式填写。</w:t>
      </w:r>
    </w:p>
    <w:p w14:paraId="36559774">
      <w:pPr>
        <w:snapToGrid w:val="0"/>
        <w:spacing w:line="360" w:lineRule="exact"/>
        <w:ind w:right="-330" w:rightChars="-157" w:firstLine="420"/>
        <w:jc w:val="left"/>
        <w:rPr>
          <w:rFonts w:ascii="仿宋_GB2312" w:eastAsia="仿宋_GB2312" w:cs="Courier New"/>
          <w:color w:val="auto"/>
          <w:sz w:val="24"/>
        </w:rPr>
      </w:pPr>
      <w:r>
        <w:rPr>
          <w:rFonts w:hint="eastAsia" w:ascii="仿宋_GB2312" w:eastAsia="仿宋_GB2312" w:cs="Courier New"/>
          <w:color w:val="auto"/>
          <w:sz w:val="24"/>
        </w:rPr>
        <w:t>15.2投标报价是履行合同的最终价格，应包括货物及货物运抵指定交付地点的所有成本、各种费用的总和。</w:t>
      </w:r>
    </w:p>
    <w:p w14:paraId="0A4D7F74">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15.3投标文件只允许有一个总报价，有选择的或有条件的报价将不予接受。</w:t>
      </w:r>
    </w:p>
    <w:p w14:paraId="31C9DE07">
      <w:pPr>
        <w:snapToGrid w:val="0"/>
        <w:spacing w:line="400" w:lineRule="exact"/>
        <w:ind w:firstLine="422" w:firstLineChars="175"/>
        <w:jc w:val="left"/>
        <w:rPr>
          <w:rFonts w:ascii="仿宋_GB2312" w:eastAsia="仿宋_GB2312" w:cs="Courier New"/>
          <w:b/>
          <w:color w:val="auto"/>
          <w:sz w:val="24"/>
        </w:rPr>
      </w:pPr>
      <w:r>
        <w:rPr>
          <w:rFonts w:hint="eastAsia" w:ascii="仿宋_GB2312" w:eastAsia="仿宋_GB2312" w:cs="Courier New"/>
          <w:b/>
          <w:color w:val="auto"/>
          <w:sz w:val="24"/>
        </w:rPr>
        <w:t>16.投标文件的有效期</w:t>
      </w:r>
    </w:p>
    <w:p w14:paraId="68F48626">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16.1 投标截止日期后不得少于90天，投标文件应保持有效。有效期不足的投标文件将被拒绝，视为投标无效。</w:t>
      </w:r>
    </w:p>
    <w:p w14:paraId="4DE7408F">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16.2在特殊情况下，采购人可与投标人协商延长投标书的有效期，这种要求和答复均以书面形式进行。</w:t>
      </w:r>
    </w:p>
    <w:p w14:paraId="5095C9E9">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 xml:space="preserve">16.3投标人可拒绝接受延长有效期要求，同意延长有效期的投标人不能修改投标文件其它内容。 </w:t>
      </w:r>
    </w:p>
    <w:p w14:paraId="39DF4A30">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16.4投标人的投标文件在投标有效期内保持有效；如中标，投标文件至合同履行完毕止均应保持有效。</w:t>
      </w:r>
    </w:p>
    <w:p w14:paraId="7B07775E">
      <w:pPr>
        <w:spacing w:line="400" w:lineRule="exact"/>
        <w:ind w:firstLine="472" w:firstLineChars="196"/>
        <w:rPr>
          <w:rFonts w:ascii="仿宋_GB2312" w:eastAsia="仿宋_GB2312" w:cs="Courier New"/>
          <w:b/>
          <w:color w:val="auto"/>
          <w:sz w:val="24"/>
        </w:rPr>
      </w:pPr>
      <w:bookmarkStart w:id="64" w:name="_Toc254970682"/>
      <w:bookmarkStart w:id="65" w:name="_Toc254970541"/>
      <w:r>
        <w:rPr>
          <w:rFonts w:hint="eastAsia" w:ascii="仿宋_GB2312" w:eastAsia="仿宋_GB2312" w:cs="Courier New"/>
          <w:b/>
          <w:color w:val="auto"/>
          <w:sz w:val="24"/>
        </w:rPr>
        <w:t>17.投标保证金</w:t>
      </w:r>
      <w:bookmarkEnd w:id="64"/>
      <w:bookmarkEnd w:id="65"/>
    </w:p>
    <w:p w14:paraId="6947AD72">
      <w:pPr>
        <w:snapToGrid w:val="0"/>
        <w:spacing w:line="400" w:lineRule="exact"/>
        <w:ind w:firstLine="420"/>
        <w:jc w:val="left"/>
        <w:rPr>
          <w:rFonts w:ascii="仿宋_GB2312" w:eastAsia="仿宋_GB2312" w:cs="Courier New"/>
          <w:color w:val="auto"/>
          <w:sz w:val="24"/>
        </w:rPr>
      </w:pPr>
      <w:bookmarkStart w:id="66" w:name="_Toc254970542"/>
      <w:bookmarkStart w:id="67" w:name="_Toc254970683"/>
      <w:r>
        <w:rPr>
          <w:rFonts w:hint="eastAsia" w:ascii="仿宋_GB2312" w:eastAsia="仿宋_GB2312" w:cs="Courier New"/>
          <w:color w:val="auto"/>
          <w:sz w:val="24"/>
        </w:rPr>
        <w:t>17.1本项目无需提交投标保证金。</w:t>
      </w:r>
    </w:p>
    <w:p w14:paraId="7B99B941">
      <w:pPr>
        <w:snapToGrid w:val="0"/>
        <w:spacing w:line="400" w:lineRule="exact"/>
        <w:ind w:firstLine="422" w:firstLineChars="175"/>
        <w:jc w:val="left"/>
        <w:rPr>
          <w:rFonts w:ascii="仿宋_GB2312" w:eastAsia="仿宋_GB2312" w:cs="Courier New"/>
          <w:b/>
          <w:color w:val="auto"/>
          <w:sz w:val="24"/>
        </w:rPr>
      </w:pPr>
      <w:r>
        <w:rPr>
          <w:rFonts w:hint="eastAsia" w:ascii="仿宋_GB2312" w:eastAsia="仿宋_GB2312" w:cs="Courier New"/>
          <w:b/>
          <w:color w:val="auto"/>
          <w:sz w:val="24"/>
        </w:rPr>
        <w:t>18.电子投标文件的</w:t>
      </w:r>
      <w:bookmarkEnd w:id="66"/>
      <w:bookmarkEnd w:id="67"/>
      <w:r>
        <w:rPr>
          <w:rFonts w:hint="eastAsia" w:ascii="仿宋_GB2312" w:eastAsia="仿宋_GB2312" w:cs="Courier New"/>
          <w:b/>
          <w:color w:val="auto"/>
          <w:sz w:val="24"/>
        </w:rPr>
        <w:t>编制、加密要求</w:t>
      </w:r>
    </w:p>
    <w:p w14:paraId="371E3233">
      <w:pPr>
        <w:spacing w:line="360" w:lineRule="auto"/>
        <w:ind w:firstLine="480" w:firstLineChars="200"/>
        <w:rPr>
          <w:rFonts w:ascii="仿宋_GB2312" w:eastAsia="仿宋_GB2312"/>
          <w:color w:val="auto"/>
          <w:sz w:val="24"/>
        </w:rPr>
      </w:pPr>
      <w:r>
        <w:rPr>
          <w:rFonts w:hint="eastAsia" w:ascii="仿宋_GB2312" w:eastAsia="仿宋_GB2312" w:cs="Courier New"/>
          <w:color w:val="auto"/>
          <w:sz w:val="24"/>
        </w:rPr>
        <w:t>18.1投标人应按本招标文件规定的格式</w:t>
      </w:r>
      <w:r>
        <w:rPr>
          <w:rFonts w:hint="eastAsia" w:ascii="仿宋_GB2312" w:eastAsia="仿宋_GB2312"/>
          <w:color w:val="auto"/>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color w:val="auto"/>
          <w:sz w:val="24"/>
        </w:rPr>
        <w:t>未设置或设置关联点错误导致</w:t>
      </w:r>
      <w:r>
        <w:rPr>
          <w:rFonts w:hint="eastAsia" w:ascii="仿宋_GB2312" w:eastAsia="仿宋_GB2312"/>
          <w:color w:val="auto"/>
          <w:sz w:val="24"/>
        </w:rPr>
        <w:t>电子</w:t>
      </w:r>
      <w:r>
        <w:rPr>
          <w:rFonts w:hint="eastAsia" w:ascii="仿宋_GB2312" w:hAnsi="宋体" w:eastAsia="仿宋_GB2312"/>
          <w:color w:val="auto"/>
          <w:sz w:val="24"/>
        </w:rPr>
        <w:t>投标文件被误读、漏读或者查找不到相关内容，</w:t>
      </w:r>
      <w:r>
        <w:rPr>
          <w:rFonts w:hint="eastAsia" w:ascii="仿宋_GB2312" w:eastAsia="仿宋_GB2312"/>
          <w:color w:val="auto"/>
          <w:sz w:val="24"/>
        </w:rPr>
        <w:t>导致评标委员会在评审时做出对投标人不利的评审，所引起的后果由投标人自行承担。</w:t>
      </w:r>
    </w:p>
    <w:p w14:paraId="080E1D2E">
      <w:pPr>
        <w:spacing w:line="360" w:lineRule="auto"/>
        <w:ind w:firstLine="480" w:firstLineChars="200"/>
        <w:rPr>
          <w:rFonts w:ascii="仿宋_GB2312" w:eastAsia="仿宋_GB2312"/>
          <w:b/>
          <w:bCs/>
          <w:color w:val="auto"/>
          <w:sz w:val="24"/>
        </w:rPr>
      </w:pPr>
      <w:r>
        <w:rPr>
          <w:rFonts w:hint="eastAsia" w:ascii="仿宋_GB2312" w:eastAsia="仿宋_GB2312"/>
          <w:color w:val="auto"/>
          <w:sz w:val="24"/>
        </w:rPr>
        <w:t>18.2</w:t>
      </w:r>
      <w:r>
        <w:rPr>
          <w:rFonts w:hint="eastAsia" w:ascii="仿宋_GB2312" w:eastAsia="仿宋_GB2312"/>
          <w:b/>
          <w:bCs/>
          <w:color w:val="auto"/>
          <w:sz w:val="24"/>
        </w:rPr>
        <w:t>公开招标文件中规定须由投标人在规定处盖章的，投标人应加盖CA电子签章，否则视为投标无效。</w:t>
      </w:r>
    </w:p>
    <w:p w14:paraId="4B049773">
      <w:pPr>
        <w:spacing w:line="360" w:lineRule="auto"/>
        <w:ind w:firstLine="482" w:firstLineChars="200"/>
        <w:rPr>
          <w:rFonts w:ascii="仿宋_GB2312" w:eastAsia="仿宋_GB2312"/>
          <w:b/>
          <w:color w:val="auto"/>
          <w:sz w:val="24"/>
        </w:rPr>
      </w:pPr>
      <w:r>
        <w:rPr>
          <w:rFonts w:hint="eastAsia" w:ascii="仿宋_GB2312" w:eastAsia="仿宋_GB2312"/>
          <w:b/>
          <w:bCs/>
          <w:color w:val="auto"/>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color w:val="auto"/>
          <w:sz w:val="24"/>
        </w:rPr>
        <w:t>否则视为投标无效。</w:t>
      </w:r>
    </w:p>
    <w:p w14:paraId="17933071">
      <w:pPr>
        <w:spacing w:line="360" w:lineRule="auto"/>
        <w:ind w:firstLine="480" w:firstLineChars="200"/>
        <w:rPr>
          <w:rFonts w:ascii="仿宋_GB2312" w:eastAsia="仿宋_GB2312"/>
          <w:color w:val="auto"/>
          <w:sz w:val="24"/>
        </w:rPr>
      </w:pPr>
      <w:r>
        <w:rPr>
          <w:rFonts w:hint="eastAsia" w:ascii="仿宋_GB2312" w:eastAsia="仿宋_GB2312"/>
          <w:color w:val="auto"/>
          <w:sz w:val="24"/>
        </w:rPr>
        <w:t>18.4电子投标文件不得涂改，若有修改错漏处，须加盖投标人CA电子签章或者法定代表人或授权委托代理人签字。扫描不清晰或乱码或表达不清所引起的后果由投标人负责。</w:t>
      </w:r>
    </w:p>
    <w:p w14:paraId="642CDF9C">
      <w:pPr>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18.5</w:t>
      </w:r>
      <w:r>
        <w:rPr>
          <w:rFonts w:hint="eastAsia" w:ascii="仿宋_GB2312" w:eastAsia="仿宋_GB2312"/>
          <w:color w:val="auto"/>
          <w:sz w:val="24"/>
        </w:rPr>
        <w:t>电子</w:t>
      </w:r>
      <w:r>
        <w:rPr>
          <w:rFonts w:hint="eastAsia" w:ascii="仿宋_GB2312" w:hAnsi="宋体" w:eastAsia="仿宋_GB2312"/>
          <w:color w:val="auto"/>
          <w:sz w:val="24"/>
        </w:rPr>
        <w:t>投标文件所提供的相关材料的尺寸和清晰度应该能够在电脑上被阅读、识别和判断。</w:t>
      </w:r>
    </w:p>
    <w:p w14:paraId="646DBF5F">
      <w:pPr>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18.6</w:t>
      </w:r>
      <w:r>
        <w:rPr>
          <w:rFonts w:hint="eastAsia" w:ascii="仿宋_GB2312" w:eastAsia="仿宋_GB2312"/>
          <w:color w:val="auto"/>
          <w:sz w:val="24"/>
        </w:rPr>
        <w:t>电子</w:t>
      </w:r>
      <w:r>
        <w:rPr>
          <w:rFonts w:hint="eastAsia" w:ascii="仿宋_GB2312" w:hAnsi="宋体" w:eastAsia="仿宋_GB2312"/>
          <w:color w:val="auto"/>
          <w:sz w:val="24"/>
        </w:rPr>
        <w:t>投标文件内容无法阅读、识别和判断的，视为未提供。</w:t>
      </w:r>
    </w:p>
    <w:p w14:paraId="7A89C8B6">
      <w:pPr>
        <w:snapToGrid w:val="0"/>
        <w:spacing w:line="44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18.7</w:t>
      </w:r>
      <w:r>
        <w:rPr>
          <w:rFonts w:hint="eastAsia" w:ascii="仿宋_GB2312" w:eastAsia="仿宋_GB2312"/>
          <w:color w:val="auto"/>
          <w:sz w:val="24"/>
        </w:rPr>
        <w:t>电子</w:t>
      </w:r>
      <w:r>
        <w:rPr>
          <w:rFonts w:hint="eastAsia" w:ascii="仿宋_GB2312" w:hAnsi="宋体" w:eastAsia="仿宋_GB2312"/>
          <w:color w:val="auto"/>
          <w:sz w:val="24"/>
        </w:rPr>
        <w:t>投标文件的容量大小须符合广西政府采购云平台客户端规定。</w:t>
      </w:r>
    </w:p>
    <w:p w14:paraId="1CB3DF04">
      <w:pPr>
        <w:snapToGrid w:val="0"/>
        <w:spacing w:line="440" w:lineRule="exact"/>
        <w:ind w:firstLine="482" w:firstLineChars="200"/>
        <w:jc w:val="left"/>
        <w:rPr>
          <w:rFonts w:hint="eastAsia" w:ascii="仿宋_GB2312" w:hAnsi="宋体" w:eastAsia="仿宋_GB2312"/>
          <w:b/>
          <w:bCs/>
          <w:color w:val="auto"/>
          <w:sz w:val="24"/>
        </w:rPr>
      </w:pPr>
      <w:r>
        <w:rPr>
          <w:rFonts w:hint="eastAsia" w:ascii="仿宋_GB2312" w:hAnsi="宋体" w:eastAsia="仿宋_GB2312"/>
          <w:b/>
          <w:bCs/>
          <w:color w:val="auto"/>
          <w:sz w:val="24"/>
        </w:rPr>
        <w:t>18.8电子投标文件的加密要求</w:t>
      </w:r>
    </w:p>
    <w:p w14:paraId="3162721F">
      <w:pPr>
        <w:snapToGrid w:val="0"/>
        <w:spacing w:line="420" w:lineRule="exact"/>
        <w:ind w:firstLine="480" w:firstLineChars="200"/>
        <w:jc w:val="left"/>
        <w:rPr>
          <w:rFonts w:hint="eastAsia" w:ascii="仿宋_GB2312" w:hAnsi="宋体" w:eastAsia="仿宋_GB2312"/>
          <w:color w:val="auto"/>
          <w:sz w:val="24"/>
        </w:rPr>
      </w:pPr>
      <w:r>
        <w:rPr>
          <w:rFonts w:hint="eastAsia" w:ascii="仿宋_GB2312" w:eastAsia="仿宋_GB2312"/>
          <w:color w:val="auto"/>
          <w:sz w:val="24"/>
        </w:rPr>
        <w:t>电子</w:t>
      </w:r>
      <w:r>
        <w:rPr>
          <w:rFonts w:hint="eastAsia" w:ascii="仿宋_GB2312" w:hAnsi="宋体" w:eastAsia="仿宋_GB2312"/>
          <w:color w:val="auto"/>
          <w:sz w:val="24"/>
        </w:rPr>
        <w:t>投标文件应按广西政府采购云平台客户端软件有关规定加密，否则广西政府采购云平台将拒收</w:t>
      </w:r>
      <w:r>
        <w:rPr>
          <w:rFonts w:hint="eastAsia" w:ascii="仿宋_GB2312" w:eastAsia="仿宋_GB2312" w:cs="Courier New"/>
          <w:color w:val="auto"/>
          <w:sz w:val="24"/>
        </w:rPr>
        <w:t>，由此造成的风险由投标人承担。</w:t>
      </w:r>
    </w:p>
    <w:p w14:paraId="46C3CB06">
      <w:pPr>
        <w:snapToGrid w:val="0"/>
        <w:spacing w:line="400" w:lineRule="exact"/>
        <w:ind w:firstLine="422" w:firstLineChars="175"/>
        <w:jc w:val="left"/>
        <w:rPr>
          <w:rFonts w:ascii="仿宋_GB2312" w:eastAsia="仿宋_GB2312"/>
          <w:b/>
          <w:color w:val="auto"/>
          <w:sz w:val="24"/>
        </w:rPr>
      </w:pPr>
      <w:r>
        <w:rPr>
          <w:rFonts w:hint="eastAsia" w:ascii="仿宋_GB2312" w:eastAsia="仿宋_GB2312" w:cs="Courier New"/>
          <w:b/>
          <w:color w:val="auto"/>
          <w:sz w:val="24"/>
        </w:rPr>
        <w:t>19.电子投标文件的提交、修改、撤回和解密</w:t>
      </w:r>
    </w:p>
    <w:p w14:paraId="04CC8963">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bookmarkStart w:id="68" w:name="_Toc254970543"/>
      <w:bookmarkStart w:id="69" w:name="_Toc254970684"/>
      <w:r>
        <w:rPr>
          <w:rFonts w:hint="eastAsia" w:ascii="仿宋_GB2312" w:hAnsi="宋体" w:eastAsia="仿宋_GB2312"/>
          <w:color w:val="auto"/>
          <w:sz w:val="24"/>
        </w:rPr>
        <w:t>19.1本项目实行“网上投标、电子评标”，投标人应于提交投标文件截止时间前在广西政府采购云平台上提交已经加密的电子投标文件。</w:t>
      </w:r>
    </w:p>
    <w:p w14:paraId="1A048B33">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19.2未按规定上传的电子投标文件将被广西政府采购云平台拒收，由此造成电子投标文件解密失败或被误投的风险由投标人自行承担。</w:t>
      </w:r>
    </w:p>
    <w:p w14:paraId="775BFEEB">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67DE833A">
      <w:pPr>
        <w:tabs>
          <w:tab w:val="left" w:pos="3870"/>
          <w:tab w:val="left" w:pos="4085"/>
        </w:tabs>
        <w:snapToGrid w:val="0"/>
        <w:spacing w:line="420" w:lineRule="exact"/>
        <w:ind w:firstLine="482" w:firstLineChars="200"/>
        <w:jc w:val="left"/>
        <w:rPr>
          <w:rFonts w:hint="eastAsia" w:ascii="仿宋_GB2312" w:hAnsi="宋体" w:eastAsia="仿宋_GB2312"/>
          <w:color w:val="auto"/>
          <w:sz w:val="24"/>
        </w:rPr>
      </w:pPr>
      <w:r>
        <w:rPr>
          <w:rFonts w:ascii="仿宋_GB2312" w:hAnsi="宋体" w:eastAsia="仿宋_GB2312"/>
          <w:b/>
          <w:bCs/>
          <w:color w:val="auto"/>
          <w:sz w:val="24"/>
        </w:rPr>
        <w:t>19.4</w:t>
      </w:r>
      <w:r>
        <w:rPr>
          <w:rFonts w:hint="eastAsia" w:ascii="仿宋_GB2312" w:eastAsia="仿宋_GB2312"/>
          <w:b/>
          <w:bCs/>
          <w:color w:val="auto"/>
          <w:sz w:val="24"/>
        </w:rPr>
        <w:t>电子投标文件成功提交后，投标人可自行打印投标文件接收回执。</w:t>
      </w:r>
    </w:p>
    <w:p w14:paraId="4A4BC4CE">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46904CA0">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非广西政府采购云平台技术原因造成的投标人超过解密时限未完成解密的，或投标文件无法解密或解密失败，视为投标人放弃投标，投标无效。</w:t>
      </w:r>
    </w:p>
    <w:p w14:paraId="5250DD62">
      <w:pPr>
        <w:snapToGrid w:val="0"/>
        <w:spacing w:line="400" w:lineRule="exact"/>
        <w:ind w:firstLine="354" w:firstLineChars="147"/>
        <w:jc w:val="left"/>
        <w:rPr>
          <w:rFonts w:ascii="仿宋_GB2312" w:eastAsia="仿宋_GB2312"/>
          <w:b/>
          <w:color w:val="auto"/>
          <w:sz w:val="24"/>
        </w:rPr>
      </w:pPr>
      <w:r>
        <w:rPr>
          <w:rFonts w:hint="eastAsia" w:ascii="仿宋_GB2312" w:eastAsia="仿宋_GB2312" w:cs="Courier New"/>
          <w:b/>
          <w:color w:val="auto"/>
          <w:sz w:val="24"/>
        </w:rPr>
        <w:t>20.投标无效的情形</w:t>
      </w:r>
      <w:bookmarkEnd w:id="68"/>
      <w:bookmarkEnd w:id="69"/>
    </w:p>
    <w:p w14:paraId="4AFE51E0">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3C733C11">
      <w:pPr>
        <w:snapToGrid w:val="0"/>
        <w:spacing w:line="400" w:lineRule="exact"/>
        <w:ind w:firstLine="472" w:firstLineChars="196"/>
        <w:rPr>
          <w:rFonts w:ascii="仿宋_GB2312" w:eastAsia="仿宋_GB2312"/>
          <w:b/>
          <w:bCs/>
          <w:color w:val="auto"/>
          <w:sz w:val="24"/>
        </w:rPr>
      </w:pPr>
      <w:r>
        <w:rPr>
          <w:rFonts w:hint="eastAsia" w:ascii="仿宋_GB2312" w:eastAsia="仿宋_GB2312"/>
          <w:b/>
          <w:color w:val="auto"/>
          <w:sz w:val="24"/>
        </w:rPr>
        <w:t>20.1.1投标人存在下列情况之一的，投标无效：</w:t>
      </w:r>
    </w:p>
    <w:p w14:paraId="329342D1">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（1）投标文件未按招标文件要求签署、盖章的；</w:t>
      </w:r>
    </w:p>
    <w:p w14:paraId="7DC658A4">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（2）不具备招标文件中规定的资格要求的；</w:t>
      </w:r>
    </w:p>
    <w:p w14:paraId="6017E892">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（3）报价超过招标文件中规定的预算金额或者最高限价的；</w:t>
      </w:r>
    </w:p>
    <w:p w14:paraId="646F91C6">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（4）投标文件含有采购人不能接受的附加条件的；</w:t>
      </w:r>
    </w:p>
    <w:p w14:paraId="0DA2B7F2">
      <w:pPr>
        <w:snapToGrid w:val="0"/>
        <w:spacing w:line="40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（5）投标人在线制作电子投标文件时填写的报价金额与解密后“电子加密投标文件”中《开标一览表》填写的金额不一致并拒绝按公开招标文件要求接受调整的；</w:t>
      </w:r>
    </w:p>
    <w:p w14:paraId="665BAA4C">
      <w:pPr>
        <w:snapToGrid w:val="0"/>
        <w:spacing w:line="360" w:lineRule="exact"/>
        <w:ind w:right="-330" w:rightChars="-157" w:firstLine="420"/>
        <w:jc w:val="left"/>
        <w:rPr>
          <w:rFonts w:ascii="仿宋_GB2312" w:eastAsia="仿宋_GB2312" w:cs="Courier New"/>
          <w:color w:val="auto"/>
          <w:sz w:val="24"/>
        </w:rPr>
      </w:pPr>
      <w:r>
        <w:rPr>
          <w:rFonts w:hint="eastAsia" w:ascii="仿宋_GB2312" w:eastAsia="仿宋_GB2312" w:cs="Courier New"/>
          <w:color w:val="auto"/>
          <w:sz w:val="24"/>
        </w:rPr>
        <w:t>（6）法律、法规和招标文件规定的其他无效情形。</w:t>
      </w:r>
    </w:p>
    <w:p w14:paraId="173878A5">
      <w:pPr>
        <w:snapToGrid w:val="0"/>
        <w:spacing w:line="350" w:lineRule="exact"/>
        <w:ind w:right="-330" w:rightChars="-157" w:firstLine="472" w:firstLineChars="196"/>
        <w:rPr>
          <w:rFonts w:ascii="仿宋_GB2312" w:eastAsia="仿宋_GB2312"/>
          <w:b/>
          <w:color w:val="auto"/>
          <w:sz w:val="24"/>
        </w:rPr>
      </w:pPr>
      <w:r>
        <w:rPr>
          <w:rFonts w:hint="eastAsia" w:ascii="仿宋_GB2312" w:eastAsia="仿宋_GB2312"/>
          <w:b/>
          <w:color w:val="auto"/>
          <w:sz w:val="24"/>
        </w:rPr>
        <w:t>20.1.2在资格性审查时，如发现下列情形之一的，投标文件将被视为无效：</w:t>
      </w:r>
    </w:p>
    <w:p w14:paraId="584D5082">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（1）资格证明文件不全的，或者不符合招标文件标明的资格要求的；</w:t>
      </w:r>
    </w:p>
    <w:p w14:paraId="5089C23E">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（2）无法定代表人或其授权委托代理人签字，或未提供法定代表人授权委托书或者填写项目不齐全的；</w:t>
      </w:r>
    </w:p>
    <w:p w14:paraId="71FFC983">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（3）委托代理人与法定代表人授权委托书中的代理人不符的。</w:t>
      </w:r>
    </w:p>
    <w:p w14:paraId="68561406">
      <w:pPr>
        <w:snapToGrid w:val="0"/>
        <w:spacing w:line="340" w:lineRule="exact"/>
        <w:ind w:right="-330" w:rightChars="-157" w:firstLine="472" w:firstLineChars="196"/>
        <w:rPr>
          <w:rFonts w:ascii="仿宋_GB2312" w:eastAsia="仿宋_GB2312"/>
          <w:b/>
          <w:bCs/>
          <w:color w:val="auto"/>
          <w:kern w:val="0"/>
          <w:sz w:val="24"/>
        </w:rPr>
      </w:pPr>
      <w:r>
        <w:rPr>
          <w:rFonts w:hint="eastAsia" w:ascii="仿宋_GB2312" w:eastAsia="仿宋_GB2312"/>
          <w:b/>
          <w:bCs/>
          <w:color w:val="auto"/>
          <w:kern w:val="0"/>
          <w:sz w:val="24"/>
        </w:rPr>
        <w:t>20.1.3在符合性评审时，如发现下列情形之一的，投标文件将被视为无效：</w:t>
      </w:r>
    </w:p>
    <w:p w14:paraId="1B74835F">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（1）投标有效期、服务期限、付款方式等商务条款不能满足招标文件要求的；</w:t>
      </w:r>
    </w:p>
    <w:p w14:paraId="291D2E0B">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（2）投标人就采购需求中标记 “★”符号的实质性响应内容发生负偏离一项以上的；投标人就</w:t>
      </w:r>
      <w:r>
        <w:rPr>
          <w:rFonts w:hint="eastAsia" w:ascii="仿宋_GB2312" w:eastAsia="仿宋_GB2312"/>
          <w:color w:val="auto"/>
          <w:sz w:val="24"/>
          <w:lang w:val="en-US" w:eastAsia="zh-CN"/>
        </w:rPr>
        <w:t>分标一、分标二、分标三</w:t>
      </w:r>
      <w:r>
        <w:rPr>
          <w:rFonts w:ascii="仿宋_GB2312" w:eastAsia="仿宋_GB2312"/>
          <w:color w:val="auto"/>
          <w:sz w:val="24"/>
        </w:rPr>
        <w:t>采购需求中没有标记 “★”符号的技术参数要求响应内容发生负偏离</w:t>
      </w:r>
      <w:r>
        <w:rPr>
          <w:rFonts w:hint="eastAsia" w:ascii="仿宋_GB2312" w:eastAsia="仿宋_GB2312"/>
          <w:color w:val="auto"/>
          <w:sz w:val="24"/>
          <w:lang w:val="en-US" w:eastAsia="zh-CN"/>
        </w:rPr>
        <w:t>五</w:t>
      </w:r>
      <w:r>
        <w:rPr>
          <w:rFonts w:ascii="仿宋_GB2312" w:eastAsia="仿宋_GB2312"/>
          <w:color w:val="auto"/>
          <w:sz w:val="24"/>
        </w:rPr>
        <w:t>项以上的；</w:t>
      </w:r>
    </w:p>
    <w:p w14:paraId="42157D9A">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（3）投标技术方案不明确，存在一个或一个以上备选（替代）投标方案的；</w:t>
      </w:r>
    </w:p>
    <w:p w14:paraId="62AED32C">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（4）未采用人民币报价或者未按照招标文件标明的币种报价的；</w:t>
      </w:r>
    </w:p>
    <w:p w14:paraId="50CE2F3B">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（5）报价超出最高限价，或者超出采购预算金额的；</w:t>
      </w:r>
    </w:p>
    <w:p w14:paraId="273109B9">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（6）投标报价具有选择性，或者开标价格与投标文件承诺的优惠（折扣）价格不一致的；</w:t>
      </w:r>
    </w:p>
    <w:p w14:paraId="25911D13">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03B4E183">
      <w:pPr>
        <w:snapToGrid w:val="0"/>
        <w:spacing w:line="400" w:lineRule="exact"/>
        <w:ind w:firstLine="472" w:firstLineChars="196"/>
        <w:rPr>
          <w:rFonts w:ascii="仿宋_GB2312" w:eastAsia="仿宋_GB2312"/>
          <w:b/>
          <w:color w:val="auto"/>
          <w:sz w:val="24"/>
        </w:rPr>
      </w:pPr>
      <w:r>
        <w:rPr>
          <w:rFonts w:hint="eastAsia" w:ascii="仿宋_GB2312" w:eastAsia="仿宋_GB2312"/>
          <w:b/>
          <w:color w:val="auto"/>
          <w:sz w:val="24"/>
        </w:rPr>
        <w:t>20.1.4在评审时有下列情形之一的视为投标人相互串通投标，投标文件将被视为无效：</w:t>
      </w:r>
    </w:p>
    <w:p w14:paraId="7CDE9F35">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（1）不同投标人的投标文件由同一单位或者个人编制；或不同投标人报名（获取文件）的IP地址一致的；</w:t>
      </w:r>
    </w:p>
    <w:p w14:paraId="31C60D12">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（2）不同投标人委托同一单位或者个人办理投标事宜；</w:t>
      </w:r>
    </w:p>
    <w:p w14:paraId="5CCF52AD">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（3）不同的投标人的投标文件载明的项目管理成员或者联系人员为同一个人；</w:t>
      </w:r>
    </w:p>
    <w:p w14:paraId="0BEA5EE3">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（4）不同投标人的投标文件异常一致或投标报价呈规律性差异；</w:t>
      </w:r>
    </w:p>
    <w:p w14:paraId="5666BB0E">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（5）不同投标人的投标文件相互混装。</w:t>
      </w:r>
    </w:p>
    <w:p w14:paraId="3832F2C5">
      <w:pPr>
        <w:snapToGrid w:val="0"/>
        <w:spacing w:line="400" w:lineRule="exact"/>
        <w:ind w:firstLine="472" w:firstLineChars="196"/>
        <w:rPr>
          <w:rFonts w:ascii="仿宋_GB2312" w:eastAsia="仿宋_GB2312"/>
          <w:b/>
          <w:color w:val="auto"/>
          <w:sz w:val="24"/>
        </w:rPr>
      </w:pPr>
      <w:r>
        <w:rPr>
          <w:rFonts w:hint="eastAsia" w:ascii="仿宋_GB2312" w:eastAsia="仿宋_GB2312"/>
          <w:b/>
          <w:color w:val="auto"/>
          <w:sz w:val="24"/>
        </w:rPr>
        <w:t>20.1.5被拒绝的投标文件为无效。</w:t>
      </w:r>
    </w:p>
    <w:p w14:paraId="1B1429BB">
      <w:pPr>
        <w:spacing w:line="460" w:lineRule="exact"/>
        <w:ind w:firstLine="482" w:firstLineChars="200"/>
        <w:rPr>
          <w:rFonts w:ascii="仿宋_GB2312" w:eastAsia="仿宋_GB2312"/>
          <w:b/>
          <w:color w:val="auto"/>
          <w:sz w:val="24"/>
        </w:rPr>
      </w:pPr>
      <w:r>
        <w:rPr>
          <w:rFonts w:hint="eastAsia" w:ascii="仿宋_GB2312" w:eastAsia="仿宋_GB2312"/>
          <w:b/>
          <w:color w:val="auto"/>
          <w:sz w:val="24"/>
        </w:rPr>
        <w:t>20.2特别说明</w:t>
      </w:r>
    </w:p>
    <w:p w14:paraId="2AF3E120">
      <w:pPr>
        <w:spacing w:line="460" w:lineRule="exact"/>
        <w:ind w:firstLine="720" w:firstLineChars="300"/>
        <w:rPr>
          <w:rFonts w:ascii="仿宋_GB2312" w:eastAsia="仿宋_GB2312"/>
          <w:bCs/>
          <w:color w:val="auto"/>
          <w:sz w:val="24"/>
        </w:rPr>
      </w:pPr>
      <w:r>
        <w:rPr>
          <w:rFonts w:hint="eastAsia" w:ascii="仿宋_GB2312" w:eastAsia="仿宋_GB2312"/>
          <w:bCs/>
          <w:color w:val="auto"/>
          <w:sz w:val="24"/>
        </w:rPr>
        <w:t>20.2.1广西政府采购云平台如对电子化开评标程序有调整的，按调整后的程序操作。</w:t>
      </w:r>
    </w:p>
    <w:p w14:paraId="20FB7C5E">
      <w:pPr>
        <w:spacing w:line="460" w:lineRule="exact"/>
        <w:ind w:firstLine="720" w:firstLineChars="300"/>
        <w:rPr>
          <w:rFonts w:ascii="仿宋_GB2312" w:eastAsia="仿宋_GB2312"/>
          <w:bCs/>
          <w:color w:val="auto"/>
          <w:sz w:val="24"/>
        </w:rPr>
      </w:pPr>
      <w:r>
        <w:rPr>
          <w:rFonts w:hint="eastAsia" w:ascii="仿宋_GB2312" w:eastAsia="仿宋_GB2312"/>
          <w:bCs/>
          <w:color w:val="auto"/>
          <w:sz w:val="24"/>
        </w:rPr>
        <w:t>20.2.2评审在严格保密的情况下进行，任何一方不得透露与评审有关的其他投标人的技术资料、价格和其他信息。</w:t>
      </w:r>
    </w:p>
    <w:p w14:paraId="7B581721">
      <w:pPr>
        <w:spacing w:line="460" w:lineRule="exact"/>
        <w:ind w:firstLine="482" w:firstLineChars="200"/>
        <w:rPr>
          <w:rFonts w:ascii="仿宋_GB2312" w:eastAsia="仿宋_GB2312"/>
          <w:b/>
          <w:bCs/>
          <w:color w:val="auto"/>
          <w:sz w:val="24"/>
        </w:rPr>
      </w:pPr>
      <w:r>
        <w:rPr>
          <w:rFonts w:hint="eastAsia" w:ascii="仿宋_GB2312" w:eastAsia="仿宋_GB2312"/>
          <w:b/>
          <w:bCs/>
          <w:color w:val="auto"/>
          <w:sz w:val="24"/>
        </w:rPr>
        <w:t>20.3可中止电子交易活动的情形</w:t>
      </w:r>
    </w:p>
    <w:p w14:paraId="697C204A">
      <w:pPr>
        <w:spacing w:line="460" w:lineRule="exact"/>
        <w:ind w:firstLine="480" w:firstLineChars="200"/>
        <w:rPr>
          <w:rFonts w:ascii="仿宋_GB2312" w:eastAsia="仿宋_GB2312"/>
          <w:color w:val="auto"/>
          <w:sz w:val="24"/>
        </w:rPr>
      </w:pPr>
      <w:r>
        <w:rPr>
          <w:rFonts w:hint="eastAsia" w:ascii="仿宋_GB2312" w:eastAsia="仿宋_GB2312"/>
          <w:color w:val="auto"/>
          <w:sz w:val="24"/>
        </w:rPr>
        <w:t>采购过程中出现以下情形，导致广西政府采购云平台无法正常运行，或者无法保证电子交易的公平、公正和安全时，采购代理机构可中止电子交易活动：</w:t>
      </w:r>
    </w:p>
    <w:p w14:paraId="72BD171D">
      <w:pPr>
        <w:spacing w:line="460" w:lineRule="exact"/>
        <w:ind w:firstLine="600" w:firstLineChars="250"/>
        <w:rPr>
          <w:rFonts w:ascii="仿宋_GB2312" w:eastAsia="仿宋_GB2312"/>
          <w:color w:val="auto"/>
          <w:sz w:val="24"/>
        </w:rPr>
      </w:pPr>
      <w:r>
        <w:rPr>
          <w:rFonts w:hint="eastAsia" w:ascii="仿宋_GB2312" w:eastAsia="仿宋_GB2312"/>
          <w:color w:val="auto"/>
          <w:sz w:val="24"/>
        </w:rPr>
        <w:t>20.3.1广西政府采购云平台发生故障而无法登录访问的；</w:t>
      </w:r>
    </w:p>
    <w:p w14:paraId="7F74B77C">
      <w:pPr>
        <w:spacing w:line="460" w:lineRule="exact"/>
        <w:ind w:firstLine="600" w:firstLineChars="250"/>
        <w:rPr>
          <w:rFonts w:ascii="仿宋_GB2312" w:eastAsia="仿宋_GB2312"/>
          <w:color w:val="auto"/>
          <w:sz w:val="24"/>
        </w:rPr>
      </w:pPr>
      <w:r>
        <w:rPr>
          <w:rFonts w:hint="eastAsia" w:ascii="仿宋_GB2312" w:eastAsia="仿宋_GB2312"/>
          <w:color w:val="auto"/>
          <w:sz w:val="24"/>
        </w:rPr>
        <w:t>20.3.2广西政府采购云平台应用或数据库出现错误，不能进行正常操作的；</w:t>
      </w:r>
    </w:p>
    <w:p w14:paraId="7543C927">
      <w:pPr>
        <w:spacing w:line="460" w:lineRule="exact"/>
        <w:ind w:firstLine="600" w:firstLineChars="250"/>
        <w:rPr>
          <w:rFonts w:ascii="仿宋_GB2312" w:eastAsia="仿宋_GB2312"/>
          <w:color w:val="auto"/>
          <w:sz w:val="24"/>
        </w:rPr>
      </w:pPr>
      <w:r>
        <w:rPr>
          <w:rFonts w:hint="eastAsia" w:ascii="仿宋_GB2312" w:eastAsia="仿宋_GB2312"/>
          <w:color w:val="auto"/>
          <w:sz w:val="24"/>
        </w:rPr>
        <w:t>20.3.3广西政府采购云平台发现严重安全漏洞，有潜在泄密危险的；</w:t>
      </w:r>
    </w:p>
    <w:p w14:paraId="343A02EF">
      <w:pPr>
        <w:spacing w:line="460" w:lineRule="exact"/>
        <w:ind w:firstLine="600" w:firstLineChars="250"/>
        <w:rPr>
          <w:rFonts w:ascii="仿宋_GB2312" w:eastAsia="仿宋_GB2312"/>
          <w:color w:val="auto"/>
          <w:sz w:val="24"/>
        </w:rPr>
      </w:pPr>
      <w:r>
        <w:rPr>
          <w:rFonts w:hint="eastAsia" w:ascii="仿宋_GB2312" w:eastAsia="仿宋_GB2312"/>
          <w:color w:val="auto"/>
          <w:sz w:val="24"/>
        </w:rPr>
        <w:t>20.3.4病毒发作导致不能进行正常操作的；</w:t>
      </w:r>
    </w:p>
    <w:p w14:paraId="6F313DBE">
      <w:pPr>
        <w:spacing w:line="460" w:lineRule="exact"/>
        <w:ind w:firstLine="600" w:firstLineChars="250"/>
        <w:rPr>
          <w:rFonts w:ascii="仿宋_GB2312" w:eastAsia="仿宋_GB2312"/>
          <w:color w:val="auto"/>
          <w:sz w:val="24"/>
        </w:rPr>
      </w:pPr>
      <w:r>
        <w:rPr>
          <w:rFonts w:hint="eastAsia" w:ascii="仿宋_GB2312" w:eastAsia="仿宋_GB2312"/>
          <w:color w:val="auto"/>
          <w:sz w:val="24"/>
        </w:rPr>
        <w:t>20.3.5其他无法保证电子交易的公平、公正和安全的情况。</w:t>
      </w:r>
    </w:p>
    <w:p w14:paraId="26127353">
      <w:pPr>
        <w:spacing w:line="460" w:lineRule="exact"/>
        <w:ind w:firstLine="480" w:firstLineChars="200"/>
        <w:rPr>
          <w:rFonts w:ascii="仿宋_GB2312" w:eastAsia="仿宋_GB2312"/>
          <w:color w:val="auto"/>
          <w:sz w:val="24"/>
        </w:rPr>
      </w:pPr>
      <w:r>
        <w:rPr>
          <w:rFonts w:hint="eastAsia" w:ascii="仿宋_GB2312" w:eastAsia="仿宋_GB2312"/>
          <w:color w:val="auto"/>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4E38B966">
      <w:pPr>
        <w:snapToGrid w:val="0"/>
        <w:spacing w:line="400" w:lineRule="exact"/>
        <w:ind w:firstLine="472" w:firstLineChars="196"/>
        <w:rPr>
          <w:rFonts w:ascii="仿宋_GB2312" w:eastAsia="仿宋_GB2312" w:cs="Courier New"/>
          <w:b/>
          <w:color w:val="auto"/>
          <w:sz w:val="24"/>
        </w:rPr>
      </w:pPr>
      <w:r>
        <w:rPr>
          <w:rFonts w:hint="eastAsia" w:ascii="仿宋_GB2312" w:eastAsia="仿宋_GB2312" w:cs="Courier New"/>
          <w:b/>
          <w:color w:val="auto"/>
          <w:sz w:val="24"/>
        </w:rPr>
        <w:t>四、开标</w:t>
      </w:r>
    </w:p>
    <w:p w14:paraId="7383DAA1">
      <w:pPr>
        <w:pStyle w:val="26"/>
        <w:snapToGrid w:val="0"/>
        <w:spacing w:line="400" w:lineRule="exact"/>
        <w:ind w:firstLine="472" w:firstLineChars="196"/>
        <w:rPr>
          <w:rFonts w:hint="eastAsia" w:ascii="仿宋_GB2312" w:hAnsi="宋体" w:eastAsia="仿宋_GB2312"/>
          <w:b/>
          <w:color w:val="auto"/>
          <w:sz w:val="24"/>
          <w:szCs w:val="24"/>
        </w:rPr>
      </w:pPr>
      <w:r>
        <w:rPr>
          <w:rFonts w:hint="eastAsia" w:ascii="仿宋_GB2312" w:hAnsi="宋体" w:eastAsia="仿宋_GB2312"/>
          <w:b/>
          <w:color w:val="auto"/>
          <w:sz w:val="24"/>
          <w:szCs w:val="24"/>
        </w:rPr>
        <w:t>21.开标准备</w:t>
      </w:r>
    </w:p>
    <w:p w14:paraId="139D2218">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271835C0">
      <w:pPr>
        <w:pStyle w:val="26"/>
        <w:snapToGrid w:val="0"/>
        <w:spacing w:line="400" w:lineRule="exact"/>
        <w:ind w:firstLine="482" w:firstLineChars="200"/>
        <w:rPr>
          <w:rFonts w:hint="eastAsia" w:ascii="仿宋_GB2312" w:hAnsi="宋体" w:eastAsia="仿宋_GB2312"/>
          <w:b/>
          <w:color w:val="auto"/>
          <w:sz w:val="24"/>
          <w:szCs w:val="24"/>
        </w:rPr>
      </w:pPr>
      <w:r>
        <w:rPr>
          <w:rFonts w:hint="eastAsia" w:ascii="仿宋_GB2312" w:hAnsi="宋体" w:eastAsia="仿宋_GB2312"/>
          <w:b/>
          <w:color w:val="auto"/>
          <w:sz w:val="24"/>
          <w:szCs w:val="24"/>
        </w:rPr>
        <w:t>22.开标程序</w:t>
      </w:r>
    </w:p>
    <w:p w14:paraId="7C741AC0">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22.1开标会由采购代理机构主持；</w:t>
      </w:r>
    </w:p>
    <w:p w14:paraId="5CB407E9">
      <w:pPr>
        <w:snapToGrid w:val="0"/>
        <w:spacing w:line="400" w:lineRule="exact"/>
        <w:ind w:firstLine="420"/>
        <w:jc w:val="left"/>
        <w:rPr>
          <w:rFonts w:hint="eastAsia" w:ascii="仿宋_GB2312" w:hAnsi="宋体" w:eastAsia="仿宋_GB2312"/>
          <w:color w:val="auto"/>
          <w:sz w:val="24"/>
        </w:rPr>
      </w:pPr>
      <w:r>
        <w:rPr>
          <w:rFonts w:hint="eastAsia" w:ascii="仿宋_GB2312" w:eastAsia="仿宋_GB2312" w:cs="Courier New"/>
          <w:color w:val="auto"/>
          <w:sz w:val="24"/>
        </w:rPr>
        <w:t>22.2</w:t>
      </w:r>
      <w:r>
        <w:rPr>
          <w:rFonts w:hint="eastAsia" w:ascii="仿宋_GB2312" w:hAnsi="宋体" w:eastAsia="仿宋_GB2312"/>
          <w:color w:val="auto"/>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5D5CD55F">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727FDCA9">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22.4公开报价；</w:t>
      </w:r>
    </w:p>
    <w:p w14:paraId="2F310C1B">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22.5报价确认：采购代理机构开启签字时段，投标人应及时通过CA证书对报价记录表进行确认。未在规定时间内确认的，视同认可开标结果；</w:t>
      </w:r>
    </w:p>
    <w:p w14:paraId="6199E114">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22.6开标会结束。</w:t>
      </w:r>
    </w:p>
    <w:p w14:paraId="10C777C1">
      <w:pPr>
        <w:snapToGrid w:val="0"/>
        <w:spacing w:line="370" w:lineRule="exact"/>
        <w:ind w:firstLine="472" w:firstLineChars="196"/>
        <w:rPr>
          <w:rFonts w:ascii="仿宋_GB2312" w:eastAsia="仿宋_GB2312"/>
          <w:b/>
          <w:bCs/>
          <w:color w:val="auto"/>
          <w:kern w:val="0"/>
          <w:sz w:val="24"/>
        </w:rPr>
      </w:pPr>
      <w:r>
        <w:rPr>
          <w:rFonts w:hint="eastAsia" w:ascii="仿宋_GB2312" w:eastAsia="仿宋_GB2312"/>
          <w:b/>
          <w:bCs/>
          <w:color w:val="auto"/>
          <w:kern w:val="0"/>
          <w:sz w:val="24"/>
        </w:rPr>
        <w:t>五、资格性审查</w:t>
      </w:r>
    </w:p>
    <w:p w14:paraId="6961F02A">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23.采购人应当依法对投标人的资格进行审查。</w:t>
      </w:r>
    </w:p>
    <w:p w14:paraId="51F30F8A">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24.合格投标人不足三家的，不得评标。</w:t>
      </w:r>
    </w:p>
    <w:p w14:paraId="62B1219B">
      <w:pPr>
        <w:pStyle w:val="26"/>
        <w:snapToGrid w:val="0"/>
        <w:spacing w:line="370" w:lineRule="exact"/>
        <w:ind w:firstLine="472" w:firstLineChars="196"/>
        <w:rPr>
          <w:rFonts w:hint="eastAsia" w:ascii="仿宋_GB2312" w:hAnsi="宋体" w:eastAsia="仿宋_GB2312"/>
          <w:b/>
          <w:color w:val="auto"/>
          <w:sz w:val="24"/>
          <w:szCs w:val="24"/>
        </w:rPr>
      </w:pPr>
      <w:bookmarkStart w:id="70" w:name="_Toc254970686"/>
      <w:bookmarkStart w:id="71" w:name="_Toc254970545"/>
      <w:r>
        <w:rPr>
          <w:rFonts w:hint="eastAsia" w:ascii="仿宋_GB2312" w:hAnsi="宋体" w:eastAsia="仿宋_GB2312"/>
          <w:b/>
          <w:color w:val="auto"/>
          <w:sz w:val="24"/>
          <w:szCs w:val="24"/>
        </w:rPr>
        <w:t>六、评标</w:t>
      </w:r>
      <w:bookmarkEnd w:id="70"/>
      <w:bookmarkEnd w:id="71"/>
    </w:p>
    <w:p w14:paraId="15CFC2AA">
      <w:pPr>
        <w:pStyle w:val="26"/>
        <w:snapToGrid w:val="0"/>
        <w:spacing w:line="370" w:lineRule="exact"/>
        <w:ind w:left="720" w:leftChars="228" w:hanging="241" w:hangingChars="100"/>
        <w:rPr>
          <w:rFonts w:hint="eastAsia" w:ascii="仿宋_GB2312" w:hAnsi="宋体" w:eastAsia="仿宋_GB2312"/>
          <w:b/>
          <w:color w:val="auto"/>
          <w:sz w:val="24"/>
          <w:szCs w:val="24"/>
        </w:rPr>
      </w:pPr>
      <w:r>
        <w:rPr>
          <w:rFonts w:hint="eastAsia" w:ascii="仿宋_GB2312" w:hAnsi="宋体" w:eastAsia="仿宋_GB2312"/>
          <w:b/>
          <w:color w:val="auto"/>
          <w:sz w:val="24"/>
          <w:szCs w:val="24"/>
        </w:rPr>
        <w:t>25.组建评标委员会</w:t>
      </w:r>
    </w:p>
    <w:p w14:paraId="3CE0E1E2">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25.1本项目评标委员会由采购人代表和评审专家组成。</w:t>
      </w:r>
    </w:p>
    <w:p w14:paraId="213382F1">
      <w:pPr>
        <w:pStyle w:val="26"/>
        <w:snapToGrid w:val="0"/>
        <w:spacing w:line="370" w:lineRule="exact"/>
        <w:ind w:left="720" w:leftChars="228" w:hanging="241" w:hangingChars="100"/>
        <w:rPr>
          <w:rFonts w:hint="eastAsia" w:ascii="仿宋_GB2312" w:hAnsi="宋体" w:eastAsia="仿宋_GB2312"/>
          <w:b/>
          <w:color w:val="auto"/>
          <w:sz w:val="24"/>
          <w:szCs w:val="24"/>
        </w:rPr>
      </w:pPr>
      <w:r>
        <w:rPr>
          <w:rFonts w:hint="eastAsia" w:ascii="仿宋_GB2312" w:hAnsi="宋体" w:eastAsia="仿宋_GB2312"/>
          <w:b/>
          <w:color w:val="auto"/>
          <w:sz w:val="24"/>
          <w:szCs w:val="24"/>
        </w:rPr>
        <w:t>26.评标的方式</w:t>
      </w:r>
    </w:p>
    <w:p w14:paraId="765BA1FB">
      <w:pPr>
        <w:snapToGrid w:val="0"/>
        <w:spacing w:line="370" w:lineRule="exact"/>
        <w:ind w:firstLine="420"/>
        <w:jc w:val="left"/>
        <w:rPr>
          <w:rFonts w:ascii="仿宋_GB2312" w:eastAsia="仿宋_GB2312"/>
          <w:color w:val="auto"/>
          <w:sz w:val="24"/>
        </w:rPr>
      </w:pPr>
      <w:r>
        <w:rPr>
          <w:rFonts w:hint="eastAsia" w:ascii="仿宋_GB2312" w:eastAsia="仿宋_GB2312" w:cs="Courier New"/>
          <w:color w:val="auto"/>
          <w:sz w:val="24"/>
        </w:rPr>
        <w:t>26.1本项目采用不公开方式评标，评标的依据为招标文件和投标文件。</w:t>
      </w:r>
    </w:p>
    <w:p w14:paraId="64535C9A">
      <w:pPr>
        <w:pStyle w:val="26"/>
        <w:snapToGrid w:val="0"/>
        <w:spacing w:line="370" w:lineRule="exact"/>
        <w:ind w:left="720" w:leftChars="228" w:hanging="241" w:hangingChars="100"/>
        <w:rPr>
          <w:rFonts w:hint="eastAsia" w:ascii="仿宋_GB2312" w:hAnsi="宋体" w:eastAsia="仿宋_GB2312"/>
          <w:b/>
          <w:color w:val="auto"/>
          <w:sz w:val="24"/>
          <w:szCs w:val="24"/>
        </w:rPr>
      </w:pPr>
      <w:r>
        <w:rPr>
          <w:rFonts w:hint="eastAsia" w:ascii="仿宋_GB2312" w:hAnsi="宋体" w:eastAsia="仿宋_GB2312"/>
          <w:b/>
          <w:color w:val="auto"/>
          <w:sz w:val="24"/>
          <w:szCs w:val="24"/>
        </w:rPr>
        <w:t>27.</w:t>
      </w:r>
      <w:r>
        <w:rPr>
          <w:rFonts w:hint="eastAsia" w:ascii="仿宋_GB2312" w:hAnsi="宋体" w:eastAsia="仿宋_GB2312"/>
          <w:b/>
          <w:bCs/>
          <w:color w:val="auto"/>
          <w:sz w:val="24"/>
          <w:szCs w:val="24"/>
        </w:rPr>
        <w:t>评标程序</w:t>
      </w:r>
    </w:p>
    <w:p w14:paraId="66D3F559">
      <w:pPr>
        <w:snapToGrid w:val="0"/>
        <w:spacing w:line="370" w:lineRule="exact"/>
        <w:ind w:firstLine="472" w:firstLineChars="196"/>
        <w:rPr>
          <w:rFonts w:ascii="仿宋_GB2312" w:eastAsia="仿宋_GB2312"/>
          <w:b/>
          <w:bCs/>
          <w:color w:val="auto"/>
          <w:kern w:val="0"/>
          <w:sz w:val="24"/>
        </w:rPr>
      </w:pPr>
      <w:r>
        <w:rPr>
          <w:rFonts w:hint="eastAsia" w:ascii="仿宋_GB2312" w:eastAsia="仿宋_GB2312"/>
          <w:b/>
          <w:bCs/>
          <w:color w:val="auto"/>
          <w:kern w:val="0"/>
          <w:sz w:val="24"/>
        </w:rPr>
        <w:t>27.1符合性审查</w:t>
      </w:r>
    </w:p>
    <w:p w14:paraId="4163A242">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（1）评标委员会审查、评价投标文件是否符合招标文件的商务、技术等实质性要求。</w:t>
      </w:r>
    </w:p>
    <w:p w14:paraId="71BB3DCC">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（2）评标委员会将根据投标人的投标文件进行审查、核对，如有疑问，评标委员会将通过广西政府采购云平台，以询标函的方式要求投标人在线对相关问题进行澄清或者说明。</w:t>
      </w:r>
    </w:p>
    <w:p w14:paraId="39ECEFA2">
      <w:pPr>
        <w:snapToGrid w:val="0"/>
        <w:spacing w:line="370" w:lineRule="exact"/>
        <w:ind w:firstLine="472" w:firstLineChars="196"/>
        <w:rPr>
          <w:rFonts w:ascii="仿宋_GB2312" w:eastAsia="仿宋_GB2312"/>
          <w:b/>
          <w:bCs/>
          <w:color w:val="auto"/>
          <w:kern w:val="0"/>
          <w:sz w:val="24"/>
        </w:rPr>
      </w:pPr>
      <w:r>
        <w:rPr>
          <w:rFonts w:hint="eastAsia" w:ascii="仿宋_GB2312" w:eastAsia="仿宋_GB2312"/>
          <w:b/>
          <w:bCs/>
          <w:color w:val="auto"/>
          <w:kern w:val="0"/>
          <w:sz w:val="24"/>
        </w:rPr>
        <w:t>27.2投标文件的比较和评价</w:t>
      </w:r>
    </w:p>
    <w:p w14:paraId="569739CE">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（1）各投标人的技术得分为所有评委的有效评分的算术平均数。</w:t>
      </w:r>
    </w:p>
    <w:p w14:paraId="1DBE0DFF">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（2）评标委员会完成评标后，评委对各部分得分汇总，计算出本项目最终得分等。评标委员会按评标标准推荐中标候选人同时起草评标报告。</w:t>
      </w:r>
    </w:p>
    <w:p w14:paraId="109F4B6D">
      <w:pPr>
        <w:snapToGrid w:val="0"/>
        <w:spacing w:line="370" w:lineRule="exact"/>
        <w:ind w:firstLine="482" w:firstLineChars="200"/>
        <w:rPr>
          <w:rFonts w:ascii="仿宋_GB2312" w:eastAsia="仿宋_GB2312"/>
          <w:b/>
          <w:color w:val="auto"/>
          <w:sz w:val="24"/>
        </w:rPr>
      </w:pPr>
      <w:r>
        <w:rPr>
          <w:rFonts w:hint="eastAsia" w:ascii="仿宋_GB2312" w:eastAsia="仿宋_GB2312"/>
          <w:b/>
          <w:color w:val="auto"/>
          <w:sz w:val="24"/>
        </w:rPr>
        <w:t>28.澄清问题的形式</w:t>
      </w:r>
    </w:p>
    <w:p w14:paraId="4406AC7C">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6CCC720A">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773FFDE4">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28.3投标人超过规定时间或者拒绝澄清或者澄清的内容改变了投标文件的实质性内容的，评标委员会有权视该投标文件无效。</w:t>
      </w:r>
    </w:p>
    <w:p w14:paraId="20DF92A4">
      <w:pPr>
        <w:snapToGrid w:val="0"/>
        <w:spacing w:line="370" w:lineRule="exact"/>
        <w:ind w:firstLine="482" w:firstLineChars="200"/>
        <w:rPr>
          <w:rFonts w:ascii="仿宋_GB2312" w:eastAsia="仿宋_GB2312"/>
          <w:b/>
          <w:color w:val="auto"/>
          <w:sz w:val="24"/>
        </w:rPr>
      </w:pPr>
      <w:r>
        <w:rPr>
          <w:rFonts w:hint="eastAsia" w:ascii="仿宋_GB2312" w:eastAsia="仿宋_GB2312"/>
          <w:b/>
          <w:color w:val="auto"/>
          <w:sz w:val="24"/>
        </w:rPr>
        <w:t>29.错误修正</w:t>
      </w:r>
    </w:p>
    <w:p w14:paraId="058F4866">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29.1投标文件报价出现前后不一致的，除招标文件另有规定外，按照下列规定修正：</w:t>
      </w:r>
    </w:p>
    <w:p w14:paraId="0DB3DD88">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（1）投标文件中开标一览表（报价表）内容与投标文件中相应内容不一致的，以开标一览表（报价表）为准；</w:t>
      </w:r>
    </w:p>
    <w:p w14:paraId="78F4C968">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（2）大写金额和小写金额不一致的，以大写金额为准；</w:t>
      </w:r>
    </w:p>
    <w:p w14:paraId="7C435045">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（3）单价金额小数点或者百分比有明显错位的，以开标一览表的总价为准，并修改单价；</w:t>
      </w:r>
    </w:p>
    <w:p w14:paraId="602F5DBA">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（4）总价金额与按单价汇总金额不一致的，以单价金额计算结果为准。</w:t>
      </w:r>
    </w:p>
    <w:p w14:paraId="18703A0A">
      <w:pPr>
        <w:snapToGrid w:val="0"/>
        <w:spacing w:line="370" w:lineRule="exact"/>
        <w:ind w:firstLine="420"/>
        <w:jc w:val="left"/>
        <w:rPr>
          <w:rFonts w:ascii="仿宋_GB2312" w:eastAsia="仿宋_GB2312" w:cs="Courier New"/>
          <w:b/>
          <w:color w:val="auto"/>
          <w:sz w:val="24"/>
        </w:rPr>
      </w:pPr>
      <w:r>
        <w:rPr>
          <w:rFonts w:hint="eastAsia" w:ascii="仿宋_GB2312" w:eastAsia="仿宋_GB2312" w:cs="Courier New"/>
          <w:b/>
          <w:color w:val="auto"/>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639FA4FD">
      <w:pPr>
        <w:pStyle w:val="26"/>
        <w:tabs>
          <w:tab w:val="left" w:pos="630"/>
        </w:tabs>
        <w:snapToGrid w:val="0"/>
        <w:spacing w:line="370" w:lineRule="exact"/>
        <w:ind w:firstLine="472" w:firstLineChars="196"/>
        <w:rPr>
          <w:rFonts w:hint="eastAsia" w:ascii="仿宋_GB2312" w:hAnsi="宋体" w:eastAsia="仿宋_GB2312"/>
          <w:b/>
          <w:color w:val="auto"/>
          <w:sz w:val="24"/>
          <w:szCs w:val="24"/>
        </w:rPr>
      </w:pPr>
      <w:r>
        <w:rPr>
          <w:rFonts w:hint="eastAsia" w:ascii="仿宋_GB2312" w:hAnsi="宋体" w:eastAsia="仿宋_GB2312"/>
          <w:b/>
          <w:color w:val="auto"/>
          <w:sz w:val="24"/>
          <w:szCs w:val="24"/>
        </w:rPr>
        <w:t>30.评标原则和评标方法</w:t>
      </w:r>
    </w:p>
    <w:p w14:paraId="63258746">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F53714A">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30.2本项目评标方法是综合评分法，具体评标内容及评标标准等详见第四章：评标方法及评标标准。</w:t>
      </w:r>
    </w:p>
    <w:p w14:paraId="046611AE">
      <w:pPr>
        <w:pStyle w:val="26"/>
        <w:snapToGrid w:val="0"/>
        <w:spacing w:line="370" w:lineRule="exact"/>
        <w:ind w:firstLine="472" w:firstLineChars="196"/>
        <w:rPr>
          <w:rFonts w:hint="eastAsia" w:ascii="仿宋_GB2312" w:hAnsi="宋体" w:eastAsia="仿宋_GB2312"/>
          <w:b/>
          <w:color w:val="auto"/>
          <w:sz w:val="24"/>
          <w:szCs w:val="24"/>
        </w:rPr>
      </w:pPr>
      <w:r>
        <w:rPr>
          <w:rFonts w:hint="eastAsia" w:ascii="仿宋_GB2312" w:hAnsi="宋体" w:eastAsia="仿宋_GB2312"/>
          <w:b/>
          <w:color w:val="auto"/>
          <w:sz w:val="24"/>
          <w:szCs w:val="24"/>
        </w:rPr>
        <w:t>31.评标过程的监控</w:t>
      </w:r>
    </w:p>
    <w:p w14:paraId="64892FB7">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31.1本项目评标过程实行全程录音、录像监控（或政府采购监督管理部门工作人员进行现场监督），投标人在评标过程中所进行的试图影响评标结果的不公正活动，可能导致其投标被拒绝。</w:t>
      </w:r>
    </w:p>
    <w:p w14:paraId="4E89B2AE">
      <w:pPr>
        <w:pStyle w:val="26"/>
        <w:snapToGrid w:val="0"/>
        <w:spacing w:line="370" w:lineRule="exact"/>
        <w:ind w:firstLine="482" w:firstLineChars="200"/>
        <w:rPr>
          <w:rFonts w:hint="eastAsia" w:ascii="仿宋_GB2312" w:hAnsi="宋体" w:eastAsia="仿宋_GB2312"/>
          <w:color w:val="auto"/>
          <w:sz w:val="24"/>
          <w:szCs w:val="24"/>
        </w:rPr>
      </w:pPr>
      <w:r>
        <w:rPr>
          <w:rFonts w:hint="eastAsia" w:ascii="仿宋_GB2312" w:hAnsi="宋体" w:eastAsia="仿宋_GB2312"/>
          <w:b/>
          <w:color w:val="auto"/>
          <w:sz w:val="24"/>
          <w:szCs w:val="24"/>
        </w:rPr>
        <w:t>七、评标结果</w:t>
      </w:r>
    </w:p>
    <w:p w14:paraId="168C3D2F">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32.采购人或者采购代理机构核对评标结果。</w:t>
      </w:r>
    </w:p>
    <w:p w14:paraId="339CBBB6">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33.采购人或者采购代理机构在公告中标结果的同时，对未通过资格审查的投标人，应当告知其未通过的原因；采用综合评分法评审的，还应当告知未中标人本人的评审得分与排序。</w:t>
      </w:r>
    </w:p>
    <w:p w14:paraId="0566B943">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5215DEE">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126CA523">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36.在中标通知书发出前，采购人或采购代理机构应当对中标人信用进行查询，并按照信用信息使用规则处理。</w:t>
      </w:r>
    </w:p>
    <w:p w14:paraId="7365DED7">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37.投标人对中标公告有异议的，应当在中标公告</w:t>
      </w:r>
      <w:r>
        <w:rPr>
          <w:rFonts w:hint="eastAsia" w:ascii="仿宋_GB2312" w:hAnsi="宋体" w:eastAsia="仿宋_GB2312"/>
          <w:bCs/>
          <w:color w:val="auto"/>
          <w:sz w:val="24"/>
        </w:rPr>
        <w:t>期限届满</w:t>
      </w:r>
      <w:r>
        <w:rPr>
          <w:rFonts w:hint="eastAsia" w:ascii="仿宋_GB2312" w:eastAsia="仿宋_GB2312" w:cs="Courier New"/>
          <w:color w:val="auto"/>
          <w:sz w:val="24"/>
        </w:rPr>
        <w:t>之日起七个工作日内，以书面形式向采购人或采购代理机构提出质疑，并及时索要书面回执。</w:t>
      </w:r>
    </w:p>
    <w:p w14:paraId="5AF38AA4">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38.采购人或采购代理机构（采购代理机构应当按照有关规定就采购人委托授权范围内的事项）在收到投标人的书面质疑后七个工作日内作出答复，但答复的内容不得涉及商业秘密。</w:t>
      </w:r>
    </w:p>
    <w:p w14:paraId="4B229D0A">
      <w:pPr>
        <w:pStyle w:val="26"/>
        <w:snapToGrid w:val="0"/>
        <w:spacing w:line="370" w:lineRule="exact"/>
        <w:ind w:firstLine="472" w:firstLineChars="196"/>
        <w:rPr>
          <w:rFonts w:hint="eastAsia" w:ascii="仿宋_GB2312" w:hAnsi="宋体" w:eastAsia="仿宋_GB2312"/>
          <w:b/>
          <w:color w:val="auto"/>
          <w:sz w:val="24"/>
          <w:szCs w:val="24"/>
        </w:rPr>
      </w:pPr>
      <w:bookmarkStart w:id="72" w:name="_Toc254970688"/>
      <w:bookmarkStart w:id="73" w:name="_Toc254970547"/>
      <w:r>
        <w:rPr>
          <w:rFonts w:hint="eastAsia" w:ascii="仿宋_GB2312" w:hAnsi="宋体" w:eastAsia="仿宋_GB2312"/>
          <w:b/>
          <w:color w:val="auto"/>
          <w:sz w:val="24"/>
          <w:szCs w:val="24"/>
        </w:rPr>
        <w:t>八、</w:t>
      </w:r>
      <w:bookmarkEnd w:id="72"/>
      <w:bookmarkEnd w:id="73"/>
      <w:r>
        <w:rPr>
          <w:rFonts w:hint="eastAsia" w:ascii="仿宋_GB2312" w:hAnsi="宋体" w:eastAsia="仿宋_GB2312"/>
          <w:b/>
          <w:color w:val="auto"/>
          <w:sz w:val="24"/>
          <w:szCs w:val="24"/>
        </w:rPr>
        <w:t>签订合同</w:t>
      </w:r>
    </w:p>
    <w:p w14:paraId="10A429FF">
      <w:pPr>
        <w:pStyle w:val="26"/>
        <w:snapToGrid w:val="0"/>
        <w:spacing w:line="370" w:lineRule="exact"/>
        <w:ind w:firstLine="472" w:firstLineChars="196"/>
        <w:rPr>
          <w:rFonts w:hint="eastAsia" w:ascii="仿宋_GB2312" w:hAnsi="宋体" w:eastAsia="仿宋_GB2312"/>
          <w:b/>
          <w:bCs/>
          <w:color w:val="auto"/>
          <w:sz w:val="24"/>
          <w:szCs w:val="24"/>
        </w:rPr>
      </w:pPr>
      <w:r>
        <w:rPr>
          <w:rFonts w:hint="eastAsia" w:ascii="仿宋_GB2312" w:hAnsi="宋体" w:eastAsia="仿宋_GB2312"/>
          <w:b/>
          <w:color w:val="auto"/>
          <w:sz w:val="24"/>
          <w:szCs w:val="24"/>
        </w:rPr>
        <w:t>39.合同授予标准</w:t>
      </w:r>
    </w:p>
    <w:p w14:paraId="751C7159">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39.1合同将授予被确定实质上响应招标文件要求，具备履行合同能力，综合评分排名第一的投标人。</w:t>
      </w:r>
    </w:p>
    <w:p w14:paraId="1A216726">
      <w:pPr>
        <w:snapToGrid w:val="0"/>
        <w:spacing w:line="37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40.签订合同</w:t>
      </w:r>
    </w:p>
    <w:p w14:paraId="05B42081">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40.1中标人接到中标通知书后，应按有关规定与采购人签订合同。</w:t>
      </w:r>
    </w:p>
    <w:p w14:paraId="706A5743">
      <w:pPr>
        <w:snapToGrid w:val="0"/>
        <w:spacing w:line="360" w:lineRule="exact"/>
        <w:ind w:right="-470" w:rightChars="-224" w:firstLine="420"/>
        <w:jc w:val="left"/>
        <w:rPr>
          <w:rFonts w:ascii="仿宋_GB2312" w:eastAsia="仿宋_GB2312" w:cs="Courier New"/>
          <w:color w:val="auto"/>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color w:val="auto"/>
          <w:sz w:val="24"/>
        </w:rPr>
        <w:t>40.2中标人因不可抗力或者自身原因不能履行采购合同的，采购人或采购代理机构应将该情况报政府采购监督管理部门，从合格的中标候选人中另行确定中标人或重新开展政府采购活动。</w:t>
      </w:r>
      <w:bookmarkStart w:id="74" w:name="_Toc254970548"/>
      <w:bookmarkStart w:id="75" w:name="_Toc254970689"/>
      <w:bookmarkStart w:id="76" w:name="_Toc497578452"/>
    </w:p>
    <w:p w14:paraId="07713A58">
      <w:pPr>
        <w:rPr>
          <w:color w:val="auto"/>
        </w:rPr>
      </w:pPr>
    </w:p>
    <w:p w14:paraId="4D91D0FB">
      <w:pPr>
        <w:rPr>
          <w:color w:val="auto"/>
        </w:rPr>
      </w:pPr>
    </w:p>
    <w:p w14:paraId="5F626460">
      <w:pPr>
        <w:rPr>
          <w:color w:val="auto"/>
        </w:rPr>
      </w:pPr>
    </w:p>
    <w:p w14:paraId="1169BFAE">
      <w:pPr>
        <w:rPr>
          <w:color w:val="auto"/>
        </w:rPr>
      </w:pPr>
    </w:p>
    <w:p w14:paraId="6512CF44">
      <w:pPr>
        <w:rPr>
          <w:color w:val="auto"/>
        </w:rPr>
      </w:pPr>
    </w:p>
    <w:p w14:paraId="271D5EA7">
      <w:pPr>
        <w:rPr>
          <w:color w:val="auto"/>
        </w:rPr>
      </w:pPr>
    </w:p>
    <w:p w14:paraId="4CE52B83">
      <w:pPr>
        <w:rPr>
          <w:color w:val="auto"/>
        </w:rPr>
      </w:pPr>
    </w:p>
    <w:p w14:paraId="32F9E4E3">
      <w:pPr>
        <w:rPr>
          <w:color w:val="auto"/>
        </w:rPr>
      </w:pPr>
    </w:p>
    <w:p w14:paraId="475FF6B4">
      <w:pPr>
        <w:rPr>
          <w:color w:val="auto"/>
        </w:rPr>
      </w:pPr>
    </w:p>
    <w:p w14:paraId="5E971D9A">
      <w:pPr>
        <w:rPr>
          <w:color w:val="auto"/>
        </w:rPr>
      </w:pPr>
    </w:p>
    <w:p w14:paraId="62AD7DD1">
      <w:pPr>
        <w:rPr>
          <w:color w:val="auto"/>
        </w:rPr>
      </w:pPr>
    </w:p>
    <w:p w14:paraId="3E1195AB">
      <w:pPr>
        <w:rPr>
          <w:color w:val="auto"/>
        </w:rPr>
      </w:pPr>
    </w:p>
    <w:p w14:paraId="41A89F49">
      <w:pPr>
        <w:rPr>
          <w:color w:val="auto"/>
        </w:rPr>
      </w:pPr>
    </w:p>
    <w:p w14:paraId="00C2C21E">
      <w:pPr>
        <w:rPr>
          <w:color w:val="auto"/>
        </w:rPr>
      </w:pPr>
    </w:p>
    <w:p w14:paraId="2B4C0EEA">
      <w:pPr>
        <w:rPr>
          <w:color w:val="auto"/>
        </w:rPr>
      </w:pPr>
    </w:p>
    <w:p w14:paraId="6AF21BAE">
      <w:pPr>
        <w:rPr>
          <w:color w:val="auto"/>
        </w:rPr>
      </w:pPr>
    </w:p>
    <w:p w14:paraId="44047ECA">
      <w:pPr>
        <w:rPr>
          <w:color w:val="auto"/>
        </w:rPr>
      </w:pPr>
    </w:p>
    <w:p w14:paraId="0AFCB7F3">
      <w:pPr>
        <w:pStyle w:val="3"/>
        <w:jc w:val="center"/>
        <w:rPr>
          <w:color w:val="auto"/>
          <w:sz w:val="30"/>
          <w:szCs w:val="30"/>
        </w:rPr>
      </w:pPr>
      <w:bookmarkStart w:id="77" w:name="_Toc27328"/>
      <w:r>
        <w:rPr>
          <w:rFonts w:hint="eastAsia"/>
          <w:color w:val="auto"/>
          <w:sz w:val="30"/>
          <w:szCs w:val="30"/>
        </w:rPr>
        <w:t xml:space="preserve">第四章 </w:t>
      </w:r>
      <w:bookmarkEnd w:id="74"/>
      <w:bookmarkEnd w:id="75"/>
      <w:r>
        <w:rPr>
          <w:rFonts w:hint="eastAsia"/>
          <w:color w:val="auto"/>
          <w:sz w:val="30"/>
          <w:szCs w:val="30"/>
        </w:rPr>
        <w:t>评标方法及评标标准</w:t>
      </w:r>
      <w:bookmarkEnd w:id="76"/>
      <w:bookmarkEnd w:id="77"/>
      <w:r>
        <w:rPr>
          <w:color w:val="auto"/>
        </w:rPr>
        <w:tab/>
      </w:r>
    </w:p>
    <w:p w14:paraId="7D6E2356">
      <w:pPr>
        <w:rPr>
          <w:rFonts w:hint="eastAsia" w:ascii="宋体" w:hAnsi="宋体" w:cs="Courier New"/>
          <w:b/>
          <w:bCs/>
          <w:color w:val="auto"/>
          <w:sz w:val="32"/>
          <w:szCs w:val="32"/>
        </w:rPr>
      </w:pPr>
      <w:r>
        <w:rPr>
          <w:rFonts w:hint="eastAsia" w:ascii="宋体" w:hAnsi="宋体" w:cs="Courier New"/>
          <w:b/>
          <w:bCs/>
          <w:color w:val="auto"/>
          <w:sz w:val="32"/>
          <w:szCs w:val="32"/>
        </w:rPr>
        <w:br w:type="page"/>
      </w:r>
    </w:p>
    <w:p w14:paraId="3EEC0007">
      <w:pPr>
        <w:tabs>
          <w:tab w:val="left" w:pos="3055"/>
        </w:tabs>
        <w:jc w:val="center"/>
        <w:rPr>
          <w:b/>
          <w:color w:val="auto"/>
          <w:sz w:val="30"/>
          <w:szCs w:val="30"/>
        </w:rPr>
      </w:pPr>
      <w:r>
        <w:rPr>
          <w:rFonts w:hint="eastAsia" w:ascii="宋体" w:hAnsi="宋体" w:cs="Courier New"/>
          <w:b/>
          <w:bCs/>
          <w:color w:val="auto"/>
          <w:sz w:val="32"/>
          <w:szCs w:val="32"/>
          <w:lang w:eastAsia="zh-CN"/>
        </w:rPr>
        <w:t>分标一</w:t>
      </w:r>
      <w:r>
        <w:rPr>
          <w:rFonts w:hint="eastAsia" w:ascii="宋体" w:hAnsi="宋体" w:cs="Courier New"/>
          <w:b/>
          <w:bCs/>
          <w:color w:val="auto"/>
          <w:sz w:val="32"/>
          <w:szCs w:val="32"/>
        </w:rPr>
        <w:t>评标方法及评标标准</w:t>
      </w:r>
    </w:p>
    <w:p w14:paraId="7C29CDD0">
      <w:pPr>
        <w:spacing w:line="390" w:lineRule="exact"/>
        <w:ind w:right="-168" w:rightChars="-80" w:firstLine="482" w:firstLineChars="200"/>
        <w:rPr>
          <w:rFonts w:ascii="仿宋_GB2312" w:eastAsia="仿宋_GB2312"/>
          <w:b/>
          <w:bCs/>
          <w:color w:val="auto"/>
          <w:sz w:val="24"/>
        </w:rPr>
      </w:pPr>
      <w:r>
        <w:rPr>
          <w:rFonts w:hint="eastAsia" w:ascii="仿宋_GB2312" w:eastAsia="仿宋_GB2312"/>
          <w:b/>
          <w:bCs/>
          <w:color w:val="auto"/>
          <w:sz w:val="24"/>
        </w:rPr>
        <w:t>一、评标原则</w:t>
      </w:r>
    </w:p>
    <w:p w14:paraId="37753E8A">
      <w:pPr>
        <w:spacing w:line="390" w:lineRule="exact"/>
        <w:ind w:right="-168" w:rightChars="-80"/>
        <w:rPr>
          <w:rFonts w:ascii="仿宋_GB2312" w:eastAsia="仿宋_GB2312"/>
          <w:color w:val="auto"/>
          <w:sz w:val="24"/>
        </w:rPr>
      </w:pPr>
      <w:r>
        <w:rPr>
          <w:rFonts w:hint="eastAsia" w:ascii="仿宋_GB2312" w:eastAsia="仿宋_GB2312"/>
          <w:color w:val="auto"/>
          <w:sz w:val="24"/>
        </w:rPr>
        <w:t xml:space="preserve">    （一）评委构成：本招标采购项目的评委分别由依法组成的评审专家、采购人代表共五人或以上单数构成，其中专家人数不少于评标委员会成员总数的三分之二。</w:t>
      </w:r>
    </w:p>
    <w:p w14:paraId="4C3C4A7D">
      <w:pPr>
        <w:spacing w:line="390" w:lineRule="exact"/>
        <w:ind w:right="-168" w:rightChars="-80" w:firstLine="435"/>
        <w:rPr>
          <w:rFonts w:ascii="仿宋_GB2312" w:eastAsia="仿宋_GB2312"/>
          <w:b/>
          <w:color w:val="auto"/>
          <w:sz w:val="24"/>
        </w:rPr>
      </w:pPr>
      <w:r>
        <w:rPr>
          <w:rFonts w:hint="eastAsia" w:ascii="仿宋_GB2312" w:eastAsia="仿宋_GB2312"/>
          <w:b/>
          <w:color w:val="auto"/>
          <w:sz w:val="24"/>
        </w:rPr>
        <w:t>（二）评标依据：评委将以招投标文件为评标依据</w:t>
      </w:r>
      <w:bookmarkStart w:id="78" w:name="_Hlk93676870"/>
      <w:r>
        <w:rPr>
          <w:rFonts w:hint="eastAsia" w:ascii="仿宋_GB2312" w:eastAsia="仿宋_GB2312"/>
          <w:b/>
          <w:color w:val="auto"/>
          <w:sz w:val="24"/>
        </w:rPr>
        <w:t>，对投标人的价格、技术、信誉、业绩等</w:t>
      </w:r>
      <w:bookmarkEnd w:id="78"/>
      <w:r>
        <w:rPr>
          <w:rFonts w:hint="eastAsia" w:ascii="仿宋_GB2312" w:eastAsia="仿宋_GB2312"/>
          <w:b/>
          <w:color w:val="auto"/>
          <w:sz w:val="24"/>
        </w:rPr>
        <w:t>方面按百分制打分。</w:t>
      </w:r>
    </w:p>
    <w:p w14:paraId="6264D2B3">
      <w:pPr>
        <w:spacing w:line="390" w:lineRule="exact"/>
        <w:ind w:right="-168" w:rightChars="-80" w:firstLine="435"/>
        <w:rPr>
          <w:rFonts w:ascii="仿宋_GB2312" w:eastAsia="仿宋_GB2312"/>
          <w:color w:val="auto"/>
          <w:sz w:val="24"/>
        </w:rPr>
      </w:pPr>
      <w:r>
        <w:rPr>
          <w:rFonts w:hint="eastAsia" w:ascii="仿宋_GB2312" w:eastAsia="仿宋_GB2312"/>
          <w:color w:val="auto"/>
          <w:sz w:val="24"/>
        </w:rPr>
        <w:t>（三）评标方式：以封闭方式进行。</w:t>
      </w:r>
    </w:p>
    <w:p w14:paraId="2C34A534">
      <w:pPr>
        <w:spacing w:line="390" w:lineRule="exact"/>
        <w:ind w:right="-168" w:rightChars="-80" w:firstLine="435"/>
        <w:rPr>
          <w:rFonts w:ascii="仿宋_GB2312" w:eastAsia="仿宋_GB2312"/>
          <w:color w:val="auto"/>
          <w:sz w:val="24"/>
        </w:rPr>
      </w:pPr>
      <w:r>
        <w:rPr>
          <w:rFonts w:hint="eastAsia" w:ascii="仿宋_GB2312" w:eastAsia="仿宋_GB2312"/>
          <w:color w:val="auto"/>
          <w:sz w:val="24"/>
        </w:rPr>
        <w:t>（四）评标委员会认为投标人的报价明显低于其他通过符合性审查投标人的报价，有可能影响产品质量或者不能诚信履约的，</w:t>
      </w:r>
      <w:r>
        <w:rPr>
          <w:rFonts w:hint="eastAsia" w:ascii="仿宋_GB2312" w:eastAsia="仿宋_GB2312" w:cs="Courier New"/>
          <w:color w:val="auto"/>
          <w:sz w:val="24"/>
        </w:rPr>
        <w:t>应当通过广西政府采购云平台发起询标函，要求其在评标现场合理的时间内通过广西政府采购云平台提供书面说明</w:t>
      </w:r>
      <w:r>
        <w:rPr>
          <w:rFonts w:hint="eastAsia" w:ascii="仿宋_GB2312" w:eastAsia="仿宋_GB2312"/>
          <w:color w:val="auto"/>
          <w:sz w:val="24"/>
        </w:rPr>
        <w:t xml:space="preserve">，必要时提交相关证明材料；投标人不能证明其报价合理性的，评标委员会应当将其作为无效投标处理。     </w:t>
      </w:r>
    </w:p>
    <w:p w14:paraId="08FBD9EF">
      <w:pPr>
        <w:spacing w:line="390" w:lineRule="exact"/>
        <w:ind w:right="-168" w:rightChars="-80" w:firstLine="435"/>
        <w:rPr>
          <w:rFonts w:ascii="仿宋_GB2312" w:eastAsia="仿宋_GB2312"/>
          <w:b/>
          <w:bCs/>
          <w:color w:val="auto"/>
          <w:sz w:val="24"/>
        </w:rPr>
      </w:pPr>
      <w:r>
        <w:rPr>
          <w:rFonts w:hint="eastAsia" w:ascii="仿宋_GB2312" w:eastAsia="仿宋_GB2312"/>
          <w:b/>
          <w:bCs/>
          <w:color w:val="auto"/>
          <w:sz w:val="24"/>
        </w:rPr>
        <w:t>二、评标方法</w:t>
      </w:r>
      <w:r>
        <w:rPr>
          <w:rFonts w:ascii="仿宋_GB2312" w:eastAsia="仿宋_GB2312"/>
          <w:b/>
          <w:bCs/>
          <w:color w:val="auto"/>
          <w:sz w:val="24"/>
        </w:rPr>
        <w:tab/>
      </w:r>
    </w:p>
    <w:p w14:paraId="10010B65">
      <w:pPr>
        <w:spacing w:line="390" w:lineRule="exact"/>
        <w:ind w:right="-168" w:rightChars="-80" w:firstLine="435"/>
        <w:rPr>
          <w:rFonts w:ascii="仿宋_GB2312" w:eastAsia="仿宋_GB2312"/>
          <w:color w:val="auto"/>
          <w:sz w:val="24"/>
        </w:rPr>
      </w:pPr>
      <w:r>
        <w:rPr>
          <w:rFonts w:hint="eastAsia" w:ascii="仿宋_GB2312" w:eastAsia="仿宋_GB2312"/>
          <w:color w:val="auto"/>
          <w:sz w:val="24"/>
        </w:rPr>
        <w:t>（一）对进入详评的，采用百分制综合评分法。</w:t>
      </w:r>
    </w:p>
    <w:p w14:paraId="5DC7DEAC">
      <w:pPr>
        <w:spacing w:line="400" w:lineRule="atLeast"/>
        <w:ind w:firstLine="480" w:firstLineChars="200"/>
        <w:jc w:val="left"/>
        <w:rPr>
          <w:rFonts w:hint="eastAsia" w:ascii="仿宋_GB2312" w:hAnsi="宋体" w:eastAsia="仿宋_GB2312"/>
          <w:color w:val="auto"/>
          <w:sz w:val="24"/>
        </w:rPr>
      </w:pPr>
      <w:r>
        <w:rPr>
          <w:rFonts w:hint="eastAsia" w:ascii="仿宋_GB2312" w:eastAsia="仿宋_GB2312"/>
          <w:color w:val="auto"/>
          <w:sz w:val="24"/>
        </w:rPr>
        <w:t>（二）计分办法（分值计算保留小数点后两位，第三位四舍五入）</w:t>
      </w:r>
      <w:r>
        <w:rPr>
          <w:rFonts w:hint="eastAsia" w:ascii="仿宋_GB2312" w:hAnsi="宋体" w:eastAsia="仿宋_GB2312"/>
          <w:color w:val="auto"/>
          <w:sz w:val="24"/>
        </w:rPr>
        <w:t>：</w:t>
      </w:r>
    </w:p>
    <w:tbl>
      <w:tblPr>
        <w:tblStyle w:val="8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828"/>
        <w:gridCol w:w="5906"/>
        <w:gridCol w:w="1251"/>
        <w:gridCol w:w="1543"/>
      </w:tblGrid>
      <w:tr w14:paraId="4A85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401" w:type="dxa"/>
            <w:gridSpan w:val="5"/>
            <w:shd w:val="clear" w:color="auto" w:fill="D7D7D7"/>
            <w:noWrap w:val="0"/>
            <w:vAlign w:val="center"/>
          </w:tcPr>
          <w:p w14:paraId="288D4911">
            <w:pPr>
              <w:spacing w:line="360" w:lineRule="exact"/>
              <w:jc w:val="center"/>
              <w:rPr>
                <w:rFonts w:ascii="仿宋_GB2312" w:hAnsi="仿宋_GB2312" w:eastAsia="仿宋_GB2312" w:cs="仿宋_GB2312"/>
                <w:b/>
                <w:color w:val="auto"/>
                <w:highlight w:val="none"/>
              </w:rPr>
            </w:pPr>
            <w:r>
              <w:rPr>
                <w:rFonts w:hint="eastAsia" w:ascii="仿宋_GB2312" w:eastAsia="仿宋_GB2312"/>
                <w:b/>
                <w:color w:val="auto"/>
                <w:sz w:val="32"/>
                <w:highlight w:val="none"/>
              </w:rPr>
              <w:t>客观分</w:t>
            </w:r>
          </w:p>
        </w:tc>
      </w:tr>
      <w:tr w14:paraId="011C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noWrap w:val="0"/>
            <w:vAlign w:val="center"/>
          </w:tcPr>
          <w:p w14:paraId="711E5509">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828" w:type="dxa"/>
            <w:noWrap w:val="0"/>
            <w:vAlign w:val="center"/>
          </w:tcPr>
          <w:p w14:paraId="33872AFB">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906" w:type="dxa"/>
            <w:noWrap w:val="0"/>
            <w:vAlign w:val="center"/>
          </w:tcPr>
          <w:p w14:paraId="61F6195A">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251" w:type="dxa"/>
            <w:noWrap w:val="0"/>
            <w:vAlign w:val="center"/>
          </w:tcPr>
          <w:p w14:paraId="2C297FD0">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543" w:type="dxa"/>
            <w:noWrap w:val="0"/>
            <w:vAlign w:val="center"/>
          </w:tcPr>
          <w:p w14:paraId="3ACC12D2">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14:paraId="64AA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873" w:type="dxa"/>
            <w:noWrap w:val="0"/>
            <w:vAlign w:val="center"/>
          </w:tcPr>
          <w:p w14:paraId="639F9DE5">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828" w:type="dxa"/>
            <w:noWrap w:val="0"/>
            <w:vAlign w:val="center"/>
          </w:tcPr>
          <w:p w14:paraId="18E17F29">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5906" w:type="dxa"/>
            <w:noWrap w:val="0"/>
            <w:vAlign w:val="center"/>
          </w:tcPr>
          <w:p w14:paraId="532198B3">
            <w:pPr>
              <w:spacing w:line="44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1.满足招标文件要求且投标价格最低的投标报价为评标基准价，其投标人的报价分为最高分</w:t>
            </w:r>
            <w:r>
              <w:rPr>
                <w:rFonts w:ascii="仿宋_GB2312" w:hAnsi="仿宋_GB2312" w:eastAsia="仿宋_GB2312" w:cs="仿宋_GB2312"/>
                <w:color w:val="auto"/>
                <w:highlight w:val="none"/>
              </w:rPr>
              <w:t>30</w:t>
            </w:r>
            <w:r>
              <w:rPr>
                <w:rFonts w:hint="eastAsia" w:ascii="仿宋_GB2312" w:hAnsi="仿宋_GB2312" w:eastAsia="仿宋_GB2312" w:cs="仿宋_GB2312"/>
                <w:color w:val="auto"/>
                <w:highlight w:val="none"/>
              </w:rPr>
              <w:t>分；</w:t>
            </w:r>
          </w:p>
          <w:p w14:paraId="16FCD99C">
            <w:pPr>
              <w:spacing w:line="44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2.其他投标人的报价得分按以下公式计算：</w:t>
            </w:r>
          </w:p>
          <w:p w14:paraId="6AF8E6EE">
            <w:pPr>
              <w:spacing w:line="440" w:lineRule="exact"/>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报价得分=（评标基准价／某投标人投标报价）×</w:t>
            </w:r>
            <w:r>
              <w:rPr>
                <w:rFonts w:ascii="仿宋_GB2312" w:hAnsi="仿宋_GB2312" w:eastAsia="仿宋_GB2312" w:cs="仿宋_GB2312"/>
                <w:color w:val="auto"/>
                <w:highlight w:val="none"/>
              </w:rPr>
              <w:t>30</w:t>
            </w:r>
            <w:r>
              <w:rPr>
                <w:rFonts w:hint="eastAsia" w:ascii="仿宋_GB2312" w:hAnsi="仿宋_GB2312" w:eastAsia="仿宋_GB2312" w:cs="仿宋_GB2312"/>
                <w:color w:val="auto"/>
                <w:highlight w:val="none"/>
              </w:rPr>
              <w:t>分。</w:t>
            </w:r>
          </w:p>
          <w:p w14:paraId="0A373027">
            <w:pPr>
              <w:spacing w:line="440" w:lineRule="exact"/>
              <w:ind w:firstLine="422" w:firstLineChars="200"/>
              <w:jc w:val="left"/>
              <w:rPr>
                <w:rFonts w:ascii="仿宋_GB2312" w:hAnsi="仿宋_GB2312" w:eastAsia="仿宋_GB2312" w:cs="仿宋_GB2312"/>
                <w:color w:val="auto"/>
                <w:highlight w:val="none"/>
              </w:rPr>
            </w:pPr>
            <w:r>
              <w:rPr>
                <w:rFonts w:hint="eastAsia" w:ascii="仿宋_GB2312" w:eastAsia="仿宋_GB2312"/>
                <w:b/>
                <w:bCs/>
                <w:color w:val="auto"/>
                <w:szCs w:val="21"/>
                <w:highlight w:val="none"/>
              </w:rPr>
              <w:t>注：专门面向中小企业采购的项目或者采购包，不再执行价格评审优惠的扶持政策。</w:t>
            </w:r>
          </w:p>
        </w:tc>
        <w:tc>
          <w:tcPr>
            <w:tcW w:w="1251" w:type="dxa"/>
            <w:noWrap w:val="0"/>
            <w:vAlign w:val="center"/>
          </w:tcPr>
          <w:p w14:paraId="4E2A3B1D">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30</w:t>
            </w:r>
          </w:p>
        </w:tc>
        <w:tc>
          <w:tcPr>
            <w:tcW w:w="1543" w:type="dxa"/>
            <w:noWrap w:val="0"/>
            <w:vAlign w:val="center"/>
          </w:tcPr>
          <w:p w14:paraId="271811F0">
            <w:pPr>
              <w:spacing w:line="360" w:lineRule="exact"/>
              <w:jc w:val="center"/>
              <w:rPr>
                <w:rFonts w:ascii="仿宋_GB2312" w:hAnsi="仿宋_GB2312" w:eastAsia="仿宋_GB2312" w:cs="仿宋_GB2312"/>
                <w:b/>
                <w:bCs/>
                <w:color w:val="auto"/>
                <w:highlight w:val="none"/>
              </w:rPr>
            </w:pPr>
          </w:p>
        </w:tc>
      </w:tr>
      <w:tr w14:paraId="7302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noWrap w:val="0"/>
            <w:vAlign w:val="center"/>
          </w:tcPr>
          <w:p w14:paraId="225989F7">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信誉分</w:t>
            </w:r>
          </w:p>
        </w:tc>
        <w:tc>
          <w:tcPr>
            <w:tcW w:w="828" w:type="dxa"/>
            <w:noWrap w:val="0"/>
            <w:vAlign w:val="center"/>
          </w:tcPr>
          <w:p w14:paraId="256DCF4C">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5906" w:type="dxa"/>
            <w:noWrap w:val="0"/>
            <w:vAlign w:val="center"/>
          </w:tcPr>
          <w:p w14:paraId="02F5F56E">
            <w:pPr>
              <w:spacing w:line="36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1.投标人或投标产品生产厂家具备有效的质量管理体系认证证书得</w:t>
            </w:r>
            <w:r>
              <w:rPr>
                <w:rFonts w:hint="default" w:ascii="仿宋_GB2312" w:hAnsi="仿宋_GB2312" w:eastAsia="仿宋_GB2312" w:cs="仿宋_GB2312"/>
                <w:color w:val="auto"/>
                <w:highlight w:val="none"/>
                <w:lang w:val="en-US"/>
              </w:rPr>
              <w:t>0.5</w:t>
            </w:r>
            <w:r>
              <w:rPr>
                <w:rFonts w:hint="eastAsia" w:ascii="仿宋_GB2312" w:hAnsi="仿宋_GB2312" w:eastAsia="仿宋_GB2312" w:cs="仿宋_GB2312"/>
                <w:color w:val="auto"/>
                <w:highlight w:val="none"/>
              </w:rPr>
              <w:t>分，满分</w:t>
            </w:r>
            <w:r>
              <w:rPr>
                <w:rFonts w:hint="default" w:ascii="仿宋_GB2312" w:hAnsi="仿宋_GB2312" w:eastAsia="仿宋_GB2312" w:cs="仿宋_GB2312"/>
                <w:color w:val="auto"/>
                <w:highlight w:val="none"/>
                <w:lang w:val="en-US"/>
              </w:rPr>
              <w:t>0.5</w:t>
            </w:r>
            <w:r>
              <w:rPr>
                <w:rFonts w:hint="eastAsia" w:ascii="仿宋_GB2312" w:hAnsi="仿宋_GB2312" w:eastAsia="仿宋_GB2312" w:cs="仿宋_GB2312"/>
                <w:color w:val="auto"/>
                <w:highlight w:val="none"/>
              </w:rPr>
              <w:t xml:space="preserve">分；  </w:t>
            </w:r>
          </w:p>
          <w:p w14:paraId="7D6A83A9">
            <w:pPr>
              <w:spacing w:line="36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2.投标人</w:t>
            </w:r>
            <w:r>
              <w:rPr>
                <w:rFonts w:hint="eastAsia" w:ascii="仿宋_GB2312" w:eastAsia="仿宋_GB2312"/>
                <w:color w:val="auto"/>
                <w:highlight w:val="none"/>
              </w:rPr>
              <w:t>或投标产品生产厂家</w:t>
            </w:r>
            <w:r>
              <w:rPr>
                <w:rFonts w:hint="eastAsia" w:ascii="仿宋_GB2312" w:hAnsi="仿宋_GB2312" w:eastAsia="仿宋_GB2312" w:cs="仿宋_GB2312"/>
                <w:color w:val="auto"/>
                <w:highlight w:val="none"/>
              </w:rPr>
              <w:t>具备有效的职业健康安全管理体系认证证书得</w:t>
            </w:r>
            <w:r>
              <w:rPr>
                <w:rFonts w:hint="default" w:ascii="仿宋_GB2312" w:hAnsi="仿宋_GB2312" w:eastAsia="仿宋_GB2312" w:cs="仿宋_GB2312"/>
                <w:color w:val="auto"/>
                <w:highlight w:val="none"/>
                <w:lang w:val="en-US"/>
              </w:rPr>
              <w:t>0.5</w:t>
            </w:r>
            <w:r>
              <w:rPr>
                <w:rFonts w:hint="eastAsia" w:ascii="仿宋_GB2312" w:hAnsi="仿宋_GB2312" w:eastAsia="仿宋_GB2312" w:cs="仿宋_GB2312"/>
                <w:color w:val="auto"/>
                <w:highlight w:val="none"/>
              </w:rPr>
              <w:t>分，满分</w:t>
            </w:r>
            <w:r>
              <w:rPr>
                <w:rFonts w:hint="default" w:ascii="仿宋_GB2312" w:hAnsi="仿宋_GB2312" w:eastAsia="仿宋_GB2312" w:cs="仿宋_GB2312"/>
                <w:color w:val="auto"/>
                <w:highlight w:val="none"/>
                <w:lang w:val="en-US"/>
              </w:rPr>
              <w:t>0.5</w:t>
            </w:r>
            <w:r>
              <w:rPr>
                <w:rFonts w:hint="eastAsia" w:ascii="仿宋_GB2312" w:hAnsi="仿宋_GB2312" w:eastAsia="仿宋_GB2312" w:cs="仿宋_GB2312"/>
                <w:color w:val="auto"/>
                <w:highlight w:val="none"/>
              </w:rPr>
              <w:t>分；</w:t>
            </w:r>
          </w:p>
          <w:p w14:paraId="798B63AE">
            <w:pPr>
              <w:spacing w:line="360" w:lineRule="exact"/>
              <w:ind w:firstLine="42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3.投标人</w:t>
            </w:r>
            <w:r>
              <w:rPr>
                <w:rFonts w:hint="eastAsia" w:ascii="仿宋_GB2312" w:eastAsia="仿宋_GB2312"/>
                <w:color w:val="auto"/>
                <w:highlight w:val="none"/>
              </w:rPr>
              <w:t>或投标产品生产厂家</w:t>
            </w:r>
            <w:r>
              <w:rPr>
                <w:rFonts w:hint="eastAsia" w:ascii="仿宋_GB2312" w:hAnsi="仿宋_GB2312" w:eastAsia="仿宋_GB2312" w:cs="仿宋_GB2312"/>
                <w:color w:val="auto"/>
                <w:highlight w:val="none"/>
              </w:rPr>
              <w:t>具备有效的环境管理体系认证证书得</w:t>
            </w:r>
            <w:r>
              <w:rPr>
                <w:rFonts w:hint="default" w:ascii="仿宋_GB2312" w:hAnsi="仿宋_GB2312" w:eastAsia="仿宋_GB2312" w:cs="仿宋_GB2312"/>
                <w:color w:val="auto"/>
                <w:highlight w:val="none"/>
                <w:lang w:val="en-US"/>
              </w:rPr>
              <w:t>0.5</w:t>
            </w:r>
            <w:r>
              <w:rPr>
                <w:rFonts w:hint="eastAsia" w:ascii="仿宋_GB2312" w:hAnsi="仿宋_GB2312" w:eastAsia="仿宋_GB2312" w:cs="仿宋_GB2312"/>
                <w:color w:val="auto"/>
                <w:highlight w:val="none"/>
              </w:rPr>
              <w:t>分，满分</w:t>
            </w:r>
            <w:r>
              <w:rPr>
                <w:rFonts w:hint="default" w:ascii="仿宋_GB2312" w:hAnsi="仿宋_GB2312" w:eastAsia="仿宋_GB2312" w:cs="仿宋_GB2312"/>
                <w:color w:val="auto"/>
                <w:highlight w:val="none"/>
                <w:lang w:val="en-US"/>
              </w:rPr>
              <w:t>0.5</w:t>
            </w:r>
            <w:r>
              <w:rPr>
                <w:rFonts w:hint="eastAsia"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eastAsia="zh-CN"/>
              </w:rPr>
              <w:t>。</w:t>
            </w:r>
          </w:p>
          <w:p w14:paraId="624A8AF1">
            <w:pPr>
              <w:spacing w:line="36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注：投标人提供证书材料并加盖投标人CA电子签章，否则不予计分。</w:t>
            </w:r>
          </w:p>
        </w:tc>
        <w:tc>
          <w:tcPr>
            <w:tcW w:w="1251" w:type="dxa"/>
            <w:noWrap w:val="0"/>
            <w:vAlign w:val="center"/>
          </w:tcPr>
          <w:p w14:paraId="439112AF">
            <w:pPr>
              <w:spacing w:line="360" w:lineRule="exact"/>
              <w:jc w:val="center"/>
              <w:rPr>
                <w:rFonts w:hint="eastAsia" w:ascii="仿宋_GB2312" w:hAnsi="仿宋_GB2312" w:eastAsia="仿宋_GB2312" w:cs="仿宋_GB2312"/>
                <w:b/>
                <w:bCs/>
                <w:color w:val="auto"/>
                <w:highlight w:val="none"/>
                <w:lang w:eastAsia="zh-CN"/>
              </w:rPr>
            </w:pPr>
            <w:r>
              <w:rPr>
                <w:rFonts w:hint="default" w:ascii="仿宋_GB2312" w:hAnsi="仿宋_GB2312" w:eastAsia="仿宋_GB2312" w:cs="仿宋_GB2312"/>
                <w:b/>
                <w:bCs/>
                <w:color w:val="auto"/>
                <w:highlight w:val="none"/>
                <w:lang w:val="en-US"/>
              </w:rPr>
              <w:t>1.5</w:t>
            </w:r>
          </w:p>
        </w:tc>
        <w:tc>
          <w:tcPr>
            <w:tcW w:w="1543" w:type="dxa"/>
            <w:noWrap w:val="0"/>
            <w:vAlign w:val="center"/>
          </w:tcPr>
          <w:p w14:paraId="7C32F7FC">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相关认证证书材料</w:t>
            </w:r>
          </w:p>
        </w:tc>
      </w:tr>
      <w:tr w14:paraId="42F7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noWrap w:val="0"/>
            <w:vAlign w:val="center"/>
          </w:tcPr>
          <w:p w14:paraId="5F5765A7">
            <w:pPr>
              <w:spacing w:line="360" w:lineRule="exact"/>
              <w:jc w:val="center"/>
              <w:rPr>
                <w:rFonts w:ascii="仿宋_GB2312" w:hAnsi="仿宋_GB2312" w:eastAsia="仿宋_GB2312" w:cs="仿宋_GB2312"/>
                <w:b/>
                <w:color w:val="auto"/>
                <w:highlight w:val="none"/>
              </w:rPr>
            </w:pPr>
            <w:r>
              <w:rPr>
                <w:rFonts w:hint="eastAsia" w:ascii="仿宋_GB2312" w:hAnsi="宋体" w:eastAsia="仿宋_GB2312"/>
                <w:b/>
                <w:color w:val="auto"/>
                <w:highlight w:val="none"/>
              </w:rPr>
              <w:t>政策功能分</w:t>
            </w:r>
          </w:p>
        </w:tc>
        <w:tc>
          <w:tcPr>
            <w:tcW w:w="828" w:type="dxa"/>
            <w:noWrap w:val="0"/>
            <w:vAlign w:val="center"/>
          </w:tcPr>
          <w:p w14:paraId="0A61A08A">
            <w:pPr>
              <w:widowControl/>
              <w:spacing w:line="360" w:lineRule="exact"/>
              <w:jc w:val="center"/>
              <w:rPr>
                <w:rFonts w:ascii="仿宋_GB2312" w:hAnsi="仿宋_GB2312" w:eastAsia="仿宋_GB2312" w:cs="仿宋_GB2312"/>
                <w:b/>
                <w:color w:val="auto"/>
                <w:highlight w:val="none"/>
              </w:rPr>
            </w:pPr>
            <w:r>
              <w:rPr>
                <w:rFonts w:hint="eastAsia" w:ascii="仿宋_GB2312" w:hAnsi="宋体" w:eastAsia="仿宋_GB2312"/>
                <w:b/>
                <w:color w:val="auto"/>
                <w:highlight w:val="none"/>
              </w:rPr>
              <w:t>政策功能</w:t>
            </w:r>
          </w:p>
        </w:tc>
        <w:tc>
          <w:tcPr>
            <w:tcW w:w="5906" w:type="dxa"/>
            <w:noWrap w:val="0"/>
            <w:vAlign w:val="center"/>
          </w:tcPr>
          <w:p w14:paraId="266A253B">
            <w:pPr>
              <w:spacing w:line="40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投标产品列入财政部、生态环境部制定和公布《环境标志产品政府采购清单》每有一项得0.5分，满分</w:t>
            </w:r>
            <w:r>
              <w:rPr>
                <w:rFonts w:hint="default" w:ascii="仿宋_GB2312" w:hAnsi="仿宋_GB2312" w:eastAsia="仿宋_GB2312" w:cs="仿宋_GB2312"/>
                <w:color w:val="auto"/>
                <w:highlight w:val="none"/>
                <w:lang w:val="en-US"/>
              </w:rPr>
              <w:t>0.5</w:t>
            </w:r>
            <w:r>
              <w:rPr>
                <w:rFonts w:hint="eastAsia" w:ascii="仿宋_GB2312" w:hAnsi="仿宋_GB2312" w:eastAsia="仿宋_GB2312" w:cs="仿宋_GB2312"/>
                <w:color w:val="auto"/>
                <w:highlight w:val="none"/>
              </w:rPr>
              <w:t>分（投标人提供由国家确定的认证机构出具的、处于有效期之内的环境标志产品认证证书材料并加盖投标人</w:t>
            </w:r>
            <w:r>
              <w:rPr>
                <w:rFonts w:hint="eastAsia" w:ascii="仿宋_GB2312" w:hAnsi="仿宋_GB2312" w:eastAsia="仿宋_GB2312" w:cs="仿宋_GB2312"/>
                <w:bCs/>
                <w:color w:val="auto"/>
                <w:highlight w:val="none"/>
              </w:rPr>
              <w:t>CA电子签章</w:t>
            </w:r>
            <w:r>
              <w:rPr>
                <w:rFonts w:hint="eastAsia" w:ascii="仿宋_GB2312" w:hAnsi="仿宋_GB2312" w:eastAsia="仿宋_GB2312" w:cs="仿宋_GB2312"/>
                <w:color w:val="auto"/>
                <w:highlight w:val="none"/>
              </w:rPr>
              <w:t>，否则不予计分）。</w:t>
            </w:r>
          </w:p>
        </w:tc>
        <w:tc>
          <w:tcPr>
            <w:tcW w:w="1251" w:type="dxa"/>
            <w:noWrap w:val="0"/>
            <w:vAlign w:val="center"/>
          </w:tcPr>
          <w:p w14:paraId="3DF3490E">
            <w:pPr>
              <w:spacing w:line="360" w:lineRule="exact"/>
              <w:jc w:val="center"/>
              <w:rPr>
                <w:rFonts w:hint="eastAsia" w:ascii="仿宋_GB2312" w:hAnsi="仿宋_GB2312" w:eastAsia="仿宋_GB2312" w:cs="仿宋_GB2312"/>
                <w:b/>
                <w:bCs/>
                <w:color w:val="auto"/>
                <w:highlight w:val="none"/>
                <w:lang w:eastAsia="zh-CN"/>
              </w:rPr>
            </w:pPr>
            <w:r>
              <w:rPr>
                <w:rFonts w:hint="default" w:ascii="仿宋_GB2312" w:hAnsi="仿宋_GB2312" w:eastAsia="仿宋_GB2312" w:cs="仿宋_GB2312"/>
                <w:b/>
                <w:bCs/>
                <w:color w:val="auto"/>
                <w:highlight w:val="none"/>
                <w:lang w:val="en-US"/>
              </w:rPr>
              <w:t>0.5</w:t>
            </w:r>
          </w:p>
        </w:tc>
        <w:tc>
          <w:tcPr>
            <w:tcW w:w="1543" w:type="dxa"/>
            <w:noWrap w:val="0"/>
            <w:vAlign w:val="center"/>
          </w:tcPr>
          <w:p w14:paraId="68E80AE2">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相关证明材料</w:t>
            </w:r>
          </w:p>
        </w:tc>
      </w:tr>
      <w:tr w14:paraId="5F12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noWrap w:val="0"/>
            <w:vAlign w:val="center"/>
          </w:tcPr>
          <w:p w14:paraId="6C06E6A0">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技术参数分</w:t>
            </w:r>
          </w:p>
        </w:tc>
        <w:tc>
          <w:tcPr>
            <w:tcW w:w="828" w:type="dxa"/>
            <w:noWrap w:val="0"/>
            <w:vAlign w:val="center"/>
          </w:tcPr>
          <w:p w14:paraId="34C0BC1F">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重要指标</w:t>
            </w:r>
          </w:p>
        </w:tc>
        <w:tc>
          <w:tcPr>
            <w:tcW w:w="5906" w:type="dxa"/>
            <w:noWrap w:val="0"/>
            <w:vAlign w:val="center"/>
          </w:tcPr>
          <w:p w14:paraId="3F7A1D5F">
            <w:pPr>
              <w:spacing w:line="40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所投标记“●”号产品材料带下划线“＿”的技术参数的检测结果能全部满足招标文件技术参数要求</w:t>
            </w:r>
            <w:r>
              <w:rPr>
                <w:rFonts w:hint="eastAsia" w:ascii="仿宋_GB2312" w:hAnsi="仿宋_GB2312" w:eastAsia="仿宋_GB2312" w:cs="仿宋_GB2312"/>
                <w:color w:val="auto"/>
                <w:kern w:val="2"/>
                <w:sz w:val="21"/>
                <w:highlight w:val="none"/>
              </w:rPr>
              <w:t>且至少有一个参数优于采购需求</w:t>
            </w:r>
            <w:r>
              <w:rPr>
                <w:rFonts w:hint="eastAsia" w:ascii="仿宋_GB2312" w:hAnsi="仿宋_GB2312" w:eastAsia="仿宋_GB2312" w:cs="仿宋_GB2312"/>
                <w:color w:val="auto"/>
                <w:highlight w:val="none"/>
              </w:rPr>
              <w:t>，每有一项得</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分，满分为</w:t>
            </w:r>
            <w:r>
              <w:rPr>
                <w:rFonts w:hint="eastAsia" w:ascii="仿宋_GB2312" w:hAnsi="仿宋_GB2312" w:eastAsia="仿宋_GB2312" w:cs="仿宋_GB2312"/>
                <w:color w:val="auto"/>
                <w:highlight w:val="none"/>
                <w:lang w:val="en-US" w:eastAsia="zh-CN"/>
              </w:rPr>
              <w:t>30</w:t>
            </w:r>
            <w:r>
              <w:rPr>
                <w:rFonts w:hint="eastAsia" w:ascii="仿宋_GB2312" w:hAnsi="仿宋_GB2312" w:eastAsia="仿宋_GB2312" w:cs="仿宋_GB2312"/>
                <w:color w:val="auto"/>
                <w:highlight w:val="none"/>
              </w:rPr>
              <w:t>分。</w:t>
            </w:r>
          </w:p>
          <w:p w14:paraId="3EF25CE0">
            <w:pPr>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 xml:space="preserve">不同货物相同材料的技术参数分别计分； </w:t>
            </w:r>
          </w:p>
          <w:p w14:paraId="4DB9A745">
            <w:pPr>
              <w:spacing w:line="400" w:lineRule="exact"/>
              <w:ind w:firstLine="422" w:firstLineChars="200"/>
              <w:rPr>
                <w:rFonts w:ascii="Calibri" w:hAnsi="Calibri" w:eastAsia="仿宋_GB2312" w:cs="Calibri"/>
                <w:b/>
                <w:bCs/>
                <w:color w:val="auto"/>
                <w:highlight w:val="none"/>
              </w:rPr>
            </w:pPr>
            <w:r>
              <w:rPr>
                <w:rFonts w:hint="eastAsia" w:ascii="仿宋_GB2312" w:hAnsi="仿宋_GB2312" w:eastAsia="仿宋_GB2312" w:cs="仿宋_GB2312"/>
                <w:b/>
                <w:bCs/>
                <w:color w:val="auto"/>
                <w:highlight w:val="none"/>
              </w:rPr>
              <w:t>2.标记“●”号的技术参数为一项；</w:t>
            </w:r>
            <w:r>
              <w:rPr>
                <w:rFonts w:ascii="Calibri" w:hAnsi="Calibri" w:eastAsia="仿宋_GB2312" w:cs="Calibri"/>
                <w:b/>
                <w:bCs/>
                <w:color w:val="auto"/>
                <w:highlight w:val="none"/>
              </w:rPr>
              <w:t> </w:t>
            </w:r>
          </w:p>
          <w:p w14:paraId="6E500053">
            <w:pPr>
              <w:spacing w:line="400" w:lineRule="exact"/>
              <w:ind w:firstLine="422" w:firstLineChars="200"/>
              <w:rPr>
                <w:color w:val="auto"/>
                <w:highlight w:val="none"/>
              </w:rPr>
            </w:pPr>
            <w:r>
              <w:rPr>
                <w:rFonts w:hint="eastAsia" w:ascii="仿宋_GB2312" w:hAnsi="仿宋_GB2312" w:eastAsia="仿宋_GB2312" w:cs="仿宋_GB2312"/>
                <w:b/>
                <w:bCs/>
                <w:color w:val="auto"/>
                <w:highlight w:val="none"/>
              </w:rPr>
              <w:t>3.标记“●”号中带下划线</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所有的技术参数，投标人须提供20</w:t>
            </w:r>
            <w:r>
              <w:rPr>
                <w:rFonts w:hint="eastAsia" w:ascii="仿宋_GB2312" w:hAnsi="仿宋_GB2312" w:eastAsia="仿宋_GB2312" w:cs="仿宋_GB2312"/>
                <w:b/>
                <w:bCs/>
                <w:color w:val="auto"/>
                <w:highlight w:val="none"/>
                <w:lang w:val="en-US" w:eastAsia="zh-CN"/>
              </w:rPr>
              <w:t>20</w:t>
            </w:r>
            <w:r>
              <w:rPr>
                <w:rFonts w:hint="eastAsia" w:ascii="仿宋_GB2312" w:hAnsi="仿宋_GB2312" w:eastAsia="仿宋_GB2312" w:cs="仿宋_GB2312"/>
                <w:b/>
                <w:bCs/>
                <w:color w:val="auto"/>
                <w:highlight w:val="none"/>
              </w:rPr>
              <w:t>年以来</w:t>
            </w:r>
            <w:r>
              <w:rPr>
                <w:rFonts w:hint="eastAsia" w:ascii="仿宋_GB2312" w:hAnsi="仿宋_GB2312" w:eastAsia="仿宋_GB2312" w:cs="仿宋_GB2312"/>
                <w:b/>
                <w:bCs/>
                <w:color w:val="auto"/>
                <w:highlight w:val="none"/>
                <w:lang w:eastAsia="zh-CN"/>
              </w:rPr>
              <w:t>具有CMA标识的检测（检验）报告</w:t>
            </w:r>
            <w:r>
              <w:rPr>
                <w:rFonts w:hint="eastAsia" w:ascii="仿宋_GB2312" w:hAnsi="仿宋_GB2312" w:eastAsia="仿宋_GB2312" w:cs="仿宋_GB2312"/>
                <w:b/>
                <w:bCs/>
                <w:color w:val="auto"/>
                <w:highlight w:val="none"/>
              </w:rPr>
              <w:t>并加盖投标人CA电子签章，所提供的测报告内容应体现带下划线</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所有内容，如未提供检测报告或检测报告内容有缺项、漏项内容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无优于的</w:t>
            </w:r>
            <w:r>
              <w:rPr>
                <w:rFonts w:hint="eastAsia" w:ascii="仿宋_GB2312" w:hAnsi="仿宋_GB2312" w:eastAsia="仿宋_GB2312" w:cs="仿宋_GB2312"/>
                <w:b/>
                <w:bCs/>
                <w:color w:val="auto"/>
                <w:highlight w:val="none"/>
              </w:rPr>
              <w:t xml:space="preserve">，对应项不予计分。 </w:t>
            </w:r>
          </w:p>
        </w:tc>
        <w:tc>
          <w:tcPr>
            <w:tcW w:w="1251" w:type="dxa"/>
            <w:noWrap w:val="0"/>
            <w:vAlign w:val="center"/>
          </w:tcPr>
          <w:p w14:paraId="0CFC94AA">
            <w:pPr>
              <w:spacing w:line="360" w:lineRule="exact"/>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highlight w:val="none"/>
                <w:lang w:val="en-US" w:eastAsia="zh-CN"/>
              </w:rPr>
              <w:t>30</w:t>
            </w:r>
          </w:p>
        </w:tc>
        <w:tc>
          <w:tcPr>
            <w:tcW w:w="1543" w:type="dxa"/>
            <w:noWrap w:val="0"/>
            <w:vAlign w:val="center"/>
          </w:tcPr>
          <w:p w14:paraId="57329CD3">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技术响应表及相关证明材料</w:t>
            </w:r>
          </w:p>
        </w:tc>
      </w:tr>
      <w:tr w14:paraId="05D8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607" w:type="dxa"/>
            <w:gridSpan w:val="3"/>
            <w:noWrap w:val="0"/>
            <w:vAlign w:val="center"/>
          </w:tcPr>
          <w:p w14:paraId="03C9D433">
            <w:pPr>
              <w:tabs>
                <w:tab w:val="left" w:pos="312"/>
              </w:tabs>
              <w:spacing w:line="400" w:lineRule="exact"/>
              <w:ind w:firstLine="422" w:firstLineChars="200"/>
              <w:jc w:val="center"/>
              <w:rPr>
                <w:rFonts w:ascii="仿宋_GB2312" w:hAnsi="仿宋_GB2312" w:eastAsia="仿宋_GB2312" w:cs="仿宋_GB2312"/>
                <w:color w:val="auto"/>
                <w:highlight w:val="none"/>
              </w:rPr>
            </w:pPr>
            <w:r>
              <w:rPr>
                <w:rFonts w:hint="eastAsia" w:ascii="仿宋_GB2312" w:hAnsi="宋体" w:eastAsia="仿宋_GB2312" w:cs="Courier New"/>
                <w:b/>
                <w:bCs/>
                <w:color w:val="auto"/>
                <w:szCs w:val="21"/>
                <w:highlight w:val="none"/>
              </w:rPr>
              <w:t>客观分总分</w:t>
            </w:r>
          </w:p>
        </w:tc>
        <w:tc>
          <w:tcPr>
            <w:tcW w:w="1251" w:type="dxa"/>
            <w:noWrap w:val="0"/>
            <w:vAlign w:val="center"/>
          </w:tcPr>
          <w:p w14:paraId="21381E98">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62</w:t>
            </w:r>
          </w:p>
        </w:tc>
        <w:tc>
          <w:tcPr>
            <w:tcW w:w="1543" w:type="dxa"/>
            <w:noWrap w:val="0"/>
            <w:vAlign w:val="center"/>
          </w:tcPr>
          <w:p w14:paraId="3381D8D5">
            <w:pPr>
              <w:spacing w:line="360" w:lineRule="exact"/>
              <w:jc w:val="center"/>
              <w:rPr>
                <w:rFonts w:ascii="仿宋_GB2312" w:hAnsi="仿宋_GB2312" w:eastAsia="仿宋_GB2312" w:cs="仿宋_GB2312"/>
                <w:color w:val="auto"/>
                <w:highlight w:val="none"/>
              </w:rPr>
            </w:pPr>
          </w:p>
        </w:tc>
      </w:tr>
    </w:tbl>
    <w:p w14:paraId="03A18758">
      <w:pPr>
        <w:pStyle w:val="657"/>
        <w:rPr>
          <w:rFonts w:ascii="仿宋_GB2312" w:eastAsia="仿宋_GB2312"/>
          <w:color w:val="auto"/>
          <w:sz w:val="24"/>
          <w:highlight w:val="none"/>
        </w:rPr>
      </w:pPr>
    </w:p>
    <w:tbl>
      <w:tblPr>
        <w:tblStyle w:val="8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24"/>
        <w:gridCol w:w="5535"/>
        <w:gridCol w:w="1291"/>
        <w:gridCol w:w="1520"/>
      </w:tblGrid>
      <w:tr w14:paraId="0A22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80" w:type="dxa"/>
            <w:gridSpan w:val="5"/>
            <w:shd w:val="clear" w:color="auto" w:fill="D7D7D7"/>
            <w:noWrap w:val="0"/>
            <w:vAlign w:val="center"/>
          </w:tcPr>
          <w:p w14:paraId="52C07228">
            <w:pPr>
              <w:spacing w:line="360" w:lineRule="exact"/>
              <w:jc w:val="center"/>
              <w:rPr>
                <w:rFonts w:ascii="仿宋_GB2312" w:hAnsi="仿宋_GB2312" w:eastAsia="仿宋_GB2312" w:cs="仿宋_GB2312"/>
                <w:color w:val="auto"/>
                <w:highlight w:val="none"/>
              </w:rPr>
            </w:pPr>
            <w:r>
              <w:rPr>
                <w:rFonts w:hint="eastAsia" w:ascii="仿宋_GB2312" w:eastAsia="仿宋_GB2312"/>
                <w:b/>
                <w:color w:val="auto"/>
                <w:sz w:val="32"/>
                <w:highlight w:val="none"/>
              </w:rPr>
              <w:t>主观分</w:t>
            </w:r>
          </w:p>
        </w:tc>
      </w:tr>
      <w:tr w14:paraId="0365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0" w:type="dxa"/>
            <w:noWrap w:val="0"/>
            <w:vAlign w:val="center"/>
          </w:tcPr>
          <w:p w14:paraId="4EF0FB06">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124" w:type="dxa"/>
            <w:noWrap w:val="0"/>
            <w:vAlign w:val="center"/>
          </w:tcPr>
          <w:p w14:paraId="5FB544EB">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535" w:type="dxa"/>
            <w:noWrap w:val="0"/>
            <w:vAlign w:val="center"/>
          </w:tcPr>
          <w:p w14:paraId="29EE5A71">
            <w:pPr>
              <w:spacing w:line="3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291" w:type="dxa"/>
            <w:noWrap w:val="0"/>
            <w:vAlign w:val="center"/>
          </w:tcPr>
          <w:p w14:paraId="33D16CC2">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520" w:type="dxa"/>
            <w:noWrap w:val="0"/>
            <w:vAlign w:val="center"/>
          </w:tcPr>
          <w:p w14:paraId="02147F31">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14:paraId="35C4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restart"/>
            <w:noWrap w:val="0"/>
            <w:vAlign w:val="center"/>
          </w:tcPr>
          <w:p w14:paraId="69BB9DB7">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项目实施方案分</w:t>
            </w:r>
          </w:p>
        </w:tc>
        <w:tc>
          <w:tcPr>
            <w:tcW w:w="1124" w:type="dxa"/>
            <w:noWrap w:val="0"/>
            <w:vAlign w:val="center"/>
          </w:tcPr>
          <w:p w14:paraId="389B0CB5">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项目实施方案</w:t>
            </w:r>
          </w:p>
        </w:tc>
        <w:tc>
          <w:tcPr>
            <w:tcW w:w="5535" w:type="dxa"/>
            <w:noWrap w:val="0"/>
            <w:vAlign w:val="center"/>
          </w:tcPr>
          <w:p w14:paraId="3FE31192">
            <w:pPr>
              <w:spacing w:before="25" w:after="25" w:line="380" w:lineRule="exact"/>
              <w:ind w:firstLine="422"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b/>
                <w:bCs/>
                <w:color w:val="auto"/>
                <w:szCs w:val="21"/>
                <w:highlight w:val="none"/>
              </w:rPr>
              <w:t>一档</w:t>
            </w:r>
            <w:r>
              <w:rPr>
                <w:rFonts w:hint="eastAsia" w:ascii="仿宋_GB2312" w:hAnsi="仿宋_GB2312" w:eastAsia="仿宋_GB2312" w:cs="仿宋_GB2312"/>
                <w:b/>
                <w:bCs/>
                <w:color w:val="auto"/>
                <w:highlight w:val="none"/>
              </w:rPr>
              <w:t>（9分）：</w:t>
            </w:r>
            <w:r>
              <w:rPr>
                <w:rFonts w:hint="eastAsia" w:ascii="仿宋_GB2312" w:hAnsi="仿宋_GB2312" w:eastAsia="仿宋_GB2312" w:cs="仿宋_GB2312"/>
                <w:color w:val="auto"/>
                <w:highlight w:val="none"/>
              </w:rPr>
              <w:t>优于二档，项目实施方案完整可行，配套有货物存放仓库、项目实施的技术力量和人力资源安排充足且提供有真实可靠保证，具备突发计划外供货需求的应对能力，大件家具需要紧急搬运重组需求的应对能力，承诺紧急服务时限，提供具体详细的进度计划实施控制保证方案，安装、调试、验收方法或方案切实可行且针对性强。</w:t>
            </w:r>
          </w:p>
          <w:p w14:paraId="720C5FE8">
            <w:pPr>
              <w:widowControl/>
              <w:spacing w:line="38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二档（6分）：</w:t>
            </w:r>
            <w:r>
              <w:rPr>
                <w:rFonts w:hint="eastAsia" w:ascii="仿宋_GB2312" w:hAnsi="仿宋_GB2312" w:eastAsia="仿宋_GB2312" w:cs="仿宋_GB2312"/>
                <w:color w:val="auto"/>
                <w:highlight w:val="none"/>
              </w:rPr>
              <w:t>优于三档，项目实施方案较详细，有项目实施过程中的风险应对措施，应急预案，项目实施人员安排合理，配送方案合理，有较详细的安装和安全保证措施方案</w:t>
            </w:r>
            <w:r>
              <w:rPr>
                <w:rFonts w:hint="eastAsia" w:ascii="仿宋_GB2312" w:hAnsi="仿宋_GB2312" w:eastAsia="仿宋_GB2312" w:cs="仿宋_GB2312"/>
                <w:color w:val="auto"/>
                <w:highlight w:val="none"/>
                <w:lang w:eastAsia="zh-CN"/>
              </w:rPr>
              <w:t>。</w:t>
            </w:r>
          </w:p>
          <w:p w14:paraId="51A2E01A">
            <w:pPr>
              <w:spacing w:line="380" w:lineRule="exact"/>
              <w:ind w:firstLine="422"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项目实施进度安排合理，送货人员、运输工具、供货组织能力基本能满足本项目需求，安装调试验收方案内容基本可行。</w:t>
            </w:r>
          </w:p>
          <w:p w14:paraId="34454E03">
            <w:pPr>
              <w:widowControl/>
              <w:spacing w:line="380" w:lineRule="exact"/>
              <w:ind w:firstLine="422" w:firstLineChars="200"/>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rPr>
              <w:t>内容可以</w:t>
            </w:r>
            <w:r>
              <w:rPr>
                <w:rFonts w:ascii="仿宋_GB2312" w:hAnsi="仿宋_GB2312" w:eastAsia="仿宋_GB2312" w:cs="仿宋_GB2312"/>
                <w:b/>
                <w:bCs/>
                <w:color w:val="auto"/>
                <w:highlight w:val="none"/>
              </w:rPr>
              <w:t>包括：</w:t>
            </w:r>
            <w:r>
              <w:rPr>
                <w:rFonts w:hint="eastAsia" w:ascii="仿宋_GB2312" w:hAnsi="仿宋_GB2312" w:eastAsia="仿宋_GB2312" w:cs="仿宋_GB2312"/>
                <w:b/>
                <w:bCs/>
                <w:color w:val="auto"/>
                <w:highlight w:val="none"/>
              </w:rPr>
              <w:t>（1）供货组织；（2）进度保障；（3）送货人员；（4）配送方案；(5)安装调试验收方案等内容。</w:t>
            </w:r>
          </w:p>
          <w:p w14:paraId="44864291">
            <w:pPr>
              <w:widowControl/>
              <w:spacing w:line="380" w:lineRule="exact"/>
              <w:ind w:firstLine="422" w:firstLineChars="200"/>
              <w:rPr>
                <w:rFonts w:ascii="仿宋_GB2312" w:hAnsi="仿宋_GB2312" w:eastAsia="仿宋_GB2312" w:cs="仿宋_GB2312"/>
                <w:color w:val="auto"/>
                <w:highlight w:val="none"/>
              </w:rPr>
            </w:pPr>
            <w:r>
              <w:rPr>
                <w:rFonts w:ascii="仿宋_GB2312" w:hAnsi="仿宋_GB2312" w:eastAsia="仿宋_GB2312" w:cs="仿宋_GB2312"/>
                <w:b/>
                <w:color w:val="auto"/>
                <w:highlight w:val="none"/>
              </w:rPr>
              <w:t>2.未提供</w:t>
            </w:r>
            <w:r>
              <w:rPr>
                <w:rFonts w:hint="eastAsia" w:ascii="仿宋_GB2312" w:hAnsi="仿宋_GB2312" w:eastAsia="仿宋_GB2312" w:cs="仿宋_GB2312"/>
                <w:b/>
                <w:color w:val="auto"/>
                <w:highlight w:val="none"/>
              </w:rPr>
              <w:t>以上</w:t>
            </w:r>
            <w:r>
              <w:rPr>
                <w:rFonts w:ascii="仿宋_GB2312" w:hAnsi="仿宋_GB2312" w:eastAsia="仿宋_GB2312" w:cs="仿宋_GB2312"/>
                <w:b/>
                <w:color w:val="auto"/>
                <w:highlight w:val="none"/>
              </w:rPr>
              <w:t>方案或提供的内容与本项目无关的得0分。</w:t>
            </w:r>
          </w:p>
        </w:tc>
        <w:tc>
          <w:tcPr>
            <w:tcW w:w="1291" w:type="dxa"/>
            <w:noWrap w:val="0"/>
            <w:vAlign w:val="center"/>
          </w:tcPr>
          <w:p w14:paraId="4DF74779">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9</w:t>
            </w:r>
          </w:p>
        </w:tc>
        <w:tc>
          <w:tcPr>
            <w:tcW w:w="1520" w:type="dxa"/>
            <w:noWrap w:val="0"/>
            <w:vAlign w:val="center"/>
          </w:tcPr>
          <w:p w14:paraId="71D38498">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项目实施方案</w:t>
            </w:r>
          </w:p>
        </w:tc>
      </w:tr>
      <w:tr w14:paraId="1AFB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noWrap w:val="0"/>
            <w:vAlign w:val="center"/>
          </w:tcPr>
          <w:p w14:paraId="4EE6EADE">
            <w:pPr>
              <w:spacing w:line="360" w:lineRule="exact"/>
              <w:jc w:val="center"/>
              <w:rPr>
                <w:rFonts w:ascii="仿宋_GB2312" w:hAnsi="仿宋_GB2312" w:eastAsia="仿宋_GB2312" w:cs="仿宋_GB2312"/>
                <w:color w:val="auto"/>
                <w:highlight w:val="none"/>
              </w:rPr>
            </w:pPr>
          </w:p>
        </w:tc>
        <w:tc>
          <w:tcPr>
            <w:tcW w:w="1124" w:type="dxa"/>
            <w:noWrap w:val="0"/>
            <w:vAlign w:val="center"/>
          </w:tcPr>
          <w:p w14:paraId="1006DDD9">
            <w:pPr>
              <w:widowControl/>
              <w:spacing w:line="360" w:lineRule="exact"/>
              <w:jc w:val="center"/>
              <w:rPr>
                <w:rFonts w:eastAsia="仿宋_GB2312"/>
                <w:color w:val="auto"/>
                <w:highlight w:val="none"/>
              </w:rPr>
            </w:pPr>
            <w:r>
              <w:rPr>
                <w:rFonts w:hint="eastAsia" w:ascii="仿宋_GB2312" w:hAnsi="仿宋_GB2312" w:eastAsia="仿宋_GB2312" w:cs="仿宋_GB2312"/>
                <w:b/>
                <w:bCs/>
                <w:color w:val="auto"/>
                <w:highlight w:val="none"/>
              </w:rPr>
              <w:t>生产能力和质量保障能力方案</w:t>
            </w:r>
          </w:p>
        </w:tc>
        <w:tc>
          <w:tcPr>
            <w:tcW w:w="5535" w:type="dxa"/>
            <w:noWrap w:val="0"/>
            <w:vAlign w:val="center"/>
          </w:tcPr>
          <w:p w14:paraId="066D7F81">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kern w:val="0"/>
                <w:szCs w:val="21"/>
                <w:highlight w:val="none"/>
              </w:rPr>
              <w:t>（5分）：</w:t>
            </w:r>
            <w:r>
              <w:rPr>
                <w:rFonts w:hint="eastAsia" w:ascii="仿宋_GB2312" w:hAnsi="仿宋_GB2312" w:eastAsia="仿宋_GB2312" w:cs="仿宋_GB2312"/>
                <w:color w:val="auto"/>
                <w:kern w:val="0"/>
                <w:szCs w:val="21"/>
                <w:highlight w:val="none"/>
              </w:rPr>
              <w:t>优于二档，投标人或投标产品生产厂家产品生产保障措施详细可行，有</w:t>
            </w:r>
            <w:r>
              <w:rPr>
                <w:rFonts w:hint="eastAsia" w:ascii="仿宋_GB2312" w:hAnsi="仿宋_GB2312" w:eastAsia="仿宋_GB2312" w:cs="仿宋_GB2312"/>
                <w:color w:val="auto"/>
                <w:highlight w:val="none"/>
              </w:rPr>
              <w:t>生产过程对环境保护措施、生产设备性能及功能描述、</w:t>
            </w:r>
            <w:r>
              <w:rPr>
                <w:rFonts w:hint="eastAsia" w:ascii="仿宋_GB2312" w:hAnsi="仿宋_GB2312" w:eastAsia="仿宋_GB2312" w:cs="仿宋_GB2312"/>
                <w:color w:val="auto"/>
                <w:kern w:val="0"/>
                <w:szCs w:val="21"/>
                <w:highlight w:val="none"/>
              </w:rPr>
              <w:t>产品生产工艺流程、原材料质量保障措施、质量管理体系完善健全等可完全满足采购需求</w:t>
            </w:r>
            <w:r>
              <w:rPr>
                <w:rFonts w:hint="eastAsia" w:ascii="仿宋_GB2312" w:hAnsi="仿宋_GB2312" w:eastAsia="仿宋_GB2312" w:cs="仿宋_GB2312"/>
                <w:color w:val="auto"/>
                <w:highlight w:val="none"/>
              </w:rPr>
              <w:t xml:space="preserve">。  </w:t>
            </w:r>
          </w:p>
          <w:p w14:paraId="209A2FE3">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二档（3分）：</w:t>
            </w:r>
            <w:r>
              <w:rPr>
                <w:rFonts w:hint="eastAsia" w:ascii="仿宋_GB2312" w:hAnsi="仿宋_GB2312" w:eastAsia="仿宋_GB2312" w:cs="仿宋_GB2312"/>
                <w:color w:val="auto"/>
                <w:highlight w:val="none"/>
              </w:rPr>
              <w:t xml:space="preserve">优于三档，投标人或投标产品生产厂家产品生产保障措施较完整，有生产过程对环境保护措施、生产设备性能及功能描述、产品生产工艺流程等的。 </w:t>
            </w:r>
          </w:p>
          <w:p w14:paraId="60BCE281">
            <w:pPr>
              <w:widowControl/>
              <w:tabs>
                <w:tab w:val="left" w:pos="312"/>
              </w:tabs>
              <w:spacing w:line="380" w:lineRule="exact"/>
              <w:ind w:firstLine="422" w:firstLine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kern w:val="0"/>
                <w:szCs w:val="21"/>
                <w:highlight w:val="none"/>
              </w:rPr>
              <w:t>（1分）：</w:t>
            </w:r>
            <w:r>
              <w:rPr>
                <w:rFonts w:hint="eastAsia" w:ascii="仿宋_GB2312" w:hAnsi="仿宋_GB2312" w:eastAsia="仿宋_GB2312" w:cs="仿宋_GB2312"/>
                <w:color w:val="auto"/>
                <w:kern w:val="0"/>
                <w:szCs w:val="21"/>
                <w:highlight w:val="none"/>
              </w:rPr>
              <w:t>投标人或投标产品生产厂家产品生产保障措施简单，有简单的质量管控措施，工厂生产设备能满足本项目产品的生产要求。</w:t>
            </w:r>
          </w:p>
          <w:p w14:paraId="496D8DC0">
            <w:pPr>
              <w:widowControl/>
              <w:tabs>
                <w:tab w:val="left" w:pos="312"/>
              </w:tabs>
              <w:spacing w:line="380" w:lineRule="exact"/>
              <w:ind w:firstLine="422" w:firstLineChars="200"/>
              <w:rPr>
                <w:rFonts w:ascii="仿宋_GB2312" w:eastAsia="仿宋_GB2312"/>
                <w:b/>
                <w:bCs/>
                <w:color w:val="auto"/>
                <w:highlight w:val="none"/>
              </w:rPr>
            </w:pPr>
            <w:r>
              <w:rPr>
                <w:rFonts w:hint="eastAsia" w:ascii="仿宋_GB2312" w:eastAsia="仿宋_GB2312"/>
                <w:b/>
                <w:bCs/>
                <w:color w:val="auto"/>
                <w:highlight w:val="none"/>
              </w:rPr>
              <w:t>注：1</w:t>
            </w:r>
            <w:r>
              <w:rPr>
                <w:rFonts w:ascii="仿宋_GB2312" w:eastAsia="仿宋_GB2312"/>
                <w:b/>
                <w:bCs/>
                <w:color w:val="auto"/>
                <w:highlight w:val="none"/>
              </w:rPr>
              <w:t>.</w:t>
            </w:r>
            <w:r>
              <w:rPr>
                <w:rFonts w:hint="eastAsia" w:ascii="仿宋_GB2312" w:eastAsia="仿宋_GB2312"/>
                <w:b/>
                <w:bCs/>
                <w:color w:val="auto"/>
                <w:highlight w:val="none"/>
              </w:rPr>
              <w:t>该方案内容可包括：（1）投标人或生产厂家生产场地情况；（2）主要设备；（3）生产管理；（4）质量管理体系等内容。</w:t>
            </w:r>
          </w:p>
          <w:p w14:paraId="04BFEA63">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eastAsia="仿宋_GB2312"/>
                <w:b/>
                <w:bCs/>
                <w:color w:val="auto"/>
                <w:highlight w:val="none"/>
              </w:rPr>
              <w:t>2.</w:t>
            </w:r>
            <w:r>
              <w:rPr>
                <w:rFonts w:ascii="仿宋_GB2312" w:hAnsi="仿宋_GB2312" w:eastAsia="仿宋_GB2312" w:cs="仿宋_GB2312"/>
                <w:b/>
                <w:bCs/>
                <w:color w:val="auto"/>
                <w:highlight w:val="none"/>
              </w:rPr>
              <w:t>未提供</w:t>
            </w:r>
            <w:r>
              <w:rPr>
                <w:rFonts w:hint="eastAsia" w:ascii="仿宋_GB2312" w:hAnsi="仿宋_GB2312" w:eastAsia="仿宋_GB2312" w:cs="仿宋_GB2312"/>
                <w:b/>
                <w:bCs/>
                <w:color w:val="auto"/>
                <w:highlight w:val="none"/>
              </w:rPr>
              <w:t>以上</w:t>
            </w:r>
            <w:r>
              <w:rPr>
                <w:rFonts w:ascii="仿宋_GB2312" w:hAnsi="仿宋_GB2312" w:eastAsia="仿宋_GB2312" w:cs="仿宋_GB2312"/>
                <w:b/>
                <w:bCs/>
                <w:color w:val="auto"/>
                <w:highlight w:val="none"/>
              </w:rPr>
              <w:t>方案或提供的内容与本项目无关的得0分。</w:t>
            </w:r>
          </w:p>
        </w:tc>
        <w:tc>
          <w:tcPr>
            <w:tcW w:w="1291" w:type="dxa"/>
            <w:noWrap w:val="0"/>
            <w:vAlign w:val="center"/>
          </w:tcPr>
          <w:p w14:paraId="604D541B">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5</w:t>
            </w:r>
          </w:p>
        </w:tc>
        <w:tc>
          <w:tcPr>
            <w:tcW w:w="1520" w:type="dxa"/>
            <w:noWrap w:val="0"/>
            <w:vAlign w:val="center"/>
          </w:tcPr>
          <w:p w14:paraId="070FE024">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生产能力和质量保障能力方案</w:t>
            </w:r>
          </w:p>
        </w:tc>
      </w:tr>
      <w:tr w14:paraId="1DA9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10" w:type="dxa"/>
            <w:noWrap w:val="0"/>
            <w:vAlign w:val="center"/>
          </w:tcPr>
          <w:p w14:paraId="49413EA0">
            <w:pPr>
              <w:spacing w:line="360" w:lineRule="exact"/>
              <w:jc w:val="center"/>
              <w:rPr>
                <w:rFonts w:ascii="仿宋_GB2312" w:hAnsi="仿宋_GB2312" w:eastAsia="仿宋_GB2312" w:cs="仿宋_GB2312"/>
                <w:color w:val="auto"/>
                <w:highlight w:val="none"/>
              </w:rPr>
            </w:pPr>
            <w:r>
              <w:rPr>
                <w:rFonts w:hint="eastAsia" w:ascii="仿宋_GB2312" w:eastAsia="仿宋_GB2312"/>
                <w:b/>
                <w:bCs/>
                <w:color w:val="auto"/>
                <w:highlight w:val="none"/>
              </w:rPr>
              <w:t>设计方案分</w:t>
            </w:r>
          </w:p>
        </w:tc>
        <w:tc>
          <w:tcPr>
            <w:tcW w:w="1124" w:type="dxa"/>
            <w:noWrap w:val="0"/>
            <w:vAlign w:val="center"/>
          </w:tcPr>
          <w:p w14:paraId="67E276F9">
            <w:pPr>
              <w:widowControl/>
              <w:spacing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b/>
                <w:color w:val="auto"/>
                <w:szCs w:val="21"/>
                <w:highlight w:val="none"/>
              </w:rPr>
              <w:t>产品设计方案</w:t>
            </w:r>
          </w:p>
        </w:tc>
        <w:tc>
          <w:tcPr>
            <w:tcW w:w="5535" w:type="dxa"/>
            <w:noWrap w:val="0"/>
            <w:vAlign w:val="center"/>
          </w:tcPr>
          <w:p w14:paraId="25CB7F77">
            <w:pPr>
              <w:pStyle w:val="670"/>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一档(15分)：</w:t>
            </w:r>
            <w:r>
              <w:rPr>
                <w:rFonts w:hint="eastAsia" w:ascii="仿宋_GB2312" w:hAnsi="仿宋_GB2312" w:eastAsia="仿宋_GB2312" w:cs="仿宋_GB2312"/>
                <w:color w:val="auto"/>
                <w:highlight w:val="none"/>
              </w:rPr>
              <w:t>在满足二档前提下，提供设计方案详细、具体、可实行性高，颜色搭配科学美观、有两项以上设计理念，得到认可和采纳。</w:t>
            </w:r>
          </w:p>
          <w:p w14:paraId="1F177C14">
            <w:pPr>
              <w:pStyle w:val="670"/>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二档(12分)：</w:t>
            </w:r>
            <w:r>
              <w:rPr>
                <w:rFonts w:hint="eastAsia" w:ascii="仿宋_GB2312" w:hAnsi="仿宋_GB2312" w:eastAsia="仿宋_GB2312" w:cs="仿宋_GB2312"/>
                <w:color w:val="auto"/>
                <w:highlight w:val="none"/>
              </w:rPr>
              <w:t xml:space="preserve">在满足三档前提下，提供设计方案规范合理性，产品设计的各个方面无缺陷(外观设计、款式结构等)、牢固可靠。  </w:t>
            </w:r>
          </w:p>
          <w:p w14:paraId="30D25C72">
            <w:pPr>
              <w:pStyle w:val="670"/>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三档(9分)：</w:t>
            </w:r>
            <w:r>
              <w:rPr>
                <w:rFonts w:hint="eastAsia" w:ascii="仿宋_GB2312" w:hAnsi="仿宋_GB2312" w:eastAsia="仿宋_GB2312" w:cs="仿宋_GB2312"/>
                <w:color w:val="auto"/>
                <w:highlight w:val="none"/>
              </w:rPr>
              <w:t>在满足四档前提下，提供产品结构图、零部件效果图、整体摆放布局效果图，设计图纸、方案符合要求的。</w:t>
            </w:r>
          </w:p>
          <w:p w14:paraId="0E8D777D">
            <w:pPr>
              <w:pStyle w:val="670"/>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四档(6分)：</w:t>
            </w:r>
            <w:r>
              <w:rPr>
                <w:rFonts w:hint="eastAsia" w:ascii="仿宋_GB2312" w:hAnsi="仿宋_GB2312" w:eastAsia="仿宋_GB2312" w:cs="仿宋_GB2312"/>
                <w:color w:val="auto"/>
                <w:highlight w:val="none"/>
              </w:rPr>
              <w:t>在满足五档前提下，提供产品外观设计图、摆放设计图、零部件设计图、设备安装分解图，设计图纸、方案基本符合要求的。</w:t>
            </w:r>
          </w:p>
          <w:p w14:paraId="42DA41ED">
            <w:pPr>
              <w:pStyle w:val="670"/>
              <w:adjustRightInd w:val="0"/>
              <w:snapToGrid w:val="0"/>
              <w:spacing w:line="360" w:lineRule="auto"/>
              <w:ind w:firstLine="588" w:firstLineChars="27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五档(3分)：</w:t>
            </w:r>
            <w:r>
              <w:rPr>
                <w:rFonts w:hint="eastAsia" w:ascii="仿宋_GB2312" w:hAnsi="仿宋_GB2312" w:eastAsia="仿宋_GB2312" w:cs="仿宋_GB2312"/>
                <w:color w:val="auto"/>
                <w:highlight w:val="none"/>
              </w:rPr>
              <w:t>提供产品设计用材、产品工件明细表（列明“自制件”、“外协件”、“外购件”）、五金配件表、产品使用功能描述等</w:t>
            </w:r>
            <w:r>
              <w:rPr>
                <w:rFonts w:hint="eastAsia" w:ascii="仿宋_GB2312" w:hAnsi="仿宋_GB2312" w:eastAsia="仿宋_GB2312" w:cs="仿宋_GB2312"/>
                <w:color w:val="auto"/>
                <w:highlight w:val="none"/>
                <w:lang w:eastAsia="zh-CN"/>
              </w:rPr>
              <w:t>。</w:t>
            </w:r>
          </w:p>
          <w:p w14:paraId="50B463DC">
            <w:pPr>
              <w:pStyle w:val="670"/>
              <w:adjustRightInd w:val="0"/>
              <w:snapToGrid w:val="0"/>
              <w:spacing w:line="360" w:lineRule="auto"/>
              <w:ind w:firstLine="588" w:firstLineChars="279"/>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w:t>
            </w:r>
            <w:r>
              <w:rPr>
                <w:rFonts w:ascii="仿宋_GB2312" w:hAnsi="仿宋_GB2312" w:eastAsia="仿宋_GB2312" w:cs="仿宋_GB2312"/>
                <w:b/>
                <w:bCs/>
                <w:color w:val="auto"/>
                <w:highlight w:val="none"/>
              </w:rPr>
              <w:t>该方案</w:t>
            </w:r>
            <w:r>
              <w:rPr>
                <w:rFonts w:hint="eastAsia" w:ascii="仿宋_GB2312" w:hAnsi="仿宋_GB2312" w:eastAsia="仿宋_GB2312" w:cs="仿宋_GB2312"/>
                <w:b/>
                <w:bCs/>
                <w:color w:val="auto"/>
                <w:highlight w:val="none"/>
              </w:rPr>
              <w:t>内容可以</w:t>
            </w:r>
            <w:r>
              <w:rPr>
                <w:rFonts w:ascii="仿宋_GB2312" w:hAnsi="仿宋_GB2312" w:eastAsia="仿宋_GB2312" w:cs="仿宋_GB2312"/>
                <w:b/>
                <w:bCs/>
                <w:color w:val="auto"/>
                <w:highlight w:val="none"/>
              </w:rPr>
              <w:t>包括：</w:t>
            </w:r>
            <w:r>
              <w:rPr>
                <w:rFonts w:hint="eastAsia"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产品外观设计图</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u w:val="none"/>
                <w:lang w:val="en-US" w:bidi="zh-CN"/>
              </w:rPr>
              <w:t>须按技术参数要求注明</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highlight w:val="none"/>
              </w:rPr>
              <w:t>；（2）</w:t>
            </w:r>
            <w:r>
              <w:rPr>
                <w:rFonts w:hint="eastAsia" w:ascii="仿宋_GB2312" w:hAnsi="仿宋_GB2312" w:eastAsia="仿宋_GB2312" w:cs="仿宋_GB2312"/>
                <w:b/>
                <w:bCs/>
                <w:color w:val="auto"/>
                <w:highlight w:val="none"/>
                <w:lang w:val="en-US" w:eastAsia="zh-CN"/>
              </w:rPr>
              <w:t>核心产品</w:t>
            </w:r>
            <w:r>
              <w:rPr>
                <w:rFonts w:hint="eastAsia" w:ascii="仿宋_GB2312" w:hAnsi="仿宋_GB2312" w:eastAsia="仿宋_GB2312" w:cs="仿宋_GB2312"/>
                <w:b/>
                <w:bCs/>
                <w:color w:val="auto"/>
                <w:highlight w:val="none"/>
              </w:rPr>
              <w:t>款式结构</w:t>
            </w:r>
            <w:r>
              <w:rPr>
                <w:rFonts w:hint="eastAsia" w:ascii="仿宋_GB2312" w:hAnsi="仿宋_GB2312" w:eastAsia="仿宋_GB2312" w:cs="仿宋_GB2312"/>
                <w:b/>
                <w:bCs/>
                <w:color w:val="auto"/>
                <w:highlight w:val="none"/>
                <w:lang w:val="en-US" w:eastAsia="zh-CN"/>
              </w:rPr>
              <w:t>设计</w:t>
            </w:r>
            <w:r>
              <w:rPr>
                <w:rFonts w:hint="eastAsia" w:ascii="仿宋_GB2312" w:hAnsi="仿宋_GB2312" w:eastAsia="仿宋_GB2312" w:cs="仿宋_GB2312"/>
                <w:b/>
                <w:bCs/>
                <w:color w:val="auto"/>
                <w:highlight w:val="none"/>
              </w:rPr>
              <w:t>图；（3）</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产品详细的零部件</w:t>
            </w:r>
            <w:r>
              <w:rPr>
                <w:rFonts w:hint="eastAsia" w:ascii="仿宋_GB2312" w:hAnsi="仿宋_GB2312" w:eastAsia="仿宋_GB2312" w:cs="仿宋_GB2312"/>
                <w:b/>
                <w:bCs/>
                <w:color w:val="auto"/>
                <w:highlight w:val="none"/>
                <w:lang w:val="en-US" w:eastAsia="zh-CN"/>
              </w:rPr>
              <w:t>设计</w:t>
            </w:r>
            <w:r>
              <w:rPr>
                <w:rFonts w:hint="eastAsia" w:ascii="仿宋_GB2312" w:hAnsi="仿宋_GB2312" w:eastAsia="仿宋_GB2312" w:cs="仿宋_GB2312"/>
                <w:b/>
                <w:bCs/>
                <w:color w:val="auto"/>
                <w:highlight w:val="none"/>
              </w:rPr>
              <w:t>图；（</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核心产品</w:t>
            </w:r>
            <w:r>
              <w:rPr>
                <w:rFonts w:hint="eastAsia" w:ascii="仿宋_GB2312" w:hAnsi="仿宋_GB2312" w:eastAsia="仿宋_GB2312" w:cs="仿宋_GB2312"/>
                <w:b/>
                <w:bCs/>
                <w:color w:val="auto"/>
                <w:highlight w:val="none"/>
              </w:rPr>
              <w:t>安装分解图；（</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产品设计用材；（</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产品工件明细表（列明“自制件”、“外协件”、“外购件”）；（</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产品五金配件表等内容。</w:t>
            </w:r>
          </w:p>
          <w:p w14:paraId="7A251126">
            <w:pPr>
              <w:pStyle w:val="486"/>
              <w:spacing w:line="360" w:lineRule="auto"/>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2.未提供以上方案或提供的内容与本项目无关的得0分。</w:t>
            </w:r>
          </w:p>
        </w:tc>
        <w:tc>
          <w:tcPr>
            <w:tcW w:w="1291" w:type="dxa"/>
            <w:noWrap w:val="0"/>
            <w:vAlign w:val="center"/>
          </w:tcPr>
          <w:p w14:paraId="27F2B2E1">
            <w:pPr>
              <w:spacing w:line="360" w:lineRule="auto"/>
              <w:jc w:val="center"/>
              <w:rPr>
                <w:rFonts w:ascii="仿宋_GB2312" w:hAnsi="仿宋_GB2312" w:eastAsia="仿宋_GB2312" w:cs="仿宋_GB2312"/>
                <w:b/>
                <w:bCs/>
                <w:color w:val="auto"/>
                <w:highlight w:val="none"/>
              </w:rPr>
            </w:pPr>
            <w:r>
              <w:rPr>
                <w:rFonts w:hint="eastAsia" w:ascii="仿宋_GB2312" w:hAnsi="仿宋_GB2312" w:eastAsia="仿宋_GB2312" w:cs="仿宋_GB2312"/>
                <w:b/>
                <w:color w:val="auto"/>
                <w:szCs w:val="21"/>
                <w:highlight w:val="none"/>
              </w:rPr>
              <w:t>15</w:t>
            </w:r>
          </w:p>
        </w:tc>
        <w:tc>
          <w:tcPr>
            <w:tcW w:w="1520" w:type="dxa"/>
            <w:noWrap w:val="0"/>
            <w:vAlign w:val="center"/>
          </w:tcPr>
          <w:p w14:paraId="30FE93DD">
            <w:pPr>
              <w:spacing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产品设计方案</w:t>
            </w:r>
          </w:p>
        </w:tc>
      </w:tr>
      <w:tr w14:paraId="4F08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0" w:type="dxa"/>
            <w:noWrap w:val="0"/>
            <w:vAlign w:val="center"/>
          </w:tcPr>
          <w:p w14:paraId="41B5F149">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售后服务方案分</w:t>
            </w:r>
          </w:p>
        </w:tc>
        <w:tc>
          <w:tcPr>
            <w:tcW w:w="1124" w:type="dxa"/>
            <w:noWrap w:val="0"/>
            <w:vAlign w:val="center"/>
          </w:tcPr>
          <w:p w14:paraId="2A5A18B9">
            <w:pPr>
              <w:widowControl/>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售后服务方案</w:t>
            </w:r>
          </w:p>
        </w:tc>
        <w:tc>
          <w:tcPr>
            <w:tcW w:w="5535" w:type="dxa"/>
            <w:noWrap w:val="0"/>
            <w:vAlign w:val="center"/>
          </w:tcPr>
          <w:p w14:paraId="69844722">
            <w:pPr>
              <w:pStyle w:val="670"/>
              <w:adjustRightInd w:val="0"/>
              <w:snapToGrid w:val="0"/>
              <w:spacing w:line="360" w:lineRule="auto"/>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9</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在满足二档前提下，解决</w:t>
            </w:r>
            <w:r>
              <w:rPr>
                <w:rFonts w:hint="eastAsia" w:ascii="仿宋_GB2312" w:hAnsi="仿宋_GB2312" w:eastAsia="仿宋_GB2312" w:cs="仿宋_GB2312"/>
                <w:color w:val="auto"/>
                <w:highlight w:val="none"/>
                <w:lang w:val="en-US" w:eastAsia="zh-CN"/>
              </w:rPr>
              <w:t>损坏</w:t>
            </w:r>
            <w:r>
              <w:rPr>
                <w:rFonts w:hint="eastAsia" w:ascii="仿宋_GB2312" w:hAnsi="仿宋_GB2312" w:eastAsia="仿宋_GB2312" w:cs="仿宋_GB2312"/>
                <w:color w:val="auto"/>
                <w:highlight w:val="none"/>
              </w:rPr>
              <w:t>时间在2小时内，发生</w:t>
            </w:r>
            <w:r>
              <w:rPr>
                <w:rFonts w:hint="eastAsia" w:ascii="仿宋_GB2312" w:hAnsi="仿宋_GB2312" w:eastAsia="仿宋_GB2312" w:cs="仿宋_GB2312"/>
                <w:color w:val="auto"/>
                <w:highlight w:val="none"/>
                <w:lang w:val="en-US" w:eastAsia="zh-CN"/>
              </w:rPr>
              <w:t>严重损坏</w:t>
            </w:r>
            <w:r>
              <w:rPr>
                <w:rFonts w:hint="eastAsia" w:ascii="仿宋_GB2312" w:hAnsi="仿宋_GB2312" w:eastAsia="仿宋_GB2312" w:cs="仿宋_GB2312"/>
                <w:color w:val="auto"/>
                <w:highlight w:val="none"/>
              </w:rPr>
              <w:t>随时有替代产品，定期回访，有可靠的售后服务技术支持，详细的售后维护方式和售后保障能力，常用的、易损坏的备品备件及易损件配备的齐全，有完善预警、备件管理以及售后服务跟踪式服务措施等。</w:t>
            </w:r>
          </w:p>
          <w:p w14:paraId="4D2F3C48">
            <w:pPr>
              <w:pStyle w:val="670"/>
              <w:adjustRightInd w:val="0"/>
              <w:snapToGrid w:val="0"/>
              <w:spacing w:line="360" w:lineRule="auto"/>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售后服务承诺书内容详细具体；解决事故时间在4小时内，损坏出现解决方案可靠，定期维护方式方法合理，有完整的免费技术培训方案、保修期外维修方案；有完善的售后服务措施；对售后服务应急预案、其他优惠措施等方面都有描述，可操作性强。</w:t>
            </w:r>
          </w:p>
          <w:p w14:paraId="7D0893DC">
            <w:pPr>
              <w:pStyle w:val="670"/>
              <w:adjustRightInd w:val="0"/>
              <w:snapToGrid w:val="0"/>
              <w:spacing w:line="360" w:lineRule="auto"/>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售后服务承诺书内容完整；解决</w:t>
            </w:r>
            <w:r>
              <w:rPr>
                <w:rFonts w:hint="eastAsia" w:ascii="仿宋_GB2312" w:hAnsi="仿宋_GB2312" w:eastAsia="仿宋_GB2312" w:cs="仿宋_GB2312"/>
                <w:color w:val="auto"/>
                <w:highlight w:val="none"/>
                <w:lang w:val="en-US" w:eastAsia="zh-CN"/>
              </w:rPr>
              <w:t>损坏</w:t>
            </w:r>
            <w:r>
              <w:rPr>
                <w:rFonts w:hint="eastAsia" w:ascii="仿宋_GB2312" w:hAnsi="仿宋_GB2312" w:eastAsia="仿宋_GB2312" w:cs="仿宋_GB2312"/>
                <w:color w:val="auto"/>
                <w:highlight w:val="none"/>
              </w:rPr>
              <w:t>时间在6小时内，出现</w:t>
            </w:r>
            <w:r>
              <w:rPr>
                <w:rFonts w:hint="eastAsia" w:ascii="仿宋_GB2312" w:hAnsi="仿宋_GB2312" w:eastAsia="仿宋_GB2312" w:cs="仿宋_GB2312"/>
                <w:color w:val="auto"/>
                <w:highlight w:val="none"/>
                <w:lang w:val="en-US" w:eastAsia="zh-CN"/>
              </w:rPr>
              <w:t>严重损坏</w:t>
            </w:r>
            <w:r>
              <w:rPr>
                <w:rFonts w:hint="eastAsia" w:ascii="仿宋_GB2312" w:hAnsi="仿宋_GB2312" w:eastAsia="仿宋_GB2312" w:cs="仿宋_GB2312"/>
                <w:color w:val="auto"/>
                <w:highlight w:val="none"/>
              </w:rPr>
              <w:t>解决方案可靠，定期维护方式方法合理，有完整的免费技术培训方案、保修期外维修方案；有售后服务能力措施</w:t>
            </w:r>
            <w:r>
              <w:rPr>
                <w:rFonts w:hint="eastAsia" w:ascii="仿宋_GB2312" w:hAnsi="仿宋_GB2312" w:eastAsia="仿宋_GB2312" w:cs="仿宋_GB2312"/>
                <w:color w:val="auto"/>
                <w:highlight w:val="none"/>
                <w:lang w:eastAsia="zh-CN"/>
              </w:rPr>
              <w:t>。</w:t>
            </w:r>
          </w:p>
          <w:p w14:paraId="020E3B57">
            <w:pPr>
              <w:pStyle w:val="670"/>
              <w:adjustRightInd w:val="0"/>
              <w:snapToGrid w:val="0"/>
              <w:spacing w:line="360" w:lineRule="auto"/>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四档（</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有售后服务承诺书；基本满足招标文件的要求，有</w:t>
            </w:r>
            <w:r>
              <w:rPr>
                <w:rFonts w:hint="eastAsia" w:ascii="仿宋_GB2312" w:hAnsi="仿宋_GB2312" w:eastAsia="仿宋_GB2312" w:cs="仿宋_GB2312"/>
                <w:color w:val="auto"/>
                <w:highlight w:val="none"/>
                <w:lang w:val="en-US" w:eastAsia="zh-CN"/>
              </w:rPr>
              <w:t>损坏</w:t>
            </w:r>
            <w:r>
              <w:rPr>
                <w:rFonts w:hint="eastAsia" w:ascii="仿宋_GB2312" w:hAnsi="仿宋_GB2312" w:eastAsia="仿宋_GB2312" w:cs="仿宋_GB2312"/>
                <w:color w:val="auto"/>
                <w:highlight w:val="none"/>
              </w:rPr>
              <w:t>出现解决方案，有技术培训方案、保修期外维修方案。</w:t>
            </w:r>
          </w:p>
          <w:p w14:paraId="60CC8A71">
            <w:pPr>
              <w:pStyle w:val="670"/>
              <w:adjustRightInd w:val="0"/>
              <w:snapToGrid w:val="0"/>
              <w:spacing w:line="360" w:lineRule="auto"/>
              <w:ind w:firstLine="422" w:firstLineChars="200"/>
              <w:rPr>
                <w:rFonts w:ascii="仿宋_GB2312" w:hAnsi="仿宋_GB2312" w:cs="仿宋_GB2312"/>
                <w:color w:val="auto"/>
                <w:highlight w:val="none"/>
              </w:rPr>
            </w:pPr>
            <w:r>
              <w:rPr>
                <w:rFonts w:hint="eastAsia" w:ascii="仿宋_GB2312" w:eastAsia="仿宋_GB2312"/>
                <w:b/>
                <w:bCs/>
                <w:color w:val="auto"/>
                <w:highlight w:val="none"/>
              </w:rPr>
              <w:t>注：1</w:t>
            </w:r>
            <w:r>
              <w:rPr>
                <w:rFonts w:ascii="仿宋_GB2312" w:eastAsia="仿宋_GB2312"/>
                <w:b/>
                <w:bCs/>
                <w:color w:val="auto"/>
                <w:highlight w:val="none"/>
              </w:rPr>
              <w:t>.</w:t>
            </w:r>
            <w:r>
              <w:rPr>
                <w:rFonts w:hint="eastAsia" w:ascii="仿宋_GB2312" w:eastAsia="仿宋_GB2312"/>
                <w:b/>
                <w:bCs/>
                <w:color w:val="auto"/>
                <w:highlight w:val="none"/>
              </w:rPr>
              <w:t>该方案内容可包括：</w:t>
            </w:r>
            <w:r>
              <w:rPr>
                <w:rFonts w:hint="eastAsia" w:ascii="仿宋_GB2312" w:hAnsi="仿宋_GB2312" w:eastAsia="仿宋_GB2312" w:cs="仿宋_GB2312"/>
                <w:b/>
                <w:bCs/>
                <w:color w:val="auto"/>
                <w:highlight w:val="none"/>
              </w:rPr>
              <w:t>（1）售后服务承诺书；（2）到达损坏现场时间；（3）损坏出现解决方案；（4）免费技术培训方案；（5）保修期外维修方案；（6）售后服务措施；（</w:t>
            </w:r>
            <w:r>
              <w:rPr>
                <w:rFonts w:ascii="仿宋_GB2312" w:hAnsi="仿宋_GB2312" w:eastAsia="仿宋_GB2312" w:cs="仿宋_GB2312"/>
                <w:b/>
                <w:bCs/>
                <w:color w:val="auto"/>
                <w:highlight w:val="none"/>
              </w:rPr>
              <w:t>7</w:t>
            </w:r>
            <w:r>
              <w:rPr>
                <w:rFonts w:hint="eastAsia" w:ascii="仿宋_GB2312" w:hAnsi="仿宋_GB2312" w:eastAsia="仿宋_GB2312" w:cs="仿宋_GB2312"/>
                <w:b/>
                <w:bCs/>
                <w:color w:val="auto"/>
                <w:highlight w:val="none"/>
              </w:rPr>
              <w:t>）售后服务专用车辆；（</w:t>
            </w:r>
            <w:r>
              <w:rPr>
                <w:rFonts w:ascii="仿宋_GB2312" w:hAnsi="仿宋_GB2312" w:eastAsia="仿宋_GB2312" w:cs="仿宋_GB2312"/>
                <w:b/>
                <w:bCs/>
                <w:color w:val="auto"/>
                <w:highlight w:val="none"/>
              </w:rPr>
              <w:t>8</w:t>
            </w:r>
            <w:r>
              <w:rPr>
                <w:rFonts w:hint="eastAsia" w:ascii="仿宋_GB2312" w:hAnsi="仿宋_GB2312" w:eastAsia="仿宋_GB2312" w:cs="仿宋_GB2312"/>
                <w:b/>
                <w:bCs/>
                <w:color w:val="auto"/>
                <w:highlight w:val="none"/>
              </w:rPr>
              <w:t>）应急预案；（</w:t>
            </w:r>
            <w:r>
              <w:rPr>
                <w:rFonts w:ascii="仿宋_GB2312" w:hAnsi="仿宋_GB2312" w:eastAsia="仿宋_GB2312" w:cs="仿宋_GB2312"/>
                <w:b/>
                <w:bCs/>
                <w:color w:val="auto"/>
                <w:highlight w:val="none"/>
              </w:rPr>
              <w:t>9</w:t>
            </w:r>
            <w:r>
              <w:rPr>
                <w:rFonts w:hint="eastAsia" w:ascii="仿宋_GB2312" w:hAnsi="仿宋_GB2312" w:eastAsia="仿宋_GB2312" w:cs="仿宋_GB2312"/>
                <w:b/>
                <w:bCs/>
                <w:color w:val="auto"/>
                <w:highlight w:val="none"/>
              </w:rPr>
              <w:t>）其他优惠措施等内容。</w:t>
            </w:r>
          </w:p>
          <w:p w14:paraId="06EB7C01">
            <w:pPr>
              <w:spacing w:line="380" w:lineRule="exact"/>
              <w:ind w:firstLine="422" w:firstLineChars="200"/>
              <w:rPr>
                <w:rFonts w:ascii="仿宋_GB2312" w:hAnsi="仿宋_GB2312" w:eastAsia="仿宋_GB2312" w:cs="仿宋_GB2312"/>
                <w:color w:val="auto"/>
                <w:highlight w:val="none"/>
              </w:rPr>
            </w:pPr>
            <w:r>
              <w:rPr>
                <w:rFonts w:ascii="仿宋_GB2312" w:hAnsi="仿宋_GB2312" w:eastAsia="仿宋_GB2312" w:cs="仿宋_GB2312"/>
                <w:b/>
                <w:bCs/>
                <w:color w:val="auto"/>
                <w:highlight w:val="none"/>
              </w:rPr>
              <w:t>2.未提供</w:t>
            </w:r>
            <w:r>
              <w:rPr>
                <w:rFonts w:hint="eastAsia" w:ascii="仿宋_GB2312" w:hAnsi="仿宋_GB2312" w:eastAsia="仿宋_GB2312" w:cs="仿宋_GB2312"/>
                <w:b/>
                <w:bCs/>
                <w:color w:val="auto"/>
                <w:highlight w:val="none"/>
              </w:rPr>
              <w:t>以上</w:t>
            </w:r>
            <w:r>
              <w:rPr>
                <w:rFonts w:ascii="仿宋_GB2312" w:hAnsi="仿宋_GB2312" w:eastAsia="仿宋_GB2312" w:cs="仿宋_GB2312"/>
                <w:b/>
                <w:bCs/>
                <w:color w:val="auto"/>
                <w:highlight w:val="none"/>
              </w:rPr>
              <w:t>方案或提供的内容与本项目无关的得0分。</w:t>
            </w:r>
          </w:p>
        </w:tc>
        <w:tc>
          <w:tcPr>
            <w:tcW w:w="1291" w:type="dxa"/>
            <w:noWrap w:val="0"/>
            <w:vAlign w:val="center"/>
          </w:tcPr>
          <w:p w14:paraId="242A8189">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9</w:t>
            </w:r>
          </w:p>
        </w:tc>
        <w:tc>
          <w:tcPr>
            <w:tcW w:w="1520" w:type="dxa"/>
            <w:noWrap w:val="0"/>
            <w:vAlign w:val="center"/>
          </w:tcPr>
          <w:p w14:paraId="6E956F2B">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售后服务方案</w:t>
            </w:r>
          </w:p>
        </w:tc>
      </w:tr>
      <w:tr w14:paraId="6725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9" w:type="dxa"/>
            <w:gridSpan w:val="3"/>
            <w:noWrap w:val="0"/>
            <w:vAlign w:val="center"/>
          </w:tcPr>
          <w:p w14:paraId="30CEBD9F">
            <w:pPr>
              <w:spacing w:line="400" w:lineRule="exact"/>
              <w:ind w:firstLine="422" w:firstLineChars="200"/>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主观分总分</w:t>
            </w:r>
          </w:p>
        </w:tc>
        <w:tc>
          <w:tcPr>
            <w:tcW w:w="1291" w:type="dxa"/>
            <w:noWrap w:val="0"/>
            <w:vAlign w:val="center"/>
          </w:tcPr>
          <w:p w14:paraId="0A4179DF">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3</w:t>
            </w:r>
            <w:r>
              <w:rPr>
                <w:rFonts w:hint="eastAsia" w:ascii="仿宋_GB2312" w:hAnsi="仿宋_GB2312" w:eastAsia="仿宋_GB2312" w:cs="仿宋_GB2312"/>
                <w:b/>
                <w:bCs/>
                <w:color w:val="auto"/>
                <w:highlight w:val="none"/>
                <w:lang w:val="en-US" w:eastAsia="zh-CN"/>
              </w:rPr>
              <w:t>8</w:t>
            </w:r>
          </w:p>
        </w:tc>
        <w:tc>
          <w:tcPr>
            <w:tcW w:w="1520" w:type="dxa"/>
            <w:noWrap w:val="0"/>
            <w:vAlign w:val="center"/>
          </w:tcPr>
          <w:p w14:paraId="26E210F5">
            <w:pPr>
              <w:spacing w:line="360" w:lineRule="exact"/>
              <w:jc w:val="center"/>
              <w:rPr>
                <w:rFonts w:ascii="仿宋_GB2312" w:hAnsi="仿宋_GB2312" w:eastAsia="仿宋_GB2312" w:cs="仿宋_GB2312"/>
                <w:color w:val="auto"/>
                <w:highlight w:val="none"/>
              </w:rPr>
            </w:pPr>
          </w:p>
        </w:tc>
      </w:tr>
    </w:tbl>
    <w:p w14:paraId="35EC084B">
      <w:pPr>
        <w:widowControl/>
        <w:adjustRightInd w:val="0"/>
        <w:spacing w:line="440" w:lineRule="exact"/>
        <w:ind w:right="-1" w:firstLine="141" w:firstLineChars="59"/>
        <w:textAlignment w:val="baseline"/>
        <w:rPr>
          <w:rFonts w:ascii="仿宋_GB2312" w:eastAsia="仿宋_GB2312"/>
          <w:bCs/>
          <w:color w:val="auto"/>
          <w:sz w:val="24"/>
        </w:rPr>
      </w:pPr>
    </w:p>
    <w:p w14:paraId="184567F6">
      <w:pPr>
        <w:spacing w:line="390" w:lineRule="exact"/>
        <w:ind w:right="-168" w:rightChars="-80" w:firstLine="236" w:firstLineChars="98"/>
        <w:rPr>
          <w:rFonts w:ascii="仿宋_GB2312" w:eastAsia="仿宋_GB2312"/>
          <w:b/>
          <w:color w:val="auto"/>
          <w:sz w:val="24"/>
        </w:rPr>
      </w:pPr>
      <w:r>
        <w:rPr>
          <w:rFonts w:hint="eastAsia" w:ascii="仿宋_GB2312" w:eastAsia="仿宋_GB2312"/>
          <w:b/>
          <w:color w:val="auto"/>
          <w:sz w:val="24"/>
        </w:rPr>
        <w:t>（三）总得分=客观分+主观分</w:t>
      </w:r>
    </w:p>
    <w:p w14:paraId="74B691CF">
      <w:pPr>
        <w:adjustRightInd w:val="0"/>
        <w:spacing w:line="400" w:lineRule="exact"/>
        <w:ind w:firstLine="482" w:firstLineChars="200"/>
        <w:jc w:val="left"/>
        <w:textAlignment w:val="baseline"/>
        <w:rPr>
          <w:rFonts w:hint="eastAsia" w:ascii="仿宋_GB2312" w:hAnsi="宋体" w:eastAsia="仿宋_GB2312"/>
          <w:b/>
          <w:color w:val="auto"/>
          <w:kern w:val="0"/>
          <w:sz w:val="24"/>
        </w:rPr>
      </w:pPr>
      <w:bookmarkStart w:id="79" w:name="gxebd_pack_1_EvalFactorScoreEnd"/>
      <w:bookmarkEnd w:id="79"/>
      <w:r>
        <w:rPr>
          <w:rFonts w:hint="eastAsia" w:ascii="仿宋_GB2312" w:hAnsi="宋体" w:eastAsia="仿宋_GB2312"/>
          <w:b/>
          <w:color w:val="auto"/>
          <w:kern w:val="0"/>
          <w:sz w:val="24"/>
        </w:rPr>
        <w:t>三、中标标准及中标候选人推荐原则</w:t>
      </w:r>
    </w:p>
    <w:p w14:paraId="7B4BC672">
      <w:pPr>
        <w:adjustRightInd w:val="0"/>
        <w:spacing w:line="400" w:lineRule="exact"/>
        <w:ind w:firstLine="482" w:firstLineChars="200"/>
        <w:jc w:val="left"/>
        <w:textAlignment w:val="baseline"/>
        <w:rPr>
          <w:rFonts w:hint="eastAsia" w:ascii="仿宋_GB2312" w:hAnsi="宋体" w:eastAsia="仿宋_GB2312"/>
          <w:b/>
          <w:color w:val="auto"/>
          <w:kern w:val="0"/>
          <w:sz w:val="24"/>
        </w:rPr>
      </w:pPr>
      <w:r>
        <w:rPr>
          <w:rFonts w:hint="eastAsia" w:ascii="仿宋_GB2312" w:hAnsi="宋体" w:eastAsia="仿宋_GB2312"/>
          <w:b/>
          <w:color w:val="auto"/>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0" w:name="_Hlk93676949"/>
      <w:r>
        <w:rPr>
          <w:rFonts w:hint="eastAsia" w:ascii="仿宋_GB2312" w:hAnsi="宋体" w:eastAsia="仿宋_GB2312"/>
          <w:b/>
          <w:color w:val="auto"/>
          <w:kern w:val="0"/>
          <w:sz w:val="24"/>
        </w:rPr>
        <w:t>排名第一的中标候选人放弃中标、因不可抗力提出不能履行合同，</w:t>
      </w:r>
      <w:bookmarkEnd w:id="80"/>
      <w:r>
        <w:rPr>
          <w:rFonts w:hint="eastAsia" w:ascii="仿宋_GB2312" w:hAnsi="宋体" w:eastAsia="仿宋_GB2312"/>
          <w:b/>
          <w:color w:val="auto"/>
          <w:kern w:val="0"/>
          <w:sz w:val="24"/>
        </w:rPr>
        <w:t>采购人或采购代理机构应将该情况报政府采购监督管理部门，从合格的中标候选人中另行确定中标人或重新开展政府采购活动。</w:t>
      </w:r>
    </w:p>
    <w:p w14:paraId="59FF00A2">
      <w:pPr>
        <w:adjustRightInd w:val="0"/>
        <w:spacing w:line="400" w:lineRule="exact"/>
        <w:ind w:firstLine="482" w:firstLineChars="200"/>
        <w:jc w:val="left"/>
        <w:textAlignment w:val="baseline"/>
        <w:rPr>
          <w:rFonts w:hint="eastAsia" w:ascii="仿宋_GB2312" w:hAnsi="宋体" w:eastAsia="仿宋_GB2312"/>
          <w:b/>
          <w:bCs/>
          <w:color w:val="auto"/>
          <w:sz w:val="24"/>
        </w:rPr>
      </w:pPr>
      <w:r>
        <w:rPr>
          <w:rFonts w:hint="eastAsia" w:ascii="仿宋_GB2312" w:hAnsi="宋体" w:eastAsia="仿宋_GB2312"/>
          <w:b/>
          <w:color w:val="auto"/>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color w:val="auto"/>
          <w:sz w:val="24"/>
        </w:rPr>
        <w:t>。</w:t>
      </w:r>
    </w:p>
    <w:p w14:paraId="01B15747">
      <w:pPr>
        <w:rPr>
          <w:rFonts w:hint="eastAsia" w:ascii="宋体" w:hAnsi="宋体" w:cs="Courier New"/>
          <w:b/>
          <w:bCs/>
          <w:color w:val="auto"/>
          <w:sz w:val="32"/>
          <w:szCs w:val="32"/>
        </w:rPr>
      </w:pPr>
      <w:r>
        <w:rPr>
          <w:rFonts w:hint="eastAsia" w:ascii="宋体" w:hAnsi="宋体" w:cs="Courier New"/>
          <w:b/>
          <w:bCs/>
          <w:color w:val="auto"/>
          <w:sz w:val="32"/>
          <w:szCs w:val="32"/>
        </w:rPr>
        <w:br w:type="page"/>
      </w:r>
    </w:p>
    <w:p w14:paraId="714B5C73">
      <w:pPr>
        <w:tabs>
          <w:tab w:val="left" w:pos="3055"/>
        </w:tabs>
        <w:jc w:val="center"/>
        <w:rPr>
          <w:b/>
          <w:color w:val="auto"/>
          <w:sz w:val="30"/>
          <w:szCs w:val="30"/>
        </w:rPr>
      </w:pPr>
      <w:r>
        <w:rPr>
          <w:rFonts w:hint="eastAsia" w:ascii="宋体" w:hAnsi="宋体" w:cs="Courier New"/>
          <w:b/>
          <w:bCs/>
          <w:color w:val="auto"/>
          <w:sz w:val="32"/>
          <w:szCs w:val="32"/>
          <w:lang w:eastAsia="zh-CN"/>
        </w:rPr>
        <w:t>分标二</w:t>
      </w:r>
      <w:r>
        <w:rPr>
          <w:rFonts w:hint="eastAsia" w:ascii="宋体" w:hAnsi="宋体" w:cs="Courier New"/>
          <w:b/>
          <w:bCs/>
          <w:color w:val="auto"/>
          <w:sz w:val="32"/>
          <w:szCs w:val="32"/>
        </w:rPr>
        <w:t>评标方法及评标标准</w:t>
      </w:r>
    </w:p>
    <w:p w14:paraId="2AB758CF">
      <w:pPr>
        <w:spacing w:line="390" w:lineRule="exact"/>
        <w:ind w:right="-168" w:rightChars="-80" w:firstLine="482" w:firstLineChars="200"/>
        <w:rPr>
          <w:rFonts w:ascii="仿宋_GB2312" w:eastAsia="仿宋_GB2312"/>
          <w:b/>
          <w:bCs/>
          <w:color w:val="auto"/>
          <w:sz w:val="24"/>
        </w:rPr>
      </w:pPr>
      <w:r>
        <w:rPr>
          <w:rFonts w:hint="eastAsia" w:ascii="仿宋_GB2312" w:eastAsia="仿宋_GB2312"/>
          <w:b/>
          <w:bCs/>
          <w:color w:val="auto"/>
          <w:sz w:val="24"/>
        </w:rPr>
        <w:t>一、评标原则</w:t>
      </w:r>
    </w:p>
    <w:p w14:paraId="63ED5BBA">
      <w:pPr>
        <w:spacing w:line="390" w:lineRule="exact"/>
        <w:ind w:right="-168" w:rightChars="-80"/>
        <w:rPr>
          <w:rFonts w:ascii="仿宋_GB2312" w:eastAsia="仿宋_GB2312"/>
          <w:color w:val="auto"/>
          <w:sz w:val="24"/>
        </w:rPr>
      </w:pPr>
      <w:r>
        <w:rPr>
          <w:rFonts w:hint="eastAsia" w:ascii="仿宋_GB2312" w:eastAsia="仿宋_GB2312"/>
          <w:color w:val="auto"/>
          <w:sz w:val="24"/>
        </w:rPr>
        <w:t xml:space="preserve">    （一）评委构成：本招标采购项目的评委分别由依法组成的评审专家、采购人代表共五人或以上单数构成，其中专家人数不少于评标委员会成员总数的三分之二。</w:t>
      </w:r>
    </w:p>
    <w:p w14:paraId="7558DA55">
      <w:pPr>
        <w:spacing w:line="390" w:lineRule="exact"/>
        <w:ind w:right="-168" w:rightChars="-80" w:firstLine="435"/>
        <w:rPr>
          <w:rFonts w:ascii="仿宋_GB2312" w:eastAsia="仿宋_GB2312"/>
          <w:b/>
          <w:color w:val="auto"/>
          <w:sz w:val="24"/>
        </w:rPr>
      </w:pPr>
      <w:r>
        <w:rPr>
          <w:rFonts w:hint="eastAsia" w:ascii="仿宋_GB2312" w:eastAsia="仿宋_GB2312"/>
          <w:b/>
          <w:color w:val="auto"/>
          <w:sz w:val="24"/>
        </w:rPr>
        <w:t>（二）评标依据：评委将以招投标文件为评标依据，对投标人的价格、技术、信誉、业绩等方面按百分制打分。</w:t>
      </w:r>
    </w:p>
    <w:p w14:paraId="7F29BE34">
      <w:pPr>
        <w:spacing w:line="390" w:lineRule="exact"/>
        <w:ind w:right="-168" w:rightChars="-80" w:firstLine="435"/>
        <w:rPr>
          <w:rFonts w:ascii="仿宋_GB2312" w:eastAsia="仿宋_GB2312"/>
          <w:color w:val="auto"/>
          <w:sz w:val="24"/>
        </w:rPr>
      </w:pPr>
      <w:r>
        <w:rPr>
          <w:rFonts w:hint="eastAsia" w:ascii="仿宋_GB2312" w:eastAsia="仿宋_GB2312"/>
          <w:color w:val="auto"/>
          <w:sz w:val="24"/>
        </w:rPr>
        <w:t>（三）评标方式：以封闭方式进行。</w:t>
      </w:r>
    </w:p>
    <w:p w14:paraId="34F9A139">
      <w:pPr>
        <w:spacing w:line="390" w:lineRule="exact"/>
        <w:ind w:right="-168" w:rightChars="-80" w:firstLine="435"/>
        <w:rPr>
          <w:rFonts w:ascii="仿宋_GB2312" w:eastAsia="仿宋_GB2312"/>
          <w:color w:val="auto"/>
          <w:sz w:val="24"/>
        </w:rPr>
      </w:pPr>
      <w:r>
        <w:rPr>
          <w:rFonts w:hint="eastAsia" w:ascii="仿宋_GB2312" w:eastAsia="仿宋_GB2312"/>
          <w:color w:val="auto"/>
          <w:sz w:val="24"/>
        </w:rPr>
        <w:t>（四）评标委员会认为投标人的报价明显低于其他通过符合性审查投标人的报价，有可能影响产品质量或者不能诚信履约的，</w:t>
      </w:r>
      <w:r>
        <w:rPr>
          <w:rFonts w:hint="eastAsia" w:ascii="仿宋_GB2312" w:eastAsia="仿宋_GB2312" w:cs="Courier New"/>
          <w:color w:val="auto"/>
          <w:sz w:val="24"/>
        </w:rPr>
        <w:t>应当通过广西政府采购云平台发起询标函，要求其在评标现场合理的时间内通过广西政府采购云平台提供书面说明</w:t>
      </w:r>
      <w:r>
        <w:rPr>
          <w:rFonts w:hint="eastAsia" w:ascii="仿宋_GB2312" w:eastAsia="仿宋_GB2312"/>
          <w:color w:val="auto"/>
          <w:sz w:val="24"/>
        </w:rPr>
        <w:t xml:space="preserve">，必要时提交相关证明材料；投标人不能证明其报价合理性的，评标委员会应当将其作为无效投标处理。     </w:t>
      </w:r>
    </w:p>
    <w:p w14:paraId="41740D38">
      <w:pPr>
        <w:spacing w:line="390" w:lineRule="exact"/>
        <w:ind w:right="-168" w:rightChars="-80" w:firstLine="435"/>
        <w:rPr>
          <w:rFonts w:ascii="仿宋_GB2312" w:eastAsia="仿宋_GB2312"/>
          <w:b/>
          <w:bCs/>
          <w:color w:val="auto"/>
          <w:sz w:val="24"/>
        </w:rPr>
      </w:pPr>
      <w:r>
        <w:rPr>
          <w:rFonts w:hint="eastAsia" w:ascii="仿宋_GB2312" w:eastAsia="仿宋_GB2312"/>
          <w:b/>
          <w:bCs/>
          <w:color w:val="auto"/>
          <w:sz w:val="24"/>
        </w:rPr>
        <w:t>二、评标方法</w:t>
      </w:r>
      <w:r>
        <w:rPr>
          <w:rFonts w:ascii="仿宋_GB2312" w:eastAsia="仿宋_GB2312"/>
          <w:b/>
          <w:bCs/>
          <w:color w:val="auto"/>
          <w:sz w:val="24"/>
        </w:rPr>
        <w:tab/>
      </w:r>
    </w:p>
    <w:p w14:paraId="478ED2DF">
      <w:pPr>
        <w:spacing w:line="390" w:lineRule="exact"/>
        <w:ind w:right="-168" w:rightChars="-80" w:firstLine="435"/>
        <w:rPr>
          <w:rFonts w:ascii="仿宋_GB2312" w:eastAsia="仿宋_GB2312"/>
          <w:color w:val="auto"/>
          <w:sz w:val="24"/>
        </w:rPr>
      </w:pPr>
      <w:r>
        <w:rPr>
          <w:rFonts w:hint="eastAsia" w:ascii="仿宋_GB2312" w:eastAsia="仿宋_GB2312"/>
          <w:color w:val="auto"/>
          <w:sz w:val="24"/>
        </w:rPr>
        <w:t>（一）对进入详评的，采用百分制综合评分法。</w:t>
      </w:r>
    </w:p>
    <w:p w14:paraId="1212A236">
      <w:pPr>
        <w:spacing w:line="400" w:lineRule="atLeast"/>
        <w:ind w:firstLine="480" w:firstLineChars="200"/>
        <w:jc w:val="left"/>
        <w:rPr>
          <w:rFonts w:hint="eastAsia" w:ascii="仿宋_GB2312" w:hAnsi="宋体" w:eastAsia="仿宋_GB2312"/>
          <w:color w:val="auto"/>
          <w:sz w:val="24"/>
        </w:rPr>
      </w:pPr>
      <w:r>
        <w:rPr>
          <w:rFonts w:hint="eastAsia" w:ascii="仿宋_GB2312" w:eastAsia="仿宋_GB2312"/>
          <w:color w:val="auto"/>
          <w:sz w:val="24"/>
        </w:rPr>
        <w:t>（二）计分办法（分值计算保留小数点后两位，第三位四舍五入）</w:t>
      </w:r>
      <w:r>
        <w:rPr>
          <w:rFonts w:hint="eastAsia" w:ascii="仿宋_GB2312" w:hAnsi="宋体" w:eastAsia="仿宋_GB2312"/>
          <w:color w:val="auto"/>
          <w:sz w:val="24"/>
        </w:rPr>
        <w:t>：</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828"/>
        <w:gridCol w:w="5906"/>
        <w:gridCol w:w="1251"/>
        <w:gridCol w:w="1543"/>
      </w:tblGrid>
      <w:tr w14:paraId="6BD8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401" w:type="dxa"/>
            <w:gridSpan w:val="5"/>
            <w:shd w:val="clear" w:color="auto" w:fill="D7D7D7"/>
            <w:noWrap w:val="0"/>
            <w:vAlign w:val="center"/>
          </w:tcPr>
          <w:p w14:paraId="6E7B6533">
            <w:pPr>
              <w:spacing w:line="360" w:lineRule="exact"/>
              <w:jc w:val="center"/>
              <w:rPr>
                <w:rFonts w:ascii="仿宋_GB2312" w:hAnsi="仿宋_GB2312" w:eastAsia="仿宋_GB2312" w:cs="仿宋_GB2312"/>
                <w:b/>
                <w:color w:val="auto"/>
                <w:highlight w:val="none"/>
              </w:rPr>
            </w:pPr>
            <w:r>
              <w:rPr>
                <w:rFonts w:hint="eastAsia" w:ascii="仿宋_GB2312" w:eastAsia="仿宋_GB2312"/>
                <w:b/>
                <w:color w:val="auto"/>
                <w:sz w:val="32"/>
                <w:highlight w:val="none"/>
              </w:rPr>
              <w:t>客观分</w:t>
            </w:r>
          </w:p>
        </w:tc>
      </w:tr>
      <w:tr w14:paraId="6A51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noWrap w:val="0"/>
            <w:vAlign w:val="center"/>
          </w:tcPr>
          <w:p w14:paraId="325533EF">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828" w:type="dxa"/>
            <w:noWrap w:val="0"/>
            <w:vAlign w:val="center"/>
          </w:tcPr>
          <w:p w14:paraId="21C9924D">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906" w:type="dxa"/>
            <w:noWrap w:val="0"/>
            <w:vAlign w:val="center"/>
          </w:tcPr>
          <w:p w14:paraId="3BF0D405">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251" w:type="dxa"/>
            <w:noWrap w:val="0"/>
            <w:vAlign w:val="center"/>
          </w:tcPr>
          <w:p w14:paraId="151CD433">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543" w:type="dxa"/>
            <w:noWrap w:val="0"/>
            <w:vAlign w:val="center"/>
          </w:tcPr>
          <w:p w14:paraId="2CC9F278">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14:paraId="50A4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873" w:type="dxa"/>
            <w:noWrap w:val="0"/>
            <w:vAlign w:val="center"/>
          </w:tcPr>
          <w:p w14:paraId="3B7E81AA">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828" w:type="dxa"/>
            <w:noWrap w:val="0"/>
            <w:vAlign w:val="center"/>
          </w:tcPr>
          <w:p w14:paraId="4B43E281">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5906" w:type="dxa"/>
            <w:noWrap w:val="0"/>
            <w:vAlign w:val="center"/>
          </w:tcPr>
          <w:p w14:paraId="23F543C2">
            <w:pPr>
              <w:spacing w:line="44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1.满足招标文件要求且投标价格最低的投标报价为评标基准价，其投标人的报价分为最高分</w:t>
            </w:r>
            <w:r>
              <w:rPr>
                <w:rFonts w:ascii="仿宋_GB2312" w:hAnsi="仿宋_GB2312" w:eastAsia="仿宋_GB2312" w:cs="仿宋_GB2312"/>
                <w:color w:val="auto"/>
                <w:highlight w:val="none"/>
              </w:rPr>
              <w:t>30</w:t>
            </w:r>
            <w:r>
              <w:rPr>
                <w:rFonts w:hint="eastAsia" w:ascii="仿宋_GB2312" w:hAnsi="仿宋_GB2312" w:eastAsia="仿宋_GB2312" w:cs="仿宋_GB2312"/>
                <w:color w:val="auto"/>
                <w:highlight w:val="none"/>
              </w:rPr>
              <w:t>分；</w:t>
            </w:r>
          </w:p>
          <w:p w14:paraId="6581FC48">
            <w:pPr>
              <w:spacing w:line="44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2.其他投标人的报价得分按以下公式计算：</w:t>
            </w:r>
          </w:p>
          <w:p w14:paraId="21ED29D6">
            <w:pPr>
              <w:spacing w:line="440" w:lineRule="exact"/>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报价得分=（评标基准价／某投标人投标报价）×</w:t>
            </w:r>
            <w:r>
              <w:rPr>
                <w:rFonts w:ascii="仿宋_GB2312" w:hAnsi="仿宋_GB2312" w:eastAsia="仿宋_GB2312" w:cs="仿宋_GB2312"/>
                <w:color w:val="auto"/>
                <w:highlight w:val="none"/>
              </w:rPr>
              <w:t>30</w:t>
            </w:r>
            <w:r>
              <w:rPr>
                <w:rFonts w:hint="eastAsia" w:ascii="仿宋_GB2312" w:hAnsi="仿宋_GB2312" w:eastAsia="仿宋_GB2312" w:cs="仿宋_GB2312"/>
                <w:color w:val="auto"/>
                <w:highlight w:val="none"/>
              </w:rPr>
              <w:t>分。</w:t>
            </w:r>
          </w:p>
          <w:p w14:paraId="2BB0FFA1">
            <w:pPr>
              <w:spacing w:line="440" w:lineRule="exact"/>
              <w:ind w:firstLine="422" w:firstLineChars="200"/>
              <w:jc w:val="left"/>
              <w:rPr>
                <w:rFonts w:ascii="仿宋_GB2312" w:hAnsi="仿宋_GB2312" w:eastAsia="仿宋_GB2312" w:cs="仿宋_GB2312"/>
                <w:color w:val="auto"/>
                <w:highlight w:val="none"/>
              </w:rPr>
            </w:pPr>
            <w:r>
              <w:rPr>
                <w:rFonts w:hint="eastAsia" w:ascii="仿宋_GB2312" w:eastAsia="仿宋_GB2312"/>
                <w:b/>
                <w:bCs/>
                <w:color w:val="auto"/>
                <w:szCs w:val="21"/>
                <w:highlight w:val="none"/>
              </w:rPr>
              <w:t>注：专门面向中小企业采购的项目或者采购包，不再执行价格评审优惠的扶持政策。</w:t>
            </w:r>
          </w:p>
        </w:tc>
        <w:tc>
          <w:tcPr>
            <w:tcW w:w="1251" w:type="dxa"/>
            <w:noWrap w:val="0"/>
            <w:vAlign w:val="center"/>
          </w:tcPr>
          <w:p w14:paraId="3E5F3A89">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30</w:t>
            </w:r>
          </w:p>
        </w:tc>
        <w:tc>
          <w:tcPr>
            <w:tcW w:w="1543" w:type="dxa"/>
            <w:noWrap w:val="0"/>
            <w:vAlign w:val="center"/>
          </w:tcPr>
          <w:p w14:paraId="2BDB742E">
            <w:pPr>
              <w:spacing w:line="360" w:lineRule="exact"/>
              <w:jc w:val="center"/>
              <w:rPr>
                <w:rFonts w:ascii="仿宋_GB2312" w:hAnsi="仿宋_GB2312" w:eastAsia="仿宋_GB2312" w:cs="仿宋_GB2312"/>
                <w:b/>
                <w:bCs/>
                <w:color w:val="auto"/>
                <w:highlight w:val="none"/>
              </w:rPr>
            </w:pPr>
          </w:p>
        </w:tc>
      </w:tr>
      <w:tr w14:paraId="4AFF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noWrap w:val="0"/>
            <w:vAlign w:val="center"/>
          </w:tcPr>
          <w:p w14:paraId="009DCFE0">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信誉分</w:t>
            </w:r>
          </w:p>
        </w:tc>
        <w:tc>
          <w:tcPr>
            <w:tcW w:w="828" w:type="dxa"/>
            <w:noWrap w:val="0"/>
            <w:vAlign w:val="center"/>
          </w:tcPr>
          <w:p w14:paraId="3E08CAD5">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5906" w:type="dxa"/>
            <w:noWrap w:val="0"/>
            <w:vAlign w:val="center"/>
          </w:tcPr>
          <w:p w14:paraId="1FCB28C5">
            <w:pPr>
              <w:spacing w:line="36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1.投标人或投标产品生产厂家具备有效的质量管理体系认证证书得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 xml:space="preserve">分；  </w:t>
            </w:r>
          </w:p>
          <w:p w14:paraId="50258318">
            <w:pPr>
              <w:spacing w:line="36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2.投标人</w:t>
            </w:r>
            <w:r>
              <w:rPr>
                <w:rFonts w:hint="eastAsia" w:ascii="仿宋_GB2312" w:eastAsia="仿宋_GB2312"/>
                <w:color w:val="auto"/>
                <w:highlight w:val="none"/>
              </w:rPr>
              <w:t>或投标产品生产厂家</w:t>
            </w:r>
            <w:r>
              <w:rPr>
                <w:rFonts w:hint="eastAsia" w:ascii="仿宋_GB2312" w:hAnsi="仿宋_GB2312" w:eastAsia="仿宋_GB2312" w:cs="仿宋_GB2312"/>
                <w:color w:val="auto"/>
                <w:highlight w:val="none"/>
              </w:rPr>
              <w:t>具备有效的职业健康安全管理体系认证证书得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14:paraId="1BAE1A08">
            <w:pPr>
              <w:spacing w:line="36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3.投标人</w:t>
            </w:r>
            <w:r>
              <w:rPr>
                <w:rFonts w:hint="eastAsia" w:ascii="仿宋_GB2312" w:eastAsia="仿宋_GB2312"/>
                <w:color w:val="auto"/>
                <w:highlight w:val="none"/>
              </w:rPr>
              <w:t>或投标产品生产厂家</w:t>
            </w:r>
            <w:r>
              <w:rPr>
                <w:rFonts w:hint="eastAsia" w:ascii="仿宋_GB2312" w:hAnsi="仿宋_GB2312" w:eastAsia="仿宋_GB2312" w:cs="仿宋_GB2312"/>
                <w:color w:val="auto"/>
                <w:highlight w:val="none"/>
              </w:rPr>
              <w:t>具备有效的环境管理体系认证证书得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14:paraId="7E12D4CE">
            <w:pPr>
              <w:spacing w:line="36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注：投标人提供证书材料并加盖投标人CA电子签章，否则不予计分。</w:t>
            </w:r>
          </w:p>
        </w:tc>
        <w:tc>
          <w:tcPr>
            <w:tcW w:w="1251" w:type="dxa"/>
            <w:noWrap w:val="0"/>
            <w:vAlign w:val="center"/>
          </w:tcPr>
          <w:p w14:paraId="0FEABA2D">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3</w:t>
            </w:r>
          </w:p>
        </w:tc>
        <w:tc>
          <w:tcPr>
            <w:tcW w:w="1543" w:type="dxa"/>
            <w:noWrap w:val="0"/>
            <w:vAlign w:val="center"/>
          </w:tcPr>
          <w:p w14:paraId="732CC8C1">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相关认证证书材料</w:t>
            </w:r>
          </w:p>
        </w:tc>
      </w:tr>
      <w:tr w14:paraId="1AFF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noWrap w:val="0"/>
            <w:vAlign w:val="center"/>
          </w:tcPr>
          <w:p w14:paraId="3AEF3032">
            <w:pPr>
              <w:spacing w:line="360" w:lineRule="exact"/>
              <w:jc w:val="center"/>
              <w:rPr>
                <w:rFonts w:ascii="仿宋_GB2312" w:hAnsi="仿宋_GB2312" w:eastAsia="仿宋_GB2312" w:cs="仿宋_GB2312"/>
                <w:b/>
                <w:color w:val="auto"/>
                <w:highlight w:val="none"/>
              </w:rPr>
            </w:pPr>
            <w:r>
              <w:rPr>
                <w:rFonts w:hint="eastAsia" w:ascii="仿宋_GB2312" w:hAnsi="宋体" w:eastAsia="仿宋_GB2312"/>
                <w:b/>
                <w:color w:val="auto"/>
                <w:highlight w:val="none"/>
              </w:rPr>
              <w:t>政策功能分</w:t>
            </w:r>
          </w:p>
        </w:tc>
        <w:tc>
          <w:tcPr>
            <w:tcW w:w="828" w:type="dxa"/>
            <w:noWrap w:val="0"/>
            <w:vAlign w:val="center"/>
          </w:tcPr>
          <w:p w14:paraId="51BC90FB">
            <w:pPr>
              <w:widowControl/>
              <w:spacing w:line="360" w:lineRule="exact"/>
              <w:jc w:val="center"/>
              <w:rPr>
                <w:rFonts w:ascii="仿宋_GB2312" w:hAnsi="仿宋_GB2312" w:eastAsia="仿宋_GB2312" w:cs="仿宋_GB2312"/>
                <w:b/>
                <w:color w:val="auto"/>
                <w:highlight w:val="none"/>
              </w:rPr>
            </w:pPr>
            <w:r>
              <w:rPr>
                <w:rFonts w:hint="eastAsia" w:ascii="仿宋_GB2312" w:hAnsi="宋体" w:eastAsia="仿宋_GB2312"/>
                <w:b/>
                <w:color w:val="auto"/>
                <w:highlight w:val="none"/>
              </w:rPr>
              <w:t>政策功能</w:t>
            </w:r>
          </w:p>
        </w:tc>
        <w:tc>
          <w:tcPr>
            <w:tcW w:w="5906" w:type="dxa"/>
            <w:noWrap w:val="0"/>
            <w:vAlign w:val="center"/>
          </w:tcPr>
          <w:p w14:paraId="68651A9D">
            <w:pPr>
              <w:spacing w:line="40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投标产品列入财政部、生态环境部制定和公布《环境标志产品政府采购清单》每有一项得0.5分，满分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分（投标人提供由国家确定的认证机构出具的、处于有效期之内的环境标志产品认证证书材料并加盖投标人</w:t>
            </w:r>
            <w:r>
              <w:rPr>
                <w:rFonts w:hint="eastAsia" w:ascii="仿宋_GB2312" w:hAnsi="仿宋_GB2312" w:eastAsia="仿宋_GB2312" w:cs="仿宋_GB2312"/>
                <w:bCs/>
                <w:color w:val="auto"/>
                <w:highlight w:val="none"/>
              </w:rPr>
              <w:t>CA电子签章</w:t>
            </w:r>
            <w:r>
              <w:rPr>
                <w:rFonts w:hint="eastAsia" w:ascii="仿宋_GB2312" w:hAnsi="仿宋_GB2312" w:eastAsia="仿宋_GB2312" w:cs="仿宋_GB2312"/>
                <w:color w:val="auto"/>
                <w:highlight w:val="none"/>
              </w:rPr>
              <w:t>，否则不予计分）。</w:t>
            </w:r>
          </w:p>
        </w:tc>
        <w:tc>
          <w:tcPr>
            <w:tcW w:w="1251" w:type="dxa"/>
            <w:noWrap w:val="0"/>
            <w:vAlign w:val="center"/>
          </w:tcPr>
          <w:p w14:paraId="5BFA4930">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1</w:t>
            </w:r>
          </w:p>
        </w:tc>
        <w:tc>
          <w:tcPr>
            <w:tcW w:w="1543" w:type="dxa"/>
            <w:noWrap w:val="0"/>
            <w:vAlign w:val="center"/>
          </w:tcPr>
          <w:p w14:paraId="6CF76E88">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相关证明材料</w:t>
            </w:r>
          </w:p>
        </w:tc>
      </w:tr>
      <w:tr w14:paraId="1B3E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noWrap w:val="0"/>
            <w:vAlign w:val="center"/>
          </w:tcPr>
          <w:p w14:paraId="59D12B0D">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技术参数分</w:t>
            </w:r>
          </w:p>
        </w:tc>
        <w:tc>
          <w:tcPr>
            <w:tcW w:w="828" w:type="dxa"/>
            <w:noWrap w:val="0"/>
            <w:vAlign w:val="center"/>
          </w:tcPr>
          <w:p w14:paraId="2D97A8A4">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重要指标</w:t>
            </w:r>
          </w:p>
        </w:tc>
        <w:tc>
          <w:tcPr>
            <w:tcW w:w="5906" w:type="dxa"/>
            <w:noWrap w:val="0"/>
            <w:vAlign w:val="center"/>
          </w:tcPr>
          <w:p w14:paraId="27B9EFD3">
            <w:pPr>
              <w:spacing w:line="40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所投标记“●”号产品材料带下划线“＿”的技术参数的检测结果能全部满足招标文件技术参数要求</w:t>
            </w:r>
            <w:r>
              <w:rPr>
                <w:rFonts w:hint="eastAsia" w:ascii="仿宋_GB2312" w:hAnsi="仿宋_GB2312" w:eastAsia="仿宋_GB2312" w:cs="仿宋_GB2312"/>
                <w:color w:val="auto"/>
                <w:kern w:val="2"/>
                <w:sz w:val="21"/>
                <w:highlight w:val="none"/>
              </w:rPr>
              <w:t>且至少有一个参数优于采购需求</w:t>
            </w:r>
            <w:r>
              <w:rPr>
                <w:rFonts w:hint="eastAsia" w:ascii="仿宋_GB2312" w:hAnsi="仿宋_GB2312" w:eastAsia="仿宋_GB2312" w:cs="仿宋_GB2312"/>
                <w:color w:val="auto"/>
                <w:highlight w:val="none"/>
              </w:rPr>
              <w:t>，每有一项得</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分，满分为</w:t>
            </w:r>
            <w:r>
              <w:rPr>
                <w:rFonts w:hint="eastAsia" w:ascii="仿宋_GB2312" w:hAnsi="仿宋_GB2312" w:eastAsia="仿宋_GB2312" w:cs="仿宋_GB2312"/>
                <w:color w:val="auto"/>
                <w:highlight w:val="none"/>
                <w:lang w:val="en-US" w:eastAsia="zh-CN"/>
              </w:rPr>
              <w:t>24</w:t>
            </w:r>
            <w:r>
              <w:rPr>
                <w:rFonts w:hint="eastAsia" w:ascii="仿宋_GB2312" w:hAnsi="仿宋_GB2312" w:eastAsia="仿宋_GB2312" w:cs="仿宋_GB2312"/>
                <w:color w:val="auto"/>
                <w:highlight w:val="none"/>
              </w:rPr>
              <w:t>分。</w:t>
            </w:r>
          </w:p>
          <w:p w14:paraId="59AC4110">
            <w:pPr>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 xml:space="preserve">不同货物相同材料的技术参数分别计分； </w:t>
            </w:r>
          </w:p>
          <w:p w14:paraId="43EA0571">
            <w:pPr>
              <w:spacing w:line="400" w:lineRule="exact"/>
              <w:ind w:firstLine="422" w:firstLineChars="200"/>
              <w:rPr>
                <w:rFonts w:ascii="Calibri" w:hAnsi="Calibri" w:eastAsia="仿宋_GB2312" w:cs="Calibri"/>
                <w:b/>
                <w:bCs/>
                <w:color w:val="auto"/>
                <w:highlight w:val="none"/>
              </w:rPr>
            </w:pPr>
            <w:r>
              <w:rPr>
                <w:rFonts w:hint="eastAsia" w:ascii="仿宋_GB2312" w:hAnsi="仿宋_GB2312" w:eastAsia="仿宋_GB2312" w:cs="仿宋_GB2312"/>
                <w:b/>
                <w:bCs/>
                <w:color w:val="auto"/>
                <w:highlight w:val="none"/>
              </w:rPr>
              <w:t>2.标记“●”号的技术参数为一项；</w:t>
            </w:r>
            <w:r>
              <w:rPr>
                <w:rFonts w:ascii="Calibri" w:hAnsi="Calibri" w:eastAsia="仿宋_GB2312" w:cs="Calibri"/>
                <w:b/>
                <w:bCs/>
                <w:color w:val="auto"/>
                <w:highlight w:val="none"/>
              </w:rPr>
              <w:t> </w:t>
            </w:r>
          </w:p>
          <w:p w14:paraId="158D87F5">
            <w:pPr>
              <w:spacing w:line="400" w:lineRule="exact"/>
              <w:ind w:firstLine="422" w:firstLineChars="200"/>
              <w:rPr>
                <w:color w:val="auto"/>
                <w:highlight w:val="none"/>
              </w:rPr>
            </w:pPr>
            <w:r>
              <w:rPr>
                <w:rFonts w:hint="eastAsia" w:ascii="仿宋_GB2312" w:hAnsi="仿宋_GB2312" w:eastAsia="仿宋_GB2312" w:cs="仿宋_GB2312"/>
                <w:b/>
                <w:bCs/>
                <w:color w:val="auto"/>
                <w:highlight w:val="none"/>
              </w:rPr>
              <w:t>3.标记“●”号中带下划线</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所有的技术参数，投标人须提供20</w:t>
            </w:r>
            <w:r>
              <w:rPr>
                <w:rFonts w:hint="eastAsia" w:ascii="仿宋_GB2312" w:hAnsi="仿宋_GB2312" w:eastAsia="仿宋_GB2312" w:cs="仿宋_GB2312"/>
                <w:b/>
                <w:bCs/>
                <w:color w:val="auto"/>
                <w:highlight w:val="none"/>
                <w:lang w:val="en-US" w:eastAsia="zh-CN"/>
              </w:rPr>
              <w:t>20</w:t>
            </w:r>
            <w:r>
              <w:rPr>
                <w:rFonts w:hint="eastAsia" w:ascii="仿宋_GB2312" w:hAnsi="仿宋_GB2312" w:eastAsia="仿宋_GB2312" w:cs="仿宋_GB2312"/>
                <w:b/>
                <w:bCs/>
                <w:color w:val="auto"/>
                <w:highlight w:val="none"/>
              </w:rPr>
              <w:t>年以来</w:t>
            </w:r>
            <w:r>
              <w:rPr>
                <w:rFonts w:hint="eastAsia" w:ascii="仿宋_GB2312" w:hAnsi="仿宋_GB2312" w:eastAsia="仿宋_GB2312" w:cs="仿宋_GB2312"/>
                <w:b/>
                <w:bCs/>
                <w:color w:val="auto"/>
                <w:highlight w:val="none"/>
                <w:lang w:eastAsia="zh-CN"/>
              </w:rPr>
              <w:t>具有CMA标识的检测（检验）报告</w:t>
            </w:r>
            <w:r>
              <w:rPr>
                <w:rFonts w:hint="eastAsia" w:ascii="仿宋_GB2312" w:hAnsi="仿宋_GB2312" w:eastAsia="仿宋_GB2312" w:cs="仿宋_GB2312"/>
                <w:b/>
                <w:bCs/>
                <w:color w:val="auto"/>
                <w:highlight w:val="none"/>
              </w:rPr>
              <w:t>并加盖投标人CA电子签章，所提供的测报告内容应体现带下划线</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所有内容，如未提供检测报告或检测报告内容有缺项、漏项内容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无优于的</w:t>
            </w:r>
            <w:r>
              <w:rPr>
                <w:rFonts w:hint="eastAsia" w:ascii="仿宋_GB2312" w:hAnsi="仿宋_GB2312" w:eastAsia="仿宋_GB2312" w:cs="仿宋_GB2312"/>
                <w:b/>
                <w:bCs/>
                <w:color w:val="auto"/>
                <w:highlight w:val="none"/>
              </w:rPr>
              <w:t xml:space="preserve">，对应项不予计分。 </w:t>
            </w:r>
          </w:p>
        </w:tc>
        <w:tc>
          <w:tcPr>
            <w:tcW w:w="1251" w:type="dxa"/>
            <w:noWrap w:val="0"/>
            <w:vAlign w:val="center"/>
          </w:tcPr>
          <w:p w14:paraId="7D83D46E">
            <w:pPr>
              <w:spacing w:line="360" w:lineRule="exact"/>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highlight w:val="none"/>
                <w:lang w:val="en-US" w:eastAsia="zh-CN"/>
              </w:rPr>
              <w:t>24</w:t>
            </w:r>
          </w:p>
        </w:tc>
        <w:tc>
          <w:tcPr>
            <w:tcW w:w="1543" w:type="dxa"/>
            <w:noWrap w:val="0"/>
            <w:vAlign w:val="center"/>
          </w:tcPr>
          <w:p w14:paraId="375D28E8">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技术响应表及相关证明材料</w:t>
            </w:r>
          </w:p>
        </w:tc>
      </w:tr>
      <w:tr w14:paraId="4A30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607" w:type="dxa"/>
            <w:gridSpan w:val="3"/>
            <w:noWrap w:val="0"/>
            <w:vAlign w:val="center"/>
          </w:tcPr>
          <w:p w14:paraId="09A32F10">
            <w:pPr>
              <w:tabs>
                <w:tab w:val="left" w:pos="312"/>
              </w:tabs>
              <w:spacing w:line="400" w:lineRule="exact"/>
              <w:ind w:firstLine="422" w:firstLineChars="200"/>
              <w:jc w:val="center"/>
              <w:rPr>
                <w:rFonts w:ascii="仿宋_GB2312" w:hAnsi="仿宋_GB2312" w:eastAsia="仿宋_GB2312" w:cs="仿宋_GB2312"/>
                <w:color w:val="auto"/>
                <w:highlight w:val="none"/>
              </w:rPr>
            </w:pPr>
            <w:r>
              <w:rPr>
                <w:rFonts w:hint="eastAsia" w:ascii="仿宋_GB2312" w:hAnsi="宋体" w:eastAsia="仿宋_GB2312" w:cs="Courier New"/>
                <w:b/>
                <w:bCs/>
                <w:color w:val="auto"/>
                <w:szCs w:val="21"/>
                <w:highlight w:val="none"/>
              </w:rPr>
              <w:t>客观分总分</w:t>
            </w:r>
          </w:p>
        </w:tc>
        <w:tc>
          <w:tcPr>
            <w:tcW w:w="1251" w:type="dxa"/>
            <w:noWrap w:val="0"/>
            <w:vAlign w:val="center"/>
          </w:tcPr>
          <w:p w14:paraId="14CE61F1">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58</w:t>
            </w:r>
          </w:p>
        </w:tc>
        <w:tc>
          <w:tcPr>
            <w:tcW w:w="1543" w:type="dxa"/>
            <w:noWrap w:val="0"/>
            <w:vAlign w:val="center"/>
          </w:tcPr>
          <w:p w14:paraId="04FE66BF">
            <w:pPr>
              <w:spacing w:line="360" w:lineRule="exact"/>
              <w:jc w:val="center"/>
              <w:rPr>
                <w:rFonts w:ascii="仿宋_GB2312" w:hAnsi="仿宋_GB2312" w:eastAsia="仿宋_GB2312" w:cs="仿宋_GB2312"/>
                <w:color w:val="auto"/>
                <w:highlight w:val="none"/>
              </w:rPr>
            </w:pPr>
          </w:p>
        </w:tc>
      </w:tr>
    </w:tbl>
    <w:p w14:paraId="75440CD3">
      <w:pPr>
        <w:pStyle w:val="857"/>
        <w:rPr>
          <w:rFonts w:ascii="仿宋_GB2312" w:eastAsia="仿宋_GB2312"/>
          <w:color w:val="auto"/>
          <w:sz w:val="24"/>
          <w:highlight w:val="none"/>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24"/>
        <w:gridCol w:w="5535"/>
        <w:gridCol w:w="1291"/>
        <w:gridCol w:w="1520"/>
      </w:tblGrid>
      <w:tr w14:paraId="3F30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80" w:type="dxa"/>
            <w:gridSpan w:val="5"/>
            <w:shd w:val="clear" w:color="auto" w:fill="D7D7D7"/>
            <w:noWrap w:val="0"/>
            <w:vAlign w:val="center"/>
          </w:tcPr>
          <w:p w14:paraId="5ECA924E">
            <w:pPr>
              <w:spacing w:line="360" w:lineRule="exact"/>
              <w:jc w:val="center"/>
              <w:rPr>
                <w:rFonts w:ascii="仿宋_GB2312" w:hAnsi="仿宋_GB2312" w:eastAsia="仿宋_GB2312" w:cs="仿宋_GB2312"/>
                <w:color w:val="auto"/>
                <w:highlight w:val="none"/>
              </w:rPr>
            </w:pPr>
            <w:r>
              <w:rPr>
                <w:rFonts w:hint="eastAsia" w:ascii="仿宋_GB2312" w:eastAsia="仿宋_GB2312"/>
                <w:b/>
                <w:color w:val="auto"/>
                <w:sz w:val="32"/>
                <w:highlight w:val="none"/>
              </w:rPr>
              <w:t>主观分</w:t>
            </w:r>
          </w:p>
        </w:tc>
      </w:tr>
      <w:tr w14:paraId="3BCE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0" w:type="dxa"/>
            <w:noWrap w:val="0"/>
            <w:vAlign w:val="center"/>
          </w:tcPr>
          <w:p w14:paraId="58D184BA">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124" w:type="dxa"/>
            <w:noWrap w:val="0"/>
            <w:vAlign w:val="center"/>
          </w:tcPr>
          <w:p w14:paraId="063A0FC2">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535" w:type="dxa"/>
            <w:noWrap w:val="0"/>
            <w:vAlign w:val="center"/>
          </w:tcPr>
          <w:p w14:paraId="12701D46">
            <w:pPr>
              <w:spacing w:line="3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291" w:type="dxa"/>
            <w:noWrap w:val="0"/>
            <w:vAlign w:val="center"/>
          </w:tcPr>
          <w:p w14:paraId="0434F876">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520" w:type="dxa"/>
            <w:noWrap w:val="0"/>
            <w:vAlign w:val="center"/>
          </w:tcPr>
          <w:p w14:paraId="0F4799B7">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14:paraId="7311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restart"/>
            <w:noWrap w:val="0"/>
            <w:vAlign w:val="center"/>
          </w:tcPr>
          <w:p w14:paraId="26C10BBC">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项目实施方案分</w:t>
            </w:r>
          </w:p>
        </w:tc>
        <w:tc>
          <w:tcPr>
            <w:tcW w:w="1124" w:type="dxa"/>
            <w:noWrap w:val="0"/>
            <w:vAlign w:val="center"/>
          </w:tcPr>
          <w:p w14:paraId="42051613">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项目实施方案</w:t>
            </w:r>
          </w:p>
        </w:tc>
        <w:tc>
          <w:tcPr>
            <w:tcW w:w="5535" w:type="dxa"/>
            <w:noWrap w:val="0"/>
            <w:vAlign w:val="center"/>
          </w:tcPr>
          <w:p w14:paraId="402FDCB4">
            <w:pPr>
              <w:spacing w:before="25" w:after="25" w:line="380" w:lineRule="exact"/>
              <w:ind w:firstLine="422"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b/>
                <w:bCs/>
                <w:color w:val="auto"/>
                <w:szCs w:val="21"/>
                <w:highlight w:val="none"/>
              </w:rPr>
              <w:t>一档</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优于二档，项目实施方案完整可行，配套有货物存放仓库、项目实施的技术力量和人力资源安排充足且提供有真实可靠保证，具备突发计划外供货需求的应对能力，大件家具需要紧急搬运重组需求的应对能力，承诺紧急服务时限，提供具体详细的进度计划实施控制保证方案，安装、调试、验收方法或方案切实可行且针对性强。</w:t>
            </w:r>
          </w:p>
          <w:p w14:paraId="0435887C">
            <w:pPr>
              <w:widowControl/>
              <w:spacing w:line="38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优于三档，项目实施方案较详细，有项目实施过程中的风险应对措施，应急预案，项目实施人员安排合理，配送方案合理，有较详细的安装和安全保证措施方案</w:t>
            </w:r>
            <w:r>
              <w:rPr>
                <w:rFonts w:hint="eastAsia" w:ascii="仿宋_GB2312" w:hAnsi="仿宋_GB2312" w:eastAsia="仿宋_GB2312" w:cs="仿宋_GB2312"/>
                <w:color w:val="auto"/>
                <w:highlight w:val="none"/>
                <w:lang w:eastAsia="zh-CN"/>
              </w:rPr>
              <w:t>。</w:t>
            </w:r>
          </w:p>
          <w:p w14:paraId="37B27438">
            <w:pPr>
              <w:spacing w:line="380" w:lineRule="exact"/>
              <w:ind w:firstLine="422"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项目实施进度安排合理，送货人员、运输工具、供货组织能力基本能满足本项目需求，安装调试验收方案内容基本可行。</w:t>
            </w:r>
          </w:p>
          <w:p w14:paraId="55DB7DBA">
            <w:pPr>
              <w:widowControl/>
              <w:spacing w:line="380" w:lineRule="exact"/>
              <w:ind w:firstLine="422" w:firstLineChars="200"/>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rPr>
              <w:t>内容可以</w:t>
            </w:r>
            <w:r>
              <w:rPr>
                <w:rFonts w:ascii="仿宋_GB2312" w:hAnsi="仿宋_GB2312" w:eastAsia="仿宋_GB2312" w:cs="仿宋_GB2312"/>
                <w:b/>
                <w:bCs/>
                <w:color w:val="auto"/>
                <w:highlight w:val="none"/>
              </w:rPr>
              <w:t>包括：</w:t>
            </w:r>
            <w:r>
              <w:rPr>
                <w:rFonts w:hint="eastAsia" w:ascii="仿宋_GB2312" w:hAnsi="仿宋_GB2312" w:eastAsia="仿宋_GB2312" w:cs="仿宋_GB2312"/>
                <w:b/>
                <w:bCs/>
                <w:color w:val="auto"/>
                <w:highlight w:val="none"/>
              </w:rPr>
              <w:t>（1）供货组织；（2）进度保障；（3）送货人员；（4）配送方案；(5)安装调试验收方案等内容。</w:t>
            </w:r>
          </w:p>
          <w:p w14:paraId="1FF7BC1C">
            <w:pPr>
              <w:widowControl/>
              <w:spacing w:line="380" w:lineRule="exact"/>
              <w:ind w:firstLine="422" w:firstLineChars="200"/>
              <w:rPr>
                <w:rFonts w:ascii="仿宋_GB2312" w:hAnsi="仿宋_GB2312" w:eastAsia="仿宋_GB2312" w:cs="仿宋_GB2312"/>
                <w:color w:val="auto"/>
                <w:highlight w:val="none"/>
              </w:rPr>
            </w:pPr>
            <w:r>
              <w:rPr>
                <w:rFonts w:ascii="仿宋_GB2312" w:hAnsi="仿宋_GB2312" w:eastAsia="仿宋_GB2312" w:cs="仿宋_GB2312"/>
                <w:b/>
                <w:color w:val="auto"/>
                <w:highlight w:val="none"/>
              </w:rPr>
              <w:t>2.未提供</w:t>
            </w:r>
            <w:r>
              <w:rPr>
                <w:rFonts w:hint="eastAsia" w:ascii="仿宋_GB2312" w:hAnsi="仿宋_GB2312" w:eastAsia="仿宋_GB2312" w:cs="仿宋_GB2312"/>
                <w:b/>
                <w:color w:val="auto"/>
                <w:highlight w:val="none"/>
              </w:rPr>
              <w:t>以上</w:t>
            </w:r>
            <w:r>
              <w:rPr>
                <w:rFonts w:ascii="仿宋_GB2312" w:hAnsi="仿宋_GB2312" w:eastAsia="仿宋_GB2312" w:cs="仿宋_GB2312"/>
                <w:b/>
                <w:color w:val="auto"/>
                <w:highlight w:val="none"/>
              </w:rPr>
              <w:t>方案或提供的内容与本项目无关的得0分。</w:t>
            </w:r>
          </w:p>
        </w:tc>
        <w:tc>
          <w:tcPr>
            <w:tcW w:w="1291" w:type="dxa"/>
            <w:noWrap w:val="0"/>
            <w:vAlign w:val="center"/>
          </w:tcPr>
          <w:p w14:paraId="7A1D49CE">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520" w:type="dxa"/>
            <w:noWrap w:val="0"/>
            <w:vAlign w:val="center"/>
          </w:tcPr>
          <w:p w14:paraId="23134F73">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项目实施方案</w:t>
            </w:r>
          </w:p>
        </w:tc>
      </w:tr>
      <w:tr w14:paraId="1185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noWrap w:val="0"/>
            <w:vAlign w:val="center"/>
          </w:tcPr>
          <w:p w14:paraId="64D1E2B0">
            <w:pPr>
              <w:spacing w:line="360" w:lineRule="exact"/>
              <w:jc w:val="center"/>
              <w:rPr>
                <w:rFonts w:ascii="仿宋_GB2312" w:hAnsi="仿宋_GB2312" w:eastAsia="仿宋_GB2312" w:cs="仿宋_GB2312"/>
                <w:color w:val="auto"/>
                <w:highlight w:val="none"/>
              </w:rPr>
            </w:pPr>
          </w:p>
        </w:tc>
        <w:tc>
          <w:tcPr>
            <w:tcW w:w="1124" w:type="dxa"/>
            <w:noWrap w:val="0"/>
            <w:vAlign w:val="center"/>
          </w:tcPr>
          <w:p w14:paraId="1CF2B419">
            <w:pPr>
              <w:widowControl/>
              <w:spacing w:line="360" w:lineRule="exact"/>
              <w:jc w:val="center"/>
              <w:rPr>
                <w:rFonts w:eastAsia="仿宋_GB2312"/>
                <w:color w:val="auto"/>
                <w:highlight w:val="none"/>
              </w:rPr>
            </w:pPr>
            <w:r>
              <w:rPr>
                <w:rFonts w:hint="eastAsia" w:ascii="仿宋_GB2312" w:hAnsi="仿宋_GB2312" w:eastAsia="仿宋_GB2312" w:cs="仿宋_GB2312"/>
                <w:b/>
                <w:bCs/>
                <w:color w:val="auto"/>
                <w:highlight w:val="none"/>
              </w:rPr>
              <w:t>生产能力和质量保障能力方案</w:t>
            </w:r>
          </w:p>
        </w:tc>
        <w:tc>
          <w:tcPr>
            <w:tcW w:w="5535" w:type="dxa"/>
            <w:noWrap w:val="0"/>
            <w:vAlign w:val="center"/>
          </w:tcPr>
          <w:p w14:paraId="671A735A">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kern w:val="0"/>
                <w:szCs w:val="21"/>
                <w:highlight w:val="none"/>
              </w:rPr>
              <w:t>（</w:t>
            </w:r>
            <w:r>
              <w:rPr>
                <w:rFonts w:hint="eastAsia" w:ascii="仿宋_GB2312" w:hAnsi="仿宋_GB2312" w:eastAsia="仿宋_GB2312" w:cs="仿宋_GB2312"/>
                <w:b/>
                <w:bCs/>
                <w:color w:val="auto"/>
                <w:kern w:val="0"/>
                <w:szCs w:val="21"/>
                <w:highlight w:val="none"/>
                <w:lang w:val="en-US" w:eastAsia="zh-CN"/>
              </w:rPr>
              <w:t>6</w:t>
            </w:r>
            <w:r>
              <w:rPr>
                <w:rFonts w:hint="eastAsia" w:ascii="仿宋_GB2312" w:hAnsi="仿宋_GB2312" w:eastAsia="仿宋_GB2312" w:cs="仿宋_GB2312"/>
                <w:b/>
                <w:bCs/>
                <w:color w:val="auto"/>
                <w:kern w:val="0"/>
                <w:szCs w:val="21"/>
                <w:highlight w:val="none"/>
              </w:rPr>
              <w:t>分）：</w:t>
            </w:r>
            <w:r>
              <w:rPr>
                <w:rFonts w:hint="eastAsia" w:ascii="仿宋_GB2312" w:hAnsi="仿宋_GB2312" w:eastAsia="仿宋_GB2312" w:cs="仿宋_GB2312"/>
                <w:color w:val="auto"/>
                <w:kern w:val="0"/>
                <w:szCs w:val="21"/>
                <w:highlight w:val="none"/>
              </w:rPr>
              <w:t>优于二档，投标人或投标产品生产厂家产品生产保障措施详细可行，有</w:t>
            </w:r>
            <w:r>
              <w:rPr>
                <w:rFonts w:hint="eastAsia" w:ascii="仿宋_GB2312" w:hAnsi="仿宋_GB2312" w:eastAsia="仿宋_GB2312" w:cs="仿宋_GB2312"/>
                <w:color w:val="auto"/>
                <w:highlight w:val="none"/>
              </w:rPr>
              <w:t>生产过程对环境保护措施、生产设备性能及功能描述、</w:t>
            </w:r>
            <w:r>
              <w:rPr>
                <w:rFonts w:hint="eastAsia" w:ascii="仿宋_GB2312" w:hAnsi="仿宋_GB2312" w:eastAsia="仿宋_GB2312" w:cs="仿宋_GB2312"/>
                <w:color w:val="auto"/>
                <w:kern w:val="0"/>
                <w:szCs w:val="21"/>
                <w:highlight w:val="none"/>
              </w:rPr>
              <w:t>产品生产工艺流程、原材料质量保障措施、质量管理体系完善健全等可完全满足采购需求</w:t>
            </w:r>
            <w:r>
              <w:rPr>
                <w:rFonts w:hint="eastAsia" w:ascii="仿宋_GB2312" w:hAnsi="仿宋_GB2312" w:eastAsia="仿宋_GB2312" w:cs="仿宋_GB2312"/>
                <w:color w:val="auto"/>
                <w:highlight w:val="none"/>
              </w:rPr>
              <w:t xml:space="preserve">。  </w:t>
            </w:r>
          </w:p>
          <w:p w14:paraId="1FA0B894">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 xml:space="preserve">优于三档，投标人或投标产品生产厂家产品生产保障措施较完整，有生产过程对环境保护措施、生产设备性能及功能描述、产品生产工艺流程等的。 </w:t>
            </w:r>
          </w:p>
          <w:p w14:paraId="12147E30">
            <w:pPr>
              <w:widowControl/>
              <w:tabs>
                <w:tab w:val="left" w:pos="312"/>
              </w:tabs>
              <w:spacing w:line="380" w:lineRule="exact"/>
              <w:ind w:firstLine="422" w:firstLine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kern w:val="0"/>
                <w:szCs w:val="21"/>
                <w:highlight w:val="none"/>
              </w:rPr>
              <w:t>（</w:t>
            </w:r>
            <w:r>
              <w:rPr>
                <w:rFonts w:hint="eastAsia" w:ascii="仿宋_GB2312" w:hAnsi="仿宋_GB2312" w:eastAsia="仿宋_GB2312" w:cs="仿宋_GB2312"/>
                <w:b/>
                <w:bCs/>
                <w:color w:val="auto"/>
                <w:kern w:val="0"/>
                <w:szCs w:val="21"/>
                <w:highlight w:val="none"/>
                <w:lang w:val="en-US" w:eastAsia="zh-CN"/>
              </w:rPr>
              <w:t>2</w:t>
            </w:r>
            <w:r>
              <w:rPr>
                <w:rFonts w:hint="eastAsia" w:ascii="仿宋_GB2312" w:hAnsi="仿宋_GB2312" w:eastAsia="仿宋_GB2312" w:cs="仿宋_GB2312"/>
                <w:b/>
                <w:bCs/>
                <w:color w:val="auto"/>
                <w:kern w:val="0"/>
                <w:szCs w:val="21"/>
                <w:highlight w:val="none"/>
              </w:rPr>
              <w:t>分）：</w:t>
            </w:r>
            <w:r>
              <w:rPr>
                <w:rFonts w:hint="eastAsia" w:ascii="仿宋_GB2312" w:hAnsi="仿宋_GB2312" w:eastAsia="仿宋_GB2312" w:cs="仿宋_GB2312"/>
                <w:color w:val="auto"/>
                <w:kern w:val="0"/>
                <w:szCs w:val="21"/>
                <w:highlight w:val="none"/>
              </w:rPr>
              <w:t>投标人或投标产品生产厂家产品生产保障措施简单，有简单的质量管控措施，工厂生产设备能满足本项目产品的生产要求。</w:t>
            </w:r>
          </w:p>
          <w:p w14:paraId="53ED4CF7">
            <w:pPr>
              <w:widowControl/>
              <w:tabs>
                <w:tab w:val="left" w:pos="312"/>
              </w:tabs>
              <w:spacing w:line="380" w:lineRule="exact"/>
              <w:ind w:firstLine="422" w:firstLineChars="200"/>
              <w:rPr>
                <w:rFonts w:ascii="仿宋_GB2312" w:eastAsia="仿宋_GB2312"/>
                <w:b/>
                <w:bCs/>
                <w:color w:val="auto"/>
                <w:highlight w:val="none"/>
              </w:rPr>
            </w:pPr>
            <w:r>
              <w:rPr>
                <w:rFonts w:hint="eastAsia" w:ascii="仿宋_GB2312" w:eastAsia="仿宋_GB2312"/>
                <w:b/>
                <w:bCs/>
                <w:color w:val="auto"/>
                <w:highlight w:val="none"/>
              </w:rPr>
              <w:t>注：1</w:t>
            </w:r>
            <w:r>
              <w:rPr>
                <w:rFonts w:ascii="仿宋_GB2312" w:eastAsia="仿宋_GB2312"/>
                <w:b/>
                <w:bCs/>
                <w:color w:val="auto"/>
                <w:highlight w:val="none"/>
              </w:rPr>
              <w:t>.</w:t>
            </w:r>
            <w:r>
              <w:rPr>
                <w:rFonts w:hint="eastAsia" w:ascii="仿宋_GB2312" w:eastAsia="仿宋_GB2312"/>
                <w:b/>
                <w:bCs/>
                <w:color w:val="auto"/>
                <w:highlight w:val="none"/>
              </w:rPr>
              <w:t>该方案内容可包括：（1）投标人或生产厂家生产场地情况；（2）主要设备；（3）生产管理；（4）质量管理体系等内容。</w:t>
            </w:r>
          </w:p>
          <w:p w14:paraId="323AA027">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eastAsia="仿宋_GB2312"/>
                <w:b/>
                <w:bCs/>
                <w:color w:val="auto"/>
                <w:highlight w:val="none"/>
              </w:rPr>
              <w:t>2.</w:t>
            </w:r>
            <w:r>
              <w:rPr>
                <w:rFonts w:ascii="仿宋_GB2312" w:hAnsi="仿宋_GB2312" w:eastAsia="仿宋_GB2312" w:cs="仿宋_GB2312"/>
                <w:b/>
                <w:bCs/>
                <w:color w:val="auto"/>
                <w:highlight w:val="none"/>
              </w:rPr>
              <w:t>未提供</w:t>
            </w:r>
            <w:r>
              <w:rPr>
                <w:rFonts w:hint="eastAsia" w:ascii="仿宋_GB2312" w:hAnsi="仿宋_GB2312" w:eastAsia="仿宋_GB2312" w:cs="仿宋_GB2312"/>
                <w:b/>
                <w:bCs/>
                <w:color w:val="auto"/>
                <w:highlight w:val="none"/>
              </w:rPr>
              <w:t>以上</w:t>
            </w:r>
            <w:r>
              <w:rPr>
                <w:rFonts w:ascii="仿宋_GB2312" w:hAnsi="仿宋_GB2312" w:eastAsia="仿宋_GB2312" w:cs="仿宋_GB2312"/>
                <w:b/>
                <w:bCs/>
                <w:color w:val="auto"/>
                <w:highlight w:val="none"/>
              </w:rPr>
              <w:t>方案或提供的内容与本项目无关的得0分。</w:t>
            </w:r>
          </w:p>
        </w:tc>
        <w:tc>
          <w:tcPr>
            <w:tcW w:w="1291" w:type="dxa"/>
            <w:noWrap w:val="0"/>
            <w:vAlign w:val="center"/>
          </w:tcPr>
          <w:p w14:paraId="6D1972AC">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6</w:t>
            </w:r>
          </w:p>
        </w:tc>
        <w:tc>
          <w:tcPr>
            <w:tcW w:w="1520" w:type="dxa"/>
            <w:noWrap w:val="0"/>
            <w:vAlign w:val="center"/>
          </w:tcPr>
          <w:p w14:paraId="14E52682">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生产能力和质量保障能力方案</w:t>
            </w:r>
          </w:p>
        </w:tc>
      </w:tr>
      <w:tr w14:paraId="40B1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10" w:type="dxa"/>
            <w:noWrap w:val="0"/>
            <w:vAlign w:val="center"/>
          </w:tcPr>
          <w:p w14:paraId="0601A753">
            <w:pPr>
              <w:spacing w:line="360" w:lineRule="exact"/>
              <w:jc w:val="center"/>
              <w:rPr>
                <w:rFonts w:ascii="仿宋_GB2312" w:hAnsi="仿宋_GB2312" w:eastAsia="仿宋_GB2312" w:cs="仿宋_GB2312"/>
                <w:color w:val="auto"/>
                <w:highlight w:val="none"/>
              </w:rPr>
            </w:pPr>
            <w:r>
              <w:rPr>
                <w:rFonts w:hint="eastAsia" w:ascii="仿宋_GB2312" w:eastAsia="仿宋_GB2312"/>
                <w:b/>
                <w:bCs/>
                <w:color w:val="auto"/>
                <w:highlight w:val="none"/>
              </w:rPr>
              <w:t>设计方案分</w:t>
            </w:r>
          </w:p>
        </w:tc>
        <w:tc>
          <w:tcPr>
            <w:tcW w:w="1124" w:type="dxa"/>
            <w:noWrap w:val="0"/>
            <w:vAlign w:val="center"/>
          </w:tcPr>
          <w:p w14:paraId="1682A3EB">
            <w:pPr>
              <w:widowControl/>
              <w:spacing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b/>
                <w:color w:val="auto"/>
                <w:szCs w:val="21"/>
                <w:highlight w:val="none"/>
              </w:rPr>
              <w:t>产品设计方案</w:t>
            </w:r>
          </w:p>
        </w:tc>
        <w:tc>
          <w:tcPr>
            <w:tcW w:w="5535" w:type="dxa"/>
            <w:noWrap w:val="0"/>
            <w:vAlign w:val="center"/>
          </w:tcPr>
          <w:p w14:paraId="43B5F3DD">
            <w:pPr>
              <w:pStyle w:val="859"/>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16</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在满足二档前提下，提供设计方案详细、具体、可实行性高，颜色搭配科学美观、有两项以上设计理念，得到认可和采纳。</w:t>
            </w:r>
          </w:p>
          <w:p w14:paraId="24C1347B">
            <w:pPr>
              <w:pStyle w:val="859"/>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13</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 xml:space="preserve">在满足三档前提下，提供设计方案规范合理性，产品设计的各个方面无缺陷(外观设计、款式结构等)、牢固可靠。  </w:t>
            </w:r>
          </w:p>
          <w:p w14:paraId="05B3C1F4">
            <w:pPr>
              <w:pStyle w:val="859"/>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在满足四档前提下，提供产品结构图、零部件效果图、整体摆放布局效果图，设计图纸、方案符合要求的。</w:t>
            </w:r>
          </w:p>
          <w:p w14:paraId="3BE4A02D">
            <w:pPr>
              <w:pStyle w:val="859"/>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四档(</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在满足五档前提下，提供产品外观设计图、摆放设计图、零部件设计图、设备安装分解图，设计图纸、方案基本符合要求的。</w:t>
            </w:r>
          </w:p>
          <w:p w14:paraId="67D517D8">
            <w:pPr>
              <w:pStyle w:val="859"/>
              <w:adjustRightInd w:val="0"/>
              <w:snapToGrid w:val="0"/>
              <w:spacing w:line="360" w:lineRule="auto"/>
              <w:ind w:firstLine="588" w:firstLineChars="27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五档(</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提供产品设计用材、产品工件明细表（列明“自制件”、“外协件”、“外购件”）、五金配件表、产品使用功能描述等</w:t>
            </w:r>
            <w:r>
              <w:rPr>
                <w:rFonts w:hint="eastAsia" w:ascii="仿宋_GB2312" w:hAnsi="仿宋_GB2312" w:eastAsia="仿宋_GB2312" w:cs="仿宋_GB2312"/>
                <w:color w:val="auto"/>
                <w:highlight w:val="none"/>
                <w:lang w:eastAsia="zh-CN"/>
              </w:rPr>
              <w:t>。</w:t>
            </w:r>
          </w:p>
          <w:p w14:paraId="75950F05">
            <w:pPr>
              <w:pStyle w:val="859"/>
              <w:adjustRightInd w:val="0"/>
              <w:snapToGrid w:val="0"/>
              <w:spacing w:line="360" w:lineRule="auto"/>
              <w:ind w:firstLine="588" w:firstLineChars="279"/>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w:t>
            </w:r>
            <w:r>
              <w:rPr>
                <w:rFonts w:ascii="仿宋_GB2312" w:hAnsi="仿宋_GB2312" w:eastAsia="仿宋_GB2312" w:cs="仿宋_GB2312"/>
                <w:b/>
                <w:bCs/>
                <w:color w:val="auto"/>
                <w:highlight w:val="none"/>
              </w:rPr>
              <w:t>该方案</w:t>
            </w:r>
            <w:r>
              <w:rPr>
                <w:rFonts w:hint="eastAsia" w:ascii="仿宋_GB2312" w:hAnsi="仿宋_GB2312" w:eastAsia="仿宋_GB2312" w:cs="仿宋_GB2312"/>
                <w:b/>
                <w:bCs/>
                <w:color w:val="auto"/>
                <w:highlight w:val="none"/>
              </w:rPr>
              <w:t>内容可以</w:t>
            </w:r>
            <w:r>
              <w:rPr>
                <w:rFonts w:ascii="仿宋_GB2312" w:hAnsi="仿宋_GB2312" w:eastAsia="仿宋_GB2312" w:cs="仿宋_GB2312"/>
                <w:b/>
                <w:bCs/>
                <w:color w:val="auto"/>
                <w:highlight w:val="none"/>
              </w:rPr>
              <w:t>包括：</w:t>
            </w:r>
            <w:r>
              <w:rPr>
                <w:rFonts w:hint="eastAsia"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产品外观设计图</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u w:val="none"/>
                <w:lang w:val="en-US" w:bidi="zh-CN"/>
              </w:rPr>
              <w:t>须按技术参数要求注明</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highlight w:val="none"/>
              </w:rPr>
              <w:t>；（2）</w:t>
            </w:r>
            <w:r>
              <w:rPr>
                <w:rFonts w:hint="eastAsia" w:ascii="仿宋_GB2312" w:hAnsi="仿宋_GB2312" w:eastAsia="仿宋_GB2312" w:cs="仿宋_GB2312"/>
                <w:b/>
                <w:bCs/>
                <w:color w:val="auto"/>
                <w:highlight w:val="none"/>
                <w:lang w:val="en-US" w:eastAsia="zh-CN"/>
              </w:rPr>
              <w:t>核心产品</w:t>
            </w:r>
            <w:r>
              <w:rPr>
                <w:rFonts w:hint="eastAsia" w:ascii="仿宋_GB2312" w:hAnsi="仿宋_GB2312" w:eastAsia="仿宋_GB2312" w:cs="仿宋_GB2312"/>
                <w:b/>
                <w:bCs/>
                <w:color w:val="auto"/>
                <w:highlight w:val="none"/>
              </w:rPr>
              <w:t>款式结构</w:t>
            </w:r>
            <w:r>
              <w:rPr>
                <w:rFonts w:hint="eastAsia" w:ascii="仿宋_GB2312" w:hAnsi="仿宋_GB2312" w:eastAsia="仿宋_GB2312" w:cs="仿宋_GB2312"/>
                <w:b/>
                <w:bCs/>
                <w:color w:val="auto"/>
                <w:highlight w:val="none"/>
                <w:lang w:val="en-US" w:eastAsia="zh-CN"/>
              </w:rPr>
              <w:t>设计</w:t>
            </w:r>
            <w:r>
              <w:rPr>
                <w:rFonts w:hint="eastAsia" w:ascii="仿宋_GB2312" w:hAnsi="仿宋_GB2312" w:eastAsia="仿宋_GB2312" w:cs="仿宋_GB2312"/>
                <w:b/>
                <w:bCs/>
                <w:color w:val="auto"/>
                <w:highlight w:val="none"/>
              </w:rPr>
              <w:t>图；（3）</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产品详细的零部件</w:t>
            </w:r>
            <w:r>
              <w:rPr>
                <w:rFonts w:hint="eastAsia" w:ascii="仿宋_GB2312" w:hAnsi="仿宋_GB2312" w:eastAsia="仿宋_GB2312" w:cs="仿宋_GB2312"/>
                <w:b/>
                <w:bCs/>
                <w:color w:val="auto"/>
                <w:highlight w:val="none"/>
                <w:lang w:val="en-US" w:eastAsia="zh-CN"/>
              </w:rPr>
              <w:t>设计</w:t>
            </w:r>
            <w:r>
              <w:rPr>
                <w:rFonts w:hint="eastAsia" w:ascii="仿宋_GB2312" w:hAnsi="仿宋_GB2312" w:eastAsia="仿宋_GB2312" w:cs="仿宋_GB2312"/>
                <w:b/>
                <w:bCs/>
                <w:color w:val="auto"/>
                <w:highlight w:val="none"/>
              </w:rPr>
              <w:t>图；（</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核心产品</w:t>
            </w:r>
            <w:r>
              <w:rPr>
                <w:rFonts w:hint="eastAsia" w:ascii="仿宋_GB2312" w:hAnsi="仿宋_GB2312" w:eastAsia="仿宋_GB2312" w:cs="仿宋_GB2312"/>
                <w:b/>
                <w:bCs/>
                <w:color w:val="auto"/>
                <w:highlight w:val="none"/>
              </w:rPr>
              <w:t>安装分解图；（</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产品设计用材；（</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产品工件明细表（列明“自制件”、“外协件”、“外购件”）；（</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产品五金配件表等内容。</w:t>
            </w:r>
          </w:p>
          <w:p w14:paraId="74D45CAA">
            <w:pPr>
              <w:pStyle w:val="861"/>
              <w:spacing w:line="360" w:lineRule="auto"/>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2.未提供以上方案或提供的内容与本项目无关的得0分。</w:t>
            </w:r>
          </w:p>
        </w:tc>
        <w:tc>
          <w:tcPr>
            <w:tcW w:w="1291" w:type="dxa"/>
            <w:noWrap w:val="0"/>
            <w:vAlign w:val="center"/>
          </w:tcPr>
          <w:p w14:paraId="21FEE0D1">
            <w:pPr>
              <w:spacing w:line="360" w:lineRule="auto"/>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color w:val="auto"/>
                <w:szCs w:val="21"/>
                <w:highlight w:val="none"/>
                <w:lang w:val="en-US" w:eastAsia="zh-CN"/>
              </w:rPr>
              <w:t>16</w:t>
            </w:r>
          </w:p>
        </w:tc>
        <w:tc>
          <w:tcPr>
            <w:tcW w:w="1520" w:type="dxa"/>
            <w:noWrap w:val="0"/>
            <w:vAlign w:val="center"/>
          </w:tcPr>
          <w:p w14:paraId="16E52B27">
            <w:pPr>
              <w:spacing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产品设计方案</w:t>
            </w:r>
          </w:p>
        </w:tc>
      </w:tr>
      <w:tr w14:paraId="5B78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0" w:type="dxa"/>
            <w:noWrap w:val="0"/>
            <w:vAlign w:val="center"/>
          </w:tcPr>
          <w:p w14:paraId="0B98860C">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售后服务方案分</w:t>
            </w:r>
          </w:p>
        </w:tc>
        <w:tc>
          <w:tcPr>
            <w:tcW w:w="1124" w:type="dxa"/>
            <w:noWrap w:val="0"/>
            <w:vAlign w:val="center"/>
          </w:tcPr>
          <w:p w14:paraId="6E20B4B8">
            <w:pPr>
              <w:widowControl/>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售后服务方案</w:t>
            </w:r>
          </w:p>
        </w:tc>
        <w:tc>
          <w:tcPr>
            <w:tcW w:w="5535" w:type="dxa"/>
            <w:noWrap w:val="0"/>
            <w:vAlign w:val="center"/>
          </w:tcPr>
          <w:p w14:paraId="3A20FD0C">
            <w:pPr>
              <w:pStyle w:val="859"/>
              <w:adjustRightInd w:val="0"/>
              <w:snapToGrid w:val="0"/>
              <w:spacing w:line="360" w:lineRule="auto"/>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在满足二档前提下，解决</w:t>
            </w:r>
            <w:r>
              <w:rPr>
                <w:rFonts w:hint="eastAsia" w:ascii="仿宋_GB2312" w:hAnsi="仿宋_GB2312" w:eastAsia="仿宋_GB2312" w:cs="仿宋_GB2312"/>
                <w:color w:val="auto"/>
                <w:highlight w:val="none"/>
                <w:lang w:val="en-US" w:eastAsia="zh-CN"/>
              </w:rPr>
              <w:t>损坏</w:t>
            </w:r>
            <w:r>
              <w:rPr>
                <w:rFonts w:hint="eastAsia" w:ascii="仿宋_GB2312" w:hAnsi="仿宋_GB2312" w:eastAsia="仿宋_GB2312" w:cs="仿宋_GB2312"/>
                <w:color w:val="auto"/>
                <w:highlight w:val="none"/>
              </w:rPr>
              <w:t>时间在2小时内，发生</w:t>
            </w:r>
            <w:r>
              <w:rPr>
                <w:rFonts w:hint="eastAsia" w:ascii="仿宋_GB2312" w:hAnsi="仿宋_GB2312" w:eastAsia="仿宋_GB2312" w:cs="仿宋_GB2312"/>
                <w:color w:val="auto"/>
                <w:highlight w:val="none"/>
                <w:lang w:val="en-US" w:eastAsia="zh-CN"/>
              </w:rPr>
              <w:t>严重损坏</w:t>
            </w:r>
            <w:r>
              <w:rPr>
                <w:rFonts w:hint="eastAsia" w:ascii="仿宋_GB2312" w:hAnsi="仿宋_GB2312" w:eastAsia="仿宋_GB2312" w:cs="仿宋_GB2312"/>
                <w:color w:val="auto"/>
                <w:highlight w:val="none"/>
              </w:rPr>
              <w:t>随时有替代产品，定期回访，有可靠的售后服务技术支持，详细的售后维护方式和售后保障能力，常用的、易损坏的备品备件及易损件配备的齐全，有完善预警、备件管理以及售后服务跟踪式服务措施等。</w:t>
            </w:r>
          </w:p>
          <w:p w14:paraId="525BA8F5">
            <w:pPr>
              <w:pStyle w:val="859"/>
              <w:adjustRightInd w:val="0"/>
              <w:snapToGrid w:val="0"/>
              <w:spacing w:line="360" w:lineRule="auto"/>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售后服务承诺书内容详细具体；解决事故时间在4小时内，损坏出现解决方案可靠，定期维护方式方法合理，有完整的免费技术培训方案、保修期外维修方案；有完善的售后服务措施；对售后服务应急预案、其他优惠措施等方面都有描述，可操作性强。</w:t>
            </w:r>
          </w:p>
          <w:p w14:paraId="5628AD9B">
            <w:pPr>
              <w:pStyle w:val="859"/>
              <w:adjustRightInd w:val="0"/>
              <w:snapToGrid w:val="0"/>
              <w:spacing w:line="360" w:lineRule="auto"/>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售后服务承诺书内容完整；解决</w:t>
            </w:r>
            <w:r>
              <w:rPr>
                <w:rFonts w:hint="eastAsia" w:ascii="仿宋_GB2312" w:hAnsi="仿宋_GB2312" w:eastAsia="仿宋_GB2312" w:cs="仿宋_GB2312"/>
                <w:color w:val="auto"/>
                <w:highlight w:val="none"/>
                <w:lang w:val="en-US" w:eastAsia="zh-CN"/>
              </w:rPr>
              <w:t>损坏</w:t>
            </w:r>
            <w:r>
              <w:rPr>
                <w:rFonts w:hint="eastAsia" w:ascii="仿宋_GB2312" w:hAnsi="仿宋_GB2312" w:eastAsia="仿宋_GB2312" w:cs="仿宋_GB2312"/>
                <w:color w:val="auto"/>
                <w:highlight w:val="none"/>
              </w:rPr>
              <w:t>时间在6小时内，出现</w:t>
            </w:r>
            <w:r>
              <w:rPr>
                <w:rFonts w:hint="eastAsia" w:ascii="仿宋_GB2312" w:hAnsi="仿宋_GB2312" w:eastAsia="仿宋_GB2312" w:cs="仿宋_GB2312"/>
                <w:color w:val="auto"/>
                <w:highlight w:val="none"/>
                <w:lang w:val="en-US" w:eastAsia="zh-CN"/>
              </w:rPr>
              <w:t>严重损坏</w:t>
            </w:r>
            <w:r>
              <w:rPr>
                <w:rFonts w:hint="eastAsia" w:ascii="仿宋_GB2312" w:hAnsi="仿宋_GB2312" w:eastAsia="仿宋_GB2312" w:cs="仿宋_GB2312"/>
                <w:color w:val="auto"/>
                <w:highlight w:val="none"/>
              </w:rPr>
              <w:t>解决方案可靠，定期维护方式方法合理，有完整的免费技术培训方案、保修期外维修方案；有售后服务能力措施</w:t>
            </w:r>
            <w:r>
              <w:rPr>
                <w:rFonts w:hint="eastAsia" w:ascii="仿宋_GB2312" w:hAnsi="仿宋_GB2312" w:eastAsia="仿宋_GB2312" w:cs="仿宋_GB2312"/>
                <w:color w:val="auto"/>
                <w:highlight w:val="none"/>
                <w:lang w:eastAsia="zh-CN"/>
              </w:rPr>
              <w:t>。</w:t>
            </w:r>
          </w:p>
          <w:p w14:paraId="54A270E6">
            <w:pPr>
              <w:pStyle w:val="859"/>
              <w:adjustRightInd w:val="0"/>
              <w:snapToGrid w:val="0"/>
              <w:spacing w:line="360" w:lineRule="auto"/>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四档（</w:t>
            </w:r>
            <w:r>
              <w:rPr>
                <w:rFonts w:hint="eastAsia" w:ascii="仿宋_GB2312" w:hAnsi="仿宋_GB2312" w:eastAsia="仿宋_GB2312" w:cs="仿宋_GB2312"/>
                <w:b/>
                <w:bCs/>
                <w:color w:val="auto"/>
                <w:highlight w:val="none"/>
                <w:lang w:val="en-US" w:eastAsia="zh-CN"/>
              </w:rPr>
              <w:t>1</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有售后服务承诺书；基本满足招标文件的要求，有</w:t>
            </w:r>
            <w:r>
              <w:rPr>
                <w:rFonts w:hint="eastAsia" w:ascii="仿宋_GB2312" w:hAnsi="仿宋_GB2312" w:eastAsia="仿宋_GB2312" w:cs="仿宋_GB2312"/>
                <w:color w:val="auto"/>
                <w:highlight w:val="none"/>
                <w:lang w:val="en-US" w:eastAsia="zh-CN"/>
              </w:rPr>
              <w:t>损坏</w:t>
            </w:r>
            <w:r>
              <w:rPr>
                <w:rFonts w:hint="eastAsia" w:ascii="仿宋_GB2312" w:hAnsi="仿宋_GB2312" w:eastAsia="仿宋_GB2312" w:cs="仿宋_GB2312"/>
                <w:color w:val="auto"/>
                <w:highlight w:val="none"/>
              </w:rPr>
              <w:t>出现解决方案，有技术培训方案、保修期外维修方案。</w:t>
            </w:r>
          </w:p>
          <w:p w14:paraId="7049291A">
            <w:pPr>
              <w:pStyle w:val="859"/>
              <w:adjustRightInd w:val="0"/>
              <w:snapToGrid w:val="0"/>
              <w:spacing w:line="360" w:lineRule="auto"/>
              <w:ind w:firstLine="422" w:firstLineChars="200"/>
              <w:rPr>
                <w:rFonts w:ascii="仿宋_GB2312" w:hAnsi="仿宋_GB2312" w:cs="仿宋_GB2312"/>
                <w:color w:val="auto"/>
                <w:highlight w:val="none"/>
              </w:rPr>
            </w:pPr>
            <w:r>
              <w:rPr>
                <w:rFonts w:hint="eastAsia" w:ascii="仿宋_GB2312" w:eastAsia="仿宋_GB2312"/>
                <w:b/>
                <w:bCs/>
                <w:color w:val="auto"/>
                <w:highlight w:val="none"/>
              </w:rPr>
              <w:t>注：1</w:t>
            </w:r>
            <w:r>
              <w:rPr>
                <w:rFonts w:ascii="仿宋_GB2312" w:eastAsia="仿宋_GB2312"/>
                <w:b/>
                <w:bCs/>
                <w:color w:val="auto"/>
                <w:highlight w:val="none"/>
              </w:rPr>
              <w:t>.</w:t>
            </w:r>
            <w:r>
              <w:rPr>
                <w:rFonts w:hint="eastAsia" w:ascii="仿宋_GB2312" w:eastAsia="仿宋_GB2312"/>
                <w:b/>
                <w:bCs/>
                <w:color w:val="auto"/>
                <w:highlight w:val="none"/>
              </w:rPr>
              <w:t>该方案内容可包括：</w:t>
            </w:r>
            <w:r>
              <w:rPr>
                <w:rFonts w:hint="eastAsia" w:ascii="仿宋_GB2312" w:hAnsi="仿宋_GB2312" w:eastAsia="仿宋_GB2312" w:cs="仿宋_GB2312"/>
                <w:b/>
                <w:bCs/>
                <w:color w:val="auto"/>
                <w:highlight w:val="none"/>
              </w:rPr>
              <w:t>（1）售后服务承诺书；（2）到达损坏现场时间；（3）损坏出现解决方案；（4）免费技术培训方案；（5）保修期外维修方案；（6）售后服务措施；（</w:t>
            </w:r>
            <w:r>
              <w:rPr>
                <w:rFonts w:ascii="仿宋_GB2312" w:hAnsi="仿宋_GB2312" w:eastAsia="仿宋_GB2312" w:cs="仿宋_GB2312"/>
                <w:b/>
                <w:bCs/>
                <w:color w:val="auto"/>
                <w:highlight w:val="none"/>
              </w:rPr>
              <w:t>7</w:t>
            </w:r>
            <w:r>
              <w:rPr>
                <w:rFonts w:hint="eastAsia" w:ascii="仿宋_GB2312" w:hAnsi="仿宋_GB2312" w:eastAsia="仿宋_GB2312" w:cs="仿宋_GB2312"/>
                <w:b/>
                <w:bCs/>
                <w:color w:val="auto"/>
                <w:highlight w:val="none"/>
              </w:rPr>
              <w:t>）售后服务专用车辆；（</w:t>
            </w:r>
            <w:r>
              <w:rPr>
                <w:rFonts w:ascii="仿宋_GB2312" w:hAnsi="仿宋_GB2312" w:eastAsia="仿宋_GB2312" w:cs="仿宋_GB2312"/>
                <w:b/>
                <w:bCs/>
                <w:color w:val="auto"/>
                <w:highlight w:val="none"/>
              </w:rPr>
              <w:t>8</w:t>
            </w:r>
            <w:r>
              <w:rPr>
                <w:rFonts w:hint="eastAsia" w:ascii="仿宋_GB2312" w:hAnsi="仿宋_GB2312" w:eastAsia="仿宋_GB2312" w:cs="仿宋_GB2312"/>
                <w:b/>
                <w:bCs/>
                <w:color w:val="auto"/>
                <w:highlight w:val="none"/>
              </w:rPr>
              <w:t>）应急预案；（</w:t>
            </w:r>
            <w:r>
              <w:rPr>
                <w:rFonts w:ascii="仿宋_GB2312" w:hAnsi="仿宋_GB2312" w:eastAsia="仿宋_GB2312" w:cs="仿宋_GB2312"/>
                <w:b/>
                <w:bCs/>
                <w:color w:val="auto"/>
                <w:highlight w:val="none"/>
              </w:rPr>
              <w:t>9</w:t>
            </w:r>
            <w:r>
              <w:rPr>
                <w:rFonts w:hint="eastAsia" w:ascii="仿宋_GB2312" w:hAnsi="仿宋_GB2312" w:eastAsia="仿宋_GB2312" w:cs="仿宋_GB2312"/>
                <w:b/>
                <w:bCs/>
                <w:color w:val="auto"/>
                <w:highlight w:val="none"/>
              </w:rPr>
              <w:t>）其他优惠措施等内容。</w:t>
            </w:r>
          </w:p>
          <w:p w14:paraId="33A49822">
            <w:pPr>
              <w:spacing w:line="380" w:lineRule="exact"/>
              <w:ind w:firstLine="422" w:firstLineChars="200"/>
              <w:rPr>
                <w:rFonts w:ascii="仿宋_GB2312" w:hAnsi="仿宋_GB2312" w:eastAsia="仿宋_GB2312" w:cs="仿宋_GB2312"/>
                <w:color w:val="auto"/>
                <w:highlight w:val="none"/>
              </w:rPr>
            </w:pPr>
            <w:r>
              <w:rPr>
                <w:rFonts w:ascii="仿宋_GB2312" w:hAnsi="仿宋_GB2312" w:eastAsia="仿宋_GB2312" w:cs="仿宋_GB2312"/>
                <w:b/>
                <w:bCs/>
                <w:color w:val="auto"/>
                <w:highlight w:val="none"/>
              </w:rPr>
              <w:t>2.未提供</w:t>
            </w:r>
            <w:r>
              <w:rPr>
                <w:rFonts w:hint="eastAsia" w:ascii="仿宋_GB2312" w:hAnsi="仿宋_GB2312" w:eastAsia="仿宋_GB2312" w:cs="仿宋_GB2312"/>
                <w:b/>
                <w:bCs/>
                <w:color w:val="auto"/>
                <w:highlight w:val="none"/>
              </w:rPr>
              <w:t>以上</w:t>
            </w:r>
            <w:r>
              <w:rPr>
                <w:rFonts w:ascii="仿宋_GB2312" w:hAnsi="仿宋_GB2312" w:eastAsia="仿宋_GB2312" w:cs="仿宋_GB2312"/>
                <w:b/>
                <w:bCs/>
                <w:color w:val="auto"/>
                <w:highlight w:val="none"/>
              </w:rPr>
              <w:t>方案或提供的内容与本项目无关的得0分。</w:t>
            </w:r>
          </w:p>
        </w:tc>
        <w:tc>
          <w:tcPr>
            <w:tcW w:w="1291" w:type="dxa"/>
            <w:noWrap w:val="0"/>
            <w:vAlign w:val="center"/>
          </w:tcPr>
          <w:p w14:paraId="33D52229">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520" w:type="dxa"/>
            <w:noWrap w:val="0"/>
            <w:vAlign w:val="center"/>
          </w:tcPr>
          <w:p w14:paraId="14598A37">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售后服务方案</w:t>
            </w:r>
          </w:p>
        </w:tc>
      </w:tr>
      <w:tr w14:paraId="3254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9" w:type="dxa"/>
            <w:gridSpan w:val="3"/>
            <w:noWrap w:val="0"/>
            <w:vAlign w:val="center"/>
          </w:tcPr>
          <w:p w14:paraId="772F7030">
            <w:pPr>
              <w:spacing w:line="400" w:lineRule="exact"/>
              <w:ind w:firstLine="422" w:firstLineChars="200"/>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主观分总分</w:t>
            </w:r>
          </w:p>
        </w:tc>
        <w:tc>
          <w:tcPr>
            <w:tcW w:w="1291" w:type="dxa"/>
            <w:noWrap w:val="0"/>
            <w:vAlign w:val="center"/>
          </w:tcPr>
          <w:p w14:paraId="3BD1D773">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42</w:t>
            </w:r>
          </w:p>
        </w:tc>
        <w:tc>
          <w:tcPr>
            <w:tcW w:w="1520" w:type="dxa"/>
            <w:noWrap w:val="0"/>
            <w:vAlign w:val="center"/>
          </w:tcPr>
          <w:p w14:paraId="5A1A8839">
            <w:pPr>
              <w:spacing w:line="360" w:lineRule="exact"/>
              <w:jc w:val="center"/>
              <w:rPr>
                <w:rFonts w:ascii="仿宋_GB2312" w:hAnsi="仿宋_GB2312" w:eastAsia="仿宋_GB2312" w:cs="仿宋_GB2312"/>
                <w:color w:val="auto"/>
                <w:highlight w:val="none"/>
              </w:rPr>
            </w:pPr>
          </w:p>
        </w:tc>
      </w:tr>
    </w:tbl>
    <w:p w14:paraId="40D563A7">
      <w:pPr>
        <w:widowControl/>
        <w:adjustRightInd w:val="0"/>
        <w:spacing w:line="440" w:lineRule="exact"/>
        <w:ind w:right="-1" w:firstLine="141" w:firstLineChars="59"/>
        <w:textAlignment w:val="baseline"/>
        <w:rPr>
          <w:rFonts w:ascii="仿宋_GB2312" w:eastAsia="仿宋_GB2312"/>
          <w:bCs/>
          <w:color w:val="auto"/>
          <w:sz w:val="24"/>
        </w:rPr>
      </w:pPr>
    </w:p>
    <w:p w14:paraId="2193A733">
      <w:pPr>
        <w:spacing w:line="390" w:lineRule="exact"/>
        <w:ind w:right="-168" w:rightChars="-80" w:firstLine="236" w:firstLineChars="98"/>
        <w:rPr>
          <w:rFonts w:ascii="仿宋_GB2312" w:eastAsia="仿宋_GB2312"/>
          <w:b/>
          <w:color w:val="auto"/>
          <w:sz w:val="24"/>
        </w:rPr>
      </w:pPr>
      <w:r>
        <w:rPr>
          <w:rFonts w:hint="eastAsia" w:ascii="仿宋_GB2312" w:eastAsia="仿宋_GB2312"/>
          <w:b/>
          <w:color w:val="auto"/>
          <w:sz w:val="24"/>
        </w:rPr>
        <w:t>（三）总得分=客观分+主观分</w:t>
      </w:r>
    </w:p>
    <w:p w14:paraId="3A879E8F">
      <w:pPr>
        <w:adjustRightInd w:val="0"/>
        <w:spacing w:line="400" w:lineRule="exact"/>
        <w:ind w:firstLine="482" w:firstLineChars="200"/>
        <w:jc w:val="left"/>
        <w:textAlignment w:val="baseline"/>
        <w:rPr>
          <w:rFonts w:hint="eastAsia" w:ascii="仿宋_GB2312" w:hAnsi="宋体" w:eastAsia="仿宋_GB2312"/>
          <w:b/>
          <w:color w:val="auto"/>
          <w:kern w:val="0"/>
          <w:sz w:val="24"/>
        </w:rPr>
      </w:pPr>
      <w:r>
        <w:rPr>
          <w:rFonts w:hint="eastAsia" w:ascii="仿宋_GB2312" w:hAnsi="宋体" w:eastAsia="仿宋_GB2312"/>
          <w:b/>
          <w:color w:val="auto"/>
          <w:kern w:val="0"/>
          <w:sz w:val="24"/>
        </w:rPr>
        <w:t>三、中标标准及中标候选人推荐原则</w:t>
      </w:r>
    </w:p>
    <w:p w14:paraId="54C4DA8D">
      <w:pPr>
        <w:adjustRightInd w:val="0"/>
        <w:spacing w:line="400" w:lineRule="exact"/>
        <w:ind w:firstLine="482" w:firstLineChars="200"/>
        <w:jc w:val="left"/>
        <w:textAlignment w:val="baseline"/>
        <w:rPr>
          <w:rFonts w:hint="eastAsia" w:ascii="仿宋_GB2312" w:hAnsi="宋体" w:eastAsia="仿宋_GB2312"/>
          <w:b/>
          <w:color w:val="auto"/>
          <w:kern w:val="0"/>
          <w:sz w:val="24"/>
        </w:rPr>
      </w:pPr>
      <w:r>
        <w:rPr>
          <w:rFonts w:hint="eastAsia" w:ascii="仿宋_GB2312" w:hAnsi="宋体" w:eastAsia="仿宋_GB2312"/>
          <w:b/>
          <w:color w:val="auto"/>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采购人或采购代理机构应将该情况报政府采购监督管理部门，从合格的中标候选人中另行确定中标人或重新开展政府采购活动。</w:t>
      </w:r>
    </w:p>
    <w:p w14:paraId="5445D154">
      <w:pPr>
        <w:adjustRightInd w:val="0"/>
        <w:spacing w:line="400" w:lineRule="exact"/>
        <w:ind w:firstLine="482" w:firstLineChars="200"/>
        <w:jc w:val="left"/>
        <w:textAlignment w:val="baseline"/>
        <w:rPr>
          <w:rFonts w:hint="eastAsia" w:ascii="仿宋_GB2312" w:hAnsi="宋体" w:eastAsia="仿宋_GB2312"/>
          <w:b/>
          <w:bCs/>
          <w:color w:val="auto"/>
          <w:sz w:val="24"/>
        </w:rPr>
      </w:pPr>
      <w:r>
        <w:rPr>
          <w:rFonts w:hint="eastAsia" w:ascii="仿宋_GB2312" w:hAnsi="宋体" w:eastAsia="仿宋_GB2312"/>
          <w:b/>
          <w:color w:val="auto"/>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color w:val="auto"/>
          <w:sz w:val="24"/>
        </w:rPr>
        <w:t>。</w:t>
      </w:r>
    </w:p>
    <w:p w14:paraId="21E616D0">
      <w:pPr>
        <w:adjustRightInd w:val="0"/>
        <w:spacing w:line="400" w:lineRule="exact"/>
        <w:ind w:firstLine="482" w:firstLineChars="200"/>
        <w:jc w:val="left"/>
        <w:textAlignment w:val="baseline"/>
        <w:rPr>
          <w:rFonts w:hint="eastAsia" w:ascii="仿宋_GB2312" w:hAnsi="宋体" w:eastAsia="仿宋_GB2312"/>
          <w:b/>
          <w:bCs/>
          <w:color w:val="auto"/>
          <w:sz w:val="24"/>
        </w:rPr>
      </w:pPr>
    </w:p>
    <w:p w14:paraId="70E8E855">
      <w:pPr>
        <w:rPr>
          <w:color w:val="auto"/>
        </w:rPr>
      </w:pPr>
    </w:p>
    <w:p w14:paraId="4ACFC625">
      <w:pPr>
        <w:tabs>
          <w:tab w:val="left" w:pos="3055"/>
        </w:tabs>
        <w:jc w:val="left"/>
        <w:rPr>
          <w:rFonts w:hint="eastAsia" w:hAnsi="宋体"/>
          <w:b/>
          <w:bCs/>
          <w:color w:val="auto"/>
        </w:rPr>
        <w:sectPr>
          <w:pgSz w:w="11906" w:h="16838"/>
          <w:pgMar w:top="1440" w:right="566" w:bottom="1440" w:left="851" w:header="851" w:footer="992" w:gutter="0"/>
          <w:cols w:space="720" w:num="1"/>
          <w:docGrid w:linePitch="312" w:charSpace="0"/>
        </w:sectPr>
      </w:pPr>
    </w:p>
    <w:p w14:paraId="777B5D37">
      <w:pPr>
        <w:tabs>
          <w:tab w:val="left" w:pos="3055"/>
        </w:tabs>
        <w:jc w:val="center"/>
        <w:rPr>
          <w:b/>
          <w:color w:val="auto"/>
          <w:sz w:val="30"/>
          <w:szCs w:val="30"/>
        </w:rPr>
      </w:pPr>
      <w:r>
        <w:rPr>
          <w:rFonts w:hint="eastAsia" w:ascii="宋体" w:hAnsi="宋体" w:cs="Courier New"/>
          <w:b/>
          <w:bCs/>
          <w:color w:val="auto"/>
          <w:sz w:val="32"/>
          <w:szCs w:val="32"/>
          <w:lang w:eastAsia="zh-CN"/>
        </w:rPr>
        <w:t>分标三</w:t>
      </w:r>
      <w:r>
        <w:rPr>
          <w:rFonts w:hint="eastAsia" w:ascii="宋体" w:hAnsi="宋体" w:cs="Courier New"/>
          <w:b/>
          <w:bCs/>
          <w:color w:val="auto"/>
          <w:sz w:val="32"/>
          <w:szCs w:val="32"/>
        </w:rPr>
        <w:t>评标方法及评标标准</w:t>
      </w:r>
    </w:p>
    <w:p w14:paraId="35B01DB4">
      <w:pPr>
        <w:spacing w:line="390" w:lineRule="exact"/>
        <w:ind w:right="-168" w:rightChars="-80" w:firstLine="482" w:firstLineChars="200"/>
        <w:rPr>
          <w:rFonts w:ascii="仿宋_GB2312" w:eastAsia="仿宋_GB2312"/>
          <w:b/>
          <w:bCs/>
          <w:color w:val="auto"/>
          <w:sz w:val="24"/>
        </w:rPr>
      </w:pPr>
      <w:r>
        <w:rPr>
          <w:rFonts w:hint="eastAsia" w:ascii="仿宋_GB2312" w:eastAsia="仿宋_GB2312"/>
          <w:b/>
          <w:bCs/>
          <w:color w:val="auto"/>
          <w:sz w:val="24"/>
        </w:rPr>
        <w:t>一、评标原则</w:t>
      </w:r>
    </w:p>
    <w:p w14:paraId="1EF812C0">
      <w:pPr>
        <w:spacing w:line="390" w:lineRule="exact"/>
        <w:ind w:right="-168" w:rightChars="-80"/>
        <w:rPr>
          <w:rFonts w:ascii="仿宋_GB2312" w:eastAsia="仿宋_GB2312"/>
          <w:color w:val="auto"/>
          <w:sz w:val="24"/>
        </w:rPr>
      </w:pPr>
      <w:r>
        <w:rPr>
          <w:rFonts w:hint="eastAsia" w:ascii="仿宋_GB2312" w:eastAsia="仿宋_GB2312"/>
          <w:color w:val="auto"/>
          <w:sz w:val="24"/>
        </w:rPr>
        <w:t xml:space="preserve">    （一）评委构成：本招标采购项目的评委分别由依法组成的评审专家、采购人代表共五人或以上单数构成，其中专家人数不少于评标委员会成员总数的三分之二。</w:t>
      </w:r>
    </w:p>
    <w:p w14:paraId="2187B3DF">
      <w:pPr>
        <w:spacing w:line="390" w:lineRule="exact"/>
        <w:ind w:right="-168" w:rightChars="-80" w:firstLine="435"/>
        <w:rPr>
          <w:rFonts w:ascii="仿宋_GB2312" w:eastAsia="仿宋_GB2312"/>
          <w:b/>
          <w:color w:val="auto"/>
          <w:sz w:val="24"/>
        </w:rPr>
      </w:pPr>
      <w:r>
        <w:rPr>
          <w:rFonts w:hint="eastAsia" w:ascii="仿宋_GB2312" w:eastAsia="仿宋_GB2312"/>
          <w:b/>
          <w:color w:val="auto"/>
          <w:sz w:val="24"/>
        </w:rPr>
        <w:t>（二）评标依据：评委将以招投标文件为评标依据，对投标人的价格、技术、信誉、业绩等方面按百分制打分。</w:t>
      </w:r>
    </w:p>
    <w:p w14:paraId="355DF414">
      <w:pPr>
        <w:spacing w:line="390" w:lineRule="exact"/>
        <w:ind w:right="-168" w:rightChars="-80" w:firstLine="435"/>
        <w:rPr>
          <w:rFonts w:ascii="仿宋_GB2312" w:eastAsia="仿宋_GB2312"/>
          <w:color w:val="auto"/>
          <w:sz w:val="24"/>
        </w:rPr>
      </w:pPr>
      <w:r>
        <w:rPr>
          <w:rFonts w:hint="eastAsia" w:ascii="仿宋_GB2312" w:eastAsia="仿宋_GB2312"/>
          <w:color w:val="auto"/>
          <w:sz w:val="24"/>
        </w:rPr>
        <w:t>（三）评标方式：以封闭方式进行。</w:t>
      </w:r>
    </w:p>
    <w:p w14:paraId="288B6748">
      <w:pPr>
        <w:spacing w:line="390" w:lineRule="exact"/>
        <w:ind w:right="-168" w:rightChars="-80" w:firstLine="435"/>
        <w:rPr>
          <w:rFonts w:ascii="仿宋_GB2312" w:eastAsia="仿宋_GB2312"/>
          <w:color w:val="auto"/>
          <w:sz w:val="24"/>
        </w:rPr>
      </w:pPr>
      <w:r>
        <w:rPr>
          <w:rFonts w:hint="eastAsia" w:ascii="仿宋_GB2312" w:eastAsia="仿宋_GB2312"/>
          <w:color w:val="auto"/>
          <w:sz w:val="24"/>
        </w:rPr>
        <w:t>（四）评标委员会认为投标人的报价明显低于其他通过符合性审查投标人的报价，有可能影响产品质量或者不能诚信履约的，</w:t>
      </w:r>
      <w:r>
        <w:rPr>
          <w:rFonts w:hint="eastAsia" w:ascii="仿宋_GB2312" w:eastAsia="仿宋_GB2312" w:cs="Courier New"/>
          <w:color w:val="auto"/>
          <w:sz w:val="24"/>
        </w:rPr>
        <w:t>应当通过广西政府采购云平台发起询标函，要求其在评标现场合理的时间内通过广西政府采购云平台提供书面说明</w:t>
      </w:r>
      <w:r>
        <w:rPr>
          <w:rFonts w:hint="eastAsia" w:ascii="仿宋_GB2312" w:eastAsia="仿宋_GB2312"/>
          <w:color w:val="auto"/>
          <w:sz w:val="24"/>
        </w:rPr>
        <w:t xml:space="preserve">，必要时提交相关证明材料；投标人不能证明其报价合理性的，评标委员会应当将其作为无效投标处理。     </w:t>
      </w:r>
    </w:p>
    <w:p w14:paraId="12C54951">
      <w:pPr>
        <w:spacing w:line="390" w:lineRule="exact"/>
        <w:ind w:right="-168" w:rightChars="-80" w:firstLine="435"/>
        <w:rPr>
          <w:rFonts w:ascii="仿宋_GB2312" w:eastAsia="仿宋_GB2312"/>
          <w:b/>
          <w:bCs/>
          <w:color w:val="auto"/>
          <w:sz w:val="24"/>
        </w:rPr>
      </w:pPr>
      <w:r>
        <w:rPr>
          <w:rFonts w:hint="eastAsia" w:ascii="仿宋_GB2312" w:eastAsia="仿宋_GB2312"/>
          <w:b/>
          <w:bCs/>
          <w:color w:val="auto"/>
          <w:sz w:val="24"/>
        </w:rPr>
        <w:t>二、评标方法</w:t>
      </w:r>
      <w:r>
        <w:rPr>
          <w:rFonts w:ascii="仿宋_GB2312" w:eastAsia="仿宋_GB2312"/>
          <w:b/>
          <w:bCs/>
          <w:color w:val="auto"/>
          <w:sz w:val="24"/>
        </w:rPr>
        <w:tab/>
      </w:r>
    </w:p>
    <w:p w14:paraId="271A0827">
      <w:pPr>
        <w:spacing w:line="390" w:lineRule="exact"/>
        <w:ind w:right="-168" w:rightChars="-80" w:firstLine="435"/>
        <w:rPr>
          <w:rFonts w:ascii="仿宋_GB2312" w:eastAsia="仿宋_GB2312"/>
          <w:color w:val="auto"/>
          <w:sz w:val="24"/>
        </w:rPr>
      </w:pPr>
      <w:r>
        <w:rPr>
          <w:rFonts w:hint="eastAsia" w:ascii="仿宋_GB2312" w:eastAsia="仿宋_GB2312"/>
          <w:color w:val="auto"/>
          <w:sz w:val="24"/>
        </w:rPr>
        <w:t>（一）对进入详评的，采用百分制综合评分法。</w:t>
      </w:r>
    </w:p>
    <w:p w14:paraId="270688D4">
      <w:pPr>
        <w:spacing w:line="400" w:lineRule="atLeast"/>
        <w:ind w:firstLine="480" w:firstLineChars="200"/>
        <w:jc w:val="left"/>
        <w:rPr>
          <w:rFonts w:hint="eastAsia" w:ascii="仿宋_GB2312" w:hAnsi="宋体" w:eastAsia="仿宋_GB2312"/>
          <w:color w:val="auto"/>
          <w:sz w:val="24"/>
        </w:rPr>
      </w:pPr>
      <w:r>
        <w:rPr>
          <w:rFonts w:hint="eastAsia" w:ascii="仿宋_GB2312" w:eastAsia="仿宋_GB2312"/>
          <w:color w:val="auto"/>
          <w:sz w:val="24"/>
        </w:rPr>
        <w:t>（二）计分办法（分值计算保留小数点后两位，第三位四舍五入）</w:t>
      </w:r>
      <w:r>
        <w:rPr>
          <w:rFonts w:hint="eastAsia" w:ascii="仿宋_GB2312" w:hAnsi="宋体" w:eastAsia="仿宋_GB2312"/>
          <w:color w:val="auto"/>
          <w:sz w:val="24"/>
        </w:rPr>
        <w:t>：</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701"/>
        <w:gridCol w:w="4999"/>
        <w:gridCol w:w="1059"/>
        <w:gridCol w:w="1306"/>
      </w:tblGrid>
      <w:tr w14:paraId="3F2A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04" w:type="dxa"/>
            <w:gridSpan w:val="5"/>
            <w:shd w:val="clear" w:color="auto" w:fill="D7D7D7"/>
            <w:noWrap w:val="0"/>
            <w:vAlign w:val="center"/>
          </w:tcPr>
          <w:p w14:paraId="525C3550">
            <w:pPr>
              <w:spacing w:line="360" w:lineRule="exact"/>
              <w:jc w:val="center"/>
              <w:rPr>
                <w:rFonts w:ascii="仿宋_GB2312" w:hAnsi="仿宋_GB2312" w:eastAsia="仿宋_GB2312" w:cs="仿宋_GB2312"/>
                <w:b/>
                <w:color w:val="auto"/>
                <w:highlight w:val="none"/>
              </w:rPr>
            </w:pPr>
            <w:r>
              <w:rPr>
                <w:rFonts w:hint="eastAsia" w:ascii="仿宋_GB2312" w:eastAsia="仿宋_GB2312"/>
                <w:b/>
                <w:color w:val="auto"/>
                <w:sz w:val="32"/>
                <w:highlight w:val="none"/>
              </w:rPr>
              <w:t>客观分</w:t>
            </w:r>
          </w:p>
        </w:tc>
      </w:tr>
      <w:tr w14:paraId="18F7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08562627">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701" w:type="dxa"/>
            <w:noWrap w:val="0"/>
            <w:vAlign w:val="center"/>
          </w:tcPr>
          <w:p w14:paraId="3CA8B0B6">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4999" w:type="dxa"/>
            <w:noWrap w:val="0"/>
            <w:vAlign w:val="center"/>
          </w:tcPr>
          <w:p w14:paraId="1D5D0C01">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059" w:type="dxa"/>
            <w:noWrap w:val="0"/>
            <w:vAlign w:val="center"/>
          </w:tcPr>
          <w:p w14:paraId="1B9E4D4E">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306" w:type="dxa"/>
            <w:noWrap w:val="0"/>
            <w:vAlign w:val="center"/>
          </w:tcPr>
          <w:p w14:paraId="566C13A5">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14:paraId="6AFA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739" w:type="dxa"/>
            <w:noWrap w:val="0"/>
            <w:vAlign w:val="center"/>
          </w:tcPr>
          <w:p w14:paraId="03E62A9E">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701" w:type="dxa"/>
            <w:noWrap w:val="0"/>
            <w:vAlign w:val="center"/>
          </w:tcPr>
          <w:p w14:paraId="18E08802">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4999" w:type="dxa"/>
            <w:noWrap w:val="0"/>
            <w:vAlign w:val="center"/>
          </w:tcPr>
          <w:p w14:paraId="1D59E34A">
            <w:pPr>
              <w:spacing w:line="44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1.满足招标文件要求且投标价格最低的投标报价为评标基准价，其投标人的报价分为最高分</w:t>
            </w:r>
            <w:r>
              <w:rPr>
                <w:rFonts w:ascii="仿宋_GB2312" w:hAnsi="仿宋_GB2312" w:eastAsia="仿宋_GB2312" w:cs="仿宋_GB2312"/>
                <w:color w:val="auto"/>
                <w:highlight w:val="none"/>
              </w:rPr>
              <w:t>30</w:t>
            </w:r>
            <w:r>
              <w:rPr>
                <w:rFonts w:hint="eastAsia" w:ascii="仿宋_GB2312" w:hAnsi="仿宋_GB2312" w:eastAsia="仿宋_GB2312" w:cs="仿宋_GB2312"/>
                <w:color w:val="auto"/>
                <w:highlight w:val="none"/>
              </w:rPr>
              <w:t>分；</w:t>
            </w:r>
          </w:p>
          <w:p w14:paraId="7EBC0B84">
            <w:pPr>
              <w:spacing w:line="44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2.其他投标人的报价得分按以下公式计算：</w:t>
            </w:r>
          </w:p>
          <w:p w14:paraId="2FFC20C4">
            <w:pPr>
              <w:spacing w:line="440" w:lineRule="exact"/>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报价得分=（评标基准价／某投标人投标报价）×</w:t>
            </w:r>
            <w:r>
              <w:rPr>
                <w:rFonts w:ascii="仿宋_GB2312" w:hAnsi="仿宋_GB2312" w:eastAsia="仿宋_GB2312" w:cs="仿宋_GB2312"/>
                <w:color w:val="auto"/>
                <w:highlight w:val="none"/>
              </w:rPr>
              <w:t>30</w:t>
            </w:r>
            <w:r>
              <w:rPr>
                <w:rFonts w:hint="eastAsia" w:ascii="仿宋_GB2312" w:hAnsi="仿宋_GB2312" w:eastAsia="仿宋_GB2312" w:cs="仿宋_GB2312"/>
                <w:color w:val="auto"/>
                <w:highlight w:val="none"/>
              </w:rPr>
              <w:t>分。</w:t>
            </w:r>
          </w:p>
          <w:p w14:paraId="63A26B32">
            <w:pPr>
              <w:spacing w:line="440" w:lineRule="exact"/>
              <w:ind w:firstLine="422" w:firstLineChars="200"/>
              <w:jc w:val="left"/>
              <w:rPr>
                <w:rFonts w:ascii="仿宋_GB2312" w:hAnsi="仿宋_GB2312" w:eastAsia="仿宋_GB2312" w:cs="仿宋_GB2312"/>
                <w:color w:val="auto"/>
                <w:highlight w:val="none"/>
              </w:rPr>
            </w:pPr>
            <w:r>
              <w:rPr>
                <w:rFonts w:hint="eastAsia" w:ascii="仿宋_GB2312" w:eastAsia="仿宋_GB2312"/>
                <w:b/>
                <w:bCs/>
                <w:color w:val="auto"/>
                <w:szCs w:val="21"/>
                <w:highlight w:val="none"/>
              </w:rPr>
              <w:t>注：专门面向中小企业采购的项目或者采购包，不再执行价格评审优惠的扶持政策。</w:t>
            </w:r>
          </w:p>
        </w:tc>
        <w:tc>
          <w:tcPr>
            <w:tcW w:w="1059" w:type="dxa"/>
            <w:noWrap w:val="0"/>
            <w:vAlign w:val="center"/>
          </w:tcPr>
          <w:p w14:paraId="0854120C">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30</w:t>
            </w:r>
          </w:p>
        </w:tc>
        <w:tc>
          <w:tcPr>
            <w:tcW w:w="1306" w:type="dxa"/>
            <w:noWrap w:val="0"/>
            <w:vAlign w:val="center"/>
          </w:tcPr>
          <w:p w14:paraId="0EC21B26">
            <w:pPr>
              <w:spacing w:line="360" w:lineRule="exact"/>
              <w:jc w:val="center"/>
              <w:rPr>
                <w:rFonts w:ascii="仿宋_GB2312" w:hAnsi="仿宋_GB2312" w:eastAsia="仿宋_GB2312" w:cs="仿宋_GB2312"/>
                <w:b/>
                <w:bCs/>
                <w:color w:val="auto"/>
                <w:highlight w:val="none"/>
              </w:rPr>
            </w:pPr>
          </w:p>
        </w:tc>
      </w:tr>
      <w:tr w14:paraId="7575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7CCB315E">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信誉分</w:t>
            </w:r>
          </w:p>
        </w:tc>
        <w:tc>
          <w:tcPr>
            <w:tcW w:w="701" w:type="dxa"/>
            <w:noWrap w:val="0"/>
            <w:vAlign w:val="center"/>
          </w:tcPr>
          <w:p w14:paraId="0C99CB8C">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4999" w:type="dxa"/>
            <w:noWrap w:val="0"/>
            <w:vAlign w:val="center"/>
          </w:tcPr>
          <w:p w14:paraId="3E66AC0C">
            <w:pPr>
              <w:spacing w:line="36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1.投标人或投标产品生产厂家具备有效的质量管理体系认证证书得0.5分，满分0.5分；  </w:t>
            </w:r>
          </w:p>
          <w:p w14:paraId="4095B00F">
            <w:pPr>
              <w:spacing w:line="36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2.投标人</w:t>
            </w:r>
            <w:r>
              <w:rPr>
                <w:rFonts w:hint="eastAsia" w:ascii="仿宋_GB2312" w:eastAsia="仿宋_GB2312"/>
                <w:color w:val="auto"/>
                <w:highlight w:val="none"/>
              </w:rPr>
              <w:t>或投标产品生产厂家</w:t>
            </w:r>
            <w:r>
              <w:rPr>
                <w:rFonts w:hint="eastAsia" w:ascii="仿宋_GB2312" w:hAnsi="仿宋_GB2312" w:eastAsia="仿宋_GB2312" w:cs="仿宋_GB2312"/>
                <w:color w:val="auto"/>
                <w:highlight w:val="none"/>
              </w:rPr>
              <w:t>具备有效的职业健康安全管理体系认证证书得0.5分，满分0.5分；</w:t>
            </w:r>
          </w:p>
          <w:p w14:paraId="50CD253E">
            <w:pPr>
              <w:spacing w:line="36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3.投标人</w:t>
            </w:r>
            <w:r>
              <w:rPr>
                <w:rFonts w:hint="eastAsia" w:ascii="仿宋_GB2312" w:eastAsia="仿宋_GB2312"/>
                <w:color w:val="auto"/>
                <w:highlight w:val="none"/>
              </w:rPr>
              <w:t>或投标产品生产厂家</w:t>
            </w:r>
            <w:r>
              <w:rPr>
                <w:rFonts w:hint="eastAsia" w:ascii="仿宋_GB2312" w:hAnsi="仿宋_GB2312" w:eastAsia="仿宋_GB2312" w:cs="仿宋_GB2312"/>
                <w:color w:val="auto"/>
                <w:highlight w:val="none"/>
              </w:rPr>
              <w:t>具备有效的环境管理体系认证证书得0.5分，满分0.5分；</w:t>
            </w:r>
          </w:p>
          <w:p w14:paraId="1C81B79A">
            <w:pPr>
              <w:spacing w:line="36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注：投标人提供证书材料并加盖投标人CA电子签章，否则不予计分。</w:t>
            </w:r>
          </w:p>
        </w:tc>
        <w:tc>
          <w:tcPr>
            <w:tcW w:w="1059" w:type="dxa"/>
            <w:noWrap w:val="0"/>
            <w:vAlign w:val="center"/>
          </w:tcPr>
          <w:p w14:paraId="7FE32198">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1.5</w:t>
            </w:r>
          </w:p>
        </w:tc>
        <w:tc>
          <w:tcPr>
            <w:tcW w:w="1306" w:type="dxa"/>
            <w:noWrap w:val="0"/>
            <w:vAlign w:val="center"/>
          </w:tcPr>
          <w:p w14:paraId="15A79678">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相关认证证书材料</w:t>
            </w:r>
          </w:p>
        </w:tc>
      </w:tr>
      <w:tr w14:paraId="192B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3517C029">
            <w:pPr>
              <w:spacing w:line="360" w:lineRule="exact"/>
              <w:jc w:val="center"/>
              <w:rPr>
                <w:rFonts w:ascii="仿宋_GB2312" w:hAnsi="仿宋_GB2312" w:eastAsia="仿宋_GB2312" w:cs="仿宋_GB2312"/>
                <w:b/>
                <w:color w:val="auto"/>
                <w:highlight w:val="none"/>
              </w:rPr>
            </w:pPr>
            <w:r>
              <w:rPr>
                <w:rFonts w:hint="eastAsia" w:ascii="仿宋_GB2312" w:hAnsi="宋体" w:eastAsia="仿宋_GB2312"/>
                <w:b/>
                <w:color w:val="auto"/>
                <w:highlight w:val="none"/>
              </w:rPr>
              <w:t>政策功能分</w:t>
            </w:r>
          </w:p>
        </w:tc>
        <w:tc>
          <w:tcPr>
            <w:tcW w:w="701" w:type="dxa"/>
            <w:noWrap w:val="0"/>
            <w:vAlign w:val="center"/>
          </w:tcPr>
          <w:p w14:paraId="37F30342">
            <w:pPr>
              <w:widowControl/>
              <w:spacing w:line="360" w:lineRule="exact"/>
              <w:jc w:val="center"/>
              <w:rPr>
                <w:rFonts w:ascii="仿宋_GB2312" w:hAnsi="仿宋_GB2312" w:eastAsia="仿宋_GB2312" w:cs="仿宋_GB2312"/>
                <w:b/>
                <w:color w:val="auto"/>
                <w:highlight w:val="none"/>
              </w:rPr>
            </w:pPr>
            <w:r>
              <w:rPr>
                <w:rFonts w:hint="eastAsia" w:ascii="仿宋_GB2312" w:hAnsi="宋体" w:eastAsia="仿宋_GB2312"/>
                <w:b/>
                <w:color w:val="auto"/>
                <w:highlight w:val="none"/>
              </w:rPr>
              <w:t>政策功能</w:t>
            </w:r>
          </w:p>
        </w:tc>
        <w:tc>
          <w:tcPr>
            <w:tcW w:w="4999" w:type="dxa"/>
            <w:noWrap w:val="0"/>
            <w:vAlign w:val="center"/>
          </w:tcPr>
          <w:p w14:paraId="0E2C96E9">
            <w:pPr>
              <w:spacing w:line="40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投标产品列入财政部、生态环境部制定和公布《环境标志产品政府采购清单》每有一项得0.5分，满分0.5分（投标人提供由国家确定的认证机构出具的、处于有效期之内的环境标志产品认证证书材料并加盖投标人</w:t>
            </w:r>
            <w:r>
              <w:rPr>
                <w:rFonts w:hint="eastAsia" w:ascii="仿宋_GB2312" w:hAnsi="仿宋_GB2312" w:eastAsia="仿宋_GB2312" w:cs="仿宋_GB2312"/>
                <w:bCs/>
                <w:color w:val="auto"/>
                <w:highlight w:val="none"/>
              </w:rPr>
              <w:t>CA电子签章</w:t>
            </w:r>
            <w:r>
              <w:rPr>
                <w:rFonts w:hint="eastAsia" w:ascii="仿宋_GB2312" w:hAnsi="仿宋_GB2312" w:eastAsia="仿宋_GB2312" w:cs="仿宋_GB2312"/>
                <w:color w:val="auto"/>
                <w:highlight w:val="none"/>
              </w:rPr>
              <w:t>，否则不予计分）。</w:t>
            </w:r>
          </w:p>
        </w:tc>
        <w:tc>
          <w:tcPr>
            <w:tcW w:w="1059" w:type="dxa"/>
            <w:noWrap w:val="0"/>
            <w:vAlign w:val="center"/>
          </w:tcPr>
          <w:p w14:paraId="4307AC82">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0.5</w:t>
            </w:r>
          </w:p>
        </w:tc>
        <w:tc>
          <w:tcPr>
            <w:tcW w:w="1306" w:type="dxa"/>
            <w:noWrap w:val="0"/>
            <w:vAlign w:val="center"/>
          </w:tcPr>
          <w:p w14:paraId="0927B721">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相关证明材料</w:t>
            </w:r>
          </w:p>
        </w:tc>
      </w:tr>
      <w:tr w14:paraId="7D0B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noWrap w:val="0"/>
            <w:vAlign w:val="center"/>
          </w:tcPr>
          <w:p w14:paraId="1B83AB41">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技术参数分</w:t>
            </w:r>
          </w:p>
        </w:tc>
        <w:tc>
          <w:tcPr>
            <w:tcW w:w="701" w:type="dxa"/>
            <w:noWrap w:val="0"/>
            <w:vAlign w:val="center"/>
          </w:tcPr>
          <w:p w14:paraId="7CE02D75">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重要指标</w:t>
            </w:r>
          </w:p>
        </w:tc>
        <w:tc>
          <w:tcPr>
            <w:tcW w:w="4999" w:type="dxa"/>
            <w:noWrap w:val="0"/>
            <w:vAlign w:val="center"/>
          </w:tcPr>
          <w:p w14:paraId="349EECEC">
            <w:pPr>
              <w:spacing w:line="40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所投标记“●”号产品材料带下划线“＿”的技术参数的检测结果能全部满足招标文件技术参数要求</w:t>
            </w:r>
            <w:r>
              <w:rPr>
                <w:rFonts w:hint="eastAsia" w:ascii="仿宋_GB2312" w:hAnsi="仿宋_GB2312" w:eastAsia="仿宋_GB2312" w:cs="仿宋_GB2312"/>
                <w:color w:val="auto"/>
                <w:kern w:val="2"/>
                <w:sz w:val="21"/>
                <w:highlight w:val="none"/>
              </w:rPr>
              <w:t>且至少有一个参数优于采购需求</w:t>
            </w:r>
            <w:r>
              <w:rPr>
                <w:rFonts w:hint="eastAsia" w:ascii="仿宋_GB2312" w:hAnsi="仿宋_GB2312" w:eastAsia="仿宋_GB2312" w:cs="仿宋_GB2312"/>
                <w:color w:val="auto"/>
                <w:highlight w:val="none"/>
              </w:rPr>
              <w:t>，每有一项得</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分，满分为</w:t>
            </w:r>
            <w:r>
              <w:rPr>
                <w:rFonts w:hint="eastAsia" w:ascii="仿宋_GB2312" w:hAnsi="仿宋_GB2312" w:eastAsia="仿宋_GB2312" w:cs="仿宋_GB2312"/>
                <w:color w:val="auto"/>
                <w:highlight w:val="none"/>
                <w:lang w:val="en-US" w:eastAsia="zh-CN"/>
              </w:rPr>
              <w:t>30</w:t>
            </w:r>
            <w:r>
              <w:rPr>
                <w:rFonts w:hint="eastAsia" w:ascii="仿宋_GB2312" w:hAnsi="仿宋_GB2312" w:eastAsia="仿宋_GB2312" w:cs="仿宋_GB2312"/>
                <w:color w:val="auto"/>
                <w:highlight w:val="none"/>
              </w:rPr>
              <w:t>分。</w:t>
            </w:r>
          </w:p>
          <w:p w14:paraId="007B28A1">
            <w:pPr>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 xml:space="preserve">不同货物相同材料的技术参数分别计分； </w:t>
            </w:r>
          </w:p>
          <w:p w14:paraId="3D675D22">
            <w:pPr>
              <w:spacing w:line="400" w:lineRule="exact"/>
              <w:ind w:firstLine="422" w:firstLineChars="200"/>
              <w:rPr>
                <w:rFonts w:ascii="Calibri" w:hAnsi="Calibri" w:eastAsia="仿宋_GB2312" w:cs="Calibri"/>
                <w:b/>
                <w:bCs/>
                <w:color w:val="auto"/>
                <w:highlight w:val="none"/>
              </w:rPr>
            </w:pPr>
            <w:r>
              <w:rPr>
                <w:rFonts w:hint="eastAsia" w:ascii="仿宋_GB2312" w:hAnsi="仿宋_GB2312" w:eastAsia="仿宋_GB2312" w:cs="仿宋_GB2312"/>
                <w:b/>
                <w:bCs/>
                <w:color w:val="auto"/>
                <w:highlight w:val="none"/>
              </w:rPr>
              <w:t>2.标记“●”号的技术参数为一项；</w:t>
            </w:r>
            <w:r>
              <w:rPr>
                <w:rFonts w:ascii="Calibri" w:hAnsi="Calibri" w:eastAsia="仿宋_GB2312" w:cs="Calibri"/>
                <w:b/>
                <w:bCs/>
                <w:color w:val="auto"/>
                <w:highlight w:val="none"/>
              </w:rPr>
              <w:t> </w:t>
            </w:r>
          </w:p>
          <w:p w14:paraId="29B1B11E">
            <w:pPr>
              <w:spacing w:line="400" w:lineRule="exact"/>
              <w:ind w:firstLine="422" w:firstLineChars="200"/>
              <w:rPr>
                <w:color w:val="auto"/>
                <w:highlight w:val="none"/>
              </w:rPr>
            </w:pPr>
            <w:r>
              <w:rPr>
                <w:rFonts w:hint="eastAsia" w:ascii="仿宋_GB2312" w:hAnsi="仿宋_GB2312" w:eastAsia="仿宋_GB2312" w:cs="仿宋_GB2312"/>
                <w:b/>
                <w:bCs/>
                <w:color w:val="auto"/>
                <w:highlight w:val="none"/>
              </w:rPr>
              <w:t>3.标记“●”号中带下划线</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所有的技术参数，投标人须提供20</w:t>
            </w:r>
            <w:r>
              <w:rPr>
                <w:rFonts w:hint="eastAsia" w:ascii="仿宋_GB2312" w:hAnsi="仿宋_GB2312" w:eastAsia="仿宋_GB2312" w:cs="仿宋_GB2312"/>
                <w:b/>
                <w:bCs/>
                <w:color w:val="auto"/>
                <w:highlight w:val="none"/>
                <w:lang w:val="en-US" w:eastAsia="zh-CN"/>
              </w:rPr>
              <w:t>20</w:t>
            </w:r>
            <w:r>
              <w:rPr>
                <w:rFonts w:hint="eastAsia" w:ascii="仿宋_GB2312" w:hAnsi="仿宋_GB2312" w:eastAsia="仿宋_GB2312" w:cs="仿宋_GB2312"/>
                <w:b/>
                <w:bCs/>
                <w:color w:val="auto"/>
                <w:highlight w:val="none"/>
              </w:rPr>
              <w:t>年以来</w:t>
            </w:r>
            <w:r>
              <w:rPr>
                <w:rFonts w:hint="eastAsia" w:ascii="仿宋_GB2312" w:hAnsi="仿宋_GB2312" w:eastAsia="仿宋_GB2312" w:cs="仿宋_GB2312"/>
                <w:b/>
                <w:bCs/>
                <w:color w:val="auto"/>
                <w:highlight w:val="none"/>
                <w:lang w:eastAsia="zh-CN"/>
              </w:rPr>
              <w:t>具有CMA标识的检测（检验）报告</w:t>
            </w:r>
            <w:r>
              <w:rPr>
                <w:rFonts w:hint="eastAsia" w:ascii="仿宋_GB2312" w:hAnsi="仿宋_GB2312" w:eastAsia="仿宋_GB2312" w:cs="仿宋_GB2312"/>
                <w:b/>
                <w:bCs/>
                <w:color w:val="auto"/>
                <w:highlight w:val="none"/>
              </w:rPr>
              <w:t>并加盖投标人CA电子签章，所提供的测报告内容应体现带下划线</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所有内容，如未提供检测报告或检测报告内容有缺项、漏项内容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无优于的</w:t>
            </w:r>
            <w:r>
              <w:rPr>
                <w:rFonts w:hint="eastAsia" w:ascii="仿宋_GB2312" w:hAnsi="仿宋_GB2312" w:eastAsia="仿宋_GB2312" w:cs="仿宋_GB2312"/>
                <w:b/>
                <w:bCs/>
                <w:color w:val="auto"/>
                <w:highlight w:val="none"/>
              </w:rPr>
              <w:t xml:space="preserve">，对应项不予计分。 </w:t>
            </w:r>
          </w:p>
        </w:tc>
        <w:tc>
          <w:tcPr>
            <w:tcW w:w="1059" w:type="dxa"/>
            <w:noWrap w:val="0"/>
            <w:vAlign w:val="center"/>
          </w:tcPr>
          <w:p w14:paraId="4BB6FB1E">
            <w:pPr>
              <w:spacing w:line="360" w:lineRule="exact"/>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highlight w:val="none"/>
                <w:lang w:val="en-US" w:eastAsia="zh-CN"/>
              </w:rPr>
              <w:t>30</w:t>
            </w:r>
          </w:p>
        </w:tc>
        <w:tc>
          <w:tcPr>
            <w:tcW w:w="1306" w:type="dxa"/>
            <w:noWrap w:val="0"/>
            <w:vAlign w:val="center"/>
          </w:tcPr>
          <w:p w14:paraId="2B217718">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技术响应表及相关证明材料</w:t>
            </w:r>
          </w:p>
        </w:tc>
      </w:tr>
      <w:tr w14:paraId="79F0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39" w:type="dxa"/>
            <w:gridSpan w:val="3"/>
            <w:noWrap w:val="0"/>
            <w:vAlign w:val="center"/>
          </w:tcPr>
          <w:p w14:paraId="4611156B">
            <w:pPr>
              <w:tabs>
                <w:tab w:val="left" w:pos="312"/>
              </w:tabs>
              <w:spacing w:line="400" w:lineRule="exact"/>
              <w:ind w:firstLine="422" w:firstLineChars="200"/>
              <w:jc w:val="center"/>
              <w:rPr>
                <w:rFonts w:ascii="仿宋_GB2312" w:hAnsi="仿宋_GB2312" w:eastAsia="仿宋_GB2312" w:cs="仿宋_GB2312"/>
                <w:color w:val="auto"/>
                <w:highlight w:val="none"/>
              </w:rPr>
            </w:pPr>
            <w:r>
              <w:rPr>
                <w:rFonts w:hint="eastAsia" w:ascii="仿宋_GB2312" w:hAnsi="宋体" w:eastAsia="仿宋_GB2312" w:cs="Courier New"/>
                <w:b/>
                <w:bCs/>
                <w:color w:val="auto"/>
                <w:szCs w:val="21"/>
                <w:highlight w:val="none"/>
              </w:rPr>
              <w:t>客观分总分</w:t>
            </w:r>
          </w:p>
        </w:tc>
        <w:tc>
          <w:tcPr>
            <w:tcW w:w="1059" w:type="dxa"/>
            <w:noWrap w:val="0"/>
            <w:vAlign w:val="center"/>
          </w:tcPr>
          <w:p w14:paraId="3229E620">
            <w:pPr>
              <w:spacing w:line="360" w:lineRule="exact"/>
              <w:jc w:val="center"/>
              <w:rPr>
                <w:rFonts w:hint="eastAsia" w:ascii="仿宋_GB2312" w:hAnsi="仿宋_GB2312" w:eastAsia="仿宋_GB2312" w:cs="仿宋_GB2312"/>
                <w:b/>
                <w:bCs/>
                <w:color w:val="auto"/>
                <w:highlight w:val="none"/>
                <w:lang w:eastAsia="zh-CN"/>
              </w:rPr>
            </w:pPr>
            <w:r>
              <w:rPr>
                <w:rFonts w:ascii="仿宋_GB2312" w:hAnsi="仿宋_GB2312" w:eastAsia="仿宋_GB2312" w:cs="仿宋_GB2312"/>
                <w:b/>
                <w:bCs/>
                <w:color w:val="auto"/>
                <w:highlight w:val="none"/>
              </w:rPr>
              <w:t>6</w:t>
            </w:r>
            <w:r>
              <w:rPr>
                <w:rFonts w:hint="eastAsia" w:ascii="仿宋_GB2312" w:hAnsi="仿宋_GB2312" w:eastAsia="仿宋_GB2312" w:cs="仿宋_GB2312"/>
                <w:b/>
                <w:bCs/>
                <w:color w:val="auto"/>
                <w:highlight w:val="none"/>
                <w:lang w:val="en-US" w:eastAsia="zh-CN"/>
              </w:rPr>
              <w:t>2</w:t>
            </w:r>
          </w:p>
        </w:tc>
        <w:tc>
          <w:tcPr>
            <w:tcW w:w="1306" w:type="dxa"/>
            <w:noWrap w:val="0"/>
            <w:vAlign w:val="center"/>
          </w:tcPr>
          <w:p w14:paraId="49931BFD">
            <w:pPr>
              <w:spacing w:line="360" w:lineRule="exact"/>
              <w:jc w:val="center"/>
              <w:rPr>
                <w:rFonts w:ascii="仿宋_GB2312" w:hAnsi="仿宋_GB2312" w:eastAsia="仿宋_GB2312" w:cs="仿宋_GB2312"/>
                <w:color w:val="auto"/>
                <w:highlight w:val="none"/>
              </w:rPr>
            </w:pPr>
          </w:p>
        </w:tc>
      </w:tr>
    </w:tbl>
    <w:p w14:paraId="50FA928E">
      <w:pPr>
        <w:pStyle w:val="857"/>
        <w:rPr>
          <w:rFonts w:ascii="仿宋_GB2312" w:eastAsia="仿宋_GB2312"/>
          <w:color w:val="auto"/>
          <w:sz w:val="24"/>
          <w:highlight w:val="none"/>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951"/>
        <w:gridCol w:w="4685"/>
        <w:gridCol w:w="1093"/>
        <w:gridCol w:w="1287"/>
      </w:tblGrid>
      <w:tr w14:paraId="1EB4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786" w:type="dxa"/>
            <w:gridSpan w:val="5"/>
            <w:shd w:val="clear" w:color="auto" w:fill="D7D7D7"/>
            <w:noWrap w:val="0"/>
            <w:vAlign w:val="center"/>
          </w:tcPr>
          <w:p w14:paraId="5D52D1D3">
            <w:pPr>
              <w:spacing w:line="360" w:lineRule="exact"/>
              <w:jc w:val="center"/>
              <w:rPr>
                <w:rFonts w:ascii="仿宋_GB2312" w:hAnsi="仿宋_GB2312" w:eastAsia="仿宋_GB2312" w:cs="仿宋_GB2312"/>
                <w:color w:val="auto"/>
                <w:highlight w:val="none"/>
              </w:rPr>
            </w:pPr>
            <w:r>
              <w:rPr>
                <w:rFonts w:hint="eastAsia" w:ascii="仿宋_GB2312" w:eastAsia="仿宋_GB2312"/>
                <w:b/>
                <w:color w:val="auto"/>
                <w:sz w:val="32"/>
                <w:highlight w:val="none"/>
              </w:rPr>
              <w:t>主观分</w:t>
            </w:r>
          </w:p>
        </w:tc>
      </w:tr>
      <w:tr w14:paraId="45D9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0" w:type="dxa"/>
            <w:noWrap w:val="0"/>
            <w:vAlign w:val="center"/>
          </w:tcPr>
          <w:p w14:paraId="1839D8C2">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951" w:type="dxa"/>
            <w:noWrap w:val="0"/>
            <w:vAlign w:val="center"/>
          </w:tcPr>
          <w:p w14:paraId="11E09836">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4685" w:type="dxa"/>
            <w:noWrap w:val="0"/>
            <w:vAlign w:val="center"/>
          </w:tcPr>
          <w:p w14:paraId="66A33596">
            <w:pPr>
              <w:spacing w:line="3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093" w:type="dxa"/>
            <w:noWrap w:val="0"/>
            <w:vAlign w:val="center"/>
          </w:tcPr>
          <w:p w14:paraId="2F5CEB3F">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287" w:type="dxa"/>
            <w:noWrap w:val="0"/>
            <w:vAlign w:val="center"/>
          </w:tcPr>
          <w:p w14:paraId="3683A1BA">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14:paraId="78CA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restart"/>
            <w:noWrap w:val="0"/>
            <w:vAlign w:val="center"/>
          </w:tcPr>
          <w:p w14:paraId="1A41C088">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项目实施方案分</w:t>
            </w:r>
          </w:p>
        </w:tc>
        <w:tc>
          <w:tcPr>
            <w:tcW w:w="951" w:type="dxa"/>
            <w:noWrap w:val="0"/>
            <w:vAlign w:val="center"/>
          </w:tcPr>
          <w:p w14:paraId="0402C4E3">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项目实施方案</w:t>
            </w:r>
          </w:p>
        </w:tc>
        <w:tc>
          <w:tcPr>
            <w:tcW w:w="4685" w:type="dxa"/>
            <w:noWrap w:val="0"/>
            <w:vAlign w:val="center"/>
          </w:tcPr>
          <w:p w14:paraId="4687D28A">
            <w:pPr>
              <w:spacing w:before="25" w:after="25" w:line="380" w:lineRule="exact"/>
              <w:ind w:firstLine="422"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b/>
                <w:bCs/>
                <w:color w:val="auto"/>
                <w:szCs w:val="21"/>
                <w:highlight w:val="none"/>
              </w:rPr>
              <w:t>一档</w:t>
            </w:r>
            <w:r>
              <w:rPr>
                <w:rFonts w:hint="eastAsia" w:ascii="仿宋_GB2312" w:hAnsi="仿宋_GB2312" w:eastAsia="仿宋_GB2312" w:cs="仿宋_GB2312"/>
                <w:b/>
                <w:bCs/>
                <w:color w:val="auto"/>
                <w:highlight w:val="none"/>
              </w:rPr>
              <w:t>（9分）：</w:t>
            </w:r>
            <w:r>
              <w:rPr>
                <w:rFonts w:hint="eastAsia" w:ascii="仿宋_GB2312" w:hAnsi="仿宋_GB2312" w:eastAsia="仿宋_GB2312" w:cs="仿宋_GB2312"/>
                <w:color w:val="auto"/>
                <w:highlight w:val="none"/>
              </w:rPr>
              <w:t>优于二档，项目实施方案完整可行，配套有货物存放仓库、项目实施的技术力量和人力资源安排充足且提供有真实可靠保证，具备突发计划外供货需求的应对能力，大件家具需要紧急搬运重组需求的应对能力，承诺紧急服务时限，提供具体详细的进度计划实施控制保证方案，安装、调试、验收方法或方案切实可行且针对性强。</w:t>
            </w:r>
          </w:p>
          <w:p w14:paraId="52979BC8">
            <w:pPr>
              <w:widowControl/>
              <w:spacing w:line="38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二档（6分）：</w:t>
            </w:r>
            <w:r>
              <w:rPr>
                <w:rFonts w:hint="eastAsia" w:ascii="仿宋_GB2312" w:hAnsi="仿宋_GB2312" w:eastAsia="仿宋_GB2312" w:cs="仿宋_GB2312"/>
                <w:color w:val="auto"/>
                <w:highlight w:val="none"/>
              </w:rPr>
              <w:t>优于三档，项目实施方案较详细，有项目实施过程中的风险应对措施，应急预案，项目实施人员安排合理，配送方案合理，有较详细的安装和安全保证措施方案</w:t>
            </w:r>
            <w:r>
              <w:rPr>
                <w:rFonts w:hint="eastAsia" w:ascii="仿宋_GB2312" w:hAnsi="仿宋_GB2312" w:eastAsia="仿宋_GB2312" w:cs="仿宋_GB2312"/>
                <w:color w:val="auto"/>
                <w:highlight w:val="none"/>
                <w:lang w:eastAsia="zh-CN"/>
              </w:rPr>
              <w:t>。</w:t>
            </w:r>
          </w:p>
          <w:p w14:paraId="4C6FAAB4">
            <w:pPr>
              <w:spacing w:line="380" w:lineRule="exact"/>
              <w:ind w:firstLine="422"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项目实施进度安排合理，送货人员、运输工具、供货组织能力基本能满足本项目需求，安装调试验收方案内容基本可行。</w:t>
            </w:r>
          </w:p>
          <w:p w14:paraId="44F6322F">
            <w:pPr>
              <w:widowControl/>
              <w:spacing w:line="380" w:lineRule="exact"/>
              <w:ind w:firstLine="422" w:firstLineChars="200"/>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rPr>
              <w:t>内容可以</w:t>
            </w:r>
            <w:r>
              <w:rPr>
                <w:rFonts w:ascii="仿宋_GB2312" w:hAnsi="仿宋_GB2312" w:eastAsia="仿宋_GB2312" w:cs="仿宋_GB2312"/>
                <w:b/>
                <w:bCs/>
                <w:color w:val="auto"/>
                <w:highlight w:val="none"/>
              </w:rPr>
              <w:t>包括：</w:t>
            </w:r>
            <w:r>
              <w:rPr>
                <w:rFonts w:hint="eastAsia" w:ascii="仿宋_GB2312" w:hAnsi="仿宋_GB2312" w:eastAsia="仿宋_GB2312" w:cs="仿宋_GB2312"/>
                <w:b/>
                <w:bCs/>
                <w:color w:val="auto"/>
                <w:highlight w:val="none"/>
              </w:rPr>
              <w:t>（1）供货组织；（2）进度保障；（3）送货人员；（4）配送方案；(5)安装调试验收方案等内容。</w:t>
            </w:r>
          </w:p>
          <w:p w14:paraId="6A3B4494">
            <w:pPr>
              <w:widowControl/>
              <w:spacing w:line="380" w:lineRule="exact"/>
              <w:ind w:firstLine="422" w:firstLineChars="200"/>
              <w:rPr>
                <w:rFonts w:ascii="仿宋_GB2312" w:hAnsi="仿宋_GB2312" w:eastAsia="仿宋_GB2312" w:cs="仿宋_GB2312"/>
                <w:color w:val="auto"/>
                <w:highlight w:val="none"/>
              </w:rPr>
            </w:pPr>
            <w:r>
              <w:rPr>
                <w:rFonts w:ascii="仿宋_GB2312" w:hAnsi="仿宋_GB2312" w:eastAsia="仿宋_GB2312" w:cs="仿宋_GB2312"/>
                <w:b/>
                <w:color w:val="auto"/>
                <w:highlight w:val="none"/>
              </w:rPr>
              <w:t>2.未提供</w:t>
            </w:r>
            <w:r>
              <w:rPr>
                <w:rFonts w:hint="eastAsia" w:ascii="仿宋_GB2312" w:hAnsi="仿宋_GB2312" w:eastAsia="仿宋_GB2312" w:cs="仿宋_GB2312"/>
                <w:b/>
                <w:color w:val="auto"/>
                <w:highlight w:val="none"/>
              </w:rPr>
              <w:t>以上</w:t>
            </w:r>
            <w:r>
              <w:rPr>
                <w:rFonts w:ascii="仿宋_GB2312" w:hAnsi="仿宋_GB2312" w:eastAsia="仿宋_GB2312" w:cs="仿宋_GB2312"/>
                <w:b/>
                <w:color w:val="auto"/>
                <w:highlight w:val="none"/>
              </w:rPr>
              <w:t>方案或提供的内容与本项目无关的得0分。</w:t>
            </w:r>
          </w:p>
        </w:tc>
        <w:tc>
          <w:tcPr>
            <w:tcW w:w="1093" w:type="dxa"/>
            <w:noWrap w:val="0"/>
            <w:vAlign w:val="center"/>
          </w:tcPr>
          <w:p w14:paraId="1DEF7302">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9</w:t>
            </w:r>
          </w:p>
        </w:tc>
        <w:tc>
          <w:tcPr>
            <w:tcW w:w="1287" w:type="dxa"/>
            <w:noWrap w:val="0"/>
            <w:vAlign w:val="center"/>
          </w:tcPr>
          <w:p w14:paraId="49224663">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项目实施方案</w:t>
            </w:r>
          </w:p>
        </w:tc>
      </w:tr>
      <w:tr w14:paraId="6A4A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noWrap w:val="0"/>
            <w:vAlign w:val="center"/>
          </w:tcPr>
          <w:p w14:paraId="7CC77175">
            <w:pPr>
              <w:spacing w:line="360" w:lineRule="exact"/>
              <w:jc w:val="center"/>
              <w:rPr>
                <w:rFonts w:ascii="仿宋_GB2312" w:hAnsi="仿宋_GB2312" w:eastAsia="仿宋_GB2312" w:cs="仿宋_GB2312"/>
                <w:color w:val="auto"/>
                <w:highlight w:val="none"/>
              </w:rPr>
            </w:pPr>
          </w:p>
        </w:tc>
        <w:tc>
          <w:tcPr>
            <w:tcW w:w="951" w:type="dxa"/>
            <w:noWrap w:val="0"/>
            <w:vAlign w:val="center"/>
          </w:tcPr>
          <w:p w14:paraId="6A17FB4A">
            <w:pPr>
              <w:widowControl/>
              <w:spacing w:line="360" w:lineRule="exact"/>
              <w:jc w:val="center"/>
              <w:rPr>
                <w:rFonts w:eastAsia="仿宋_GB2312"/>
                <w:color w:val="auto"/>
                <w:highlight w:val="none"/>
              </w:rPr>
            </w:pPr>
            <w:r>
              <w:rPr>
                <w:rFonts w:hint="eastAsia" w:ascii="仿宋_GB2312" w:hAnsi="仿宋_GB2312" w:eastAsia="仿宋_GB2312" w:cs="仿宋_GB2312"/>
                <w:b/>
                <w:bCs/>
                <w:color w:val="auto"/>
                <w:highlight w:val="none"/>
              </w:rPr>
              <w:t>生产能力和质量保障能力方案</w:t>
            </w:r>
          </w:p>
        </w:tc>
        <w:tc>
          <w:tcPr>
            <w:tcW w:w="4685" w:type="dxa"/>
            <w:noWrap w:val="0"/>
            <w:vAlign w:val="center"/>
          </w:tcPr>
          <w:p w14:paraId="34DFC83D">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kern w:val="0"/>
                <w:szCs w:val="21"/>
                <w:highlight w:val="none"/>
              </w:rPr>
              <w:t>（5分）：</w:t>
            </w:r>
            <w:r>
              <w:rPr>
                <w:rFonts w:hint="eastAsia" w:ascii="仿宋_GB2312" w:hAnsi="仿宋_GB2312" w:eastAsia="仿宋_GB2312" w:cs="仿宋_GB2312"/>
                <w:color w:val="auto"/>
                <w:kern w:val="0"/>
                <w:szCs w:val="21"/>
                <w:highlight w:val="none"/>
              </w:rPr>
              <w:t>优于二档，投标人或投标产品生产厂家产品生产保障措施详细可行，有</w:t>
            </w:r>
            <w:r>
              <w:rPr>
                <w:rFonts w:hint="eastAsia" w:ascii="仿宋_GB2312" w:hAnsi="仿宋_GB2312" w:eastAsia="仿宋_GB2312" w:cs="仿宋_GB2312"/>
                <w:color w:val="auto"/>
                <w:highlight w:val="none"/>
              </w:rPr>
              <w:t>生产过程对环境保护措施、生产设备性能及功能描述、</w:t>
            </w:r>
            <w:r>
              <w:rPr>
                <w:rFonts w:hint="eastAsia" w:ascii="仿宋_GB2312" w:hAnsi="仿宋_GB2312" w:eastAsia="仿宋_GB2312" w:cs="仿宋_GB2312"/>
                <w:color w:val="auto"/>
                <w:kern w:val="0"/>
                <w:szCs w:val="21"/>
                <w:highlight w:val="none"/>
              </w:rPr>
              <w:t>产品生产工艺流程、原材料质量保障措施、质量管理体系完善健全等可完全满足采购需求</w:t>
            </w:r>
            <w:r>
              <w:rPr>
                <w:rFonts w:hint="eastAsia" w:ascii="仿宋_GB2312" w:hAnsi="仿宋_GB2312" w:eastAsia="仿宋_GB2312" w:cs="仿宋_GB2312"/>
                <w:color w:val="auto"/>
                <w:highlight w:val="none"/>
              </w:rPr>
              <w:t xml:space="preserve">。  </w:t>
            </w:r>
          </w:p>
          <w:p w14:paraId="3B80F6CB">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二档（3分）：</w:t>
            </w:r>
            <w:r>
              <w:rPr>
                <w:rFonts w:hint="eastAsia" w:ascii="仿宋_GB2312" w:hAnsi="仿宋_GB2312" w:eastAsia="仿宋_GB2312" w:cs="仿宋_GB2312"/>
                <w:color w:val="auto"/>
                <w:highlight w:val="none"/>
              </w:rPr>
              <w:t xml:space="preserve">优于三档，投标人或投标产品生产厂家产品生产保障措施较完整，有生产过程对环境保护措施、生产设备性能及功能描述、产品生产工艺流程等的。 </w:t>
            </w:r>
          </w:p>
          <w:p w14:paraId="0F548E80">
            <w:pPr>
              <w:widowControl/>
              <w:tabs>
                <w:tab w:val="left" w:pos="312"/>
              </w:tabs>
              <w:spacing w:line="380" w:lineRule="exact"/>
              <w:ind w:firstLine="422" w:firstLine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kern w:val="0"/>
                <w:szCs w:val="21"/>
                <w:highlight w:val="none"/>
              </w:rPr>
              <w:t>（1分）：</w:t>
            </w:r>
            <w:r>
              <w:rPr>
                <w:rFonts w:hint="eastAsia" w:ascii="仿宋_GB2312" w:hAnsi="仿宋_GB2312" w:eastAsia="仿宋_GB2312" w:cs="仿宋_GB2312"/>
                <w:color w:val="auto"/>
                <w:kern w:val="0"/>
                <w:szCs w:val="21"/>
                <w:highlight w:val="none"/>
              </w:rPr>
              <w:t>投标人或投标产品生产厂家产品生产保障措施简单，有简单的质量管控措施，工厂生产设备能满足本项目产品的生产要求。</w:t>
            </w:r>
          </w:p>
          <w:p w14:paraId="5B0B4251">
            <w:pPr>
              <w:widowControl/>
              <w:tabs>
                <w:tab w:val="left" w:pos="312"/>
              </w:tabs>
              <w:spacing w:line="380" w:lineRule="exact"/>
              <w:ind w:firstLine="422" w:firstLineChars="200"/>
              <w:rPr>
                <w:rFonts w:ascii="仿宋_GB2312" w:eastAsia="仿宋_GB2312"/>
                <w:b/>
                <w:bCs/>
                <w:color w:val="auto"/>
                <w:highlight w:val="none"/>
              </w:rPr>
            </w:pPr>
            <w:r>
              <w:rPr>
                <w:rFonts w:hint="eastAsia" w:ascii="仿宋_GB2312" w:eastAsia="仿宋_GB2312"/>
                <w:b/>
                <w:bCs/>
                <w:color w:val="auto"/>
                <w:highlight w:val="none"/>
              </w:rPr>
              <w:t>注：1</w:t>
            </w:r>
            <w:r>
              <w:rPr>
                <w:rFonts w:ascii="仿宋_GB2312" w:eastAsia="仿宋_GB2312"/>
                <w:b/>
                <w:bCs/>
                <w:color w:val="auto"/>
                <w:highlight w:val="none"/>
              </w:rPr>
              <w:t>.</w:t>
            </w:r>
            <w:r>
              <w:rPr>
                <w:rFonts w:hint="eastAsia" w:ascii="仿宋_GB2312" w:eastAsia="仿宋_GB2312"/>
                <w:b/>
                <w:bCs/>
                <w:color w:val="auto"/>
                <w:highlight w:val="none"/>
              </w:rPr>
              <w:t>该方案内容可包括：（1）投标人或生产厂家生产场地情况；（2）主要设备；（3）生产管理；（4）质量管理体系等内容。</w:t>
            </w:r>
          </w:p>
          <w:p w14:paraId="77CB6AF0">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eastAsia="仿宋_GB2312"/>
                <w:b/>
                <w:bCs/>
                <w:color w:val="auto"/>
                <w:highlight w:val="none"/>
              </w:rPr>
              <w:t>2.</w:t>
            </w:r>
            <w:r>
              <w:rPr>
                <w:rFonts w:ascii="仿宋_GB2312" w:hAnsi="仿宋_GB2312" w:eastAsia="仿宋_GB2312" w:cs="仿宋_GB2312"/>
                <w:b/>
                <w:bCs/>
                <w:color w:val="auto"/>
                <w:highlight w:val="none"/>
              </w:rPr>
              <w:t>未提供</w:t>
            </w:r>
            <w:r>
              <w:rPr>
                <w:rFonts w:hint="eastAsia" w:ascii="仿宋_GB2312" w:hAnsi="仿宋_GB2312" w:eastAsia="仿宋_GB2312" w:cs="仿宋_GB2312"/>
                <w:b/>
                <w:bCs/>
                <w:color w:val="auto"/>
                <w:highlight w:val="none"/>
              </w:rPr>
              <w:t>以上</w:t>
            </w:r>
            <w:r>
              <w:rPr>
                <w:rFonts w:ascii="仿宋_GB2312" w:hAnsi="仿宋_GB2312" w:eastAsia="仿宋_GB2312" w:cs="仿宋_GB2312"/>
                <w:b/>
                <w:bCs/>
                <w:color w:val="auto"/>
                <w:highlight w:val="none"/>
              </w:rPr>
              <w:t>方案或提供的内容与本项目无关的得0分。</w:t>
            </w:r>
          </w:p>
        </w:tc>
        <w:tc>
          <w:tcPr>
            <w:tcW w:w="1093" w:type="dxa"/>
            <w:noWrap w:val="0"/>
            <w:vAlign w:val="center"/>
          </w:tcPr>
          <w:p w14:paraId="574C38C0">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5</w:t>
            </w:r>
          </w:p>
        </w:tc>
        <w:tc>
          <w:tcPr>
            <w:tcW w:w="1287" w:type="dxa"/>
            <w:noWrap w:val="0"/>
            <w:vAlign w:val="center"/>
          </w:tcPr>
          <w:p w14:paraId="69EE2882">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生产能力和质量保障能力方案</w:t>
            </w:r>
          </w:p>
        </w:tc>
      </w:tr>
      <w:tr w14:paraId="4CFB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70" w:type="dxa"/>
            <w:noWrap w:val="0"/>
            <w:vAlign w:val="center"/>
          </w:tcPr>
          <w:p w14:paraId="17F58EF1">
            <w:pPr>
              <w:spacing w:line="360" w:lineRule="exact"/>
              <w:jc w:val="center"/>
              <w:rPr>
                <w:rFonts w:ascii="仿宋_GB2312" w:hAnsi="仿宋_GB2312" w:eastAsia="仿宋_GB2312" w:cs="仿宋_GB2312"/>
                <w:color w:val="auto"/>
                <w:highlight w:val="none"/>
              </w:rPr>
            </w:pPr>
            <w:r>
              <w:rPr>
                <w:rFonts w:hint="eastAsia" w:ascii="仿宋_GB2312" w:eastAsia="仿宋_GB2312"/>
                <w:b/>
                <w:bCs/>
                <w:color w:val="auto"/>
                <w:highlight w:val="none"/>
              </w:rPr>
              <w:t>设计方案分</w:t>
            </w:r>
          </w:p>
        </w:tc>
        <w:tc>
          <w:tcPr>
            <w:tcW w:w="951" w:type="dxa"/>
            <w:noWrap w:val="0"/>
            <w:vAlign w:val="center"/>
          </w:tcPr>
          <w:p w14:paraId="387D7B22">
            <w:pPr>
              <w:widowControl/>
              <w:spacing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b/>
                <w:color w:val="auto"/>
                <w:szCs w:val="21"/>
                <w:highlight w:val="none"/>
              </w:rPr>
              <w:t>产品设计方案</w:t>
            </w:r>
          </w:p>
        </w:tc>
        <w:tc>
          <w:tcPr>
            <w:tcW w:w="4685" w:type="dxa"/>
            <w:noWrap w:val="0"/>
            <w:vAlign w:val="center"/>
          </w:tcPr>
          <w:p w14:paraId="03D8E69B">
            <w:pPr>
              <w:pStyle w:val="859"/>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一档(15分)：</w:t>
            </w:r>
            <w:r>
              <w:rPr>
                <w:rFonts w:hint="eastAsia" w:ascii="仿宋_GB2312" w:hAnsi="仿宋_GB2312" w:eastAsia="仿宋_GB2312" w:cs="仿宋_GB2312"/>
                <w:color w:val="auto"/>
                <w:highlight w:val="none"/>
              </w:rPr>
              <w:t>在满足二档前提下，提供设计方案详细、具体、可实行性高，颜色搭配科学美观、有两项以上设计理念，得到认可和采纳。</w:t>
            </w:r>
          </w:p>
          <w:p w14:paraId="1CD0739E">
            <w:pPr>
              <w:pStyle w:val="859"/>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二档(12分)：</w:t>
            </w:r>
            <w:r>
              <w:rPr>
                <w:rFonts w:hint="eastAsia" w:ascii="仿宋_GB2312" w:hAnsi="仿宋_GB2312" w:eastAsia="仿宋_GB2312" w:cs="仿宋_GB2312"/>
                <w:color w:val="auto"/>
                <w:highlight w:val="none"/>
              </w:rPr>
              <w:t xml:space="preserve">在满足三档前提下，提供设计方案规范合理性，产品设计的各个方面无缺陷(外观设计、款式结构等)、牢固可靠。  </w:t>
            </w:r>
          </w:p>
          <w:p w14:paraId="17EFA922">
            <w:pPr>
              <w:pStyle w:val="859"/>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三档(9分)：</w:t>
            </w:r>
            <w:r>
              <w:rPr>
                <w:rFonts w:hint="eastAsia" w:ascii="仿宋_GB2312" w:hAnsi="仿宋_GB2312" w:eastAsia="仿宋_GB2312" w:cs="仿宋_GB2312"/>
                <w:color w:val="auto"/>
                <w:highlight w:val="none"/>
              </w:rPr>
              <w:t>在满足四档前提下，提供产品结构图、零部件效果图、整体摆放布局效果图，设计图纸、方案符合要求的。</w:t>
            </w:r>
          </w:p>
          <w:p w14:paraId="7DFDC469">
            <w:pPr>
              <w:pStyle w:val="859"/>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四档(6分)：</w:t>
            </w:r>
            <w:r>
              <w:rPr>
                <w:rFonts w:hint="eastAsia" w:ascii="仿宋_GB2312" w:hAnsi="仿宋_GB2312" w:eastAsia="仿宋_GB2312" w:cs="仿宋_GB2312"/>
                <w:color w:val="auto"/>
                <w:highlight w:val="none"/>
              </w:rPr>
              <w:t>在满足五档前提下，提供产品外观设计图、摆放设计图、零部件设计图、设备安装分解图，设计图纸、方案基本符合要求的。</w:t>
            </w:r>
          </w:p>
          <w:p w14:paraId="4F5E9758">
            <w:pPr>
              <w:pStyle w:val="859"/>
              <w:adjustRightInd w:val="0"/>
              <w:snapToGrid w:val="0"/>
              <w:spacing w:line="360" w:lineRule="auto"/>
              <w:ind w:firstLine="588" w:firstLineChars="27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五档(3分)：</w:t>
            </w:r>
            <w:r>
              <w:rPr>
                <w:rFonts w:hint="eastAsia" w:ascii="仿宋_GB2312" w:hAnsi="仿宋_GB2312" w:eastAsia="仿宋_GB2312" w:cs="仿宋_GB2312"/>
                <w:color w:val="auto"/>
                <w:highlight w:val="none"/>
              </w:rPr>
              <w:t>提供产品设计用材、产品工件明细表（列明“自制件”、“外协件”、“外购件”）、五金配件表、产品使用功能描述等</w:t>
            </w:r>
            <w:r>
              <w:rPr>
                <w:rFonts w:hint="eastAsia" w:ascii="仿宋_GB2312" w:hAnsi="仿宋_GB2312" w:eastAsia="仿宋_GB2312" w:cs="仿宋_GB2312"/>
                <w:color w:val="auto"/>
                <w:highlight w:val="none"/>
                <w:lang w:eastAsia="zh-CN"/>
              </w:rPr>
              <w:t>。</w:t>
            </w:r>
          </w:p>
          <w:p w14:paraId="265A6311">
            <w:pPr>
              <w:pStyle w:val="859"/>
              <w:adjustRightInd w:val="0"/>
              <w:snapToGrid w:val="0"/>
              <w:spacing w:line="360" w:lineRule="auto"/>
              <w:ind w:firstLine="588" w:firstLineChars="279"/>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w:t>
            </w:r>
            <w:r>
              <w:rPr>
                <w:rFonts w:ascii="仿宋_GB2312" w:hAnsi="仿宋_GB2312" w:eastAsia="仿宋_GB2312" w:cs="仿宋_GB2312"/>
                <w:b/>
                <w:bCs/>
                <w:color w:val="auto"/>
                <w:highlight w:val="none"/>
              </w:rPr>
              <w:t>该方案</w:t>
            </w:r>
            <w:r>
              <w:rPr>
                <w:rFonts w:hint="eastAsia" w:ascii="仿宋_GB2312" w:hAnsi="仿宋_GB2312" w:eastAsia="仿宋_GB2312" w:cs="仿宋_GB2312"/>
                <w:b/>
                <w:bCs/>
                <w:color w:val="auto"/>
                <w:highlight w:val="none"/>
              </w:rPr>
              <w:t>内容可以</w:t>
            </w:r>
            <w:r>
              <w:rPr>
                <w:rFonts w:ascii="仿宋_GB2312" w:hAnsi="仿宋_GB2312" w:eastAsia="仿宋_GB2312" w:cs="仿宋_GB2312"/>
                <w:b/>
                <w:bCs/>
                <w:color w:val="auto"/>
                <w:highlight w:val="none"/>
              </w:rPr>
              <w:t>包括：</w:t>
            </w:r>
            <w:r>
              <w:rPr>
                <w:rFonts w:hint="eastAsia"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产品外观设计图</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u w:val="none"/>
                <w:lang w:val="en-US" w:bidi="zh-CN"/>
              </w:rPr>
              <w:t>须按技术参数要求注明</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highlight w:val="none"/>
              </w:rPr>
              <w:t>；（2）</w:t>
            </w:r>
            <w:r>
              <w:rPr>
                <w:rFonts w:hint="eastAsia" w:ascii="仿宋_GB2312" w:hAnsi="仿宋_GB2312" w:eastAsia="仿宋_GB2312" w:cs="仿宋_GB2312"/>
                <w:b/>
                <w:bCs/>
                <w:color w:val="auto"/>
                <w:highlight w:val="none"/>
                <w:lang w:val="en-US" w:eastAsia="zh-CN"/>
              </w:rPr>
              <w:t>核心产品</w:t>
            </w:r>
            <w:r>
              <w:rPr>
                <w:rFonts w:hint="eastAsia" w:ascii="仿宋_GB2312" w:hAnsi="仿宋_GB2312" w:eastAsia="仿宋_GB2312" w:cs="仿宋_GB2312"/>
                <w:b/>
                <w:bCs/>
                <w:color w:val="auto"/>
                <w:highlight w:val="none"/>
              </w:rPr>
              <w:t>款式结构</w:t>
            </w:r>
            <w:r>
              <w:rPr>
                <w:rFonts w:hint="eastAsia" w:ascii="仿宋_GB2312" w:hAnsi="仿宋_GB2312" w:eastAsia="仿宋_GB2312" w:cs="仿宋_GB2312"/>
                <w:b/>
                <w:bCs/>
                <w:color w:val="auto"/>
                <w:highlight w:val="none"/>
                <w:lang w:val="en-US" w:eastAsia="zh-CN"/>
              </w:rPr>
              <w:t>设计</w:t>
            </w:r>
            <w:r>
              <w:rPr>
                <w:rFonts w:hint="eastAsia" w:ascii="仿宋_GB2312" w:hAnsi="仿宋_GB2312" w:eastAsia="仿宋_GB2312" w:cs="仿宋_GB2312"/>
                <w:b/>
                <w:bCs/>
                <w:color w:val="auto"/>
                <w:highlight w:val="none"/>
              </w:rPr>
              <w:t>图；（3）</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产品详细的零部件</w:t>
            </w:r>
            <w:r>
              <w:rPr>
                <w:rFonts w:hint="eastAsia" w:ascii="仿宋_GB2312" w:hAnsi="仿宋_GB2312" w:eastAsia="仿宋_GB2312" w:cs="仿宋_GB2312"/>
                <w:b/>
                <w:bCs/>
                <w:color w:val="auto"/>
                <w:highlight w:val="none"/>
                <w:lang w:val="en-US" w:eastAsia="zh-CN"/>
              </w:rPr>
              <w:t>设计</w:t>
            </w:r>
            <w:r>
              <w:rPr>
                <w:rFonts w:hint="eastAsia" w:ascii="仿宋_GB2312" w:hAnsi="仿宋_GB2312" w:eastAsia="仿宋_GB2312" w:cs="仿宋_GB2312"/>
                <w:b/>
                <w:bCs/>
                <w:color w:val="auto"/>
                <w:highlight w:val="none"/>
              </w:rPr>
              <w:t>图；（</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核心产品</w:t>
            </w:r>
            <w:r>
              <w:rPr>
                <w:rFonts w:hint="eastAsia" w:ascii="仿宋_GB2312" w:hAnsi="仿宋_GB2312" w:eastAsia="仿宋_GB2312" w:cs="仿宋_GB2312"/>
                <w:b/>
                <w:bCs/>
                <w:color w:val="auto"/>
                <w:highlight w:val="none"/>
              </w:rPr>
              <w:t>安装分解图；（</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产品设计用材；（</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产品工件明细表（列明“自制件”、“外协件”、“外购件”）；（</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产品五金配件表等内容。</w:t>
            </w:r>
          </w:p>
          <w:p w14:paraId="58BC2E74">
            <w:pPr>
              <w:pStyle w:val="861"/>
              <w:spacing w:line="360" w:lineRule="auto"/>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2.未提供以上方案或提供的内容与本项目无关的得0分。</w:t>
            </w:r>
          </w:p>
        </w:tc>
        <w:tc>
          <w:tcPr>
            <w:tcW w:w="1093" w:type="dxa"/>
            <w:noWrap w:val="0"/>
            <w:vAlign w:val="center"/>
          </w:tcPr>
          <w:p w14:paraId="479CF446">
            <w:pPr>
              <w:spacing w:line="360" w:lineRule="auto"/>
              <w:jc w:val="center"/>
              <w:rPr>
                <w:rFonts w:ascii="仿宋_GB2312" w:hAnsi="仿宋_GB2312" w:eastAsia="仿宋_GB2312" w:cs="仿宋_GB2312"/>
                <w:b/>
                <w:bCs/>
                <w:color w:val="auto"/>
                <w:highlight w:val="none"/>
              </w:rPr>
            </w:pPr>
            <w:r>
              <w:rPr>
                <w:rFonts w:hint="eastAsia" w:ascii="仿宋_GB2312" w:hAnsi="仿宋_GB2312" w:eastAsia="仿宋_GB2312" w:cs="仿宋_GB2312"/>
                <w:b/>
                <w:color w:val="auto"/>
                <w:szCs w:val="21"/>
                <w:highlight w:val="none"/>
              </w:rPr>
              <w:t>15</w:t>
            </w:r>
          </w:p>
        </w:tc>
        <w:tc>
          <w:tcPr>
            <w:tcW w:w="1287" w:type="dxa"/>
            <w:noWrap w:val="0"/>
            <w:vAlign w:val="center"/>
          </w:tcPr>
          <w:p w14:paraId="040BD036">
            <w:pPr>
              <w:spacing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产品设计方案</w:t>
            </w:r>
          </w:p>
        </w:tc>
      </w:tr>
      <w:tr w14:paraId="4AE2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noWrap w:val="0"/>
            <w:vAlign w:val="center"/>
          </w:tcPr>
          <w:p w14:paraId="37F83ADF">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售后服务方案分</w:t>
            </w:r>
          </w:p>
        </w:tc>
        <w:tc>
          <w:tcPr>
            <w:tcW w:w="951" w:type="dxa"/>
            <w:noWrap w:val="0"/>
            <w:vAlign w:val="center"/>
          </w:tcPr>
          <w:p w14:paraId="09C158A5">
            <w:pPr>
              <w:widowControl/>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售后服务方案</w:t>
            </w:r>
          </w:p>
        </w:tc>
        <w:tc>
          <w:tcPr>
            <w:tcW w:w="4685" w:type="dxa"/>
            <w:noWrap w:val="0"/>
            <w:vAlign w:val="center"/>
          </w:tcPr>
          <w:p w14:paraId="10987B03">
            <w:pPr>
              <w:pStyle w:val="859"/>
              <w:adjustRightInd w:val="0"/>
              <w:snapToGrid w:val="0"/>
              <w:spacing w:line="360" w:lineRule="auto"/>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9</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在满足二档前提下，解决</w:t>
            </w:r>
            <w:r>
              <w:rPr>
                <w:rFonts w:hint="eastAsia" w:ascii="仿宋_GB2312" w:hAnsi="仿宋_GB2312" w:eastAsia="仿宋_GB2312" w:cs="仿宋_GB2312"/>
                <w:color w:val="auto"/>
                <w:highlight w:val="none"/>
                <w:lang w:val="en-US" w:eastAsia="zh-CN"/>
              </w:rPr>
              <w:t>损坏</w:t>
            </w:r>
            <w:r>
              <w:rPr>
                <w:rFonts w:hint="eastAsia" w:ascii="仿宋_GB2312" w:hAnsi="仿宋_GB2312" w:eastAsia="仿宋_GB2312" w:cs="仿宋_GB2312"/>
                <w:color w:val="auto"/>
                <w:highlight w:val="none"/>
              </w:rPr>
              <w:t>时间在2小时内，发生</w:t>
            </w:r>
            <w:r>
              <w:rPr>
                <w:rFonts w:hint="eastAsia" w:ascii="仿宋_GB2312" w:hAnsi="仿宋_GB2312" w:eastAsia="仿宋_GB2312" w:cs="仿宋_GB2312"/>
                <w:color w:val="auto"/>
                <w:highlight w:val="none"/>
                <w:lang w:val="en-US" w:eastAsia="zh-CN"/>
              </w:rPr>
              <w:t>严重损坏</w:t>
            </w:r>
            <w:r>
              <w:rPr>
                <w:rFonts w:hint="eastAsia" w:ascii="仿宋_GB2312" w:hAnsi="仿宋_GB2312" w:eastAsia="仿宋_GB2312" w:cs="仿宋_GB2312"/>
                <w:color w:val="auto"/>
                <w:highlight w:val="none"/>
              </w:rPr>
              <w:t>随时有替代产品，定期回访，有可靠的售后服务技术支持，详细的售后维护方式和售后保障能力，常用的、易损坏的备品备件及易损件配备的齐全，有完善预警、备件管理以及售后服务跟踪式服务措施等。</w:t>
            </w:r>
          </w:p>
          <w:p w14:paraId="0A4937F6">
            <w:pPr>
              <w:pStyle w:val="859"/>
              <w:adjustRightInd w:val="0"/>
              <w:snapToGrid w:val="0"/>
              <w:spacing w:line="360" w:lineRule="auto"/>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售后服务承诺书内容详细具体；解决事故时间在4小时内，损坏出现解决方案可靠，定期维护方式方法合理，有完整的免费技术培训方案、保修期外维修方案；有完善的售后服务措施；对售后服务应急预案、其他优惠措施等方面都有描述，可操作性强。</w:t>
            </w:r>
          </w:p>
          <w:p w14:paraId="39637B4C">
            <w:pPr>
              <w:pStyle w:val="859"/>
              <w:adjustRightInd w:val="0"/>
              <w:snapToGrid w:val="0"/>
              <w:spacing w:line="360" w:lineRule="auto"/>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售后服务承诺书内容完整；解决</w:t>
            </w:r>
            <w:r>
              <w:rPr>
                <w:rFonts w:hint="eastAsia" w:ascii="仿宋_GB2312" w:hAnsi="仿宋_GB2312" w:eastAsia="仿宋_GB2312" w:cs="仿宋_GB2312"/>
                <w:color w:val="auto"/>
                <w:highlight w:val="none"/>
                <w:lang w:val="en-US" w:eastAsia="zh-CN"/>
              </w:rPr>
              <w:t>损坏</w:t>
            </w:r>
            <w:r>
              <w:rPr>
                <w:rFonts w:hint="eastAsia" w:ascii="仿宋_GB2312" w:hAnsi="仿宋_GB2312" w:eastAsia="仿宋_GB2312" w:cs="仿宋_GB2312"/>
                <w:color w:val="auto"/>
                <w:highlight w:val="none"/>
              </w:rPr>
              <w:t>时间在6小时内，出现</w:t>
            </w:r>
            <w:r>
              <w:rPr>
                <w:rFonts w:hint="eastAsia" w:ascii="仿宋_GB2312" w:hAnsi="仿宋_GB2312" w:eastAsia="仿宋_GB2312" w:cs="仿宋_GB2312"/>
                <w:color w:val="auto"/>
                <w:highlight w:val="none"/>
                <w:lang w:val="en-US" w:eastAsia="zh-CN"/>
              </w:rPr>
              <w:t>严重损坏</w:t>
            </w:r>
            <w:r>
              <w:rPr>
                <w:rFonts w:hint="eastAsia" w:ascii="仿宋_GB2312" w:hAnsi="仿宋_GB2312" w:eastAsia="仿宋_GB2312" w:cs="仿宋_GB2312"/>
                <w:color w:val="auto"/>
                <w:highlight w:val="none"/>
              </w:rPr>
              <w:t>解决方案可靠，定期维护方式方法合理，有完整的免费技术培训方案、保修期外维修方案；有售后服务能力措施</w:t>
            </w:r>
            <w:r>
              <w:rPr>
                <w:rFonts w:hint="eastAsia" w:ascii="仿宋_GB2312" w:hAnsi="仿宋_GB2312" w:eastAsia="仿宋_GB2312" w:cs="仿宋_GB2312"/>
                <w:color w:val="auto"/>
                <w:highlight w:val="none"/>
                <w:lang w:eastAsia="zh-CN"/>
              </w:rPr>
              <w:t>。</w:t>
            </w:r>
          </w:p>
          <w:p w14:paraId="389072A7">
            <w:pPr>
              <w:pStyle w:val="859"/>
              <w:adjustRightInd w:val="0"/>
              <w:snapToGrid w:val="0"/>
              <w:spacing w:line="360" w:lineRule="auto"/>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四档（</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有售后服务承诺书；基本满足招标文件的要求，有</w:t>
            </w:r>
            <w:r>
              <w:rPr>
                <w:rFonts w:hint="eastAsia" w:ascii="仿宋_GB2312" w:hAnsi="仿宋_GB2312" w:eastAsia="仿宋_GB2312" w:cs="仿宋_GB2312"/>
                <w:color w:val="auto"/>
                <w:highlight w:val="none"/>
                <w:lang w:val="en-US" w:eastAsia="zh-CN"/>
              </w:rPr>
              <w:t>损坏</w:t>
            </w:r>
            <w:r>
              <w:rPr>
                <w:rFonts w:hint="eastAsia" w:ascii="仿宋_GB2312" w:hAnsi="仿宋_GB2312" w:eastAsia="仿宋_GB2312" w:cs="仿宋_GB2312"/>
                <w:color w:val="auto"/>
                <w:highlight w:val="none"/>
              </w:rPr>
              <w:t>出现解决方案，有技术培训方案、保修期外维修方案。</w:t>
            </w:r>
          </w:p>
          <w:p w14:paraId="08F39DAA">
            <w:pPr>
              <w:pStyle w:val="859"/>
              <w:adjustRightInd w:val="0"/>
              <w:snapToGrid w:val="0"/>
              <w:spacing w:line="360" w:lineRule="auto"/>
              <w:ind w:firstLine="422" w:firstLineChars="200"/>
              <w:rPr>
                <w:rFonts w:ascii="仿宋_GB2312" w:hAnsi="仿宋_GB2312" w:cs="仿宋_GB2312"/>
                <w:color w:val="auto"/>
                <w:highlight w:val="none"/>
              </w:rPr>
            </w:pPr>
            <w:r>
              <w:rPr>
                <w:rFonts w:hint="eastAsia" w:ascii="仿宋_GB2312" w:eastAsia="仿宋_GB2312"/>
                <w:b/>
                <w:bCs/>
                <w:color w:val="auto"/>
                <w:highlight w:val="none"/>
              </w:rPr>
              <w:t>注：1</w:t>
            </w:r>
            <w:r>
              <w:rPr>
                <w:rFonts w:ascii="仿宋_GB2312" w:eastAsia="仿宋_GB2312"/>
                <w:b/>
                <w:bCs/>
                <w:color w:val="auto"/>
                <w:highlight w:val="none"/>
              </w:rPr>
              <w:t>.</w:t>
            </w:r>
            <w:r>
              <w:rPr>
                <w:rFonts w:hint="eastAsia" w:ascii="仿宋_GB2312" w:eastAsia="仿宋_GB2312"/>
                <w:b/>
                <w:bCs/>
                <w:color w:val="auto"/>
                <w:highlight w:val="none"/>
              </w:rPr>
              <w:t>该方案内容可包括：</w:t>
            </w:r>
            <w:r>
              <w:rPr>
                <w:rFonts w:hint="eastAsia" w:ascii="仿宋_GB2312" w:hAnsi="仿宋_GB2312" w:eastAsia="仿宋_GB2312" w:cs="仿宋_GB2312"/>
                <w:b/>
                <w:bCs/>
                <w:color w:val="auto"/>
                <w:highlight w:val="none"/>
              </w:rPr>
              <w:t>（1）售后服务承诺书；（2）到达损坏现场时间；（3）损坏出现解决方案；（4）免费技术培训方案；（5）保修期外维修方案；（6）售后服务措施；（</w:t>
            </w:r>
            <w:r>
              <w:rPr>
                <w:rFonts w:ascii="仿宋_GB2312" w:hAnsi="仿宋_GB2312" w:eastAsia="仿宋_GB2312" w:cs="仿宋_GB2312"/>
                <w:b/>
                <w:bCs/>
                <w:color w:val="auto"/>
                <w:highlight w:val="none"/>
              </w:rPr>
              <w:t>7</w:t>
            </w:r>
            <w:r>
              <w:rPr>
                <w:rFonts w:hint="eastAsia" w:ascii="仿宋_GB2312" w:hAnsi="仿宋_GB2312" w:eastAsia="仿宋_GB2312" w:cs="仿宋_GB2312"/>
                <w:b/>
                <w:bCs/>
                <w:color w:val="auto"/>
                <w:highlight w:val="none"/>
              </w:rPr>
              <w:t>）售后服务专用车辆；（</w:t>
            </w:r>
            <w:r>
              <w:rPr>
                <w:rFonts w:ascii="仿宋_GB2312" w:hAnsi="仿宋_GB2312" w:eastAsia="仿宋_GB2312" w:cs="仿宋_GB2312"/>
                <w:b/>
                <w:bCs/>
                <w:color w:val="auto"/>
                <w:highlight w:val="none"/>
              </w:rPr>
              <w:t>8</w:t>
            </w:r>
            <w:r>
              <w:rPr>
                <w:rFonts w:hint="eastAsia" w:ascii="仿宋_GB2312" w:hAnsi="仿宋_GB2312" w:eastAsia="仿宋_GB2312" w:cs="仿宋_GB2312"/>
                <w:b/>
                <w:bCs/>
                <w:color w:val="auto"/>
                <w:highlight w:val="none"/>
              </w:rPr>
              <w:t>）应急预案；（</w:t>
            </w:r>
            <w:r>
              <w:rPr>
                <w:rFonts w:ascii="仿宋_GB2312" w:hAnsi="仿宋_GB2312" w:eastAsia="仿宋_GB2312" w:cs="仿宋_GB2312"/>
                <w:b/>
                <w:bCs/>
                <w:color w:val="auto"/>
                <w:highlight w:val="none"/>
              </w:rPr>
              <w:t>9</w:t>
            </w:r>
            <w:r>
              <w:rPr>
                <w:rFonts w:hint="eastAsia" w:ascii="仿宋_GB2312" w:hAnsi="仿宋_GB2312" w:eastAsia="仿宋_GB2312" w:cs="仿宋_GB2312"/>
                <w:b/>
                <w:bCs/>
                <w:color w:val="auto"/>
                <w:highlight w:val="none"/>
              </w:rPr>
              <w:t>）其他优惠措施等内容。</w:t>
            </w:r>
          </w:p>
          <w:p w14:paraId="21A2873E">
            <w:pPr>
              <w:spacing w:line="380" w:lineRule="exact"/>
              <w:ind w:firstLine="422" w:firstLineChars="200"/>
              <w:rPr>
                <w:rFonts w:ascii="仿宋_GB2312" w:hAnsi="仿宋_GB2312" w:eastAsia="仿宋_GB2312" w:cs="仿宋_GB2312"/>
                <w:color w:val="auto"/>
                <w:highlight w:val="none"/>
              </w:rPr>
            </w:pPr>
            <w:r>
              <w:rPr>
                <w:rFonts w:ascii="仿宋_GB2312" w:hAnsi="仿宋_GB2312" w:eastAsia="仿宋_GB2312" w:cs="仿宋_GB2312"/>
                <w:b/>
                <w:bCs/>
                <w:color w:val="auto"/>
                <w:highlight w:val="none"/>
              </w:rPr>
              <w:t>2.未提供</w:t>
            </w:r>
            <w:r>
              <w:rPr>
                <w:rFonts w:hint="eastAsia" w:ascii="仿宋_GB2312" w:hAnsi="仿宋_GB2312" w:eastAsia="仿宋_GB2312" w:cs="仿宋_GB2312"/>
                <w:b/>
                <w:bCs/>
                <w:color w:val="auto"/>
                <w:highlight w:val="none"/>
              </w:rPr>
              <w:t>以上</w:t>
            </w:r>
            <w:r>
              <w:rPr>
                <w:rFonts w:ascii="仿宋_GB2312" w:hAnsi="仿宋_GB2312" w:eastAsia="仿宋_GB2312" w:cs="仿宋_GB2312"/>
                <w:b/>
                <w:bCs/>
                <w:color w:val="auto"/>
                <w:highlight w:val="none"/>
              </w:rPr>
              <w:t>方案或提供的内容与本项目无关的得0分。</w:t>
            </w:r>
          </w:p>
        </w:tc>
        <w:tc>
          <w:tcPr>
            <w:tcW w:w="1093" w:type="dxa"/>
            <w:noWrap w:val="0"/>
            <w:vAlign w:val="center"/>
          </w:tcPr>
          <w:p w14:paraId="4B0C348E">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9</w:t>
            </w:r>
          </w:p>
        </w:tc>
        <w:tc>
          <w:tcPr>
            <w:tcW w:w="1287" w:type="dxa"/>
            <w:noWrap w:val="0"/>
            <w:vAlign w:val="center"/>
          </w:tcPr>
          <w:p w14:paraId="037CF793">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售后服务方案</w:t>
            </w:r>
          </w:p>
        </w:tc>
      </w:tr>
      <w:tr w14:paraId="2C21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6" w:type="dxa"/>
            <w:gridSpan w:val="3"/>
            <w:noWrap w:val="0"/>
            <w:vAlign w:val="center"/>
          </w:tcPr>
          <w:p w14:paraId="04F62FFC">
            <w:pPr>
              <w:spacing w:line="400" w:lineRule="exact"/>
              <w:ind w:firstLine="422" w:firstLineChars="200"/>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主观分总分</w:t>
            </w:r>
          </w:p>
        </w:tc>
        <w:tc>
          <w:tcPr>
            <w:tcW w:w="1093" w:type="dxa"/>
            <w:noWrap w:val="0"/>
            <w:vAlign w:val="center"/>
          </w:tcPr>
          <w:p w14:paraId="3392CF7F">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3</w:t>
            </w:r>
            <w:r>
              <w:rPr>
                <w:rFonts w:hint="eastAsia" w:ascii="仿宋_GB2312" w:hAnsi="仿宋_GB2312" w:eastAsia="仿宋_GB2312" w:cs="仿宋_GB2312"/>
                <w:b/>
                <w:bCs/>
                <w:color w:val="auto"/>
                <w:highlight w:val="none"/>
                <w:lang w:val="en-US" w:eastAsia="zh-CN"/>
              </w:rPr>
              <w:t>8</w:t>
            </w:r>
          </w:p>
        </w:tc>
        <w:tc>
          <w:tcPr>
            <w:tcW w:w="1287" w:type="dxa"/>
            <w:noWrap w:val="0"/>
            <w:vAlign w:val="center"/>
          </w:tcPr>
          <w:p w14:paraId="5DD921F7">
            <w:pPr>
              <w:spacing w:line="360" w:lineRule="exact"/>
              <w:jc w:val="center"/>
              <w:rPr>
                <w:rFonts w:ascii="仿宋_GB2312" w:hAnsi="仿宋_GB2312" w:eastAsia="仿宋_GB2312" w:cs="仿宋_GB2312"/>
                <w:color w:val="auto"/>
                <w:highlight w:val="none"/>
              </w:rPr>
            </w:pPr>
          </w:p>
        </w:tc>
      </w:tr>
    </w:tbl>
    <w:p w14:paraId="28A92F31">
      <w:pPr>
        <w:widowControl/>
        <w:adjustRightInd w:val="0"/>
        <w:spacing w:line="440" w:lineRule="exact"/>
        <w:ind w:right="-1" w:firstLine="141" w:firstLineChars="59"/>
        <w:textAlignment w:val="baseline"/>
        <w:rPr>
          <w:rFonts w:ascii="仿宋_GB2312" w:eastAsia="仿宋_GB2312"/>
          <w:bCs/>
          <w:color w:val="auto"/>
          <w:sz w:val="24"/>
        </w:rPr>
      </w:pPr>
    </w:p>
    <w:p w14:paraId="35ED8F00">
      <w:pPr>
        <w:spacing w:line="390" w:lineRule="exact"/>
        <w:ind w:right="-168" w:rightChars="-80" w:firstLine="236" w:firstLineChars="98"/>
        <w:rPr>
          <w:rFonts w:ascii="仿宋_GB2312" w:eastAsia="仿宋_GB2312"/>
          <w:b/>
          <w:color w:val="auto"/>
          <w:sz w:val="24"/>
        </w:rPr>
      </w:pPr>
      <w:r>
        <w:rPr>
          <w:rFonts w:hint="eastAsia" w:ascii="仿宋_GB2312" w:eastAsia="仿宋_GB2312"/>
          <w:b/>
          <w:color w:val="auto"/>
          <w:sz w:val="24"/>
        </w:rPr>
        <w:t>（三）总得分=客观分+主观分</w:t>
      </w:r>
    </w:p>
    <w:p w14:paraId="0F530415">
      <w:pPr>
        <w:adjustRightInd w:val="0"/>
        <w:spacing w:line="400" w:lineRule="exact"/>
        <w:ind w:firstLine="482" w:firstLineChars="200"/>
        <w:jc w:val="left"/>
        <w:textAlignment w:val="baseline"/>
        <w:rPr>
          <w:rFonts w:hint="eastAsia" w:ascii="仿宋_GB2312" w:hAnsi="宋体" w:eastAsia="仿宋_GB2312"/>
          <w:b/>
          <w:color w:val="auto"/>
          <w:kern w:val="0"/>
          <w:sz w:val="24"/>
        </w:rPr>
      </w:pPr>
      <w:r>
        <w:rPr>
          <w:rFonts w:hint="eastAsia" w:ascii="仿宋_GB2312" w:hAnsi="宋体" w:eastAsia="仿宋_GB2312"/>
          <w:b/>
          <w:color w:val="auto"/>
          <w:kern w:val="0"/>
          <w:sz w:val="24"/>
        </w:rPr>
        <w:t>三、中标标准及中标候选人推荐原则</w:t>
      </w:r>
    </w:p>
    <w:p w14:paraId="65B97E04">
      <w:pPr>
        <w:adjustRightInd w:val="0"/>
        <w:spacing w:line="400" w:lineRule="exact"/>
        <w:ind w:firstLine="482" w:firstLineChars="200"/>
        <w:jc w:val="left"/>
        <w:textAlignment w:val="baseline"/>
        <w:rPr>
          <w:rFonts w:hint="eastAsia" w:ascii="仿宋_GB2312" w:hAnsi="宋体" w:eastAsia="仿宋_GB2312"/>
          <w:b/>
          <w:color w:val="auto"/>
          <w:kern w:val="0"/>
          <w:sz w:val="24"/>
        </w:rPr>
      </w:pPr>
      <w:r>
        <w:rPr>
          <w:rFonts w:hint="eastAsia" w:ascii="仿宋_GB2312" w:hAnsi="宋体" w:eastAsia="仿宋_GB2312"/>
          <w:b/>
          <w:color w:val="auto"/>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采购人或采购代理机构应将该情况报政府采购监督管理部门，从合格的中标候选人中另行确定中标人或重新开展政府采购活动。</w:t>
      </w:r>
    </w:p>
    <w:p w14:paraId="65F80DA3">
      <w:pPr>
        <w:adjustRightInd w:val="0"/>
        <w:spacing w:line="400" w:lineRule="exact"/>
        <w:ind w:firstLine="482" w:firstLineChars="200"/>
        <w:jc w:val="left"/>
        <w:textAlignment w:val="baseline"/>
        <w:rPr>
          <w:rFonts w:hint="eastAsia" w:ascii="仿宋_GB2312" w:hAnsi="宋体" w:eastAsia="仿宋_GB2312"/>
          <w:b/>
          <w:bCs/>
          <w:color w:val="auto"/>
          <w:sz w:val="24"/>
        </w:rPr>
      </w:pPr>
      <w:r>
        <w:rPr>
          <w:rFonts w:hint="eastAsia" w:ascii="仿宋_GB2312" w:hAnsi="宋体" w:eastAsia="仿宋_GB2312"/>
          <w:b/>
          <w:color w:val="auto"/>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color w:val="auto"/>
          <w:sz w:val="24"/>
        </w:rPr>
        <w:t>。</w:t>
      </w:r>
    </w:p>
    <w:p w14:paraId="7252CA97">
      <w:pPr>
        <w:rPr>
          <w:b/>
          <w:color w:val="auto"/>
          <w:sz w:val="24"/>
        </w:rPr>
      </w:pPr>
    </w:p>
    <w:p w14:paraId="33F283A8">
      <w:pPr>
        <w:rPr>
          <w:b/>
          <w:color w:val="auto"/>
          <w:sz w:val="24"/>
        </w:rPr>
      </w:pPr>
    </w:p>
    <w:p w14:paraId="0C638BFD">
      <w:pPr>
        <w:rPr>
          <w:b/>
          <w:color w:val="auto"/>
          <w:sz w:val="24"/>
        </w:rPr>
      </w:pPr>
    </w:p>
    <w:p w14:paraId="0D00BB6F">
      <w:pPr>
        <w:rPr>
          <w:b/>
          <w:color w:val="auto"/>
          <w:sz w:val="24"/>
        </w:rPr>
      </w:pPr>
    </w:p>
    <w:p w14:paraId="2ACE17CB">
      <w:pPr>
        <w:rPr>
          <w:b/>
          <w:color w:val="auto"/>
          <w:sz w:val="24"/>
        </w:rPr>
      </w:pPr>
    </w:p>
    <w:p w14:paraId="7518FF47">
      <w:pPr>
        <w:rPr>
          <w:b/>
          <w:color w:val="auto"/>
          <w:sz w:val="24"/>
        </w:rPr>
      </w:pPr>
    </w:p>
    <w:p w14:paraId="4C31C814">
      <w:pPr>
        <w:rPr>
          <w:b/>
          <w:color w:val="auto"/>
          <w:sz w:val="24"/>
        </w:rPr>
      </w:pPr>
    </w:p>
    <w:p w14:paraId="03AE7AB1">
      <w:pPr>
        <w:rPr>
          <w:b/>
          <w:color w:val="auto"/>
          <w:sz w:val="24"/>
        </w:rPr>
      </w:pPr>
    </w:p>
    <w:p w14:paraId="3A4BEB2B">
      <w:pPr>
        <w:rPr>
          <w:b/>
          <w:color w:val="auto"/>
          <w:sz w:val="24"/>
        </w:rPr>
      </w:pPr>
    </w:p>
    <w:p w14:paraId="40A87C0C">
      <w:pPr>
        <w:rPr>
          <w:b/>
          <w:color w:val="auto"/>
          <w:sz w:val="24"/>
        </w:rPr>
      </w:pPr>
    </w:p>
    <w:p w14:paraId="0EBEBBC2">
      <w:pPr>
        <w:rPr>
          <w:b/>
          <w:color w:val="auto"/>
          <w:sz w:val="24"/>
        </w:rPr>
      </w:pPr>
    </w:p>
    <w:p w14:paraId="5BD58698">
      <w:pPr>
        <w:rPr>
          <w:b/>
          <w:color w:val="auto"/>
          <w:sz w:val="24"/>
        </w:rPr>
      </w:pPr>
    </w:p>
    <w:p w14:paraId="442B1831">
      <w:pPr>
        <w:rPr>
          <w:b/>
          <w:color w:val="auto"/>
          <w:sz w:val="24"/>
        </w:rPr>
      </w:pPr>
    </w:p>
    <w:p w14:paraId="40811F1B">
      <w:pPr>
        <w:rPr>
          <w:b/>
          <w:color w:val="auto"/>
          <w:sz w:val="24"/>
        </w:rPr>
      </w:pPr>
    </w:p>
    <w:p w14:paraId="017A39CF">
      <w:pPr>
        <w:rPr>
          <w:b/>
          <w:color w:val="auto"/>
          <w:sz w:val="24"/>
        </w:rPr>
      </w:pPr>
    </w:p>
    <w:p w14:paraId="00453064">
      <w:pPr>
        <w:rPr>
          <w:b/>
          <w:color w:val="auto"/>
          <w:sz w:val="24"/>
        </w:rPr>
      </w:pPr>
    </w:p>
    <w:p w14:paraId="4BD1C41B">
      <w:pPr>
        <w:rPr>
          <w:b/>
          <w:color w:val="auto"/>
          <w:sz w:val="24"/>
        </w:rPr>
      </w:pPr>
    </w:p>
    <w:p w14:paraId="6BE5C522">
      <w:pPr>
        <w:rPr>
          <w:b/>
          <w:color w:val="auto"/>
          <w:sz w:val="24"/>
        </w:rPr>
      </w:pPr>
    </w:p>
    <w:p w14:paraId="7E9D41D0">
      <w:pPr>
        <w:rPr>
          <w:b/>
          <w:color w:val="auto"/>
          <w:sz w:val="24"/>
        </w:rPr>
      </w:pPr>
    </w:p>
    <w:p w14:paraId="1C50A4A9">
      <w:pPr>
        <w:spacing w:before="342" w:line="400" w:lineRule="exact"/>
        <w:rPr>
          <w:rFonts w:hint="eastAsia" w:ascii="仿宋_GB2312" w:hAnsi="仿宋_GB2312" w:eastAsia="仿宋_GB2312" w:cs="仿宋_GB2312"/>
          <w:color w:val="auto"/>
          <w:spacing w:val="-2"/>
          <w:sz w:val="28"/>
          <w:szCs w:val="28"/>
        </w:rPr>
      </w:pPr>
    </w:p>
    <w:p w14:paraId="02C5B415">
      <w:pPr>
        <w:spacing w:before="342" w:line="400" w:lineRule="exact"/>
        <w:rPr>
          <w:rFonts w:hint="eastAsia" w:ascii="仿宋_GB2312" w:hAnsi="仿宋_GB2312" w:eastAsia="仿宋_GB2312" w:cs="仿宋_GB2312"/>
          <w:color w:val="auto"/>
          <w:spacing w:val="-2"/>
          <w:sz w:val="28"/>
          <w:szCs w:val="28"/>
        </w:rPr>
      </w:pPr>
    </w:p>
    <w:p w14:paraId="7F7CD2BE">
      <w:pPr>
        <w:spacing w:before="342" w:line="400" w:lineRule="exact"/>
        <w:rPr>
          <w:rFonts w:hint="eastAsia" w:ascii="仿宋_GB2312" w:hAnsi="仿宋_GB2312" w:eastAsia="仿宋_GB2312" w:cs="仿宋_GB2312"/>
          <w:color w:val="auto"/>
          <w:spacing w:val="-2"/>
          <w:sz w:val="28"/>
          <w:szCs w:val="28"/>
        </w:rPr>
      </w:pPr>
    </w:p>
    <w:p w14:paraId="060FCF6C">
      <w:pPr>
        <w:spacing w:before="342" w:line="400" w:lineRule="exact"/>
        <w:rPr>
          <w:rFonts w:hint="eastAsia" w:ascii="仿宋_GB2312" w:hAnsi="仿宋_GB2312" w:eastAsia="仿宋_GB2312" w:cs="仿宋_GB2312"/>
          <w:color w:val="auto"/>
          <w:spacing w:val="-2"/>
          <w:sz w:val="28"/>
          <w:szCs w:val="28"/>
        </w:rPr>
      </w:pPr>
    </w:p>
    <w:p w14:paraId="412792F3">
      <w:pPr>
        <w:spacing w:before="342" w:line="400" w:lineRule="exact"/>
        <w:rPr>
          <w:rFonts w:hint="eastAsia" w:ascii="仿宋_GB2312" w:hAnsi="仿宋_GB2312" w:eastAsia="仿宋_GB2312" w:cs="仿宋_GB2312"/>
          <w:color w:val="auto"/>
          <w:spacing w:val="-2"/>
          <w:sz w:val="28"/>
          <w:szCs w:val="28"/>
        </w:rPr>
      </w:pPr>
    </w:p>
    <w:p w14:paraId="6633E012">
      <w:pPr>
        <w:spacing w:before="342" w:line="400" w:lineRule="exact"/>
        <w:rPr>
          <w:rFonts w:hint="eastAsia" w:ascii="仿宋_GB2312" w:hAnsi="仿宋_GB2312" w:eastAsia="仿宋_GB2312" w:cs="仿宋_GB2312"/>
          <w:color w:val="auto"/>
          <w:spacing w:val="-2"/>
          <w:sz w:val="28"/>
          <w:szCs w:val="28"/>
        </w:rPr>
      </w:pPr>
      <w:r>
        <w:rPr>
          <w:rFonts w:hint="eastAsia" w:ascii="仿宋_GB2312" w:hAnsi="仿宋_GB2312" w:eastAsia="仿宋_GB2312" w:cs="仿宋_GB2312"/>
          <w:color w:val="auto"/>
          <w:spacing w:val="-2"/>
          <w:sz w:val="28"/>
          <w:szCs w:val="28"/>
        </w:rPr>
        <w:t>附件一：</w:t>
      </w:r>
    </w:p>
    <w:p w14:paraId="7D575FED">
      <w:pPr>
        <w:spacing w:before="342" w:line="175" w:lineRule="auto"/>
        <w:jc w:val="center"/>
        <w:rPr>
          <w:rFonts w:hint="eastAsia" w:ascii="微软雅黑" w:hAnsi="微软雅黑" w:eastAsia="微软雅黑" w:cs="微软雅黑"/>
          <w:color w:val="auto"/>
          <w:sz w:val="40"/>
          <w:szCs w:val="40"/>
        </w:rPr>
      </w:pPr>
      <w:r>
        <w:rPr>
          <w:rFonts w:ascii="微软雅黑" w:hAnsi="微软雅黑" w:eastAsia="微软雅黑" w:cs="微软雅黑"/>
          <w:color w:val="auto"/>
          <w:spacing w:val="-2"/>
          <w:sz w:val="40"/>
          <w:szCs w:val="40"/>
        </w:rPr>
        <w:t>节能产品政府采购品目清单</w:t>
      </w:r>
    </w:p>
    <w:p w14:paraId="17A4745B">
      <w:pPr>
        <w:spacing w:line="151" w:lineRule="exact"/>
        <w:rPr>
          <w:color w:val="auto"/>
        </w:rPr>
      </w:pPr>
    </w:p>
    <w:tbl>
      <w:tblPr>
        <w:tblStyle w:val="89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2F0E9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2" w:hRule="atLeast"/>
          <w:jc w:val="center"/>
        </w:trPr>
        <w:tc>
          <w:tcPr>
            <w:tcW w:w="632" w:type="dxa"/>
            <w:noWrap w:val="0"/>
            <w:vAlign w:val="top"/>
          </w:tcPr>
          <w:p w14:paraId="48ED9A27">
            <w:pPr>
              <w:pStyle w:val="871"/>
              <w:spacing w:before="129" w:line="249" w:lineRule="auto"/>
              <w:ind w:left="72" w:right="66" w:firstLine="18"/>
              <w:rPr>
                <w:rFonts w:hint="eastAsia"/>
                <w:color w:val="auto"/>
                <w:sz w:val="22"/>
                <w:szCs w:val="22"/>
              </w:rPr>
            </w:pPr>
            <w:r>
              <w:rPr>
                <w:b/>
                <w:bCs/>
                <w:color w:val="auto"/>
                <w:spacing w:val="-15"/>
                <w:sz w:val="22"/>
                <w:szCs w:val="22"/>
              </w:rPr>
              <w:t>品目</w:t>
            </w:r>
            <w:r>
              <w:rPr>
                <w:color w:val="auto"/>
                <w:sz w:val="22"/>
                <w:szCs w:val="22"/>
              </w:rPr>
              <w:t xml:space="preserve"> </w:t>
            </w:r>
            <w:r>
              <w:rPr>
                <w:b/>
                <w:bCs/>
                <w:color w:val="auto"/>
                <w:spacing w:val="-6"/>
                <w:sz w:val="22"/>
                <w:szCs w:val="22"/>
              </w:rPr>
              <w:t>序号</w:t>
            </w:r>
          </w:p>
        </w:tc>
        <w:tc>
          <w:tcPr>
            <w:tcW w:w="5335" w:type="dxa"/>
            <w:gridSpan w:val="3"/>
            <w:noWrap w:val="0"/>
            <w:vAlign w:val="top"/>
          </w:tcPr>
          <w:p w14:paraId="3F8B434C">
            <w:pPr>
              <w:pStyle w:val="871"/>
              <w:spacing w:before="285" w:line="223" w:lineRule="auto"/>
              <w:ind w:left="2226"/>
              <w:rPr>
                <w:rFonts w:hint="eastAsia"/>
                <w:color w:val="auto"/>
                <w:sz w:val="22"/>
                <w:szCs w:val="22"/>
              </w:rPr>
            </w:pPr>
            <w:r>
              <w:rPr>
                <w:b/>
                <w:bCs/>
                <w:color w:val="auto"/>
                <w:spacing w:val="-5"/>
                <w:sz w:val="22"/>
                <w:szCs w:val="22"/>
              </w:rPr>
              <w:t>名称</w:t>
            </w:r>
          </w:p>
        </w:tc>
        <w:tc>
          <w:tcPr>
            <w:tcW w:w="3247" w:type="dxa"/>
            <w:noWrap w:val="0"/>
            <w:vAlign w:val="top"/>
          </w:tcPr>
          <w:p w14:paraId="3F6636E2">
            <w:pPr>
              <w:pStyle w:val="871"/>
              <w:spacing w:before="285" w:line="220" w:lineRule="auto"/>
              <w:ind w:left="939"/>
              <w:rPr>
                <w:rFonts w:hint="eastAsia"/>
                <w:color w:val="auto"/>
                <w:sz w:val="22"/>
                <w:szCs w:val="22"/>
              </w:rPr>
            </w:pPr>
            <w:r>
              <w:rPr>
                <w:b/>
                <w:bCs/>
                <w:color w:val="auto"/>
                <w:spacing w:val="-4"/>
                <w:sz w:val="22"/>
                <w:szCs w:val="22"/>
              </w:rPr>
              <w:t>依据的标准</w:t>
            </w:r>
          </w:p>
        </w:tc>
      </w:tr>
      <w:tr w14:paraId="47E07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32" w:type="dxa"/>
            <w:vMerge w:val="restart"/>
            <w:tcBorders>
              <w:bottom w:val="nil"/>
            </w:tcBorders>
            <w:noWrap w:val="0"/>
            <w:vAlign w:val="top"/>
          </w:tcPr>
          <w:p w14:paraId="600061A8">
            <w:pPr>
              <w:spacing w:line="254" w:lineRule="auto"/>
              <w:rPr>
                <w:rFonts w:ascii="Arial"/>
                <w:color w:val="auto"/>
              </w:rPr>
            </w:pPr>
          </w:p>
          <w:p w14:paraId="21331CB5">
            <w:pPr>
              <w:spacing w:line="254" w:lineRule="auto"/>
              <w:rPr>
                <w:rFonts w:ascii="Arial"/>
                <w:color w:val="auto"/>
              </w:rPr>
            </w:pPr>
          </w:p>
          <w:p w14:paraId="704430DD">
            <w:pPr>
              <w:spacing w:line="254" w:lineRule="auto"/>
              <w:rPr>
                <w:rFonts w:ascii="Arial"/>
                <w:color w:val="auto"/>
              </w:rPr>
            </w:pPr>
          </w:p>
          <w:p w14:paraId="785461E4">
            <w:pPr>
              <w:spacing w:line="255" w:lineRule="auto"/>
              <w:rPr>
                <w:rFonts w:ascii="Arial"/>
                <w:color w:val="auto"/>
              </w:rPr>
            </w:pPr>
          </w:p>
          <w:p w14:paraId="59BF523B">
            <w:pPr>
              <w:pStyle w:val="871"/>
              <w:spacing w:before="62" w:line="190" w:lineRule="auto"/>
              <w:ind w:left="257"/>
              <w:rPr>
                <w:rFonts w:hint="eastAsia"/>
                <w:color w:val="auto"/>
              </w:rPr>
            </w:pPr>
            <w:r>
              <w:rPr>
                <w:color w:val="auto"/>
              </w:rPr>
              <w:t>1</w:t>
            </w:r>
          </w:p>
        </w:tc>
        <w:tc>
          <w:tcPr>
            <w:tcW w:w="1275" w:type="dxa"/>
            <w:vMerge w:val="restart"/>
            <w:tcBorders>
              <w:bottom w:val="nil"/>
            </w:tcBorders>
            <w:noWrap w:val="0"/>
            <w:vAlign w:val="top"/>
          </w:tcPr>
          <w:p w14:paraId="578D8758">
            <w:pPr>
              <w:spacing w:line="277" w:lineRule="auto"/>
              <w:rPr>
                <w:rFonts w:ascii="Arial"/>
                <w:color w:val="auto"/>
              </w:rPr>
            </w:pPr>
          </w:p>
          <w:p w14:paraId="024E5B2A">
            <w:pPr>
              <w:spacing w:line="277" w:lineRule="auto"/>
              <w:rPr>
                <w:rFonts w:ascii="Arial"/>
                <w:color w:val="auto"/>
              </w:rPr>
            </w:pPr>
          </w:p>
          <w:p w14:paraId="573818BA">
            <w:pPr>
              <w:spacing w:line="278" w:lineRule="auto"/>
              <w:rPr>
                <w:rFonts w:ascii="Arial"/>
                <w:color w:val="auto"/>
              </w:rPr>
            </w:pPr>
          </w:p>
          <w:p w14:paraId="640A6E29">
            <w:pPr>
              <w:pStyle w:val="871"/>
              <w:spacing w:before="61" w:line="288" w:lineRule="auto"/>
              <w:ind w:left="14" w:right="8" w:hanging="5"/>
              <w:rPr>
                <w:rFonts w:hint="eastAsia"/>
                <w:color w:val="auto"/>
              </w:rPr>
            </w:pPr>
            <w:r>
              <w:rPr>
                <w:color w:val="auto"/>
                <w:spacing w:val="5"/>
              </w:rPr>
              <w:t>A020101</w:t>
            </w:r>
            <w:r>
              <w:rPr>
                <w:color w:val="auto"/>
                <w:spacing w:val="-43"/>
              </w:rPr>
              <w:t xml:space="preserve"> </w:t>
            </w:r>
            <w:r>
              <w:rPr>
                <w:color w:val="auto"/>
                <w:spacing w:val="5"/>
              </w:rPr>
              <w:t>计算</w:t>
            </w:r>
            <w:r>
              <w:rPr>
                <w:color w:val="auto"/>
              </w:rPr>
              <w:t xml:space="preserve"> </w:t>
            </w:r>
            <w:r>
              <w:rPr>
                <w:color w:val="auto"/>
                <w:spacing w:val="6"/>
              </w:rPr>
              <w:t>机设备</w:t>
            </w:r>
          </w:p>
        </w:tc>
        <w:tc>
          <w:tcPr>
            <w:tcW w:w="1967" w:type="dxa"/>
            <w:noWrap w:val="0"/>
            <w:vAlign w:val="top"/>
          </w:tcPr>
          <w:p w14:paraId="1E67604A">
            <w:pPr>
              <w:pStyle w:val="871"/>
              <w:spacing w:before="155" w:line="288" w:lineRule="auto"/>
              <w:ind w:left="17" w:right="10" w:firstLine="1"/>
              <w:rPr>
                <w:rFonts w:hint="eastAsia"/>
                <w:color w:val="auto"/>
              </w:rPr>
            </w:pPr>
            <w:r>
              <w:rPr>
                <w:color w:val="auto"/>
                <w:spacing w:val="3"/>
              </w:rPr>
              <w:t>★A02010104 台式计</w:t>
            </w:r>
            <w:r>
              <w:rPr>
                <w:color w:val="auto"/>
                <w:spacing w:val="12"/>
              </w:rPr>
              <w:t xml:space="preserve"> </w:t>
            </w:r>
            <w:r>
              <w:rPr>
                <w:color w:val="auto"/>
                <w:spacing w:val="4"/>
              </w:rPr>
              <w:t>算机</w:t>
            </w:r>
          </w:p>
        </w:tc>
        <w:tc>
          <w:tcPr>
            <w:tcW w:w="2093" w:type="dxa"/>
            <w:noWrap w:val="0"/>
            <w:vAlign w:val="top"/>
          </w:tcPr>
          <w:p w14:paraId="17F77B8D">
            <w:pPr>
              <w:rPr>
                <w:rFonts w:ascii="Arial"/>
                <w:color w:val="auto"/>
              </w:rPr>
            </w:pPr>
          </w:p>
        </w:tc>
        <w:tc>
          <w:tcPr>
            <w:tcW w:w="3247" w:type="dxa"/>
            <w:noWrap w:val="0"/>
            <w:vAlign w:val="top"/>
          </w:tcPr>
          <w:p w14:paraId="6D4C29AB">
            <w:pPr>
              <w:pStyle w:val="871"/>
              <w:spacing w:before="155" w:line="288" w:lineRule="auto"/>
              <w:ind w:left="19" w:right="11" w:firstLine="3"/>
              <w:rPr>
                <w:rFonts w:hint="eastAsia"/>
                <w:color w:val="auto"/>
                <w:lang w:eastAsia="zh-CN"/>
              </w:rPr>
            </w:pPr>
            <w:r>
              <w:rPr>
                <w:color w:val="auto"/>
                <w:spacing w:val="19"/>
                <w:lang w:eastAsia="zh-CN"/>
              </w:rPr>
              <w:t>《微型计算机能效限定值及能效</w:t>
            </w:r>
            <w:r>
              <w:rPr>
                <w:color w:val="auto"/>
                <w:spacing w:val="2"/>
                <w:lang w:eastAsia="zh-CN"/>
              </w:rPr>
              <w:t xml:space="preserve"> </w:t>
            </w:r>
            <w:r>
              <w:rPr>
                <w:color w:val="auto"/>
                <w:spacing w:val="6"/>
                <w:lang w:eastAsia="zh-CN"/>
              </w:rPr>
              <w:t>等级》（</w:t>
            </w:r>
            <w:r>
              <w:rPr>
                <w:color w:val="auto"/>
                <w:lang w:eastAsia="zh-CN"/>
              </w:rPr>
              <w:t>GB</w:t>
            </w:r>
            <w:r>
              <w:rPr>
                <w:color w:val="auto"/>
                <w:spacing w:val="6"/>
                <w:lang w:eastAsia="zh-CN"/>
              </w:rPr>
              <w:t xml:space="preserve"> 28380）</w:t>
            </w:r>
          </w:p>
        </w:tc>
      </w:tr>
      <w:tr w14:paraId="6A91E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632" w:type="dxa"/>
            <w:vMerge w:val="continue"/>
            <w:tcBorders>
              <w:top w:val="nil"/>
              <w:bottom w:val="nil"/>
            </w:tcBorders>
            <w:noWrap w:val="0"/>
            <w:vAlign w:val="top"/>
          </w:tcPr>
          <w:p w14:paraId="6BD28A79">
            <w:pPr>
              <w:rPr>
                <w:rFonts w:ascii="Arial"/>
                <w:color w:val="auto"/>
              </w:rPr>
            </w:pPr>
          </w:p>
        </w:tc>
        <w:tc>
          <w:tcPr>
            <w:tcW w:w="1275" w:type="dxa"/>
            <w:vMerge w:val="continue"/>
            <w:tcBorders>
              <w:top w:val="nil"/>
              <w:bottom w:val="nil"/>
            </w:tcBorders>
            <w:noWrap w:val="0"/>
            <w:vAlign w:val="top"/>
          </w:tcPr>
          <w:p w14:paraId="66094630">
            <w:pPr>
              <w:rPr>
                <w:rFonts w:ascii="Arial"/>
                <w:color w:val="auto"/>
              </w:rPr>
            </w:pPr>
          </w:p>
        </w:tc>
        <w:tc>
          <w:tcPr>
            <w:tcW w:w="1967" w:type="dxa"/>
            <w:noWrap w:val="0"/>
            <w:vAlign w:val="top"/>
          </w:tcPr>
          <w:p w14:paraId="3A67FAA4">
            <w:pPr>
              <w:pStyle w:val="871"/>
              <w:spacing w:before="110" w:line="288" w:lineRule="auto"/>
              <w:ind w:left="15" w:right="10" w:firstLine="3"/>
              <w:rPr>
                <w:rFonts w:hint="eastAsia"/>
                <w:color w:val="auto"/>
              </w:rPr>
            </w:pPr>
            <w:r>
              <w:rPr>
                <w:color w:val="auto"/>
                <w:spacing w:val="3"/>
              </w:rPr>
              <w:t>★A02010105 便携式</w:t>
            </w:r>
            <w:r>
              <w:rPr>
                <w:color w:val="auto"/>
                <w:spacing w:val="12"/>
              </w:rPr>
              <w:t xml:space="preserve"> </w:t>
            </w:r>
            <w:r>
              <w:rPr>
                <w:color w:val="auto"/>
                <w:spacing w:val="6"/>
              </w:rPr>
              <w:t>计算机</w:t>
            </w:r>
          </w:p>
        </w:tc>
        <w:tc>
          <w:tcPr>
            <w:tcW w:w="2093" w:type="dxa"/>
            <w:noWrap w:val="0"/>
            <w:vAlign w:val="top"/>
          </w:tcPr>
          <w:p w14:paraId="2112A3F4">
            <w:pPr>
              <w:rPr>
                <w:rFonts w:ascii="Arial"/>
                <w:color w:val="auto"/>
              </w:rPr>
            </w:pPr>
          </w:p>
        </w:tc>
        <w:tc>
          <w:tcPr>
            <w:tcW w:w="3247" w:type="dxa"/>
            <w:noWrap w:val="0"/>
            <w:vAlign w:val="top"/>
          </w:tcPr>
          <w:p w14:paraId="724AF990">
            <w:pPr>
              <w:pStyle w:val="871"/>
              <w:spacing w:before="111" w:line="288" w:lineRule="auto"/>
              <w:ind w:left="19" w:right="11" w:firstLine="3"/>
              <w:rPr>
                <w:rFonts w:hint="eastAsia"/>
                <w:color w:val="auto"/>
                <w:lang w:eastAsia="zh-CN"/>
              </w:rPr>
            </w:pPr>
            <w:r>
              <w:rPr>
                <w:color w:val="auto"/>
                <w:spacing w:val="19"/>
                <w:lang w:eastAsia="zh-CN"/>
              </w:rPr>
              <w:t>《微型计算机能效限定值及能效</w:t>
            </w:r>
            <w:r>
              <w:rPr>
                <w:color w:val="auto"/>
                <w:spacing w:val="2"/>
                <w:lang w:eastAsia="zh-CN"/>
              </w:rPr>
              <w:t xml:space="preserve"> </w:t>
            </w:r>
            <w:r>
              <w:rPr>
                <w:color w:val="auto"/>
                <w:spacing w:val="6"/>
                <w:lang w:eastAsia="zh-CN"/>
              </w:rPr>
              <w:t>等级》（</w:t>
            </w:r>
            <w:r>
              <w:rPr>
                <w:color w:val="auto"/>
                <w:lang w:eastAsia="zh-CN"/>
              </w:rPr>
              <w:t>GB</w:t>
            </w:r>
            <w:r>
              <w:rPr>
                <w:color w:val="auto"/>
                <w:spacing w:val="6"/>
                <w:lang w:eastAsia="zh-CN"/>
              </w:rPr>
              <w:t xml:space="preserve"> 28380）</w:t>
            </w:r>
          </w:p>
        </w:tc>
      </w:tr>
      <w:tr w14:paraId="69B9C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632" w:type="dxa"/>
            <w:vMerge w:val="continue"/>
            <w:tcBorders>
              <w:top w:val="nil"/>
            </w:tcBorders>
            <w:noWrap w:val="0"/>
            <w:vAlign w:val="top"/>
          </w:tcPr>
          <w:p w14:paraId="6168ECA3">
            <w:pPr>
              <w:rPr>
                <w:rFonts w:ascii="Arial"/>
                <w:color w:val="auto"/>
              </w:rPr>
            </w:pPr>
          </w:p>
        </w:tc>
        <w:tc>
          <w:tcPr>
            <w:tcW w:w="1275" w:type="dxa"/>
            <w:vMerge w:val="continue"/>
            <w:tcBorders>
              <w:top w:val="nil"/>
            </w:tcBorders>
            <w:noWrap w:val="0"/>
            <w:vAlign w:val="top"/>
          </w:tcPr>
          <w:p w14:paraId="4F53DA31">
            <w:pPr>
              <w:rPr>
                <w:rFonts w:ascii="Arial"/>
                <w:color w:val="auto"/>
              </w:rPr>
            </w:pPr>
          </w:p>
        </w:tc>
        <w:tc>
          <w:tcPr>
            <w:tcW w:w="1967" w:type="dxa"/>
            <w:noWrap w:val="0"/>
            <w:vAlign w:val="top"/>
          </w:tcPr>
          <w:p w14:paraId="3DFD9494">
            <w:pPr>
              <w:pStyle w:val="871"/>
              <w:spacing w:before="130" w:line="288" w:lineRule="auto"/>
              <w:ind w:left="15" w:right="10" w:firstLine="3"/>
              <w:rPr>
                <w:rFonts w:hint="eastAsia"/>
                <w:color w:val="auto"/>
                <w:lang w:eastAsia="zh-CN"/>
              </w:rPr>
            </w:pPr>
            <w:r>
              <w:rPr>
                <w:color w:val="auto"/>
                <w:spacing w:val="3"/>
                <w:lang w:eastAsia="zh-CN"/>
              </w:rPr>
              <w:t>★A02010107 平板式</w:t>
            </w:r>
            <w:r>
              <w:rPr>
                <w:color w:val="auto"/>
                <w:spacing w:val="12"/>
                <w:lang w:eastAsia="zh-CN"/>
              </w:rPr>
              <w:t xml:space="preserve"> </w:t>
            </w:r>
            <w:r>
              <w:rPr>
                <w:color w:val="auto"/>
                <w:spacing w:val="8"/>
                <w:lang w:eastAsia="zh-CN"/>
              </w:rPr>
              <w:t>微型计算机</w:t>
            </w:r>
          </w:p>
        </w:tc>
        <w:tc>
          <w:tcPr>
            <w:tcW w:w="2093" w:type="dxa"/>
            <w:noWrap w:val="0"/>
            <w:vAlign w:val="top"/>
          </w:tcPr>
          <w:p w14:paraId="699853E8">
            <w:pPr>
              <w:rPr>
                <w:rFonts w:ascii="Arial"/>
                <w:color w:val="auto"/>
              </w:rPr>
            </w:pPr>
          </w:p>
        </w:tc>
        <w:tc>
          <w:tcPr>
            <w:tcW w:w="3247" w:type="dxa"/>
            <w:noWrap w:val="0"/>
            <w:vAlign w:val="top"/>
          </w:tcPr>
          <w:p w14:paraId="05A4BE09">
            <w:pPr>
              <w:pStyle w:val="871"/>
              <w:spacing w:before="130" w:line="288" w:lineRule="auto"/>
              <w:ind w:left="19" w:right="11" w:firstLine="3"/>
              <w:rPr>
                <w:rFonts w:hint="eastAsia"/>
                <w:color w:val="auto"/>
                <w:lang w:eastAsia="zh-CN"/>
              </w:rPr>
            </w:pPr>
            <w:r>
              <w:rPr>
                <w:color w:val="auto"/>
                <w:spacing w:val="19"/>
                <w:lang w:eastAsia="zh-CN"/>
              </w:rPr>
              <w:t>《微型计算机能效限定值及能效</w:t>
            </w:r>
            <w:r>
              <w:rPr>
                <w:color w:val="auto"/>
                <w:spacing w:val="2"/>
                <w:lang w:eastAsia="zh-CN"/>
              </w:rPr>
              <w:t xml:space="preserve"> </w:t>
            </w:r>
            <w:r>
              <w:rPr>
                <w:color w:val="auto"/>
                <w:spacing w:val="6"/>
                <w:lang w:eastAsia="zh-CN"/>
              </w:rPr>
              <w:t>等级》（</w:t>
            </w:r>
            <w:r>
              <w:rPr>
                <w:color w:val="auto"/>
                <w:lang w:eastAsia="zh-CN"/>
              </w:rPr>
              <w:t>GB</w:t>
            </w:r>
            <w:r>
              <w:rPr>
                <w:color w:val="auto"/>
                <w:spacing w:val="6"/>
                <w:lang w:eastAsia="zh-CN"/>
              </w:rPr>
              <w:t xml:space="preserve"> 28380）</w:t>
            </w:r>
          </w:p>
        </w:tc>
      </w:tr>
      <w:tr w14:paraId="32397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vMerge w:val="restart"/>
            <w:tcBorders>
              <w:bottom w:val="nil"/>
            </w:tcBorders>
            <w:noWrap w:val="0"/>
            <w:vAlign w:val="top"/>
          </w:tcPr>
          <w:p w14:paraId="3A0E9C04">
            <w:pPr>
              <w:spacing w:line="255" w:lineRule="auto"/>
              <w:rPr>
                <w:rFonts w:ascii="Arial"/>
                <w:color w:val="auto"/>
              </w:rPr>
            </w:pPr>
          </w:p>
          <w:p w14:paraId="06C51FCC">
            <w:pPr>
              <w:spacing w:line="255" w:lineRule="auto"/>
              <w:rPr>
                <w:rFonts w:ascii="Arial"/>
                <w:color w:val="auto"/>
              </w:rPr>
            </w:pPr>
          </w:p>
          <w:p w14:paraId="5760D5C8">
            <w:pPr>
              <w:spacing w:line="255" w:lineRule="auto"/>
              <w:rPr>
                <w:rFonts w:ascii="Arial"/>
                <w:color w:val="auto"/>
              </w:rPr>
            </w:pPr>
          </w:p>
          <w:p w14:paraId="40381A55">
            <w:pPr>
              <w:spacing w:line="255" w:lineRule="auto"/>
              <w:rPr>
                <w:rFonts w:ascii="Arial"/>
                <w:color w:val="auto"/>
              </w:rPr>
            </w:pPr>
          </w:p>
          <w:p w14:paraId="6653E39A">
            <w:pPr>
              <w:spacing w:line="255" w:lineRule="auto"/>
              <w:rPr>
                <w:rFonts w:ascii="Arial"/>
                <w:color w:val="auto"/>
              </w:rPr>
            </w:pPr>
          </w:p>
          <w:p w14:paraId="4A7F1023">
            <w:pPr>
              <w:spacing w:line="255" w:lineRule="auto"/>
              <w:rPr>
                <w:rFonts w:ascii="Arial"/>
                <w:color w:val="auto"/>
              </w:rPr>
            </w:pPr>
          </w:p>
          <w:p w14:paraId="0C665CC2">
            <w:pPr>
              <w:spacing w:line="256" w:lineRule="auto"/>
              <w:rPr>
                <w:rFonts w:ascii="Arial"/>
                <w:color w:val="auto"/>
              </w:rPr>
            </w:pPr>
          </w:p>
          <w:p w14:paraId="11C3E705">
            <w:pPr>
              <w:spacing w:line="256" w:lineRule="auto"/>
              <w:rPr>
                <w:rFonts w:ascii="Arial"/>
                <w:color w:val="auto"/>
              </w:rPr>
            </w:pPr>
          </w:p>
          <w:p w14:paraId="2BA30F92">
            <w:pPr>
              <w:pStyle w:val="871"/>
              <w:spacing w:before="62" w:line="189" w:lineRule="auto"/>
              <w:ind w:left="245"/>
              <w:rPr>
                <w:rFonts w:hint="eastAsia"/>
                <w:color w:val="auto"/>
              </w:rPr>
            </w:pPr>
            <w:r>
              <w:rPr>
                <w:color w:val="auto"/>
              </w:rPr>
              <w:t>2</w:t>
            </w:r>
          </w:p>
        </w:tc>
        <w:tc>
          <w:tcPr>
            <w:tcW w:w="1275" w:type="dxa"/>
            <w:vMerge w:val="restart"/>
            <w:tcBorders>
              <w:bottom w:val="nil"/>
            </w:tcBorders>
            <w:noWrap w:val="0"/>
            <w:vAlign w:val="top"/>
          </w:tcPr>
          <w:p w14:paraId="164F0013">
            <w:pPr>
              <w:spacing w:line="265" w:lineRule="auto"/>
              <w:rPr>
                <w:rFonts w:ascii="Arial"/>
                <w:color w:val="auto"/>
              </w:rPr>
            </w:pPr>
          </w:p>
          <w:p w14:paraId="201DD4BD">
            <w:pPr>
              <w:spacing w:line="265" w:lineRule="auto"/>
              <w:rPr>
                <w:rFonts w:ascii="Arial"/>
                <w:color w:val="auto"/>
              </w:rPr>
            </w:pPr>
          </w:p>
          <w:p w14:paraId="7F82D466">
            <w:pPr>
              <w:spacing w:line="265" w:lineRule="auto"/>
              <w:rPr>
                <w:rFonts w:ascii="Arial"/>
                <w:color w:val="auto"/>
              </w:rPr>
            </w:pPr>
          </w:p>
          <w:p w14:paraId="3D125109">
            <w:pPr>
              <w:spacing w:line="265" w:lineRule="auto"/>
              <w:rPr>
                <w:rFonts w:ascii="Arial"/>
                <w:color w:val="auto"/>
              </w:rPr>
            </w:pPr>
          </w:p>
          <w:p w14:paraId="2363D213">
            <w:pPr>
              <w:spacing w:line="265" w:lineRule="auto"/>
              <w:rPr>
                <w:rFonts w:ascii="Arial"/>
                <w:color w:val="auto"/>
              </w:rPr>
            </w:pPr>
          </w:p>
          <w:p w14:paraId="2A0199C2">
            <w:pPr>
              <w:spacing w:line="265" w:lineRule="auto"/>
              <w:rPr>
                <w:rFonts w:ascii="Arial"/>
                <w:color w:val="auto"/>
              </w:rPr>
            </w:pPr>
          </w:p>
          <w:p w14:paraId="77A15F7D">
            <w:pPr>
              <w:spacing w:line="266" w:lineRule="auto"/>
              <w:rPr>
                <w:rFonts w:ascii="Arial"/>
                <w:color w:val="auto"/>
              </w:rPr>
            </w:pPr>
          </w:p>
          <w:p w14:paraId="121BA059">
            <w:pPr>
              <w:pStyle w:val="871"/>
              <w:spacing w:before="62" w:line="288" w:lineRule="auto"/>
              <w:ind w:left="14" w:right="8" w:hanging="5"/>
              <w:rPr>
                <w:rFonts w:hint="eastAsia"/>
                <w:color w:val="auto"/>
              </w:rPr>
            </w:pPr>
            <w:r>
              <w:rPr>
                <w:color w:val="auto"/>
                <w:spacing w:val="5"/>
              </w:rPr>
              <w:t>A020106</w:t>
            </w:r>
            <w:r>
              <w:rPr>
                <w:color w:val="auto"/>
                <w:spacing w:val="-43"/>
              </w:rPr>
              <w:t xml:space="preserve"> </w:t>
            </w:r>
            <w:r>
              <w:rPr>
                <w:color w:val="auto"/>
                <w:spacing w:val="5"/>
              </w:rPr>
              <w:t>输入</w:t>
            </w:r>
            <w:r>
              <w:rPr>
                <w:color w:val="auto"/>
              </w:rPr>
              <w:t xml:space="preserve"> </w:t>
            </w:r>
            <w:r>
              <w:rPr>
                <w:color w:val="auto"/>
                <w:spacing w:val="7"/>
              </w:rPr>
              <w:t>输出设备</w:t>
            </w:r>
          </w:p>
        </w:tc>
        <w:tc>
          <w:tcPr>
            <w:tcW w:w="1967" w:type="dxa"/>
            <w:vMerge w:val="restart"/>
            <w:tcBorders>
              <w:bottom w:val="nil"/>
            </w:tcBorders>
            <w:noWrap w:val="0"/>
            <w:vAlign w:val="top"/>
          </w:tcPr>
          <w:p w14:paraId="00EBA273">
            <w:pPr>
              <w:spacing w:line="316" w:lineRule="auto"/>
              <w:rPr>
                <w:rFonts w:ascii="Arial"/>
                <w:color w:val="auto"/>
              </w:rPr>
            </w:pPr>
          </w:p>
          <w:p w14:paraId="5BC19B47">
            <w:pPr>
              <w:spacing w:line="316" w:lineRule="auto"/>
              <w:rPr>
                <w:rFonts w:ascii="Arial"/>
                <w:color w:val="auto"/>
              </w:rPr>
            </w:pPr>
          </w:p>
          <w:p w14:paraId="4BD2B2A2">
            <w:pPr>
              <w:spacing w:line="317" w:lineRule="auto"/>
              <w:rPr>
                <w:rFonts w:ascii="Arial"/>
                <w:color w:val="auto"/>
              </w:rPr>
            </w:pPr>
          </w:p>
          <w:p w14:paraId="6D889E33">
            <w:pPr>
              <w:pStyle w:val="871"/>
              <w:spacing w:before="62" w:line="229" w:lineRule="auto"/>
              <w:ind w:left="9"/>
              <w:rPr>
                <w:rFonts w:hint="eastAsia"/>
                <w:color w:val="auto"/>
              </w:rPr>
            </w:pPr>
            <w:r>
              <w:rPr>
                <w:color w:val="auto"/>
                <w:spacing w:val="5"/>
              </w:rPr>
              <w:t>A02010601</w:t>
            </w:r>
            <w:r>
              <w:rPr>
                <w:color w:val="auto"/>
                <w:spacing w:val="-28"/>
              </w:rPr>
              <w:t xml:space="preserve"> </w:t>
            </w:r>
            <w:r>
              <w:rPr>
                <w:color w:val="auto"/>
                <w:spacing w:val="5"/>
              </w:rPr>
              <w:t>打印设备</w:t>
            </w:r>
          </w:p>
        </w:tc>
        <w:tc>
          <w:tcPr>
            <w:tcW w:w="2093" w:type="dxa"/>
            <w:noWrap w:val="0"/>
            <w:vAlign w:val="top"/>
          </w:tcPr>
          <w:p w14:paraId="70AC377F">
            <w:pPr>
              <w:pStyle w:val="871"/>
              <w:spacing w:before="119" w:line="288" w:lineRule="auto"/>
              <w:ind w:left="31" w:right="8" w:hanging="21"/>
              <w:rPr>
                <w:rFonts w:hint="eastAsia"/>
                <w:color w:val="auto"/>
              </w:rPr>
            </w:pPr>
            <w:r>
              <w:rPr>
                <w:color w:val="auto"/>
                <w:spacing w:val="3"/>
              </w:rPr>
              <w:t>A0201060101</w:t>
            </w:r>
            <w:r>
              <w:rPr>
                <w:color w:val="auto"/>
                <w:spacing w:val="50"/>
              </w:rPr>
              <w:t xml:space="preserve"> </w:t>
            </w:r>
            <w:r>
              <w:rPr>
                <w:color w:val="auto"/>
                <w:spacing w:val="3"/>
              </w:rPr>
              <w:t>喷</w:t>
            </w:r>
            <w:r>
              <w:rPr>
                <w:color w:val="auto"/>
                <w:spacing w:val="-51"/>
              </w:rPr>
              <w:t xml:space="preserve"> </w:t>
            </w:r>
            <w:r>
              <w:rPr>
                <w:color w:val="auto"/>
                <w:spacing w:val="3"/>
              </w:rPr>
              <w:t>墨</w:t>
            </w:r>
            <w:r>
              <w:rPr>
                <w:color w:val="auto"/>
                <w:spacing w:val="-53"/>
              </w:rPr>
              <w:t xml:space="preserve"> </w:t>
            </w:r>
            <w:r>
              <w:rPr>
                <w:color w:val="auto"/>
                <w:spacing w:val="3"/>
              </w:rPr>
              <w:t>打</w:t>
            </w:r>
            <w:r>
              <w:rPr>
                <w:color w:val="auto"/>
              </w:rPr>
              <w:t xml:space="preserve"> </w:t>
            </w:r>
            <w:r>
              <w:rPr>
                <w:color w:val="auto"/>
                <w:spacing w:val="-2"/>
              </w:rPr>
              <w:t>印机</w:t>
            </w:r>
          </w:p>
        </w:tc>
        <w:tc>
          <w:tcPr>
            <w:tcW w:w="3247" w:type="dxa"/>
            <w:noWrap w:val="0"/>
            <w:vAlign w:val="top"/>
          </w:tcPr>
          <w:p w14:paraId="7A8F2799">
            <w:pPr>
              <w:pStyle w:val="871"/>
              <w:spacing w:before="120" w:line="288" w:lineRule="auto"/>
              <w:ind w:left="22" w:right="13"/>
              <w:rPr>
                <w:rFonts w:hint="eastAsia"/>
                <w:color w:val="auto"/>
                <w:lang w:eastAsia="zh-CN"/>
              </w:rPr>
            </w:pPr>
            <w:r>
              <w:rPr>
                <w:color w:val="auto"/>
                <w:spacing w:val="5"/>
                <w:lang w:eastAsia="zh-CN"/>
              </w:rPr>
              <w:t>《复印机、打印机和传真机能效限</w:t>
            </w:r>
            <w:r>
              <w:rPr>
                <w:color w:val="auto"/>
                <w:lang w:eastAsia="zh-CN"/>
              </w:rPr>
              <w:t xml:space="preserve"> </w:t>
            </w:r>
            <w:r>
              <w:rPr>
                <w:color w:val="auto"/>
                <w:spacing w:val="7"/>
                <w:lang w:eastAsia="zh-CN"/>
              </w:rPr>
              <w:t>定值及能效等级》（</w:t>
            </w:r>
            <w:r>
              <w:rPr>
                <w:color w:val="auto"/>
                <w:lang w:eastAsia="zh-CN"/>
              </w:rPr>
              <w:t>GB</w:t>
            </w:r>
            <w:r>
              <w:rPr>
                <w:color w:val="auto"/>
                <w:spacing w:val="7"/>
                <w:lang w:eastAsia="zh-CN"/>
              </w:rPr>
              <w:t xml:space="preserve"> 21521）</w:t>
            </w:r>
          </w:p>
        </w:tc>
      </w:tr>
      <w:tr w14:paraId="69053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32" w:type="dxa"/>
            <w:vMerge w:val="continue"/>
            <w:tcBorders>
              <w:top w:val="nil"/>
              <w:bottom w:val="nil"/>
            </w:tcBorders>
            <w:noWrap w:val="0"/>
            <w:vAlign w:val="top"/>
          </w:tcPr>
          <w:p w14:paraId="540AE232">
            <w:pPr>
              <w:rPr>
                <w:rFonts w:ascii="Arial"/>
                <w:color w:val="auto"/>
              </w:rPr>
            </w:pPr>
          </w:p>
        </w:tc>
        <w:tc>
          <w:tcPr>
            <w:tcW w:w="1275" w:type="dxa"/>
            <w:vMerge w:val="continue"/>
            <w:tcBorders>
              <w:top w:val="nil"/>
              <w:bottom w:val="nil"/>
            </w:tcBorders>
            <w:noWrap w:val="0"/>
            <w:vAlign w:val="top"/>
          </w:tcPr>
          <w:p w14:paraId="3DD02DC2">
            <w:pPr>
              <w:rPr>
                <w:rFonts w:ascii="Arial"/>
                <w:color w:val="auto"/>
              </w:rPr>
            </w:pPr>
          </w:p>
        </w:tc>
        <w:tc>
          <w:tcPr>
            <w:tcW w:w="1967" w:type="dxa"/>
            <w:vMerge w:val="continue"/>
            <w:tcBorders>
              <w:top w:val="nil"/>
              <w:bottom w:val="nil"/>
            </w:tcBorders>
            <w:noWrap w:val="0"/>
            <w:vAlign w:val="top"/>
          </w:tcPr>
          <w:p w14:paraId="7E2660DE">
            <w:pPr>
              <w:rPr>
                <w:rFonts w:ascii="Arial"/>
                <w:color w:val="auto"/>
              </w:rPr>
            </w:pPr>
          </w:p>
        </w:tc>
        <w:tc>
          <w:tcPr>
            <w:tcW w:w="2093" w:type="dxa"/>
            <w:noWrap w:val="0"/>
            <w:vAlign w:val="top"/>
          </w:tcPr>
          <w:p w14:paraId="0F5AE472">
            <w:pPr>
              <w:pStyle w:val="871"/>
              <w:spacing w:before="119" w:line="288" w:lineRule="auto"/>
              <w:ind w:left="19" w:right="8"/>
              <w:rPr>
                <w:rFonts w:hint="eastAsia"/>
                <w:color w:val="auto"/>
              </w:rPr>
            </w:pPr>
            <w:r>
              <w:rPr>
                <w:color w:val="auto"/>
                <w:spacing w:val="3"/>
              </w:rPr>
              <w:t>★</w:t>
            </w:r>
            <w:r>
              <w:rPr>
                <w:color w:val="auto"/>
                <w:spacing w:val="-50"/>
              </w:rPr>
              <w:t xml:space="preserve"> </w:t>
            </w:r>
            <w:r>
              <w:rPr>
                <w:color w:val="auto"/>
                <w:spacing w:val="3"/>
              </w:rPr>
              <w:t>A0201060102</w:t>
            </w:r>
            <w:r>
              <w:rPr>
                <w:color w:val="auto"/>
                <w:spacing w:val="41"/>
              </w:rPr>
              <w:t xml:space="preserve"> </w:t>
            </w:r>
            <w:r>
              <w:rPr>
                <w:color w:val="auto"/>
                <w:spacing w:val="3"/>
              </w:rPr>
              <w:t>激</w:t>
            </w:r>
            <w:r>
              <w:rPr>
                <w:color w:val="auto"/>
                <w:spacing w:val="-54"/>
              </w:rPr>
              <w:t xml:space="preserve"> </w:t>
            </w:r>
            <w:r>
              <w:rPr>
                <w:color w:val="auto"/>
                <w:spacing w:val="3"/>
              </w:rPr>
              <w:t>光</w:t>
            </w:r>
            <w:r>
              <w:rPr>
                <w:color w:val="auto"/>
              </w:rPr>
              <w:t xml:space="preserve"> </w:t>
            </w:r>
            <w:r>
              <w:rPr>
                <w:color w:val="auto"/>
                <w:spacing w:val="5"/>
              </w:rPr>
              <w:t>打印机</w:t>
            </w:r>
          </w:p>
        </w:tc>
        <w:tc>
          <w:tcPr>
            <w:tcW w:w="3247" w:type="dxa"/>
            <w:noWrap w:val="0"/>
            <w:vAlign w:val="top"/>
          </w:tcPr>
          <w:p w14:paraId="15E712DF">
            <w:pPr>
              <w:pStyle w:val="871"/>
              <w:spacing w:before="120" w:line="288" w:lineRule="auto"/>
              <w:ind w:left="22" w:right="13"/>
              <w:rPr>
                <w:rFonts w:hint="eastAsia"/>
                <w:color w:val="auto"/>
                <w:lang w:eastAsia="zh-CN"/>
              </w:rPr>
            </w:pPr>
            <w:r>
              <w:rPr>
                <w:color w:val="auto"/>
                <w:spacing w:val="5"/>
                <w:lang w:eastAsia="zh-CN"/>
              </w:rPr>
              <w:t>《复印机、打印机和传真机能效限</w:t>
            </w:r>
            <w:r>
              <w:rPr>
                <w:color w:val="auto"/>
                <w:lang w:eastAsia="zh-CN"/>
              </w:rPr>
              <w:t xml:space="preserve"> </w:t>
            </w:r>
            <w:r>
              <w:rPr>
                <w:color w:val="auto"/>
                <w:spacing w:val="7"/>
                <w:lang w:eastAsia="zh-CN"/>
              </w:rPr>
              <w:t>定值及能效等级》（</w:t>
            </w:r>
            <w:r>
              <w:rPr>
                <w:color w:val="auto"/>
                <w:lang w:eastAsia="zh-CN"/>
              </w:rPr>
              <w:t>GB</w:t>
            </w:r>
            <w:r>
              <w:rPr>
                <w:color w:val="auto"/>
                <w:spacing w:val="7"/>
                <w:lang w:eastAsia="zh-CN"/>
              </w:rPr>
              <w:t xml:space="preserve"> 21521）</w:t>
            </w:r>
          </w:p>
        </w:tc>
      </w:tr>
      <w:tr w14:paraId="5F5EF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32" w:type="dxa"/>
            <w:vMerge w:val="continue"/>
            <w:tcBorders>
              <w:top w:val="nil"/>
              <w:bottom w:val="nil"/>
            </w:tcBorders>
            <w:noWrap w:val="0"/>
            <w:vAlign w:val="top"/>
          </w:tcPr>
          <w:p w14:paraId="6D570B63">
            <w:pPr>
              <w:rPr>
                <w:rFonts w:ascii="Arial"/>
                <w:color w:val="auto"/>
              </w:rPr>
            </w:pPr>
          </w:p>
        </w:tc>
        <w:tc>
          <w:tcPr>
            <w:tcW w:w="1275" w:type="dxa"/>
            <w:vMerge w:val="continue"/>
            <w:tcBorders>
              <w:top w:val="nil"/>
              <w:bottom w:val="nil"/>
            </w:tcBorders>
            <w:noWrap w:val="0"/>
            <w:vAlign w:val="top"/>
          </w:tcPr>
          <w:p w14:paraId="73432D3A">
            <w:pPr>
              <w:rPr>
                <w:rFonts w:ascii="Arial"/>
                <w:color w:val="auto"/>
              </w:rPr>
            </w:pPr>
          </w:p>
        </w:tc>
        <w:tc>
          <w:tcPr>
            <w:tcW w:w="1967" w:type="dxa"/>
            <w:vMerge w:val="continue"/>
            <w:tcBorders>
              <w:top w:val="nil"/>
            </w:tcBorders>
            <w:noWrap w:val="0"/>
            <w:vAlign w:val="top"/>
          </w:tcPr>
          <w:p w14:paraId="121CC7A4">
            <w:pPr>
              <w:rPr>
                <w:rFonts w:ascii="Arial"/>
                <w:color w:val="auto"/>
              </w:rPr>
            </w:pPr>
          </w:p>
        </w:tc>
        <w:tc>
          <w:tcPr>
            <w:tcW w:w="2093" w:type="dxa"/>
            <w:noWrap w:val="0"/>
            <w:vAlign w:val="top"/>
          </w:tcPr>
          <w:p w14:paraId="54D2B1D9">
            <w:pPr>
              <w:pStyle w:val="871"/>
              <w:spacing w:before="119" w:line="288" w:lineRule="auto"/>
              <w:ind w:left="19" w:right="8"/>
              <w:rPr>
                <w:rFonts w:hint="eastAsia"/>
                <w:color w:val="auto"/>
              </w:rPr>
            </w:pPr>
            <w:r>
              <w:rPr>
                <w:color w:val="auto"/>
                <w:spacing w:val="3"/>
              </w:rPr>
              <w:t>★</w:t>
            </w:r>
            <w:r>
              <w:rPr>
                <w:color w:val="auto"/>
                <w:spacing w:val="-54"/>
              </w:rPr>
              <w:t xml:space="preserve"> </w:t>
            </w:r>
            <w:r>
              <w:rPr>
                <w:color w:val="auto"/>
                <w:spacing w:val="3"/>
              </w:rPr>
              <w:t>A0201060104</w:t>
            </w:r>
            <w:r>
              <w:rPr>
                <w:color w:val="auto"/>
                <w:spacing w:val="43"/>
              </w:rPr>
              <w:t xml:space="preserve"> </w:t>
            </w:r>
            <w:r>
              <w:rPr>
                <w:color w:val="auto"/>
                <w:spacing w:val="3"/>
              </w:rPr>
              <w:t>针</w:t>
            </w:r>
            <w:r>
              <w:rPr>
                <w:color w:val="auto"/>
                <w:spacing w:val="-52"/>
              </w:rPr>
              <w:t xml:space="preserve"> </w:t>
            </w:r>
            <w:r>
              <w:rPr>
                <w:color w:val="auto"/>
                <w:spacing w:val="3"/>
              </w:rPr>
              <w:t>式</w:t>
            </w:r>
            <w:r>
              <w:rPr>
                <w:color w:val="auto"/>
              </w:rPr>
              <w:t xml:space="preserve"> </w:t>
            </w:r>
            <w:r>
              <w:rPr>
                <w:color w:val="auto"/>
                <w:spacing w:val="5"/>
              </w:rPr>
              <w:t>打印机</w:t>
            </w:r>
          </w:p>
        </w:tc>
        <w:tc>
          <w:tcPr>
            <w:tcW w:w="3247" w:type="dxa"/>
            <w:noWrap w:val="0"/>
            <w:vAlign w:val="top"/>
          </w:tcPr>
          <w:p w14:paraId="5ED99941">
            <w:pPr>
              <w:pStyle w:val="871"/>
              <w:spacing w:before="120" w:line="288" w:lineRule="auto"/>
              <w:ind w:left="22" w:right="13"/>
              <w:rPr>
                <w:rFonts w:hint="eastAsia"/>
                <w:color w:val="auto"/>
                <w:lang w:eastAsia="zh-CN"/>
              </w:rPr>
            </w:pPr>
            <w:r>
              <w:rPr>
                <w:color w:val="auto"/>
                <w:spacing w:val="5"/>
                <w:lang w:eastAsia="zh-CN"/>
              </w:rPr>
              <w:t>《复印机、打印机和传真机能效限</w:t>
            </w:r>
            <w:r>
              <w:rPr>
                <w:color w:val="auto"/>
                <w:lang w:eastAsia="zh-CN"/>
              </w:rPr>
              <w:t xml:space="preserve"> </w:t>
            </w:r>
            <w:r>
              <w:rPr>
                <w:color w:val="auto"/>
                <w:spacing w:val="7"/>
                <w:lang w:eastAsia="zh-CN"/>
              </w:rPr>
              <w:t>定值及能效等级》（</w:t>
            </w:r>
            <w:r>
              <w:rPr>
                <w:color w:val="auto"/>
                <w:lang w:eastAsia="zh-CN"/>
              </w:rPr>
              <w:t>GB</w:t>
            </w:r>
            <w:r>
              <w:rPr>
                <w:color w:val="auto"/>
                <w:spacing w:val="7"/>
                <w:lang w:eastAsia="zh-CN"/>
              </w:rPr>
              <w:t xml:space="preserve"> 21521）</w:t>
            </w:r>
          </w:p>
        </w:tc>
      </w:tr>
      <w:tr w14:paraId="06E28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32" w:type="dxa"/>
            <w:vMerge w:val="continue"/>
            <w:tcBorders>
              <w:top w:val="nil"/>
              <w:bottom w:val="nil"/>
            </w:tcBorders>
            <w:noWrap w:val="0"/>
            <w:vAlign w:val="top"/>
          </w:tcPr>
          <w:p w14:paraId="1D7A6696">
            <w:pPr>
              <w:rPr>
                <w:rFonts w:ascii="Arial"/>
                <w:color w:val="auto"/>
              </w:rPr>
            </w:pPr>
          </w:p>
        </w:tc>
        <w:tc>
          <w:tcPr>
            <w:tcW w:w="1275" w:type="dxa"/>
            <w:vMerge w:val="continue"/>
            <w:tcBorders>
              <w:top w:val="nil"/>
              <w:bottom w:val="nil"/>
            </w:tcBorders>
            <w:noWrap w:val="0"/>
            <w:vAlign w:val="top"/>
          </w:tcPr>
          <w:p w14:paraId="62912A49">
            <w:pPr>
              <w:rPr>
                <w:rFonts w:ascii="Arial"/>
                <w:color w:val="auto"/>
              </w:rPr>
            </w:pPr>
          </w:p>
        </w:tc>
        <w:tc>
          <w:tcPr>
            <w:tcW w:w="1967" w:type="dxa"/>
            <w:noWrap w:val="0"/>
            <w:vAlign w:val="top"/>
          </w:tcPr>
          <w:p w14:paraId="2A2E8645">
            <w:pPr>
              <w:pStyle w:val="871"/>
              <w:spacing w:before="292" w:line="230" w:lineRule="auto"/>
              <w:ind w:left="9"/>
              <w:rPr>
                <w:rFonts w:hint="eastAsia"/>
                <w:color w:val="auto"/>
              </w:rPr>
            </w:pPr>
            <w:r>
              <w:rPr>
                <w:color w:val="auto"/>
                <w:spacing w:val="5"/>
              </w:rPr>
              <w:t>A02010604</w:t>
            </w:r>
            <w:r>
              <w:rPr>
                <w:color w:val="auto"/>
                <w:spacing w:val="-28"/>
              </w:rPr>
              <w:t xml:space="preserve"> </w:t>
            </w:r>
            <w:r>
              <w:rPr>
                <w:color w:val="auto"/>
                <w:spacing w:val="5"/>
              </w:rPr>
              <w:t>显示设备</w:t>
            </w:r>
          </w:p>
        </w:tc>
        <w:tc>
          <w:tcPr>
            <w:tcW w:w="2093" w:type="dxa"/>
            <w:noWrap w:val="0"/>
            <w:vAlign w:val="top"/>
          </w:tcPr>
          <w:p w14:paraId="3786C44F">
            <w:pPr>
              <w:pStyle w:val="871"/>
              <w:spacing w:before="136" w:line="289" w:lineRule="auto"/>
              <w:ind w:left="20" w:right="8" w:hanging="1"/>
              <w:rPr>
                <w:rFonts w:hint="eastAsia"/>
                <w:color w:val="auto"/>
              </w:rPr>
            </w:pPr>
            <w:r>
              <w:rPr>
                <w:color w:val="auto"/>
                <w:spacing w:val="2"/>
              </w:rPr>
              <w:t>★</w:t>
            </w:r>
            <w:r>
              <w:rPr>
                <w:color w:val="auto"/>
                <w:spacing w:val="-54"/>
              </w:rPr>
              <w:t xml:space="preserve"> </w:t>
            </w:r>
            <w:r>
              <w:rPr>
                <w:color w:val="auto"/>
                <w:spacing w:val="2"/>
              </w:rPr>
              <w:t>A0201060401</w:t>
            </w:r>
            <w:r>
              <w:rPr>
                <w:color w:val="auto"/>
                <w:spacing w:val="44"/>
              </w:rPr>
              <w:t xml:space="preserve"> </w:t>
            </w:r>
            <w:r>
              <w:rPr>
                <w:color w:val="auto"/>
                <w:spacing w:val="2"/>
              </w:rPr>
              <w:t>液</w:t>
            </w:r>
            <w:r>
              <w:rPr>
                <w:color w:val="auto"/>
                <w:spacing w:val="-39"/>
              </w:rPr>
              <w:t xml:space="preserve"> </w:t>
            </w:r>
            <w:r>
              <w:rPr>
                <w:color w:val="auto"/>
                <w:spacing w:val="2"/>
              </w:rPr>
              <w:t>晶</w:t>
            </w:r>
            <w:r>
              <w:rPr>
                <w:color w:val="auto"/>
              </w:rPr>
              <w:t xml:space="preserve"> </w:t>
            </w:r>
            <w:r>
              <w:rPr>
                <w:color w:val="auto"/>
                <w:spacing w:val="5"/>
              </w:rPr>
              <w:t>显示器</w:t>
            </w:r>
          </w:p>
        </w:tc>
        <w:tc>
          <w:tcPr>
            <w:tcW w:w="3247" w:type="dxa"/>
            <w:noWrap w:val="0"/>
            <w:vAlign w:val="top"/>
          </w:tcPr>
          <w:p w14:paraId="59759A1D">
            <w:pPr>
              <w:pStyle w:val="871"/>
              <w:spacing w:before="136" w:line="288" w:lineRule="auto"/>
              <w:ind w:left="22" w:right="11"/>
              <w:rPr>
                <w:rFonts w:hint="eastAsia"/>
                <w:color w:val="auto"/>
                <w:lang w:eastAsia="zh-CN"/>
              </w:rPr>
            </w:pPr>
            <w:r>
              <w:rPr>
                <w:color w:val="auto"/>
                <w:spacing w:val="19"/>
                <w:lang w:eastAsia="zh-CN"/>
              </w:rPr>
              <w:t>《计算机显示器能效限定值及能</w:t>
            </w:r>
            <w:r>
              <w:rPr>
                <w:color w:val="auto"/>
                <w:spacing w:val="2"/>
                <w:lang w:eastAsia="zh-CN"/>
              </w:rPr>
              <w:t xml:space="preserve"> </w:t>
            </w:r>
            <w:r>
              <w:rPr>
                <w:color w:val="auto"/>
                <w:spacing w:val="6"/>
                <w:lang w:eastAsia="zh-CN"/>
              </w:rPr>
              <w:t>效等级》（</w:t>
            </w:r>
            <w:r>
              <w:rPr>
                <w:color w:val="auto"/>
                <w:lang w:eastAsia="zh-CN"/>
              </w:rPr>
              <w:t>GB</w:t>
            </w:r>
            <w:r>
              <w:rPr>
                <w:color w:val="auto"/>
                <w:spacing w:val="6"/>
                <w:lang w:eastAsia="zh-CN"/>
              </w:rPr>
              <w:t xml:space="preserve"> 21520）</w:t>
            </w:r>
          </w:p>
        </w:tc>
      </w:tr>
      <w:tr w14:paraId="5FE59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632" w:type="dxa"/>
            <w:vMerge w:val="continue"/>
            <w:tcBorders>
              <w:top w:val="nil"/>
            </w:tcBorders>
            <w:noWrap w:val="0"/>
            <w:vAlign w:val="top"/>
          </w:tcPr>
          <w:p w14:paraId="199E20D4">
            <w:pPr>
              <w:rPr>
                <w:rFonts w:ascii="Arial"/>
                <w:color w:val="auto"/>
              </w:rPr>
            </w:pPr>
          </w:p>
        </w:tc>
        <w:tc>
          <w:tcPr>
            <w:tcW w:w="1275" w:type="dxa"/>
            <w:vMerge w:val="continue"/>
            <w:tcBorders>
              <w:top w:val="nil"/>
            </w:tcBorders>
            <w:noWrap w:val="0"/>
            <w:vAlign w:val="top"/>
          </w:tcPr>
          <w:p w14:paraId="601A41DA">
            <w:pPr>
              <w:rPr>
                <w:rFonts w:ascii="Arial"/>
                <w:color w:val="auto"/>
              </w:rPr>
            </w:pPr>
          </w:p>
        </w:tc>
        <w:tc>
          <w:tcPr>
            <w:tcW w:w="1967" w:type="dxa"/>
            <w:noWrap w:val="0"/>
            <w:vAlign w:val="top"/>
          </w:tcPr>
          <w:p w14:paraId="72EC43E2">
            <w:pPr>
              <w:spacing w:line="365" w:lineRule="auto"/>
              <w:rPr>
                <w:rFonts w:ascii="Arial"/>
                <w:color w:val="auto"/>
              </w:rPr>
            </w:pPr>
          </w:p>
          <w:p w14:paraId="22F876BE">
            <w:pPr>
              <w:pStyle w:val="871"/>
              <w:spacing w:before="62" w:line="288" w:lineRule="auto"/>
              <w:ind w:left="14" w:right="10" w:hanging="5"/>
              <w:rPr>
                <w:rFonts w:hint="eastAsia"/>
                <w:color w:val="auto"/>
              </w:rPr>
            </w:pPr>
            <w:r>
              <w:rPr>
                <w:color w:val="auto"/>
                <w:spacing w:val="4"/>
              </w:rPr>
              <w:t>A02010609 图形图像</w:t>
            </w:r>
            <w:r>
              <w:rPr>
                <w:color w:val="auto"/>
                <w:spacing w:val="7"/>
              </w:rPr>
              <w:t xml:space="preserve"> 输入设备</w:t>
            </w:r>
          </w:p>
        </w:tc>
        <w:tc>
          <w:tcPr>
            <w:tcW w:w="2093" w:type="dxa"/>
            <w:noWrap w:val="0"/>
            <w:vAlign w:val="top"/>
          </w:tcPr>
          <w:p w14:paraId="01800A70">
            <w:pPr>
              <w:spacing w:line="260" w:lineRule="auto"/>
              <w:rPr>
                <w:rFonts w:ascii="Arial"/>
                <w:color w:val="auto"/>
              </w:rPr>
            </w:pPr>
          </w:p>
          <w:p w14:paraId="49767BC7">
            <w:pPr>
              <w:spacing w:line="260" w:lineRule="auto"/>
              <w:rPr>
                <w:rFonts w:ascii="Arial"/>
                <w:color w:val="auto"/>
              </w:rPr>
            </w:pPr>
          </w:p>
          <w:p w14:paraId="1C80786A">
            <w:pPr>
              <w:pStyle w:val="871"/>
              <w:spacing w:before="61" w:line="229" w:lineRule="auto"/>
              <w:ind w:left="10"/>
              <w:rPr>
                <w:rFonts w:hint="eastAsia"/>
                <w:color w:val="auto"/>
              </w:rPr>
            </w:pPr>
            <w:r>
              <w:rPr>
                <w:color w:val="auto"/>
                <w:spacing w:val="5"/>
              </w:rPr>
              <w:t>A0201060901</w:t>
            </w:r>
            <w:r>
              <w:rPr>
                <w:color w:val="auto"/>
                <w:spacing w:val="-34"/>
              </w:rPr>
              <w:t xml:space="preserve"> </w:t>
            </w:r>
            <w:r>
              <w:rPr>
                <w:color w:val="auto"/>
                <w:spacing w:val="5"/>
              </w:rPr>
              <w:t>扫描仪</w:t>
            </w:r>
          </w:p>
        </w:tc>
        <w:tc>
          <w:tcPr>
            <w:tcW w:w="3247" w:type="dxa"/>
            <w:noWrap w:val="0"/>
            <w:vAlign w:val="top"/>
          </w:tcPr>
          <w:p w14:paraId="5B31BA73">
            <w:pPr>
              <w:pStyle w:val="871"/>
              <w:spacing w:before="114" w:line="296" w:lineRule="auto"/>
              <w:ind w:left="22" w:hanging="3"/>
              <w:rPr>
                <w:rFonts w:hint="eastAsia"/>
                <w:color w:val="auto"/>
                <w:lang w:eastAsia="zh-CN"/>
              </w:rPr>
            </w:pPr>
            <w:r>
              <w:rPr>
                <w:color w:val="auto"/>
                <w:lang w:eastAsia="zh-CN"/>
              </w:rPr>
              <w:t>参照《复印机、打印机和传真机能</w:t>
            </w:r>
            <w:r>
              <w:rPr>
                <w:color w:val="auto"/>
                <w:spacing w:val="3"/>
                <w:lang w:eastAsia="zh-CN"/>
              </w:rPr>
              <w:t xml:space="preserve">  </w:t>
            </w:r>
            <w:r>
              <w:rPr>
                <w:color w:val="auto"/>
                <w:spacing w:val="-4"/>
                <w:lang w:eastAsia="zh-CN"/>
              </w:rPr>
              <w:t>效限定值及能效等级》（GB</w:t>
            </w:r>
            <w:r>
              <w:rPr>
                <w:color w:val="auto"/>
                <w:spacing w:val="-24"/>
                <w:lang w:eastAsia="zh-CN"/>
              </w:rPr>
              <w:t xml:space="preserve"> </w:t>
            </w:r>
            <w:r>
              <w:rPr>
                <w:color w:val="auto"/>
                <w:spacing w:val="-4"/>
                <w:lang w:eastAsia="zh-CN"/>
              </w:rPr>
              <w:t>21521）</w:t>
            </w:r>
            <w:r>
              <w:rPr>
                <w:color w:val="auto"/>
                <w:lang w:eastAsia="zh-CN"/>
              </w:rPr>
              <w:t xml:space="preserve"> </w:t>
            </w:r>
            <w:r>
              <w:rPr>
                <w:color w:val="auto"/>
                <w:spacing w:val="4"/>
                <w:lang w:eastAsia="zh-CN"/>
              </w:rPr>
              <w:t>中打印速度为</w:t>
            </w:r>
            <w:r>
              <w:rPr>
                <w:color w:val="auto"/>
                <w:spacing w:val="38"/>
                <w:lang w:eastAsia="zh-CN"/>
              </w:rPr>
              <w:t xml:space="preserve"> </w:t>
            </w:r>
            <w:r>
              <w:rPr>
                <w:color w:val="auto"/>
                <w:spacing w:val="4"/>
                <w:lang w:eastAsia="zh-CN"/>
              </w:rPr>
              <w:t>15 页/分的针式打</w:t>
            </w:r>
            <w:r>
              <w:rPr>
                <w:color w:val="auto"/>
                <w:lang w:eastAsia="zh-CN"/>
              </w:rPr>
              <w:t xml:space="preserve">  </w:t>
            </w:r>
            <w:r>
              <w:rPr>
                <w:color w:val="auto"/>
                <w:spacing w:val="2"/>
                <w:lang w:eastAsia="zh-CN"/>
              </w:rPr>
              <w:t>印机相关要求</w:t>
            </w:r>
          </w:p>
        </w:tc>
      </w:tr>
      <w:tr w14:paraId="0E8DB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632" w:type="dxa"/>
            <w:noWrap w:val="0"/>
            <w:vAlign w:val="top"/>
          </w:tcPr>
          <w:p w14:paraId="67683EC4">
            <w:pPr>
              <w:pStyle w:val="871"/>
              <w:spacing w:before="277" w:line="189" w:lineRule="auto"/>
              <w:ind w:left="246"/>
              <w:rPr>
                <w:rFonts w:hint="eastAsia"/>
                <w:color w:val="auto"/>
              </w:rPr>
            </w:pPr>
            <w:r>
              <w:rPr>
                <w:color w:val="auto"/>
              </w:rPr>
              <w:t>3</w:t>
            </w:r>
          </w:p>
        </w:tc>
        <w:tc>
          <w:tcPr>
            <w:tcW w:w="1275" w:type="dxa"/>
            <w:noWrap w:val="0"/>
            <w:vAlign w:val="top"/>
          </w:tcPr>
          <w:p w14:paraId="32203AB7">
            <w:pPr>
              <w:pStyle w:val="871"/>
              <w:spacing w:before="90" w:line="281" w:lineRule="auto"/>
              <w:ind w:left="15" w:right="8" w:hanging="6"/>
              <w:rPr>
                <w:rFonts w:hint="eastAsia"/>
                <w:color w:val="auto"/>
              </w:rPr>
            </w:pPr>
            <w:r>
              <w:rPr>
                <w:color w:val="auto"/>
                <w:spacing w:val="4"/>
              </w:rPr>
              <w:t>A020202</w:t>
            </w:r>
            <w:r>
              <w:rPr>
                <w:color w:val="auto"/>
                <w:spacing w:val="-34"/>
              </w:rPr>
              <w:t xml:space="preserve"> </w:t>
            </w:r>
            <w:r>
              <w:rPr>
                <w:color w:val="auto"/>
                <w:spacing w:val="4"/>
              </w:rPr>
              <w:t>投影</w:t>
            </w:r>
            <w:r>
              <w:rPr>
                <w:color w:val="auto"/>
              </w:rPr>
              <w:t xml:space="preserve"> 仪</w:t>
            </w:r>
          </w:p>
        </w:tc>
        <w:tc>
          <w:tcPr>
            <w:tcW w:w="1967" w:type="dxa"/>
            <w:noWrap w:val="0"/>
            <w:vAlign w:val="top"/>
          </w:tcPr>
          <w:p w14:paraId="508A9CE8">
            <w:pPr>
              <w:rPr>
                <w:rFonts w:ascii="Arial"/>
                <w:color w:val="auto"/>
              </w:rPr>
            </w:pPr>
          </w:p>
        </w:tc>
        <w:tc>
          <w:tcPr>
            <w:tcW w:w="2093" w:type="dxa"/>
            <w:noWrap w:val="0"/>
            <w:vAlign w:val="top"/>
          </w:tcPr>
          <w:p w14:paraId="0D5585A5">
            <w:pPr>
              <w:rPr>
                <w:rFonts w:ascii="Arial"/>
                <w:color w:val="auto"/>
              </w:rPr>
            </w:pPr>
          </w:p>
        </w:tc>
        <w:tc>
          <w:tcPr>
            <w:tcW w:w="3247" w:type="dxa"/>
            <w:noWrap w:val="0"/>
            <w:vAlign w:val="top"/>
          </w:tcPr>
          <w:p w14:paraId="2DEE5282">
            <w:pPr>
              <w:pStyle w:val="871"/>
              <w:spacing w:before="90" w:line="281" w:lineRule="auto"/>
              <w:ind w:left="27" w:hanging="4"/>
              <w:rPr>
                <w:rFonts w:hint="eastAsia"/>
                <w:color w:val="auto"/>
                <w:lang w:eastAsia="zh-CN"/>
              </w:rPr>
            </w:pPr>
            <w:r>
              <w:rPr>
                <w:color w:val="auto"/>
                <w:spacing w:val="6"/>
                <w:lang w:eastAsia="zh-CN"/>
              </w:rPr>
              <w:t>《投影机能效限定值及能效等级》</w:t>
            </w:r>
            <w:r>
              <w:rPr>
                <w:color w:val="auto"/>
                <w:lang w:eastAsia="zh-CN"/>
              </w:rPr>
              <w:t xml:space="preserve"> （GB</w:t>
            </w:r>
            <w:r>
              <w:rPr>
                <w:color w:val="auto"/>
                <w:spacing w:val="22"/>
                <w:lang w:eastAsia="zh-CN"/>
              </w:rPr>
              <w:t xml:space="preserve"> </w:t>
            </w:r>
            <w:r>
              <w:rPr>
                <w:color w:val="auto"/>
                <w:lang w:eastAsia="zh-CN"/>
              </w:rPr>
              <w:t>32028）</w:t>
            </w:r>
          </w:p>
        </w:tc>
      </w:tr>
      <w:tr w14:paraId="2B2FB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632" w:type="dxa"/>
            <w:noWrap w:val="0"/>
            <w:vAlign w:val="top"/>
          </w:tcPr>
          <w:p w14:paraId="186F503F">
            <w:pPr>
              <w:spacing w:line="257" w:lineRule="auto"/>
              <w:rPr>
                <w:rFonts w:ascii="Arial"/>
                <w:color w:val="auto"/>
              </w:rPr>
            </w:pPr>
          </w:p>
          <w:p w14:paraId="6BC9C778">
            <w:pPr>
              <w:pStyle w:val="871"/>
              <w:spacing w:before="62" w:line="189" w:lineRule="auto"/>
              <w:ind w:left="242"/>
              <w:rPr>
                <w:rFonts w:hint="eastAsia"/>
                <w:color w:val="auto"/>
              </w:rPr>
            </w:pPr>
            <w:r>
              <w:rPr>
                <w:color w:val="auto"/>
              </w:rPr>
              <w:t>4</w:t>
            </w:r>
          </w:p>
        </w:tc>
        <w:tc>
          <w:tcPr>
            <w:tcW w:w="1275" w:type="dxa"/>
            <w:noWrap w:val="0"/>
            <w:vAlign w:val="top"/>
          </w:tcPr>
          <w:p w14:paraId="7FAE2192">
            <w:pPr>
              <w:pStyle w:val="871"/>
              <w:spacing w:before="133" w:line="288" w:lineRule="auto"/>
              <w:ind w:left="22" w:right="8" w:hanging="13"/>
              <w:rPr>
                <w:rFonts w:hint="eastAsia"/>
                <w:color w:val="auto"/>
              </w:rPr>
            </w:pPr>
            <w:r>
              <w:rPr>
                <w:color w:val="auto"/>
                <w:spacing w:val="4"/>
              </w:rPr>
              <w:t>A020204</w:t>
            </w:r>
            <w:r>
              <w:rPr>
                <w:color w:val="auto"/>
                <w:spacing w:val="-34"/>
              </w:rPr>
              <w:t xml:space="preserve"> </w:t>
            </w:r>
            <w:r>
              <w:rPr>
                <w:color w:val="auto"/>
                <w:spacing w:val="4"/>
              </w:rPr>
              <w:t>多功</w:t>
            </w:r>
            <w:r>
              <w:rPr>
                <w:color w:val="auto"/>
              </w:rPr>
              <w:t xml:space="preserve"> </w:t>
            </w:r>
            <w:r>
              <w:rPr>
                <w:color w:val="auto"/>
                <w:spacing w:val="5"/>
              </w:rPr>
              <w:t>能一体机</w:t>
            </w:r>
          </w:p>
        </w:tc>
        <w:tc>
          <w:tcPr>
            <w:tcW w:w="1967" w:type="dxa"/>
            <w:noWrap w:val="0"/>
            <w:vAlign w:val="top"/>
          </w:tcPr>
          <w:p w14:paraId="7B128192">
            <w:pPr>
              <w:rPr>
                <w:rFonts w:ascii="Arial"/>
                <w:color w:val="auto"/>
              </w:rPr>
            </w:pPr>
          </w:p>
        </w:tc>
        <w:tc>
          <w:tcPr>
            <w:tcW w:w="2093" w:type="dxa"/>
            <w:noWrap w:val="0"/>
            <w:vAlign w:val="top"/>
          </w:tcPr>
          <w:p w14:paraId="2BD38A6F">
            <w:pPr>
              <w:rPr>
                <w:rFonts w:ascii="Arial"/>
                <w:color w:val="auto"/>
              </w:rPr>
            </w:pPr>
          </w:p>
        </w:tc>
        <w:tc>
          <w:tcPr>
            <w:tcW w:w="3247" w:type="dxa"/>
            <w:noWrap w:val="0"/>
            <w:vAlign w:val="top"/>
          </w:tcPr>
          <w:p w14:paraId="761B1676">
            <w:pPr>
              <w:pStyle w:val="871"/>
              <w:spacing w:before="133" w:line="288" w:lineRule="auto"/>
              <w:ind w:left="22" w:right="13"/>
              <w:rPr>
                <w:rFonts w:hint="eastAsia"/>
                <w:color w:val="auto"/>
                <w:lang w:eastAsia="zh-CN"/>
              </w:rPr>
            </w:pPr>
            <w:r>
              <w:rPr>
                <w:color w:val="auto"/>
                <w:spacing w:val="5"/>
                <w:lang w:eastAsia="zh-CN"/>
              </w:rPr>
              <w:t>《复印机、打印机和传真机能效限</w:t>
            </w:r>
            <w:r>
              <w:rPr>
                <w:color w:val="auto"/>
                <w:lang w:eastAsia="zh-CN"/>
              </w:rPr>
              <w:t xml:space="preserve"> </w:t>
            </w:r>
            <w:r>
              <w:rPr>
                <w:color w:val="auto"/>
                <w:spacing w:val="7"/>
                <w:lang w:eastAsia="zh-CN"/>
              </w:rPr>
              <w:t>定值及能效等级》（</w:t>
            </w:r>
            <w:r>
              <w:rPr>
                <w:color w:val="auto"/>
                <w:lang w:eastAsia="zh-CN"/>
              </w:rPr>
              <w:t>GB</w:t>
            </w:r>
            <w:r>
              <w:rPr>
                <w:color w:val="auto"/>
                <w:spacing w:val="7"/>
                <w:lang w:eastAsia="zh-CN"/>
              </w:rPr>
              <w:t xml:space="preserve"> 21521）</w:t>
            </w:r>
          </w:p>
        </w:tc>
      </w:tr>
      <w:tr w14:paraId="1ECB6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632" w:type="dxa"/>
            <w:noWrap w:val="0"/>
            <w:vAlign w:val="top"/>
          </w:tcPr>
          <w:p w14:paraId="2DFAD873">
            <w:pPr>
              <w:pStyle w:val="871"/>
              <w:spacing w:before="260" w:line="188" w:lineRule="auto"/>
              <w:ind w:left="246"/>
              <w:rPr>
                <w:rFonts w:hint="eastAsia"/>
                <w:color w:val="auto"/>
              </w:rPr>
            </w:pPr>
            <w:r>
              <w:rPr>
                <w:color w:val="auto"/>
              </w:rPr>
              <w:t>5</w:t>
            </w:r>
          </w:p>
        </w:tc>
        <w:tc>
          <w:tcPr>
            <w:tcW w:w="1275" w:type="dxa"/>
            <w:noWrap w:val="0"/>
            <w:vAlign w:val="top"/>
          </w:tcPr>
          <w:p w14:paraId="13E3B855">
            <w:pPr>
              <w:pStyle w:val="871"/>
              <w:spacing w:before="227" w:line="229" w:lineRule="auto"/>
              <w:ind w:left="9"/>
              <w:rPr>
                <w:rFonts w:hint="eastAsia"/>
                <w:color w:val="auto"/>
              </w:rPr>
            </w:pPr>
            <w:r>
              <w:rPr>
                <w:color w:val="auto"/>
                <w:spacing w:val="4"/>
              </w:rPr>
              <w:t>A020519</w:t>
            </w:r>
            <w:r>
              <w:rPr>
                <w:color w:val="auto"/>
                <w:spacing w:val="-32"/>
              </w:rPr>
              <w:t xml:space="preserve"> </w:t>
            </w:r>
            <w:r>
              <w:rPr>
                <w:color w:val="auto"/>
                <w:spacing w:val="4"/>
              </w:rPr>
              <w:t>泵</w:t>
            </w:r>
          </w:p>
        </w:tc>
        <w:tc>
          <w:tcPr>
            <w:tcW w:w="1967" w:type="dxa"/>
            <w:noWrap w:val="0"/>
            <w:vAlign w:val="top"/>
          </w:tcPr>
          <w:p w14:paraId="21F9E9F3">
            <w:pPr>
              <w:pStyle w:val="871"/>
              <w:spacing w:before="227" w:line="229" w:lineRule="auto"/>
              <w:ind w:left="9"/>
              <w:rPr>
                <w:rFonts w:hint="eastAsia"/>
                <w:color w:val="auto"/>
              </w:rPr>
            </w:pPr>
            <w:r>
              <w:rPr>
                <w:color w:val="auto"/>
                <w:spacing w:val="5"/>
              </w:rPr>
              <w:t>A02051901</w:t>
            </w:r>
            <w:r>
              <w:rPr>
                <w:color w:val="auto"/>
                <w:spacing w:val="-33"/>
              </w:rPr>
              <w:t xml:space="preserve"> </w:t>
            </w:r>
            <w:r>
              <w:rPr>
                <w:color w:val="auto"/>
                <w:spacing w:val="5"/>
              </w:rPr>
              <w:t>离心泵</w:t>
            </w:r>
          </w:p>
        </w:tc>
        <w:tc>
          <w:tcPr>
            <w:tcW w:w="2093" w:type="dxa"/>
            <w:noWrap w:val="0"/>
            <w:vAlign w:val="top"/>
          </w:tcPr>
          <w:p w14:paraId="2EC010B4">
            <w:pPr>
              <w:rPr>
                <w:rFonts w:ascii="Arial"/>
                <w:color w:val="auto"/>
              </w:rPr>
            </w:pPr>
          </w:p>
        </w:tc>
        <w:tc>
          <w:tcPr>
            <w:tcW w:w="3247" w:type="dxa"/>
            <w:noWrap w:val="0"/>
            <w:vAlign w:val="top"/>
          </w:tcPr>
          <w:p w14:paraId="715CAF19">
            <w:pPr>
              <w:pStyle w:val="871"/>
              <w:spacing w:before="71" w:line="272" w:lineRule="auto"/>
              <w:ind w:left="17" w:right="11" w:firstLine="6"/>
              <w:rPr>
                <w:rFonts w:hint="eastAsia"/>
                <w:color w:val="auto"/>
                <w:lang w:eastAsia="zh-CN"/>
              </w:rPr>
            </w:pPr>
            <w:r>
              <w:rPr>
                <w:color w:val="auto"/>
                <w:spacing w:val="19"/>
                <w:lang w:eastAsia="zh-CN"/>
              </w:rPr>
              <w:t>《清水离心泵能效限定值及节能</w:t>
            </w:r>
            <w:r>
              <w:rPr>
                <w:color w:val="auto"/>
                <w:spacing w:val="2"/>
                <w:lang w:eastAsia="zh-CN"/>
              </w:rPr>
              <w:t xml:space="preserve"> </w:t>
            </w:r>
            <w:r>
              <w:rPr>
                <w:color w:val="auto"/>
                <w:spacing w:val="4"/>
                <w:lang w:eastAsia="zh-CN"/>
              </w:rPr>
              <w:t>评价值》（</w:t>
            </w:r>
            <w:r>
              <w:rPr>
                <w:color w:val="auto"/>
                <w:lang w:eastAsia="zh-CN"/>
              </w:rPr>
              <w:t>GB</w:t>
            </w:r>
            <w:r>
              <w:rPr>
                <w:color w:val="auto"/>
                <w:spacing w:val="39"/>
                <w:lang w:eastAsia="zh-CN"/>
              </w:rPr>
              <w:t xml:space="preserve"> </w:t>
            </w:r>
            <w:r>
              <w:rPr>
                <w:color w:val="auto"/>
                <w:spacing w:val="4"/>
                <w:lang w:eastAsia="zh-CN"/>
              </w:rPr>
              <w:t>19762）</w:t>
            </w:r>
          </w:p>
        </w:tc>
      </w:tr>
      <w:tr w14:paraId="6E49D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632" w:type="dxa"/>
            <w:vMerge w:val="restart"/>
            <w:tcBorders>
              <w:bottom w:val="nil"/>
            </w:tcBorders>
            <w:noWrap w:val="0"/>
            <w:vAlign w:val="top"/>
          </w:tcPr>
          <w:p w14:paraId="7F4752D9">
            <w:pPr>
              <w:spacing w:line="300" w:lineRule="auto"/>
              <w:rPr>
                <w:rFonts w:ascii="Arial"/>
                <w:color w:val="auto"/>
              </w:rPr>
            </w:pPr>
          </w:p>
          <w:p w14:paraId="721E041B">
            <w:pPr>
              <w:spacing w:line="300" w:lineRule="auto"/>
              <w:rPr>
                <w:rFonts w:ascii="Arial"/>
                <w:color w:val="auto"/>
              </w:rPr>
            </w:pPr>
          </w:p>
          <w:p w14:paraId="57E5E88A">
            <w:pPr>
              <w:spacing w:line="301" w:lineRule="auto"/>
              <w:rPr>
                <w:rFonts w:ascii="Arial"/>
                <w:color w:val="auto"/>
              </w:rPr>
            </w:pPr>
          </w:p>
          <w:p w14:paraId="0D6A4236">
            <w:pPr>
              <w:pStyle w:val="871"/>
              <w:spacing w:before="62" w:line="189" w:lineRule="auto"/>
              <w:ind w:left="244"/>
              <w:rPr>
                <w:rFonts w:hint="eastAsia"/>
                <w:color w:val="auto"/>
              </w:rPr>
            </w:pPr>
            <w:r>
              <w:rPr>
                <w:color w:val="auto"/>
              </w:rPr>
              <w:t>6</w:t>
            </w:r>
          </w:p>
        </w:tc>
        <w:tc>
          <w:tcPr>
            <w:tcW w:w="1275" w:type="dxa"/>
            <w:vMerge w:val="restart"/>
            <w:tcBorders>
              <w:bottom w:val="nil"/>
            </w:tcBorders>
            <w:noWrap w:val="0"/>
            <w:vAlign w:val="top"/>
          </w:tcPr>
          <w:p w14:paraId="34FEBE7D">
            <w:pPr>
              <w:spacing w:line="357" w:lineRule="auto"/>
              <w:rPr>
                <w:rFonts w:ascii="Arial"/>
                <w:color w:val="auto"/>
              </w:rPr>
            </w:pPr>
          </w:p>
          <w:p w14:paraId="0F7C833E">
            <w:pPr>
              <w:spacing w:line="358" w:lineRule="auto"/>
              <w:rPr>
                <w:rFonts w:ascii="Arial"/>
                <w:color w:val="auto"/>
              </w:rPr>
            </w:pPr>
          </w:p>
          <w:p w14:paraId="54C12FA8">
            <w:pPr>
              <w:pStyle w:val="871"/>
              <w:spacing w:before="61" w:line="289" w:lineRule="auto"/>
              <w:ind w:left="21" w:right="8" w:hanging="12"/>
              <w:rPr>
                <w:rFonts w:hint="eastAsia"/>
                <w:color w:val="auto"/>
              </w:rPr>
            </w:pPr>
            <w:r>
              <w:rPr>
                <w:color w:val="auto"/>
                <w:spacing w:val="5"/>
              </w:rPr>
              <w:t>A020523</w:t>
            </w:r>
            <w:r>
              <w:rPr>
                <w:color w:val="auto"/>
                <w:spacing w:val="-43"/>
              </w:rPr>
              <w:t xml:space="preserve"> </w:t>
            </w:r>
            <w:r>
              <w:rPr>
                <w:color w:val="auto"/>
                <w:spacing w:val="5"/>
              </w:rPr>
              <w:t>制冷</w:t>
            </w:r>
            <w:r>
              <w:rPr>
                <w:color w:val="auto"/>
              </w:rPr>
              <w:t xml:space="preserve"> </w:t>
            </w:r>
            <w:r>
              <w:rPr>
                <w:color w:val="auto"/>
                <w:spacing w:val="5"/>
              </w:rPr>
              <w:t>空调设备</w:t>
            </w:r>
          </w:p>
        </w:tc>
        <w:tc>
          <w:tcPr>
            <w:tcW w:w="1967" w:type="dxa"/>
            <w:vMerge w:val="restart"/>
            <w:tcBorders>
              <w:bottom w:val="nil"/>
            </w:tcBorders>
            <w:noWrap w:val="0"/>
            <w:vAlign w:val="top"/>
          </w:tcPr>
          <w:p w14:paraId="70004DBD">
            <w:pPr>
              <w:spacing w:line="357" w:lineRule="auto"/>
              <w:rPr>
                <w:rFonts w:ascii="Arial"/>
                <w:color w:val="auto"/>
              </w:rPr>
            </w:pPr>
          </w:p>
          <w:p w14:paraId="4739D695">
            <w:pPr>
              <w:spacing w:line="357" w:lineRule="auto"/>
              <w:rPr>
                <w:rFonts w:ascii="Arial"/>
                <w:color w:val="auto"/>
              </w:rPr>
            </w:pPr>
          </w:p>
          <w:p w14:paraId="32C6CD7D">
            <w:pPr>
              <w:pStyle w:val="871"/>
              <w:spacing w:before="62" w:line="288" w:lineRule="auto"/>
              <w:ind w:left="15" w:right="10" w:firstLine="3"/>
              <w:rPr>
                <w:rFonts w:hint="eastAsia"/>
                <w:color w:val="auto"/>
              </w:rPr>
            </w:pPr>
            <w:r>
              <w:rPr>
                <w:color w:val="auto"/>
                <w:spacing w:val="3"/>
              </w:rPr>
              <w:t>★A02052301 制冷压</w:t>
            </w:r>
            <w:r>
              <w:rPr>
                <w:color w:val="auto"/>
                <w:spacing w:val="12"/>
              </w:rPr>
              <w:t xml:space="preserve"> </w:t>
            </w:r>
            <w:r>
              <w:rPr>
                <w:color w:val="auto"/>
                <w:spacing w:val="5"/>
              </w:rPr>
              <w:t>缩机</w:t>
            </w:r>
          </w:p>
        </w:tc>
        <w:tc>
          <w:tcPr>
            <w:tcW w:w="2093" w:type="dxa"/>
            <w:noWrap w:val="0"/>
            <w:vAlign w:val="top"/>
          </w:tcPr>
          <w:p w14:paraId="6D852FF9">
            <w:pPr>
              <w:spacing w:line="250" w:lineRule="auto"/>
              <w:rPr>
                <w:rFonts w:ascii="Arial"/>
                <w:color w:val="auto"/>
              </w:rPr>
            </w:pPr>
          </w:p>
          <w:p w14:paraId="4DCE2E8C">
            <w:pPr>
              <w:spacing w:line="251" w:lineRule="auto"/>
              <w:rPr>
                <w:rFonts w:ascii="Arial"/>
                <w:color w:val="auto"/>
              </w:rPr>
            </w:pPr>
          </w:p>
          <w:p w14:paraId="70CA603F">
            <w:pPr>
              <w:pStyle w:val="871"/>
              <w:spacing w:before="61" w:line="228" w:lineRule="auto"/>
              <w:ind w:left="18"/>
              <w:rPr>
                <w:rFonts w:hint="eastAsia"/>
                <w:color w:val="auto"/>
              </w:rPr>
            </w:pPr>
            <w:r>
              <w:rPr>
                <w:color w:val="auto"/>
                <w:spacing w:val="6"/>
              </w:rPr>
              <w:t>冷水机组</w:t>
            </w:r>
          </w:p>
        </w:tc>
        <w:tc>
          <w:tcPr>
            <w:tcW w:w="3247" w:type="dxa"/>
            <w:noWrap w:val="0"/>
            <w:vAlign w:val="top"/>
          </w:tcPr>
          <w:p w14:paraId="6D50CC27">
            <w:pPr>
              <w:pStyle w:val="871"/>
              <w:spacing w:before="96" w:line="294" w:lineRule="auto"/>
              <w:ind w:left="17" w:right="11" w:firstLine="5"/>
              <w:rPr>
                <w:rFonts w:hint="eastAsia"/>
                <w:color w:val="auto"/>
                <w:lang w:eastAsia="zh-CN"/>
              </w:rPr>
            </w:pPr>
            <w:r>
              <w:rPr>
                <w:color w:val="auto"/>
                <w:spacing w:val="19"/>
                <w:lang w:eastAsia="zh-CN"/>
              </w:rPr>
              <w:t>《冷水机组能效限定值及能效等</w:t>
            </w:r>
            <w:r>
              <w:rPr>
                <w:color w:val="auto"/>
                <w:spacing w:val="2"/>
                <w:lang w:eastAsia="zh-CN"/>
              </w:rPr>
              <w:t xml:space="preserve"> </w:t>
            </w:r>
            <w:r>
              <w:rPr>
                <w:color w:val="auto"/>
                <w:spacing w:val="6"/>
                <w:lang w:eastAsia="zh-CN"/>
              </w:rPr>
              <w:t>级》（</w:t>
            </w:r>
            <w:r>
              <w:rPr>
                <w:color w:val="auto"/>
                <w:lang w:eastAsia="zh-CN"/>
              </w:rPr>
              <w:t>GB</w:t>
            </w:r>
            <w:r>
              <w:rPr>
                <w:color w:val="auto"/>
                <w:spacing w:val="-21"/>
                <w:lang w:eastAsia="zh-CN"/>
              </w:rPr>
              <w:t xml:space="preserve"> </w:t>
            </w:r>
            <w:r>
              <w:rPr>
                <w:color w:val="auto"/>
                <w:spacing w:val="6"/>
                <w:lang w:eastAsia="zh-CN"/>
              </w:rPr>
              <w:t>19577</w:t>
            </w:r>
            <w:r>
              <w:rPr>
                <w:color w:val="auto"/>
                <w:spacing w:val="9"/>
                <w:lang w:eastAsia="zh-CN"/>
              </w:rPr>
              <w:t>），</w:t>
            </w:r>
            <w:r>
              <w:rPr>
                <w:color w:val="auto"/>
                <w:spacing w:val="6"/>
                <w:lang w:eastAsia="zh-CN"/>
              </w:rPr>
              <w:t>《低环境温度</w:t>
            </w:r>
            <w:r>
              <w:rPr>
                <w:color w:val="auto"/>
                <w:lang w:eastAsia="zh-CN"/>
              </w:rPr>
              <w:t xml:space="preserve"> </w:t>
            </w:r>
            <w:r>
              <w:rPr>
                <w:color w:val="auto"/>
                <w:spacing w:val="5"/>
                <w:lang w:eastAsia="zh-CN"/>
              </w:rPr>
              <w:t>空气源热泵（冷水）机组能效限定</w:t>
            </w:r>
            <w:r>
              <w:rPr>
                <w:color w:val="auto"/>
                <w:spacing w:val="6"/>
                <w:lang w:eastAsia="zh-CN"/>
              </w:rPr>
              <w:t xml:space="preserve"> </w:t>
            </w:r>
            <w:r>
              <w:rPr>
                <w:color w:val="auto"/>
                <w:spacing w:val="7"/>
                <w:lang w:eastAsia="zh-CN"/>
              </w:rPr>
              <w:t>值及能效等级》（</w:t>
            </w:r>
            <w:r>
              <w:rPr>
                <w:color w:val="auto"/>
                <w:lang w:eastAsia="zh-CN"/>
              </w:rPr>
              <w:t>GB</w:t>
            </w:r>
            <w:r>
              <w:rPr>
                <w:color w:val="auto"/>
                <w:spacing w:val="7"/>
                <w:lang w:eastAsia="zh-CN"/>
              </w:rPr>
              <w:t xml:space="preserve"> 37480）</w:t>
            </w:r>
          </w:p>
        </w:tc>
      </w:tr>
      <w:tr w14:paraId="2126C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632" w:type="dxa"/>
            <w:vMerge w:val="continue"/>
            <w:tcBorders>
              <w:top w:val="nil"/>
            </w:tcBorders>
            <w:noWrap w:val="0"/>
            <w:vAlign w:val="top"/>
          </w:tcPr>
          <w:p w14:paraId="1D51B18C">
            <w:pPr>
              <w:rPr>
                <w:rFonts w:ascii="Arial"/>
                <w:color w:val="auto"/>
              </w:rPr>
            </w:pPr>
          </w:p>
        </w:tc>
        <w:tc>
          <w:tcPr>
            <w:tcW w:w="1275" w:type="dxa"/>
            <w:vMerge w:val="continue"/>
            <w:tcBorders>
              <w:top w:val="nil"/>
            </w:tcBorders>
            <w:noWrap w:val="0"/>
            <w:vAlign w:val="top"/>
          </w:tcPr>
          <w:p w14:paraId="4354FB4B">
            <w:pPr>
              <w:rPr>
                <w:rFonts w:ascii="Arial"/>
                <w:color w:val="auto"/>
              </w:rPr>
            </w:pPr>
          </w:p>
        </w:tc>
        <w:tc>
          <w:tcPr>
            <w:tcW w:w="1967" w:type="dxa"/>
            <w:vMerge w:val="continue"/>
            <w:tcBorders>
              <w:top w:val="nil"/>
            </w:tcBorders>
            <w:noWrap w:val="0"/>
            <w:vAlign w:val="top"/>
          </w:tcPr>
          <w:p w14:paraId="4A52BA6C">
            <w:pPr>
              <w:rPr>
                <w:rFonts w:ascii="Arial"/>
                <w:color w:val="auto"/>
              </w:rPr>
            </w:pPr>
          </w:p>
        </w:tc>
        <w:tc>
          <w:tcPr>
            <w:tcW w:w="2093" w:type="dxa"/>
            <w:noWrap w:val="0"/>
            <w:vAlign w:val="top"/>
          </w:tcPr>
          <w:p w14:paraId="0D142AE5">
            <w:pPr>
              <w:pStyle w:val="871"/>
              <w:spacing w:before="275" w:line="228" w:lineRule="auto"/>
              <w:ind w:left="19"/>
              <w:rPr>
                <w:rFonts w:hint="eastAsia"/>
                <w:color w:val="auto"/>
              </w:rPr>
            </w:pPr>
            <w:r>
              <w:rPr>
                <w:color w:val="auto"/>
                <w:spacing w:val="7"/>
              </w:rPr>
              <w:t>水源热泵机组</w:t>
            </w:r>
          </w:p>
        </w:tc>
        <w:tc>
          <w:tcPr>
            <w:tcW w:w="3247" w:type="dxa"/>
            <w:noWrap w:val="0"/>
            <w:vAlign w:val="top"/>
          </w:tcPr>
          <w:p w14:paraId="2B9A2E26">
            <w:pPr>
              <w:pStyle w:val="871"/>
              <w:spacing w:before="120" w:line="288" w:lineRule="auto"/>
              <w:ind w:left="17" w:right="13" w:firstLine="6"/>
              <w:rPr>
                <w:rFonts w:hint="eastAsia"/>
                <w:color w:val="auto"/>
                <w:lang w:eastAsia="zh-CN"/>
              </w:rPr>
            </w:pPr>
            <w:r>
              <w:rPr>
                <w:color w:val="auto"/>
                <w:spacing w:val="5"/>
                <w:lang w:eastAsia="zh-CN"/>
              </w:rPr>
              <w:t>《水（地）源热泵机组能效限定值</w:t>
            </w:r>
            <w:r>
              <w:rPr>
                <w:color w:val="auto"/>
                <w:lang w:eastAsia="zh-CN"/>
              </w:rPr>
              <w:t xml:space="preserve"> </w:t>
            </w:r>
            <w:r>
              <w:rPr>
                <w:color w:val="auto"/>
                <w:spacing w:val="7"/>
                <w:lang w:eastAsia="zh-CN"/>
              </w:rPr>
              <w:t>及能效等级》（</w:t>
            </w:r>
            <w:r>
              <w:rPr>
                <w:color w:val="auto"/>
                <w:lang w:eastAsia="zh-CN"/>
              </w:rPr>
              <w:t>GB</w:t>
            </w:r>
            <w:r>
              <w:rPr>
                <w:color w:val="auto"/>
                <w:spacing w:val="7"/>
                <w:lang w:eastAsia="zh-CN"/>
              </w:rPr>
              <w:t xml:space="preserve"> 30721）</w:t>
            </w:r>
          </w:p>
        </w:tc>
      </w:tr>
    </w:tbl>
    <w:p w14:paraId="2FA4D56F">
      <w:pPr>
        <w:rPr>
          <w:rFonts w:ascii="Arial"/>
          <w:color w:val="auto"/>
        </w:rPr>
      </w:pPr>
    </w:p>
    <w:p w14:paraId="320BECFD">
      <w:pPr>
        <w:rPr>
          <w:rFonts w:ascii="Arial" w:hAnsi="Arial" w:eastAsia="Arial" w:cs="Arial"/>
          <w:color w:val="auto"/>
          <w:szCs w:val="21"/>
        </w:rPr>
        <w:sectPr>
          <w:headerReference r:id="rId8" w:type="default"/>
          <w:pgSz w:w="11906" w:h="16838"/>
          <w:pgMar w:top="1431" w:right="1691" w:bottom="0" w:left="1783" w:header="0" w:footer="0" w:gutter="0"/>
          <w:cols w:space="720" w:num="1"/>
        </w:sectPr>
      </w:pPr>
    </w:p>
    <w:p w14:paraId="1AC0270C">
      <w:pPr>
        <w:spacing w:line="91" w:lineRule="auto"/>
        <w:rPr>
          <w:rFonts w:ascii="Arial"/>
          <w:color w:val="auto"/>
          <w:sz w:val="2"/>
        </w:rPr>
      </w:pPr>
    </w:p>
    <w:tbl>
      <w:tblPr>
        <w:tblStyle w:val="89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696E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632" w:type="dxa"/>
            <w:vMerge w:val="restart"/>
            <w:tcBorders>
              <w:bottom w:val="nil"/>
            </w:tcBorders>
            <w:noWrap w:val="0"/>
            <w:vAlign w:val="top"/>
          </w:tcPr>
          <w:p w14:paraId="6059179F">
            <w:pPr>
              <w:rPr>
                <w:rFonts w:ascii="Arial"/>
                <w:color w:val="auto"/>
              </w:rPr>
            </w:pPr>
          </w:p>
        </w:tc>
        <w:tc>
          <w:tcPr>
            <w:tcW w:w="1275" w:type="dxa"/>
            <w:vMerge w:val="restart"/>
            <w:tcBorders>
              <w:bottom w:val="nil"/>
            </w:tcBorders>
            <w:noWrap w:val="0"/>
            <w:vAlign w:val="top"/>
          </w:tcPr>
          <w:p w14:paraId="61913BC1">
            <w:pPr>
              <w:rPr>
                <w:rFonts w:ascii="Arial"/>
                <w:color w:val="auto"/>
              </w:rPr>
            </w:pPr>
          </w:p>
        </w:tc>
        <w:tc>
          <w:tcPr>
            <w:tcW w:w="1967" w:type="dxa"/>
            <w:noWrap w:val="0"/>
            <w:vAlign w:val="top"/>
          </w:tcPr>
          <w:p w14:paraId="2E74A640">
            <w:pPr>
              <w:rPr>
                <w:rFonts w:ascii="Arial"/>
                <w:color w:val="auto"/>
              </w:rPr>
            </w:pPr>
          </w:p>
        </w:tc>
        <w:tc>
          <w:tcPr>
            <w:tcW w:w="2093" w:type="dxa"/>
            <w:noWrap w:val="0"/>
            <w:vAlign w:val="top"/>
          </w:tcPr>
          <w:p w14:paraId="5194609B">
            <w:pPr>
              <w:pStyle w:val="871"/>
              <w:spacing w:before="159" w:line="294" w:lineRule="auto"/>
              <w:ind w:left="19" w:right="11" w:firstLine="1"/>
              <w:rPr>
                <w:rFonts w:hint="eastAsia"/>
                <w:color w:val="auto"/>
                <w:lang w:eastAsia="zh-CN"/>
              </w:rPr>
            </w:pPr>
            <w:r>
              <w:rPr>
                <w:color w:val="auto"/>
                <w:spacing w:val="18"/>
                <w:lang w:eastAsia="zh-CN"/>
              </w:rPr>
              <w:t>溴化锂吸收式冷水机</w:t>
            </w:r>
            <w:r>
              <w:rPr>
                <w:color w:val="auto"/>
                <w:spacing w:val="4"/>
                <w:lang w:eastAsia="zh-CN"/>
              </w:rPr>
              <w:t xml:space="preserve"> </w:t>
            </w:r>
            <w:r>
              <w:rPr>
                <w:color w:val="auto"/>
                <w:lang w:eastAsia="zh-CN"/>
              </w:rPr>
              <w:t>组</w:t>
            </w:r>
          </w:p>
        </w:tc>
        <w:tc>
          <w:tcPr>
            <w:tcW w:w="3247" w:type="dxa"/>
            <w:noWrap w:val="0"/>
            <w:vAlign w:val="top"/>
          </w:tcPr>
          <w:p w14:paraId="4FDEC4F1">
            <w:pPr>
              <w:pStyle w:val="871"/>
              <w:spacing w:before="160" w:line="288" w:lineRule="auto"/>
              <w:ind w:left="22" w:right="11"/>
              <w:rPr>
                <w:rFonts w:hint="eastAsia"/>
                <w:color w:val="auto"/>
                <w:lang w:eastAsia="zh-CN"/>
              </w:rPr>
            </w:pPr>
            <w:r>
              <w:rPr>
                <w:color w:val="auto"/>
                <w:spacing w:val="19"/>
                <w:lang w:eastAsia="zh-CN"/>
              </w:rPr>
              <w:t>《溴化锂吸收式冷水机组能效限</w:t>
            </w:r>
            <w:r>
              <w:rPr>
                <w:color w:val="auto"/>
                <w:spacing w:val="2"/>
                <w:lang w:eastAsia="zh-CN"/>
              </w:rPr>
              <w:t xml:space="preserve"> </w:t>
            </w:r>
            <w:r>
              <w:rPr>
                <w:color w:val="auto"/>
                <w:spacing w:val="7"/>
                <w:lang w:eastAsia="zh-CN"/>
              </w:rPr>
              <w:t>定值及能效等级》（</w:t>
            </w:r>
            <w:r>
              <w:rPr>
                <w:color w:val="auto"/>
                <w:lang w:eastAsia="zh-CN"/>
              </w:rPr>
              <w:t>GB</w:t>
            </w:r>
            <w:r>
              <w:rPr>
                <w:color w:val="auto"/>
                <w:spacing w:val="7"/>
                <w:lang w:eastAsia="zh-CN"/>
              </w:rPr>
              <w:t xml:space="preserve"> 29540）</w:t>
            </w:r>
          </w:p>
        </w:tc>
      </w:tr>
      <w:tr w14:paraId="359C3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noWrap w:val="0"/>
            <w:vAlign w:val="top"/>
          </w:tcPr>
          <w:p w14:paraId="4368C78A">
            <w:pPr>
              <w:rPr>
                <w:rFonts w:ascii="Arial"/>
                <w:color w:val="auto"/>
              </w:rPr>
            </w:pPr>
          </w:p>
        </w:tc>
        <w:tc>
          <w:tcPr>
            <w:tcW w:w="1275" w:type="dxa"/>
            <w:vMerge w:val="continue"/>
            <w:tcBorders>
              <w:top w:val="nil"/>
              <w:bottom w:val="nil"/>
            </w:tcBorders>
            <w:noWrap w:val="0"/>
            <w:vAlign w:val="top"/>
          </w:tcPr>
          <w:p w14:paraId="45D22E42">
            <w:pPr>
              <w:rPr>
                <w:rFonts w:ascii="Arial"/>
                <w:color w:val="auto"/>
              </w:rPr>
            </w:pPr>
          </w:p>
        </w:tc>
        <w:tc>
          <w:tcPr>
            <w:tcW w:w="1967" w:type="dxa"/>
            <w:vMerge w:val="restart"/>
            <w:tcBorders>
              <w:bottom w:val="nil"/>
            </w:tcBorders>
            <w:noWrap w:val="0"/>
            <w:vAlign w:val="top"/>
          </w:tcPr>
          <w:p w14:paraId="6DBCFFEE">
            <w:pPr>
              <w:spacing w:line="265" w:lineRule="auto"/>
              <w:rPr>
                <w:rFonts w:ascii="Arial"/>
                <w:color w:val="auto"/>
              </w:rPr>
            </w:pPr>
          </w:p>
          <w:p w14:paraId="1FE4C71A">
            <w:pPr>
              <w:spacing w:line="265" w:lineRule="auto"/>
              <w:rPr>
                <w:rFonts w:ascii="Arial"/>
                <w:color w:val="auto"/>
              </w:rPr>
            </w:pPr>
          </w:p>
          <w:p w14:paraId="215D3E72">
            <w:pPr>
              <w:spacing w:line="265" w:lineRule="auto"/>
              <w:rPr>
                <w:rFonts w:ascii="Arial"/>
                <w:color w:val="auto"/>
              </w:rPr>
            </w:pPr>
          </w:p>
          <w:p w14:paraId="5E8F123C">
            <w:pPr>
              <w:pStyle w:val="871"/>
              <w:spacing w:before="62" w:line="294" w:lineRule="auto"/>
              <w:ind w:left="17" w:right="10"/>
              <w:rPr>
                <w:rFonts w:hint="eastAsia"/>
                <w:color w:val="auto"/>
              </w:rPr>
            </w:pPr>
            <w:r>
              <w:rPr>
                <w:color w:val="auto"/>
                <w:spacing w:val="3"/>
              </w:rPr>
              <w:t>★A02052305 空调机</w:t>
            </w:r>
            <w:r>
              <w:rPr>
                <w:color w:val="auto"/>
                <w:spacing w:val="12"/>
              </w:rPr>
              <w:t xml:space="preserve"> </w:t>
            </w:r>
            <w:r>
              <w:rPr>
                <w:color w:val="auto"/>
              </w:rPr>
              <w:t>组</w:t>
            </w:r>
          </w:p>
        </w:tc>
        <w:tc>
          <w:tcPr>
            <w:tcW w:w="2093" w:type="dxa"/>
            <w:noWrap w:val="0"/>
            <w:vAlign w:val="top"/>
          </w:tcPr>
          <w:p w14:paraId="3EBEAF18">
            <w:pPr>
              <w:pStyle w:val="871"/>
              <w:spacing w:before="65" w:line="284" w:lineRule="auto"/>
              <w:ind w:left="15" w:right="11" w:firstLine="10"/>
              <w:rPr>
                <w:rFonts w:hint="eastAsia"/>
                <w:color w:val="auto"/>
                <w:lang w:eastAsia="zh-CN"/>
              </w:rPr>
            </w:pPr>
            <w:r>
              <w:rPr>
                <w:color w:val="auto"/>
                <w:spacing w:val="15"/>
                <w:lang w:eastAsia="zh-CN"/>
              </w:rPr>
              <w:t>多联式空调（热泵）</w:t>
            </w:r>
            <w:r>
              <w:rPr>
                <w:color w:val="auto"/>
                <w:spacing w:val="7"/>
                <w:lang w:eastAsia="zh-CN"/>
              </w:rPr>
              <w:t xml:space="preserve"> </w:t>
            </w:r>
            <w:r>
              <w:rPr>
                <w:color w:val="auto"/>
                <w:spacing w:val="-8"/>
                <w:lang w:eastAsia="zh-CN"/>
              </w:rPr>
              <w:t>机</w:t>
            </w:r>
            <w:r>
              <w:rPr>
                <w:color w:val="auto"/>
                <w:spacing w:val="34"/>
                <w:lang w:eastAsia="zh-CN"/>
              </w:rPr>
              <w:t xml:space="preserve">  </w:t>
            </w:r>
            <w:r>
              <w:rPr>
                <w:color w:val="auto"/>
                <w:spacing w:val="-8"/>
                <w:lang w:eastAsia="zh-CN"/>
              </w:rPr>
              <w:t>组</w:t>
            </w:r>
            <w:r>
              <w:rPr>
                <w:color w:val="auto"/>
                <w:spacing w:val="2"/>
                <w:lang w:eastAsia="zh-CN"/>
              </w:rPr>
              <w:t xml:space="preserve">   </w:t>
            </w:r>
            <w:r>
              <w:rPr>
                <w:color w:val="auto"/>
                <w:spacing w:val="-8"/>
                <w:lang w:eastAsia="zh-CN"/>
              </w:rPr>
              <w:t>(</w:t>
            </w:r>
            <w:r>
              <w:rPr>
                <w:color w:val="auto"/>
                <w:spacing w:val="33"/>
                <w:lang w:eastAsia="zh-CN"/>
              </w:rPr>
              <w:t xml:space="preserve">  </w:t>
            </w:r>
            <w:r>
              <w:rPr>
                <w:color w:val="auto"/>
                <w:spacing w:val="-8"/>
                <w:lang w:eastAsia="zh-CN"/>
              </w:rPr>
              <w:t>制</w:t>
            </w:r>
            <w:r>
              <w:rPr>
                <w:color w:val="auto"/>
                <w:spacing w:val="35"/>
                <w:lang w:eastAsia="zh-CN"/>
              </w:rPr>
              <w:t xml:space="preserve">  </w:t>
            </w:r>
            <w:r>
              <w:rPr>
                <w:color w:val="auto"/>
                <w:spacing w:val="-8"/>
                <w:lang w:eastAsia="zh-CN"/>
              </w:rPr>
              <w:t>冷</w:t>
            </w:r>
            <w:r>
              <w:rPr>
                <w:color w:val="auto"/>
                <w:lang w:eastAsia="zh-CN"/>
              </w:rPr>
              <w:t xml:space="preserve"> </w:t>
            </w:r>
            <w:r>
              <w:rPr>
                <w:color w:val="auto"/>
                <w:spacing w:val="5"/>
                <w:lang w:eastAsia="zh-CN"/>
              </w:rPr>
              <w:t>量&gt;14000W)</w:t>
            </w:r>
          </w:p>
        </w:tc>
        <w:tc>
          <w:tcPr>
            <w:tcW w:w="3247" w:type="dxa"/>
            <w:noWrap w:val="0"/>
            <w:vAlign w:val="top"/>
          </w:tcPr>
          <w:p w14:paraId="34701414">
            <w:pPr>
              <w:pStyle w:val="871"/>
              <w:spacing w:before="223" w:line="288" w:lineRule="auto"/>
              <w:ind w:left="22"/>
              <w:rPr>
                <w:rFonts w:hint="eastAsia"/>
                <w:color w:val="auto"/>
                <w:lang w:eastAsia="zh-CN"/>
              </w:rPr>
            </w:pPr>
            <w:r>
              <w:rPr>
                <w:color w:val="auto"/>
                <w:lang w:eastAsia="zh-CN"/>
              </w:rPr>
              <w:t>《多联式空调（热泵）机组能效限</w:t>
            </w:r>
            <w:r>
              <w:rPr>
                <w:color w:val="auto"/>
                <w:spacing w:val="2"/>
                <w:lang w:eastAsia="zh-CN"/>
              </w:rPr>
              <w:t xml:space="preserve">  </w:t>
            </w:r>
            <w:r>
              <w:rPr>
                <w:color w:val="auto"/>
                <w:spacing w:val="-4"/>
                <w:lang w:eastAsia="zh-CN"/>
              </w:rPr>
              <w:t>定值及能源效率等级》（GB</w:t>
            </w:r>
            <w:r>
              <w:rPr>
                <w:color w:val="auto"/>
                <w:spacing w:val="-24"/>
                <w:lang w:eastAsia="zh-CN"/>
              </w:rPr>
              <w:t xml:space="preserve"> </w:t>
            </w:r>
            <w:r>
              <w:rPr>
                <w:color w:val="auto"/>
                <w:spacing w:val="-4"/>
                <w:lang w:eastAsia="zh-CN"/>
              </w:rPr>
              <w:t>21454）</w:t>
            </w:r>
          </w:p>
        </w:tc>
      </w:tr>
      <w:tr w14:paraId="38E4A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632" w:type="dxa"/>
            <w:vMerge w:val="continue"/>
            <w:tcBorders>
              <w:top w:val="nil"/>
              <w:bottom w:val="nil"/>
            </w:tcBorders>
            <w:noWrap w:val="0"/>
            <w:vAlign w:val="top"/>
          </w:tcPr>
          <w:p w14:paraId="6A52B11F">
            <w:pPr>
              <w:rPr>
                <w:rFonts w:ascii="Arial"/>
                <w:color w:val="auto"/>
              </w:rPr>
            </w:pPr>
          </w:p>
        </w:tc>
        <w:tc>
          <w:tcPr>
            <w:tcW w:w="1275" w:type="dxa"/>
            <w:vMerge w:val="continue"/>
            <w:tcBorders>
              <w:top w:val="nil"/>
              <w:bottom w:val="nil"/>
            </w:tcBorders>
            <w:noWrap w:val="0"/>
            <w:vAlign w:val="top"/>
          </w:tcPr>
          <w:p w14:paraId="7DDE0454">
            <w:pPr>
              <w:rPr>
                <w:rFonts w:ascii="Arial"/>
                <w:color w:val="auto"/>
              </w:rPr>
            </w:pPr>
          </w:p>
        </w:tc>
        <w:tc>
          <w:tcPr>
            <w:tcW w:w="1967" w:type="dxa"/>
            <w:vMerge w:val="continue"/>
            <w:tcBorders>
              <w:top w:val="nil"/>
            </w:tcBorders>
            <w:noWrap w:val="0"/>
            <w:vAlign w:val="top"/>
          </w:tcPr>
          <w:p w14:paraId="5E700BC4">
            <w:pPr>
              <w:rPr>
                <w:rFonts w:ascii="Arial"/>
                <w:color w:val="auto"/>
              </w:rPr>
            </w:pPr>
          </w:p>
        </w:tc>
        <w:tc>
          <w:tcPr>
            <w:tcW w:w="2093" w:type="dxa"/>
            <w:noWrap w:val="0"/>
            <w:vAlign w:val="top"/>
          </w:tcPr>
          <w:p w14:paraId="0574413A">
            <w:pPr>
              <w:spacing w:line="319" w:lineRule="auto"/>
              <w:rPr>
                <w:rFonts w:ascii="Arial"/>
                <w:color w:val="auto"/>
              </w:rPr>
            </w:pPr>
          </w:p>
          <w:p w14:paraId="2056C5C5">
            <w:pPr>
              <w:pStyle w:val="871"/>
              <w:spacing w:before="61" w:line="289" w:lineRule="auto"/>
              <w:ind w:left="51" w:right="11" w:hanging="33"/>
              <w:rPr>
                <w:rFonts w:hint="eastAsia"/>
                <w:color w:val="auto"/>
                <w:lang w:eastAsia="zh-CN"/>
              </w:rPr>
            </w:pPr>
            <w:r>
              <w:rPr>
                <w:color w:val="auto"/>
                <w:spacing w:val="44"/>
                <w:lang w:eastAsia="zh-CN"/>
              </w:rPr>
              <w:t>单元式空气调节机</w:t>
            </w:r>
            <w:r>
              <w:rPr>
                <w:color w:val="auto"/>
                <w:spacing w:val="6"/>
                <w:lang w:eastAsia="zh-CN"/>
              </w:rPr>
              <w:t xml:space="preserve"> </w:t>
            </w:r>
            <w:r>
              <w:rPr>
                <w:color w:val="auto"/>
                <w:spacing w:val="2"/>
                <w:lang w:eastAsia="zh-CN"/>
              </w:rPr>
              <w:t>(制冷量&gt;14000W)</w:t>
            </w:r>
          </w:p>
        </w:tc>
        <w:tc>
          <w:tcPr>
            <w:tcW w:w="3247" w:type="dxa"/>
            <w:noWrap w:val="0"/>
            <w:vAlign w:val="top"/>
          </w:tcPr>
          <w:p w14:paraId="280CA36A">
            <w:pPr>
              <w:pStyle w:val="871"/>
              <w:spacing w:before="72" w:line="290" w:lineRule="auto"/>
              <w:ind w:left="16" w:right="11" w:firstLine="6"/>
              <w:rPr>
                <w:rFonts w:hint="eastAsia"/>
                <w:color w:val="auto"/>
                <w:lang w:eastAsia="zh-CN"/>
              </w:rPr>
            </w:pPr>
            <w:r>
              <w:rPr>
                <w:color w:val="auto"/>
                <w:spacing w:val="19"/>
                <w:lang w:eastAsia="zh-CN"/>
              </w:rPr>
              <w:t>《单元式空气调节机能效限定值</w:t>
            </w:r>
            <w:r>
              <w:rPr>
                <w:color w:val="auto"/>
                <w:spacing w:val="2"/>
                <w:lang w:eastAsia="zh-CN"/>
              </w:rPr>
              <w:t xml:space="preserve"> </w:t>
            </w:r>
            <w:r>
              <w:rPr>
                <w:color w:val="auto"/>
                <w:spacing w:val="6"/>
                <w:lang w:eastAsia="zh-CN"/>
              </w:rPr>
              <w:t>及能效等级》（</w:t>
            </w:r>
            <w:r>
              <w:rPr>
                <w:color w:val="auto"/>
                <w:lang w:eastAsia="zh-CN"/>
              </w:rPr>
              <w:t>GB</w:t>
            </w:r>
            <w:r>
              <w:rPr>
                <w:color w:val="auto"/>
                <w:spacing w:val="-13"/>
                <w:lang w:eastAsia="zh-CN"/>
              </w:rPr>
              <w:t xml:space="preserve"> </w:t>
            </w:r>
            <w:r>
              <w:rPr>
                <w:color w:val="auto"/>
                <w:spacing w:val="6"/>
                <w:lang w:eastAsia="zh-CN"/>
              </w:rPr>
              <w:t>19576）《风管</w:t>
            </w:r>
            <w:r>
              <w:rPr>
                <w:color w:val="auto"/>
                <w:lang w:eastAsia="zh-CN"/>
              </w:rPr>
              <w:t xml:space="preserve"> </w:t>
            </w:r>
            <w:r>
              <w:rPr>
                <w:color w:val="auto"/>
                <w:spacing w:val="19"/>
                <w:lang w:eastAsia="zh-CN"/>
              </w:rPr>
              <w:t>送风式空调机组能效限定值及能</w:t>
            </w:r>
            <w:r>
              <w:rPr>
                <w:color w:val="auto"/>
                <w:spacing w:val="9"/>
                <w:lang w:eastAsia="zh-CN"/>
              </w:rPr>
              <w:t xml:space="preserve"> </w:t>
            </w:r>
            <w:r>
              <w:rPr>
                <w:color w:val="auto"/>
                <w:spacing w:val="7"/>
                <w:lang w:eastAsia="zh-CN"/>
              </w:rPr>
              <w:t>效等级》（</w:t>
            </w:r>
            <w:r>
              <w:rPr>
                <w:color w:val="auto"/>
                <w:lang w:eastAsia="zh-CN"/>
              </w:rPr>
              <w:t>GB</w:t>
            </w:r>
            <w:r>
              <w:rPr>
                <w:color w:val="auto"/>
                <w:spacing w:val="7"/>
                <w:lang w:eastAsia="zh-CN"/>
              </w:rPr>
              <w:t xml:space="preserve"> 37479）</w:t>
            </w:r>
          </w:p>
        </w:tc>
      </w:tr>
      <w:tr w14:paraId="6B2BB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32" w:type="dxa"/>
            <w:vMerge w:val="continue"/>
            <w:tcBorders>
              <w:top w:val="nil"/>
              <w:bottom w:val="nil"/>
            </w:tcBorders>
            <w:noWrap w:val="0"/>
            <w:vAlign w:val="top"/>
          </w:tcPr>
          <w:p w14:paraId="5FDD0630">
            <w:pPr>
              <w:rPr>
                <w:rFonts w:ascii="Arial"/>
                <w:color w:val="auto"/>
              </w:rPr>
            </w:pPr>
          </w:p>
        </w:tc>
        <w:tc>
          <w:tcPr>
            <w:tcW w:w="1275" w:type="dxa"/>
            <w:vMerge w:val="continue"/>
            <w:tcBorders>
              <w:top w:val="nil"/>
              <w:bottom w:val="nil"/>
            </w:tcBorders>
            <w:noWrap w:val="0"/>
            <w:vAlign w:val="top"/>
          </w:tcPr>
          <w:p w14:paraId="21F59543">
            <w:pPr>
              <w:rPr>
                <w:rFonts w:ascii="Arial"/>
                <w:color w:val="auto"/>
              </w:rPr>
            </w:pPr>
          </w:p>
        </w:tc>
        <w:tc>
          <w:tcPr>
            <w:tcW w:w="1967" w:type="dxa"/>
            <w:noWrap w:val="0"/>
            <w:vAlign w:val="top"/>
          </w:tcPr>
          <w:p w14:paraId="71E6D2C0">
            <w:pPr>
              <w:pStyle w:val="871"/>
              <w:spacing w:before="145" w:line="287" w:lineRule="auto"/>
              <w:ind w:left="17" w:right="10" w:firstLine="1"/>
              <w:rPr>
                <w:rFonts w:hint="eastAsia"/>
                <w:color w:val="auto"/>
                <w:lang w:eastAsia="zh-CN"/>
              </w:rPr>
            </w:pPr>
            <w:r>
              <w:rPr>
                <w:color w:val="auto"/>
                <w:spacing w:val="3"/>
                <w:lang w:eastAsia="zh-CN"/>
              </w:rPr>
              <w:t>★A02052309 专用制</w:t>
            </w:r>
            <w:r>
              <w:rPr>
                <w:color w:val="auto"/>
                <w:spacing w:val="12"/>
                <w:lang w:eastAsia="zh-CN"/>
              </w:rPr>
              <w:t xml:space="preserve"> </w:t>
            </w:r>
            <w:r>
              <w:rPr>
                <w:color w:val="auto"/>
                <w:spacing w:val="8"/>
                <w:lang w:eastAsia="zh-CN"/>
              </w:rPr>
              <w:t>冷、空调设备</w:t>
            </w:r>
          </w:p>
        </w:tc>
        <w:tc>
          <w:tcPr>
            <w:tcW w:w="2093" w:type="dxa"/>
            <w:noWrap w:val="0"/>
            <w:vAlign w:val="top"/>
          </w:tcPr>
          <w:p w14:paraId="396FC160">
            <w:pPr>
              <w:pStyle w:val="871"/>
              <w:spacing w:before="300" w:line="228" w:lineRule="auto"/>
              <w:ind w:left="15"/>
              <w:rPr>
                <w:rFonts w:hint="eastAsia"/>
                <w:color w:val="auto"/>
              </w:rPr>
            </w:pPr>
            <w:r>
              <w:rPr>
                <w:color w:val="auto"/>
                <w:spacing w:val="7"/>
              </w:rPr>
              <w:t>机房空调</w:t>
            </w:r>
          </w:p>
        </w:tc>
        <w:tc>
          <w:tcPr>
            <w:tcW w:w="3247" w:type="dxa"/>
            <w:noWrap w:val="0"/>
            <w:vAlign w:val="top"/>
          </w:tcPr>
          <w:p w14:paraId="14D6831D">
            <w:pPr>
              <w:pStyle w:val="871"/>
              <w:spacing w:before="146" w:line="286" w:lineRule="auto"/>
              <w:ind w:left="17" w:right="11" w:firstLine="6"/>
              <w:rPr>
                <w:rFonts w:hint="eastAsia"/>
                <w:color w:val="auto"/>
                <w:lang w:eastAsia="zh-CN"/>
              </w:rPr>
            </w:pPr>
            <w:r>
              <w:rPr>
                <w:color w:val="auto"/>
                <w:spacing w:val="19"/>
                <w:lang w:eastAsia="zh-CN"/>
              </w:rPr>
              <w:t>《单元式空气调节机能效限定值</w:t>
            </w:r>
            <w:r>
              <w:rPr>
                <w:color w:val="auto"/>
                <w:spacing w:val="2"/>
                <w:lang w:eastAsia="zh-CN"/>
              </w:rPr>
              <w:t xml:space="preserve"> </w:t>
            </w:r>
            <w:r>
              <w:rPr>
                <w:color w:val="auto"/>
                <w:spacing w:val="5"/>
                <w:lang w:eastAsia="zh-CN"/>
              </w:rPr>
              <w:t>及能效等级》（</w:t>
            </w:r>
            <w:r>
              <w:rPr>
                <w:color w:val="auto"/>
                <w:lang w:eastAsia="zh-CN"/>
              </w:rPr>
              <w:t>GB</w:t>
            </w:r>
            <w:r>
              <w:rPr>
                <w:color w:val="auto"/>
                <w:spacing w:val="39"/>
                <w:lang w:eastAsia="zh-CN"/>
              </w:rPr>
              <w:t xml:space="preserve"> </w:t>
            </w:r>
            <w:r>
              <w:rPr>
                <w:color w:val="auto"/>
                <w:spacing w:val="5"/>
                <w:lang w:eastAsia="zh-CN"/>
              </w:rPr>
              <w:t>19576）</w:t>
            </w:r>
          </w:p>
        </w:tc>
      </w:tr>
      <w:tr w14:paraId="2BB16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jc w:val="center"/>
        </w:trPr>
        <w:tc>
          <w:tcPr>
            <w:tcW w:w="632" w:type="dxa"/>
            <w:vMerge w:val="continue"/>
            <w:tcBorders>
              <w:top w:val="nil"/>
            </w:tcBorders>
            <w:noWrap w:val="0"/>
            <w:vAlign w:val="top"/>
          </w:tcPr>
          <w:p w14:paraId="0EFF578B">
            <w:pPr>
              <w:rPr>
                <w:rFonts w:ascii="Arial"/>
                <w:color w:val="auto"/>
              </w:rPr>
            </w:pPr>
          </w:p>
        </w:tc>
        <w:tc>
          <w:tcPr>
            <w:tcW w:w="1275" w:type="dxa"/>
            <w:vMerge w:val="continue"/>
            <w:tcBorders>
              <w:top w:val="nil"/>
            </w:tcBorders>
            <w:noWrap w:val="0"/>
            <w:vAlign w:val="top"/>
          </w:tcPr>
          <w:p w14:paraId="5C2CDC11">
            <w:pPr>
              <w:rPr>
                <w:rFonts w:ascii="Arial"/>
                <w:color w:val="auto"/>
              </w:rPr>
            </w:pPr>
          </w:p>
        </w:tc>
        <w:tc>
          <w:tcPr>
            <w:tcW w:w="1967" w:type="dxa"/>
            <w:noWrap w:val="0"/>
            <w:vAlign w:val="top"/>
          </w:tcPr>
          <w:p w14:paraId="21006595">
            <w:pPr>
              <w:spacing w:line="265" w:lineRule="auto"/>
              <w:rPr>
                <w:rFonts w:ascii="Arial"/>
                <w:color w:val="auto"/>
              </w:rPr>
            </w:pPr>
          </w:p>
          <w:p w14:paraId="20C68933">
            <w:pPr>
              <w:spacing w:line="265" w:lineRule="auto"/>
              <w:rPr>
                <w:rFonts w:ascii="Arial"/>
                <w:color w:val="auto"/>
              </w:rPr>
            </w:pPr>
          </w:p>
          <w:p w14:paraId="58642668">
            <w:pPr>
              <w:pStyle w:val="871"/>
              <w:spacing w:before="62" w:line="289" w:lineRule="auto"/>
              <w:ind w:left="21" w:right="10" w:hanging="12"/>
              <w:rPr>
                <w:rFonts w:hint="eastAsia"/>
                <w:color w:val="auto"/>
              </w:rPr>
            </w:pPr>
            <w:r>
              <w:rPr>
                <w:color w:val="auto"/>
                <w:spacing w:val="4"/>
              </w:rPr>
              <w:t>A02052399 其他制冷</w:t>
            </w:r>
            <w:r>
              <w:rPr>
                <w:color w:val="auto"/>
                <w:spacing w:val="7"/>
              </w:rPr>
              <w:t xml:space="preserve"> </w:t>
            </w:r>
            <w:r>
              <w:rPr>
                <w:color w:val="auto"/>
                <w:spacing w:val="5"/>
              </w:rPr>
              <w:t>空调设备</w:t>
            </w:r>
          </w:p>
        </w:tc>
        <w:tc>
          <w:tcPr>
            <w:tcW w:w="2093" w:type="dxa"/>
            <w:noWrap w:val="0"/>
            <w:vAlign w:val="top"/>
          </w:tcPr>
          <w:p w14:paraId="2D7E232D">
            <w:pPr>
              <w:spacing w:line="343" w:lineRule="auto"/>
              <w:rPr>
                <w:rFonts w:ascii="Arial"/>
                <w:color w:val="auto"/>
              </w:rPr>
            </w:pPr>
          </w:p>
          <w:p w14:paraId="6A5AB729">
            <w:pPr>
              <w:spacing w:line="343" w:lineRule="auto"/>
              <w:rPr>
                <w:rFonts w:ascii="Arial"/>
                <w:color w:val="auto"/>
              </w:rPr>
            </w:pPr>
          </w:p>
          <w:p w14:paraId="7BB9035D">
            <w:pPr>
              <w:pStyle w:val="871"/>
              <w:spacing w:before="62" w:line="231" w:lineRule="auto"/>
              <w:ind w:left="18"/>
              <w:rPr>
                <w:rFonts w:hint="eastAsia"/>
                <w:color w:val="auto"/>
              </w:rPr>
            </w:pPr>
            <w:r>
              <w:rPr>
                <w:color w:val="auto"/>
                <w:spacing w:val="6"/>
              </w:rPr>
              <w:t>冷却塔</w:t>
            </w:r>
          </w:p>
        </w:tc>
        <w:tc>
          <w:tcPr>
            <w:tcW w:w="3247" w:type="dxa"/>
            <w:noWrap w:val="0"/>
            <w:vAlign w:val="top"/>
          </w:tcPr>
          <w:p w14:paraId="5D0854FA">
            <w:pPr>
              <w:pStyle w:val="871"/>
              <w:spacing w:before="284" w:line="296" w:lineRule="auto"/>
              <w:ind w:left="23"/>
              <w:rPr>
                <w:rFonts w:hint="eastAsia"/>
                <w:color w:val="auto"/>
                <w:lang w:eastAsia="zh-CN"/>
              </w:rPr>
            </w:pPr>
            <w:r>
              <w:rPr>
                <w:color w:val="auto"/>
                <w:spacing w:val="2"/>
                <w:lang w:eastAsia="zh-CN"/>
              </w:rPr>
              <w:t>《机械通风冷却塔 第 1 部分：中</w:t>
            </w:r>
            <w:r>
              <w:rPr>
                <w:color w:val="auto"/>
                <w:spacing w:val="3"/>
                <w:lang w:eastAsia="zh-CN"/>
              </w:rPr>
              <w:t xml:space="preserve"> </w:t>
            </w:r>
            <w:r>
              <w:rPr>
                <w:color w:val="auto"/>
                <w:spacing w:val="-6"/>
                <w:lang w:eastAsia="zh-CN"/>
              </w:rPr>
              <w:t>小型开式冷却塔》（GB</w:t>
            </w:r>
            <w:r>
              <w:rPr>
                <w:color w:val="auto"/>
                <w:spacing w:val="-36"/>
                <w:lang w:eastAsia="zh-CN"/>
              </w:rPr>
              <w:t xml:space="preserve"> </w:t>
            </w:r>
            <w:r>
              <w:rPr>
                <w:color w:val="auto"/>
                <w:spacing w:val="-6"/>
                <w:lang w:eastAsia="zh-CN"/>
              </w:rPr>
              <w:t>/T</w:t>
            </w:r>
            <w:r>
              <w:rPr>
                <w:color w:val="auto"/>
                <w:spacing w:val="-31"/>
                <w:lang w:eastAsia="zh-CN"/>
              </w:rPr>
              <w:t xml:space="preserve"> </w:t>
            </w:r>
            <w:r>
              <w:rPr>
                <w:color w:val="auto"/>
                <w:spacing w:val="-6"/>
                <w:lang w:eastAsia="zh-CN"/>
              </w:rPr>
              <w:t>7190.1</w:t>
            </w:r>
            <w:r>
              <w:rPr>
                <w:color w:val="auto"/>
                <w:spacing w:val="-49"/>
                <w:w w:val="97"/>
                <w:lang w:eastAsia="zh-CN"/>
              </w:rPr>
              <w:t>）；</w:t>
            </w:r>
            <w:r>
              <w:rPr>
                <w:color w:val="auto"/>
                <w:lang w:eastAsia="zh-CN"/>
              </w:rPr>
              <w:t xml:space="preserve"> </w:t>
            </w:r>
            <w:r>
              <w:rPr>
                <w:color w:val="auto"/>
                <w:spacing w:val="2"/>
                <w:lang w:eastAsia="zh-CN"/>
              </w:rPr>
              <w:t>《机械通风冷却塔 第 2 部分：大</w:t>
            </w:r>
            <w:r>
              <w:rPr>
                <w:color w:val="auto"/>
                <w:spacing w:val="3"/>
                <w:lang w:eastAsia="zh-CN"/>
              </w:rPr>
              <w:t xml:space="preserve"> </w:t>
            </w:r>
            <w:r>
              <w:rPr>
                <w:color w:val="auto"/>
                <w:spacing w:val="4"/>
                <w:lang w:eastAsia="zh-CN"/>
              </w:rPr>
              <w:t>型开式冷却塔》（</w:t>
            </w:r>
            <w:r>
              <w:rPr>
                <w:color w:val="auto"/>
                <w:lang w:eastAsia="zh-CN"/>
              </w:rPr>
              <w:t>GB</w:t>
            </w:r>
            <w:r>
              <w:rPr>
                <w:color w:val="auto"/>
                <w:spacing w:val="4"/>
                <w:lang w:eastAsia="zh-CN"/>
              </w:rPr>
              <w:t xml:space="preserve"> /T 7190.2）</w:t>
            </w:r>
          </w:p>
        </w:tc>
      </w:tr>
      <w:tr w14:paraId="15718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noWrap w:val="0"/>
            <w:vAlign w:val="top"/>
          </w:tcPr>
          <w:p w14:paraId="3D77B9B9">
            <w:pPr>
              <w:spacing w:line="242" w:lineRule="auto"/>
              <w:rPr>
                <w:rFonts w:ascii="Arial"/>
                <w:color w:val="auto"/>
              </w:rPr>
            </w:pPr>
          </w:p>
          <w:p w14:paraId="5A9D8B5F">
            <w:pPr>
              <w:pStyle w:val="871"/>
              <w:spacing w:before="62" w:line="188" w:lineRule="auto"/>
              <w:ind w:left="247"/>
              <w:rPr>
                <w:rFonts w:hint="eastAsia"/>
                <w:color w:val="auto"/>
              </w:rPr>
            </w:pPr>
            <w:r>
              <w:rPr>
                <w:color w:val="auto"/>
              </w:rPr>
              <w:t>7</w:t>
            </w:r>
          </w:p>
        </w:tc>
        <w:tc>
          <w:tcPr>
            <w:tcW w:w="1275" w:type="dxa"/>
            <w:noWrap w:val="0"/>
            <w:vAlign w:val="top"/>
          </w:tcPr>
          <w:p w14:paraId="581271FC">
            <w:pPr>
              <w:pStyle w:val="871"/>
              <w:spacing w:before="273" w:line="228" w:lineRule="auto"/>
              <w:ind w:left="9"/>
              <w:rPr>
                <w:rFonts w:hint="eastAsia"/>
                <w:color w:val="auto"/>
              </w:rPr>
            </w:pPr>
            <w:r>
              <w:rPr>
                <w:color w:val="auto"/>
                <w:spacing w:val="3"/>
              </w:rPr>
              <w:t>A020601</w:t>
            </w:r>
            <w:r>
              <w:rPr>
                <w:color w:val="auto"/>
                <w:spacing w:val="-19"/>
              </w:rPr>
              <w:t xml:space="preserve"> </w:t>
            </w:r>
            <w:r>
              <w:rPr>
                <w:color w:val="auto"/>
                <w:spacing w:val="3"/>
              </w:rPr>
              <w:t>电机</w:t>
            </w:r>
          </w:p>
        </w:tc>
        <w:tc>
          <w:tcPr>
            <w:tcW w:w="1967" w:type="dxa"/>
            <w:noWrap w:val="0"/>
            <w:vAlign w:val="top"/>
          </w:tcPr>
          <w:p w14:paraId="2BA7E9A0">
            <w:pPr>
              <w:rPr>
                <w:rFonts w:ascii="Arial"/>
                <w:color w:val="auto"/>
              </w:rPr>
            </w:pPr>
          </w:p>
        </w:tc>
        <w:tc>
          <w:tcPr>
            <w:tcW w:w="2093" w:type="dxa"/>
            <w:noWrap w:val="0"/>
            <w:vAlign w:val="top"/>
          </w:tcPr>
          <w:p w14:paraId="667463A8">
            <w:pPr>
              <w:rPr>
                <w:rFonts w:ascii="Arial"/>
                <w:color w:val="auto"/>
              </w:rPr>
            </w:pPr>
          </w:p>
        </w:tc>
        <w:tc>
          <w:tcPr>
            <w:tcW w:w="3247" w:type="dxa"/>
            <w:noWrap w:val="0"/>
            <w:vAlign w:val="top"/>
          </w:tcPr>
          <w:p w14:paraId="4E993783">
            <w:pPr>
              <w:pStyle w:val="871"/>
              <w:spacing w:before="117" w:line="288" w:lineRule="auto"/>
              <w:ind w:left="22" w:right="11"/>
              <w:rPr>
                <w:rFonts w:hint="eastAsia"/>
                <w:color w:val="auto"/>
                <w:lang w:eastAsia="zh-CN"/>
              </w:rPr>
            </w:pPr>
            <w:r>
              <w:rPr>
                <w:color w:val="auto"/>
                <w:spacing w:val="19"/>
                <w:lang w:eastAsia="zh-CN"/>
              </w:rPr>
              <w:t>《中小型三相异步电动机能效限</w:t>
            </w:r>
            <w:r>
              <w:rPr>
                <w:color w:val="auto"/>
                <w:spacing w:val="2"/>
                <w:lang w:eastAsia="zh-CN"/>
              </w:rPr>
              <w:t xml:space="preserve"> </w:t>
            </w:r>
            <w:r>
              <w:rPr>
                <w:color w:val="auto"/>
                <w:spacing w:val="5"/>
                <w:lang w:eastAsia="zh-CN"/>
              </w:rPr>
              <w:t>定值及能效等级》（</w:t>
            </w:r>
            <w:r>
              <w:rPr>
                <w:color w:val="auto"/>
                <w:lang w:eastAsia="zh-CN"/>
              </w:rPr>
              <w:t>GB</w:t>
            </w:r>
            <w:r>
              <w:rPr>
                <w:color w:val="auto"/>
                <w:spacing w:val="42"/>
                <w:lang w:eastAsia="zh-CN"/>
              </w:rPr>
              <w:t xml:space="preserve"> </w:t>
            </w:r>
            <w:r>
              <w:rPr>
                <w:color w:val="auto"/>
                <w:spacing w:val="5"/>
                <w:lang w:eastAsia="zh-CN"/>
              </w:rPr>
              <w:t>18613）</w:t>
            </w:r>
          </w:p>
        </w:tc>
      </w:tr>
      <w:tr w14:paraId="255A1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632" w:type="dxa"/>
            <w:noWrap w:val="0"/>
            <w:vAlign w:val="top"/>
          </w:tcPr>
          <w:p w14:paraId="39297A5A">
            <w:pPr>
              <w:pStyle w:val="871"/>
              <w:spacing w:before="283" w:line="189" w:lineRule="auto"/>
              <w:ind w:left="243"/>
              <w:rPr>
                <w:rFonts w:hint="eastAsia"/>
                <w:color w:val="auto"/>
              </w:rPr>
            </w:pPr>
            <w:r>
              <w:rPr>
                <w:color w:val="auto"/>
              </w:rPr>
              <w:t>8</w:t>
            </w:r>
          </w:p>
        </w:tc>
        <w:tc>
          <w:tcPr>
            <w:tcW w:w="1275" w:type="dxa"/>
            <w:noWrap w:val="0"/>
            <w:vAlign w:val="top"/>
          </w:tcPr>
          <w:p w14:paraId="079CE45F">
            <w:pPr>
              <w:pStyle w:val="871"/>
              <w:spacing w:before="96" w:line="285" w:lineRule="auto"/>
              <w:ind w:left="15" w:right="8" w:hanging="6"/>
              <w:rPr>
                <w:rFonts w:hint="eastAsia"/>
                <w:color w:val="auto"/>
              </w:rPr>
            </w:pPr>
            <w:r>
              <w:rPr>
                <w:color w:val="auto"/>
                <w:spacing w:val="5"/>
              </w:rPr>
              <w:t>A020602</w:t>
            </w:r>
            <w:r>
              <w:rPr>
                <w:color w:val="auto"/>
                <w:spacing w:val="-43"/>
              </w:rPr>
              <w:t xml:space="preserve"> </w:t>
            </w:r>
            <w:r>
              <w:rPr>
                <w:color w:val="auto"/>
                <w:spacing w:val="5"/>
              </w:rPr>
              <w:t>变压</w:t>
            </w:r>
            <w:r>
              <w:rPr>
                <w:color w:val="auto"/>
              </w:rPr>
              <w:t xml:space="preserve"> </w:t>
            </w:r>
            <w:r>
              <w:rPr>
                <w:color w:val="auto"/>
                <w:spacing w:val="1"/>
              </w:rPr>
              <w:t>器</w:t>
            </w:r>
          </w:p>
        </w:tc>
        <w:tc>
          <w:tcPr>
            <w:tcW w:w="1967" w:type="dxa"/>
            <w:noWrap w:val="0"/>
            <w:vAlign w:val="top"/>
          </w:tcPr>
          <w:p w14:paraId="57293195">
            <w:pPr>
              <w:pStyle w:val="871"/>
              <w:spacing w:before="252" w:line="230" w:lineRule="auto"/>
              <w:ind w:left="15"/>
              <w:rPr>
                <w:rFonts w:hint="eastAsia"/>
                <w:color w:val="auto"/>
              </w:rPr>
            </w:pPr>
            <w:r>
              <w:rPr>
                <w:color w:val="auto"/>
                <w:spacing w:val="8"/>
              </w:rPr>
              <w:t>配电变压器</w:t>
            </w:r>
          </w:p>
        </w:tc>
        <w:tc>
          <w:tcPr>
            <w:tcW w:w="2093" w:type="dxa"/>
            <w:noWrap w:val="0"/>
            <w:vAlign w:val="top"/>
          </w:tcPr>
          <w:p w14:paraId="06F39278">
            <w:pPr>
              <w:rPr>
                <w:rFonts w:ascii="Arial"/>
                <w:color w:val="auto"/>
              </w:rPr>
            </w:pPr>
          </w:p>
        </w:tc>
        <w:tc>
          <w:tcPr>
            <w:tcW w:w="3247" w:type="dxa"/>
            <w:noWrap w:val="0"/>
            <w:vAlign w:val="top"/>
          </w:tcPr>
          <w:p w14:paraId="02447424">
            <w:pPr>
              <w:pStyle w:val="871"/>
              <w:spacing w:before="96" w:line="285" w:lineRule="auto"/>
              <w:ind w:left="25" w:right="11" w:hanging="2"/>
              <w:rPr>
                <w:rFonts w:hint="eastAsia"/>
                <w:color w:val="auto"/>
                <w:lang w:eastAsia="zh-CN"/>
              </w:rPr>
            </w:pPr>
            <w:r>
              <w:rPr>
                <w:color w:val="auto"/>
                <w:spacing w:val="19"/>
                <w:lang w:eastAsia="zh-CN"/>
              </w:rPr>
              <w:t>《三相配电变压器能效限定值及</w:t>
            </w:r>
            <w:r>
              <w:rPr>
                <w:color w:val="auto"/>
                <w:spacing w:val="2"/>
                <w:lang w:eastAsia="zh-CN"/>
              </w:rPr>
              <w:t xml:space="preserve"> </w:t>
            </w:r>
            <w:r>
              <w:rPr>
                <w:color w:val="auto"/>
                <w:spacing w:val="6"/>
                <w:lang w:eastAsia="zh-CN"/>
              </w:rPr>
              <w:t>能效等级》（</w:t>
            </w:r>
            <w:r>
              <w:rPr>
                <w:color w:val="auto"/>
                <w:lang w:eastAsia="zh-CN"/>
              </w:rPr>
              <w:t>GB</w:t>
            </w:r>
            <w:r>
              <w:rPr>
                <w:color w:val="auto"/>
                <w:spacing w:val="6"/>
                <w:lang w:eastAsia="zh-CN"/>
              </w:rPr>
              <w:t xml:space="preserve"> 20052）</w:t>
            </w:r>
          </w:p>
        </w:tc>
      </w:tr>
      <w:tr w14:paraId="67161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632" w:type="dxa"/>
            <w:noWrap w:val="0"/>
            <w:vAlign w:val="top"/>
          </w:tcPr>
          <w:p w14:paraId="58D1C0C1">
            <w:pPr>
              <w:spacing w:line="316" w:lineRule="auto"/>
              <w:rPr>
                <w:rFonts w:ascii="Arial"/>
                <w:color w:val="auto"/>
              </w:rPr>
            </w:pPr>
          </w:p>
          <w:p w14:paraId="3BBDA1EC">
            <w:pPr>
              <w:pStyle w:val="871"/>
              <w:spacing w:before="61" w:line="189" w:lineRule="auto"/>
              <w:ind w:left="243"/>
              <w:rPr>
                <w:rFonts w:hint="eastAsia"/>
                <w:color w:val="auto"/>
              </w:rPr>
            </w:pPr>
            <w:r>
              <w:rPr>
                <w:color w:val="auto"/>
              </w:rPr>
              <w:t>9</w:t>
            </w:r>
          </w:p>
        </w:tc>
        <w:tc>
          <w:tcPr>
            <w:tcW w:w="1275" w:type="dxa"/>
            <w:noWrap w:val="0"/>
            <w:vAlign w:val="top"/>
          </w:tcPr>
          <w:p w14:paraId="35461850">
            <w:pPr>
              <w:pStyle w:val="871"/>
              <w:spacing w:before="192" w:line="290" w:lineRule="auto"/>
              <w:ind w:left="16" w:right="8" w:firstLine="2"/>
              <w:rPr>
                <w:rFonts w:hint="eastAsia"/>
                <w:color w:val="auto"/>
              </w:rPr>
            </w:pPr>
            <w:r>
              <w:rPr>
                <w:color w:val="auto"/>
                <w:spacing w:val="4"/>
              </w:rPr>
              <w:t>★A020609</w:t>
            </w:r>
            <w:r>
              <w:rPr>
                <w:color w:val="auto"/>
                <w:spacing w:val="-43"/>
              </w:rPr>
              <w:t xml:space="preserve"> </w:t>
            </w:r>
            <w:r>
              <w:rPr>
                <w:color w:val="auto"/>
                <w:spacing w:val="4"/>
              </w:rPr>
              <w:t>镇</w:t>
            </w:r>
            <w:r>
              <w:rPr>
                <w:color w:val="auto"/>
              </w:rPr>
              <w:t xml:space="preserve"> </w:t>
            </w:r>
            <w:r>
              <w:rPr>
                <w:color w:val="auto"/>
                <w:spacing w:val="4"/>
              </w:rPr>
              <w:t>流器</w:t>
            </w:r>
          </w:p>
        </w:tc>
        <w:tc>
          <w:tcPr>
            <w:tcW w:w="1967" w:type="dxa"/>
            <w:noWrap w:val="0"/>
            <w:vAlign w:val="top"/>
          </w:tcPr>
          <w:p w14:paraId="7C4E8EFD">
            <w:pPr>
              <w:spacing w:line="284" w:lineRule="auto"/>
              <w:rPr>
                <w:rFonts w:ascii="Arial"/>
                <w:color w:val="auto"/>
              </w:rPr>
            </w:pPr>
          </w:p>
          <w:p w14:paraId="16449278">
            <w:pPr>
              <w:pStyle w:val="871"/>
              <w:spacing w:before="62" w:line="229" w:lineRule="auto"/>
              <w:ind w:left="19"/>
              <w:rPr>
                <w:rFonts w:hint="eastAsia"/>
                <w:color w:val="auto"/>
              </w:rPr>
            </w:pPr>
            <w:r>
              <w:rPr>
                <w:color w:val="auto"/>
                <w:spacing w:val="8"/>
              </w:rPr>
              <w:t>管型荧光灯镇流器</w:t>
            </w:r>
          </w:p>
        </w:tc>
        <w:tc>
          <w:tcPr>
            <w:tcW w:w="2093" w:type="dxa"/>
            <w:noWrap w:val="0"/>
            <w:vAlign w:val="top"/>
          </w:tcPr>
          <w:p w14:paraId="12A30897">
            <w:pPr>
              <w:rPr>
                <w:rFonts w:ascii="Arial"/>
                <w:color w:val="auto"/>
              </w:rPr>
            </w:pPr>
          </w:p>
        </w:tc>
        <w:tc>
          <w:tcPr>
            <w:tcW w:w="3247" w:type="dxa"/>
            <w:noWrap w:val="0"/>
            <w:vAlign w:val="top"/>
          </w:tcPr>
          <w:p w14:paraId="032E07CF">
            <w:pPr>
              <w:pStyle w:val="871"/>
              <w:spacing w:before="192" w:line="288" w:lineRule="auto"/>
              <w:ind w:left="17" w:right="11" w:firstLine="6"/>
              <w:rPr>
                <w:rFonts w:hint="eastAsia"/>
                <w:color w:val="auto"/>
                <w:lang w:eastAsia="zh-CN"/>
              </w:rPr>
            </w:pPr>
            <w:r>
              <w:rPr>
                <w:color w:val="auto"/>
                <w:spacing w:val="19"/>
                <w:lang w:eastAsia="zh-CN"/>
              </w:rPr>
              <w:t>《管形荧光灯镇流器能效限定值</w:t>
            </w:r>
            <w:r>
              <w:rPr>
                <w:color w:val="auto"/>
                <w:spacing w:val="2"/>
                <w:lang w:eastAsia="zh-CN"/>
              </w:rPr>
              <w:t xml:space="preserve"> </w:t>
            </w:r>
            <w:r>
              <w:rPr>
                <w:color w:val="auto"/>
                <w:spacing w:val="5"/>
                <w:lang w:eastAsia="zh-CN"/>
              </w:rPr>
              <w:t>及能效等级》（</w:t>
            </w:r>
            <w:r>
              <w:rPr>
                <w:color w:val="auto"/>
                <w:lang w:eastAsia="zh-CN"/>
              </w:rPr>
              <w:t>GB</w:t>
            </w:r>
            <w:r>
              <w:rPr>
                <w:color w:val="auto"/>
                <w:spacing w:val="39"/>
                <w:lang w:eastAsia="zh-CN"/>
              </w:rPr>
              <w:t xml:space="preserve"> </w:t>
            </w:r>
            <w:r>
              <w:rPr>
                <w:color w:val="auto"/>
                <w:spacing w:val="5"/>
                <w:lang w:eastAsia="zh-CN"/>
              </w:rPr>
              <w:t>17896）</w:t>
            </w:r>
          </w:p>
        </w:tc>
      </w:tr>
      <w:tr w14:paraId="66A82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632" w:type="dxa"/>
            <w:vMerge w:val="restart"/>
            <w:tcBorders>
              <w:bottom w:val="nil"/>
            </w:tcBorders>
            <w:noWrap w:val="0"/>
            <w:vAlign w:val="top"/>
          </w:tcPr>
          <w:p w14:paraId="68149821">
            <w:pPr>
              <w:spacing w:line="261" w:lineRule="auto"/>
              <w:rPr>
                <w:rFonts w:ascii="Arial"/>
                <w:color w:val="auto"/>
              </w:rPr>
            </w:pPr>
          </w:p>
          <w:p w14:paraId="3A5F89BA">
            <w:pPr>
              <w:spacing w:line="261" w:lineRule="auto"/>
              <w:rPr>
                <w:rFonts w:ascii="Arial"/>
                <w:color w:val="auto"/>
              </w:rPr>
            </w:pPr>
          </w:p>
          <w:p w14:paraId="7CB8F89B">
            <w:pPr>
              <w:spacing w:line="261" w:lineRule="auto"/>
              <w:rPr>
                <w:rFonts w:ascii="Arial"/>
                <w:color w:val="auto"/>
              </w:rPr>
            </w:pPr>
          </w:p>
          <w:p w14:paraId="512FD583">
            <w:pPr>
              <w:spacing w:line="261" w:lineRule="auto"/>
              <w:rPr>
                <w:rFonts w:ascii="Arial"/>
                <w:color w:val="auto"/>
              </w:rPr>
            </w:pPr>
          </w:p>
          <w:p w14:paraId="48CAC78F">
            <w:pPr>
              <w:spacing w:line="261" w:lineRule="auto"/>
              <w:rPr>
                <w:rFonts w:ascii="Arial"/>
                <w:color w:val="auto"/>
              </w:rPr>
            </w:pPr>
          </w:p>
          <w:p w14:paraId="177968C6">
            <w:pPr>
              <w:spacing w:line="261" w:lineRule="auto"/>
              <w:rPr>
                <w:rFonts w:ascii="Arial"/>
                <w:color w:val="auto"/>
              </w:rPr>
            </w:pPr>
          </w:p>
          <w:p w14:paraId="203AE816">
            <w:pPr>
              <w:spacing w:line="262" w:lineRule="auto"/>
              <w:rPr>
                <w:rFonts w:ascii="Arial"/>
                <w:color w:val="auto"/>
              </w:rPr>
            </w:pPr>
          </w:p>
          <w:p w14:paraId="080DB51A">
            <w:pPr>
              <w:spacing w:line="262" w:lineRule="auto"/>
              <w:rPr>
                <w:rFonts w:ascii="Arial"/>
                <w:color w:val="auto"/>
              </w:rPr>
            </w:pPr>
          </w:p>
          <w:p w14:paraId="036CE58B">
            <w:pPr>
              <w:spacing w:line="262" w:lineRule="auto"/>
              <w:rPr>
                <w:rFonts w:ascii="Arial"/>
                <w:color w:val="auto"/>
              </w:rPr>
            </w:pPr>
          </w:p>
          <w:p w14:paraId="47462074">
            <w:pPr>
              <w:spacing w:line="262" w:lineRule="auto"/>
              <w:rPr>
                <w:rFonts w:ascii="Arial"/>
                <w:color w:val="auto"/>
              </w:rPr>
            </w:pPr>
          </w:p>
          <w:p w14:paraId="3E9B1DD2">
            <w:pPr>
              <w:pStyle w:val="871"/>
              <w:spacing w:before="62" w:line="190" w:lineRule="auto"/>
              <w:ind w:left="209"/>
              <w:rPr>
                <w:rFonts w:hint="eastAsia"/>
                <w:color w:val="auto"/>
              </w:rPr>
            </w:pPr>
            <w:r>
              <w:rPr>
                <w:color w:val="auto"/>
                <w:spacing w:val="-7"/>
              </w:rPr>
              <w:t>10</w:t>
            </w:r>
          </w:p>
        </w:tc>
        <w:tc>
          <w:tcPr>
            <w:tcW w:w="1275" w:type="dxa"/>
            <w:vMerge w:val="restart"/>
            <w:tcBorders>
              <w:bottom w:val="nil"/>
            </w:tcBorders>
            <w:noWrap w:val="0"/>
            <w:vAlign w:val="top"/>
          </w:tcPr>
          <w:p w14:paraId="6C8D3AEB">
            <w:pPr>
              <w:spacing w:line="242" w:lineRule="auto"/>
              <w:rPr>
                <w:rFonts w:ascii="Arial"/>
                <w:color w:val="auto"/>
              </w:rPr>
            </w:pPr>
          </w:p>
          <w:p w14:paraId="4A5EE12B">
            <w:pPr>
              <w:spacing w:line="243" w:lineRule="auto"/>
              <w:rPr>
                <w:rFonts w:ascii="Arial"/>
                <w:color w:val="auto"/>
              </w:rPr>
            </w:pPr>
          </w:p>
          <w:p w14:paraId="1DAEA481">
            <w:pPr>
              <w:spacing w:line="243" w:lineRule="auto"/>
              <w:rPr>
                <w:rFonts w:ascii="Arial"/>
                <w:color w:val="auto"/>
              </w:rPr>
            </w:pPr>
          </w:p>
          <w:p w14:paraId="7E935FFF">
            <w:pPr>
              <w:spacing w:line="243" w:lineRule="auto"/>
              <w:rPr>
                <w:rFonts w:ascii="Arial"/>
                <w:color w:val="auto"/>
              </w:rPr>
            </w:pPr>
          </w:p>
          <w:p w14:paraId="7D1D1508">
            <w:pPr>
              <w:spacing w:line="243" w:lineRule="auto"/>
              <w:rPr>
                <w:rFonts w:ascii="Arial"/>
                <w:color w:val="auto"/>
              </w:rPr>
            </w:pPr>
          </w:p>
          <w:p w14:paraId="16599405">
            <w:pPr>
              <w:spacing w:line="243" w:lineRule="auto"/>
              <w:rPr>
                <w:rFonts w:ascii="Arial"/>
                <w:color w:val="auto"/>
              </w:rPr>
            </w:pPr>
          </w:p>
          <w:p w14:paraId="3AEE73BB">
            <w:pPr>
              <w:spacing w:line="243" w:lineRule="auto"/>
              <w:rPr>
                <w:rFonts w:ascii="Arial"/>
                <w:color w:val="auto"/>
              </w:rPr>
            </w:pPr>
          </w:p>
          <w:p w14:paraId="17042687">
            <w:pPr>
              <w:spacing w:line="243" w:lineRule="auto"/>
              <w:rPr>
                <w:rFonts w:ascii="Arial"/>
                <w:color w:val="auto"/>
              </w:rPr>
            </w:pPr>
          </w:p>
          <w:p w14:paraId="226BB9B6">
            <w:pPr>
              <w:spacing w:line="243" w:lineRule="auto"/>
              <w:rPr>
                <w:rFonts w:ascii="Arial"/>
                <w:color w:val="auto"/>
              </w:rPr>
            </w:pPr>
          </w:p>
          <w:p w14:paraId="3119D1EE">
            <w:pPr>
              <w:spacing w:line="243" w:lineRule="auto"/>
              <w:rPr>
                <w:rFonts w:ascii="Arial"/>
                <w:color w:val="auto"/>
              </w:rPr>
            </w:pPr>
          </w:p>
          <w:p w14:paraId="36877F95">
            <w:pPr>
              <w:pStyle w:val="871"/>
              <w:spacing w:before="62" w:line="289" w:lineRule="auto"/>
              <w:ind w:left="16" w:right="8" w:hanging="7"/>
              <w:rPr>
                <w:rFonts w:hint="eastAsia"/>
                <w:color w:val="auto"/>
              </w:rPr>
            </w:pPr>
            <w:r>
              <w:rPr>
                <w:color w:val="auto"/>
                <w:spacing w:val="4"/>
              </w:rPr>
              <w:t>A020618</w:t>
            </w:r>
            <w:r>
              <w:rPr>
                <w:color w:val="auto"/>
                <w:spacing w:val="-34"/>
              </w:rPr>
              <w:t xml:space="preserve"> </w:t>
            </w:r>
            <w:r>
              <w:rPr>
                <w:color w:val="auto"/>
                <w:spacing w:val="4"/>
              </w:rPr>
              <w:t>生活</w:t>
            </w:r>
            <w:r>
              <w:rPr>
                <w:color w:val="auto"/>
              </w:rPr>
              <w:t xml:space="preserve"> </w:t>
            </w:r>
            <w:r>
              <w:rPr>
                <w:color w:val="auto"/>
                <w:spacing w:val="6"/>
              </w:rPr>
              <w:t>用电器</w:t>
            </w:r>
          </w:p>
        </w:tc>
        <w:tc>
          <w:tcPr>
            <w:tcW w:w="1967" w:type="dxa"/>
            <w:noWrap w:val="0"/>
            <w:vAlign w:val="top"/>
          </w:tcPr>
          <w:p w14:paraId="099E0C80">
            <w:pPr>
              <w:pStyle w:val="871"/>
              <w:spacing w:before="276" w:line="230" w:lineRule="auto"/>
              <w:ind w:left="9"/>
              <w:rPr>
                <w:rFonts w:hint="eastAsia"/>
                <w:color w:val="auto"/>
              </w:rPr>
            </w:pPr>
            <w:r>
              <w:rPr>
                <w:color w:val="auto"/>
                <w:spacing w:val="3"/>
              </w:rPr>
              <w:t>A0206180101</w:t>
            </w:r>
            <w:r>
              <w:rPr>
                <w:color w:val="auto"/>
                <w:spacing w:val="-4"/>
              </w:rPr>
              <w:t xml:space="preserve"> </w:t>
            </w:r>
            <w:r>
              <w:rPr>
                <w:color w:val="auto"/>
                <w:spacing w:val="3"/>
              </w:rPr>
              <w:t>电冰箱</w:t>
            </w:r>
          </w:p>
        </w:tc>
        <w:tc>
          <w:tcPr>
            <w:tcW w:w="2093" w:type="dxa"/>
            <w:noWrap w:val="0"/>
            <w:vAlign w:val="top"/>
          </w:tcPr>
          <w:p w14:paraId="590C52AB">
            <w:pPr>
              <w:rPr>
                <w:rFonts w:ascii="Arial"/>
                <w:color w:val="auto"/>
              </w:rPr>
            </w:pPr>
          </w:p>
        </w:tc>
        <w:tc>
          <w:tcPr>
            <w:tcW w:w="3247" w:type="dxa"/>
            <w:noWrap w:val="0"/>
            <w:vAlign w:val="top"/>
          </w:tcPr>
          <w:p w14:paraId="78E5532E">
            <w:pPr>
              <w:pStyle w:val="871"/>
              <w:spacing w:before="121" w:line="288" w:lineRule="auto"/>
              <w:ind w:left="22" w:right="11"/>
              <w:rPr>
                <w:rFonts w:hint="eastAsia"/>
                <w:color w:val="auto"/>
                <w:lang w:eastAsia="zh-CN"/>
              </w:rPr>
            </w:pPr>
            <w:r>
              <w:rPr>
                <w:color w:val="auto"/>
                <w:spacing w:val="19"/>
                <w:lang w:eastAsia="zh-CN"/>
              </w:rPr>
              <w:t>《家用电冰箱耗电量限定值及能</w:t>
            </w:r>
            <w:r>
              <w:rPr>
                <w:color w:val="auto"/>
                <w:spacing w:val="2"/>
                <w:lang w:eastAsia="zh-CN"/>
              </w:rPr>
              <w:t xml:space="preserve"> </w:t>
            </w:r>
            <w:r>
              <w:rPr>
                <w:color w:val="auto"/>
                <w:spacing w:val="4"/>
                <w:lang w:eastAsia="zh-CN"/>
              </w:rPr>
              <w:t>效等级》（</w:t>
            </w:r>
            <w:r>
              <w:rPr>
                <w:color w:val="auto"/>
                <w:lang w:eastAsia="zh-CN"/>
              </w:rPr>
              <w:t>GB</w:t>
            </w:r>
            <w:r>
              <w:rPr>
                <w:color w:val="auto"/>
                <w:spacing w:val="20"/>
                <w:lang w:eastAsia="zh-CN"/>
              </w:rPr>
              <w:t xml:space="preserve">  </w:t>
            </w:r>
            <w:r>
              <w:rPr>
                <w:color w:val="auto"/>
                <w:spacing w:val="4"/>
                <w:lang w:eastAsia="zh-CN"/>
              </w:rPr>
              <w:t>12021.2）</w:t>
            </w:r>
          </w:p>
        </w:tc>
      </w:tr>
      <w:tr w14:paraId="00474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632" w:type="dxa"/>
            <w:vMerge w:val="continue"/>
            <w:tcBorders>
              <w:top w:val="nil"/>
              <w:bottom w:val="nil"/>
            </w:tcBorders>
            <w:noWrap w:val="0"/>
            <w:vAlign w:val="top"/>
          </w:tcPr>
          <w:p w14:paraId="61F9ED16">
            <w:pPr>
              <w:rPr>
                <w:rFonts w:ascii="Arial"/>
                <w:color w:val="auto"/>
              </w:rPr>
            </w:pPr>
          </w:p>
        </w:tc>
        <w:tc>
          <w:tcPr>
            <w:tcW w:w="1275" w:type="dxa"/>
            <w:vMerge w:val="continue"/>
            <w:tcBorders>
              <w:top w:val="nil"/>
              <w:bottom w:val="nil"/>
            </w:tcBorders>
            <w:noWrap w:val="0"/>
            <w:vAlign w:val="top"/>
          </w:tcPr>
          <w:p w14:paraId="03339C20">
            <w:pPr>
              <w:rPr>
                <w:rFonts w:ascii="Arial"/>
                <w:color w:val="auto"/>
              </w:rPr>
            </w:pPr>
          </w:p>
        </w:tc>
        <w:tc>
          <w:tcPr>
            <w:tcW w:w="1967" w:type="dxa"/>
            <w:vMerge w:val="restart"/>
            <w:tcBorders>
              <w:bottom w:val="nil"/>
            </w:tcBorders>
            <w:noWrap w:val="0"/>
            <w:vAlign w:val="top"/>
          </w:tcPr>
          <w:p w14:paraId="12A859C5">
            <w:pPr>
              <w:spacing w:line="247" w:lineRule="auto"/>
              <w:rPr>
                <w:rFonts w:ascii="Arial"/>
                <w:color w:val="auto"/>
              </w:rPr>
            </w:pPr>
          </w:p>
          <w:p w14:paraId="71D5AD40">
            <w:pPr>
              <w:spacing w:line="247" w:lineRule="auto"/>
              <w:rPr>
                <w:rFonts w:ascii="Arial"/>
                <w:color w:val="auto"/>
              </w:rPr>
            </w:pPr>
          </w:p>
          <w:p w14:paraId="3F5F0A26">
            <w:pPr>
              <w:spacing w:line="248" w:lineRule="auto"/>
              <w:rPr>
                <w:rFonts w:ascii="Arial"/>
                <w:color w:val="auto"/>
              </w:rPr>
            </w:pPr>
          </w:p>
          <w:p w14:paraId="7D346170">
            <w:pPr>
              <w:spacing w:line="248" w:lineRule="auto"/>
              <w:rPr>
                <w:rFonts w:ascii="Arial"/>
                <w:color w:val="auto"/>
              </w:rPr>
            </w:pPr>
          </w:p>
          <w:p w14:paraId="24441FE7">
            <w:pPr>
              <w:spacing w:line="248" w:lineRule="auto"/>
              <w:rPr>
                <w:rFonts w:ascii="Arial"/>
                <w:color w:val="auto"/>
              </w:rPr>
            </w:pPr>
          </w:p>
          <w:p w14:paraId="0399EBD7">
            <w:pPr>
              <w:spacing w:line="248" w:lineRule="auto"/>
              <w:rPr>
                <w:rFonts w:ascii="Arial"/>
                <w:color w:val="auto"/>
              </w:rPr>
            </w:pPr>
          </w:p>
          <w:p w14:paraId="3FBCDC4E">
            <w:pPr>
              <w:spacing w:line="248" w:lineRule="auto"/>
              <w:rPr>
                <w:rFonts w:ascii="Arial"/>
                <w:color w:val="auto"/>
              </w:rPr>
            </w:pPr>
          </w:p>
          <w:p w14:paraId="30F12A98">
            <w:pPr>
              <w:pStyle w:val="871"/>
              <w:spacing w:before="62" w:line="288" w:lineRule="auto"/>
              <w:ind w:left="14" w:right="10" w:firstLine="3"/>
              <w:rPr>
                <w:rFonts w:hint="eastAsia"/>
                <w:color w:val="auto"/>
              </w:rPr>
            </w:pPr>
            <w:r>
              <w:rPr>
                <w:color w:val="auto"/>
                <w:spacing w:val="3"/>
              </w:rPr>
              <w:t>★A0206180203 空调</w:t>
            </w:r>
            <w:r>
              <w:rPr>
                <w:color w:val="auto"/>
                <w:spacing w:val="9"/>
              </w:rPr>
              <w:t xml:space="preserve"> </w:t>
            </w:r>
            <w:r>
              <w:rPr>
                <w:color w:val="auto"/>
                <w:spacing w:val="2"/>
              </w:rPr>
              <w:t>机</w:t>
            </w:r>
          </w:p>
        </w:tc>
        <w:tc>
          <w:tcPr>
            <w:tcW w:w="2093" w:type="dxa"/>
            <w:noWrap w:val="0"/>
            <w:vAlign w:val="top"/>
          </w:tcPr>
          <w:p w14:paraId="537A6788">
            <w:pPr>
              <w:spacing w:line="261" w:lineRule="auto"/>
              <w:rPr>
                <w:rFonts w:ascii="Arial"/>
                <w:color w:val="auto"/>
              </w:rPr>
            </w:pPr>
          </w:p>
          <w:p w14:paraId="2A6F9AEB">
            <w:pPr>
              <w:spacing w:line="261" w:lineRule="auto"/>
              <w:rPr>
                <w:rFonts w:ascii="Arial"/>
                <w:color w:val="auto"/>
              </w:rPr>
            </w:pPr>
          </w:p>
          <w:p w14:paraId="5D9C8681">
            <w:pPr>
              <w:spacing w:line="261" w:lineRule="auto"/>
              <w:rPr>
                <w:rFonts w:ascii="Arial"/>
                <w:color w:val="auto"/>
              </w:rPr>
            </w:pPr>
          </w:p>
          <w:p w14:paraId="2DF80257">
            <w:pPr>
              <w:pStyle w:val="871"/>
              <w:spacing w:before="62" w:line="230" w:lineRule="auto"/>
              <w:ind w:left="17"/>
              <w:rPr>
                <w:rFonts w:hint="eastAsia"/>
                <w:color w:val="auto"/>
              </w:rPr>
            </w:pPr>
            <w:r>
              <w:rPr>
                <w:color w:val="auto"/>
                <w:spacing w:val="8"/>
              </w:rPr>
              <w:t>房间空气调节器</w:t>
            </w:r>
          </w:p>
        </w:tc>
        <w:tc>
          <w:tcPr>
            <w:tcW w:w="3247" w:type="dxa"/>
            <w:noWrap w:val="0"/>
            <w:vAlign w:val="top"/>
          </w:tcPr>
          <w:p w14:paraId="413D6D21">
            <w:pPr>
              <w:pStyle w:val="871"/>
              <w:spacing w:before="68" w:line="293" w:lineRule="auto"/>
              <w:ind w:left="17" w:firstLine="5"/>
              <w:rPr>
                <w:rFonts w:hint="eastAsia"/>
                <w:color w:val="auto"/>
                <w:lang w:eastAsia="zh-CN"/>
              </w:rPr>
            </w:pPr>
            <w:r>
              <w:rPr>
                <w:color w:val="auto"/>
                <w:spacing w:val="14"/>
                <w:lang w:eastAsia="zh-CN"/>
              </w:rPr>
              <w:t>《转速可控型房间空气调节器能</w:t>
            </w:r>
            <w:r>
              <w:rPr>
                <w:color w:val="auto"/>
                <w:lang w:eastAsia="zh-CN"/>
              </w:rPr>
              <w:t xml:space="preserve">  </w:t>
            </w:r>
            <w:r>
              <w:rPr>
                <w:color w:val="auto"/>
                <w:spacing w:val="-9"/>
                <w:lang w:eastAsia="zh-CN"/>
              </w:rPr>
              <w:t>效</w:t>
            </w:r>
            <w:r>
              <w:rPr>
                <w:color w:val="auto"/>
                <w:spacing w:val="-19"/>
                <w:lang w:eastAsia="zh-CN"/>
              </w:rPr>
              <w:t xml:space="preserve"> </w:t>
            </w:r>
            <w:r>
              <w:rPr>
                <w:color w:val="auto"/>
                <w:spacing w:val="-9"/>
                <w:lang w:eastAsia="zh-CN"/>
              </w:rPr>
              <w:t>限</w:t>
            </w:r>
            <w:r>
              <w:rPr>
                <w:color w:val="auto"/>
                <w:spacing w:val="-33"/>
                <w:lang w:eastAsia="zh-CN"/>
              </w:rPr>
              <w:t xml:space="preserve"> </w:t>
            </w:r>
            <w:r>
              <w:rPr>
                <w:color w:val="auto"/>
                <w:spacing w:val="-9"/>
                <w:lang w:eastAsia="zh-CN"/>
              </w:rPr>
              <w:t>定</w:t>
            </w:r>
            <w:r>
              <w:rPr>
                <w:color w:val="auto"/>
                <w:spacing w:val="-38"/>
                <w:lang w:eastAsia="zh-CN"/>
              </w:rPr>
              <w:t xml:space="preserve"> </w:t>
            </w:r>
            <w:r>
              <w:rPr>
                <w:color w:val="auto"/>
                <w:spacing w:val="-9"/>
                <w:lang w:eastAsia="zh-CN"/>
              </w:rPr>
              <w:t>值</w:t>
            </w:r>
            <w:r>
              <w:rPr>
                <w:color w:val="auto"/>
                <w:spacing w:val="-39"/>
                <w:lang w:eastAsia="zh-CN"/>
              </w:rPr>
              <w:t xml:space="preserve"> </w:t>
            </w:r>
            <w:r>
              <w:rPr>
                <w:color w:val="auto"/>
                <w:spacing w:val="-9"/>
                <w:lang w:eastAsia="zh-CN"/>
              </w:rPr>
              <w:t>及</w:t>
            </w:r>
            <w:r>
              <w:rPr>
                <w:color w:val="auto"/>
                <w:spacing w:val="-31"/>
                <w:lang w:eastAsia="zh-CN"/>
              </w:rPr>
              <w:t xml:space="preserve"> </w:t>
            </w:r>
            <w:r>
              <w:rPr>
                <w:color w:val="auto"/>
                <w:spacing w:val="-9"/>
                <w:lang w:eastAsia="zh-CN"/>
              </w:rPr>
              <w:t>能</w:t>
            </w:r>
            <w:r>
              <w:rPr>
                <w:color w:val="auto"/>
                <w:spacing w:val="-34"/>
                <w:lang w:eastAsia="zh-CN"/>
              </w:rPr>
              <w:t xml:space="preserve"> </w:t>
            </w:r>
            <w:r>
              <w:rPr>
                <w:color w:val="auto"/>
                <w:spacing w:val="-9"/>
                <w:lang w:eastAsia="zh-CN"/>
              </w:rPr>
              <w:t>效</w:t>
            </w:r>
            <w:r>
              <w:rPr>
                <w:color w:val="auto"/>
                <w:spacing w:val="-36"/>
                <w:lang w:eastAsia="zh-CN"/>
              </w:rPr>
              <w:t xml:space="preserve"> </w:t>
            </w:r>
            <w:r>
              <w:rPr>
                <w:color w:val="auto"/>
                <w:spacing w:val="-9"/>
                <w:lang w:eastAsia="zh-CN"/>
              </w:rPr>
              <w:t>等</w:t>
            </w:r>
            <w:r>
              <w:rPr>
                <w:color w:val="auto"/>
                <w:spacing w:val="-36"/>
                <w:lang w:eastAsia="zh-CN"/>
              </w:rPr>
              <w:t xml:space="preserve"> </w:t>
            </w:r>
            <w:r>
              <w:rPr>
                <w:color w:val="auto"/>
                <w:spacing w:val="-9"/>
                <w:lang w:eastAsia="zh-CN"/>
              </w:rPr>
              <w:t>级</w:t>
            </w:r>
            <w:r>
              <w:rPr>
                <w:color w:val="auto"/>
                <w:spacing w:val="-29"/>
                <w:lang w:eastAsia="zh-CN"/>
              </w:rPr>
              <w:t xml:space="preserve"> </w:t>
            </w:r>
            <w:r>
              <w:rPr>
                <w:color w:val="auto"/>
                <w:spacing w:val="-9"/>
                <w:lang w:eastAsia="zh-CN"/>
              </w:rPr>
              <w:t>》</w:t>
            </w:r>
            <w:r>
              <w:rPr>
                <w:color w:val="auto"/>
                <w:spacing w:val="-41"/>
                <w:lang w:eastAsia="zh-CN"/>
              </w:rPr>
              <w:t xml:space="preserve"> </w:t>
            </w:r>
            <w:r>
              <w:rPr>
                <w:color w:val="auto"/>
                <w:spacing w:val="-9"/>
                <w:lang w:eastAsia="zh-CN"/>
              </w:rPr>
              <w:t>（ GB</w:t>
            </w:r>
            <w:r>
              <w:rPr>
                <w:color w:val="auto"/>
                <w:lang w:eastAsia="zh-CN"/>
              </w:rPr>
              <w:t xml:space="preserve">  21455-2013</w:t>
            </w:r>
            <w:r>
              <w:rPr>
                <w:color w:val="auto"/>
                <w:spacing w:val="12"/>
                <w:lang w:eastAsia="zh-CN"/>
              </w:rPr>
              <w:t>），</w:t>
            </w:r>
            <w:r>
              <w:rPr>
                <w:color w:val="auto"/>
                <w:lang w:eastAsia="zh-CN"/>
              </w:rPr>
              <w:t>待 2019</w:t>
            </w:r>
            <w:r>
              <w:rPr>
                <w:color w:val="auto"/>
                <w:spacing w:val="-15"/>
                <w:lang w:eastAsia="zh-CN"/>
              </w:rPr>
              <w:t xml:space="preserve"> </w:t>
            </w:r>
            <w:r>
              <w:rPr>
                <w:color w:val="auto"/>
                <w:lang w:eastAsia="zh-CN"/>
              </w:rPr>
              <w:t>年修订发  布后，按《房间空气调节器能效限</w:t>
            </w:r>
            <w:r>
              <w:rPr>
                <w:color w:val="auto"/>
                <w:spacing w:val="4"/>
                <w:lang w:eastAsia="zh-CN"/>
              </w:rPr>
              <w:t xml:space="preserve">  </w:t>
            </w:r>
            <w:r>
              <w:rPr>
                <w:color w:val="auto"/>
                <w:spacing w:val="-5"/>
                <w:lang w:eastAsia="zh-CN"/>
              </w:rPr>
              <w:t>定值及能效等级》（GB21455-2019）</w:t>
            </w:r>
            <w:r>
              <w:rPr>
                <w:color w:val="auto"/>
                <w:spacing w:val="15"/>
                <w:lang w:eastAsia="zh-CN"/>
              </w:rPr>
              <w:t xml:space="preserve"> </w:t>
            </w:r>
            <w:r>
              <w:rPr>
                <w:color w:val="auto"/>
                <w:lang w:eastAsia="zh-CN"/>
              </w:rPr>
              <w:t>实施。</w:t>
            </w:r>
          </w:p>
        </w:tc>
      </w:tr>
      <w:tr w14:paraId="100AB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noWrap w:val="0"/>
            <w:vAlign w:val="top"/>
          </w:tcPr>
          <w:p w14:paraId="68B399A8">
            <w:pPr>
              <w:rPr>
                <w:rFonts w:ascii="Arial"/>
                <w:color w:val="auto"/>
              </w:rPr>
            </w:pPr>
          </w:p>
        </w:tc>
        <w:tc>
          <w:tcPr>
            <w:tcW w:w="1275" w:type="dxa"/>
            <w:vMerge w:val="continue"/>
            <w:tcBorders>
              <w:top w:val="nil"/>
              <w:bottom w:val="nil"/>
            </w:tcBorders>
            <w:noWrap w:val="0"/>
            <w:vAlign w:val="top"/>
          </w:tcPr>
          <w:p w14:paraId="0EFD85C3">
            <w:pPr>
              <w:rPr>
                <w:rFonts w:ascii="Arial"/>
                <w:color w:val="auto"/>
              </w:rPr>
            </w:pPr>
          </w:p>
        </w:tc>
        <w:tc>
          <w:tcPr>
            <w:tcW w:w="1967" w:type="dxa"/>
            <w:vMerge w:val="continue"/>
            <w:tcBorders>
              <w:top w:val="nil"/>
              <w:bottom w:val="nil"/>
            </w:tcBorders>
            <w:noWrap w:val="0"/>
            <w:vAlign w:val="top"/>
          </w:tcPr>
          <w:p w14:paraId="1D3161D5">
            <w:pPr>
              <w:rPr>
                <w:rFonts w:ascii="Arial"/>
                <w:color w:val="auto"/>
              </w:rPr>
            </w:pPr>
          </w:p>
        </w:tc>
        <w:tc>
          <w:tcPr>
            <w:tcW w:w="2093" w:type="dxa"/>
            <w:noWrap w:val="0"/>
            <w:vAlign w:val="top"/>
          </w:tcPr>
          <w:p w14:paraId="71062B10">
            <w:pPr>
              <w:pStyle w:val="871"/>
              <w:spacing w:before="71" w:line="282" w:lineRule="auto"/>
              <w:ind w:left="15" w:right="11" w:firstLine="10"/>
              <w:rPr>
                <w:rFonts w:hint="eastAsia"/>
                <w:color w:val="auto"/>
                <w:lang w:eastAsia="zh-CN"/>
              </w:rPr>
            </w:pPr>
            <w:r>
              <w:rPr>
                <w:color w:val="auto"/>
                <w:spacing w:val="15"/>
                <w:lang w:eastAsia="zh-CN"/>
              </w:rPr>
              <w:t>多联式空调（热泵）</w:t>
            </w:r>
            <w:r>
              <w:rPr>
                <w:color w:val="auto"/>
                <w:spacing w:val="7"/>
                <w:lang w:eastAsia="zh-CN"/>
              </w:rPr>
              <w:t xml:space="preserve"> </w:t>
            </w:r>
            <w:r>
              <w:rPr>
                <w:color w:val="auto"/>
                <w:spacing w:val="-4"/>
                <w:lang w:eastAsia="zh-CN"/>
              </w:rPr>
              <w:t>机 组 （</w:t>
            </w:r>
            <w:r>
              <w:rPr>
                <w:color w:val="auto"/>
                <w:spacing w:val="28"/>
                <w:lang w:eastAsia="zh-CN"/>
              </w:rPr>
              <w:t xml:space="preserve"> </w:t>
            </w:r>
            <w:r>
              <w:rPr>
                <w:color w:val="auto"/>
                <w:spacing w:val="-4"/>
                <w:lang w:eastAsia="zh-CN"/>
              </w:rPr>
              <w:t>制 冷 量 ≤</w:t>
            </w:r>
            <w:r>
              <w:rPr>
                <w:color w:val="auto"/>
                <w:lang w:eastAsia="zh-CN"/>
              </w:rPr>
              <w:t xml:space="preserve"> </w:t>
            </w:r>
            <w:r>
              <w:rPr>
                <w:color w:val="auto"/>
                <w:spacing w:val="3"/>
                <w:lang w:eastAsia="zh-CN"/>
              </w:rPr>
              <w:t>14000W）</w:t>
            </w:r>
          </w:p>
        </w:tc>
        <w:tc>
          <w:tcPr>
            <w:tcW w:w="3247" w:type="dxa"/>
            <w:noWrap w:val="0"/>
            <w:vAlign w:val="top"/>
          </w:tcPr>
          <w:p w14:paraId="3CC3D584">
            <w:pPr>
              <w:pStyle w:val="871"/>
              <w:spacing w:before="227" w:line="288" w:lineRule="auto"/>
              <w:ind w:left="22"/>
              <w:rPr>
                <w:rFonts w:hint="eastAsia"/>
                <w:color w:val="auto"/>
                <w:lang w:eastAsia="zh-CN"/>
              </w:rPr>
            </w:pPr>
            <w:r>
              <w:rPr>
                <w:color w:val="auto"/>
                <w:lang w:eastAsia="zh-CN"/>
              </w:rPr>
              <w:t>《多联式空调（热泵）机组能效限</w:t>
            </w:r>
            <w:r>
              <w:rPr>
                <w:color w:val="auto"/>
                <w:spacing w:val="2"/>
                <w:lang w:eastAsia="zh-CN"/>
              </w:rPr>
              <w:t xml:space="preserve">  </w:t>
            </w:r>
            <w:r>
              <w:rPr>
                <w:color w:val="auto"/>
                <w:spacing w:val="-4"/>
                <w:lang w:eastAsia="zh-CN"/>
              </w:rPr>
              <w:t>定值及能源效率等级》（GB</w:t>
            </w:r>
            <w:r>
              <w:rPr>
                <w:color w:val="auto"/>
                <w:spacing w:val="-24"/>
                <w:lang w:eastAsia="zh-CN"/>
              </w:rPr>
              <w:t xml:space="preserve"> </w:t>
            </w:r>
            <w:r>
              <w:rPr>
                <w:color w:val="auto"/>
                <w:spacing w:val="-4"/>
                <w:lang w:eastAsia="zh-CN"/>
              </w:rPr>
              <w:t>21454）</w:t>
            </w:r>
          </w:p>
        </w:tc>
      </w:tr>
      <w:tr w14:paraId="4DB07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632" w:type="dxa"/>
            <w:vMerge w:val="continue"/>
            <w:tcBorders>
              <w:top w:val="nil"/>
              <w:bottom w:val="nil"/>
            </w:tcBorders>
            <w:noWrap w:val="0"/>
            <w:vAlign w:val="top"/>
          </w:tcPr>
          <w:p w14:paraId="794CCE89">
            <w:pPr>
              <w:rPr>
                <w:rFonts w:ascii="Arial"/>
                <w:color w:val="auto"/>
              </w:rPr>
            </w:pPr>
          </w:p>
        </w:tc>
        <w:tc>
          <w:tcPr>
            <w:tcW w:w="1275" w:type="dxa"/>
            <w:vMerge w:val="continue"/>
            <w:tcBorders>
              <w:top w:val="nil"/>
              <w:bottom w:val="nil"/>
            </w:tcBorders>
            <w:noWrap w:val="0"/>
            <w:vAlign w:val="top"/>
          </w:tcPr>
          <w:p w14:paraId="3A1E9241">
            <w:pPr>
              <w:rPr>
                <w:rFonts w:ascii="Arial"/>
                <w:color w:val="auto"/>
              </w:rPr>
            </w:pPr>
          </w:p>
        </w:tc>
        <w:tc>
          <w:tcPr>
            <w:tcW w:w="1967" w:type="dxa"/>
            <w:vMerge w:val="continue"/>
            <w:tcBorders>
              <w:top w:val="nil"/>
            </w:tcBorders>
            <w:noWrap w:val="0"/>
            <w:vAlign w:val="top"/>
          </w:tcPr>
          <w:p w14:paraId="265CE102">
            <w:pPr>
              <w:rPr>
                <w:rFonts w:ascii="Arial"/>
                <w:color w:val="auto"/>
              </w:rPr>
            </w:pPr>
          </w:p>
        </w:tc>
        <w:tc>
          <w:tcPr>
            <w:tcW w:w="2093" w:type="dxa"/>
            <w:noWrap w:val="0"/>
            <w:vAlign w:val="top"/>
          </w:tcPr>
          <w:p w14:paraId="7766CD8B">
            <w:pPr>
              <w:spacing w:line="318" w:lineRule="auto"/>
              <w:rPr>
                <w:rFonts w:ascii="Arial"/>
                <w:color w:val="auto"/>
              </w:rPr>
            </w:pPr>
          </w:p>
          <w:p w14:paraId="5F4747F1">
            <w:pPr>
              <w:pStyle w:val="871"/>
              <w:spacing w:before="62" w:line="289" w:lineRule="auto"/>
              <w:ind w:left="51" w:right="11" w:hanging="33"/>
              <w:rPr>
                <w:rFonts w:hint="eastAsia"/>
                <w:color w:val="auto"/>
                <w:lang w:eastAsia="zh-CN"/>
              </w:rPr>
            </w:pPr>
            <w:r>
              <w:rPr>
                <w:color w:val="auto"/>
                <w:spacing w:val="44"/>
                <w:lang w:eastAsia="zh-CN"/>
              </w:rPr>
              <w:t>单元式空气调节机</w:t>
            </w:r>
            <w:r>
              <w:rPr>
                <w:color w:val="auto"/>
                <w:spacing w:val="6"/>
                <w:lang w:eastAsia="zh-CN"/>
              </w:rPr>
              <w:t xml:space="preserve"> </w:t>
            </w:r>
            <w:r>
              <w:rPr>
                <w:color w:val="auto"/>
                <w:spacing w:val="3"/>
                <w:lang w:eastAsia="zh-CN"/>
              </w:rPr>
              <w:t>(制冷量≤14000W)</w:t>
            </w:r>
          </w:p>
        </w:tc>
        <w:tc>
          <w:tcPr>
            <w:tcW w:w="3247" w:type="dxa"/>
            <w:noWrap w:val="0"/>
            <w:vAlign w:val="top"/>
          </w:tcPr>
          <w:p w14:paraId="626B20F7">
            <w:pPr>
              <w:pStyle w:val="871"/>
              <w:spacing w:before="72" w:line="287" w:lineRule="auto"/>
              <w:ind w:left="17" w:right="11" w:firstLine="6"/>
              <w:rPr>
                <w:rFonts w:hint="eastAsia"/>
                <w:color w:val="auto"/>
                <w:lang w:eastAsia="zh-CN"/>
              </w:rPr>
            </w:pPr>
            <w:r>
              <w:rPr>
                <w:color w:val="auto"/>
                <w:spacing w:val="19"/>
                <w:lang w:eastAsia="zh-CN"/>
              </w:rPr>
              <w:t>《单元式空气调节机能效限定值</w:t>
            </w:r>
            <w:r>
              <w:rPr>
                <w:color w:val="auto"/>
                <w:spacing w:val="2"/>
                <w:lang w:eastAsia="zh-CN"/>
              </w:rPr>
              <w:t xml:space="preserve"> </w:t>
            </w:r>
            <w:r>
              <w:rPr>
                <w:color w:val="auto"/>
                <w:spacing w:val="-5"/>
                <w:lang w:eastAsia="zh-CN"/>
              </w:rPr>
              <w:t>及能源效率等级》（GB</w:t>
            </w:r>
            <w:r>
              <w:rPr>
                <w:color w:val="auto"/>
                <w:spacing w:val="-13"/>
                <w:lang w:eastAsia="zh-CN"/>
              </w:rPr>
              <w:t xml:space="preserve"> </w:t>
            </w:r>
            <w:r>
              <w:rPr>
                <w:color w:val="auto"/>
                <w:spacing w:val="-5"/>
                <w:lang w:eastAsia="zh-CN"/>
              </w:rPr>
              <w:t>19576）《风</w:t>
            </w:r>
            <w:r>
              <w:rPr>
                <w:color w:val="auto"/>
                <w:lang w:eastAsia="zh-CN"/>
              </w:rPr>
              <w:t xml:space="preserve"> </w:t>
            </w:r>
            <w:r>
              <w:rPr>
                <w:color w:val="auto"/>
                <w:spacing w:val="19"/>
                <w:lang w:eastAsia="zh-CN"/>
              </w:rPr>
              <w:t>管送风式空调机组能效限定值及</w:t>
            </w:r>
            <w:r>
              <w:rPr>
                <w:color w:val="auto"/>
                <w:spacing w:val="8"/>
                <w:lang w:eastAsia="zh-CN"/>
              </w:rPr>
              <w:t xml:space="preserve"> </w:t>
            </w:r>
            <w:r>
              <w:rPr>
                <w:color w:val="auto"/>
                <w:spacing w:val="7"/>
                <w:lang w:eastAsia="zh-CN"/>
              </w:rPr>
              <w:t>能效等级》（</w:t>
            </w:r>
            <w:r>
              <w:rPr>
                <w:color w:val="auto"/>
                <w:lang w:eastAsia="zh-CN"/>
              </w:rPr>
              <w:t>GB</w:t>
            </w:r>
            <w:r>
              <w:rPr>
                <w:color w:val="auto"/>
                <w:spacing w:val="7"/>
                <w:lang w:eastAsia="zh-CN"/>
              </w:rPr>
              <w:t xml:space="preserve"> 37479）</w:t>
            </w:r>
          </w:p>
        </w:tc>
      </w:tr>
      <w:tr w14:paraId="2A05D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632" w:type="dxa"/>
            <w:vMerge w:val="continue"/>
            <w:tcBorders>
              <w:top w:val="nil"/>
            </w:tcBorders>
            <w:noWrap w:val="0"/>
            <w:vAlign w:val="top"/>
          </w:tcPr>
          <w:p w14:paraId="10F24E0F">
            <w:pPr>
              <w:rPr>
                <w:rFonts w:ascii="Arial"/>
                <w:color w:val="auto"/>
              </w:rPr>
            </w:pPr>
          </w:p>
        </w:tc>
        <w:tc>
          <w:tcPr>
            <w:tcW w:w="1275" w:type="dxa"/>
            <w:vMerge w:val="continue"/>
            <w:tcBorders>
              <w:top w:val="nil"/>
            </w:tcBorders>
            <w:noWrap w:val="0"/>
            <w:vAlign w:val="top"/>
          </w:tcPr>
          <w:p w14:paraId="721957D4">
            <w:pPr>
              <w:rPr>
                <w:rFonts w:ascii="Arial"/>
                <w:color w:val="auto"/>
              </w:rPr>
            </w:pPr>
          </w:p>
        </w:tc>
        <w:tc>
          <w:tcPr>
            <w:tcW w:w="1967" w:type="dxa"/>
            <w:noWrap w:val="0"/>
            <w:vAlign w:val="top"/>
          </w:tcPr>
          <w:p w14:paraId="4A552EF9">
            <w:pPr>
              <w:pStyle w:val="871"/>
              <w:spacing w:before="230" w:line="228" w:lineRule="auto"/>
              <w:ind w:left="9"/>
              <w:rPr>
                <w:rFonts w:hint="eastAsia"/>
                <w:color w:val="auto"/>
              </w:rPr>
            </w:pPr>
            <w:r>
              <w:rPr>
                <w:color w:val="auto"/>
                <w:spacing w:val="5"/>
              </w:rPr>
              <w:t>A0206180301</w:t>
            </w:r>
            <w:r>
              <w:rPr>
                <w:color w:val="auto"/>
                <w:spacing w:val="-33"/>
              </w:rPr>
              <w:t xml:space="preserve"> </w:t>
            </w:r>
            <w:r>
              <w:rPr>
                <w:color w:val="auto"/>
                <w:spacing w:val="5"/>
              </w:rPr>
              <w:t>洗衣机</w:t>
            </w:r>
          </w:p>
        </w:tc>
        <w:tc>
          <w:tcPr>
            <w:tcW w:w="2093" w:type="dxa"/>
            <w:noWrap w:val="0"/>
            <w:vAlign w:val="top"/>
          </w:tcPr>
          <w:p w14:paraId="40FAF647">
            <w:pPr>
              <w:rPr>
                <w:rFonts w:ascii="Arial"/>
                <w:color w:val="auto"/>
              </w:rPr>
            </w:pPr>
          </w:p>
        </w:tc>
        <w:tc>
          <w:tcPr>
            <w:tcW w:w="3247" w:type="dxa"/>
            <w:noWrap w:val="0"/>
            <w:vAlign w:val="top"/>
          </w:tcPr>
          <w:p w14:paraId="3EA228C0">
            <w:pPr>
              <w:pStyle w:val="871"/>
              <w:spacing w:before="74" w:line="276" w:lineRule="auto"/>
              <w:ind w:left="19" w:right="11" w:firstLine="3"/>
              <w:rPr>
                <w:rFonts w:hint="eastAsia"/>
                <w:color w:val="auto"/>
                <w:lang w:eastAsia="zh-CN"/>
              </w:rPr>
            </w:pPr>
            <w:r>
              <w:rPr>
                <w:color w:val="auto"/>
                <w:spacing w:val="19"/>
                <w:lang w:eastAsia="zh-CN"/>
              </w:rPr>
              <w:t>《电动洗衣机能效水效限定值及</w:t>
            </w:r>
            <w:r>
              <w:rPr>
                <w:color w:val="auto"/>
                <w:spacing w:val="2"/>
                <w:lang w:eastAsia="zh-CN"/>
              </w:rPr>
              <w:t xml:space="preserve"> </w:t>
            </w:r>
            <w:r>
              <w:rPr>
                <w:color w:val="auto"/>
                <w:spacing w:val="4"/>
                <w:lang w:eastAsia="zh-CN"/>
              </w:rPr>
              <w:t>等级》（</w:t>
            </w:r>
            <w:r>
              <w:rPr>
                <w:color w:val="auto"/>
                <w:lang w:eastAsia="zh-CN"/>
              </w:rPr>
              <w:t>GB</w:t>
            </w:r>
            <w:r>
              <w:rPr>
                <w:color w:val="auto"/>
                <w:spacing w:val="33"/>
                <w:lang w:eastAsia="zh-CN"/>
              </w:rPr>
              <w:t xml:space="preserve"> </w:t>
            </w:r>
            <w:r>
              <w:rPr>
                <w:color w:val="auto"/>
                <w:spacing w:val="4"/>
                <w:lang w:eastAsia="zh-CN"/>
              </w:rPr>
              <w:t>12021.4）</w:t>
            </w:r>
          </w:p>
        </w:tc>
      </w:tr>
    </w:tbl>
    <w:p w14:paraId="58981D28">
      <w:pPr>
        <w:rPr>
          <w:rFonts w:ascii="Arial"/>
          <w:color w:val="auto"/>
        </w:rPr>
      </w:pPr>
    </w:p>
    <w:p w14:paraId="6CB1BEFC">
      <w:pPr>
        <w:rPr>
          <w:rFonts w:ascii="Arial" w:hAnsi="Arial" w:eastAsia="Arial" w:cs="Arial"/>
          <w:color w:val="auto"/>
          <w:szCs w:val="21"/>
        </w:rPr>
        <w:sectPr>
          <w:pgSz w:w="11906" w:h="16838"/>
          <w:pgMar w:top="1431" w:right="1691" w:bottom="0" w:left="1783" w:header="0" w:footer="0" w:gutter="0"/>
          <w:cols w:space="720" w:num="1"/>
        </w:sectPr>
      </w:pPr>
    </w:p>
    <w:p w14:paraId="4EEB9E73">
      <w:pPr>
        <w:spacing w:line="91" w:lineRule="auto"/>
        <w:rPr>
          <w:rFonts w:ascii="Arial"/>
          <w:color w:val="auto"/>
          <w:sz w:val="2"/>
        </w:rPr>
      </w:pPr>
    </w:p>
    <w:tbl>
      <w:tblPr>
        <w:tblStyle w:val="89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34A26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632" w:type="dxa"/>
            <w:vMerge w:val="restart"/>
            <w:tcBorders>
              <w:bottom w:val="nil"/>
            </w:tcBorders>
            <w:noWrap w:val="0"/>
            <w:vAlign w:val="top"/>
          </w:tcPr>
          <w:p w14:paraId="0C2F9B66">
            <w:pPr>
              <w:rPr>
                <w:rFonts w:ascii="Arial"/>
                <w:color w:val="auto"/>
              </w:rPr>
            </w:pPr>
          </w:p>
        </w:tc>
        <w:tc>
          <w:tcPr>
            <w:tcW w:w="1275" w:type="dxa"/>
            <w:vMerge w:val="restart"/>
            <w:tcBorders>
              <w:bottom w:val="nil"/>
            </w:tcBorders>
            <w:noWrap w:val="0"/>
            <w:vAlign w:val="top"/>
          </w:tcPr>
          <w:p w14:paraId="279012A3">
            <w:pPr>
              <w:rPr>
                <w:rFonts w:ascii="Arial"/>
                <w:color w:val="auto"/>
              </w:rPr>
            </w:pPr>
          </w:p>
        </w:tc>
        <w:tc>
          <w:tcPr>
            <w:tcW w:w="1967" w:type="dxa"/>
            <w:vMerge w:val="restart"/>
            <w:tcBorders>
              <w:bottom w:val="nil"/>
            </w:tcBorders>
            <w:noWrap w:val="0"/>
            <w:vAlign w:val="top"/>
          </w:tcPr>
          <w:p w14:paraId="43FC1603">
            <w:pPr>
              <w:spacing w:line="244" w:lineRule="auto"/>
              <w:rPr>
                <w:rFonts w:ascii="Arial"/>
                <w:color w:val="auto"/>
              </w:rPr>
            </w:pPr>
          </w:p>
          <w:p w14:paraId="26F5AC21">
            <w:pPr>
              <w:spacing w:line="244" w:lineRule="auto"/>
              <w:rPr>
                <w:rFonts w:ascii="Arial"/>
                <w:color w:val="auto"/>
              </w:rPr>
            </w:pPr>
          </w:p>
          <w:p w14:paraId="1A4820A4">
            <w:pPr>
              <w:spacing w:line="244" w:lineRule="auto"/>
              <w:rPr>
                <w:rFonts w:ascii="Arial"/>
                <w:color w:val="auto"/>
              </w:rPr>
            </w:pPr>
          </w:p>
          <w:p w14:paraId="161F71E9">
            <w:pPr>
              <w:spacing w:line="244" w:lineRule="auto"/>
              <w:rPr>
                <w:rFonts w:ascii="Arial"/>
                <w:color w:val="auto"/>
              </w:rPr>
            </w:pPr>
          </w:p>
          <w:p w14:paraId="7FEE32E5">
            <w:pPr>
              <w:spacing w:line="245" w:lineRule="auto"/>
              <w:rPr>
                <w:rFonts w:ascii="Arial"/>
                <w:color w:val="auto"/>
              </w:rPr>
            </w:pPr>
          </w:p>
          <w:p w14:paraId="5696AED1">
            <w:pPr>
              <w:spacing w:line="245" w:lineRule="auto"/>
              <w:rPr>
                <w:rFonts w:ascii="Arial"/>
                <w:color w:val="auto"/>
              </w:rPr>
            </w:pPr>
          </w:p>
          <w:p w14:paraId="5F076C42">
            <w:pPr>
              <w:pStyle w:val="871"/>
              <w:spacing w:before="62" w:line="229" w:lineRule="auto"/>
              <w:ind w:left="9"/>
              <w:rPr>
                <w:rFonts w:hint="eastAsia"/>
                <w:color w:val="auto"/>
              </w:rPr>
            </w:pPr>
            <w:r>
              <w:rPr>
                <w:color w:val="auto"/>
                <w:spacing w:val="5"/>
              </w:rPr>
              <w:t>A02061808</w:t>
            </w:r>
            <w:r>
              <w:rPr>
                <w:color w:val="auto"/>
                <w:spacing w:val="-32"/>
              </w:rPr>
              <w:t xml:space="preserve"> </w:t>
            </w:r>
            <w:r>
              <w:rPr>
                <w:color w:val="auto"/>
                <w:spacing w:val="5"/>
              </w:rPr>
              <w:t>热水器</w:t>
            </w:r>
          </w:p>
        </w:tc>
        <w:tc>
          <w:tcPr>
            <w:tcW w:w="2093" w:type="dxa"/>
            <w:noWrap w:val="0"/>
            <w:vAlign w:val="top"/>
          </w:tcPr>
          <w:p w14:paraId="1609C2D9">
            <w:pPr>
              <w:pStyle w:val="871"/>
              <w:spacing w:before="275" w:line="229" w:lineRule="auto"/>
              <w:ind w:left="19"/>
              <w:rPr>
                <w:rFonts w:hint="eastAsia"/>
                <w:color w:val="auto"/>
              </w:rPr>
            </w:pPr>
            <w:r>
              <w:rPr>
                <w:color w:val="auto"/>
                <w:spacing w:val="7"/>
              </w:rPr>
              <w:t>★电热水器</w:t>
            </w:r>
          </w:p>
        </w:tc>
        <w:tc>
          <w:tcPr>
            <w:tcW w:w="3247" w:type="dxa"/>
            <w:noWrap w:val="0"/>
            <w:vAlign w:val="top"/>
          </w:tcPr>
          <w:p w14:paraId="4C79D08E">
            <w:pPr>
              <w:pStyle w:val="871"/>
              <w:spacing w:before="119" w:line="288" w:lineRule="auto"/>
              <w:ind w:left="25" w:right="11" w:hanging="2"/>
              <w:rPr>
                <w:rFonts w:hint="eastAsia"/>
                <w:color w:val="auto"/>
                <w:lang w:eastAsia="zh-CN"/>
              </w:rPr>
            </w:pPr>
            <w:r>
              <w:rPr>
                <w:color w:val="auto"/>
                <w:spacing w:val="19"/>
                <w:lang w:eastAsia="zh-CN"/>
              </w:rPr>
              <w:t>《储水式电热水器能效限定值及</w:t>
            </w:r>
            <w:r>
              <w:rPr>
                <w:color w:val="auto"/>
                <w:spacing w:val="2"/>
                <w:lang w:eastAsia="zh-CN"/>
              </w:rPr>
              <w:t xml:space="preserve"> </w:t>
            </w:r>
            <w:r>
              <w:rPr>
                <w:color w:val="auto"/>
                <w:spacing w:val="6"/>
                <w:lang w:eastAsia="zh-CN"/>
              </w:rPr>
              <w:t>能效等级》（</w:t>
            </w:r>
            <w:r>
              <w:rPr>
                <w:color w:val="auto"/>
                <w:lang w:eastAsia="zh-CN"/>
              </w:rPr>
              <w:t>GB</w:t>
            </w:r>
            <w:r>
              <w:rPr>
                <w:color w:val="auto"/>
                <w:spacing w:val="6"/>
                <w:lang w:eastAsia="zh-CN"/>
              </w:rPr>
              <w:t xml:space="preserve">  21519）</w:t>
            </w:r>
          </w:p>
        </w:tc>
      </w:tr>
      <w:tr w14:paraId="303F8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noWrap w:val="0"/>
            <w:vAlign w:val="top"/>
          </w:tcPr>
          <w:p w14:paraId="0E64AFA8">
            <w:pPr>
              <w:rPr>
                <w:rFonts w:ascii="Arial"/>
                <w:color w:val="auto"/>
              </w:rPr>
            </w:pPr>
          </w:p>
        </w:tc>
        <w:tc>
          <w:tcPr>
            <w:tcW w:w="1275" w:type="dxa"/>
            <w:vMerge w:val="continue"/>
            <w:tcBorders>
              <w:top w:val="nil"/>
              <w:bottom w:val="nil"/>
            </w:tcBorders>
            <w:noWrap w:val="0"/>
            <w:vAlign w:val="top"/>
          </w:tcPr>
          <w:p w14:paraId="728A700E">
            <w:pPr>
              <w:rPr>
                <w:rFonts w:ascii="Arial"/>
                <w:color w:val="auto"/>
              </w:rPr>
            </w:pPr>
          </w:p>
        </w:tc>
        <w:tc>
          <w:tcPr>
            <w:tcW w:w="1967" w:type="dxa"/>
            <w:vMerge w:val="continue"/>
            <w:tcBorders>
              <w:top w:val="nil"/>
              <w:bottom w:val="nil"/>
            </w:tcBorders>
            <w:noWrap w:val="0"/>
            <w:vAlign w:val="top"/>
          </w:tcPr>
          <w:p w14:paraId="2879B032">
            <w:pPr>
              <w:rPr>
                <w:rFonts w:ascii="Arial"/>
                <w:color w:val="auto"/>
              </w:rPr>
            </w:pPr>
          </w:p>
        </w:tc>
        <w:tc>
          <w:tcPr>
            <w:tcW w:w="2093" w:type="dxa"/>
            <w:noWrap w:val="0"/>
            <w:vAlign w:val="top"/>
          </w:tcPr>
          <w:p w14:paraId="5D6E357F">
            <w:pPr>
              <w:spacing w:line="315" w:lineRule="auto"/>
              <w:rPr>
                <w:rFonts w:ascii="Arial"/>
                <w:color w:val="auto"/>
              </w:rPr>
            </w:pPr>
          </w:p>
          <w:p w14:paraId="56FB22AA">
            <w:pPr>
              <w:pStyle w:val="871"/>
              <w:spacing w:before="61" w:line="229" w:lineRule="auto"/>
              <w:ind w:left="15"/>
              <w:rPr>
                <w:rFonts w:hint="eastAsia"/>
                <w:color w:val="auto"/>
              </w:rPr>
            </w:pPr>
            <w:r>
              <w:rPr>
                <w:color w:val="auto"/>
                <w:spacing w:val="8"/>
              </w:rPr>
              <w:t>燃气热水器</w:t>
            </w:r>
          </w:p>
        </w:tc>
        <w:tc>
          <w:tcPr>
            <w:tcW w:w="3247" w:type="dxa"/>
            <w:noWrap w:val="0"/>
            <w:vAlign w:val="top"/>
          </w:tcPr>
          <w:p w14:paraId="02FC2DEA">
            <w:pPr>
              <w:pStyle w:val="871"/>
              <w:spacing w:before="68" w:line="283" w:lineRule="auto"/>
              <w:ind w:left="25" w:hanging="2"/>
              <w:rPr>
                <w:rFonts w:hint="eastAsia"/>
                <w:color w:val="auto"/>
                <w:lang w:eastAsia="zh-CN"/>
              </w:rPr>
            </w:pPr>
            <w:r>
              <w:rPr>
                <w:color w:val="auto"/>
                <w:spacing w:val="17"/>
                <w:lang w:eastAsia="zh-CN"/>
              </w:rPr>
              <w:t>《家用燃气快速热水器和燃气采</w:t>
            </w:r>
            <w:r>
              <w:rPr>
                <w:color w:val="auto"/>
                <w:lang w:eastAsia="zh-CN"/>
              </w:rPr>
              <w:t xml:space="preserve"> </w:t>
            </w:r>
            <w:r>
              <w:rPr>
                <w:color w:val="auto"/>
                <w:spacing w:val="5"/>
                <w:lang w:eastAsia="zh-CN"/>
              </w:rPr>
              <w:t>暖热水炉能效限定值及能效等级》</w:t>
            </w:r>
            <w:r>
              <w:rPr>
                <w:color w:val="auto"/>
                <w:spacing w:val="12"/>
                <w:lang w:eastAsia="zh-CN"/>
              </w:rPr>
              <w:t xml:space="preserve"> </w:t>
            </w:r>
            <w:r>
              <w:rPr>
                <w:color w:val="auto"/>
                <w:spacing w:val="1"/>
                <w:lang w:eastAsia="zh-CN"/>
              </w:rPr>
              <w:t>（</w:t>
            </w:r>
            <w:r>
              <w:rPr>
                <w:color w:val="auto"/>
                <w:lang w:eastAsia="zh-CN"/>
              </w:rPr>
              <w:t>GB</w:t>
            </w:r>
            <w:r>
              <w:rPr>
                <w:color w:val="auto"/>
                <w:spacing w:val="18"/>
                <w:lang w:eastAsia="zh-CN"/>
              </w:rPr>
              <w:t xml:space="preserve"> </w:t>
            </w:r>
            <w:r>
              <w:rPr>
                <w:color w:val="auto"/>
                <w:spacing w:val="1"/>
                <w:lang w:eastAsia="zh-CN"/>
              </w:rPr>
              <w:t>20665）</w:t>
            </w:r>
          </w:p>
        </w:tc>
      </w:tr>
      <w:tr w14:paraId="7E24C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632" w:type="dxa"/>
            <w:vMerge w:val="continue"/>
            <w:tcBorders>
              <w:top w:val="nil"/>
              <w:bottom w:val="nil"/>
            </w:tcBorders>
            <w:noWrap w:val="0"/>
            <w:vAlign w:val="top"/>
          </w:tcPr>
          <w:p w14:paraId="3E3F02E4">
            <w:pPr>
              <w:rPr>
                <w:rFonts w:ascii="Arial"/>
                <w:color w:val="auto"/>
              </w:rPr>
            </w:pPr>
          </w:p>
        </w:tc>
        <w:tc>
          <w:tcPr>
            <w:tcW w:w="1275" w:type="dxa"/>
            <w:vMerge w:val="continue"/>
            <w:tcBorders>
              <w:top w:val="nil"/>
              <w:bottom w:val="nil"/>
            </w:tcBorders>
            <w:noWrap w:val="0"/>
            <w:vAlign w:val="top"/>
          </w:tcPr>
          <w:p w14:paraId="372C5491">
            <w:pPr>
              <w:rPr>
                <w:rFonts w:ascii="Arial"/>
                <w:color w:val="auto"/>
              </w:rPr>
            </w:pPr>
          </w:p>
        </w:tc>
        <w:tc>
          <w:tcPr>
            <w:tcW w:w="1967" w:type="dxa"/>
            <w:vMerge w:val="continue"/>
            <w:tcBorders>
              <w:top w:val="nil"/>
              <w:bottom w:val="nil"/>
            </w:tcBorders>
            <w:noWrap w:val="0"/>
            <w:vAlign w:val="top"/>
          </w:tcPr>
          <w:p w14:paraId="0F36002A">
            <w:pPr>
              <w:rPr>
                <w:rFonts w:ascii="Arial"/>
                <w:color w:val="auto"/>
              </w:rPr>
            </w:pPr>
          </w:p>
        </w:tc>
        <w:tc>
          <w:tcPr>
            <w:tcW w:w="2093" w:type="dxa"/>
            <w:noWrap w:val="0"/>
            <w:vAlign w:val="top"/>
          </w:tcPr>
          <w:p w14:paraId="486416F2">
            <w:pPr>
              <w:spacing w:line="248" w:lineRule="auto"/>
              <w:rPr>
                <w:rFonts w:ascii="Arial"/>
                <w:color w:val="auto"/>
              </w:rPr>
            </w:pPr>
          </w:p>
          <w:p w14:paraId="310D4B41">
            <w:pPr>
              <w:pStyle w:val="871"/>
              <w:spacing w:before="62" w:line="229" w:lineRule="auto"/>
              <w:ind w:left="20"/>
              <w:rPr>
                <w:rFonts w:hint="eastAsia"/>
                <w:color w:val="auto"/>
              </w:rPr>
            </w:pPr>
            <w:r>
              <w:rPr>
                <w:color w:val="auto"/>
                <w:spacing w:val="7"/>
              </w:rPr>
              <w:t>热泵热水器</w:t>
            </w:r>
          </w:p>
        </w:tc>
        <w:tc>
          <w:tcPr>
            <w:tcW w:w="3247" w:type="dxa"/>
            <w:noWrap w:val="0"/>
            <w:vAlign w:val="top"/>
          </w:tcPr>
          <w:p w14:paraId="7AE24863">
            <w:pPr>
              <w:pStyle w:val="871"/>
              <w:spacing w:before="156" w:line="288" w:lineRule="auto"/>
              <w:ind w:left="25" w:right="13" w:hanging="2"/>
              <w:rPr>
                <w:rFonts w:hint="eastAsia"/>
                <w:color w:val="auto"/>
                <w:lang w:eastAsia="zh-CN"/>
              </w:rPr>
            </w:pPr>
            <w:r>
              <w:rPr>
                <w:color w:val="auto"/>
                <w:spacing w:val="5"/>
                <w:lang w:eastAsia="zh-CN"/>
              </w:rPr>
              <w:t>《热泵热水机（器）能效限定值及</w:t>
            </w:r>
            <w:r>
              <w:rPr>
                <w:color w:val="auto"/>
                <w:spacing w:val="1"/>
                <w:lang w:eastAsia="zh-CN"/>
              </w:rPr>
              <w:t xml:space="preserve"> </w:t>
            </w:r>
            <w:r>
              <w:rPr>
                <w:color w:val="auto"/>
                <w:spacing w:val="6"/>
                <w:lang w:eastAsia="zh-CN"/>
              </w:rPr>
              <w:t>能效等级》（</w:t>
            </w:r>
            <w:r>
              <w:rPr>
                <w:color w:val="auto"/>
                <w:lang w:eastAsia="zh-CN"/>
              </w:rPr>
              <w:t>GB</w:t>
            </w:r>
            <w:r>
              <w:rPr>
                <w:color w:val="auto"/>
                <w:spacing w:val="6"/>
                <w:lang w:eastAsia="zh-CN"/>
              </w:rPr>
              <w:t xml:space="preserve"> 29541）</w:t>
            </w:r>
          </w:p>
        </w:tc>
      </w:tr>
      <w:tr w14:paraId="131B2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vMerge w:val="continue"/>
            <w:tcBorders>
              <w:top w:val="nil"/>
            </w:tcBorders>
            <w:noWrap w:val="0"/>
            <w:vAlign w:val="top"/>
          </w:tcPr>
          <w:p w14:paraId="1A786759">
            <w:pPr>
              <w:rPr>
                <w:rFonts w:ascii="Arial"/>
                <w:color w:val="auto"/>
              </w:rPr>
            </w:pPr>
          </w:p>
        </w:tc>
        <w:tc>
          <w:tcPr>
            <w:tcW w:w="1275" w:type="dxa"/>
            <w:vMerge w:val="continue"/>
            <w:tcBorders>
              <w:top w:val="nil"/>
            </w:tcBorders>
            <w:noWrap w:val="0"/>
            <w:vAlign w:val="top"/>
          </w:tcPr>
          <w:p w14:paraId="6D76B42E">
            <w:pPr>
              <w:rPr>
                <w:rFonts w:ascii="Arial"/>
                <w:color w:val="auto"/>
              </w:rPr>
            </w:pPr>
          </w:p>
        </w:tc>
        <w:tc>
          <w:tcPr>
            <w:tcW w:w="1967" w:type="dxa"/>
            <w:vMerge w:val="continue"/>
            <w:tcBorders>
              <w:top w:val="nil"/>
            </w:tcBorders>
            <w:noWrap w:val="0"/>
            <w:vAlign w:val="top"/>
          </w:tcPr>
          <w:p w14:paraId="7FC6D4E3">
            <w:pPr>
              <w:rPr>
                <w:rFonts w:ascii="Arial"/>
                <w:color w:val="auto"/>
              </w:rPr>
            </w:pPr>
          </w:p>
        </w:tc>
        <w:tc>
          <w:tcPr>
            <w:tcW w:w="2093" w:type="dxa"/>
            <w:noWrap w:val="0"/>
            <w:vAlign w:val="top"/>
          </w:tcPr>
          <w:p w14:paraId="3E017BF0">
            <w:pPr>
              <w:pStyle w:val="871"/>
              <w:spacing w:before="271" w:line="229" w:lineRule="auto"/>
              <w:ind w:left="16"/>
              <w:rPr>
                <w:rFonts w:hint="eastAsia"/>
                <w:color w:val="auto"/>
              </w:rPr>
            </w:pPr>
            <w:r>
              <w:rPr>
                <w:color w:val="auto"/>
                <w:spacing w:val="8"/>
              </w:rPr>
              <w:t>太阳能热水系统</w:t>
            </w:r>
          </w:p>
        </w:tc>
        <w:tc>
          <w:tcPr>
            <w:tcW w:w="3247" w:type="dxa"/>
            <w:noWrap w:val="0"/>
            <w:vAlign w:val="top"/>
          </w:tcPr>
          <w:p w14:paraId="504C93A3">
            <w:pPr>
              <w:pStyle w:val="871"/>
              <w:spacing w:before="116" w:line="288" w:lineRule="auto"/>
              <w:ind w:left="17" w:right="11" w:firstLine="5"/>
              <w:rPr>
                <w:rFonts w:hint="eastAsia"/>
                <w:color w:val="auto"/>
                <w:lang w:eastAsia="zh-CN"/>
              </w:rPr>
            </w:pPr>
            <w:r>
              <w:rPr>
                <w:color w:val="auto"/>
                <w:spacing w:val="19"/>
                <w:lang w:eastAsia="zh-CN"/>
              </w:rPr>
              <w:t>《家用太阳能热水系统能效限定</w:t>
            </w:r>
            <w:r>
              <w:rPr>
                <w:color w:val="auto"/>
                <w:spacing w:val="2"/>
                <w:lang w:eastAsia="zh-CN"/>
              </w:rPr>
              <w:t xml:space="preserve"> </w:t>
            </w:r>
            <w:r>
              <w:rPr>
                <w:color w:val="auto"/>
                <w:spacing w:val="7"/>
                <w:lang w:eastAsia="zh-CN"/>
              </w:rPr>
              <w:t>值及能效等级》（</w:t>
            </w:r>
            <w:r>
              <w:rPr>
                <w:color w:val="auto"/>
                <w:lang w:eastAsia="zh-CN"/>
              </w:rPr>
              <w:t>GB</w:t>
            </w:r>
            <w:r>
              <w:rPr>
                <w:color w:val="auto"/>
                <w:spacing w:val="7"/>
                <w:lang w:eastAsia="zh-CN"/>
              </w:rPr>
              <w:t xml:space="preserve"> 26969）</w:t>
            </w:r>
          </w:p>
        </w:tc>
      </w:tr>
      <w:tr w14:paraId="5A5EF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632" w:type="dxa"/>
            <w:vMerge w:val="restart"/>
            <w:tcBorders>
              <w:bottom w:val="nil"/>
            </w:tcBorders>
            <w:noWrap w:val="0"/>
            <w:vAlign w:val="top"/>
          </w:tcPr>
          <w:p w14:paraId="4939A5A5">
            <w:pPr>
              <w:spacing w:line="274" w:lineRule="auto"/>
              <w:rPr>
                <w:rFonts w:ascii="Arial"/>
                <w:color w:val="auto"/>
              </w:rPr>
            </w:pPr>
          </w:p>
          <w:p w14:paraId="7B644A95">
            <w:pPr>
              <w:spacing w:line="274" w:lineRule="auto"/>
              <w:rPr>
                <w:rFonts w:ascii="Arial"/>
                <w:color w:val="auto"/>
              </w:rPr>
            </w:pPr>
          </w:p>
          <w:p w14:paraId="5D8AA9EE">
            <w:pPr>
              <w:spacing w:line="274" w:lineRule="auto"/>
              <w:rPr>
                <w:rFonts w:ascii="Arial"/>
                <w:color w:val="auto"/>
              </w:rPr>
            </w:pPr>
          </w:p>
          <w:p w14:paraId="0AAE38E4">
            <w:pPr>
              <w:spacing w:line="274" w:lineRule="auto"/>
              <w:rPr>
                <w:rFonts w:ascii="Arial"/>
                <w:color w:val="auto"/>
              </w:rPr>
            </w:pPr>
          </w:p>
          <w:p w14:paraId="62398EBF">
            <w:pPr>
              <w:spacing w:line="274" w:lineRule="auto"/>
              <w:rPr>
                <w:rFonts w:ascii="Arial"/>
                <w:color w:val="auto"/>
              </w:rPr>
            </w:pPr>
          </w:p>
          <w:p w14:paraId="5943DCCC">
            <w:pPr>
              <w:spacing w:line="274" w:lineRule="auto"/>
              <w:rPr>
                <w:rFonts w:ascii="Arial"/>
                <w:color w:val="auto"/>
              </w:rPr>
            </w:pPr>
          </w:p>
          <w:p w14:paraId="7DB68044">
            <w:pPr>
              <w:pStyle w:val="871"/>
              <w:spacing w:before="62" w:line="190" w:lineRule="auto"/>
              <w:ind w:left="209"/>
              <w:rPr>
                <w:rFonts w:hint="eastAsia"/>
                <w:color w:val="auto"/>
              </w:rPr>
            </w:pPr>
            <w:r>
              <w:rPr>
                <w:color w:val="auto"/>
                <w:spacing w:val="-7"/>
              </w:rPr>
              <w:t>11</w:t>
            </w:r>
          </w:p>
        </w:tc>
        <w:tc>
          <w:tcPr>
            <w:tcW w:w="1275" w:type="dxa"/>
            <w:vMerge w:val="restart"/>
            <w:tcBorders>
              <w:bottom w:val="nil"/>
            </w:tcBorders>
            <w:noWrap w:val="0"/>
            <w:vAlign w:val="top"/>
          </w:tcPr>
          <w:p w14:paraId="6D46473D">
            <w:pPr>
              <w:spacing w:line="243" w:lineRule="auto"/>
              <w:rPr>
                <w:rFonts w:ascii="Arial"/>
                <w:color w:val="auto"/>
              </w:rPr>
            </w:pPr>
          </w:p>
          <w:p w14:paraId="551192DB">
            <w:pPr>
              <w:spacing w:line="243" w:lineRule="auto"/>
              <w:rPr>
                <w:rFonts w:ascii="Arial"/>
                <w:color w:val="auto"/>
              </w:rPr>
            </w:pPr>
          </w:p>
          <w:p w14:paraId="672C8712">
            <w:pPr>
              <w:spacing w:line="243" w:lineRule="auto"/>
              <w:rPr>
                <w:rFonts w:ascii="Arial"/>
                <w:color w:val="auto"/>
              </w:rPr>
            </w:pPr>
          </w:p>
          <w:p w14:paraId="1A575899">
            <w:pPr>
              <w:spacing w:line="243" w:lineRule="auto"/>
              <w:rPr>
                <w:rFonts w:ascii="Arial"/>
                <w:color w:val="auto"/>
              </w:rPr>
            </w:pPr>
          </w:p>
          <w:p w14:paraId="5921A66B">
            <w:pPr>
              <w:spacing w:line="243" w:lineRule="auto"/>
              <w:rPr>
                <w:rFonts w:ascii="Arial"/>
                <w:color w:val="auto"/>
              </w:rPr>
            </w:pPr>
          </w:p>
          <w:p w14:paraId="4281D16B">
            <w:pPr>
              <w:spacing w:line="243" w:lineRule="auto"/>
              <w:rPr>
                <w:rFonts w:ascii="Arial"/>
                <w:color w:val="auto"/>
              </w:rPr>
            </w:pPr>
          </w:p>
          <w:p w14:paraId="60309123">
            <w:pPr>
              <w:pStyle w:val="871"/>
              <w:spacing w:before="62" w:line="289" w:lineRule="auto"/>
              <w:ind w:left="18" w:right="8" w:hanging="9"/>
              <w:rPr>
                <w:rFonts w:hint="eastAsia"/>
                <w:color w:val="auto"/>
              </w:rPr>
            </w:pPr>
            <w:r>
              <w:rPr>
                <w:color w:val="auto"/>
                <w:spacing w:val="5"/>
              </w:rPr>
              <w:t>A020619</w:t>
            </w:r>
            <w:r>
              <w:rPr>
                <w:color w:val="auto"/>
                <w:spacing w:val="-43"/>
              </w:rPr>
              <w:t xml:space="preserve"> </w:t>
            </w:r>
            <w:r>
              <w:rPr>
                <w:color w:val="auto"/>
                <w:spacing w:val="5"/>
              </w:rPr>
              <w:t>照明</w:t>
            </w:r>
            <w:r>
              <w:rPr>
                <w:color w:val="auto"/>
              </w:rPr>
              <w:t xml:space="preserve"> </w:t>
            </w:r>
            <w:r>
              <w:rPr>
                <w:color w:val="auto"/>
                <w:spacing w:val="3"/>
              </w:rPr>
              <w:t>设备</w:t>
            </w:r>
          </w:p>
        </w:tc>
        <w:tc>
          <w:tcPr>
            <w:tcW w:w="1967" w:type="dxa"/>
            <w:noWrap w:val="0"/>
            <w:vAlign w:val="top"/>
          </w:tcPr>
          <w:p w14:paraId="0AC42567">
            <w:pPr>
              <w:pStyle w:val="871"/>
              <w:spacing w:before="198" w:line="288" w:lineRule="auto"/>
              <w:ind w:left="20" w:right="12" w:hanging="2"/>
              <w:rPr>
                <w:rFonts w:hint="eastAsia"/>
                <w:color w:val="auto"/>
                <w:lang w:eastAsia="zh-CN"/>
              </w:rPr>
            </w:pPr>
            <w:r>
              <w:rPr>
                <w:color w:val="auto"/>
                <w:spacing w:val="19"/>
                <w:lang w:eastAsia="zh-CN"/>
              </w:rPr>
              <w:t>★</w:t>
            </w:r>
            <w:r>
              <w:rPr>
                <w:color w:val="auto"/>
                <w:spacing w:val="-59"/>
                <w:lang w:eastAsia="zh-CN"/>
              </w:rPr>
              <w:t xml:space="preserve"> </w:t>
            </w:r>
            <w:r>
              <w:rPr>
                <w:color w:val="auto"/>
                <w:spacing w:val="19"/>
                <w:lang w:eastAsia="zh-CN"/>
              </w:rPr>
              <w:t>普通照</w:t>
            </w:r>
            <w:r>
              <w:rPr>
                <w:color w:val="auto"/>
                <w:spacing w:val="-42"/>
                <w:lang w:eastAsia="zh-CN"/>
              </w:rPr>
              <w:t xml:space="preserve"> </w:t>
            </w:r>
            <w:r>
              <w:rPr>
                <w:color w:val="auto"/>
                <w:spacing w:val="19"/>
                <w:lang w:eastAsia="zh-CN"/>
              </w:rPr>
              <w:t>明用双端</w:t>
            </w:r>
            <w:r>
              <w:rPr>
                <w:color w:val="auto"/>
                <w:lang w:eastAsia="zh-CN"/>
              </w:rPr>
              <w:t xml:space="preserve"> </w:t>
            </w:r>
            <w:r>
              <w:rPr>
                <w:color w:val="auto"/>
                <w:spacing w:val="4"/>
                <w:lang w:eastAsia="zh-CN"/>
              </w:rPr>
              <w:t>荧光灯</w:t>
            </w:r>
          </w:p>
        </w:tc>
        <w:tc>
          <w:tcPr>
            <w:tcW w:w="2093" w:type="dxa"/>
            <w:noWrap w:val="0"/>
            <w:vAlign w:val="top"/>
          </w:tcPr>
          <w:p w14:paraId="06034A84">
            <w:pPr>
              <w:rPr>
                <w:rFonts w:ascii="Arial"/>
                <w:color w:val="auto"/>
              </w:rPr>
            </w:pPr>
          </w:p>
        </w:tc>
        <w:tc>
          <w:tcPr>
            <w:tcW w:w="3247" w:type="dxa"/>
            <w:noWrap w:val="0"/>
            <w:vAlign w:val="top"/>
          </w:tcPr>
          <w:p w14:paraId="6F72D5A9">
            <w:pPr>
              <w:pStyle w:val="871"/>
              <w:spacing w:before="198" w:line="288" w:lineRule="auto"/>
              <w:ind w:left="22" w:right="11"/>
              <w:rPr>
                <w:rFonts w:hint="eastAsia"/>
                <w:color w:val="auto"/>
                <w:lang w:eastAsia="zh-CN"/>
              </w:rPr>
            </w:pPr>
            <w:r>
              <w:rPr>
                <w:color w:val="auto"/>
                <w:spacing w:val="19"/>
                <w:lang w:eastAsia="zh-CN"/>
              </w:rPr>
              <w:t>《普通照明用双端荧光灯能效限</w:t>
            </w:r>
            <w:r>
              <w:rPr>
                <w:color w:val="auto"/>
                <w:spacing w:val="2"/>
                <w:lang w:eastAsia="zh-CN"/>
              </w:rPr>
              <w:t xml:space="preserve"> </w:t>
            </w:r>
            <w:r>
              <w:rPr>
                <w:color w:val="auto"/>
                <w:spacing w:val="5"/>
                <w:lang w:eastAsia="zh-CN"/>
              </w:rPr>
              <w:t>定值及能效等级》（</w:t>
            </w:r>
            <w:r>
              <w:rPr>
                <w:color w:val="auto"/>
                <w:lang w:eastAsia="zh-CN"/>
              </w:rPr>
              <w:t>GB</w:t>
            </w:r>
            <w:r>
              <w:rPr>
                <w:color w:val="auto"/>
                <w:spacing w:val="42"/>
                <w:lang w:eastAsia="zh-CN"/>
              </w:rPr>
              <w:t xml:space="preserve"> </w:t>
            </w:r>
            <w:r>
              <w:rPr>
                <w:color w:val="auto"/>
                <w:spacing w:val="5"/>
                <w:lang w:eastAsia="zh-CN"/>
              </w:rPr>
              <w:t>19043）</w:t>
            </w:r>
          </w:p>
        </w:tc>
      </w:tr>
      <w:tr w14:paraId="08A77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632" w:type="dxa"/>
            <w:vMerge w:val="continue"/>
            <w:tcBorders>
              <w:top w:val="nil"/>
              <w:bottom w:val="nil"/>
            </w:tcBorders>
            <w:noWrap w:val="0"/>
            <w:vAlign w:val="top"/>
          </w:tcPr>
          <w:p w14:paraId="1E18F6A7">
            <w:pPr>
              <w:rPr>
                <w:rFonts w:ascii="Arial"/>
                <w:color w:val="auto"/>
              </w:rPr>
            </w:pPr>
          </w:p>
        </w:tc>
        <w:tc>
          <w:tcPr>
            <w:tcW w:w="1275" w:type="dxa"/>
            <w:vMerge w:val="continue"/>
            <w:tcBorders>
              <w:top w:val="nil"/>
              <w:bottom w:val="nil"/>
            </w:tcBorders>
            <w:noWrap w:val="0"/>
            <w:vAlign w:val="top"/>
          </w:tcPr>
          <w:p w14:paraId="14413F8B">
            <w:pPr>
              <w:rPr>
                <w:rFonts w:ascii="Arial"/>
                <w:color w:val="auto"/>
              </w:rPr>
            </w:pPr>
          </w:p>
        </w:tc>
        <w:tc>
          <w:tcPr>
            <w:tcW w:w="1967" w:type="dxa"/>
            <w:noWrap w:val="0"/>
            <w:vAlign w:val="top"/>
          </w:tcPr>
          <w:p w14:paraId="48F05089">
            <w:pPr>
              <w:pStyle w:val="871"/>
              <w:spacing w:before="158" w:line="288" w:lineRule="auto"/>
              <w:ind w:left="14" w:right="7" w:hanging="1"/>
              <w:rPr>
                <w:rFonts w:hint="eastAsia"/>
                <w:color w:val="auto"/>
              </w:rPr>
            </w:pPr>
            <w:r>
              <w:rPr>
                <w:color w:val="auto"/>
              </w:rPr>
              <w:t>LED</w:t>
            </w:r>
            <w:r>
              <w:rPr>
                <w:color w:val="auto"/>
                <w:spacing w:val="23"/>
              </w:rPr>
              <w:t xml:space="preserve"> </w:t>
            </w:r>
            <w:r>
              <w:rPr>
                <w:color w:val="auto"/>
                <w:spacing w:val="19"/>
              </w:rPr>
              <w:t>道路/隧道照明</w:t>
            </w:r>
            <w:r>
              <w:rPr>
                <w:color w:val="auto"/>
              </w:rPr>
              <w:t xml:space="preserve"> </w:t>
            </w:r>
            <w:r>
              <w:rPr>
                <w:color w:val="auto"/>
                <w:spacing w:val="5"/>
              </w:rPr>
              <w:t>产品</w:t>
            </w:r>
          </w:p>
        </w:tc>
        <w:tc>
          <w:tcPr>
            <w:tcW w:w="2093" w:type="dxa"/>
            <w:noWrap w:val="0"/>
            <w:vAlign w:val="top"/>
          </w:tcPr>
          <w:p w14:paraId="5E7485B0">
            <w:pPr>
              <w:rPr>
                <w:rFonts w:ascii="Arial"/>
                <w:color w:val="auto"/>
              </w:rPr>
            </w:pPr>
          </w:p>
        </w:tc>
        <w:tc>
          <w:tcPr>
            <w:tcW w:w="3247" w:type="dxa"/>
            <w:noWrap w:val="0"/>
            <w:vAlign w:val="top"/>
          </w:tcPr>
          <w:p w14:paraId="1E19C391">
            <w:pPr>
              <w:pStyle w:val="871"/>
              <w:spacing w:before="158" w:line="288" w:lineRule="auto"/>
              <w:ind w:left="22"/>
              <w:rPr>
                <w:rFonts w:hint="eastAsia"/>
                <w:color w:val="auto"/>
              </w:rPr>
            </w:pPr>
            <w:r>
              <w:rPr>
                <w:color w:val="auto"/>
                <w:spacing w:val="7"/>
              </w:rPr>
              <w:t xml:space="preserve">《道路和隧道照明用 </w:t>
            </w:r>
            <w:r>
              <w:rPr>
                <w:color w:val="auto"/>
              </w:rPr>
              <w:t>LED</w:t>
            </w:r>
            <w:r>
              <w:rPr>
                <w:color w:val="auto"/>
                <w:spacing w:val="7"/>
              </w:rPr>
              <w:t xml:space="preserve"> 灯具能</w:t>
            </w:r>
            <w:r>
              <w:rPr>
                <w:color w:val="auto"/>
              </w:rPr>
              <w:t xml:space="preserve">  </w:t>
            </w:r>
            <w:r>
              <w:rPr>
                <w:color w:val="auto"/>
                <w:spacing w:val="-4"/>
              </w:rPr>
              <w:t>效限定值及能效等级》（GB</w:t>
            </w:r>
            <w:r>
              <w:rPr>
                <w:color w:val="auto"/>
                <w:spacing w:val="-24"/>
              </w:rPr>
              <w:t xml:space="preserve"> </w:t>
            </w:r>
            <w:r>
              <w:rPr>
                <w:color w:val="auto"/>
                <w:spacing w:val="-4"/>
              </w:rPr>
              <w:t>37478）</w:t>
            </w:r>
          </w:p>
        </w:tc>
      </w:tr>
      <w:tr w14:paraId="04DD7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632" w:type="dxa"/>
            <w:vMerge w:val="continue"/>
            <w:tcBorders>
              <w:top w:val="nil"/>
              <w:bottom w:val="nil"/>
            </w:tcBorders>
            <w:noWrap w:val="0"/>
            <w:vAlign w:val="top"/>
          </w:tcPr>
          <w:p w14:paraId="6EF636F4">
            <w:pPr>
              <w:rPr>
                <w:rFonts w:ascii="Arial"/>
                <w:color w:val="auto"/>
              </w:rPr>
            </w:pPr>
          </w:p>
        </w:tc>
        <w:tc>
          <w:tcPr>
            <w:tcW w:w="1275" w:type="dxa"/>
            <w:vMerge w:val="continue"/>
            <w:tcBorders>
              <w:top w:val="nil"/>
              <w:bottom w:val="nil"/>
            </w:tcBorders>
            <w:noWrap w:val="0"/>
            <w:vAlign w:val="top"/>
          </w:tcPr>
          <w:p w14:paraId="05FB2D89">
            <w:pPr>
              <w:rPr>
                <w:rFonts w:ascii="Arial"/>
                <w:color w:val="auto"/>
              </w:rPr>
            </w:pPr>
          </w:p>
        </w:tc>
        <w:tc>
          <w:tcPr>
            <w:tcW w:w="1967" w:type="dxa"/>
            <w:noWrap w:val="0"/>
            <w:vAlign w:val="top"/>
          </w:tcPr>
          <w:p w14:paraId="09E9B2BC">
            <w:pPr>
              <w:rPr>
                <w:rFonts w:ascii="Arial"/>
                <w:color w:val="auto"/>
              </w:rPr>
            </w:pPr>
          </w:p>
          <w:p w14:paraId="0FC0FFE8">
            <w:pPr>
              <w:pStyle w:val="871"/>
              <w:spacing w:before="62" w:line="229" w:lineRule="auto"/>
              <w:ind w:left="13"/>
              <w:rPr>
                <w:rFonts w:hint="eastAsia"/>
                <w:color w:val="auto"/>
              </w:rPr>
            </w:pPr>
            <w:r>
              <w:rPr>
                <w:color w:val="auto"/>
              </w:rPr>
              <w:t>LED</w:t>
            </w:r>
            <w:r>
              <w:rPr>
                <w:color w:val="auto"/>
                <w:spacing w:val="-32"/>
              </w:rPr>
              <w:t xml:space="preserve"> </w:t>
            </w:r>
            <w:r>
              <w:rPr>
                <w:color w:val="auto"/>
                <w:spacing w:val="8"/>
              </w:rPr>
              <w:t>筒灯</w:t>
            </w:r>
          </w:p>
        </w:tc>
        <w:tc>
          <w:tcPr>
            <w:tcW w:w="2093" w:type="dxa"/>
            <w:noWrap w:val="0"/>
            <w:vAlign w:val="top"/>
          </w:tcPr>
          <w:p w14:paraId="502C6E1E">
            <w:pPr>
              <w:rPr>
                <w:rFonts w:ascii="Arial"/>
                <w:color w:val="auto"/>
              </w:rPr>
            </w:pPr>
          </w:p>
        </w:tc>
        <w:tc>
          <w:tcPr>
            <w:tcW w:w="3247" w:type="dxa"/>
            <w:noWrap w:val="0"/>
            <w:vAlign w:val="top"/>
          </w:tcPr>
          <w:p w14:paraId="527B11CD">
            <w:pPr>
              <w:pStyle w:val="871"/>
              <w:spacing w:before="148" w:line="288" w:lineRule="auto"/>
              <w:ind w:left="17" w:right="13" w:firstLine="5"/>
              <w:rPr>
                <w:rFonts w:hint="eastAsia"/>
                <w:color w:val="auto"/>
              </w:rPr>
            </w:pPr>
            <w:r>
              <w:rPr>
                <w:color w:val="auto"/>
                <w:spacing w:val="12"/>
              </w:rPr>
              <w:t xml:space="preserve">《室内照明用 </w:t>
            </w:r>
            <w:r>
              <w:rPr>
                <w:color w:val="auto"/>
              </w:rPr>
              <w:t>LED</w:t>
            </w:r>
            <w:r>
              <w:rPr>
                <w:color w:val="auto"/>
                <w:spacing w:val="12"/>
              </w:rPr>
              <w:t xml:space="preserve"> 产品能效限定</w:t>
            </w:r>
            <w:r>
              <w:rPr>
                <w:color w:val="auto"/>
                <w:spacing w:val="2"/>
              </w:rPr>
              <w:t xml:space="preserve"> </w:t>
            </w:r>
            <w:r>
              <w:rPr>
                <w:color w:val="auto"/>
                <w:spacing w:val="7"/>
              </w:rPr>
              <w:t>值及能效等级》（</w:t>
            </w:r>
            <w:r>
              <w:rPr>
                <w:color w:val="auto"/>
              </w:rPr>
              <w:t>GB</w:t>
            </w:r>
            <w:r>
              <w:rPr>
                <w:color w:val="auto"/>
                <w:spacing w:val="7"/>
              </w:rPr>
              <w:t xml:space="preserve"> 30255）</w:t>
            </w:r>
          </w:p>
        </w:tc>
      </w:tr>
      <w:tr w14:paraId="351EC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632" w:type="dxa"/>
            <w:vMerge w:val="continue"/>
            <w:tcBorders>
              <w:top w:val="nil"/>
            </w:tcBorders>
            <w:noWrap w:val="0"/>
            <w:vAlign w:val="top"/>
          </w:tcPr>
          <w:p w14:paraId="0D9A4E4A">
            <w:pPr>
              <w:rPr>
                <w:rFonts w:ascii="Arial"/>
                <w:color w:val="auto"/>
              </w:rPr>
            </w:pPr>
          </w:p>
        </w:tc>
        <w:tc>
          <w:tcPr>
            <w:tcW w:w="1275" w:type="dxa"/>
            <w:vMerge w:val="continue"/>
            <w:tcBorders>
              <w:top w:val="nil"/>
            </w:tcBorders>
            <w:noWrap w:val="0"/>
            <w:vAlign w:val="top"/>
          </w:tcPr>
          <w:p w14:paraId="0AF8CB4C">
            <w:pPr>
              <w:rPr>
                <w:rFonts w:ascii="Arial"/>
                <w:color w:val="auto"/>
              </w:rPr>
            </w:pPr>
          </w:p>
        </w:tc>
        <w:tc>
          <w:tcPr>
            <w:tcW w:w="1967" w:type="dxa"/>
            <w:noWrap w:val="0"/>
            <w:vAlign w:val="top"/>
          </w:tcPr>
          <w:p w14:paraId="1B0DE986">
            <w:pPr>
              <w:pStyle w:val="871"/>
              <w:spacing w:before="265" w:line="288" w:lineRule="auto"/>
              <w:ind w:left="47" w:right="12" w:hanging="33"/>
              <w:rPr>
                <w:rFonts w:hint="eastAsia"/>
                <w:color w:val="auto"/>
              </w:rPr>
            </w:pPr>
            <w:r>
              <w:rPr>
                <w:color w:val="auto"/>
                <w:spacing w:val="30"/>
              </w:rPr>
              <w:t>普通照明用非定向</w:t>
            </w:r>
            <w:r>
              <w:rPr>
                <w:color w:val="auto"/>
                <w:spacing w:val="5"/>
              </w:rPr>
              <w:t xml:space="preserve"> </w:t>
            </w:r>
            <w:r>
              <w:rPr>
                <w:color w:val="auto"/>
                <w:spacing w:val="-1"/>
              </w:rPr>
              <w:t>自镇流</w:t>
            </w:r>
            <w:r>
              <w:rPr>
                <w:color w:val="auto"/>
                <w:spacing w:val="-33"/>
              </w:rPr>
              <w:t xml:space="preserve"> </w:t>
            </w:r>
            <w:r>
              <w:rPr>
                <w:color w:val="auto"/>
                <w:spacing w:val="-1"/>
              </w:rPr>
              <w:t>LED</w:t>
            </w:r>
            <w:r>
              <w:rPr>
                <w:color w:val="auto"/>
                <w:spacing w:val="-37"/>
              </w:rPr>
              <w:t xml:space="preserve"> </w:t>
            </w:r>
            <w:r>
              <w:rPr>
                <w:color w:val="auto"/>
                <w:spacing w:val="-1"/>
              </w:rPr>
              <w:t>灯</w:t>
            </w:r>
          </w:p>
        </w:tc>
        <w:tc>
          <w:tcPr>
            <w:tcW w:w="2093" w:type="dxa"/>
            <w:noWrap w:val="0"/>
            <w:vAlign w:val="top"/>
          </w:tcPr>
          <w:p w14:paraId="1133B2A7">
            <w:pPr>
              <w:rPr>
                <w:rFonts w:ascii="Arial"/>
                <w:color w:val="auto"/>
              </w:rPr>
            </w:pPr>
          </w:p>
        </w:tc>
        <w:tc>
          <w:tcPr>
            <w:tcW w:w="3247" w:type="dxa"/>
            <w:noWrap w:val="0"/>
            <w:vAlign w:val="top"/>
          </w:tcPr>
          <w:p w14:paraId="53937122">
            <w:pPr>
              <w:pStyle w:val="871"/>
              <w:spacing w:before="265" w:line="288" w:lineRule="auto"/>
              <w:ind w:left="17" w:right="13" w:firstLine="5"/>
              <w:rPr>
                <w:rFonts w:hint="eastAsia"/>
                <w:color w:val="auto"/>
              </w:rPr>
            </w:pPr>
            <w:r>
              <w:rPr>
                <w:color w:val="auto"/>
                <w:spacing w:val="12"/>
              </w:rPr>
              <w:t xml:space="preserve">《室内照明用 </w:t>
            </w:r>
            <w:r>
              <w:rPr>
                <w:color w:val="auto"/>
              </w:rPr>
              <w:t>LED</w:t>
            </w:r>
            <w:r>
              <w:rPr>
                <w:color w:val="auto"/>
                <w:spacing w:val="12"/>
              </w:rPr>
              <w:t xml:space="preserve"> 产品能效限定</w:t>
            </w:r>
            <w:r>
              <w:rPr>
                <w:color w:val="auto"/>
                <w:spacing w:val="2"/>
              </w:rPr>
              <w:t xml:space="preserve"> </w:t>
            </w:r>
            <w:r>
              <w:rPr>
                <w:color w:val="auto"/>
                <w:spacing w:val="7"/>
              </w:rPr>
              <w:t>值及能效等级》（</w:t>
            </w:r>
            <w:r>
              <w:rPr>
                <w:color w:val="auto"/>
              </w:rPr>
              <w:t>GB</w:t>
            </w:r>
            <w:r>
              <w:rPr>
                <w:color w:val="auto"/>
                <w:spacing w:val="7"/>
              </w:rPr>
              <w:t xml:space="preserve"> 30255）</w:t>
            </w:r>
          </w:p>
        </w:tc>
      </w:tr>
      <w:tr w14:paraId="6F35E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32" w:type="dxa"/>
            <w:noWrap w:val="0"/>
            <w:vAlign w:val="top"/>
          </w:tcPr>
          <w:p w14:paraId="17C5B4B9">
            <w:pPr>
              <w:spacing w:line="268" w:lineRule="auto"/>
              <w:rPr>
                <w:rFonts w:ascii="Arial"/>
                <w:color w:val="auto"/>
              </w:rPr>
            </w:pPr>
          </w:p>
          <w:p w14:paraId="7BA90E1B">
            <w:pPr>
              <w:pStyle w:val="871"/>
              <w:spacing w:before="62" w:line="190" w:lineRule="auto"/>
              <w:ind w:left="209"/>
              <w:rPr>
                <w:rFonts w:hint="eastAsia"/>
                <w:color w:val="auto"/>
              </w:rPr>
            </w:pPr>
            <w:r>
              <w:rPr>
                <w:color w:val="auto"/>
                <w:spacing w:val="-7"/>
              </w:rPr>
              <w:t>12</w:t>
            </w:r>
          </w:p>
        </w:tc>
        <w:tc>
          <w:tcPr>
            <w:tcW w:w="1275" w:type="dxa"/>
            <w:noWrap w:val="0"/>
            <w:vAlign w:val="top"/>
          </w:tcPr>
          <w:p w14:paraId="6D3714DF">
            <w:pPr>
              <w:pStyle w:val="871"/>
              <w:spacing w:before="144" w:line="289" w:lineRule="auto"/>
              <w:ind w:left="14" w:right="8" w:firstLine="3"/>
              <w:rPr>
                <w:rFonts w:hint="eastAsia"/>
                <w:color w:val="auto"/>
              </w:rPr>
            </w:pPr>
            <w:r>
              <w:rPr>
                <w:color w:val="auto"/>
                <w:spacing w:val="1"/>
              </w:rPr>
              <w:t>★A020910</w:t>
            </w:r>
            <w:r>
              <w:rPr>
                <w:color w:val="auto"/>
                <w:spacing w:val="-17"/>
              </w:rPr>
              <w:t xml:space="preserve"> </w:t>
            </w:r>
            <w:r>
              <w:rPr>
                <w:color w:val="auto"/>
                <w:spacing w:val="1"/>
              </w:rPr>
              <w:t>电</w:t>
            </w:r>
            <w:r>
              <w:rPr>
                <w:color w:val="auto"/>
              </w:rPr>
              <w:t xml:space="preserve"> </w:t>
            </w:r>
            <w:r>
              <w:rPr>
                <w:color w:val="auto"/>
                <w:spacing w:val="6"/>
              </w:rPr>
              <w:t>视设备</w:t>
            </w:r>
          </w:p>
        </w:tc>
        <w:tc>
          <w:tcPr>
            <w:tcW w:w="1967" w:type="dxa"/>
            <w:noWrap w:val="0"/>
            <w:vAlign w:val="top"/>
          </w:tcPr>
          <w:p w14:paraId="5DB683AC">
            <w:pPr>
              <w:pStyle w:val="871"/>
              <w:spacing w:before="145" w:line="288" w:lineRule="auto"/>
              <w:ind w:left="18" w:right="10" w:hanging="9"/>
              <w:rPr>
                <w:rFonts w:hint="eastAsia"/>
                <w:color w:val="auto"/>
                <w:lang w:eastAsia="zh-CN"/>
              </w:rPr>
            </w:pPr>
            <w:r>
              <w:rPr>
                <w:color w:val="auto"/>
                <w:spacing w:val="4"/>
                <w:lang w:eastAsia="zh-CN"/>
              </w:rPr>
              <w:t>A02091001 普通电视</w:t>
            </w:r>
            <w:r>
              <w:rPr>
                <w:color w:val="auto"/>
                <w:spacing w:val="7"/>
                <w:lang w:eastAsia="zh-CN"/>
              </w:rPr>
              <w:t xml:space="preserve"> </w:t>
            </w:r>
            <w:r>
              <w:rPr>
                <w:color w:val="auto"/>
                <w:spacing w:val="6"/>
                <w:lang w:eastAsia="zh-CN"/>
              </w:rPr>
              <w:t>设备（电视机）</w:t>
            </w:r>
          </w:p>
        </w:tc>
        <w:tc>
          <w:tcPr>
            <w:tcW w:w="2093" w:type="dxa"/>
            <w:noWrap w:val="0"/>
            <w:vAlign w:val="top"/>
          </w:tcPr>
          <w:p w14:paraId="7B47CC23">
            <w:pPr>
              <w:rPr>
                <w:rFonts w:ascii="Arial"/>
                <w:color w:val="auto"/>
              </w:rPr>
            </w:pPr>
          </w:p>
        </w:tc>
        <w:tc>
          <w:tcPr>
            <w:tcW w:w="3247" w:type="dxa"/>
            <w:noWrap w:val="0"/>
            <w:vAlign w:val="top"/>
          </w:tcPr>
          <w:p w14:paraId="45E1E068">
            <w:pPr>
              <w:pStyle w:val="871"/>
              <w:spacing w:before="146" w:line="289" w:lineRule="auto"/>
              <w:ind w:left="21" w:right="11" w:firstLine="2"/>
              <w:rPr>
                <w:rFonts w:hint="eastAsia"/>
                <w:color w:val="auto"/>
                <w:lang w:eastAsia="zh-CN"/>
              </w:rPr>
            </w:pPr>
            <w:r>
              <w:rPr>
                <w:color w:val="auto"/>
                <w:spacing w:val="19"/>
                <w:lang w:eastAsia="zh-CN"/>
              </w:rPr>
              <w:t>《平板电视能效限定值及能效等</w:t>
            </w:r>
            <w:r>
              <w:rPr>
                <w:color w:val="auto"/>
                <w:spacing w:val="2"/>
                <w:lang w:eastAsia="zh-CN"/>
              </w:rPr>
              <w:t xml:space="preserve"> </w:t>
            </w:r>
            <w:r>
              <w:rPr>
                <w:color w:val="auto"/>
                <w:spacing w:val="4"/>
                <w:lang w:eastAsia="zh-CN"/>
              </w:rPr>
              <w:t>级》（</w:t>
            </w:r>
            <w:r>
              <w:rPr>
                <w:color w:val="auto"/>
                <w:lang w:eastAsia="zh-CN"/>
              </w:rPr>
              <w:t>GB</w:t>
            </w:r>
            <w:r>
              <w:rPr>
                <w:color w:val="auto"/>
                <w:spacing w:val="23"/>
                <w:lang w:eastAsia="zh-CN"/>
              </w:rPr>
              <w:t xml:space="preserve"> </w:t>
            </w:r>
            <w:r>
              <w:rPr>
                <w:color w:val="auto"/>
                <w:spacing w:val="4"/>
                <w:lang w:eastAsia="zh-CN"/>
              </w:rPr>
              <w:t>24850）</w:t>
            </w:r>
          </w:p>
        </w:tc>
      </w:tr>
      <w:tr w14:paraId="2FD1A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632" w:type="dxa"/>
            <w:noWrap w:val="0"/>
            <w:vAlign w:val="top"/>
          </w:tcPr>
          <w:p w14:paraId="1DB3B14B">
            <w:pPr>
              <w:spacing w:line="279" w:lineRule="auto"/>
              <w:rPr>
                <w:rFonts w:ascii="Arial"/>
                <w:color w:val="auto"/>
              </w:rPr>
            </w:pPr>
          </w:p>
          <w:p w14:paraId="05B1D65C">
            <w:pPr>
              <w:spacing w:line="279" w:lineRule="auto"/>
              <w:rPr>
                <w:rFonts w:ascii="Arial"/>
                <w:color w:val="auto"/>
              </w:rPr>
            </w:pPr>
          </w:p>
          <w:p w14:paraId="3C3A0592">
            <w:pPr>
              <w:spacing w:line="279" w:lineRule="auto"/>
              <w:rPr>
                <w:rFonts w:ascii="Arial"/>
                <w:color w:val="auto"/>
              </w:rPr>
            </w:pPr>
          </w:p>
          <w:p w14:paraId="3CF50571">
            <w:pPr>
              <w:pStyle w:val="871"/>
              <w:spacing w:before="61" w:line="190" w:lineRule="auto"/>
              <w:ind w:left="209"/>
              <w:rPr>
                <w:rFonts w:hint="eastAsia"/>
                <w:color w:val="auto"/>
              </w:rPr>
            </w:pPr>
            <w:r>
              <w:rPr>
                <w:color w:val="auto"/>
                <w:spacing w:val="-7"/>
              </w:rPr>
              <w:t>13</w:t>
            </w:r>
          </w:p>
        </w:tc>
        <w:tc>
          <w:tcPr>
            <w:tcW w:w="1275" w:type="dxa"/>
            <w:noWrap w:val="0"/>
            <w:vAlign w:val="top"/>
          </w:tcPr>
          <w:p w14:paraId="1929082E">
            <w:pPr>
              <w:spacing w:line="325" w:lineRule="auto"/>
              <w:rPr>
                <w:rFonts w:ascii="Arial"/>
                <w:color w:val="auto"/>
              </w:rPr>
            </w:pPr>
          </w:p>
          <w:p w14:paraId="79034207">
            <w:pPr>
              <w:spacing w:line="326" w:lineRule="auto"/>
              <w:rPr>
                <w:rFonts w:ascii="Arial"/>
                <w:color w:val="auto"/>
              </w:rPr>
            </w:pPr>
          </w:p>
          <w:p w14:paraId="4631E97F">
            <w:pPr>
              <w:pStyle w:val="871"/>
              <w:spacing w:before="62" w:line="289" w:lineRule="auto"/>
              <w:ind w:left="16" w:right="8" w:firstLine="2"/>
              <w:rPr>
                <w:rFonts w:hint="eastAsia"/>
                <w:color w:val="auto"/>
              </w:rPr>
            </w:pPr>
            <w:r>
              <w:rPr>
                <w:color w:val="auto"/>
                <w:spacing w:val="4"/>
              </w:rPr>
              <w:t>★A020911</w:t>
            </w:r>
            <w:r>
              <w:rPr>
                <w:color w:val="auto"/>
                <w:spacing w:val="-44"/>
              </w:rPr>
              <w:t xml:space="preserve"> </w:t>
            </w:r>
            <w:r>
              <w:rPr>
                <w:color w:val="auto"/>
                <w:spacing w:val="4"/>
              </w:rPr>
              <w:t>视</w:t>
            </w:r>
            <w:r>
              <w:rPr>
                <w:color w:val="auto"/>
              </w:rPr>
              <w:t xml:space="preserve"> </w:t>
            </w:r>
            <w:r>
              <w:rPr>
                <w:color w:val="auto"/>
                <w:spacing w:val="6"/>
              </w:rPr>
              <w:t>频设备</w:t>
            </w:r>
          </w:p>
        </w:tc>
        <w:tc>
          <w:tcPr>
            <w:tcW w:w="1967" w:type="dxa"/>
            <w:noWrap w:val="0"/>
            <w:vAlign w:val="top"/>
          </w:tcPr>
          <w:p w14:paraId="0CF9BF0A">
            <w:pPr>
              <w:spacing w:line="325" w:lineRule="auto"/>
              <w:rPr>
                <w:rFonts w:ascii="Arial"/>
                <w:color w:val="auto"/>
              </w:rPr>
            </w:pPr>
          </w:p>
          <w:p w14:paraId="3FA554A1">
            <w:pPr>
              <w:spacing w:line="326" w:lineRule="auto"/>
              <w:rPr>
                <w:rFonts w:ascii="Arial"/>
                <w:color w:val="auto"/>
              </w:rPr>
            </w:pPr>
          </w:p>
          <w:p w14:paraId="2D6CF12E">
            <w:pPr>
              <w:pStyle w:val="871"/>
              <w:spacing w:before="62" w:line="289" w:lineRule="auto"/>
              <w:ind w:left="18" w:right="10" w:hanging="9"/>
              <w:rPr>
                <w:rFonts w:hint="eastAsia"/>
                <w:color w:val="auto"/>
              </w:rPr>
            </w:pPr>
            <w:r>
              <w:rPr>
                <w:color w:val="auto"/>
                <w:spacing w:val="4"/>
              </w:rPr>
              <w:t>A02091107 视频监控</w:t>
            </w:r>
            <w:r>
              <w:rPr>
                <w:color w:val="auto"/>
                <w:spacing w:val="7"/>
              </w:rPr>
              <w:t xml:space="preserve"> </w:t>
            </w:r>
            <w:r>
              <w:rPr>
                <w:color w:val="auto"/>
                <w:spacing w:val="3"/>
              </w:rPr>
              <w:t>设备</w:t>
            </w:r>
          </w:p>
        </w:tc>
        <w:tc>
          <w:tcPr>
            <w:tcW w:w="2093" w:type="dxa"/>
            <w:noWrap w:val="0"/>
            <w:vAlign w:val="top"/>
          </w:tcPr>
          <w:p w14:paraId="33B4CF79">
            <w:pPr>
              <w:spacing w:line="268" w:lineRule="auto"/>
              <w:rPr>
                <w:rFonts w:ascii="Arial"/>
                <w:color w:val="auto"/>
              </w:rPr>
            </w:pPr>
          </w:p>
          <w:p w14:paraId="7638B89E">
            <w:pPr>
              <w:spacing w:line="269" w:lineRule="auto"/>
              <w:rPr>
                <w:rFonts w:ascii="Arial"/>
                <w:color w:val="auto"/>
              </w:rPr>
            </w:pPr>
          </w:p>
          <w:p w14:paraId="5BB5D44A">
            <w:pPr>
              <w:spacing w:line="269" w:lineRule="auto"/>
              <w:rPr>
                <w:rFonts w:ascii="Arial"/>
                <w:color w:val="auto"/>
              </w:rPr>
            </w:pPr>
          </w:p>
          <w:p w14:paraId="65E9024E">
            <w:pPr>
              <w:pStyle w:val="871"/>
              <w:spacing w:before="62" w:line="230" w:lineRule="auto"/>
              <w:ind w:left="17"/>
              <w:rPr>
                <w:rFonts w:hint="eastAsia"/>
                <w:color w:val="auto"/>
              </w:rPr>
            </w:pPr>
            <w:r>
              <w:rPr>
                <w:color w:val="auto"/>
                <w:spacing w:val="6"/>
              </w:rPr>
              <w:t>监视器</w:t>
            </w:r>
          </w:p>
        </w:tc>
        <w:tc>
          <w:tcPr>
            <w:tcW w:w="3247" w:type="dxa"/>
            <w:noWrap w:val="0"/>
            <w:vAlign w:val="top"/>
          </w:tcPr>
          <w:p w14:paraId="454D84B0">
            <w:pPr>
              <w:pStyle w:val="871"/>
              <w:spacing w:before="94" w:line="293" w:lineRule="auto"/>
              <w:ind w:left="17" w:right="11" w:firstLine="23"/>
              <w:rPr>
                <w:rFonts w:hint="eastAsia"/>
                <w:color w:val="auto"/>
                <w:lang w:eastAsia="zh-CN"/>
              </w:rPr>
            </w:pPr>
            <w:r>
              <w:rPr>
                <w:color w:val="auto"/>
                <w:spacing w:val="18"/>
                <w:lang w:eastAsia="zh-CN"/>
              </w:rPr>
              <w:t>以射频信号为主要信号输入的监</w:t>
            </w:r>
            <w:r>
              <w:rPr>
                <w:color w:val="auto"/>
                <w:lang w:eastAsia="zh-CN"/>
              </w:rPr>
              <w:t xml:space="preserve"> </w:t>
            </w:r>
            <w:r>
              <w:rPr>
                <w:color w:val="auto"/>
                <w:spacing w:val="5"/>
                <w:lang w:eastAsia="zh-CN"/>
              </w:rPr>
              <w:t>视器应符合《平板电视能效限定值</w:t>
            </w:r>
            <w:r>
              <w:rPr>
                <w:color w:val="auto"/>
                <w:spacing w:val="7"/>
                <w:lang w:eastAsia="zh-CN"/>
              </w:rPr>
              <w:t xml:space="preserve"> </w:t>
            </w:r>
            <w:r>
              <w:rPr>
                <w:color w:val="auto"/>
                <w:spacing w:val="8"/>
                <w:lang w:eastAsia="zh-CN"/>
              </w:rPr>
              <w:t>及能效等级》（</w:t>
            </w:r>
            <w:r>
              <w:rPr>
                <w:color w:val="auto"/>
                <w:lang w:eastAsia="zh-CN"/>
              </w:rPr>
              <w:t>GB</w:t>
            </w:r>
            <w:r>
              <w:rPr>
                <w:color w:val="auto"/>
                <w:spacing w:val="8"/>
                <w:lang w:eastAsia="zh-CN"/>
              </w:rPr>
              <w:t xml:space="preserve"> 24850</w:t>
            </w:r>
            <w:r>
              <w:rPr>
                <w:color w:val="auto"/>
                <w:lang w:eastAsia="zh-CN"/>
              </w:rPr>
              <w:t>），</w:t>
            </w:r>
          </w:p>
          <w:p w14:paraId="78A556FD">
            <w:pPr>
              <w:pStyle w:val="871"/>
              <w:spacing w:before="31" w:line="290" w:lineRule="auto"/>
              <w:ind w:left="17" w:right="11" w:firstLine="23"/>
              <w:rPr>
                <w:rFonts w:hint="eastAsia"/>
                <w:color w:val="auto"/>
                <w:lang w:eastAsia="zh-CN"/>
              </w:rPr>
            </w:pPr>
            <w:r>
              <w:rPr>
                <w:color w:val="auto"/>
                <w:spacing w:val="18"/>
                <w:lang w:eastAsia="zh-CN"/>
              </w:rPr>
              <w:t>以数字信号为主要信号输入的监</w:t>
            </w:r>
            <w:r>
              <w:rPr>
                <w:color w:val="auto"/>
                <w:lang w:eastAsia="zh-CN"/>
              </w:rPr>
              <w:t xml:space="preserve"> </w:t>
            </w:r>
            <w:r>
              <w:rPr>
                <w:color w:val="auto"/>
                <w:spacing w:val="5"/>
                <w:lang w:eastAsia="zh-CN"/>
              </w:rPr>
              <w:t>视器应符合《计算机显示器能效限</w:t>
            </w:r>
            <w:r>
              <w:rPr>
                <w:color w:val="auto"/>
                <w:spacing w:val="7"/>
                <w:lang w:eastAsia="zh-CN"/>
              </w:rPr>
              <w:t xml:space="preserve"> 定值及能效等级》（</w:t>
            </w:r>
            <w:r>
              <w:rPr>
                <w:color w:val="auto"/>
                <w:lang w:eastAsia="zh-CN"/>
              </w:rPr>
              <w:t>GB</w:t>
            </w:r>
            <w:r>
              <w:rPr>
                <w:color w:val="auto"/>
                <w:spacing w:val="7"/>
                <w:lang w:eastAsia="zh-CN"/>
              </w:rPr>
              <w:t xml:space="preserve"> 21520）</w:t>
            </w:r>
          </w:p>
        </w:tc>
      </w:tr>
      <w:tr w14:paraId="1F813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632" w:type="dxa"/>
            <w:noWrap w:val="0"/>
            <w:vAlign w:val="top"/>
          </w:tcPr>
          <w:p w14:paraId="68F011E9">
            <w:pPr>
              <w:spacing w:line="265" w:lineRule="auto"/>
              <w:rPr>
                <w:rFonts w:ascii="Arial"/>
                <w:color w:val="auto"/>
              </w:rPr>
            </w:pPr>
          </w:p>
          <w:p w14:paraId="3B67D2AD">
            <w:pPr>
              <w:pStyle w:val="871"/>
              <w:spacing w:before="62" w:line="190" w:lineRule="auto"/>
              <w:ind w:left="209"/>
              <w:rPr>
                <w:rFonts w:hint="eastAsia"/>
                <w:color w:val="auto"/>
              </w:rPr>
            </w:pPr>
            <w:r>
              <w:rPr>
                <w:color w:val="auto"/>
                <w:spacing w:val="-7"/>
              </w:rPr>
              <w:t>14</w:t>
            </w:r>
          </w:p>
        </w:tc>
        <w:tc>
          <w:tcPr>
            <w:tcW w:w="1275" w:type="dxa"/>
            <w:noWrap w:val="0"/>
            <w:vAlign w:val="top"/>
          </w:tcPr>
          <w:p w14:paraId="37F75A7E">
            <w:pPr>
              <w:pStyle w:val="871"/>
              <w:spacing w:before="141" w:line="288" w:lineRule="auto"/>
              <w:ind w:left="15" w:right="8" w:hanging="6"/>
              <w:rPr>
                <w:rFonts w:hint="eastAsia"/>
                <w:color w:val="auto"/>
              </w:rPr>
            </w:pPr>
            <w:r>
              <w:rPr>
                <w:color w:val="auto"/>
                <w:spacing w:val="5"/>
              </w:rPr>
              <w:t>A031210</w:t>
            </w:r>
            <w:r>
              <w:rPr>
                <w:color w:val="auto"/>
                <w:spacing w:val="-43"/>
              </w:rPr>
              <w:t xml:space="preserve"> </w:t>
            </w:r>
            <w:r>
              <w:rPr>
                <w:color w:val="auto"/>
                <w:spacing w:val="5"/>
              </w:rPr>
              <w:t>饮食</w:t>
            </w:r>
            <w:r>
              <w:rPr>
                <w:color w:val="auto"/>
              </w:rPr>
              <w:t xml:space="preserve"> </w:t>
            </w:r>
            <w:r>
              <w:rPr>
                <w:color w:val="auto"/>
                <w:spacing w:val="7"/>
              </w:rPr>
              <w:t>炊事机械</w:t>
            </w:r>
          </w:p>
        </w:tc>
        <w:tc>
          <w:tcPr>
            <w:tcW w:w="1967" w:type="dxa"/>
            <w:noWrap w:val="0"/>
            <w:vAlign w:val="top"/>
          </w:tcPr>
          <w:p w14:paraId="242FF51A">
            <w:pPr>
              <w:pStyle w:val="871"/>
              <w:spacing w:before="297" w:line="230" w:lineRule="auto"/>
              <w:ind w:left="19"/>
              <w:rPr>
                <w:rFonts w:hint="eastAsia"/>
                <w:color w:val="auto"/>
              </w:rPr>
            </w:pPr>
            <w:r>
              <w:rPr>
                <w:color w:val="auto"/>
                <w:spacing w:val="7"/>
              </w:rPr>
              <w:t>商用燃气灶具</w:t>
            </w:r>
          </w:p>
        </w:tc>
        <w:tc>
          <w:tcPr>
            <w:tcW w:w="2093" w:type="dxa"/>
            <w:noWrap w:val="0"/>
            <w:vAlign w:val="top"/>
          </w:tcPr>
          <w:p w14:paraId="01A8280B">
            <w:pPr>
              <w:rPr>
                <w:rFonts w:ascii="Arial"/>
                <w:color w:val="auto"/>
              </w:rPr>
            </w:pPr>
          </w:p>
        </w:tc>
        <w:tc>
          <w:tcPr>
            <w:tcW w:w="3247" w:type="dxa"/>
            <w:noWrap w:val="0"/>
            <w:vAlign w:val="top"/>
          </w:tcPr>
          <w:p w14:paraId="70CA76D3">
            <w:pPr>
              <w:pStyle w:val="871"/>
              <w:spacing w:before="142" w:line="288" w:lineRule="auto"/>
              <w:ind w:left="22" w:right="11"/>
              <w:rPr>
                <w:rFonts w:hint="eastAsia"/>
                <w:color w:val="auto"/>
                <w:lang w:eastAsia="zh-CN"/>
              </w:rPr>
            </w:pPr>
            <w:r>
              <w:rPr>
                <w:color w:val="auto"/>
                <w:spacing w:val="19"/>
                <w:lang w:eastAsia="zh-CN"/>
              </w:rPr>
              <w:t>《商用燃气灶具能效限定值及能</w:t>
            </w:r>
            <w:r>
              <w:rPr>
                <w:color w:val="auto"/>
                <w:spacing w:val="2"/>
                <w:lang w:eastAsia="zh-CN"/>
              </w:rPr>
              <w:t xml:space="preserve"> </w:t>
            </w:r>
            <w:r>
              <w:rPr>
                <w:color w:val="auto"/>
                <w:spacing w:val="6"/>
                <w:lang w:eastAsia="zh-CN"/>
              </w:rPr>
              <w:t>效等级》（</w:t>
            </w:r>
            <w:r>
              <w:rPr>
                <w:color w:val="auto"/>
                <w:lang w:eastAsia="zh-CN"/>
              </w:rPr>
              <w:t>GB</w:t>
            </w:r>
            <w:r>
              <w:rPr>
                <w:color w:val="auto"/>
                <w:spacing w:val="6"/>
                <w:lang w:eastAsia="zh-CN"/>
              </w:rPr>
              <w:t xml:space="preserve"> 30531）</w:t>
            </w:r>
          </w:p>
        </w:tc>
      </w:tr>
      <w:tr w14:paraId="38120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632" w:type="dxa"/>
            <w:vMerge w:val="restart"/>
            <w:tcBorders>
              <w:bottom w:val="nil"/>
            </w:tcBorders>
            <w:noWrap w:val="0"/>
            <w:vAlign w:val="top"/>
          </w:tcPr>
          <w:p w14:paraId="3D6E324F">
            <w:pPr>
              <w:spacing w:line="298" w:lineRule="auto"/>
              <w:rPr>
                <w:rFonts w:ascii="Arial"/>
                <w:color w:val="auto"/>
              </w:rPr>
            </w:pPr>
          </w:p>
          <w:p w14:paraId="6D45E02A">
            <w:pPr>
              <w:spacing w:line="298" w:lineRule="auto"/>
              <w:rPr>
                <w:rFonts w:ascii="Arial"/>
                <w:color w:val="auto"/>
              </w:rPr>
            </w:pPr>
          </w:p>
          <w:p w14:paraId="668916F5">
            <w:pPr>
              <w:spacing w:line="298" w:lineRule="auto"/>
              <w:rPr>
                <w:rFonts w:ascii="Arial"/>
                <w:color w:val="auto"/>
              </w:rPr>
            </w:pPr>
          </w:p>
          <w:p w14:paraId="2126CDFC">
            <w:pPr>
              <w:spacing w:line="299" w:lineRule="auto"/>
              <w:rPr>
                <w:rFonts w:ascii="Arial"/>
                <w:color w:val="auto"/>
              </w:rPr>
            </w:pPr>
          </w:p>
          <w:p w14:paraId="1A0DECD1">
            <w:pPr>
              <w:pStyle w:val="871"/>
              <w:spacing w:before="62" w:line="190" w:lineRule="auto"/>
              <w:ind w:left="209"/>
              <w:rPr>
                <w:rFonts w:hint="eastAsia"/>
                <w:color w:val="auto"/>
              </w:rPr>
            </w:pPr>
            <w:r>
              <w:rPr>
                <w:color w:val="auto"/>
                <w:spacing w:val="-7"/>
              </w:rPr>
              <w:t>15</w:t>
            </w:r>
          </w:p>
        </w:tc>
        <w:tc>
          <w:tcPr>
            <w:tcW w:w="1275" w:type="dxa"/>
            <w:vMerge w:val="restart"/>
            <w:tcBorders>
              <w:bottom w:val="nil"/>
            </w:tcBorders>
            <w:noWrap w:val="0"/>
            <w:vAlign w:val="top"/>
          </w:tcPr>
          <w:p w14:paraId="3BFFAC93">
            <w:pPr>
              <w:spacing w:line="251" w:lineRule="auto"/>
              <w:rPr>
                <w:rFonts w:ascii="Arial"/>
                <w:color w:val="auto"/>
              </w:rPr>
            </w:pPr>
          </w:p>
          <w:p w14:paraId="0024E6AA">
            <w:pPr>
              <w:spacing w:line="251" w:lineRule="auto"/>
              <w:rPr>
                <w:rFonts w:ascii="Arial"/>
                <w:color w:val="auto"/>
              </w:rPr>
            </w:pPr>
          </w:p>
          <w:p w14:paraId="7ECBF92C">
            <w:pPr>
              <w:spacing w:line="252" w:lineRule="auto"/>
              <w:rPr>
                <w:rFonts w:ascii="Arial"/>
                <w:color w:val="auto"/>
              </w:rPr>
            </w:pPr>
          </w:p>
          <w:p w14:paraId="4B92EE7F">
            <w:pPr>
              <w:pStyle w:val="871"/>
              <w:spacing w:before="62" w:line="291" w:lineRule="auto"/>
              <w:ind w:left="15" w:right="8" w:firstLine="3"/>
              <w:rPr>
                <w:rFonts w:hint="eastAsia"/>
                <w:color w:val="auto"/>
              </w:rPr>
            </w:pPr>
            <w:r>
              <w:rPr>
                <w:color w:val="auto"/>
                <w:spacing w:val="3"/>
              </w:rPr>
              <w:t>★A060805</w:t>
            </w:r>
            <w:r>
              <w:rPr>
                <w:color w:val="auto"/>
                <w:spacing w:val="-35"/>
              </w:rPr>
              <w:t xml:space="preserve"> </w:t>
            </w:r>
            <w:r>
              <w:rPr>
                <w:color w:val="auto"/>
                <w:spacing w:val="3"/>
              </w:rPr>
              <w:t>便</w:t>
            </w:r>
            <w:r>
              <w:rPr>
                <w:color w:val="auto"/>
              </w:rPr>
              <w:t xml:space="preserve"> </w:t>
            </w:r>
            <w:r>
              <w:rPr>
                <w:color w:val="auto"/>
                <w:spacing w:val="1"/>
              </w:rPr>
              <w:t>器</w:t>
            </w:r>
          </w:p>
        </w:tc>
        <w:tc>
          <w:tcPr>
            <w:tcW w:w="1967" w:type="dxa"/>
            <w:noWrap w:val="0"/>
            <w:vAlign w:val="top"/>
          </w:tcPr>
          <w:p w14:paraId="5FEFD427">
            <w:pPr>
              <w:spacing w:line="282" w:lineRule="auto"/>
              <w:rPr>
                <w:rFonts w:ascii="Arial"/>
                <w:color w:val="auto"/>
              </w:rPr>
            </w:pPr>
          </w:p>
          <w:p w14:paraId="21C06D9A">
            <w:pPr>
              <w:pStyle w:val="871"/>
              <w:spacing w:before="62" w:line="229" w:lineRule="auto"/>
              <w:ind w:left="16"/>
              <w:rPr>
                <w:rFonts w:hint="eastAsia"/>
                <w:color w:val="auto"/>
              </w:rPr>
            </w:pPr>
            <w:r>
              <w:rPr>
                <w:color w:val="auto"/>
                <w:spacing w:val="6"/>
              </w:rPr>
              <w:t>坐便器</w:t>
            </w:r>
          </w:p>
        </w:tc>
        <w:tc>
          <w:tcPr>
            <w:tcW w:w="2093" w:type="dxa"/>
            <w:noWrap w:val="0"/>
            <w:vAlign w:val="top"/>
          </w:tcPr>
          <w:p w14:paraId="53CE6778">
            <w:pPr>
              <w:rPr>
                <w:rFonts w:ascii="Arial"/>
                <w:color w:val="auto"/>
              </w:rPr>
            </w:pPr>
          </w:p>
        </w:tc>
        <w:tc>
          <w:tcPr>
            <w:tcW w:w="3247" w:type="dxa"/>
            <w:noWrap w:val="0"/>
            <w:vAlign w:val="top"/>
          </w:tcPr>
          <w:p w14:paraId="39029AC8">
            <w:pPr>
              <w:pStyle w:val="871"/>
              <w:spacing w:before="189" w:line="295" w:lineRule="auto"/>
              <w:ind w:left="27" w:hanging="4"/>
              <w:rPr>
                <w:rFonts w:hint="eastAsia"/>
                <w:color w:val="auto"/>
                <w:lang w:eastAsia="zh-CN"/>
              </w:rPr>
            </w:pPr>
            <w:r>
              <w:rPr>
                <w:color w:val="auto"/>
                <w:spacing w:val="6"/>
                <w:lang w:eastAsia="zh-CN"/>
              </w:rPr>
              <w:t>《坐便器水效限定值及水效等级》</w:t>
            </w:r>
            <w:r>
              <w:rPr>
                <w:color w:val="auto"/>
                <w:lang w:eastAsia="zh-CN"/>
              </w:rPr>
              <w:t xml:space="preserve"> </w:t>
            </w:r>
            <w:r>
              <w:rPr>
                <w:color w:val="auto"/>
                <w:spacing w:val="1"/>
                <w:lang w:eastAsia="zh-CN"/>
              </w:rPr>
              <w:t>（</w:t>
            </w:r>
            <w:r>
              <w:rPr>
                <w:color w:val="auto"/>
                <w:lang w:eastAsia="zh-CN"/>
              </w:rPr>
              <w:t>GB</w:t>
            </w:r>
            <w:r>
              <w:rPr>
                <w:color w:val="auto"/>
                <w:spacing w:val="15"/>
                <w:lang w:eastAsia="zh-CN"/>
              </w:rPr>
              <w:t xml:space="preserve"> </w:t>
            </w:r>
            <w:r>
              <w:rPr>
                <w:color w:val="auto"/>
                <w:spacing w:val="1"/>
                <w:lang w:eastAsia="zh-CN"/>
              </w:rPr>
              <w:t>25502）</w:t>
            </w:r>
          </w:p>
        </w:tc>
      </w:tr>
      <w:tr w14:paraId="516E2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632" w:type="dxa"/>
            <w:vMerge w:val="continue"/>
            <w:tcBorders>
              <w:top w:val="nil"/>
              <w:bottom w:val="nil"/>
            </w:tcBorders>
            <w:noWrap w:val="0"/>
            <w:vAlign w:val="top"/>
          </w:tcPr>
          <w:p w14:paraId="2B1A236F">
            <w:pPr>
              <w:rPr>
                <w:rFonts w:ascii="Arial"/>
                <w:color w:val="auto"/>
              </w:rPr>
            </w:pPr>
          </w:p>
        </w:tc>
        <w:tc>
          <w:tcPr>
            <w:tcW w:w="1275" w:type="dxa"/>
            <w:vMerge w:val="continue"/>
            <w:tcBorders>
              <w:top w:val="nil"/>
              <w:bottom w:val="nil"/>
            </w:tcBorders>
            <w:noWrap w:val="0"/>
            <w:vAlign w:val="top"/>
          </w:tcPr>
          <w:p w14:paraId="6C72BDA9">
            <w:pPr>
              <w:rPr>
                <w:rFonts w:ascii="Arial"/>
                <w:color w:val="auto"/>
              </w:rPr>
            </w:pPr>
          </w:p>
        </w:tc>
        <w:tc>
          <w:tcPr>
            <w:tcW w:w="1967" w:type="dxa"/>
            <w:noWrap w:val="0"/>
            <w:vAlign w:val="top"/>
          </w:tcPr>
          <w:p w14:paraId="0A0D6921">
            <w:pPr>
              <w:spacing w:line="283" w:lineRule="auto"/>
              <w:rPr>
                <w:rFonts w:ascii="Arial"/>
                <w:color w:val="auto"/>
              </w:rPr>
            </w:pPr>
          </w:p>
          <w:p w14:paraId="7E878CEA">
            <w:pPr>
              <w:pStyle w:val="871"/>
              <w:spacing w:before="62" w:line="229" w:lineRule="auto"/>
              <w:ind w:left="14"/>
              <w:rPr>
                <w:rFonts w:hint="eastAsia"/>
                <w:color w:val="auto"/>
              </w:rPr>
            </w:pPr>
            <w:r>
              <w:rPr>
                <w:color w:val="auto"/>
                <w:spacing w:val="6"/>
              </w:rPr>
              <w:t>蹲便器</w:t>
            </w:r>
          </w:p>
        </w:tc>
        <w:tc>
          <w:tcPr>
            <w:tcW w:w="2093" w:type="dxa"/>
            <w:noWrap w:val="0"/>
            <w:vAlign w:val="top"/>
          </w:tcPr>
          <w:p w14:paraId="35A5E45B">
            <w:pPr>
              <w:rPr>
                <w:rFonts w:ascii="Arial"/>
                <w:color w:val="auto"/>
              </w:rPr>
            </w:pPr>
          </w:p>
        </w:tc>
        <w:tc>
          <w:tcPr>
            <w:tcW w:w="3247" w:type="dxa"/>
            <w:noWrap w:val="0"/>
            <w:vAlign w:val="top"/>
          </w:tcPr>
          <w:p w14:paraId="160648FF">
            <w:pPr>
              <w:pStyle w:val="871"/>
              <w:spacing w:before="191" w:line="288" w:lineRule="auto"/>
              <w:ind w:left="22" w:right="11"/>
              <w:rPr>
                <w:rFonts w:hint="eastAsia"/>
                <w:color w:val="auto"/>
                <w:lang w:eastAsia="zh-CN"/>
              </w:rPr>
            </w:pPr>
            <w:r>
              <w:rPr>
                <w:color w:val="auto"/>
                <w:spacing w:val="19"/>
                <w:lang w:eastAsia="zh-CN"/>
              </w:rPr>
              <w:t>《蹲便器用水效率限定值及用水</w:t>
            </w:r>
            <w:r>
              <w:rPr>
                <w:color w:val="auto"/>
                <w:spacing w:val="2"/>
                <w:lang w:eastAsia="zh-CN"/>
              </w:rPr>
              <w:t xml:space="preserve"> </w:t>
            </w:r>
            <w:r>
              <w:rPr>
                <w:color w:val="auto"/>
                <w:spacing w:val="6"/>
                <w:lang w:eastAsia="zh-CN"/>
              </w:rPr>
              <w:t>效率等级》（</w:t>
            </w:r>
            <w:r>
              <w:rPr>
                <w:color w:val="auto"/>
                <w:lang w:eastAsia="zh-CN"/>
              </w:rPr>
              <w:t>GB</w:t>
            </w:r>
            <w:r>
              <w:rPr>
                <w:color w:val="auto"/>
                <w:spacing w:val="6"/>
                <w:lang w:eastAsia="zh-CN"/>
              </w:rPr>
              <w:t xml:space="preserve"> 30717）</w:t>
            </w:r>
          </w:p>
        </w:tc>
      </w:tr>
      <w:tr w14:paraId="4606F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632" w:type="dxa"/>
            <w:vMerge w:val="continue"/>
            <w:tcBorders>
              <w:top w:val="nil"/>
            </w:tcBorders>
            <w:noWrap w:val="0"/>
            <w:vAlign w:val="top"/>
          </w:tcPr>
          <w:p w14:paraId="03847162">
            <w:pPr>
              <w:rPr>
                <w:rFonts w:ascii="Arial"/>
                <w:color w:val="auto"/>
              </w:rPr>
            </w:pPr>
          </w:p>
        </w:tc>
        <w:tc>
          <w:tcPr>
            <w:tcW w:w="1275" w:type="dxa"/>
            <w:vMerge w:val="continue"/>
            <w:tcBorders>
              <w:top w:val="nil"/>
            </w:tcBorders>
            <w:noWrap w:val="0"/>
            <w:vAlign w:val="top"/>
          </w:tcPr>
          <w:p w14:paraId="41BA5131">
            <w:pPr>
              <w:rPr>
                <w:rFonts w:ascii="Arial"/>
                <w:color w:val="auto"/>
              </w:rPr>
            </w:pPr>
          </w:p>
        </w:tc>
        <w:tc>
          <w:tcPr>
            <w:tcW w:w="1967" w:type="dxa"/>
            <w:noWrap w:val="0"/>
            <w:vAlign w:val="top"/>
          </w:tcPr>
          <w:p w14:paraId="702DC2CA">
            <w:pPr>
              <w:spacing w:line="284" w:lineRule="auto"/>
              <w:rPr>
                <w:rFonts w:ascii="Arial"/>
                <w:color w:val="auto"/>
              </w:rPr>
            </w:pPr>
          </w:p>
          <w:p w14:paraId="6B8A424D">
            <w:pPr>
              <w:pStyle w:val="871"/>
              <w:spacing w:before="61" w:line="229" w:lineRule="auto"/>
              <w:ind w:left="20"/>
              <w:rPr>
                <w:rFonts w:hint="eastAsia"/>
                <w:color w:val="auto"/>
              </w:rPr>
            </w:pPr>
            <w:r>
              <w:rPr>
                <w:color w:val="auto"/>
                <w:spacing w:val="4"/>
              </w:rPr>
              <w:t>小便器</w:t>
            </w:r>
          </w:p>
        </w:tc>
        <w:tc>
          <w:tcPr>
            <w:tcW w:w="2093" w:type="dxa"/>
            <w:noWrap w:val="0"/>
            <w:vAlign w:val="top"/>
          </w:tcPr>
          <w:p w14:paraId="414E6098">
            <w:pPr>
              <w:rPr>
                <w:rFonts w:ascii="Arial"/>
                <w:color w:val="auto"/>
              </w:rPr>
            </w:pPr>
          </w:p>
        </w:tc>
        <w:tc>
          <w:tcPr>
            <w:tcW w:w="3247" w:type="dxa"/>
            <w:noWrap w:val="0"/>
            <w:vAlign w:val="top"/>
          </w:tcPr>
          <w:p w14:paraId="1F7E53F2">
            <w:pPr>
              <w:pStyle w:val="871"/>
              <w:spacing w:before="191" w:line="288" w:lineRule="auto"/>
              <w:ind w:left="22" w:right="11"/>
              <w:rPr>
                <w:rFonts w:hint="eastAsia"/>
                <w:color w:val="auto"/>
                <w:lang w:eastAsia="zh-CN"/>
              </w:rPr>
            </w:pPr>
            <w:r>
              <w:rPr>
                <w:color w:val="auto"/>
                <w:spacing w:val="19"/>
                <w:lang w:eastAsia="zh-CN"/>
              </w:rPr>
              <w:t>《小便器用水效率限定值及用水</w:t>
            </w:r>
            <w:r>
              <w:rPr>
                <w:color w:val="auto"/>
                <w:spacing w:val="2"/>
                <w:lang w:eastAsia="zh-CN"/>
              </w:rPr>
              <w:t xml:space="preserve"> </w:t>
            </w:r>
            <w:r>
              <w:rPr>
                <w:color w:val="auto"/>
                <w:spacing w:val="6"/>
                <w:lang w:eastAsia="zh-CN"/>
              </w:rPr>
              <w:t>效率等级》（</w:t>
            </w:r>
            <w:r>
              <w:rPr>
                <w:color w:val="auto"/>
                <w:lang w:eastAsia="zh-CN"/>
              </w:rPr>
              <w:t>GB</w:t>
            </w:r>
            <w:r>
              <w:rPr>
                <w:color w:val="auto"/>
                <w:spacing w:val="6"/>
                <w:lang w:eastAsia="zh-CN"/>
              </w:rPr>
              <w:t xml:space="preserve"> 28377）</w:t>
            </w:r>
          </w:p>
        </w:tc>
      </w:tr>
    </w:tbl>
    <w:p w14:paraId="73F40E64">
      <w:pPr>
        <w:rPr>
          <w:rFonts w:ascii="Arial"/>
          <w:color w:val="auto"/>
        </w:rPr>
      </w:pPr>
    </w:p>
    <w:p w14:paraId="40CE3E24">
      <w:pPr>
        <w:rPr>
          <w:rFonts w:ascii="Arial" w:hAnsi="Arial" w:eastAsia="Arial" w:cs="Arial"/>
          <w:color w:val="auto"/>
          <w:szCs w:val="21"/>
        </w:rPr>
        <w:sectPr>
          <w:pgSz w:w="11906" w:h="16838"/>
          <w:pgMar w:top="1431" w:right="1691" w:bottom="0" w:left="1783" w:header="0" w:footer="0" w:gutter="0"/>
          <w:cols w:space="720" w:num="1"/>
        </w:sectPr>
      </w:pPr>
    </w:p>
    <w:p w14:paraId="3FF0D351">
      <w:pPr>
        <w:spacing w:line="91" w:lineRule="auto"/>
        <w:rPr>
          <w:rFonts w:ascii="Arial"/>
          <w:color w:val="auto"/>
          <w:sz w:val="2"/>
        </w:rPr>
      </w:pPr>
    </w:p>
    <w:tbl>
      <w:tblPr>
        <w:tblStyle w:val="89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19ECE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632" w:type="dxa"/>
            <w:noWrap w:val="0"/>
            <w:vAlign w:val="top"/>
          </w:tcPr>
          <w:p w14:paraId="32E0BA94">
            <w:pPr>
              <w:spacing w:line="342" w:lineRule="auto"/>
              <w:rPr>
                <w:rFonts w:ascii="Arial"/>
                <w:color w:val="auto"/>
              </w:rPr>
            </w:pPr>
          </w:p>
          <w:p w14:paraId="009F90FF">
            <w:pPr>
              <w:pStyle w:val="871"/>
              <w:spacing w:before="62" w:line="190" w:lineRule="auto"/>
              <w:ind w:left="209"/>
              <w:rPr>
                <w:rFonts w:hint="eastAsia"/>
                <w:color w:val="auto"/>
              </w:rPr>
            </w:pPr>
            <w:r>
              <w:rPr>
                <w:color w:val="auto"/>
                <w:spacing w:val="-7"/>
              </w:rPr>
              <w:t>16</w:t>
            </w:r>
          </w:p>
        </w:tc>
        <w:tc>
          <w:tcPr>
            <w:tcW w:w="1275" w:type="dxa"/>
            <w:noWrap w:val="0"/>
            <w:vAlign w:val="top"/>
          </w:tcPr>
          <w:p w14:paraId="6853989C">
            <w:pPr>
              <w:pStyle w:val="871"/>
              <w:spacing w:before="220" w:line="288" w:lineRule="auto"/>
              <w:ind w:left="22" w:right="8" w:hanging="4"/>
              <w:rPr>
                <w:rFonts w:hint="eastAsia"/>
                <w:color w:val="auto"/>
              </w:rPr>
            </w:pPr>
            <w:r>
              <w:rPr>
                <w:color w:val="auto"/>
                <w:spacing w:val="3"/>
              </w:rPr>
              <w:t>★A060806</w:t>
            </w:r>
            <w:r>
              <w:rPr>
                <w:color w:val="auto"/>
                <w:spacing w:val="-35"/>
              </w:rPr>
              <w:t xml:space="preserve"> </w:t>
            </w:r>
            <w:r>
              <w:rPr>
                <w:color w:val="auto"/>
                <w:spacing w:val="3"/>
              </w:rPr>
              <w:t>水</w:t>
            </w:r>
            <w:r>
              <w:rPr>
                <w:color w:val="auto"/>
              </w:rPr>
              <w:t xml:space="preserve"> 嘴</w:t>
            </w:r>
          </w:p>
        </w:tc>
        <w:tc>
          <w:tcPr>
            <w:tcW w:w="1967" w:type="dxa"/>
            <w:noWrap w:val="0"/>
            <w:vAlign w:val="top"/>
          </w:tcPr>
          <w:p w14:paraId="170B2EF7">
            <w:pPr>
              <w:rPr>
                <w:rFonts w:ascii="Arial"/>
                <w:color w:val="auto"/>
              </w:rPr>
            </w:pPr>
          </w:p>
        </w:tc>
        <w:tc>
          <w:tcPr>
            <w:tcW w:w="2093" w:type="dxa"/>
            <w:noWrap w:val="0"/>
            <w:vAlign w:val="top"/>
          </w:tcPr>
          <w:p w14:paraId="5B4D41FD">
            <w:pPr>
              <w:rPr>
                <w:rFonts w:ascii="Arial"/>
                <w:color w:val="auto"/>
              </w:rPr>
            </w:pPr>
          </w:p>
        </w:tc>
        <w:tc>
          <w:tcPr>
            <w:tcW w:w="3247" w:type="dxa"/>
            <w:noWrap w:val="0"/>
            <w:vAlign w:val="top"/>
          </w:tcPr>
          <w:p w14:paraId="04A88D04">
            <w:pPr>
              <w:pStyle w:val="871"/>
              <w:spacing w:before="220" w:line="288" w:lineRule="auto"/>
              <w:ind w:left="19" w:right="11" w:firstLine="3"/>
              <w:rPr>
                <w:rFonts w:hint="eastAsia"/>
                <w:color w:val="auto"/>
                <w:lang w:eastAsia="zh-CN"/>
              </w:rPr>
            </w:pPr>
            <w:r>
              <w:rPr>
                <w:color w:val="auto"/>
                <w:spacing w:val="19"/>
                <w:lang w:eastAsia="zh-CN"/>
              </w:rPr>
              <w:t>《水嘴用水效率限定值及用水效</w:t>
            </w:r>
            <w:r>
              <w:rPr>
                <w:color w:val="auto"/>
                <w:spacing w:val="2"/>
                <w:lang w:eastAsia="zh-CN"/>
              </w:rPr>
              <w:t xml:space="preserve"> </w:t>
            </w:r>
            <w:r>
              <w:rPr>
                <w:color w:val="auto"/>
                <w:spacing w:val="6"/>
                <w:lang w:eastAsia="zh-CN"/>
              </w:rPr>
              <w:t>率等级》（</w:t>
            </w:r>
            <w:r>
              <w:rPr>
                <w:color w:val="auto"/>
                <w:lang w:eastAsia="zh-CN"/>
              </w:rPr>
              <w:t>GB</w:t>
            </w:r>
            <w:r>
              <w:rPr>
                <w:color w:val="auto"/>
                <w:spacing w:val="6"/>
                <w:lang w:eastAsia="zh-CN"/>
              </w:rPr>
              <w:t xml:space="preserve"> 25501）</w:t>
            </w:r>
          </w:p>
        </w:tc>
      </w:tr>
      <w:tr w14:paraId="1BEB7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632" w:type="dxa"/>
            <w:noWrap w:val="0"/>
            <w:vAlign w:val="top"/>
          </w:tcPr>
          <w:p w14:paraId="1C38F5A6">
            <w:pPr>
              <w:spacing w:line="299" w:lineRule="auto"/>
              <w:rPr>
                <w:rFonts w:ascii="Arial"/>
                <w:color w:val="auto"/>
              </w:rPr>
            </w:pPr>
          </w:p>
          <w:p w14:paraId="03603BF0">
            <w:pPr>
              <w:pStyle w:val="871"/>
              <w:spacing w:before="62" w:line="190" w:lineRule="auto"/>
              <w:ind w:left="209"/>
              <w:rPr>
                <w:rFonts w:hint="eastAsia"/>
                <w:color w:val="auto"/>
              </w:rPr>
            </w:pPr>
            <w:r>
              <w:rPr>
                <w:color w:val="auto"/>
                <w:spacing w:val="-7"/>
              </w:rPr>
              <w:t>17</w:t>
            </w:r>
          </w:p>
        </w:tc>
        <w:tc>
          <w:tcPr>
            <w:tcW w:w="1275" w:type="dxa"/>
            <w:noWrap w:val="0"/>
            <w:vAlign w:val="top"/>
          </w:tcPr>
          <w:p w14:paraId="2089C081">
            <w:pPr>
              <w:pStyle w:val="871"/>
              <w:spacing w:before="176" w:line="289" w:lineRule="auto"/>
              <w:ind w:left="15" w:right="8" w:hanging="6"/>
              <w:rPr>
                <w:rFonts w:hint="eastAsia"/>
                <w:color w:val="auto"/>
              </w:rPr>
            </w:pPr>
            <w:r>
              <w:rPr>
                <w:color w:val="auto"/>
                <w:spacing w:val="5"/>
              </w:rPr>
              <w:t>A060807</w:t>
            </w:r>
            <w:r>
              <w:rPr>
                <w:color w:val="auto"/>
                <w:spacing w:val="-43"/>
              </w:rPr>
              <w:t xml:space="preserve"> </w:t>
            </w:r>
            <w:r>
              <w:rPr>
                <w:color w:val="auto"/>
                <w:spacing w:val="5"/>
              </w:rPr>
              <w:t>便器</w:t>
            </w:r>
            <w:r>
              <w:rPr>
                <w:color w:val="auto"/>
              </w:rPr>
              <w:t xml:space="preserve"> </w:t>
            </w:r>
            <w:r>
              <w:rPr>
                <w:color w:val="auto"/>
                <w:spacing w:val="6"/>
              </w:rPr>
              <w:t>冲洗阀</w:t>
            </w:r>
          </w:p>
        </w:tc>
        <w:tc>
          <w:tcPr>
            <w:tcW w:w="1967" w:type="dxa"/>
            <w:noWrap w:val="0"/>
            <w:vAlign w:val="top"/>
          </w:tcPr>
          <w:p w14:paraId="1BBCC5B9">
            <w:pPr>
              <w:rPr>
                <w:rFonts w:ascii="Arial"/>
                <w:color w:val="auto"/>
              </w:rPr>
            </w:pPr>
          </w:p>
        </w:tc>
        <w:tc>
          <w:tcPr>
            <w:tcW w:w="2093" w:type="dxa"/>
            <w:noWrap w:val="0"/>
            <w:vAlign w:val="top"/>
          </w:tcPr>
          <w:p w14:paraId="7B3F67B5">
            <w:pPr>
              <w:rPr>
                <w:rFonts w:ascii="Arial"/>
                <w:color w:val="auto"/>
              </w:rPr>
            </w:pPr>
          </w:p>
        </w:tc>
        <w:tc>
          <w:tcPr>
            <w:tcW w:w="3247" w:type="dxa"/>
            <w:noWrap w:val="0"/>
            <w:vAlign w:val="top"/>
          </w:tcPr>
          <w:p w14:paraId="2D4ABCC3">
            <w:pPr>
              <w:pStyle w:val="871"/>
              <w:spacing w:before="176" w:line="288" w:lineRule="auto"/>
              <w:ind w:left="19" w:right="11" w:firstLine="3"/>
              <w:rPr>
                <w:rFonts w:hint="eastAsia"/>
                <w:color w:val="auto"/>
                <w:lang w:eastAsia="zh-CN"/>
              </w:rPr>
            </w:pPr>
            <w:r>
              <w:rPr>
                <w:color w:val="auto"/>
                <w:spacing w:val="19"/>
                <w:lang w:eastAsia="zh-CN"/>
              </w:rPr>
              <w:t>《便器冲洗阀用水效率限定值及</w:t>
            </w:r>
            <w:r>
              <w:rPr>
                <w:color w:val="auto"/>
                <w:spacing w:val="2"/>
                <w:lang w:eastAsia="zh-CN"/>
              </w:rPr>
              <w:t xml:space="preserve"> </w:t>
            </w:r>
            <w:r>
              <w:rPr>
                <w:color w:val="auto"/>
                <w:spacing w:val="7"/>
                <w:lang w:eastAsia="zh-CN"/>
              </w:rPr>
              <w:t>用水效率等级》（</w:t>
            </w:r>
            <w:r>
              <w:rPr>
                <w:color w:val="auto"/>
                <w:lang w:eastAsia="zh-CN"/>
              </w:rPr>
              <w:t>GB</w:t>
            </w:r>
            <w:r>
              <w:rPr>
                <w:color w:val="auto"/>
                <w:spacing w:val="7"/>
                <w:lang w:eastAsia="zh-CN"/>
              </w:rPr>
              <w:t xml:space="preserve"> 28379）</w:t>
            </w:r>
          </w:p>
        </w:tc>
      </w:tr>
      <w:tr w14:paraId="2BBAC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632" w:type="dxa"/>
            <w:noWrap w:val="0"/>
            <w:vAlign w:val="top"/>
          </w:tcPr>
          <w:p w14:paraId="477870F1">
            <w:pPr>
              <w:spacing w:line="320" w:lineRule="auto"/>
              <w:rPr>
                <w:rFonts w:ascii="Arial"/>
                <w:color w:val="auto"/>
              </w:rPr>
            </w:pPr>
          </w:p>
          <w:p w14:paraId="13B5FA78">
            <w:pPr>
              <w:pStyle w:val="871"/>
              <w:spacing w:before="61" w:line="190" w:lineRule="auto"/>
              <w:ind w:left="209"/>
              <w:rPr>
                <w:rFonts w:hint="eastAsia"/>
                <w:color w:val="auto"/>
              </w:rPr>
            </w:pPr>
            <w:r>
              <w:rPr>
                <w:color w:val="auto"/>
                <w:spacing w:val="-7"/>
              </w:rPr>
              <w:t>18</w:t>
            </w:r>
          </w:p>
        </w:tc>
        <w:tc>
          <w:tcPr>
            <w:tcW w:w="1275" w:type="dxa"/>
            <w:noWrap w:val="0"/>
            <w:vAlign w:val="top"/>
          </w:tcPr>
          <w:p w14:paraId="04AE51B6">
            <w:pPr>
              <w:pStyle w:val="871"/>
              <w:spacing w:before="196" w:line="291" w:lineRule="auto"/>
              <w:ind w:left="15" w:right="8" w:hanging="6"/>
              <w:rPr>
                <w:rFonts w:hint="eastAsia"/>
                <w:color w:val="auto"/>
              </w:rPr>
            </w:pPr>
            <w:r>
              <w:rPr>
                <w:color w:val="auto"/>
                <w:spacing w:val="4"/>
              </w:rPr>
              <w:t>A060810</w:t>
            </w:r>
            <w:r>
              <w:rPr>
                <w:color w:val="auto"/>
                <w:spacing w:val="-34"/>
              </w:rPr>
              <w:t xml:space="preserve"> </w:t>
            </w:r>
            <w:r>
              <w:rPr>
                <w:color w:val="auto"/>
                <w:spacing w:val="4"/>
              </w:rPr>
              <w:t>淋浴</w:t>
            </w:r>
            <w:r>
              <w:rPr>
                <w:color w:val="auto"/>
              </w:rPr>
              <w:t xml:space="preserve"> </w:t>
            </w:r>
            <w:r>
              <w:rPr>
                <w:color w:val="auto"/>
                <w:spacing w:val="1"/>
              </w:rPr>
              <w:t>器</w:t>
            </w:r>
          </w:p>
        </w:tc>
        <w:tc>
          <w:tcPr>
            <w:tcW w:w="1967" w:type="dxa"/>
            <w:noWrap w:val="0"/>
            <w:vAlign w:val="top"/>
          </w:tcPr>
          <w:p w14:paraId="0B4B3193">
            <w:pPr>
              <w:rPr>
                <w:rFonts w:ascii="Arial"/>
                <w:color w:val="auto"/>
              </w:rPr>
            </w:pPr>
          </w:p>
        </w:tc>
        <w:tc>
          <w:tcPr>
            <w:tcW w:w="2093" w:type="dxa"/>
            <w:noWrap w:val="0"/>
            <w:vAlign w:val="top"/>
          </w:tcPr>
          <w:p w14:paraId="6D494701">
            <w:pPr>
              <w:rPr>
                <w:rFonts w:ascii="Arial"/>
                <w:color w:val="auto"/>
              </w:rPr>
            </w:pPr>
          </w:p>
        </w:tc>
        <w:tc>
          <w:tcPr>
            <w:tcW w:w="3247" w:type="dxa"/>
            <w:noWrap w:val="0"/>
            <w:vAlign w:val="top"/>
          </w:tcPr>
          <w:p w14:paraId="0D01D817">
            <w:pPr>
              <w:pStyle w:val="871"/>
              <w:spacing w:before="197" w:line="288" w:lineRule="auto"/>
              <w:ind w:left="22" w:right="11"/>
              <w:rPr>
                <w:rFonts w:hint="eastAsia"/>
                <w:color w:val="auto"/>
                <w:lang w:eastAsia="zh-CN"/>
              </w:rPr>
            </w:pPr>
            <w:r>
              <w:rPr>
                <w:color w:val="auto"/>
                <w:spacing w:val="19"/>
                <w:lang w:eastAsia="zh-CN"/>
              </w:rPr>
              <w:t>《淋浴器用水效率限定值及用水</w:t>
            </w:r>
            <w:r>
              <w:rPr>
                <w:color w:val="auto"/>
                <w:spacing w:val="2"/>
                <w:lang w:eastAsia="zh-CN"/>
              </w:rPr>
              <w:t xml:space="preserve"> </w:t>
            </w:r>
            <w:r>
              <w:rPr>
                <w:color w:val="auto"/>
                <w:spacing w:val="6"/>
                <w:lang w:eastAsia="zh-CN"/>
              </w:rPr>
              <w:t>效率等级》（</w:t>
            </w:r>
            <w:r>
              <w:rPr>
                <w:color w:val="auto"/>
                <w:lang w:eastAsia="zh-CN"/>
              </w:rPr>
              <w:t>GB</w:t>
            </w:r>
            <w:r>
              <w:rPr>
                <w:color w:val="auto"/>
                <w:spacing w:val="6"/>
                <w:lang w:eastAsia="zh-CN"/>
              </w:rPr>
              <w:t xml:space="preserve"> 28378）</w:t>
            </w:r>
          </w:p>
        </w:tc>
      </w:tr>
    </w:tbl>
    <w:p w14:paraId="1B5D12A1">
      <w:pPr>
        <w:pStyle w:val="19"/>
        <w:spacing w:before="56" w:line="249" w:lineRule="auto"/>
        <w:ind w:left="27" w:hanging="2"/>
        <w:rPr>
          <w:rFonts w:hint="eastAsia" w:ascii="仿宋_GB2312" w:hAnsi="仿宋_GB2312" w:eastAsia="仿宋_GB2312" w:cs="仿宋_GB2312"/>
          <w:color w:val="auto"/>
        </w:rPr>
      </w:pPr>
      <w:r>
        <w:rPr>
          <w:rFonts w:hint="eastAsia" w:ascii="仿宋_GB2312" w:hAnsi="仿宋_GB2312" w:eastAsia="仿宋_GB2312" w:cs="仿宋_GB2312"/>
          <w:color w:val="auto"/>
          <w:spacing w:val="-2"/>
        </w:rPr>
        <w:t>注：1.节能产品认证应依据相关国家标准的最新版</w:t>
      </w:r>
      <w:r>
        <w:rPr>
          <w:rFonts w:hint="eastAsia" w:ascii="仿宋_GB2312" w:hAnsi="仿宋_GB2312" w:eastAsia="仿宋_GB2312" w:cs="仿宋_GB2312"/>
          <w:color w:val="auto"/>
          <w:spacing w:val="-3"/>
        </w:rPr>
        <w:t>本，依据国家标准中二级能效（水效）</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spacing w:val="-4"/>
        </w:rPr>
        <w:t>指标。</w:t>
      </w:r>
    </w:p>
    <w:p w14:paraId="58558D86">
      <w:pPr>
        <w:pStyle w:val="19"/>
        <w:spacing w:before="31" w:line="248" w:lineRule="auto"/>
        <w:ind w:left="25" w:right="97" w:firstLine="444"/>
        <w:rPr>
          <w:rFonts w:hint="eastAsia" w:ascii="仿宋_GB2312" w:hAnsi="仿宋_GB2312" w:eastAsia="仿宋_GB2312" w:cs="仿宋_GB2312"/>
          <w:color w:val="auto"/>
        </w:rPr>
      </w:pPr>
      <w:r>
        <w:rPr>
          <w:rFonts w:hint="eastAsia" w:ascii="仿宋_GB2312" w:hAnsi="仿宋_GB2312" w:eastAsia="仿宋_GB2312" w:cs="仿宋_GB2312"/>
          <w:color w:val="auto"/>
          <w:spacing w:val="1"/>
        </w:rPr>
        <w:t>2.上述产品中认证标准发生变更的，依据原认</w:t>
      </w:r>
      <w:r>
        <w:rPr>
          <w:rFonts w:hint="eastAsia" w:ascii="仿宋_GB2312" w:hAnsi="仿宋_GB2312" w:eastAsia="仿宋_GB2312" w:cs="仿宋_GB2312"/>
          <w:color w:val="auto"/>
        </w:rPr>
        <w:t xml:space="preserve">证标准获得的、仍在有效期内的认证 </w:t>
      </w:r>
      <w:r>
        <w:rPr>
          <w:rFonts w:hint="eastAsia" w:ascii="仿宋_GB2312" w:hAnsi="仿宋_GB2312" w:eastAsia="仿宋_GB2312" w:cs="仿宋_GB2312"/>
          <w:color w:val="auto"/>
          <w:spacing w:val="-8"/>
        </w:rPr>
        <w:t>证书可使用至</w:t>
      </w:r>
      <w:r>
        <w:rPr>
          <w:rFonts w:hint="eastAsia" w:ascii="仿宋_GB2312" w:hAnsi="仿宋_GB2312" w:eastAsia="仿宋_GB2312" w:cs="仿宋_GB2312"/>
          <w:color w:val="auto"/>
          <w:spacing w:val="-37"/>
        </w:rPr>
        <w:t xml:space="preserve"> </w:t>
      </w:r>
      <w:r>
        <w:rPr>
          <w:rFonts w:hint="eastAsia" w:ascii="仿宋_GB2312" w:hAnsi="仿宋_GB2312" w:eastAsia="仿宋_GB2312" w:cs="仿宋_GB2312"/>
          <w:color w:val="auto"/>
          <w:spacing w:val="-8"/>
        </w:rPr>
        <w:t>2019</w:t>
      </w:r>
      <w:r>
        <w:rPr>
          <w:rFonts w:hint="eastAsia" w:ascii="仿宋_GB2312" w:hAnsi="仿宋_GB2312" w:eastAsia="仿宋_GB2312" w:cs="仿宋_GB2312"/>
          <w:color w:val="auto"/>
          <w:spacing w:val="-46"/>
        </w:rPr>
        <w:t xml:space="preserve"> </w:t>
      </w:r>
      <w:r>
        <w:rPr>
          <w:rFonts w:hint="eastAsia" w:ascii="仿宋_GB2312" w:hAnsi="仿宋_GB2312" w:eastAsia="仿宋_GB2312" w:cs="仿宋_GB2312"/>
          <w:color w:val="auto"/>
          <w:spacing w:val="-8"/>
        </w:rPr>
        <w:t>年</w:t>
      </w:r>
      <w:r>
        <w:rPr>
          <w:rFonts w:hint="eastAsia" w:ascii="仿宋_GB2312" w:hAnsi="仿宋_GB2312" w:eastAsia="仿宋_GB2312" w:cs="仿宋_GB2312"/>
          <w:color w:val="auto"/>
          <w:spacing w:val="-44"/>
        </w:rPr>
        <w:t xml:space="preserve"> </w:t>
      </w:r>
      <w:r>
        <w:rPr>
          <w:rFonts w:hint="eastAsia" w:ascii="仿宋_GB2312" w:hAnsi="仿宋_GB2312" w:eastAsia="仿宋_GB2312" w:cs="仿宋_GB2312"/>
          <w:color w:val="auto"/>
          <w:spacing w:val="-8"/>
        </w:rPr>
        <w:t>6</w:t>
      </w:r>
      <w:r>
        <w:rPr>
          <w:rFonts w:hint="eastAsia" w:ascii="仿宋_GB2312" w:hAnsi="仿宋_GB2312" w:eastAsia="仿宋_GB2312" w:cs="仿宋_GB2312"/>
          <w:color w:val="auto"/>
          <w:spacing w:val="-44"/>
        </w:rPr>
        <w:t xml:space="preserve"> </w:t>
      </w:r>
      <w:r>
        <w:rPr>
          <w:rFonts w:hint="eastAsia" w:ascii="仿宋_GB2312" w:hAnsi="仿宋_GB2312" w:eastAsia="仿宋_GB2312" w:cs="仿宋_GB2312"/>
          <w:color w:val="auto"/>
          <w:spacing w:val="-8"/>
        </w:rPr>
        <w:t>月</w:t>
      </w:r>
      <w:r>
        <w:rPr>
          <w:rFonts w:hint="eastAsia" w:ascii="仿宋_GB2312" w:hAnsi="仿宋_GB2312" w:eastAsia="仿宋_GB2312" w:cs="仿宋_GB2312"/>
          <w:color w:val="auto"/>
          <w:spacing w:val="-29"/>
        </w:rPr>
        <w:t xml:space="preserve"> </w:t>
      </w:r>
      <w:r>
        <w:rPr>
          <w:rFonts w:hint="eastAsia" w:ascii="仿宋_GB2312" w:hAnsi="仿宋_GB2312" w:eastAsia="仿宋_GB2312" w:cs="仿宋_GB2312"/>
          <w:color w:val="auto"/>
          <w:spacing w:val="-8"/>
        </w:rPr>
        <w:t>1 日。</w:t>
      </w:r>
    </w:p>
    <w:p w14:paraId="48FE7AC6">
      <w:pPr>
        <w:pStyle w:val="19"/>
        <w:spacing w:before="33" w:line="220" w:lineRule="auto"/>
        <w:ind w:left="471"/>
        <w:rPr>
          <w:rFonts w:hint="eastAsia" w:ascii="仿宋_GB2312" w:hAnsi="仿宋_GB2312" w:eastAsia="仿宋_GB2312" w:cs="仿宋_GB2312"/>
          <w:color w:val="auto"/>
        </w:rPr>
      </w:pPr>
      <w:r>
        <w:rPr>
          <w:rFonts w:hint="eastAsia" w:ascii="仿宋_GB2312" w:hAnsi="仿宋_GB2312" w:eastAsia="仿宋_GB2312" w:cs="仿宋_GB2312"/>
          <w:color w:val="auto"/>
          <w:spacing w:val="-3"/>
        </w:rPr>
        <w:t>3.以“★</w:t>
      </w:r>
      <w:r>
        <w:rPr>
          <w:rFonts w:hint="eastAsia" w:ascii="仿宋_GB2312" w:hAnsi="仿宋_GB2312" w:eastAsia="仿宋_GB2312" w:cs="仿宋_GB2312"/>
          <w:color w:val="auto"/>
          <w:spacing w:val="-68"/>
        </w:rPr>
        <w:t xml:space="preserve"> </w:t>
      </w:r>
      <w:r>
        <w:rPr>
          <w:rFonts w:hint="eastAsia" w:ascii="仿宋_GB2312" w:hAnsi="仿宋_GB2312" w:eastAsia="仿宋_GB2312" w:cs="仿宋_GB2312"/>
          <w:color w:val="auto"/>
          <w:spacing w:val="-3"/>
        </w:rPr>
        <w:t>”标注的为政府强制采购产品。</w:t>
      </w:r>
    </w:p>
    <w:p w14:paraId="006E1E34">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4.若表格有变动，按最新政策执行。</w:t>
      </w:r>
    </w:p>
    <w:p w14:paraId="702049E9">
      <w:pPr>
        <w:widowControl/>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14:paraId="62C1AE04">
      <w:pPr>
        <w:rPr>
          <w:rFonts w:hint="eastAsia" w:ascii="仿宋_GB2312" w:hAnsi="仿宋_GB2312" w:eastAsia="仿宋_GB2312" w:cs="仿宋_GB2312"/>
          <w:color w:val="auto"/>
          <w:sz w:val="28"/>
          <w:szCs w:val="28"/>
        </w:rPr>
      </w:pPr>
    </w:p>
    <w:p w14:paraId="5B5A53FB">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附件二</w:t>
      </w:r>
    </w:p>
    <w:p w14:paraId="13323DB1">
      <w:pPr>
        <w:spacing w:before="342" w:line="175" w:lineRule="auto"/>
        <w:jc w:val="center"/>
        <w:rPr>
          <w:rFonts w:hint="eastAsia" w:ascii="微软雅黑" w:hAnsi="微软雅黑" w:eastAsia="微软雅黑" w:cs="微软雅黑"/>
          <w:color w:val="auto"/>
          <w:spacing w:val="-2"/>
          <w:sz w:val="40"/>
          <w:szCs w:val="40"/>
        </w:rPr>
      </w:pPr>
      <w:bookmarkStart w:id="81" w:name="_Toc9572"/>
      <w:r>
        <w:rPr>
          <w:rFonts w:ascii="微软雅黑" w:hAnsi="微软雅黑" w:eastAsia="微软雅黑" w:cs="微软雅黑"/>
          <w:color w:val="auto"/>
          <w:spacing w:val="-2"/>
          <w:sz w:val="40"/>
          <w:szCs w:val="40"/>
        </w:rPr>
        <w:t>环境标志产品政府采购品目清单</w:t>
      </w:r>
      <w:bookmarkEnd w:id="81"/>
    </w:p>
    <w:p w14:paraId="05CE8714">
      <w:pPr>
        <w:spacing w:before="41"/>
        <w:rPr>
          <w:color w:val="auto"/>
        </w:rPr>
      </w:pPr>
    </w:p>
    <w:tbl>
      <w:tblPr>
        <w:tblStyle w:val="89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14:paraId="016BA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noWrap w:val="0"/>
            <w:vAlign w:val="top"/>
          </w:tcPr>
          <w:p w14:paraId="099A993D">
            <w:pPr>
              <w:pStyle w:val="871"/>
              <w:spacing w:before="71" w:line="283" w:lineRule="auto"/>
              <w:ind w:left="114" w:right="107" w:firstLine="15"/>
              <w:rPr>
                <w:rFonts w:hint="eastAsia"/>
                <w:color w:val="auto"/>
              </w:rPr>
            </w:pPr>
            <w:r>
              <w:rPr>
                <w:b/>
                <w:bCs/>
                <w:color w:val="auto"/>
                <w:spacing w:val="-12"/>
              </w:rPr>
              <w:t>品目</w:t>
            </w:r>
            <w:r>
              <w:rPr>
                <w:color w:val="auto"/>
              </w:rPr>
              <w:t xml:space="preserve"> </w:t>
            </w:r>
            <w:r>
              <w:rPr>
                <w:b/>
                <w:bCs/>
                <w:color w:val="auto"/>
                <w:spacing w:val="-4"/>
              </w:rPr>
              <w:t>序号</w:t>
            </w:r>
          </w:p>
        </w:tc>
        <w:tc>
          <w:tcPr>
            <w:tcW w:w="5623" w:type="dxa"/>
            <w:gridSpan w:val="3"/>
            <w:noWrap w:val="0"/>
            <w:vAlign w:val="top"/>
          </w:tcPr>
          <w:p w14:paraId="3EF431FF">
            <w:pPr>
              <w:pStyle w:val="871"/>
              <w:spacing w:before="224" w:line="222" w:lineRule="auto"/>
              <w:ind w:left="3054"/>
              <w:rPr>
                <w:rFonts w:hint="eastAsia"/>
                <w:color w:val="auto"/>
              </w:rPr>
            </w:pPr>
            <w:r>
              <w:rPr>
                <w:b/>
                <w:bCs/>
                <w:color w:val="auto"/>
                <w:spacing w:val="-6"/>
              </w:rPr>
              <w:t>名称</w:t>
            </w:r>
          </w:p>
        </w:tc>
        <w:tc>
          <w:tcPr>
            <w:tcW w:w="3081" w:type="dxa"/>
            <w:noWrap w:val="0"/>
            <w:vAlign w:val="top"/>
          </w:tcPr>
          <w:p w14:paraId="5C38394C">
            <w:pPr>
              <w:pStyle w:val="871"/>
              <w:spacing w:before="224" w:line="219" w:lineRule="auto"/>
              <w:ind w:left="1325"/>
              <w:rPr>
                <w:rFonts w:hint="eastAsia"/>
                <w:color w:val="auto"/>
              </w:rPr>
            </w:pPr>
            <w:r>
              <w:rPr>
                <w:b/>
                <w:bCs/>
                <w:color w:val="auto"/>
                <w:spacing w:val="-4"/>
              </w:rPr>
              <w:t>依据的标准</w:t>
            </w:r>
          </w:p>
        </w:tc>
      </w:tr>
      <w:tr w14:paraId="55033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restart"/>
            <w:tcBorders>
              <w:bottom w:val="nil"/>
            </w:tcBorders>
            <w:noWrap w:val="0"/>
            <w:vAlign w:val="top"/>
          </w:tcPr>
          <w:p w14:paraId="495D250C">
            <w:pPr>
              <w:pStyle w:val="871"/>
              <w:spacing w:before="93" w:line="184" w:lineRule="auto"/>
              <w:ind w:left="128"/>
              <w:rPr>
                <w:rFonts w:hint="eastAsia"/>
                <w:color w:val="auto"/>
              </w:rPr>
            </w:pPr>
            <w:r>
              <w:rPr>
                <w:color w:val="auto"/>
              </w:rPr>
              <w:t>1</w:t>
            </w:r>
          </w:p>
        </w:tc>
        <w:tc>
          <w:tcPr>
            <w:tcW w:w="1343" w:type="dxa"/>
            <w:vMerge w:val="restart"/>
            <w:tcBorders>
              <w:bottom w:val="nil"/>
            </w:tcBorders>
            <w:noWrap w:val="0"/>
            <w:vAlign w:val="top"/>
          </w:tcPr>
          <w:p w14:paraId="512DE985">
            <w:pPr>
              <w:pStyle w:val="871"/>
              <w:spacing w:before="66" w:line="307" w:lineRule="auto"/>
              <w:ind w:left="110" w:right="108" w:hanging="8"/>
              <w:rPr>
                <w:rFonts w:hint="eastAsia"/>
                <w:color w:val="auto"/>
              </w:rPr>
            </w:pPr>
            <w:r>
              <w:rPr>
                <w:color w:val="auto"/>
                <w:spacing w:val="3"/>
              </w:rPr>
              <w:t>A020101</w:t>
            </w:r>
            <w:r>
              <w:rPr>
                <w:color w:val="auto"/>
                <w:spacing w:val="34"/>
              </w:rPr>
              <w:t xml:space="preserve"> </w:t>
            </w:r>
            <w:r>
              <w:rPr>
                <w:color w:val="auto"/>
                <w:spacing w:val="3"/>
              </w:rPr>
              <w:t>计算机</w:t>
            </w:r>
            <w:r>
              <w:rPr>
                <w:color w:val="auto"/>
              </w:rPr>
              <w:t xml:space="preserve"> </w:t>
            </w:r>
            <w:r>
              <w:rPr>
                <w:color w:val="auto"/>
                <w:spacing w:val="-3"/>
              </w:rPr>
              <w:t>设备</w:t>
            </w:r>
          </w:p>
        </w:tc>
        <w:tc>
          <w:tcPr>
            <w:tcW w:w="2324" w:type="dxa"/>
            <w:noWrap w:val="0"/>
            <w:vAlign w:val="top"/>
          </w:tcPr>
          <w:p w14:paraId="0C9C569C">
            <w:pPr>
              <w:pStyle w:val="871"/>
              <w:spacing w:before="66" w:line="220" w:lineRule="auto"/>
              <w:ind w:left="103"/>
              <w:rPr>
                <w:rFonts w:hint="eastAsia"/>
                <w:color w:val="auto"/>
              </w:rPr>
            </w:pPr>
            <w:r>
              <w:rPr>
                <w:color w:val="auto"/>
                <w:spacing w:val="-1"/>
              </w:rPr>
              <w:t>A02010103</w:t>
            </w:r>
            <w:r>
              <w:rPr>
                <w:color w:val="auto"/>
                <w:spacing w:val="-32"/>
              </w:rPr>
              <w:t xml:space="preserve"> </w:t>
            </w:r>
            <w:r>
              <w:rPr>
                <w:color w:val="auto"/>
                <w:spacing w:val="-1"/>
              </w:rPr>
              <w:t>服务器</w:t>
            </w:r>
          </w:p>
        </w:tc>
        <w:tc>
          <w:tcPr>
            <w:tcW w:w="1956" w:type="dxa"/>
            <w:noWrap w:val="0"/>
            <w:vAlign w:val="top"/>
          </w:tcPr>
          <w:p w14:paraId="1F90892F">
            <w:pPr>
              <w:rPr>
                <w:rFonts w:ascii="Arial"/>
                <w:color w:val="auto"/>
              </w:rPr>
            </w:pPr>
          </w:p>
        </w:tc>
        <w:tc>
          <w:tcPr>
            <w:tcW w:w="3081" w:type="dxa"/>
            <w:noWrap w:val="0"/>
            <w:vAlign w:val="top"/>
          </w:tcPr>
          <w:p w14:paraId="14DE7EF4">
            <w:pPr>
              <w:pStyle w:val="871"/>
              <w:spacing w:before="66" w:line="219" w:lineRule="auto"/>
              <w:ind w:left="109"/>
              <w:rPr>
                <w:rFonts w:hint="eastAsia"/>
                <w:color w:val="auto"/>
              </w:rPr>
            </w:pPr>
            <w:r>
              <w:rPr>
                <w:color w:val="auto"/>
                <w:spacing w:val="-2"/>
              </w:rPr>
              <w:t>HJ2507</w:t>
            </w:r>
            <w:r>
              <w:rPr>
                <w:color w:val="auto"/>
                <w:spacing w:val="-20"/>
              </w:rPr>
              <w:t xml:space="preserve"> </w:t>
            </w:r>
            <w:r>
              <w:rPr>
                <w:color w:val="auto"/>
                <w:spacing w:val="-2"/>
              </w:rPr>
              <w:t>网络服务器</w:t>
            </w:r>
          </w:p>
        </w:tc>
      </w:tr>
      <w:tr w14:paraId="2EFCA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0A46CEE2">
            <w:pPr>
              <w:rPr>
                <w:rFonts w:ascii="Arial"/>
                <w:color w:val="auto"/>
              </w:rPr>
            </w:pPr>
          </w:p>
        </w:tc>
        <w:tc>
          <w:tcPr>
            <w:tcW w:w="1343" w:type="dxa"/>
            <w:vMerge w:val="continue"/>
            <w:tcBorders>
              <w:top w:val="nil"/>
              <w:bottom w:val="nil"/>
            </w:tcBorders>
            <w:noWrap w:val="0"/>
            <w:vAlign w:val="top"/>
          </w:tcPr>
          <w:p w14:paraId="6C78F1A7">
            <w:pPr>
              <w:rPr>
                <w:rFonts w:ascii="Arial"/>
                <w:color w:val="auto"/>
              </w:rPr>
            </w:pPr>
          </w:p>
        </w:tc>
        <w:tc>
          <w:tcPr>
            <w:tcW w:w="2324" w:type="dxa"/>
            <w:noWrap w:val="0"/>
            <w:vAlign w:val="top"/>
          </w:tcPr>
          <w:p w14:paraId="5E7E6C5A">
            <w:pPr>
              <w:pStyle w:val="871"/>
              <w:spacing w:before="65" w:line="219" w:lineRule="auto"/>
              <w:ind w:left="103"/>
              <w:rPr>
                <w:rFonts w:hint="eastAsia"/>
                <w:color w:val="auto"/>
              </w:rPr>
            </w:pPr>
            <w:r>
              <w:rPr>
                <w:color w:val="auto"/>
                <w:spacing w:val="-2"/>
              </w:rPr>
              <w:t>A02010104</w:t>
            </w:r>
            <w:r>
              <w:rPr>
                <w:color w:val="auto"/>
                <w:spacing w:val="-14"/>
              </w:rPr>
              <w:t xml:space="preserve"> </w:t>
            </w:r>
            <w:r>
              <w:rPr>
                <w:color w:val="auto"/>
                <w:spacing w:val="-2"/>
              </w:rPr>
              <w:t>台式计算机</w:t>
            </w:r>
          </w:p>
        </w:tc>
        <w:tc>
          <w:tcPr>
            <w:tcW w:w="1956" w:type="dxa"/>
            <w:noWrap w:val="0"/>
            <w:vAlign w:val="top"/>
          </w:tcPr>
          <w:p w14:paraId="295F30E8">
            <w:pPr>
              <w:rPr>
                <w:rFonts w:ascii="Arial"/>
                <w:color w:val="auto"/>
              </w:rPr>
            </w:pPr>
          </w:p>
        </w:tc>
        <w:tc>
          <w:tcPr>
            <w:tcW w:w="3081" w:type="dxa"/>
            <w:noWrap w:val="0"/>
            <w:vAlign w:val="top"/>
          </w:tcPr>
          <w:p w14:paraId="0AD0E2AD">
            <w:pPr>
              <w:pStyle w:val="871"/>
              <w:spacing w:before="64" w:line="219" w:lineRule="auto"/>
              <w:ind w:left="109"/>
              <w:rPr>
                <w:rFonts w:hint="eastAsia"/>
                <w:color w:val="auto"/>
                <w:lang w:eastAsia="zh-CN"/>
              </w:rPr>
            </w:pPr>
            <w:r>
              <w:rPr>
                <w:color w:val="auto"/>
                <w:spacing w:val="-1"/>
                <w:lang w:eastAsia="zh-CN"/>
              </w:rPr>
              <w:t>HJ2536</w:t>
            </w:r>
            <w:r>
              <w:rPr>
                <w:color w:val="auto"/>
                <w:spacing w:val="-28"/>
                <w:lang w:eastAsia="zh-CN"/>
              </w:rPr>
              <w:t xml:space="preserve"> </w:t>
            </w:r>
            <w:r>
              <w:rPr>
                <w:color w:val="auto"/>
                <w:spacing w:val="-1"/>
                <w:lang w:eastAsia="zh-CN"/>
              </w:rPr>
              <w:t>微型计算机、显示器</w:t>
            </w:r>
          </w:p>
        </w:tc>
      </w:tr>
      <w:tr w14:paraId="17DA7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30B21622">
            <w:pPr>
              <w:rPr>
                <w:rFonts w:ascii="Arial"/>
                <w:color w:val="auto"/>
              </w:rPr>
            </w:pPr>
          </w:p>
        </w:tc>
        <w:tc>
          <w:tcPr>
            <w:tcW w:w="1343" w:type="dxa"/>
            <w:vMerge w:val="continue"/>
            <w:tcBorders>
              <w:top w:val="nil"/>
              <w:bottom w:val="nil"/>
            </w:tcBorders>
            <w:noWrap w:val="0"/>
            <w:vAlign w:val="top"/>
          </w:tcPr>
          <w:p w14:paraId="14248D49">
            <w:pPr>
              <w:rPr>
                <w:rFonts w:ascii="Arial"/>
                <w:color w:val="auto"/>
              </w:rPr>
            </w:pPr>
          </w:p>
        </w:tc>
        <w:tc>
          <w:tcPr>
            <w:tcW w:w="2324" w:type="dxa"/>
            <w:noWrap w:val="0"/>
            <w:vAlign w:val="top"/>
          </w:tcPr>
          <w:p w14:paraId="62B3DC9D">
            <w:pPr>
              <w:pStyle w:val="871"/>
              <w:spacing w:before="64" w:line="219" w:lineRule="auto"/>
              <w:ind w:left="103"/>
              <w:rPr>
                <w:rFonts w:hint="eastAsia"/>
                <w:color w:val="auto"/>
              </w:rPr>
            </w:pPr>
            <w:r>
              <w:rPr>
                <w:color w:val="auto"/>
                <w:spacing w:val="-1"/>
              </w:rPr>
              <w:t>A02010105</w:t>
            </w:r>
            <w:r>
              <w:rPr>
                <w:color w:val="auto"/>
                <w:spacing w:val="-30"/>
              </w:rPr>
              <w:t xml:space="preserve"> </w:t>
            </w:r>
            <w:r>
              <w:rPr>
                <w:color w:val="auto"/>
                <w:spacing w:val="-1"/>
              </w:rPr>
              <w:t>便携式计算机</w:t>
            </w:r>
          </w:p>
        </w:tc>
        <w:tc>
          <w:tcPr>
            <w:tcW w:w="1956" w:type="dxa"/>
            <w:noWrap w:val="0"/>
            <w:vAlign w:val="top"/>
          </w:tcPr>
          <w:p w14:paraId="16F7BC92">
            <w:pPr>
              <w:rPr>
                <w:rFonts w:ascii="Arial"/>
                <w:color w:val="auto"/>
              </w:rPr>
            </w:pPr>
          </w:p>
        </w:tc>
        <w:tc>
          <w:tcPr>
            <w:tcW w:w="3081" w:type="dxa"/>
            <w:noWrap w:val="0"/>
            <w:vAlign w:val="top"/>
          </w:tcPr>
          <w:p w14:paraId="05693E39">
            <w:pPr>
              <w:pStyle w:val="871"/>
              <w:spacing w:before="64" w:line="219" w:lineRule="auto"/>
              <w:ind w:left="109"/>
              <w:rPr>
                <w:rFonts w:hint="eastAsia"/>
                <w:color w:val="auto"/>
                <w:lang w:eastAsia="zh-CN"/>
              </w:rPr>
            </w:pPr>
            <w:r>
              <w:rPr>
                <w:color w:val="auto"/>
                <w:spacing w:val="-1"/>
                <w:lang w:eastAsia="zh-CN"/>
              </w:rPr>
              <w:t>HJ2536</w:t>
            </w:r>
            <w:r>
              <w:rPr>
                <w:color w:val="auto"/>
                <w:spacing w:val="-28"/>
                <w:lang w:eastAsia="zh-CN"/>
              </w:rPr>
              <w:t xml:space="preserve"> </w:t>
            </w:r>
            <w:r>
              <w:rPr>
                <w:color w:val="auto"/>
                <w:spacing w:val="-1"/>
                <w:lang w:eastAsia="zh-CN"/>
              </w:rPr>
              <w:t>微型计算机、显示器</w:t>
            </w:r>
          </w:p>
        </w:tc>
      </w:tr>
      <w:tr w14:paraId="5ECAA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noWrap w:val="0"/>
            <w:vAlign w:val="top"/>
          </w:tcPr>
          <w:p w14:paraId="20942900">
            <w:pPr>
              <w:rPr>
                <w:rFonts w:ascii="Arial"/>
                <w:color w:val="auto"/>
              </w:rPr>
            </w:pPr>
          </w:p>
        </w:tc>
        <w:tc>
          <w:tcPr>
            <w:tcW w:w="1343" w:type="dxa"/>
            <w:vMerge w:val="continue"/>
            <w:tcBorders>
              <w:top w:val="nil"/>
              <w:bottom w:val="nil"/>
            </w:tcBorders>
            <w:noWrap w:val="0"/>
            <w:vAlign w:val="top"/>
          </w:tcPr>
          <w:p w14:paraId="3493E8F6">
            <w:pPr>
              <w:rPr>
                <w:rFonts w:ascii="Arial"/>
                <w:color w:val="auto"/>
              </w:rPr>
            </w:pPr>
          </w:p>
        </w:tc>
        <w:tc>
          <w:tcPr>
            <w:tcW w:w="2324" w:type="dxa"/>
            <w:noWrap w:val="0"/>
            <w:vAlign w:val="top"/>
          </w:tcPr>
          <w:p w14:paraId="07149FE1">
            <w:pPr>
              <w:pStyle w:val="871"/>
              <w:spacing w:before="64" w:line="219" w:lineRule="auto"/>
              <w:ind w:left="103"/>
              <w:rPr>
                <w:rFonts w:hint="eastAsia"/>
                <w:color w:val="auto"/>
              </w:rPr>
            </w:pPr>
            <w:r>
              <w:rPr>
                <w:color w:val="auto"/>
                <w:spacing w:val="-1"/>
              </w:rPr>
              <w:t>A02010107</w:t>
            </w:r>
            <w:r>
              <w:rPr>
                <w:color w:val="auto"/>
                <w:spacing w:val="-28"/>
              </w:rPr>
              <w:t xml:space="preserve"> </w:t>
            </w:r>
            <w:r>
              <w:rPr>
                <w:color w:val="auto"/>
                <w:spacing w:val="-1"/>
              </w:rPr>
              <w:t>平板式微型计算机</w:t>
            </w:r>
          </w:p>
        </w:tc>
        <w:tc>
          <w:tcPr>
            <w:tcW w:w="1956" w:type="dxa"/>
            <w:noWrap w:val="0"/>
            <w:vAlign w:val="top"/>
          </w:tcPr>
          <w:p w14:paraId="10BF0574">
            <w:pPr>
              <w:rPr>
                <w:rFonts w:ascii="Arial"/>
                <w:color w:val="auto"/>
              </w:rPr>
            </w:pPr>
          </w:p>
        </w:tc>
        <w:tc>
          <w:tcPr>
            <w:tcW w:w="3081" w:type="dxa"/>
            <w:noWrap w:val="0"/>
            <w:vAlign w:val="top"/>
          </w:tcPr>
          <w:p w14:paraId="7393671B">
            <w:pPr>
              <w:pStyle w:val="871"/>
              <w:spacing w:before="63" w:line="219" w:lineRule="auto"/>
              <w:ind w:left="109"/>
              <w:rPr>
                <w:rFonts w:hint="eastAsia"/>
                <w:color w:val="auto"/>
                <w:lang w:eastAsia="zh-CN"/>
              </w:rPr>
            </w:pPr>
            <w:r>
              <w:rPr>
                <w:color w:val="auto"/>
                <w:spacing w:val="-1"/>
                <w:lang w:eastAsia="zh-CN"/>
              </w:rPr>
              <w:t>HJ2536</w:t>
            </w:r>
            <w:r>
              <w:rPr>
                <w:color w:val="auto"/>
                <w:spacing w:val="-28"/>
                <w:lang w:eastAsia="zh-CN"/>
              </w:rPr>
              <w:t xml:space="preserve"> </w:t>
            </w:r>
            <w:r>
              <w:rPr>
                <w:color w:val="auto"/>
                <w:spacing w:val="-1"/>
                <w:lang w:eastAsia="zh-CN"/>
              </w:rPr>
              <w:t>微型计算机、显示器</w:t>
            </w:r>
          </w:p>
        </w:tc>
      </w:tr>
      <w:tr w14:paraId="22B7C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0B2CC8CD">
            <w:pPr>
              <w:rPr>
                <w:rFonts w:ascii="Arial"/>
                <w:color w:val="auto"/>
              </w:rPr>
            </w:pPr>
          </w:p>
        </w:tc>
        <w:tc>
          <w:tcPr>
            <w:tcW w:w="1343" w:type="dxa"/>
            <w:vMerge w:val="continue"/>
            <w:tcBorders>
              <w:top w:val="nil"/>
              <w:bottom w:val="nil"/>
            </w:tcBorders>
            <w:noWrap w:val="0"/>
            <w:vAlign w:val="top"/>
          </w:tcPr>
          <w:p w14:paraId="10E1BDCE">
            <w:pPr>
              <w:rPr>
                <w:rFonts w:ascii="Arial"/>
                <w:color w:val="auto"/>
              </w:rPr>
            </w:pPr>
          </w:p>
        </w:tc>
        <w:tc>
          <w:tcPr>
            <w:tcW w:w="2324" w:type="dxa"/>
            <w:noWrap w:val="0"/>
            <w:vAlign w:val="top"/>
          </w:tcPr>
          <w:p w14:paraId="7F204323">
            <w:pPr>
              <w:pStyle w:val="871"/>
              <w:spacing w:before="65" w:line="219" w:lineRule="auto"/>
              <w:ind w:left="103"/>
              <w:rPr>
                <w:rFonts w:hint="eastAsia"/>
                <w:color w:val="auto"/>
              </w:rPr>
            </w:pPr>
            <w:r>
              <w:rPr>
                <w:color w:val="auto"/>
                <w:spacing w:val="-2"/>
              </w:rPr>
              <w:t>A02010108</w:t>
            </w:r>
            <w:r>
              <w:rPr>
                <w:color w:val="auto"/>
                <w:spacing w:val="32"/>
              </w:rPr>
              <w:t xml:space="preserve"> </w:t>
            </w:r>
            <w:r>
              <w:rPr>
                <w:color w:val="auto"/>
                <w:spacing w:val="-2"/>
              </w:rPr>
              <w:t>网络计算机</w:t>
            </w:r>
          </w:p>
        </w:tc>
        <w:tc>
          <w:tcPr>
            <w:tcW w:w="1956" w:type="dxa"/>
            <w:noWrap w:val="0"/>
            <w:vAlign w:val="top"/>
          </w:tcPr>
          <w:p w14:paraId="183A1984">
            <w:pPr>
              <w:rPr>
                <w:rFonts w:ascii="Arial"/>
                <w:color w:val="auto"/>
              </w:rPr>
            </w:pPr>
          </w:p>
        </w:tc>
        <w:tc>
          <w:tcPr>
            <w:tcW w:w="3081" w:type="dxa"/>
            <w:noWrap w:val="0"/>
            <w:vAlign w:val="top"/>
          </w:tcPr>
          <w:p w14:paraId="3B071BBD">
            <w:pPr>
              <w:pStyle w:val="871"/>
              <w:spacing w:before="64" w:line="219" w:lineRule="auto"/>
              <w:ind w:left="109"/>
              <w:rPr>
                <w:rFonts w:hint="eastAsia"/>
                <w:color w:val="auto"/>
                <w:lang w:eastAsia="zh-CN"/>
              </w:rPr>
            </w:pPr>
            <w:r>
              <w:rPr>
                <w:color w:val="auto"/>
                <w:spacing w:val="-1"/>
                <w:lang w:eastAsia="zh-CN"/>
              </w:rPr>
              <w:t>HJ2536</w:t>
            </w:r>
            <w:r>
              <w:rPr>
                <w:color w:val="auto"/>
                <w:spacing w:val="-28"/>
                <w:lang w:eastAsia="zh-CN"/>
              </w:rPr>
              <w:t xml:space="preserve"> </w:t>
            </w:r>
            <w:r>
              <w:rPr>
                <w:color w:val="auto"/>
                <w:spacing w:val="-1"/>
                <w:lang w:eastAsia="zh-CN"/>
              </w:rPr>
              <w:t>微型计算机、显示器</w:t>
            </w:r>
          </w:p>
        </w:tc>
      </w:tr>
      <w:tr w14:paraId="140E7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1E6369F0">
            <w:pPr>
              <w:rPr>
                <w:rFonts w:ascii="Arial"/>
                <w:color w:val="auto"/>
              </w:rPr>
            </w:pPr>
          </w:p>
        </w:tc>
        <w:tc>
          <w:tcPr>
            <w:tcW w:w="1343" w:type="dxa"/>
            <w:vMerge w:val="continue"/>
            <w:tcBorders>
              <w:top w:val="nil"/>
              <w:bottom w:val="nil"/>
            </w:tcBorders>
            <w:noWrap w:val="0"/>
            <w:vAlign w:val="top"/>
          </w:tcPr>
          <w:p w14:paraId="2A56FFBD">
            <w:pPr>
              <w:rPr>
                <w:rFonts w:ascii="Arial"/>
                <w:color w:val="auto"/>
              </w:rPr>
            </w:pPr>
          </w:p>
        </w:tc>
        <w:tc>
          <w:tcPr>
            <w:tcW w:w="2324" w:type="dxa"/>
            <w:noWrap w:val="0"/>
            <w:vAlign w:val="top"/>
          </w:tcPr>
          <w:p w14:paraId="4E257FF0">
            <w:pPr>
              <w:pStyle w:val="871"/>
              <w:spacing w:before="64" w:line="219" w:lineRule="auto"/>
              <w:ind w:left="103"/>
              <w:rPr>
                <w:rFonts w:hint="eastAsia"/>
                <w:color w:val="auto"/>
              </w:rPr>
            </w:pPr>
            <w:r>
              <w:rPr>
                <w:color w:val="auto"/>
              </w:rPr>
              <w:t>A02010109 计算机工作站</w:t>
            </w:r>
          </w:p>
        </w:tc>
        <w:tc>
          <w:tcPr>
            <w:tcW w:w="1956" w:type="dxa"/>
            <w:noWrap w:val="0"/>
            <w:vAlign w:val="top"/>
          </w:tcPr>
          <w:p w14:paraId="3699ED3C">
            <w:pPr>
              <w:rPr>
                <w:rFonts w:ascii="Arial"/>
                <w:color w:val="auto"/>
              </w:rPr>
            </w:pPr>
          </w:p>
        </w:tc>
        <w:tc>
          <w:tcPr>
            <w:tcW w:w="3081" w:type="dxa"/>
            <w:noWrap w:val="0"/>
            <w:vAlign w:val="top"/>
          </w:tcPr>
          <w:p w14:paraId="13DA0E04">
            <w:pPr>
              <w:pStyle w:val="871"/>
              <w:spacing w:before="64" w:line="219" w:lineRule="auto"/>
              <w:ind w:left="109"/>
              <w:rPr>
                <w:rFonts w:hint="eastAsia"/>
                <w:color w:val="auto"/>
                <w:lang w:eastAsia="zh-CN"/>
              </w:rPr>
            </w:pPr>
            <w:r>
              <w:rPr>
                <w:color w:val="auto"/>
                <w:spacing w:val="-1"/>
                <w:lang w:eastAsia="zh-CN"/>
              </w:rPr>
              <w:t>HJ2536</w:t>
            </w:r>
            <w:r>
              <w:rPr>
                <w:color w:val="auto"/>
                <w:spacing w:val="-28"/>
                <w:lang w:eastAsia="zh-CN"/>
              </w:rPr>
              <w:t xml:space="preserve"> </w:t>
            </w:r>
            <w:r>
              <w:rPr>
                <w:color w:val="auto"/>
                <w:spacing w:val="-1"/>
                <w:lang w:eastAsia="zh-CN"/>
              </w:rPr>
              <w:t>微型计算机、显示器</w:t>
            </w:r>
          </w:p>
        </w:tc>
      </w:tr>
      <w:tr w14:paraId="1680E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noWrap w:val="0"/>
            <w:vAlign w:val="top"/>
          </w:tcPr>
          <w:p w14:paraId="573E9A89">
            <w:pPr>
              <w:rPr>
                <w:rFonts w:ascii="Arial"/>
                <w:color w:val="auto"/>
              </w:rPr>
            </w:pPr>
          </w:p>
        </w:tc>
        <w:tc>
          <w:tcPr>
            <w:tcW w:w="1343" w:type="dxa"/>
            <w:vMerge w:val="continue"/>
            <w:tcBorders>
              <w:top w:val="nil"/>
            </w:tcBorders>
            <w:noWrap w:val="0"/>
            <w:vAlign w:val="top"/>
          </w:tcPr>
          <w:p w14:paraId="71CB25BD">
            <w:pPr>
              <w:rPr>
                <w:rFonts w:ascii="Arial"/>
                <w:color w:val="auto"/>
              </w:rPr>
            </w:pPr>
          </w:p>
        </w:tc>
        <w:tc>
          <w:tcPr>
            <w:tcW w:w="2324" w:type="dxa"/>
            <w:noWrap w:val="0"/>
            <w:vAlign w:val="top"/>
          </w:tcPr>
          <w:p w14:paraId="56CEE599">
            <w:pPr>
              <w:pStyle w:val="871"/>
              <w:spacing w:before="64" w:line="219" w:lineRule="auto"/>
              <w:ind w:left="103"/>
              <w:rPr>
                <w:rFonts w:hint="eastAsia"/>
                <w:color w:val="auto"/>
              </w:rPr>
            </w:pPr>
            <w:r>
              <w:rPr>
                <w:color w:val="auto"/>
                <w:spacing w:val="-1"/>
              </w:rPr>
              <w:t>A02010199</w:t>
            </w:r>
            <w:r>
              <w:rPr>
                <w:color w:val="auto"/>
                <w:spacing w:val="-29"/>
              </w:rPr>
              <w:t xml:space="preserve"> </w:t>
            </w:r>
            <w:r>
              <w:rPr>
                <w:color w:val="auto"/>
                <w:spacing w:val="-1"/>
              </w:rPr>
              <w:t>其他计算机设备</w:t>
            </w:r>
          </w:p>
        </w:tc>
        <w:tc>
          <w:tcPr>
            <w:tcW w:w="1956" w:type="dxa"/>
            <w:noWrap w:val="0"/>
            <w:vAlign w:val="top"/>
          </w:tcPr>
          <w:p w14:paraId="4ADC9002">
            <w:pPr>
              <w:rPr>
                <w:rFonts w:ascii="Arial"/>
                <w:color w:val="auto"/>
              </w:rPr>
            </w:pPr>
          </w:p>
        </w:tc>
        <w:tc>
          <w:tcPr>
            <w:tcW w:w="3081" w:type="dxa"/>
            <w:noWrap w:val="0"/>
            <w:vAlign w:val="top"/>
          </w:tcPr>
          <w:p w14:paraId="07E4A09F">
            <w:pPr>
              <w:pStyle w:val="871"/>
              <w:spacing w:before="64" w:line="219" w:lineRule="auto"/>
              <w:ind w:left="109"/>
              <w:rPr>
                <w:rFonts w:hint="eastAsia"/>
                <w:color w:val="auto"/>
                <w:lang w:eastAsia="zh-CN"/>
              </w:rPr>
            </w:pPr>
            <w:r>
              <w:rPr>
                <w:color w:val="auto"/>
                <w:spacing w:val="-1"/>
                <w:lang w:eastAsia="zh-CN"/>
              </w:rPr>
              <w:t>HJ2536</w:t>
            </w:r>
            <w:r>
              <w:rPr>
                <w:color w:val="auto"/>
                <w:spacing w:val="-28"/>
                <w:lang w:eastAsia="zh-CN"/>
              </w:rPr>
              <w:t xml:space="preserve"> </w:t>
            </w:r>
            <w:r>
              <w:rPr>
                <w:color w:val="auto"/>
                <w:spacing w:val="-1"/>
                <w:lang w:eastAsia="zh-CN"/>
              </w:rPr>
              <w:t>微型计算机、显示器</w:t>
            </w:r>
          </w:p>
        </w:tc>
      </w:tr>
      <w:tr w14:paraId="4247C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0014D716">
            <w:pPr>
              <w:pStyle w:val="871"/>
              <w:spacing w:before="93" w:line="183" w:lineRule="auto"/>
              <w:ind w:left="116"/>
              <w:rPr>
                <w:rFonts w:hint="eastAsia"/>
                <w:color w:val="auto"/>
              </w:rPr>
            </w:pPr>
            <w:r>
              <w:rPr>
                <w:color w:val="auto"/>
              </w:rPr>
              <w:t>2</w:t>
            </w:r>
          </w:p>
        </w:tc>
        <w:tc>
          <w:tcPr>
            <w:tcW w:w="1343" w:type="dxa"/>
            <w:vMerge w:val="restart"/>
            <w:tcBorders>
              <w:bottom w:val="nil"/>
            </w:tcBorders>
            <w:noWrap w:val="0"/>
            <w:vAlign w:val="top"/>
          </w:tcPr>
          <w:p w14:paraId="16FBE41F">
            <w:pPr>
              <w:pStyle w:val="871"/>
              <w:spacing w:before="65" w:line="307" w:lineRule="auto"/>
              <w:ind w:left="123" w:right="108" w:hanging="21"/>
              <w:rPr>
                <w:rFonts w:hint="eastAsia"/>
                <w:color w:val="auto"/>
              </w:rPr>
            </w:pPr>
            <w:r>
              <w:rPr>
                <w:color w:val="auto"/>
                <w:spacing w:val="3"/>
              </w:rPr>
              <w:t>A020106</w:t>
            </w:r>
            <w:r>
              <w:rPr>
                <w:color w:val="auto"/>
                <w:spacing w:val="34"/>
              </w:rPr>
              <w:t xml:space="preserve"> </w:t>
            </w:r>
            <w:r>
              <w:rPr>
                <w:color w:val="auto"/>
                <w:spacing w:val="3"/>
              </w:rPr>
              <w:t>输入输</w:t>
            </w:r>
            <w:r>
              <w:rPr>
                <w:color w:val="auto"/>
                <w:spacing w:val="-5"/>
              </w:rPr>
              <w:t>出设备</w:t>
            </w:r>
          </w:p>
        </w:tc>
        <w:tc>
          <w:tcPr>
            <w:tcW w:w="2324" w:type="dxa"/>
            <w:vMerge w:val="restart"/>
            <w:tcBorders>
              <w:bottom w:val="nil"/>
            </w:tcBorders>
            <w:noWrap w:val="0"/>
            <w:vAlign w:val="top"/>
          </w:tcPr>
          <w:p w14:paraId="5818DC21">
            <w:pPr>
              <w:pStyle w:val="871"/>
              <w:spacing w:before="64" w:line="220" w:lineRule="auto"/>
              <w:ind w:left="103"/>
              <w:rPr>
                <w:rFonts w:hint="eastAsia"/>
                <w:color w:val="auto"/>
              </w:rPr>
            </w:pPr>
            <w:r>
              <w:rPr>
                <w:color w:val="auto"/>
                <w:spacing w:val="-1"/>
              </w:rPr>
              <w:t>A02010601</w:t>
            </w:r>
            <w:r>
              <w:rPr>
                <w:color w:val="auto"/>
                <w:spacing w:val="-31"/>
              </w:rPr>
              <w:t xml:space="preserve"> </w:t>
            </w:r>
            <w:r>
              <w:rPr>
                <w:color w:val="auto"/>
                <w:spacing w:val="-1"/>
              </w:rPr>
              <w:t>打印设备</w:t>
            </w:r>
          </w:p>
        </w:tc>
        <w:tc>
          <w:tcPr>
            <w:tcW w:w="1956" w:type="dxa"/>
            <w:noWrap w:val="0"/>
            <w:vAlign w:val="top"/>
          </w:tcPr>
          <w:p w14:paraId="731424F0">
            <w:pPr>
              <w:pStyle w:val="871"/>
              <w:spacing w:before="65" w:line="219" w:lineRule="auto"/>
              <w:ind w:left="105"/>
              <w:rPr>
                <w:rFonts w:hint="eastAsia"/>
                <w:color w:val="auto"/>
              </w:rPr>
            </w:pPr>
            <w:r>
              <w:rPr>
                <w:color w:val="auto"/>
              </w:rPr>
              <w:t>A0201060101 喷墨打印机</w:t>
            </w:r>
          </w:p>
        </w:tc>
        <w:tc>
          <w:tcPr>
            <w:tcW w:w="3081" w:type="dxa"/>
            <w:noWrap w:val="0"/>
            <w:vAlign w:val="top"/>
          </w:tcPr>
          <w:p w14:paraId="39688F3F">
            <w:pPr>
              <w:pStyle w:val="871"/>
              <w:spacing w:before="64" w:line="219" w:lineRule="auto"/>
              <w:ind w:left="109"/>
              <w:rPr>
                <w:rFonts w:hint="eastAsia"/>
                <w:color w:val="auto"/>
                <w:lang w:eastAsia="zh-CN"/>
              </w:rPr>
            </w:pPr>
            <w:r>
              <w:rPr>
                <w:color w:val="auto"/>
                <w:spacing w:val="-1"/>
                <w:lang w:eastAsia="zh-CN"/>
              </w:rPr>
              <w:t>HJ2512</w:t>
            </w:r>
            <w:r>
              <w:rPr>
                <w:color w:val="auto"/>
                <w:spacing w:val="-29"/>
                <w:lang w:eastAsia="zh-CN"/>
              </w:rPr>
              <w:t xml:space="preserve"> </w:t>
            </w:r>
            <w:r>
              <w:rPr>
                <w:color w:val="auto"/>
                <w:spacing w:val="-1"/>
                <w:lang w:eastAsia="zh-CN"/>
              </w:rPr>
              <w:t>打印机、传真机及多功能一体机</w:t>
            </w:r>
          </w:p>
        </w:tc>
      </w:tr>
      <w:tr w14:paraId="536C3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0C5B3F5E">
            <w:pPr>
              <w:rPr>
                <w:rFonts w:ascii="Arial"/>
                <w:color w:val="auto"/>
              </w:rPr>
            </w:pPr>
          </w:p>
        </w:tc>
        <w:tc>
          <w:tcPr>
            <w:tcW w:w="1343" w:type="dxa"/>
            <w:vMerge w:val="continue"/>
            <w:tcBorders>
              <w:top w:val="nil"/>
              <w:bottom w:val="nil"/>
            </w:tcBorders>
            <w:noWrap w:val="0"/>
            <w:vAlign w:val="top"/>
          </w:tcPr>
          <w:p w14:paraId="4DFE8AB0">
            <w:pPr>
              <w:rPr>
                <w:rFonts w:ascii="Arial"/>
                <w:color w:val="auto"/>
              </w:rPr>
            </w:pPr>
          </w:p>
        </w:tc>
        <w:tc>
          <w:tcPr>
            <w:tcW w:w="2324" w:type="dxa"/>
            <w:vMerge w:val="continue"/>
            <w:tcBorders>
              <w:top w:val="nil"/>
              <w:bottom w:val="nil"/>
            </w:tcBorders>
            <w:noWrap w:val="0"/>
            <w:vAlign w:val="top"/>
          </w:tcPr>
          <w:p w14:paraId="2F855283">
            <w:pPr>
              <w:rPr>
                <w:rFonts w:ascii="Arial"/>
                <w:color w:val="auto"/>
              </w:rPr>
            </w:pPr>
          </w:p>
        </w:tc>
        <w:tc>
          <w:tcPr>
            <w:tcW w:w="1956" w:type="dxa"/>
            <w:noWrap w:val="0"/>
            <w:vAlign w:val="top"/>
          </w:tcPr>
          <w:p w14:paraId="65FF75AD">
            <w:pPr>
              <w:pStyle w:val="871"/>
              <w:spacing w:before="64" w:line="219" w:lineRule="auto"/>
              <w:ind w:left="105"/>
              <w:rPr>
                <w:rFonts w:hint="eastAsia"/>
                <w:color w:val="auto"/>
              </w:rPr>
            </w:pPr>
            <w:r>
              <w:rPr>
                <w:color w:val="auto"/>
              </w:rPr>
              <w:t>A0201060102 激光打印机</w:t>
            </w:r>
          </w:p>
        </w:tc>
        <w:tc>
          <w:tcPr>
            <w:tcW w:w="3081" w:type="dxa"/>
            <w:noWrap w:val="0"/>
            <w:vAlign w:val="top"/>
          </w:tcPr>
          <w:p w14:paraId="720755D2">
            <w:pPr>
              <w:pStyle w:val="871"/>
              <w:spacing w:before="64" w:line="219" w:lineRule="auto"/>
              <w:ind w:left="109"/>
              <w:rPr>
                <w:rFonts w:hint="eastAsia"/>
                <w:color w:val="auto"/>
                <w:lang w:eastAsia="zh-CN"/>
              </w:rPr>
            </w:pPr>
            <w:r>
              <w:rPr>
                <w:color w:val="auto"/>
                <w:spacing w:val="-1"/>
                <w:lang w:eastAsia="zh-CN"/>
              </w:rPr>
              <w:t>HJ2512</w:t>
            </w:r>
            <w:r>
              <w:rPr>
                <w:color w:val="auto"/>
                <w:spacing w:val="-29"/>
                <w:lang w:eastAsia="zh-CN"/>
              </w:rPr>
              <w:t xml:space="preserve"> </w:t>
            </w:r>
            <w:r>
              <w:rPr>
                <w:color w:val="auto"/>
                <w:spacing w:val="-1"/>
                <w:lang w:eastAsia="zh-CN"/>
              </w:rPr>
              <w:t>打印机、传真机及多功能一体机</w:t>
            </w:r>
          </w:p>
        </w:tc>
      </w:tr>
      <w:tr w14:paraId="4A9D5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noWrap w:val="0"/>
            <w:vAlign w:val="top"/>
          </w:tcPr>
          <w:p w14:paraId="04CCEBF8">
            <w:pPr>
              <w:rPr>
                <w:rFonts w:ascii="Arial"/>
                <w:color w:val="auto"/>
              </w:rPr>
            </w:pPr>
          </w:p>
        </w:tc>
        <w:tc>
          <w:tcPr>
            <w:tcW w:w="1343" w:type="dxa"/>
            <w:vMerge w:val="continue"/>
            <w:tcBorders>
              <w:top w:val="nil"/>
              <w:bottom w:val="nil"/>
            </w:tcBorders>
            <w:noWrap w:val="0"/>
            <w:vAlign w:val="top"/>
          </w:tcPr>
          <w:p w14:paraId="385CAC78">
            <w:pPr>
              <w:rPr>
                <w:rFonts w:ascii="Arial"/>
                <w:color w:val="auto"/>
              </w:rPr>
            </w:pPr>
          </w:p>
        </w:tc>
        <w:tc>
          <w:tcPr>
            <w:tcW w:w="2324" w:type="dxa"/>
            <w:vMerge w:val="continue"/>
            <w:tcBorders>
              <w:top w:val="nil"/>
              <w:bottom w:val="nil"/>
            </w:tcBorders>
            <w:noWrap w:val="0"/>
            <w:vAlign w:val="top"/>
          </w:tcPr>
          <w:p w14:paraId="4052F52C">
            <w:pPr>
              <w:rPr>
                <w:rFonts w:ascii="Arial"/>
                <w:color w:val="auto"/>
              </w:rPr>
            </w:pPr>
          </w:p>
        </w:tc>
        <w:tc>
          <w:tcPr>
            <w:tcW w:w="1956" w:type="dxa"/>
            <w:noWrap w:val="0"/>
            <w:vAlign w:val="top"/>
          </w:tcPr>
          <w:p w14:paraId="25DE99CA">
            <w:pPr>
              <w:pStyle w:val="871"/>
              <w:spacing w:before="64" w:line="219" w:lineRule="auto"/>
              <w:ind w:left="105"/>
              <w:rPr>
                <w:rFonts w:hint="eastAsia"/>
                <w:color w:val="auto"/>
              </w:rPr>
            </w:pPr>
            <w:r>
              <w:rPr>
                <w:color w:val="auto"/>
              </w:rPr>
              <w:t>A0201060103 热式打印机</w:t>
            </w:r>
          </w:p>
        </w:tc>
        <w:tc>
          <w:tcPr>
            <w:tcW w:w="3081" w:type="dxa"/>
            <w:noWrap w:val="0"/>
            <w:vAlign w:val="top"/>
          </w:tcPr>
          <w:p w14:paraId="13FE6FE6">
            <w:pPr>
              <w:pStyle w:val="871"/>
              <w:spacing w:before="64" w:line="219" w:lineRule="auto"/>
              <w:ind w:left="109"/>
              <w:rPr>
                <w:rFonts w:hint="eastAsia"/>
                <w:color w:val="auto"/>
                <w:lang w:eastAsia="zh-CN"/>
              </w:rPr>
            </w:pPr>
            <w:r>
              <w:rPr>
                <w:color w:val="auto"/>
                <w:spacing w:val="-1"/>
                <w:lang w:eastAsia="zh-CN"/>
              </w:rPr>
              <w:t>HJ2512</w:t>
            </w:r>
            <w:r>
              <w:rPr>
                <w:color w:val="auto"/>
                <w:spacing w:val="-29"/>
                <w:lang w:eastAsia="zh-CN"/>
              </w:rPr>
              <w:t xml:space="preserve"> </w:t>
            </w:r>
            <w:r>
              <w:rPr>
                <w:color w:val="auto"/>
                <w:spacing w:val="-1"/>
                <w:lang w:eastAsia="zh-CN"/>
              </w:rPr>
              <w:t>打印机、传真机及多功能一体机</w:t>
            </w:r>
          </w:p>
        </w:tc>
      </w:tr>
      <w:tr w14:paraId="25E86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3836E6AE">
            <w:pPr>
              <w:rPr>
                <w:rFonts w:ascii="Arial"/>
                <w:color w:val="auto"/>
              </w:rPr>
            </w:pPr>
          </w:p>
        </w:tc>
        <w:tc>
          <w:tcPr>
            <w:tcW w:w="1343" w:type="dxa"/>
            <w:vMerge w:val="continue"/>
            <w:tcBorders>
              <w:top w:val="nil"/>
              <w:bottom w:val="nil"/>
            </w:tcBorders>
            <w:noWrap w:val="0"/>
            <w:vAlign w:val="top"/>
          </w:tcPr>
          <w:p w14:paraId="7F870587">
            <w:pPr>
              <w:rPr>
                <w:rFonts w:ascii="Arial"/>
                <w:color w:val="auto"/>
              </w:rPr>
            </w:pPr>
          </w:p>
        </w:tc>
        <w:tc>
          <w:tcPr>
            <w:tcW w:w="2324" w:type="dxa"/>
            <w:vMerge w:val="continue"/>
            <w:tcBorders>
              <w:top w:val="nil"/>
            </w:tcBorders>
            <w:noWrap w:val="0"/>
            <w:vAlign w:val="top"/>
          </w:tcPr>
          <w:p w14:paraId="6BD1E592">
            <w:pPr>
              <w:rPr>
                <w:rFonts w:ascii="Arial"/>
                <w:color w:val="auto"/>
              </w:rPr>
            </w:pPr>
          </w:p>
        </w:tc>
        <w:tc>
          <w:tcPr>
            <w:tcW w:w="1956" w:type="dxa"/>
            <w:noWrap w:val="0"/>
            <w:vAlign w:val="top"/>
          </w:tcPr>
          <w:p w14:paraId="1F93608E">
            <w:pPr>
              <w:pStyle w:val="871"/>
              <w:spacing w:before="65" w:line="219" w:lineRule="auto"/>
              <w:ind w:left="105"/>
              <w:rPr>
                <w:rFonts w:hint="eastAsia"/>
                <w:color w:val="auto"/>
              </w:rPr>
            </w:pPr>
            <w:r>
              <w:rPr>
                <w:color w:val="auto"/>
              </w:rPr>
              <w:t>A0201060104 针式打印机</w:t>
            </w:r>
          </w:p>
        </w:tc>
        <w:tc>
          <w:tcPr>
            <w:tcW w:w="3081" w:type="dxa"/>
            <w:noWrap w:val="0"/>
            <w:vAlign w:val="top"/>
          </w:tcPr>
          <w:p w14:paraId="6FECBD08">
            <w:pPr>
              <w:pStyle w:val="871"/>
              <w:spacing w:before="64" w:line="219" w:lineRule="auto"/>
              <w:ind w:left="109"/>
              <w:rPr>
                <w:rFonts w:hint="eastAsia"/>
                <w:color w:val="auto"/>
                <w:lang w:eastAsia="zh-CN"/>
              </w:rPr>
            </w:pPr>
            <w:r>
              <w:rPr>
                <w:color w:val="auto"/>
                <w:spacing w:val="-1"/>
                <w:lang w:eastAsia="zh-CN"/>
              </w:rPr>
              <w:t>HJ2512</w:t>
            </w:r>
            <w:r>
              <w:rPr>
                <w:color w:val="auto"/>
                <w:spacing w:val="-29"/>
                <w:lang w:eastAsia="zh-CN"/>
              </w:rPr>
              <w:t xml:space="preserve"> </w:t>
            </w:r>
            <w:r>
              <w:rPr>
                <w:color w:val="auto"/>
                <w:spacing w:val="-1"/>
                <w:lang w:eastAsia="zh-CN"/>
              </w:rPr>
              <w:t>打印机、传真机及多功能一体机</w:t>
            </w:r>
          </w:p>
        </w:tc>
      </w:tr>
      <w:tr w14:paraId="1CE00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6C88D462">
            <w:pPr>
              <w:rPr>
                <w:rFonts w:ascii="Arial"/>
                <w:color w:val="auto"/>
              </w:rPr>
            </w:pPr>
          </w:p>
        </w:tc>
        <w:tc>
          <w:tcPr>
            <w:tcW w:w="1343" w:type="dxa"/>
            <w:vMerge w:val="continue"/>
            <w:tcBorders>
              <w:top w:val="nil"/>
              <w:bottom w:val="nil"/>
            </w:tcBorders>
            <w:noWrap w:val="0"/>
            <w:vAlign w:val="top"/>
          </w:tcPr>
          <w:p w14:paraId="1C1D8DD3">
            <w:pPr>
              <w:rPr>
                <w:rFonts w:ascii="Arial"/>
                <w:color w:val="auto"/>
              </w:rPr>
            </w:pPr>
          </w:p>
        </w:tc>
        <w:tc>
          <w:tcPr>
            <w:tcW w:w="2324" w:type="dxa"/>
            <w:vMerge w:val="restart"/>
            <w:tcBorders>
              <w:bottom w:val="nil"/>
            </w:tcBorders>
            <w:noWrap w:val="0"/>
            <w:vAlign w:val="top"/>
          </w:tcPr>
          <w:p w14:paraId="005A01CA">
            <w:pPr>
              <w:pStyle w:val="871"/>
              <w:spacing w:before="64" w:line="222" w:lineRule="auto"/>
              <w:ind w:left="103"/>
              <w:rPr>
                <w:rFonts w:hint="eastAsia"/>
                <w:color w:val="auto"/>
              </w:rPr>
            </w:pPr>
            <w:r>
              <w:rPr>
                <w:color w:val="auto"/>
              </w:rPr>
              <w:t>A02010604 显示设备</w:t>
            </w:r>
          </w:p>
        </w:tc>
        <w:tc>
          <w:tcPr>
            <w:tcW w:w="1956" w:type="dxa"/>
            <w:noWrap w:val="0"/>
            <w:vAlign w:val="top"/>
          </w:tcPr>
          <w:p w14:paraId="094216B2">
            <w:pPr>
              <w:pStyle w:val="871"/>
              <w:spacing w:before="64" w:line="221" w:lineRule="auto"/>
              <w:ind w:left="105"/>
              <w:rPr>
                <w:rFonts w:hint="eastAsia"/>
                <w:color w:val="auto"/>
              </w:rPr>
            </w:pPr>
            <w:r>
              <w:rPr>
                <w:color w:val="auto"/>
              </w:rPr>
              <w:t>A0201060401 液晶显示器</w:t>
            </w:r>
          </w:p>
        </w:tc>
        <w:tc>
          <w:tcPr>
            <w:tcW w:w="3081" w:type="dxa"/>
            <w:noWrap w:val="0"/>
            <w:vAlign w:val="top"/>
          </w:tcPr>
          <w:p w14:paraId="1963F1A0">
            <w:pPr>
              <w:pStyle w:val="871"/>
              <w:spacing w:before="64" w:line="219" w:lineRule="auto"/>
              <w:ind w:left="109"/>
              <w:rPr>
                <w:rFonts w:hint="eastAsia"/>
                <w:color w:val="auto"/>
                <w:lang w:eastAsia="zh-CN"/>
              </w:rPr>
            </w:pPr>
            <w:r>
              <w:rPr>
                <w:color w:val="auto"/>
                <w:spacing w:val="-1"/>
                <w:lang w:eastAsia="zh-CN"/>
              </w:rPr>
              <w:t>HJ2536</w:t>
            </w:r>
            <w:r>
              <w:rPr>
                <w:color w:val="auto"/>
                <w:spacing w:val="-28"/>
                <w:lang w:eastAsia="zh-CN"/>
              </w:rPr>
              <w:t xml:space="preserve"> </w:t>
            </w:r>
            <w:r>
              <w:rPr>
                <w:color w:val="auto"/>
                <w:spacing w:val="-1"/>
                <w:lang w:eastAsia="zh-CN"/>
              </w:rPr>
              <w:t>微型计算机、显示器</w:t>
            </w:r>
          </w:p>
        </w:tc>
      </w:tr>
      <w:tr w14:paraId="12B14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noWrap w:val="0"/>
            <w:vAlign w:val="top"/>
          </w:tcPr>
          <w:p w14:paraId="19BB8F18">
            <w:pPr>
              <w:rPr>
                <w:rFonts w:ascii="Arial"/>
                <w:color w:val="auto"/>
              </w:rPr>
            </w:pPr>
          </w:p>
        </w:tc>
        <w:tc>
          <w:tcPr>
            <w:tcW w:w="1343" w:type="dxa"/>
            <w:vMerge w:val="continue"/>
            <w:tcBorders>
              <w:top w:val="nil"/>
              <w:bottom w:val="nil"/>
            </w:tcBorders>
            <w:noWrap w:val="0"/>
            <w:vAlign w:val="top"/>
          </w:tcPr>
          <w:p w14:paraId="52CD0170">
            <w:pPr>
              <w:rPr>
                <w:rFonts w:ascii="Arial"/>
                <w:color w:val="auto"/>
              </w:rPr>
            </w:pPr>
          </w:p>
        </w:tc>
        <w:tc>
          <w:tcPr>
            <w:tcW w:w="2324" w:type="dxa"/>
            <w:vMerge w:val="continue"/>
            <w:tcBorders>
              <w:top w:val="nil"/>
            </w:tcBorders>
            <w:noWrap w:val="0"/>
            <w:vAlign w:val="top"/>
          </w:tcPr>
          <w:p w14:paraId="6B4E939F">
            <w:pPr>
              <w:rPr>
                <w:rFonts w:ascii="Arial"/>
                <w:color w:val="auto"/>
              </w:rPr>
            </w:pPr>
          </w:p>
        </w:tc>
        <w:tc>
          <w:tcPr>
            <w:tcW w:w="1956" w:type="dxa"/>
            <w:noWrap w:val="0"/>
            <w:vAlign w:val="top"/>
          </w:tcPr>
          <w:p w14:paraId="2A6AF9D1">
            <w:pPr>
              <w:pStyle w:val="871"/>
              <w:spacing w:before="64" w:line="221" w:lineRule="auto"/>
              <w:ind w:left="105"/>
              <w:rPr>
                <w:rFonts w:hint="eastAsia"/>
                <w:color w:val="auto"/>
              </w:rPr>
            </w:pPr>
            <w:r>
              <w:rPr>
                <w:color w:val="auto"/>
              </w:rPr>
              <w:t>A0201060499 其他显示器</w:t>
            </w:r>
          </w:p>
        </w:tc>
        <w:tc>
          <w:tcPr>
            <w:tcW w:w="3081" w:type="dxa"/>
            <w:noWrap w:val="0"/>
            <w:vAlign w:val="top"/>
          </w:tcPr>
          <w:p w14:paraId="5BFBD6D3">
            <w:pPr>
              <w:pStyle w:val="871"/>
              <w:spacing w:before="63" w:line="219" w:lineRule="auto"/>
              <w:ind w:left="109"/>
              <w:rPr>
                <w:rFonts w:hint="eastAsia"/>
                <w:color w:val="auto"/>
                <w:lang w:eastAsia="zh-CN"/>
              </w:rPr>
            </w:pPr>
            <w:r>
              <w:rPr>
                <w:color w:val="auto"/>
                <w:spacing w:val="-1"/>
                <w:lang w:eastAsia="zh-CN"/>
              </w:rPr>
              <w:t>HJ2536</w:t>
            </w:r>
            <w:r>
              <w:rPr>
                <w:color w:val="auto"/>
                <w:spacing w:val="-28"/>
                <w:lang w:eastAsia="zh-CN"/>
              </w:rPr>
              <w:t xml:space="preserve"> </w:t>
            </w:r>
            <w:r>
              <w:rPr>
                <w:color w:val="auto"/>
                <w:spacing w:val="-1"/>
                <w:lang w:eastAsia="zh-CN"/>
              </w:rPr>
              <w:t>微型计算机、显示器</w:t>
            </w:r>
          </w:p>
        </w:tc>
      </w:tr>
      <w:tr w14:paraId="72677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1D5EFEEA">
            <w:pPr>
              <w:rPr>
                <w:rFonts w:ascii="Arial"/>
                <w:color w:val="auto"/>
              </w:rPr>
            </w:pPr>
          </w:p>
        </w:tc>
        <w:tc>
          <w:tcPr>
            <w:tcW w:w="1343" w:type="dxa"/>
            <w:vMerge w:val="continue"/>
            <w:tcBorders>
              <w:top w:val="nil"/>
            </w:tcBorders>
            <w:noWrap w:val="0"/>
            <w:vAlign w:val="top"/>
          </w:tcPr>
          <w:p w14:paraId="325BC9AA">
            <w:pPr>
              <w:rPr>
                <w:rFonts w:ascii="Arial"/>
                <w:color w:val="auto"/>
              </w:rPr>
            </w:pPr>
          </w:p>
        </w:tc>
        <w:tc>
          <w:tcPr>
            <w:tcW w:w="2324" w:type="dxa"/>
            <w:noWrap w:val="0"/>
            <w:vAlign w:val="top"/>
          </w:tcPr>
          <w:p w14:paraId="38DD393E">
            <w:pPr>
              <w:pStyle w:val="871"/>
              <w:spacing w:before="64" w:line="220" w:lineRule="auto"/>
              <w:ind w:left="103"/>
              <w:rPr>
                <w:rFonts w:hint="eastAsia"/>
                <w:color w:val="auto"/>
              </w:rPr>
            </w:pPr>
            <w:r>
              <w:rPr>
                <w:color w:val="auto"/>
                <w:spacing w:val="-2"/>
              </w:rPr>
              <w:t>A02010609</w:t>
            </w:r>
            <w:r>
              <w:rPr>
                <w:color w:val="auto"/>
                <w:spacing w:val="-9"/>
              </w:rPr>
              <w:t xml:space="preserve"> </w:t>
            </w:r>
            <w:r>
              <w:rPr>
                <w:color w:val="auto"/>
                <w:spacing w:val="-2"/>
              </w:rPr>
              <w:t>图形图像输入设备</w:t>
            </w:r>
          </w:p>
        </w:tc>
        <w:tc>
          <w:tcPr>
            <w:tcW w:w="1956" w:type="dxa"/>
            <w:noWrap w:val="0"/>
            <w:vAlign w:val="top"/>
          </w:tcPr>
          <w:p w14:paraId="0D37B2C1">
            <w:pPr>
              <w:pStyle w:val="871"/>
              <w:spacing w:before="64" w:line="220" w:lineRule="auto"/>
              <w:ind w:left="105"/>
              <w:rPr>
                <w:rFonts w:hint="eastAsia"/>
                <w:color w:val="auto"/>
              </w:rPr>
            </w:pPr>
            <w:r>
              <w:rPr>
                <w:color w:val="auto"/>
              </w:rPr>
              <w:t>A0201060901 扫描仪</w:t>
            </w:r>
          </w:p>
        </w:tc>
        <w:tc>
          <w:tcPr>
            <w:tcW w:w="3081" w:type="dxa"/>
            <w:noWrap w:val="0"/>
            <w:vAlign w:val="top"/>
          </w:tcPr>
          <w:p w14:paraId="751030EC">
            <w:pPr>
              <w:pStyle w:val="871"/>
              <w:spacing w:before="64" w:line="219" w:lineRule="auto"/>
              <w:ind w:left="109"/>
              <w:rPr>
                <w:rFonts w:hint="eastAsia"/>
                <w:color w:val="auto"/>
              </w:rPr>
            </w:pPr>
            <w:r>
              <w:rPr>
                <w:color w:val="auto"/>
                <w:spacing w:val="-1"/>
              </w:rPr>
              <w:t>HJ2517</w:t>
            </w:r>
            <w:r>
              <w:rPr>
                <w:color w:val="auto"/>
                <w:spacing w:val="-34"/>
              </w:rPr>
              <w:t xml:space="preserve"> </w:t>
            </w:r>
            <w:r>
              <w:rPr>
                <w:color w:val="auto"/>
                <w:spacing w:val="-1"/>
              </w:rPr>
              <w:t>扫描仪</w:t>
            </w:r>
          </w:p>
        </w:tc>
      </w:tr>
      <w:tr w14:paraId="70077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noWrap w:val="0"/>
            <w:vAlign w:val="top"/>
          </w:tcPr>
          <w:p w14:paraId="038A6883">
            <w:pPr>
              <w:pStyle w:val="871"/>
              <w:spacing w:before="93" w:line="183" w:lineRule="auto"/>
              <w:ind w:left="118"/>
              <w:rPr>
                <w:rFonts w:hint="eastAsia"/>
                <w:color w:val="auto"/>
              </w:rPr>
            </w:pPr>
            <w:r>
              <w:rPr>
                <w:color w:val="auto"/>
              </w:rPr>
              <w:t>3</w:t>
            </w:r>
          </w:p>
        </w:tc>
        <w:tc>
          <w:tcPr>
            <w:tcW w:w="1343" w:type="dxa"/>
            <w:noWrap w:val="0"/>
            <w:vAlign w:val="top"/>
          </w:tcPr>
          <w:p w14:paraId="79604C63">
            <w:pPr>
              <w:pStyle w:val="871"/>
              <w:spacing w:before="64" w:line="220" w:lineRule="auto"/>
              <w:ind w:left="102"/>
              <w:rPr>
                <w:rFonts w:hint="eastAsia"/>
                <w:color w:val="auto"/>
              </w:rPr>
            </w:pPr>
            <w:r>
              <w:rPr>
                <w:color w:val="auto"/>
                <w:spacing w:val="-1"/>
              </w:rPr>
              <w:t>A020202</w:t>
            </w:r>
            <w:r>
              <w:rPr>
                <w:color w:val="auto"/>
                <w:spacing w:val="-33"/>
              </w:rPr>
              <w:t xml:space="preserve"> </w:t>
            </w:r>
            <w:r>
              <w:rPr>
                <w:color w:val="auto"/>
                <w:spacing w:val="-1"/>
              </w:rPr>
              <w:t>投影仪</w:t>
            </w:r>
          </w:p>
        </w:tc>
        <w:tc>
          <w:tcPr>
            <w:tcW w:w="2324" w:type="dxa"/>
            <w:noWrap w:val="0"/>
            <w:vAlign w:val="top"/>
          </w:tcPr>
          <w:p w14:paraId="3F733950">
            <w:pPr>
              <w:rPr>
                <w:rFonts w:ascii="Arial"/>
                <w:color w:val="auto"/>
              </w:rPr>
            </w:pPr>
          </w:p>
        </w:tc>
        <w:tc>
          <w:tcPr>
            <w:tcW w:w="1956" w:type="dxa"/>
            <w:noWrap w:val="0"/>
            <w:vAlign w:val="top"/>
          </w:tcPr>
          <w:p w14:paraId="358C7152">
            <w:pPr>
              <w:rPr>
                <w:rFonts w:ascii="Arial"/>
                <w:color w:val="auto"/>
              </w:rPr>
            </w:pPr>
          </w:p>
        </w:tc>
        <w:tc>
          <w:tcPr>
            <w:tcW w:w="3081" w:type="dxa"/>
            <w:noWrap w:val="0"/>
            <w:vAlign w:val="top"/>
          </w:tcPr>
          <w:p w14:paraId="4E6C5B4C">
            <w:pPr>
              <w:pStyle w:val="871"/>
              <w:spacing w:before="64" w:line="219" w:lineRule="auto"/>
              <w:ind w:left="109"/>
              <w:rPr>
                <w:rFonts w:hint="eastAsia"/>
                <w:color w:val="auto"/>
              </w:rPr>
            </w:pPr>
            <w:r>
              <w:rPr>
                <w:color w:val="auto"/>
                <w:spacing w:val="-1"/>
              </w:rPr>
              <w:t>HJ2516</w:t>
            </w:r>
            <w:r>
              <w:rPr>
                <w:color w:val="auto"/>
                <w:spacing w:val="-34"/>
              </w:rPr>
              <w:t xml:space="preserve"> </w:t>
            </w:r>
            <w:r>
              <w:rPr>
                <w:color w:val="auto"/>
                <w:spacing w:val="-1"/>
              </w:rPr>
              <w:t>投影仪</w:t>
            </w:r>
          </w:p>
        </w:tc>
      </w:tr>
      <w:tr w14:paraId="659DB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noWrap w:val="0"/>
            <w:vAlign w:val="top"/>
          </w:tcPr>
          <w:p w14:paraId="3AE0A85E">
            <w:pPr>
              <w:pStyle w:val="871"/>
              <w:spacing w:before="92" w:line="183" w:lineRule="auto"/>
              <w:ind w:left="114"/>
              <w:rPr>
                <w:rFonts w:hint="eastAsia"/>
                <w:color w:val="auto"/>
              </w:rPr>
            </w:pPr>
            <w:r>
              <w:rPr>
                <w:color w:val="auto"/>
              </w:rPr>
              <w:t>4</w:t>
            </w:r>
          </w:p>
        </w:tc>
        <w:tc>
          <w:tcPr>
            <w:tcW w:w="1343" w:type="dxa"/>
            <w:noWrap w:val="0"/>
            <w:vAlign w:val="top"/>
          </w:tcPr>
          <w:p w14:paraId="718FBD8D">
            <w:pPr>
              <w:pStyle w:val="871"/>
              <w:spacing w:before="64" w:line="219" w:lineRule="auto"/>
              <w:ind w:left="102"/>
              <w:rPr>
                <w:rFonts w:hint="eastAsia"/>
                <w:color w:val="auto"/>
              </w:rPr>
            </w:pPr>
            <w:r>
              <w:rPr>
                <w:color w:val="auto"/>
                <w:spacing w:val="-1"/>
              </w:rPr>
              <w:t>A020201</w:t>
            </w:r>
            <w:r>
              <w:rPr>
                <w:color w:val="auto"/>
                <w:spacing w:val="-32"/>
              </w:rPr>
              <w:t xml:space="preserve"> </w:t>
            </w:r>
            <w:r>
              <w:rPr>
                <w:color w:val="auto"/>
                <w:spacing w:val="-1"/>
              </w:rPr>
              <w:t>复印机</w:t>
            </w:r>
          </w:p>
        </w:tc>
        <w:tc>
          <w:tcPr>
            <w:tcW w:w="2324" w:type="dxa"/>
            <w:noWrap w:val="0"/>
            <w:vAlign w:val="top"/>
          </w:tcPr>
          <w:p w14:paraId="10734B12">
            <w:pPr>
              <w:rPr>
                <w:rFonts w:ascii="Arial"/>
                <w:color w:val="auto"/>
              </w:rPr>
            </w:pPr>
          </w:p>
        </w:tc>
        <w:tc>
          <w:tcPr>
            <w:tcW w:w="1956" w:type="dxa"/>
            <w:noWrap w:val="0"/>
            <w:vAlign w:val="top"/>
          </w:tcPr>
          <w:p w14:paraId="4E637B67">
            <w:pPr>
              <w:rPr>
                <w:rFonts w:ascii="Arial"/>
                <w:color w:val="auto"/>
              </w:rPr>
            </w:pPr>
          </w:p>
        </w:tc>
        <w:tc>
          <w:tcPr>
            <w:tcW w:w="3081" w:type="dxa"/>
            <w:noWrap w:val="0"/>
            <w:vAlign w:val="top"/>
          </w:tcPr>
          <w:p w14:paraId="5D51FCD2">
            <w:pPr>
              <w:pStyle w:val="871"/>
              <w:spacing w:before="64" w:line="219" w:lineRule="auto"/>
              <w:ind w:left="109"/>
              <w:rPr>
                <w:rFonts w:hint="eastAsia"/>
                <w:color w:val="auto"/>
                <w:lang w:eastAsia="zh-CN"/>
              </w:rPr>
            </w:pPr>
            <w:r>
              <w:rPr>
                <w:color w:val="auto"/>
                <w:lang w:eastAsia="zh-CN"/>
              </w:rPr>
              <w:t>HJ424 数字式复印（包括多功能）设备</w:t>
            </w:r>
          </w:p>
        </w:tc>
      </w:tr>
      <w:tr w14:paraId="60B6F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6F2B15BE">
            <w:pPr>
              <w:pStyle w:val="871"/>
              <w:spacing w:before="94" w:line="182" w:lineRule="auto"/>
              <w:ind w:left="118"/>
              <w:rPr>
                <w:rFonts w:hint="eastAsia"/>
                <w:color w:val="auto"/>
              </w:rPr>
            </w:pPr>
            <w:r>
              <w:rPr>
                <w:color w:val="auto"/>
              </w:rPr>
              <w:t>5</w:t>
            </w:r>
          </w:p>
        </w:tc>
        <w:tc>
          <w:tcPr>
            <w:tcW w:w="1343" w:type="dxa"/>
            <w:noWrap w:val="0"/>
            <w:vAlign w:val="top"/>
          </w:tcPr>
          <w:p w14:paraId="6E799344">
            <w:pPr>
              <w:pStyle w:val="871"/>
              <w:spacing w:before="64" w:line="284" w:lineRule="auto"/>
              <w:ind w:left="110" w:right="108" w:hanging="8"/>
              <w:rPr>
                <w:rFonts w:hint="eastAsia"/>
                <w:color w:val="auto"/>
              </w:rPr>
            </w:pPr>
            <w:r>
              <w:rPr>
                <w:color w:val="auto"/>
                <w:spacing w:val="2"/>
              </w:rPr>
              <w:t>A020204</w:t>
            </w:r>
            <w:r>
              <w:rPr>
                <w:color w:val="auto"/>
                <w:spacing w:val="44"/>
              </w:rPr>
              <w:t xml:space="preserve"> </w:t>
            </w:r>
            <w:r>
              <w:rPr>
                <w:color w:val="auto"/>
                <w:spacing w:val="2"/>
              </w:rPr>
              <w:t>多功能</w:t>
            </w:r>
            <w:r>
              <w:rPr>
                <w:color w:val="auto"/>
                <w:spacing w:val="-4"/>
              </w:rPr>
              <w:t>一体机</w:t>
            </w:r>
          </w:p>
        </w:tc>
        <w:tc>
          <w:tcPr>
            <w:tcW w:w="2324" w:type="dxa"/>
            <w:noWrap w:val="0"/>
            <w:vAlign w:val="top"/>
          </w:tcPr>
          <w:p w14:paraId="6007DD7A">
            <w:pPr>
              <w:rPr>
                <w:rFonts w:ascii="Arial"/>
                <w:color w:val="auto"/>
              </w:rPr>
            </w:pPr>
          </w:p>
        </w:tc>
        <w:tc>
          <w:tcPr>
            <w:tcW w:w="1956" w:type="dxa"/>
            <w:noWrap w:val="0"/>
            <w:vAlign w:val="top"/>
          </w:tcPr>
          <w:p w14:paraId="31F5AFE7">
            <w:pPr>
              <w:rPr>
                <w:rFonts w:ascii="Arial"/>
                <w:color w:val="auto"/>
              </w:rPr>
            </w:pPr>
          </w:p>
        </w:tc>
        <w:tc>
          <w:tcPr>
            <w:tcW w:w="3081" w:type="dxa"/>
            <w:noWrap w:val="0"/>
            <w:vAlign w:val="top"/>
          </w:tcPr>
          <w:p w14:paraId="0E7EC9C2">
            <w:pPr>
              <w:pStyle w:val="871"/>
              <w:spacing w:before="64" w:line="219" w:lineRule="auto"/>
              <w:ind w:left="109"/>
              <w:rPr>
                <w:rFonts w:hint="eastAsia"/>
                <w:color w:val="auto"/>
                <w:lang w:eastAsia="zh-CN"/>
              </w:rPr>
            </w:pPr>
            <w:r>
              <w:rPr>
                <w:color w:val="auto"/>
                <w:lang w:eastAsia="zh-CN"/>
              </w:rPr>
              <w:t>HJ424 数字式复印（包括多功能）设备</w:t>
            </w:r>
          </w:p>
        </w:tc>
      </w:tr>
      <w:tr w14:paraId="69050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7DA20524">
            <w:pPr>
              <w:pStyle w:val="871"/>
              <w:spacing w:before="94" w:line="183" w:lineRule="auto"/>
              <w:ind w:left="116"/>
              <w:rPr>
                <w:rFonts w:hint="eastAsia"/>
                <w:color w:val="auto"/>
              </w:rPr>
            </w:pPr>
            <w:r>
              <w:rPr>
                <w:color w:val="auto"/>
              </w:rPr>
              <w:t>6</w:t>
            </w:r>
          </w:p>
        </w:tc>
        <w:tc>
          <w:tcPr>
            <w:tcW w:w="1343" w:type="dxa"/>
            <w:noWrap w:val="0"/>
            <w:vAlign w:val="top"/>
          </w:tcPr>
          <w:p w14:paraId="2EF7C52E">
            <w:pPr>
              <w:pStyle w:val="871"/>
              <w:spacing w:before="66" w:line="283" w:lineRule="auto"/>
              <w:ind w:left="109" w:right="108" w:hanging="7"/>
              <w:rPr>
                <w:rFonts w:hint="eastAsia"/>
                <w:color w:val="auto"/>
              </w:rPr>
            </w:pPr>
            <w:r>
              <w:rPr>
                <w:color w:val="auto"/>
                <w:spacing w:val="-1"/>
              </w:rPr>
              <w:t>A020210</w:t>
            </w:r>
            <w:r>
              <w:rPr>
                <w:color w:val="auto"/>
                <w:spacing w:val="32"/>
              </w:rPr>
              <w:t xml:space="preserve"> </w:t>
            </w:r>
            <w:r>
              <w:rPr>
                <w:color w:val="auto"/>
                <w:spacing w:val="-1"/>
              </w:rPr>
              <w:t>文</w:t>
            </w:r>
            <w:r>
              <w:rPr>
                <w:color w:val="auto"/>
                <w:spacing w:val="-48"/>
              </w:rPr>
              <w:t xml:space="preserve"> </w:t>
            </w:r>
            <w:r>
              <w:rPr>
                <w:color w:val="auto"/>
                <w:spacing w:val="-1"/>
              </w:rPr>
              <w:t>印设</w:t>
            </w:r>
            <w:r>
              <w:rPr>
                <w:color w:val="auto"/>
              </w:rPr>
              <w:t xml:space="preserve"> 备</w:t>
            </w:r>
          </w:p>
        </w:tc>
        <w:tc>
          <w:tcPr>
            <w:tcW w:w="2324" w:type="dxa"/>
            <w:noWrap w:val="0"/>
            <w:vAlign w:val="top"/>
          </w:tcPr>
          <w:p w14:paraId="279A019D">
            <w:pPr>
              <w:pStyle w:val="871"/>
              <w:spacing w:before="65" w:line="219" w:lineRule="auto"/>
              <w:ind w:left="103"/>
              <w:rPr>
                <w:rFonts w:hint="eastAsia"/>
                <w:color w:val="auto"/>
              </w:rPr>
            </w:pPr>
            <w:r>
              <w:rPr>
                <w:color w:val="auto"/>
              </w:rPr>
              <w:t>A02021001 速印机</w:t>
            </w:r>
          </w:p>
        </w:tc>
        <w:tc>
          <w:tcPr>
            <w:tcW w:w="1956" w:type="dxa"/>
            <w:noWrap w:val="0"/>
            <w:vAlign w:val="top"/>
          </w:tcPr>
          <w:p w14:paraId="15E2AE5E">
            <w:pPr>
              <w:rPr>
                <w:rFonts w:ascii="Arial"/>
                <w:color w:val="auto"/>
              </w:rPr>
            </w:pPr>
          </w:p>
        </w:tc>
        <w:tc>
          <w:tcPr>
            <w:tcW w:w="3081" w:type="dxa"/>
            <w:noWrap w:val="0"/>
            <w:vAlign w:val="top"/>
          </w:tcPr>
          <w:p w14:paraId="68AFFC3A">
            <w:pPr>
              <w:pStyle w:val="871"/>
              <w:spacing w:before="65" w:line="219" w:lineRule="auto"/>
              <w:ind w:left="109"/>
              <w:rPr>
                <w:rFonts w:hint="eastAsia"/>
                <w:color w:val="auto"/>
                <w:lang w:eastAsia="zh-CN"/>
              </w:rPr>
            </w:pPr>
            <w:r>
              <w:rPr>
                <w:color w:val="auto"/>
                <w:spacing w:val="-1"/>
                <w:lang w:eastAsia="zh-CN"/>
              </w:rPr>
              <w:t>HJ472 数字式一体化速印机</w:t>
            </w:r>
          </w:p>
        </w:tc>
      </w:tr>
      <w:tr w14:paraId="1E207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10" w:type="dxa"/>
            <w:noWrap w:val="0"/>
            <w:vAlign w:val="top"/>
          </w:tcPr>
          <w:p w14:paraId="6004FE89">
            <w:pPr>
              <w:pStyle w:val="871"/>
              <w:spacing w:before="95" w:line="182" w:lineRule="auto"/>
              <w:ind w:left="119"/>
              <w:rPr>
                <w:rFonts w:hint="eastAsia"/>
                <w:color w:val="auto"/>
              </w:rPr>
            </w:pPr>
            <w:r>
              <w:rPr>
                <w:color w:val="auto"/>
              </w:rPr>
              <w:t>7</w:t>
            </w:r>
          </w:p>
        </w:tc>
        <w:tc>
          <w:tcPr>
            <w:tcW w:w="1343" w:type="dxa"/>
            <w:noWrap w:val="0"/>
            <w:vAlign w:val="top"/>
          </w:tcPr>
          <w:p w14:paraId="26A62A39">
            <w:pPr>
              <w:pStyle w:val="871"/>
              <w:spacing w:before="67" w:line="301" w:lineRule="auto"/>
              <w:ind w:left="109" w:right="32" w:hanging="7"/>
              <w:rPr>
                <w:rFonts w:hint="eastAsia"/>
                <w:color w:val="auto"/>
                <w:lang w:eastAsia="zh-CN"/>
              </w:rPr>
            </w:pPr>
            <w:r>
              <w:rPr>
                <w:color w:val="auto"/>
                <w:spacing w:val="3"/>
                <w:lang w:eastAsia="zh-CN"/>
              </w:rPr>
              <w:t>A020301</w:t>
            </w:r>
            <w:r>
              <w:rPr>
                <w:color w:val="auto"/>
                <w:spacing w:val="34"/>
                <w:lang w:eastAsia="zh-CN"/>
              </w:rPr>
              <w:t xml:space="preserve"> </w:t>
            </w:r>
            <w:r>
              <w:rPr>
                <w:color w:val="auto"/>
                <w:spacing w:val="3"/>
                <w:lang w:eastAsia="zh-CN"/>
              </w:rPr>
              <w:t>载货汽</w:t>
            </w:r>
            <w:r>
              <w:rPr>
                <w:color w:val="auto"/>
                <w:lang w:eastAsia="zh-CN"/>
              </w:rPr>
              <w:t xml:space="preserve">  </w:t>
            </w:r>
            <w:r>
              <w:rPr>
                <w:color w:val="auto"/>
                <w:spacing w:val="-6"/>
                <w:lang w:eastAsia="zh-CN"/>
              </w:rPr>
              <w:t>车（含自卸汽车）</w:t>
            </w:r>
          </w:p>
        </w:tc>
        <w:tc>
          <w:tcPr>
            <w:tcW w:w="2324" w:type="dxa"/>
            <w:noWrap w:val="0"/>
            <w:vAlign w:val="top"/>
          </w:tcPr>
          <w:p w14:paraId="28BB14AE">
            <w:pPr>
              <w:rPr>
                <w:rFonts w:ascii="Arial"/>
                <w:color w:val="auto"/>
              </w:rPr>
            </w:pPr>
          </w:p>
        </w:tc>
        <w:tc>
          <w:tcPr>
            <w:tcW w:w="1956" w:type="dxa"/>
            <w:noWrap w:val="0"/>
            <w:vAlign w:val="top"/>
          </w:tcPr>
          <w:p w14:paraId="3026EAE5">
            <w:pPr>
              <w:rPr>
                <w:rFonts w:ascii="Arial"/>
                <w:color w:val="auto"/>
              </w:rPr>
            </w:pPr>
          </w:p>
        </w:tc>
        <w:tc>
          <w:tcPr>
            <w:tcW w:w="3081" w:type="dxa"/>
            <w:noWrap w:val="0"/>
            <w:vAlign w:val="top"/>
          </w:tcPr>
          <w:p w14:paraId="13D59115">
            <w:pPr>
              <w:pStyle w:val="871"/>
              <w:spacing w:before="65" w:line="219" w:lineRule="auto"/>
              <w:ind w:left="109"/>
              <w:rPr>
                <w:rFonts w:hint="eastAsia"/>
                <w:color w:val="auto"/>
              </w:rPr>
            </w:pPr>
            <w:r>
              <w:rPr>
                <w:color w:val="auto"/>
                <w:spacing w:val="-1"/>
              </w:rPr>
              <w:t>HJ2532</w:t>
            </w:r>
            <w:r>
              <w:rPr>
                <w:color w:val="auto"/>
                <w:spacing w:val="-35"/>
              </w:rPr>
              <w:t xml:space="preserve"> </w:t>
            </w:r>
            <w:r>
              <w:rPr>
                <w:color w:val="auto"/>
                <w:spacing w:val="-1"/>
              </w:rPr>
              <w:t>轻型汽车</w:t>
            </w:r>
          </w:p>
        </w:tc>
      </w:tr>
      <w:tr w14:paraId="29AE2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10" w:type="dxa"/>
            <w:vMerge w:val="restart"/>
            <w:tcBorders>
              <w:bottom w:val="nil"/>
            </w:tcBorders>
            <w:noWrap w:val="0"/>
            <w:vAlign w:val="top"/>
          </w:tcPr>
          <w:p w14:paraId="71AB899A">
            <w:pPr>
              <w:pStyle w:val="871"/>
              <w:spacing w:before="95" w:line="183" w:lineRule="auto"/>
              <w:ind w:left="115"/>
              <w:rPr>
                <w:rFonts w:hint="eastAsia"/>
                <w:color w:val="auto"/>
              </w:rPr>
            </w:pPr>
            <w:r>
              <w:rPr>
                <w:color w:val="auto"/>
              </w:rPr>
              <w:t>8</w:t>
            </w:r>
          </w:p>
        </w:tc>
        <w:tc>
          <w:tcPr>
            <w:tcW w:w="1343" w:type="dxa"/>
            <w:vMerge w:val="restart"/>
            <w:tcBorders>
              <w:bottom w:val="nil"/>
            </w:tcBorders>
            <w:noWrap w:val="0"/>
            <w:vAlign w:val="top"/>
          </w:tcPr>
          <w:p w14:paraId="08B4E9C3">
            <w:pPr>
              <w:pStyle w:val="871"/>
              <w:spacing w:before="65" w:line="307" w:lineRule="auto"/>
              <w:ind w:left="112" w:right="108" w:hanging="10"/>
              <w:rPr>
                <w:rFonts w:hint="eastAsia"/>
                <w:color w:val="auto"/>
              </w:rPr>
            </w:pPr>
            <w:r>
              <w:rPr>
                <w:color w:val="auto"/>
                <w:spacing w:val="3"/>
              </w:rPr>
              <w:t>A020305</w:t>
            </w:r>
            <w:r>
              <w:rPr>
                <w:color w:val="auto"/>
                <w:spacing w:val="34"/>
              </w:rPr>
              <w:t xml:space="preserve"> </w:t>
            </w:r>
            <w:r>
              <w:rPr>
                <w:color w:val="auto"/>
                <w:spacing w:val="3"/>
              </w:rPr>
              <w:t>乘用车</w:t>
            </w:r>
            <w:r>
              <w:rPr>
                <w:color w:val="auto"/>
                <w:spacing w:val="-3"/>
              </w:rPr>
              <w:t>（轿车）</w:t>
            </w:r>
          </w:p>
        </w:tc>
        <w:tc>
          <w:tcPr>
            <w:tcW w:w="2324" w:type="dxa"/>
            <w:noWrap w:val="0"/>
            <w:vAlign w:val="top"/>
          </w:tcPr>
          <w:p w14:paraId="14702A2E">
            <w:pPr>
              <w:pStyle w:val="871"/>
              <w:spacing w:before="66" w:line="220" w:lineRule="auto"/>
              <w:ind w:left="103"/>
              <w:rPr>
                <w:rFonts w:hint="eastAsia"/>
                <w:color w:val="auto"/>
              </w:rPr>
            </w:pPr>
            <w:r>
              <w:rPr>
                <w:color w:val="auto"/>
              </w:rPr>
              <w:t>A02030501 轿车</w:t>
            </w:r>
          </w:p>
        </w:tc>
        <w:tc>
          <w:tcPr>
            <w:tcW w:w="1956" w:type="dxa"/>
            <w:noWrap w:val="0"/>
            <w:vAlign w:val="top"/>
          </w:tcPr>
          <w:p w14:paraId="27FD7F15">
            <w:pPr>
              <w:rPr>
                <w:rFonts w:ascii="Arial"/>
                <w:color w:val="auto"/>
              </w:rPr>
            </w:pPr>
          </w:p>
        </w:tc>
        <w:tc>
          <w:tcPr>
            <w:tcW w:w="3081" w:type="dxa"/>
            <w:noWrap w:val="0"/>
            <w:vAlign w:val="top"/>
          </w:tcPr>
          <w:p w14:paraId="2669CD7F">
            <w:pPr>
              <w:pStyle w:val="871"/>
              <w:spacing w:before="66" w:line="219" w:lineRule="auto"/>
              <w:ind w:left="109"/>
              <w:rPr>
                <w:rFonts w:hint="eastAsia"/>
                <w:color w:val="auto"/>
              </w:rPr>
            </w:pPr>
            <w:r>
              <w:rPr>
                <w:color w:val="auto"/>
                <w:spacing w:val="-1"/>
              </w:rPr>
              <w:t>HJ2532</w:t>
            </w:r>
            <w:r>
              <w:rPr>
                <w:color w:val="auto"/>
                <w:spacing w:val="-35"/>
              </w:rPr>
              <w:t xml:space="preserve"> </w:t>
            </w:r>
            <w:r>
              <w:rPr>
                <w:color w:val="auto"/>
                <w:spacing w:val="-1"/>
              </w:rPr>
              <w:t>轻型汽车</w:t>
            </w:r>
          </w:p>
        </w:tc>
      </w:tr>
      <w:tr w14:paraId="17B72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38CA9692">
            <w:pPr>
              <w:rPr>
                <w:rFonts w:ascii="Arial"/>
                <w:color w:val="auto"/>
              </w:rPr>
            </w:pPr>
          </w:p>
        </w:tc>
        <w:tc>
          <w:tcPr>
            <w:tcW w:w="1343" w:type="dxa"/>
            <w:vMerge w:val="continue"/>
            <w:tcBorders>
              <w:top w:val="nil"/>
            </w:tcBorders>
            <w:noWrap w:val="0"/>
            <w:vAlign w:val="top"/>
          </w:tcPr>
          <w:p w14:paraId="13ED90B1">
            <w:pPr>
              <w:rPr>
                <w:rFonts w:ascii="Arial"/>
                <w:color w:val="auto"/>
              </w:rPr>
            </w:pPr>
          </w:p>
        </w:tc>
        <w:tc>
          <w:tcPr>
            <w:tcW w:w="2324" w:type="dxa"/>
            <w:noWrap w:val="0"/>
            <w:vAlign w:val="top"/>
          </w:tcPr>
          <w:p w14:paraId="665890CA">
            <w:pPr>
              <w:pStyle w:val="871"/>
              <w:spacing w:before="66" w:line="220" w:lineRule="auto"/>
              <w:ind w:left="103"/>
              <w:rPr>
                <w:rFonts w:hint="eastAsia"/>
                <w:color w:val="auto"/>
              </w:rPr>
            </w:pPr>
            <w:r>
              <w:rPr>
                <w:color w:val="auto"/>
                <w:spacing w:val="-1"/>
              </w:rPr>
              <w:t>A02030599</w:t>
            </w:r>
            <w:r>
              <w:rPr>
                <w:color w:val="auto"/>
                <w:spacing w:val="-28"/>
              </w:rPr>
              <w:t xml:space="preserve"> </w:t>
            </w:r>
            <w:r>
              <w:rPr>
                <w:color w:val="auto"/>
                <w:spacing w:val="-1"/>
              </w:rPr>
              <w:t>其他乘用车（轿车）</w:t>
            </w:r>
          </w:p>
        </w:tc>
        <w:tc>
          <w:tcPr>
            <w:tcW w:w="1956" w:type="dxa"/>
            <w:noWrap w:val="0"/>
            <w:vAlign w:val="top"/>
          </w:tcPr>
          <w:p w14:paraId="3728CAD4">
            <w:pPr>
              <w:rPr>
                <w:rFonts w:ascii="Arial"/>
                <w:color w:val="auto"/>
              </w:rPr>
            </w:pPr>
          </w:p>
        </w:tc>
        <w:tc>
          <w:tcPr>
            <w:tcW w:w="3081" w:type="dxa"/>
            <w:noWrap w:val="0"/>
            <w:vAlign w:val="top"/>
          </w:tcPr>
          <w:p w14:paraId="368119E0">
            <w:pPr>
              <w:pStyle w:val="871"/>
              <w:spacing w:before="66" w:line="219" w:lineRule="auto"/>
              <w:ind w:left="109"/>
              <w:rPr>
                <w:rFonts w:hint="eastAsia"/>
                <w:color w:val="auto"/>
              </w:rPr>
            </w:pPr>
            <w:r>
              <w:rPr>
                <w:color w:val="auto"/>
                <w:spacing w:val="-1"/>
              </w:rPr>
              <w:t>HJ2532</w:t>
            </w:r>
            <w:r>
              <w:rPr>
                <w:color w:val="auto"/>
                <w:spacing w:val="-35"/>
              </w:rPr>
              <w:t xml:space="preserve"> </w:t>
            </w:r>
            <w:r>
              <w:rPr>
                <w:color w:val="auto"/>
                <w:spacing w:val="-1"/>
              </w:rPr>
              <w:t>轻型汽车</w:t>
            </w:r>
          </w:p>
        </w:tc>
      </w:tr>
      <w:tr w14:paraId="28C99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noWrap w:val="0"/>
            <w:vAlign w:val="top"/>
          </w:tcPr>
          <w:p w14:paraId="0262E377">
            <w:pPr>
              <w:pStyle w:val="871"/>
              <w:spacing w:before="94" w:line="183" w:lineRule="auto"/>
              <w:ind w:left="115"/>
              <w:rPr>
                <w:rFonts w:hint="eastAsia"/>
                <w:color w:val="auto"/>
              </w:rPr>
            </w:pPr>
            <w:r>
              <w:rPr>
                <w:color w:val="auto"/>
              </w:rPr>
              <w:t>9</w:t>
            </w:r>
          </w:p>
        </w:tc>
        <w:tc>
          <w:tcPr>
            <w:tcW w:w="1343" w:type="dxa"/>
            <w:noWrap w:val="0"/>
            <w:vAlign w:val="top"/>
          </w:tcPr>
          <w:p w14:paraId="78A8D78C">
            <w:pPr>
              <w:pStyle w:val="871"/>
              <w:spacing w:before="66" w:line="220" w:lineRule="auto"/>
              <w:ind w:left="102"/>
              <w:rPr>
                <w:rFonts w:hint="eastAsia"/>
                <w:color w:val="auto"/>
              </w:rPr>
            </w:pPr>
            <w:r>
              <w:rPr>
                <w:color w:val="auto"/>
                <w:spacing w:val="-1"/>
              </w:rPr>
              <w:t>A020306</w:t>
            </w:r>
            <w:r>
              <w:rPr>
                <w:color w:val="auto"/>
                <w:spacing w:val="-33"/>
              </w:rPr>
              <w:t xml:space="preserve"> </w:t>
            </w:r>
            <w:r>
              <w:rPr>
                <w:color w:val="auto"/>
                <w:spacing w:val="-1"/>
              </w:rPr>
              <w:t>客车</w:t>
            </w:r>
          </w:p>
        </w:tc>
        <w:tc>
          <w:tcPr>
            <w:tcW w:w="2324" w:type="dxa"/>
            <w:noWrap w:val="0"/>
            <w:vAlign w:val="top"/>
          </w:tcPr>
          <w:p w14:paraId="36F09D3F">
            <w:pPr>
              <w:pStyle w:val="871"/>
              <w:spacing w:before="66" w:line="220" w:lineRule="auto"/>
              <w:ind w:left="103"/>
              <w:rPr>
                <w:rFonts w:hint="eastAsia"/>
                <w:color w:val="auto"/>
              </w:rPr>
            </w:pPr>
            <w:r>
              <w:rPr>
                <w:color w:val="auto"/>
                <w:spacing w:val="-1"/>
              </w:rPr>
              <w:t>A02030601</w:t>
            </w:r>
            <w:r>
              <w:rPr>
                <w:color w:val="auto"/>
                <w:spacing w:val="-30"/>
              </w:rPr>
              <w:t xml:space="preserve"> </w:t>
            </w:r>
            <w:r>
              <w:rPr>
                <w:color w:val="auto"/>
                <w:spacing w:val="-1"/>
              </w:rPr>
              <w:t>小型客车</w:t>
            </w:r>
          </w:p>
        </w:tc>
        <w:tc>
          <w:tcPr>
            <w:tcW w:w="1956" w:type="dxa"/>
            <w:noWrap w:val="0"/>
            <w:vAlign w:val="top"/>
          </w:tcPr>
          <w:p w14:paraId="78ADE2EE">
            <w:pPr>
              <w:rPr>
                <w:rFonts w:ascii="Arial"/>
                <w:color w:val="auto"/>
              </w:rPr>
            </w:pPr>
          </w:p>
        </w:tc>
        <w:tc>
          <w:tcPr>
            <w:tcW w:w="3081" w:type="dxa"/>
            <w:noWrap w:val="0"/>
            <w:vAlign w:val="top"/>
          </w:tcPr>
          <w:p w14:paraId="7EA1F6EF">
            <w:pPr>
              <w:pStyle w:val="871"/>
              <w:spacing w:before="66" w:line="219" w:lineRule="auto"/>
              <w:ind w:left="109"/>
              <w:rPr>
                <w:rFonts w:hint="eastAsia"/>
                <w:color w:val="auto"/>
              </w:rPr>
            </w:pPr>
            <w:r>
              <w:rPr>
                <w:color w:val="auto"/>
                <w:spacing w:val="-1"/>
              </w:rPr>
              <w:t>HJ2532</w:t>
            </w:r>
            <w:r>
              <w:rPr>
                <w:color w:val="auto"/>
                <w:spacing w:val="-35"/>
              </w:rPr>
              <w:t xml:space="preserve"> </w:t>
            </w:r>
            <w:r>
              <w:rPr>
                <w:color w:val="auto"/>
                <w:spacing w:val="-1"/>
              </w:rPr>
              <w:t>轻型汽车</w:t>
            </w:r>
          </w:p>
        </w:tc>
      </w:tr>
      <w:tr w14:paraId="46510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0248F528">
            <w:pPr>
              <w:pStyle w:val="871"/>
              <w:spacing w:before="94" w:line="184" w:lineRule="auto"/>
              <w:ind w:left="128"/>
              <w:rPr>
                <w:rFonts w:hint="eastAsia"/>
                <w:color w:val="auto"/>
              </w:rPr>
            </w:pPr>
            <w:r>
              <w:rPr>
                <w:color w:val="auto"/>
                <w:spacing w:val="-10"/>
              </w:rPr>
              <w:t>10</w:t>
            </w:r>
          </w:p>
        </w:tc>
        <w:tc>
          <w:tcPr>
            <w:tcW w:w="1343" w:type="dxa"/>
            <w:noWrap w:val="0"/>
            <w:vAlign w:val="top"/>
          </w:tcPr>
          <w:p w14:paraId="2D1B74F5">
            <w:pPr>
              <w:pStyle w:val="871"/>
              <w:spacing w:before="66" w:line="283" w:lineRule="auto"/>
              <w:ind w:left="106" w:right="108" w:hanging="4"/>
              <w:rPr>
                <w:rFonts w:hint="eastAsia"/>
                <w:color w:val="auto"/>
              </w:rPr>
            </w:pPr>
            <w:r>
              <w:rPr>
                <w:color w:val="auto"/>
                <w:spacing w:val="3"/>
              </w:rPr>
              <w:t>A020307</w:t>
            </w:r>
            <w:r>
              <w:rPr>
                <w:color w:val="auto"/>
                <w:spacing w:val="34"/>
              </w:rPr>
              <w:t xml:space="preserve"> </w:t>
            </w:r>
            <w:r>
              <w:rPr>
                <w:color w:val="auto"/>
                <w:spacing w:val="3"/>
              </w:rPr>
              <w:t>专用车</w:t>
            </w:r>
            <w:r>
              <w:rPr>
                <w:color w:val="auto"/>
              </w:rPr>
              <w:t xml:space="preserve"> 辆</w:t>
            </w:r>
          </w:p>
        </w:tc>
        <w:tc>
          <w:tcPr>
            <w:tcW w:w="2324" w:type="dxa"/>
            <w:noWrap w:val="0"/>
            <w:vAlign w:val="top"/>
          </w:tcPr>
          <w:p w14:paraId="6AEBF273">
            <w:pPr>
              <w:pStyle w:val="871"/>
              <w:spacing w:before="66" w:line="220" w:lineRule="auto"/>
              <w:ind w:left="103"/>
              <w:rPr>
                <w:rFonts w:hint="eastAsia"/>
                <w:color w:val="auto"/>
              </w:rPr>
            </w:pPr>
            <w:r>
              <w:rPr>
                <w:color w:val="auto"/>
                <w:spacing w:val="-1"/>
              </w:rPr>
              <w:t>A02030799</w:t>
            </w:r>
            <w:r>
              <w:rPr>
                <w:color w:val="auto"/>
                <w:spacing w:val="-30"/>
              </w:rPr>
              <w:t xml:space="preserve"> </w:t>
            </w:r>
            <w:r>
              <w:rPr>
                <w:color w:val="auto"/>
                <w:spacing w:val="-1"/>
              </w:rPr>
              <w:t>其他专用汽车</w:t>
            </w:r>
          </w:p>
        </w:tc>
        <w:tc>
          <w:tcPr>
            <w:tcW w:w="1956" w:type="dxa"/>
            <w:noWrap w:val="0"/>
            <w:vAlign w:val="top"/>
          </w:tcPr>
          <w:p w14:paraId="75CC64AF">
            <w:pPr>
              <w:rPr>
                <w:rFonts w:ascii="Arial"/>
                <w:color w:val="auto"/>
              </w:rPr>
            </w:pPr>
          </w:p>
        </w:tc>
        <w:tc>
          <w:tcPr>
            <w:tcW w:w="3081" w:type="dxa"/>
            <w:noWrap w:val="0"/>
            <w:vAlign w:val="top"/>
          </w:tcPr>
          <w:p w14:paraId="409261CE">
            <w:pPr>
              <w:pStyle w:val="871"/>
              <w:spacing w:before="66" w:line="219" w:lineRule="auto"/>
              <w:ind w:left="109"/>
              <w:rPr>
                <w:rFonts w:hint="eastAsia"/>
                <w:color w:val="auto"/>
              </w:rPr>
            </w:pPr>
            <w:r>
              <w:rPr>
                <w:color w:val="auto"/>
                <w:spacing w:val="-1"/>
              </w:rPr>
              <w:t>HJ2532</w:t>
            </w:r>
            <w:r>
              <w:rPr>
                <w:color w:val="auto"/>
                <w:spacing w:val="-35"/>
              </w:rPr>
              <w:t xml:space="preserve"> </w:t>
            </w:r>
            <w:r>
              <w:rPr>
                <w:color w:val="auto"/>
                <w:spacing w:val="-1"/>
              </w:rPr>
              <w:t>轻型汽车</w:t>
            </w:r>
          </w:p>
        </w:tc>
      </w:tr>
      <w:tr w14:paraId="1FAFD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10" w:type="dxa"/>
            <w:vMerge w:val="restart"/>
            <w:tcBorders>
              <w:bottom w:val="nil"/>
            </w:tcBorders>
            <w:noWrap w:val="0"/>
            <w:vAlign w:val="top"/>
          </w:tcPr>
          <w:p w14:paraId="02D6C25E">
            <w:pPr>
              <w:pStyle w:val="871"/>
              <w:spacing w:before="97" w:line="184" w:lineRule="auto"/>
              <w:ind w:left="128"/>
              <w:rPr>
                <w:rFonts w:hint="eastAsia"/>
                <w:color w:val="auto"/>
              </w:rPr>
            </w:pPr>
            <w:r>
              <w:rPr>
                <w:color w:val="auto"/>
                <w:spacing w:val="-10"/>
              </w:rPr>
              <w:t>11</w:t>
            </w:r>
          </w:p>
        </w:tc>
        <w:tc>
          <w:tcPr>
            <w:tcW w:w="1343" w:type="dxa"/>
            <w:vMerge w:val="restart"/>
            <w:tcBorders>
              <w:bottom w:val="nil"/>
            </w:tcBorders>
            <w:noWrap w:val="0"/>
            <w:vAlign w:val="top"/>
          </w:tcPr>
          <w:p w14:paraId="11F1A01C">
            <w:pPr>
              <w:pStyle w:val="871"/>
              <w:spacing w:before="70" w:line="307" w:lineRule="auto"/>
              <w:ind w:left="109" w:right="108" w:hanging="7"/>
              <w:rPr>
                <w:rFonts w:hint="eastAsia"/>
                <w:color w:val="auto"/>
              </w:rPr>
            </w:pPr>
            <w:r>
              <w:rPr>
                <w:color w:val="auto"/>
                <w:spacing w:val="3"/>
              </w:rPr>
              <w:t>A020523</w:t>
            </w:r>
            <w:r>
              <w:rPr>
                <w:color w:val="auto"/>
                <w:spacing w:val="34"/>
              </w:rPr>
              <w:t xml:space="preserve"> </w:t>
            </w:r>
            <w:r>
              <w:rPr>
                <w:color w:val="auto"/>
                <w:spacing w:val="3"/>
              </w:rPr>
              <w:t>制冷空</w:t>
            </w:r>
            <w:r>
              <w:rPr>
                <w:color w:val="auto"/>
                <w:spacing w:val="-2"/>
              </w:rPr>
              <w:t>调设备</w:t>
            </w:r>
          </w:p>
        </w:tc>
        <w:tc>
          <w:tcPr>
            <w:tcW w:w="2324" w:type="dxa"/>
            <w:noWrap w:val="0"/>
            <w:vAlign w:val="top"/>
          </w:tcPr>
          <w:p w14:paraId="17060698">
            <w:pPr>
              <w:pStyle w:val="871"/>
              <w:spacing w:before="70" w:line="219" w:lineRule="auto"/>
              <w:ind w:left="103"/>
              <w:rPr>
                <w:rFonts w:hint="eastAsia"/>
                <w:color w:val="auto"/>
              </w:rPr>
            </w:pPr>
            <w:r>
              <w:rPr>
                <w:color w:val="auto"/>
              </w:rPr>
              <w:t>A02052301 制冷压缩机</w:t>
            </w:r>
          </w:p>
        </w:tc>
        <w:tc>
          <w:tcPr>
            <w:tcW w:w="1956" w:type="dxa"/>
            <w:noWrap w:val="0"/>
            <w:vAlign w:val="top"/>
          </w:tcPr>
          <w:p w14:paraId="07509CFD">
            <w:pPr>
              <w:rPr>
                <w:rFonts w:ascii="Arial"/>
                <w:color w:val="auto"/>
              </w:rPr>
            </w:pPr>
          </w:p>
        </w:tc>
        <w:tc>
          <w:tcPr>
            <w:tcW w:w="3081" w:type="dxa"/>
            <w:noWrap w:val="0"/>
            <w:vAlign w:val="top"/>
          </w:tcPr>
          <w:p w14:paraId="4BA72F09">
            <w:pPr>
              <w:pStyle w:val="871"/>
              <w:spacing w:before="69" w:line="219" w:lineRule="auto"/>
              <w:ind w:left="109"/>
              <w:rPr>
                <w:rFonts w:hint="eastAsia"/>
                <w:color w:val="auto"/>
              </w:rPr>
            </w:pPr>
            <w:r>
              <w:rPr>
                <w:color w:val="auto"/>
                <w:spacing w:val="-1"/>
              </w:rPr>
              <w:t>HJ2531</w:t>
            </w:r>
            <w:r>
              <w:rPr>
                <w:color w:val="auto"/>
                <w:spacing w:val="-32"/>
              </w:rPr>
              <w:t xml:space="preserve"> </w:t>
            </w:r>
            <w:r>
              <w:rPr>
                <w:color w:val="auto"/>
                <w:spacing w:val="-1"/>
              </w:rPr>
              <w:t>工商用制冷设备</w:t>
            </w:r>
          </w:p>
        </w:tc>
      </w:tr>
      <w:tr w14:paraId="2D182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bottom w:val="nil"/>
            </w:tcBorders>
            <w:noWrap w:val="0"/>
            <w:vAlign w:val="top"/>
          </w:tcPr>
          <w:p w14:paraId="551AAFC3">
            <w:pPr>
              <w:rPr>
                <w:rFonts w:ascii="Arial"/>
                <w:color w:val="auto"/>
              </w:rPr>
            </w:pPr>
          </w:p>
        </w:tc>
        <w:tc>
          <w:tcPr>
            <w:tcW w:w="1343" w:type="dxa"/>
            <w:vMerge w:val="continue"/>
            <w:tcBorders>
              <w:top w:val="nil"/>
              <w:bottom w:val="nil"/>
            </w:tcBorders>
            <w:noWrap w:val="0"/>
            <w:vAlign w:val="top"/>
          </w:tcPr>
          <w:p w14:paraId="09E471DB">
            <w:pPr>
              <w:rPr>
                <w:rFonts w:ascii="Arial"/>
                <w:color w:val="auto"/>
              </w:rPr>
            </w:pPr>
          </w:p>
        </w:tc>
        <w:tc>
          <w:tcPr>
            <w:tcW w:w="2324" w:type="dxa"/>
            <w:noWrap w:val="0"/>
            <w:vAlign w:val="top"/>
          </w:tcPr>
          <w:p w14:paraId="002614A9">
            <w:pPr>
              <w:pStyle w:val="871"/>
              <w:spacing w:before="67" w:line="219" w:lineRule="auto"/>
              <w:ind w:left="103"/>
              <w:rPr>
                <w:rFonts w:hint="eastAsia"/>
                <w:color w:val="auto"/>
              </w:rPr>
            </w:pPr>
            <w:r>
              <w:rPr>
                <w:color w:val="auto"/>
              </w:rPr>
              <w:t>A02052305 空调机组</w:t>
            </w:r>
          </w:p>
        </w:tc>
        <w:tc>
          <w:tcPr>
            <w:tcW w:w="1956" w:type="dxa"/>
            <w:noWrap w:val="0"/>
            <w:vAlign w:val="top"/>
          </w:tcPr>
          <w:p w14:paraId="75C3C6CE">
            <w:pPr>
              <w:rPr>
                <w:rFonts w:ascii="Arial"/>
                <w:color w:val="auto"/>
              </w:rPr>
            </w:pPr>
          </w:p>
        </w:tc>
        <w:tc>
          <w:tcPr>
            <w:tcW w:w="3081" w:type="dxa"/>
            <w:noWrap w:val="0"/>
            <w:vAlign w:val="top"/>
          </w:tcPr>
          <w:p w14:paraId="01D3667F">
            <w:pPr>
              <w:pStyle w:val="871"/>
              <w:spacing w:before="67" w:line="219" w:lineRule="auto"/>
              <w:ind w:left="109"/>
              <w:rPr>
                <w:rFonts w:hint="eastAsia"/>
                <w:color w:val="auto"/>
              </w:rPr>
            </w:pPr>
            <w:r>
              <w:rPr>
                <w:color w:val="auto"/>
                <w:spacing w:val="-1"/>
              </w:rPr>
              <w:t>HJ2531</w:t>
            </w:r>
            <w:r>
              <w:rPr>
                <w:color w:val="auto"/>
                <w:spacing w:val="-32"/>
              </w:rPr>
              <w:t xml:space="preserve"> </w:t>
            </w:r>
            <w:r>
              <w:rPr>
                <w:color w:val="auto"/>
                <w:spacing w:val="-1"/>
              </w:rPr>
              <w:t>工商用制冷设备</w:t>
            </w:r>
          </w:p>
        </w:tc>
      </w:tr>
      <w:tr w14:paraId="0538A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tcBorders>
            <w:noWrap w:val="0"/>
            <w:vAlign w:val="top"/>
          </w:tcPr>
          <w:p w14:paraId="0AA842F2">
            <w:pPr>
              <w:rPr>
                <w:rFonts w:ascii="Arial"/>
                <w:color w:val="auto"/>
              </w:rPr>
            </w:pPr>
          </w:p>
        </w:tc>
        <w:tc>
          <w:tcPr>
            <w:tcW w:w="1343" w:type="dxa"/>
            <w:vMerge w:val="continue"/>
            <w:tcBorders>
              <w:top w:val="nil"/>
            </w:tcBorders>
            <w:noWrap w:val="0"/>
            <w:vAlign w:val="top"/>
          </w:tcPr>
          <w:p w14:paraId="3C0C4BE9">
            <w:pPr>
              <w:rPr>
                <w:rFonts w:ascii="Arial"/>
                <w:color w:val="auto"/>
              </w:rPr>
            </w:pPr>
          </w:p>
        </w:tc>
        <w:tc>
          <w:tcPr>
            <w:tcW w:w="2324" w:type="dxa"/>
            <w:noWrap w:val="0"/>
            <w:vAlign w:val="top"/>
          </w:tcPr>
          <w:p w14:paraId="52618A6E">
            <w:pPr>
              <w:pStyle w:val="871"/>
              <w:spacing w:before="67" w:line="221" w:lineRule="auto"/>
              <w:ind w:left="103"/>
              <w:rPr>
                <w:rFonts w:hint="eastAsia"/>
                <w:color w:val="auto"/>
                <w:lang w:eastAsia="zh-CN"/>
              </w:rPr>
            </w:pPr>
            <w:r>
              <w:rPr>
                <w:color w:val="auto"/>
                <w:spacing w:val="-2"/>
                <w:lang w:eastAsia="zh-CN"/>
              </w:rPr>
              <w:t>A02052309</w:t>
            </w:r>
            <w:r>
              <w:rPr>
                <w:color w:val="auto"/>
                <w:spacing w:val="-27"/>
                <w:lang w:eastAsia="zh-CN"/>
              </w:rPr>
              <w:t xml:space="preserve"> </w:t>
            </w:r>
            <w:r>
              <w:rPr>
                <w:color w:val="auto"/>
                <w:spacing w:val="-2"/>
                <w:lang w:eastAsia="zh-CN"/>
              </w:rPr>
              <w:t>专用制冷、空调设备</w:t>
            </w:r>
          </w:p>
        </w:tc>
        <w:tc>
          <w:tcPr>
            <w:tcW w:w="1956" w:type="dxa"/>
            <w:noWrap w:val="0"/>
            <w:vAlign w:val="top"/>
          </w:tcPr>
          <w:p w14:paraId="2F73F62C">
            <w:pPr>
              <w:rPr>
                <w:rFonts w:ascii="Arial"/>
                <w:color w:val="auto"/>
              </w:rPr>
            </w:pPr>
          </w:p>
        </w:tc>
        <w:tc>
          <w:tcPr>
            <w:tcW w:w="3081" w:type="dxa"/>
            <w:noWrap w:val="0"/>
            <w:vAlign w:val="top"/>
          </w:tcPr>
          <w:p w14:paraId="0D34C400">
            <w:pPr>
              <w:pStyle w:val="871"/>
              <w:spacing w:before="67" w:line="219" w:lineRule="auto"/>
              <w:ind w:left="109"/>
              <w:rPr>
                <w:rFonts w:hint="eastAsia"/>
                <w:color w:val="auto"/>
              </w:rPr>
            </w:pPr>
            <w:r>
              <w:rPr>
                <w:color w:val="auto"/>
                <w:spacing w:val="-1"/>
              </w:rPr>
              <w:t>HJ2531</w:t>
            </w:r>
            <w:r>
              <w:rPr>
                <w:color w:val="auto"/>
                <w:spacing w:val="-32"/>
              </w:rPr>
              <w:t xml:space="preserve"> </w:t>
            </w:r>
            <w:r>
              <w:rPr>
                <w:color w:val="auto"/>
                <w:spacing w:val="-1"/>
              </w:rPr>
              <w:t>工商用制冷设备</w:t>
            </w:r>
          </w:p>
        </w:tc>
      </w:tr>
      <w:tr w14:paraId="0457E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35107AEC">
            <w:pPr>
              <w:pStyle w:val="871"/>
              <w:spacing w:before="96" w:line="184" w:lineRule="auto"/>
              <w:ind w:left="128"/>
              <w:rPr>
                <w:rFonts w:hint="eastAsia"/>
                <w:color w:val="auto"/>
              </w:rPr>
            </w:pPr>
            <w:r>
              <w:rPr>
                <w:color w:val="auto"/>
                <w:spacing w:val="-10"/>
              </w:rPr>
              <w:t>12</w:t>
            </w:r>
          </w:p>
        </w:tc>
        <w:tc>
          <w:tcPr>
            <w:tcW w:w="1343" w:type="dxa"/>
            <w:vMerge w:val="restart"/>
            <w:tcBorders>
              <w:bottom w:val="nil"/>
            </w:tcBorders>
            <w:noWrap w:val="0"/>
            <w:vAlign w:val="top"/>
          </w:tcPr>
          <w:p w14:paraId="67FF837F">
            <w:pPr>
              <w:pStyle w:val="871"/>
              <w:spacing w:before="68" w:line="309" w:lineRule="auto"/>
              <w:ind w:left="128" w:right="108" w:hanging="26"/>
              <w:rPr>
                <w:rFonts w:hint="eastAsia"/>
                <w:color w:val="auto"/>
              </w:rPr>
            </w:pPr>
            <w:r>
              <w:rPr>
                <w:color w:val="auto"/>
                <w:spacing w:val="3"/>
              </w:rPr>
              <w:t>A020618</w:t>
            </w:r>
            <w:r>
              <w:rPr>
                <w:color w:val="auto"/>
                <w:spacing w:val="34"/>
              </w:rPr>
              <w:t xml:space="preserve"> </w:t>
            </w:r>
            <w:r>
              <w:rPr>
                <w:color w:val="auto"/>
                <w:spacing w:val="3"/>
              </w:rPr>
              <w:t>生活用</w:t>
            </w:r>
            <w:r>
              <w:rPr>
                <w:color w:val="auto"/>
                <w:spacing w:val="-8"/>
              </w:rPr>
              <w:t>电器</w:t>
            </w:r>
          </w:p>
        </w:tc>
        <w:tc>
          <w:tcPr>
            <w:tcW w:w="2324" w:type="dxa"/>
            <w:noWrap w:val="0"/>
            <w:vAlign w:val="top"/>
          </w:tcPr>
          <w:p w14:paraId="41E10E1B">
            <w:pPr>
              <w:pStyle w:val="871"/>
              <w:spacing w:before="68" w:line="221" w:lineRule="auto"/>
              <w:ind w:left="103"/>
              <w:rPr>
                <w:rFonts w:hint="eastAsia"/>
                <w:color w:val="auto"/>
              </w:rPr>
            </w:pPr>
            <w:r>
              <w:rPr>
                <w:color w:val="auto"/>
                <w:spacing w:val="-1"/>
              </w:rPr>
              <w:t>A02061802</w:t>
            </w:r>
            <w:r>
              <w:rPr>
                <w:color w:val="auto"/>
                <w:spacing w:val="-29"/>
              </w:rPr>
              <w:t xml:space="preserve"> </w:t>
            </w:r>
            <w:r>
              <w:rPr>
                <w:color w:val="auto"/>
                <w:spacing w:val="-1"/>
              </w:rPr>
              <w:t>空气调节电器</w:t>
            </w:r>
          </w:p>
        </w:tc>
        <w:tc>
          <w:tcPr>
            <w:tcW w:w="1956" w:type="dxa"/>
            <w:noWrap w:val="0"/>
            <w:vAlign w:val="top"/>
          </w:tcPr>
          <w:p w14:paraId="24406E88">
            <w:pPr>
              <w:pStyle w:val="871"/>
              <w:spacing w:before="68" w:line="219" w:lineRule="auto"/>
              <w:ind w:left="105"/>
              <w:rPr>
                <w:rFonts w:hint="eastAsia"/>
                <w:color w:val="auto"/>
              </w:rPr>
            </w:pPr>
            <w:r>
              <w:rPr>
                <w:color w:val="auto"/>
                <w:spacing w:val="-1"/>
              </w:rPr>
              <w:t>A0206180203</w:t>
            </w:r>
            <w:r>
              <w:rPr>
                <w:color w:val="auto"/>
                <w:spacing w:val="-28"/>
              </w:rPr>
              <w:t xml:space="preserve"> </w:t>
            </w:r>
            <w:r>
              <w:rPr>
                <w:color w:val="auto"/>
                <w:spacing w:val="-1"/>
              </w:rPr>
              <w:t>空调机</w:t>
            </w:r>
          </w:p>
        </w:tc>
        <w:tc>
          <w:tcPr>
            <w:tcW w:w="3081" w:type="dxa"/>
            <w:noWrap w:val="0"/>
            <w:vAlign w:val="top"/>
          </w:tcPr>
          <w:p w14:paraId="2E7B9DD7">
            <w:pPr>
              <w:pStyle w:val="871"/>
              <w:spacing w:before="68" w:line="219" w:lineRule="auto"/>
              <w:ind w:left="109"/>
              <w:rPr>
                <w:rFonts w:hint="eastAsia"/>
                <w:color w:val="auto"/>
              </w:rPr>
            </w:pPr>
            <w:r>
              <w:rPr>
                <w:color w:val="auto"/>
                <w:spacing w:val="-1"/>
              </w:rPr>
              <w:t>HJ2535</w:t>
            </w:r>
            <w:r>
              <w:rPr>
                <w:color w:val="auto"/>
                <w:spacing w:val="-32"/>
              </w:rPr>
              <w:t xml:space="preserve"> </w:t>
            </w:r>
            <w:r>
              <w:rPr>
                <w:color w:val="auto"/>
                <w:spacing w:val="-1"/>
              </w:rPr>
              <w:t>房间空气调节器</w:t>
            </w:r>
          </w:p>
        </w:tc>
      </w:tr>
      <w:tr w14:paraId="2DF96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10" w:type="dxa"/>
            <w:vMerge w:val="continue"/>
            <w:tcBorders>
              <w:top w:val="nil"/>
            </w:tcBorders>
            <w:noWrap w:val="0"/>
            <w:vAlign w:val="top"/>
          </w:tcPr>
          <w:p w14:paraId="4BA3D4EE">
            <w:pPr>
              <w:rPr>
                <w:rFonts w:ascii="Arial"/>
                <w:color w:val="auto"/>
              </w:rPr>
            </w:pPr>
          </w:p>
        </w:tc>
        <w:tc>
          <w:tcPr>
            <w:tcW w:w="1343" w:type="dxa"/>
            <w:vMerge w:val="continue"/>
            <w:tcBorders>
              <w:top w:val="nil"/>
            </w:tcBorders>
            <w:noWrap w:val="0"/>
            <w:vAlign w:val="top"/>
          </w:tcPr>
          <w:p w14:paraId="1844263D">
            <w:pPr>
              <w:rPr>
                <w:rFonts w:ascii="Arial"/>
                <w:color w:val="auto"/>
              </w:rPr>
            </w:pPr>
          </w:p>
        </w:tc>
        <w:tc>
          <w:tcPr>
            <w:tcW w:w="2324" w:type="dxa"/>
            <w:noWrap w:val="0"/>
            <w:vAlign w:val="top"/>
          </w:tcPr>
          <w:p w14:paraId="49AA98ED">
            <w:pPr>
              <w:pStyle w:val="871"/>
              <w:spacing w:before="68" w:line="220" w:lineRule="auto"/>
              <w:ind w:left="103"/>
              <w:rPr>
                <w:rFonts w:hint="eastAsia"/>
                <w:color w:val="auto"/>
              </w:rPr>
            </w:pPr>
            <w:r>
              <w:rPr>
                <w:color w:val="auto"/>
                <w:spacing w:val="-1"/>
              </w:rPr>
              <w:t>A02061808</w:t>
            </w:r>
            <w:r>
              <w:rPr>
                <w:color w:val="auto"/>
                <w:spacing w:val="-31"/>
              </w:rPr>
              <w:t xml:space="preserve"> </w:t>
            </w:r>
            <w:r>
              <w:rPr>
                <w:color w:val="auto"/>
                <w:spacing w:val="-1"/>
              </w:rPr>
              <w:t>热水器</w:t>
            </w:r>
          </w:p>
        </w:tc>
        <w:tc>
          <w:tcPr>
            <w:tcW w:w="1956" w:type="dxa"/>
            <w:noWrap w:val="0"/>
            <w:vAlign w:val="top"/>
          </w:tcPr>
          <w:p w14:paraId="50A3437C">
            <w:pPr>
              <w:rPr>
                <w:rFonts w:ascii="Arial"/>
                <w:color w:val="auto"/>
              </w:rPr>
            </w:pPr>
          </w:p>
        </w:tc>
        <w:tc>
          <w:tcPr>
            <w:tcW w:w="3081" w:type="dxa"/>
            <w:noWrap w:val="0"/>
            <w:vAlign w:val="top"/>
          </w:tcPr>
          <w:p w14:paraId="1699DD30">
            <w:pPr>
              <w:pStyle w:val="871"/>
              <w:spacing w:before="67" w:line="219" w:lineRule="auto"/>
              <w:ind w:left="109"/>
              <w:rPr>
                <w:rFonts w:hint="eastAsia"/>
                <w:color w:val="auto"/>
              </w:rPr>
            </w:pPr>
            <w:r>
              <w:rPr>
                <w:color w:val="auto"/>
                <w:spacing w:val="-1"/>
              </w:rPr>
              <w:t>HJ/T362</w:t>
            </w:r>
            <w:r>
              <w:rPr>
                <w:color w:val="auto"/>
                <w:spacing w:val="-33"/>
              </w:rPr>
              <w:t xml:space="preserve"> </w:t>
            </w:r>
            <w:r>
              <w:rPr>
                <w:color w:val="auto"/>
                <w:spacing w:val="-1"/>
              </w:rPr>
              <w:t>太阳能集热器</w:t>
            </w:r>
          </w:p>
        </w:tc>
      </w:tr>
      <w:tr w14:paraId="2BD8B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noWrap w:val="0"/>
            <w:vAlign w:val="top"/>
          </w:tcPr>
          <w:p w14:paraId="56ACA611">
            <w:pPr>
              <w:pStyle w:val="871"/>
              <w:spacing w:before="95" w:line="184" w:lineRule="auto"/>
              <w:ind w:left="128"/>
              <w:rPr>
                <w:rFonts w:hint="eastAsia"/>
                <w:color w:val="auto"/>
              </w:rPr>
            </w:pPr>
            <w:r>
              <w:rPr>
                <w:color w:val="auto"/>
                <w:spacing w:val="-10"/>
              </w:rPr>
              <w:t>13</w:t>
            </w:r>
          </w:p>
        </w:tc>
        <w:tc>
          <w:tcPr>
            <w:tcW w:w="1343" w:type="dxa"/>
            <w:noWrap w:val="0"/>
            <w:vAlign w:val="top"/>
          </w:tcPr>
          <w:p w14:paraId="40571223">
            <w:pPr>
              <w:pStyle w:val="871"/>
              <w:spacing w:before="69" w:line="284" w:lineRule="auto"/>
              <w:ind w:left="109" w:right="108" w:hanging="7"/>
              <w:rPr>
                <w:rFonts w:hint="eastAsia"/>
                <w:color w:val="auto"/>
              </w:rPr>
            </w:pPr>
            <w:r>
              <w:rPr>
                <w:color w:val="auto"/>
                <w:spacing w:val="-2"/>
              </w:rPr>
              <w:t>A020619</w:t>
            </w:r>
            <w:r>
              <w:rPr>
                <w:color w:val="auto"/>
                <w:spacing w:val="39"/>
              </w:rPr>
              <w:t xml:space="preserve"> </w:t>
            </w:r>
            <w:r>
              <w:rPr>
                <w:color w:val="auto"/>
                <w:spacing w:val="-2"/>
              </w:rPr>
              <w:t>照</w:t>
            </w:r>
            <w:r>
              <w:rPr>
                <w:color w:val="auto"/>
                <w:spacing w:val="-45"/>
              </w:rPr>
              <w:t xml:space="preserve"> </w:t>
            </w:r>
            <w:r>
              <w:rPr>
                <w:color w:val="auto"/>
                <w:spacing w:val="-2"/>
              </w:rPr>
              <w:t>明设</w:t>
            </w:r>
            <w:r>
              <w:rPr>
                <w:color w:val="auto"/>
              </w:rPr>
              <w:t xml:space="preserve"> 备</w:t>
            </w:r>
          </w:p>
        </w:tc>
        <w:tc>
          <w:tcPr>
            <w:tcW w:w="2324" w:type="dxa"/>
            <w:noWrap w:val="0"/>
            <w:vAlign w:val="top"/>
          </w:tcPr>
          <w:p w14:paraId="762D42D0">
            <w:pPr>
              <w:pStyle w:val="871"/>
              <w:spacing w:before="68" w:line="220" w:lineRule="auto"/>
              <w:ind w:left="103"/>
              <w:rPr>
                <w:rFonts w:hint="eastAsia"/>
                <w:color w:val="auto"/>
              </w:rPr>
            </w:pPr>
            <w:r>
              <w:rPr>
                <w:color w:val="auto"/>
                <w:spacing w:val="-1"/>
              </w:rPr>
              <w:t>A02061908</w:t>
            </w:r>
            <w:r>
              <w:rPr>
                <w:color w:val="auto"/>
                <w:spacing w:val="-29"/>
              </w:rPr>
              <w:t xml:space="preserve"> </w:t>
            </w:r>
            <w:r>
              <w:rPr>
                <w:color w:val="auto"/>
                <w:spacing w:val="-1"/>
              </w:rPr>
              <w:t>室内照明灯具</w:t>
            </w:r>
          </w:p>
        </w:tc>
        <w:tc>
          <w:tcPr>
            <w:tcW w:w="1956" w:type="dxa"/>
            <w:noWrap w:val="0"/>
            <w:vAlign w:val="top"/>
          </w:tcPr>
          <w:p w14:paraId="04E39958">
            <w:pPr>
              <w:rPr>
                <w:rFonts w:ascii="Arial"/>
                <w:color w:val="auto"/>
              </w:rPr>
            </w:pPr>
          </w:p>
        </w:tc>
        <w:tc>
          <w:tcPr>
            <w:tcW w:w="3081" w:type="dxa"/>
            <w:noWrap w:val="0"/>
            <w:vAlign w:val="top"/>
          </w:tcPr>
          <w:p w14:paraId="60ACF534">
            <w:pPr>
              <w:pStyle w:val="871"/>
              <w:spacing w:before="67" w:line="219" w:lineRule="auto"/>
              <w:ind w:left="109"/>
              <w:rPr>
                <w:rFonts w:hint="eastAsia"/>
                <w:color w:val="auto"/>
              </w:rPr>
            </w:pPr>
            <w:r>
              <w:rPr>
                <w:color w:val="auto"/>
                <w:spacing w:val="-1"/>
              </w:rPr>
              <w:t>HJ2518</w:t>
            </w:r>
            <w:r>
              <w:rPr>
                <w:color w:val="auto"/>
                <w:spacing w:val="-35"/>
              </w:rPr>
              <w:t xml:space="preserve"> </w:t>
            </w:r>
            <w:r>
              <w:rPr>
                <w:color w:val="auto"/>
                <w:spacing w:val="-1"/>
              </w:rPr>
              <w:t>照明光源</w:t>
            </w:r>
          </w:p>
        </w:tc>
      </w:tr>
      <w:tr w14:paraId="4229C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noWrap w:val="0"/>
            <w:vAlign w:val="top"/>
          </w:tcPr>
          <w:p w14:paraId="36D4ED2F">
            <w:pPr>
              <w:pStyle w:val="871"/>
              <w:spacing w:before="91" w:line="184" w:lineRule="auto"/>
              <w:ind w:left="128"/>
              <w:rPr>
                <w:rFonts w:hint="eastAsia"/>
                <w:color w:val="auto"/>
              </w:rPr>
            </w:pPr>
            <w:r>
              <w:rPr>
                <w:color w:val="auto"/>
                <w:spacing w:val="-10"/>
              </w:rPr>
              <w:t>14</w:t>
            </w:r>
          </w:p>
        </w:tc>
        <w:tc>
          <w:tcPr>
            <w:tcW w:w="1343" w:type="dxa"/>
            <w:noWrap w:val="0"/>
            <w:vAlign w:val="top"/>
          </w:tcPr>
          <w:p w14:paraId="4360BF0A">
            <w:pPr>
              <w:pStyle w:val="871"/>
              <w:spacing w:before="64" w:line="296" w:lineRule="auto"/>
              <w:ind w:left="109" w:right="106" w:hanging="7"/>
              <w:rPr>
                <w:rFonts w:hint="eastAsia"/>
                <w:color w:val="auto"/>
                <w:lang w:eastAsia="zh-CN"/>
              </w:rPr>
            </w:pPr>
            <w:r>
              <w:rPr>
                <w:color w:val="auto"/>
                <w:spacing w:val="3"/>
                <w:lang w:eastAsia="zh-CN"/>
              </w:rPr>
              <w:t>A020810</w:t>
            </w:r>
            <w:r>
              <w:rPr>
                <w:color w:val="auto"/>
                <w:spacing w:val="34"/>
                <w:lang w:eastAsia="zh-CN"/>
              </w:rPr>
              <w:t xml:space="preserve"> </w:t>
            </w:r>
            <w:r>
              <w:rPr>
                <w:color w:val="auto"/>
                <w:spacing w:val="3"/>
                <w:lang w:eastAsia="zh-CN"/>
              </w:rPr>
              <w:t>传真及</w:t>
            </w:r>
            <w:r>
              <w:rPr>
                <w:color w:val="auto"/>
                <w:lang w:eastAsia="zh-CN"/>
              </w:rPr>
              <w:t xml:space="preserve"> </w:t>
            </w:r>
            <w:r>
              <w:rPr>
                <w:color w:val="auto"/>
                <w:spacing w:val="8"/>
                <w:lang w:eastAsia="zh-CN"/>
              </w:rPr>
              <w:t>数据数字通信设</w:t>
            </w:r>
            <w:r>
              <w:rPr>
                <w:color w:val="auto"/>
                <w:spacing w:val="4"/>
                <w:lang w:eastAsia="zh-CN"/>
              </w:rPr>
              <w:t xml:space="preserve"> </w:t>
            </w:r>
            <w:r>
              <w:rPr>
                <w:color w:val="auto"/>
                <w:lang w:eastAsia="zh-CN"/>
              </w:rPr>
              <w:t>备</w:t>
            </w:r>
          </w:p>
        </w:tc>
        <w:tc>
          <w:tcPr>
            <w:tcW w:w="2324" w:type="dxa"/>
            <w:noWrap w:val="0"/>
            <w:vAlign w:val="top"/>
          </w:tcPr>
          <w:p w14:paraId="3A62EFD0">
            <w:pPr>
              <w:pStyle w:val="871"/>
              <w:spacing w:before="64" w:line="219" w:lineRule="auto"/>
              <w:ind w:left="103"/>
              <w:rPr>
                <w:rFonts w:hint="eastAsia"/>
                <w:color w:val="auto"/>
              </w:rPr>
            </w:pPr>
            <w:r>
              <w:rPr>
                <w:color w:val="auto"/>
                <w:spacing w:val="-1"/>
              </w:rPr>
              <w:t>A02081001</w:t>
            </w:r>
            <w:r>
              <w:rPr>
                <w:color w:val="auto"/>
                <w:spacing w:val="-30"/>
              </w:rPr>
              <w:t xml:space="preserve"> </w:t>
            </w:r>
            <w:r>
              <w:rPr>
                <w:color w:val="auto"/>
                <w:spacing w:val="-1"/>
              </w:rPr>
              <w:t>传真通信设备</w:t>
            </w:r>
          </w:p>
        </w:tc>
        <w:tc>
          <w:tcPr>
            <w:tcW w:w="1956" w:type="dxa"/>
            <w:noWrap w:val="0"/>
            <w:vAlign w:val="top"/>
          </w:tcPr>
          <w:p w14:paraId="7BD19621">
            <w:pPr>
              <w:rPr>
                <w:rFonts w:ascii="Arial"/>
                <w:color w:val="auto"/>
              </w:rPr>
            </w:pPr>
          </w:p>
        </w:tc>
        <w:tc>
          <w:tcPr>
            <w:tcW w:w="3081" w:type="dxa"/>
            <w:noWrap w:val="0"/>
            <w:vAlign w:val="top"/>
          </w:tcPr>
          <w:p w14:paraId="677C110D">
            <w:pPr>
              <w:pStyle w:val="871"/>
              <w:spacing w:before="63" w:line="219" w:lineRule="auto"/>
              <w:ind w:left="109"/>
              <w:rPr>
                <w:rFonts w:hint="eastAsia"/>
                <w:color w:val="auto"/>
                <w:lang w:eastAsia="zh-CN"/>
              </w:rPr>
            </w:pPr>
            <w:r>
              <w:rPr>
                <w:color w:val="auto"/>
                <w:spacing w:val="-1"/>
                <w:lang w:eastAsia="zh-CN"/>
              </w:rPr>
              <w:t>HJ2512</w:t>
            </w:r>
            <w:r>
              <w:rPr>
                <w:color w:val="auto"/>
                <w:spacing w:val="-29"/>
                <w:lang w:eastAsia="zh-CN"/>
              </w:rPr>
              <w:t xml:space="preserve"> </w:t>
            </w:r>
            <w:r>
              <w:rPr>
                <w:color w:val="auto"/>
                <w:spacing w:val="-1"/>
                <w:lang w:eastAsia="zh-CN"/>
              </w:rPr>
              <w:t>打印机、传真机及多功能一体机</w:t>
            </w:r>
          </w:p>
        </w:tc>
      </w:tr>
      <w:tr w14:paraId="4A1F1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noWrap w:val="0"/>
            <w:vAlign w:val="top"/>
          </w:tcPr>
          <w:p w14:paraId="2E311B1D">
            <w:pPr>
              <w:pStyle w:val="871"/>
              <w:spacing w:before="92" w:line="184" w:lineRule="auto"/>
              <w:ind w:left="128"/>
              <w:rPr>
                <w:rFonts w:hint="eastAsia"/>
                <w:color w:val="auto"/>
              </w:rPr>
            </w:pPr>
            <w:r>
              <w:rPr>
                <w:color w:val="auto"/>
                <w:spacing w:val="-10"/>
              </w:rPr>
              <w:t>15</w:t>
            </w:r>
          </w:p>
        </w:tc>
        <w:tc>
          <w:tcPr>
            <w:tcW w:w="1343" w:type="dxa"/>
            <w:vMerge w:val="restart"/>
            <w:tcBorders>
              <w:bottom w:val="nil"/>
            </w:tcBorders>
            <w:noWrap w:val="0"/>
            <w:vAlign w:val="top"/>
          </w:tcPr>
          <w:p w14:paraId="5BF5ABFC">
            <w:pPr>
              <w:pStyle w:val="871"/>
              <w:spacing w:before="65" w:line="307" w:lineRule="auto"/>
              <w:ind w:left="109" w:right="108" w:hanging="7"/>
              <w:rPr>
                <w:rFonts w:hint="eastAsia"/>
                <w:color w:val="auto"/>
              </w:rPr>
            </w:pPr>
            <w:r>
              <w:rPr>
                <w:color w:val="auto"/>
                <w:spacing w:val="1"/>
              </w:rPr>
              <w:t>A020910</w:t>
            </w:r>
            <w:r>
              <w:rPr>
                <w:color w:val="auto"/>
                <w:spacing w:val="54"/>
              </w:rPr>
              <w:t xml:space="preserve"> </w:t>
            </w:r>
            <w:r>
              <w:rPr>
                <w:color w:val="auto"/>
                <w:spacing w:val="1"/>
              </w:rPr>
              <w:t>电视设</w:t>
            </w:r>
            <w:r>
              <w:rPr>
                <w:color w:val="auto"/>
              </w:rPr>
              <w:t xml:space="preserve"> 备</w:t>
            </w:r>
          </w:p>
        </w:tc>
        <w:tc>
          <w:tcPr>
            <w:tcW w:w="2324" w:type="dxa"/>
            <w:noWrap w:val="0"/>
            <w:vAlign w:val="top"/>
          </w:tcPr>
          <w:p w14:paraId="566E89E4">
            <w:pPr>
              <w:pStyle w:val="871"/>
              <w:spacing w:before="64" w:line="284" w:lineRule="auto"/>
              <w:ind w:left="107" w:right="107" w:hanging="4"/>
              <w:rPr>
                <w:rFonts w:hint="eastAsia"/>
                <w:color w:val="auto"/>
                <w:lang w:eastAsia="zh-CN"/>
              </w:rPr>
            </w:pPr>
            <w:r>
              <w:rPr>
                <w:color w:val="auto"/>
                <w:spacing w:val="-2"/>
                <w:lang w:eastAsia="zh-CN"/>
              </w:rPr>
              <w:t>A02091001</w:t>
            </w:r>
            <w:r>
              <w:rPr>
                <w:color w:val="auto"/>
                <w:spacing w:val="-29"/>
                <w:lang w:eastAsia="zh-CN"/>
              </w:rPr>
              <w:t xml:space="preserve"> </w:t>
            </w:r>
            <w:r>
              <w:rPr>
                <w:color w:val="auto"/>
                <w:spacing w:val="-2"/>
                <w:lang w:eastAsia="zh-CN"/>
              </w:rPr>
              <w:t>普通电视设备（电视</w:t>
            </w:r>
            <w:r>
              <w:rPr>
                <w:color w:val="auto"/>
                <w:lang w:eastAsia="zh-CN"/>
              </w:rPr>
              <w:t xml:space="preserve"> </w:t>
            </w:r>
            <w:r>
              <w:rPr>
                <w:color w:val="auto"/>
                <w:spacing w:val="-4"/>
                <w:lang w:eastAsia="zh-CN"/>
              </w:rPr>
              <w:t>机）</w:t>
            </w:r>
          </w:p>
        </w:tc>
        <w:tc>
          <w:tcPr>
            <w:tcW w:w="1956" w:type="dxa"/>
            <w:noWrap w:val="0"/>
            <w:vAlign w:val="top"/>
          </w:tcPr>
          <w:p w14:paraId="6133D393">
            <w:pPr>
              <w:rPr>
                <w:rFonts w:ascii="Arial"/>
                <w:color w:val="auto"/>
              </w:rPr>
            </w:pPr>
          </w:p>
        </w:tc>
        <w:tc>
          <w:tcPr>
            <w:tcW w:w="3081" w:type="dxa"/>
            <w:noWrap w:val="0"/>
            <w:vAlign w:val="top"/>
          </w:tcPr>
          <w:p w14:paraId="11F85EAD">
            <w:pPr>
              <w:pStyle w:val="871"/>
              <w:spacing w:before="64" w:line="219" w:lineRule="auto"/>
              <w:ind w:left="109"/>
              <w:rPr>
                <w:rFonts w:hint="eastAsia"/>
                <w:color w:val="auto"/>
                <w:lang w:eastAsia="zh-CN"/>
              </w:rPr>
            </w:pPr>
            <w:r>
              <w:rPr>
                <w:color w:val="auto"/>
                <w:spacing w:val="-1"/>
                <w:lang w:eastAsia="zh-CN"/>
              </w:rPr>
              <w:t>HJ2506</w:t>
            </w:r>
            <w:r>
              <w:rPr>
                <w:color w:val="auto"/>
                <w:spacing w:val="-31"/>
                <w:lang w:eastAsia="zh-CN"/>
              </w:rPr>
              <w:t xml:space="preserve"> </w:t>
            </w:r>
            <w:r>
              <w:rPr>
                <w:color w:val="auto"/>
                <w:spacing w:val="-1"/>
                <w:lang w:eastAsia="zh-CN"/>
              </w:rPr>
              <w:t>彩色电视广播接收机</w:t>
            </w:r>
          </w:p>
        </w:tc>
      </w:tr>
      <w:tr w14:paraId="4FDCD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noWrap w:val="0"/>
            <w:vAlign w:val="top"/>
          </w:tcPr>
          <w:p w14:paraId="225031D0">
            <w:pPr>
              <w:rPr>
                <w:rFonts w:ascii="Arial"/>
                <w:color w:val="auto"/>
              </w:rPr>
            </w:pPr>
          </w:p>
        </w:tc>
        <w:tc>
          <w:tcPr>
            <w:tcW w:w="1343" w:type="dxa"/>
            <w:vMerge w:val="continue"/>
            <w:tcBorders>
              <w:top w:val="nil"/>
            </w:tcBorders>
            <w:noWrap w:val="0"/>
            <w:vAlign w:val="top"/>
          </w:tcPr>
          <w:p w14:paraId="6762E755">
            <w:pPr>
              <w:rPr>
                <w:rFonts w:ascii="Arial"/>
                <w:color w:val="auto"/>
              </w:rPr>
            </w:pPr>
          </w:p>
        </w:tc>
        <w:tc>
          <w:tcPr>
            <w:tcW w:w="2324" w:type="dxa"/>
            <w:noWrap w:val="0"/>
            <w:vAlign w:val="top"/>
          </w:tcPr>
          <w:p w14:paraId="680240BE">
            <w:pPr>
              <w:pStyle w:val="871"/>
              <w:spacing w:before="67" w:line="284" w:lineRule="auto"/>
              <w:ind w:left="111" w:right="107" w:hanging="8"/>
              <w:rPr>
                <w:rFonts w:hint="eastAsia"/>
                <w:color w:val="auto"/>
                <w:lang w:eastAsia="zh-CN"/>
              </w:rPr>
            </w:pPr>
            <w:r>
              <w:rPr>
                <w:color w:val="auto"/>
                <w:spacing w:val="6"/>
                <w:lang w:eastAsia="zh-CN"/>
              </w:rPr>
              <w:t>A02091003 特殊功能应用电视</w:t>
            </w:r>
            <w:r>
              <w:rPr>
                <w:color w:val="auto"/>
                <w:spacing w:val="7"/>
                <w:lang w:eastAsia="zh-CN"/>
              </w:rPr>
              <w:t xml:space="preserve"> </w:t>
            </w:r>
            <w:r>
              <w:rPr>
                <w:color w:val="auto"/>
                <w:spacing w:val="-3"/>
                <w:lang w:eastAsia="zh-CN"/>
              </w:rPr>
              <w:t>设备</w:t>
            </w:r>
          </w:p>
        </w:tc>
        <w:tc>
          <w:tcPr>
            <w:tcW w:w="1956" w:type="dxa"/>
            <w:noWrap w:val="0"/>
            <w:vAlign w:val="top"/>
          </w:tcPr>
          <w:p w14:paraId="77A115FA">
            <w:pPr>
              <w:rPr>
                <w:rFonts w:ascii="Arial"/>
                <w:color w:val="auto"/>
              </w:rPr>
            </w:pPr>
          </w:p>
        </w:tc>
        <w:tc>
          <w:tcPr>
            <w:tcW w:w="3081" w:type="dxa"/>
            <w:noWrap w:val="0"/>
            <w:vAlign w:val="top"/>
          </w:tcPr>
          <w:p w14:paraId="391371E5">
            <w:pPr>
              <w:pStyle w:val="871"/>
              <w:spacing w:before="67" w:line="219" w:lineRule="auto"/>
              <w:ind w:left="109"/>
              <w:rPr>
                <w:rFonts w:hint="eastAsia"/>
                <w:color w:val="auto"/>
                <w:lang w:eastAsia="zh-CN"/>
              </w:rPr>
            </w:pPr>
            <w:r>
              <w:rPr>
                <w:color w:val="auto"/>
                <w:spacing w:val="-1"/>
                <w:lang w:eastAsia="zh-CN"/>
              </w:rPr>
              <w:t>HJ2506</w:t>
            </w:r>
            <w:r>
              <w:rPr>
                <w:color w:val="auto"/>
                <w:spacing w:val="-31"/>
                <w:lang w:eastAsia="zh-CN"/>
              </w:rPr>
              <w:t xml:space="preserve"> </w:t>
            </w:r>
            <w:r>
              <w:rPr>
                <w:color w:val="auto"/>
                <w:spacing w:val="-1"/>
                <w:lang w:eastAsia="zh-CN"/>
              </w:rPr>
              <w:t>彩色电视广播接收机</w:t>
            </w:r>
          </w:p>
        </w:tc>
      </w:tr>
      <w:tr w14:paraId="63396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restart"/>
            <w:tcBorders>
              <w:bottom w:val="nil"/>
            </w:tcBorders>
            <w:noWrap w:val="0"/>
            <w:vAlign w:val="top"/>
          </w:tcPr>
          <w:p w14:paraId="64B51D28">
            <w:pPr>
              <w:pStyle w:val="871"/>
              <w:spacing w:before="92" w:line="184" w:lineRule="auto"/>
              <w:ind w:left="128"/>
              <w:rPr>
                <w:rFonts w:hint="eastAsia"/>
                <w:color w:val="auto"/>
              </w:rPr>
            </w:pPr>
            <w:r>
              <w:rPr>
                <w:color w:val="auto"/>
                <w:spacing w:val="-10"/>
              </w:rPr>
              <w:t>16</w:t>
            </w:r>
          </w:p>
        </w:tc>
        <w:tc>
          <w:tcPr>
            <w:tcW w:w="1343" w:type="dxa"/>
            <w:vMerge w:val="restart"/>
            <w:tcBorders>
              <w:bottom w:val="nil"/>
            </w:tcBorders>
            <w:noWrap w:val="0"/>
            <w:vAlign w:val="top"/>
          </w:tcPr>
          <w:p w14:paraId="4CEEE5DE">
            <w:pPr>
              <w:pStyle w:val="871"/>
              <w:spacing w:before="65" w:line="220" w:lineRule="auto"/>
              <w:ind w:left="193"/>
              <w:rPr>
                <w:rFonts w:hint="eastAsia"/>
                <w:color w:val="auto"/>
              </w:rPr>
            </w:pPr>
            <w:r>
              <w:rPr>
                <w:color w:val="auto"/>
                <w:spacing w:val="-1"/>
              </w:rPr>
              <w:t>A0601</w:t>
            </w:r>
            <w:r>
              <w:rPr>
                <w:color w:val="auto"/>
                <w:spacing w:val="-36"/>
              </w:rPr>
              <w:t xml:space="preserve"> </w:t>
            </w:r>
            <w:r>
              <w:rPr>
                <w:color w:val="auto"/>
                <w:spacing w:val="-1"/>
              </w:rPr>
              <w:t>床类</w:t>
            </w:r>
          </w:p>
        </w:tc>
        <w:tc>
          <w:tcPr>
            <w:tcW w:w="2324" w:type="dxa"/>
            <w:noWrap w:val="0"/>
            <w:vAlign w:val="top"/>
          </w:tcPr>
          <w:p w14:paraId="2C2F0F88">
            <w:pPr>
              <w:pStyle w:val="871"/>
              <w:spacing w:before="65" w:line="220" w:lineRule="auto"/>
              <w:ind w:left="103"/>
              <w:rPr>
                <w:rFonts w:hint="eastAsia"/>
                <w:color w:val="auto"/>
              </w:rPr>
            </w:pPr>
            <w:r>
              <w:rPr>
                <w:color w:val="auto"/>
                <w:spacing w:val="-1"/>
              </w:rPr>
              <w:t>A060101</w:t>
            </w:r>
            <w:r>
              <w:rPr>
                <w:color w:val="auto"/>
                <w:spacing w:val="-34"/>
              </w:rPr>
              <w:t xml:space="preserve"> </w:t>
            </w:r>
            <w:r>
              <w:rPr>
                <w:color w:val="auto"/>
                <w:spacing w:val="-1"/>
              </w:rPr>
              <w:t>钢木床类</w:t>
            </w:r>
          </w:p>
        </w:tc>
        <w:tc>
          <w:tcPr>
            <w:tcW w:w="1956" w:type="dxa"/>
            <w:noWrap w:val="0"/>
            <w:vAlign w:val="top"/>
          </w:tcPr>
          <w:p w14:paraId="56C5FA15">
            <w:pPr>
              <w:rPr>
                <w:rFonts w:ascii="Arial"/>
                <w:color w:val="auto"/>
              </w:rPr>
            </w:pPr>
          </w:p>
        </w:tc>
        <w:tc>
          <w:tcPr>
            <w:tcW w:w="3081" w:type="dxa"/>
            <w:noWrap w:val="0"/>
            <w:vAlign w:val="top"/>
          </w:tcPr>
          <w:p w14:paraId="36BFE8F0">
            <w:pPr>
              <w:pStyle w:val="871"/>
              <w:spacing w:before="64"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607B7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10" w:type="dxa"/>
            <w:vMerge w:val="continue"/>
            <w:tcBorders>
              <w:top w:val="nil"/>
              <w:bottom w:val="nil"/>
            </w:tcBorders>
            <w:noWrap w:val="0"/>
            <w:vAlign w:val="top"/>
          </w:tcPr>
          <w:p w14:paraId="0CD6D064">
            <w:pPr>
              <w:rPr>
                <w:rFonts w:ascii="Arial"/>
                <w:color w:val="auto"/>
              </w:rPr>
            </w:pPr>
          </w:p>
        </w:tc>
        <w:tc>
          <w:tcPr>
            <w:tcW w:w="1343" w:type="dxa"/>
            <w:vMerge w:val="continue"/>
            <w:tcBorders>
              <w:top w:val="nil"/>
              <w:bottom w:val="nil"/>
            </w:tcBorders>
            <w:noWrap w:val="0"/>
            <w:vAlign w:val="top"/>
          </w:tcPr>
          <w:p w14:paraId="180728A0">
            <w:pPr>
              <w:rPr>
                <w:rFonts w:ascii="Arial"/>
                <w:color w:val="auto"/>
              </w:rPr>
            </w:pPr>
          </w:p>
        </w:tc>
        <w:tc>
          <w:tcPr>
            <w:tcW w:w="2324" w:type="dxa"/>
            <w:noWrap w:val="0"/>
            <w:vAlign w:val="top"/>
          </w:tcPr>
          <w:p w14:paraId="66AF3691">
            <w:pPr>
              <w:pStyle w:val="871"/>
              <w:spacing w:before="65" w:line="220" w:lineRule="auto"/>
              <w:ind w:left="103"/>
              <w:rPr>
                <w:rFonts w:hint="eastAsia"/>
                <w:color w:val="auto"/>
              </w:rPr>
            </w:pPr>
            <w:r>
              <w:rPr>
                <w:color w:val="auto"/>
                <w:spacing w:val="-1"/>
              </w:rPr>
              <w:t>A060104</w:t>
            </w:r>
            <w:r>
              <w:rPr>
                <w:color w:val="auto"/>
                <w:spacing w:val="-33"/>
              </w:rPr>
              <w:t xml:space="preserve"> </w:t>
            </w:r>
            <w:r>
              <w:rPr>
                <w:color w:val="auto"/>
                <w:spacing w:val="-1"/>
              </w:rPr>
              <w:t>木制床类</w:t>
            </w:r>
          </w:p>
        </w:tc>
        <w:tc>
          <w:tcPr>
            <w:tcW w:w="1956" w:type="dxa"/>
            <w:noWrap w:val="0"/>
            <w:vAlign w:val="top"/>
          </w:tcPr>
          <w:p w14:paraId="4EA0CDE4">
            <w:pPr>
              <w:rPr>
                <w:rFonts w:ascii="Arial"/>
                <w:color w:val="auto"/>
              </w:rPr>
            </w:pPr>
          </w:p>
        </w:tc>
        <w:tc>
          <w:tcPr>
            <w:tcW w:w="3081" w:type="dxa"/>
            <w:noWrap w:val="0"/>
            <w:vAlign w:val="top"/>
          </w:tcPr>
          <w:p w14:paraId="3863CAEC">
            <w:pPr>
              <w:pStyle w:val="871"/>
              <w:spacing w:before="65"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6CBD6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noWrap w:val="0"/>
            <w:vAlign w:val="top"/>
          </w:tcPr>
          <w:p w14:paraId="530CA111">
            <w:pPr>
              <w:rPr>
                <w:rFonts w:ascii="Arial"/>
                <w:color w:val="auto"/>
              </w:rPr>
            </w:pPr>
          </w:p>
        </w:tc>
        <w:tc>
          <w:tcPr>
            <w:tcW w:w="1343" w:type="dxa"/>
            <w:vMerge w:val="continue"/>
            <w:tcBorders>
              <w:top w:val="nil"/>
            </w:tcBorders>
            <w:noWrap w:val="0"/>
            <w:vAlign w:val="top"/>
          </w:tcPr>
          <w:p w14:paraId="4673EEAB">
            <w:pPr>
              <w:rPr>
                <w:rFonts w:ascii="Arial"/>
                <w:color w:val="auto"/>
              </w:rPr>
            </w:pPr>
          </w:p>
        </w:tc>
        <w:tc>
          <w:tcPr>
            <w:tcW w:w="2324" w:type="dxa"/>
            <w:noWrap w:val="0"/>
            <w:vAlign w:val="top"/>
          </w:tcPr>
          <w:p w14:paraId="036EE72C">
            <w:pPr>
              <w:pStyle w:val="871"/>
              <w:spacing w:before="65" w:line="220" w:lineRule="auto"/>
              <w:ind w:left="103"/>
              <w:rPr>
                <w:rFonts w:hint="eastAsia"/>
                <w:color w:val="auto"/>
              </w:rPr>
            </w:pPr>
            <w:r>
              <w:rPr>
                <w:color w:val="auto"/>
                <w:spacing w:val="-1"/>
              </w:rPr>
              <w:t>A060199</w:t>
            </w:r>
            <w:r>
              <w:rPr>
                <w:color w:val="auto"/>
                <w:spacing w:val="-33"/>
              </w:rPr>
              <w:t xml:space="preserve"> </w:t>
            </w:r>
            <w:r>
              <w:rPr>
                <w:color w:val="auto"/>
                <w:spacing w:val="-1"/>
              </w:rPr>
              <w:t>其他床类</w:t>
            </w:r>
          </w:p>
        </w:tc>
        <w:tc>
          <w:tcPr>
            <w:tcW w:w="1956" w:type="dxa"/>
            <w:noWrap w:val="0"/>
            <w:vAlign w:val="top"/>
          </w:tcPr>
          <w:p w14:paraId="7269082F">
            <w:pPr>
              <w:rPr>
                <w:rFonts w:ascii="Arial"/>
                <w:color w:val="auto"/>
              </w:rPr>
            </w:pPr>
          </w:p>
        </w:tc>
        <w:tc>
          <w:tcPr>
            <w:tcW w:w="3081" w:type="dxa"/>
            <w:noWrap w:val="0"/>
            <w:vAlign w:val="top"/>
          </w:tcPr>
          <w:p w14:paraId="20C940EC">
            <w:pPr>
              <w:pStyle w:val="871"/>
              <w:spacing w:before="65"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0B7CD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4AD46D53">
            <w:pPr>
              <w:pStyle w:val="871"/>
              <w:spacing w:before="93" w:line="184" w:lineRule="auto"/>
              <w:ind w:left="128"/>
              <w:rPr>
                <w:rFonts w:hint="eastAsia"/>
                <w:color w:val="auto"/>
              </w:rPr>
            </w:pPr>
            <w:r>
              <w:rPr>
                <w:color w:val="auto"/>
                <w:spacing w:val="-10"/>
              </w:rPr>
              <w:t>17</w:t>
            </w:r>
          </w:p>
        </w:tc>
        <w:tc>
          <w:tcPr>
            <w:tcW w:w="1343" w:type="dxa"/>
            <w:vMerge w:val="restart"/>
            <w:tcBorders>
              <w:bottom w:val="nil"/>
            </w:tcBorders>
            <w:noWrap w:val="0"/>
            <w:vAlign w:val="top"/>
          </w:tcPr>
          <w:p w14:paraId="2A5891E5">
            <w:pPr>
              <w:pStyle w:val="871"/>
              <w:spacing w:before="65" w:line="220" w:lineRule="auto"/>
              <w:ind w:left="102"/>
              <w:rPr>
                <w:rFonts w:hint="eastAsia"/>
                <w:color w:val="auto"/>
              </w:rPr>
            </w:pPr>
            <w:r>
              <w:rPr>
                <w:color w:val="auto"/>
                <w:spacing w:val="-2"/>
              </w:rPr>
              <w:t>A0602</w:t>
            </w:r>
            <w:r>
              <w:rPr>
                <w:color w:val="auto"/>
                <w:spacing w:val="-22"/>
              </w:rPr>
              <w:t xml:space="preserve"> </w:t>
            </w:r>
            <w:r>
              <w:rPr>
                <w:color w:val="auto"/>
                <w:spacing w:val="-2"/>
              </w:rPr>
              <w:t>台、桌类</w:t>
            </w:r>
          </w:p>
        </w:tc>
        <w:tc>
          <w:tcPr>
            <w:tcW w:w="2324" w:type="dxa"/>
            <w:noWrap w:val="0"/>
            <w:vAlign w:val="top"/>
          </w:tcPr>
          <w:p w14:paraId="06A4EFB1">
            <w:pPr>
              <w:pStyle w:val="871"/>
              <w:spacing w:before="65" w:line="220" w:lineRule="auto"/>
              <w:ind w:left="103"/>
              <w:rPr>
                <w:rFonts w:hint="eastAsia"/>
                <w:color w:val="auto"/>
              </w:rPr>
            </w:pPr>
            <w:r>
              <w:rPr>
                <w:color w:val="auto"/>
                <w:spacing w:val="-1"/>
              </w:rPr>
              <w:t>A060201</w:t>
            </w:r>
            <w:r>
              <w:rPr>
                <w:color w:val="auto"/>
                <w:spacing w:val="-29"/>
              </w:rPr>
              <w:t xml:space="preserve"> </w:t>
            </w:r>
            <w:r>
              <w:rPr>
                <w:color w:val="auto"/>
                <w:spacing w:val="-1"/>
              </w:rPr>
              <w:t>钢木台、桌类</w:t>
            </w:r>
          </w:p>
        </w:tc>
        <w:tc>
          <w:tcPr>
            <w:tcW w:w="1956" w:type="dxa"/>
            <w:noWrap w:val="0"/>
            <w:vAlign w:val="top"/>
          </w:tcPr>
          <w:p w14:paraId="7AA1A79A">
            <w:pPr>
              <w:rPr>
                <w:rFonts w:ascii="Arial"/>
                <w:color w:val="auto"/>
              </w:rPr>
            </w:pPr>
          </w:p>
        </w:tc>
        <w:tc>
          <w:tcPr>
            <w:tcW w:w="3081" w:type="dxa"/>
            <w:noWrap w:val="0"/>
            <w:vAlign w:val="top"/>
          </w:tcPr>
          <w:p w14:paraId="29F6CD64">
            <w:pPr>
              <w:pStyle w:val="871"/>
              <w:spacing w:before="65"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57DC3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noWrap w:val="0"/>
            <w:vAlign w:val="top"/>
          </w:tcPr>
          <w:p w14:paraId="5D5A83BF">
            <w:pPr>
              <w:rPr>
                <w:rFonts w:ascii="Arial"/>
                <w:color w:val="auto"/>
              </w:rPr>
            </w:pPr>
          </w:p>
        </w:tc>
        <w:tc>
          <w:tcPr>
            <w:tcW w:w="1343" w:type="dxa"/>
            <w:vMerge w:val="continue"/>
            <w:tcBorders>
              <w:top w:val="nil"/>
              <w:bottom w:val="nil"/>
            </w:tcBorders>
            <w:noWrap w:val="0"/>
            <w:vAlign w:val="top"/>
          </w:tcPr>
          <w:p w14:paraId="1FF5AE2D">
            <w:pPr>
              <w:rPr>
                <w:rFonts w:ascii="Arial"/>
                <w:color w:val="auto"/>
              </w:rPr>
            </w:pPr>
          </w:p>
        </w:tc>
        <w:tc>
          <w:tcPr>
            <w:tcW w:w="2324" w:type="dxa"/>
            <w:noWrap w:val="0"/>
            <w:vAlign w:val="top"/>
          </w:tcPr>
          <w:p w14:paraId="3EC91E44">
            <w:pPr>
              <w:pStyle w:val="871"/>
              <w:spacing w:before="65" w:line="220" w:lineRule="auto"/>
              <w:ind w:left="103"/>
              <w:rPr>
                <w:rFonts w:hint="eastAsia"/>
                <w:color w:val="auto"/>
              </w:rPr>
            </w:pPr>
            <w:r>
              <w:rPr>
                <w:color w:val="auto"/>
                <w:spacing w:val="-1"/>
              </w:rPr>
              <w:t>A060205</w:t>
            </w:r>
            <w:r>
              <w:rPr>
                <w:color w:val="auto"/>
                <w:spacing w:val="-29"/>
              </w:rPr>
              <w:t xml:space="preserve"> </w:t>
            </w:r>
            <w:r>
              <w:rPr>
                <w:color w:val="auto"/>
                <w:spacing w:val="-1"/>
              </w:rPr>
              <w:t>木制台、桌类</w:t>
            </w:r>
          </w:p>
        </w:tc>
        <w:tc>
          <w:tcPr>
            <w:tcW w:w="1956" w:type="dxa"/>
            <w:noWrap w:val="0"/>
            <w:vAlign w:val="top"/>
          </w:tcPr>
          <w:p w14:paraId="0D3D5180">
            <w:pPr>
              <w:rPr>
                <w:rFonts w:ascii="Arial"/>
                <w:color w:val="auto"/>
              </w:rPr>
            </w:pPr>
          </w:p>
        </w:tc>
        <w:tc>
          <w:tcPr>
            <w:tcW w:w="3081" w:type="dxa"/>
            <w:noWrap w:val="0"/>
            <w:vAlign w:val="top"/>
          </w:tcPr>
          <w:p w14:paraId="6F826E9B">
            <w:pPr>
              <w:pStyle w:val="871"/>
              <w:spacing w:before="65"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3BC4A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noWrap w:val="0"/>
            <w:vAlign w:val="top"/>
          </w:tcPr>
          <w:p w14:paraId="0F5FAF1C">
            <w:pPr>
              <w:rPr>
                <w:rFonts w:ascii="Arial"/>
                <w:color w:val="auto"/>
              </w:rPr>
            </w:pPr>
          </w:p>
        </w:tc>
        <w:tc>
          <w:tcPr>
            <w:tcW w:w="1343" w:type="dxa"/>
            <w:vMerge w:val="continue"/>
            <w:tcBorders>
              <w:top w:val="nil"/>
            </w:tcBorders>
            <w:noWrap w:val="0"/>
            <w:vAlign w:val="top"/>
          </w:tcPr>
          <w:p w14:paraId="70F69FD0">
            <w:pPr>
              <w:rPr>
                <w:rFonts w:ascii="Arial"/>
                <w:color w:val="auto"/>
              </w:rPr>
            </w:pPr>
          </w:p>
        </w:tc>
        <w:tc>
          <w:tcPr>
            <w:tcW w:w="2324" w:type="dxa"/>
            <w:noWrap w:val="0"/>
            <w:vAlign w:val="top"/>
          </w:tcPr>
          <w:p w14:paraId="28C8C0C1">
            <w:pPr>
              <w:pStyle w:val="871"/>
              <w:spacing w:before="66" w:line="220" w:lineRule="auto"/>
              <w:ind w:left="103"/>
              <w:rPr>
                <w:rFonts w:hint="eastAsia"/>
                <w:color w:val="auto"/>
              </w:rPr>
            </w:pPr>
            <w:r>
              <w:rPr>
                <w:color w:val="auto"/>
                <w:spacing w:val="-1"/>
              </w:rPr>
              <w:t>A060299</w:t>
            </w:r>
            <w:r>
              <w:rPr>
                <w:color w:val="auto"/>
                <w:spacing w:val="-29"/>
              </w:rPr>
              <w:t xml:space="preserve"> </w:t>
            </w:r>
            <w:r>
              <w:rPr>
                <w:color w:val="auto"/>
                <w:spacing w:val="-1"/>
              </w:rPr>
              <w:t>其他台、桌类</w:t>
            </w:r>
          </w:p>
        </w:tc>
        <w:tc>
          <w:tcPr>
            <w:tcW w:w="1956" w:type="dxa"/>
            <w:noWrap w:val="0"/>
            <w:vAlign w:val="top"/>
          </w:tcPr>
          <w:p w14:paraId="02075C6C">
            <w:pPr>
              <w:rPr>
                <w:rFonts w:ascii="Arial"/>
                <w:color w:val="auto"/>
              </w:rPr>
            </w:pPr>
          </w:p>
        </w:tc>
        <w:tc>
          <w:tcPr>
            <w:tcW w:w="3081" w:type="dxa"/>
            <w:noWrap w:val="0"/>
            <w:vAlign w:val="top"/>
          </w:tcPr>
          <w:p w14:paraId="1605933D">
            <w:pPr>
              <w:pStyle w:val="871"/>
              <w:spacing w:before="66"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2D3ED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6F234F68">
            <w:pPr>
              <w:pStyle w:val="871"/>
              <w:spacing w:before="94" w:line="184" w:lineRule="auto"/>
              <w:ind w:left="128"/>
              <w:rPr>
                <w:rFonts w:hint="eastAsia"/>
                <w:color w:val="auto"/>
              </w:rPr>
            </w:pPr>
            <w:r>
              <w:rPr>
                <w:color w:val="auto"/>
                <w:spacing w:val="-10"/>
              </w:rPr>
              <w:t>18</w:t>
            </w:r>
          </w:p>
        </w:tc>
        <w:tc>
          <w:tcPr>
            <w:tcW w:w="1343" w:type="dxa"/>
            <w:vMerge w:val="restart"/>
            <w:tcBorders>
              <w:bottom w:val="nil"/>
            </w:tcBorders>
            <w:noWrap w:val="0"/>
            <w:vAlign w:val="top"/>
          </w:tcPr>
          <w:p w14:paraId="73BE3C1D">
            <w:pPr>
              <w:pStyle w:val="871"/>
              <w:spacing w:before="66" w:line="220" w:lineRule="auto"/>
              <w:ind w:left="102"/>
              <w:rPr>
                <w:rFonts w:hint="eastAsia"/>
                <w:color w:val="auto"/>
              </w:rPr>
            </w:pPr>
            <w:r>
              <w:rPr>
                <w:color w:val="auto"/>
                <w:spacing w:val="-1"/>
              </w:rPr>
              <w:t>A0603</w:t>
            </w:r>
            <w:r>
              <w:rPr>
                <w:color w:val="auto"/>
                <w:spacing w:val="-36"/>
              </w:rPr>
              <w:t xml:space="preserve"> </w:t>
            </w:r>
            <w:r>
              <w:rPr>
                <w:color w:val="auto"/>
                <w:spacing w:val="-1"/>
              </w:rPr>
              <w:t>椅凳类</w:t>
            </w:r>
          </w:p>
        </w:tc>
        <w:tc>
          <w:tcPr>
            <w:tcW w:w="2324" w:type="dxa"/>
            <w:noWrap w:val="0"/>
            <w:vAlign w:val="top"/>
          </w:tcPr>
          <w:p w14:paraId="5E8AB3B5">
            <w:pPr>
              <w:pStyle w:val="871"/>
              <w:spacing w:before="66" w:line="220" w:lineRule="auto"/>
              <w:ind w:left="103"/>
              <w:rPr>
                <w:rFonts w:hint="eastAsia"/>
                <w:color w:val="auto"/>
              </w:rPr>
            </w:pPr>
            <w:r>
              <w:rPr>
                <w:color w:val="auto"/>
                <w:spacing w:val="-1"/>
              </w:rPr>
              <w:t>A060301</w:t>
            </w:r>
            <w:r>
              <w:rPr>
                <w:color w:val="auto"/>
                <w:spacing w:val="-46"/>
              </w:rPr>
              <w:t xml:space="preserve"> </w:t>
            </w:r>
            <w:r>
              <w:rPr>
                <w:color w:val="auto"/>
                <w:spacing w:val="-1"/>
              </w:rPr>
              <w:t>金属骨架为主的椅凳类</w:t>
            </w:r>
          </w:p>
        </w:tc>
        <w:tc>
          <w:tcPr>
            <w:tcW w:w="1956" w:type="dxa"/>
            <w:noWrap w:val="0"/>
            <w:vAlign w:val="top"/>
          </w:tcPr>
          <w:p w14:paraId="7A3F12A0">
            <w:pPr>
              <w:rPr>
                <w:rFonts w:ascii="Arial"/>
                <w:color w:val="auto"/>
              </w:rPr>
            </w:pPr>
          </w:p>
        </w:tc>
        <w:tc>
          <w:tcPr>
            <w:tcW w:w="3081" w:type="dxa"/>
            <w:noWrap w:val="0"/>
            <w:vAlign w:val="top"/>
          </w:tcPr>
          <w:p w14:paraId="7506D1B3">
            <w:pPr>
              <w:pStyle w:val="871"/>
              <w:spacing w:before="66"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60A8A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noWrap w:val="0"/>
            <w:vAlign w:val="top"/>
          </w:tcPr>
          <w:p w14:paraId="53AD3937">
            <w:pPr>
              <w:rPr>
                <w:rFonts w:ascii="Arial"/>
                <w:color w:val="auto"/>
              </w:rPr>
            </w:pPr>
          </w:p>
        </w:tc>
        <w:tc>
          <w:tcPr>
            <w:tcW w:w="1343" w:type="dxa"/>
            <w:vMerge w:val="continue"/>
            <w:tcBorders>
              <w:top w:val="nil"/>
              <w:bottom w:val="nil"/>
            </w:tcBorders>
            <w:noWrap w:val="0"/>
            <w:vAlign w:val="top"/>
          </w:tcPr>
          <w:p w14:paraId="2EA2BE14">
            <w:pPr>
              <w:rPr>
                <w:rFonts w:ascii="Arial"/>
                <w:color w:val="auto"/>
              </w:rPr>
            </w:pPr>
          </w:p>
        </w:tc>
        <w:tc>
          <w:tcPr>
            <w:tcW w:w="2324" w:type="dxa"/>
            <w:noWrap w:val="0"/>
            <w:vAlign w:val="top"/>
          </w:tcPr>
          <w:p w14:paraId="658F89F1">
            <w:pPr>
              <w:pStyle w:val="871"/>
              <w:spacing w:before="66" w:line="220" w:lineRule="auto"/>
              <w:ind w:left="103"/>
              <w:rPr>
                <w:rFonts w:hint="eastAsia"/>
                <w:color w:val="auto"/>
              </w:rPr>
            </w:pPr>
            <w:r>
              <w:rPr>
                <w:color w:val="auto"/>
                <w:spacing w:val="-1"/>
              </w:rPr>
              <w:t>A060302</w:t>
            </w:r>
            <w:r>
              <w:rPr>
                <w:color w:val="auto"/>
                <w:spacing w:val="-29"/>
              </w:rPr>
              <w:t xml:space="preserve"> </w:t>
            </w:r>
            <w:r>
              <w:rPr>
                <w:color w:val="auto"/>
                <w:spacing w:val="-1"/>
              </w:rPr>
              <w:t>木骨架为主的椅凳类</w:t>
            </w:r>
          </w:p>
        </w:tc>
        <w:tc>
          <w:tcPr>
            <w:tcW w:w="1956" w:type="dxa"/>
            <w:noWrap w:val="0"/>
            <w:vAlign w:val="top"/>
          </w:tcPr>
          <w:p w14:paraId="624DC3F8">
            <w:pPr>
              <w:rPr>
                <w:rFonts w:ascii="Arial"/>
                <w:color w:val="auto"/>
              </w:rPr>
            </w:pPr>
          </w:p>
        </w:tc>
        <w:tc>
          <w:tcPr>
            <w:tcW w:w="3081" w:type="dxa"/>
            <w:noWrap w:val="0"/>
            <w:vAlign w:val="top"/>
          </w:tcPr>
          <w:p w14:paraId="2EA9CDA9">
            <w:pPr>
              <w:pStyle w:val="871"/>
              <w:spacing w:before="66"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3F711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noWrap w:val="0"/>
            <w:vAlign w:val="top"/>
          </w:tcPr>
          <w:p w14:paraId="6DE21375">
            <w:pPr>
              <w:rPr>
                <w:rFonts w:ascii="Arial"/>
                <w:color w:val="auto"/>
              </w:rPr>
            </w:pPr>
          </w:p>
        </w:tc>
        <w:tc>
          <w:tcPr>
            <w:tcW w:w="1343" w:type="dxa"/>
            <w:vMerge w:val="continue"/>
            <w:tcBorders>
              <w:top w:val="nil"/>
            </w:tcBorders>
            <w:noWrap w:val="0"/>
            <w:vAlign w:val="top"/>
          </w:tcPr>
          <w:p w14:paraId="43DA5E99">
            <w:pPr>
              <w:rPr>
                <w:rFonts w:ascii="Arial"/>
                <w:color w:val="auto"/>
              </w:rPr>
            </w:pPr>
          </w:p>
        </w:tc>
        <w:tc>
          <w:tcPr>
            <w:tcW w:w="2324" w:type="dxa"/>
            <w:noWrap w:val="0"/>
            <w:vAlign w:val="top"/>
          </w:tcPr>
          <w:p w14:paraId="73A90D44">
            <w:pPr>
              <w:pStyle w:val="871"/>
              <w:spacing w:before="67" w:line="220" w:lineRule="auto"/>
              <w:ind w:left="103"/>
              <w:rPr>
                <w:rFonts w:hint="eastAsia"/>
                <w:color w:val="auto"/>
              </w:rPr>
            </w:pPr>
            <w:r>
              <w:rPr>
                <w:color w:val="auto"/>
                <w:spacing w:val="-1"/>
              </w:rPr>
              <w:t>A060399</w:t>
            </w:r>
            <w:r>
              <w:rPr>
                <w:color w:val="auto"/>
                <w:spacing w:val="-33"/>
              </w:rPr>
              <w:t xml:space="preserve"> </w:t>
            </w:r>
            <w:r>
              <w:rPr>
                <w:color w:val="auto"/>
                <w:spacing w:val="-1"/>
              </w:rPr>
              <w:t>其他椅凳类</w:t>
            </w:r>
          </w:p>
        </w:tc>
        <w:tc>
          <w:tcPr>
            <w:tcW w:w="1956" w:type="dxa"/>
            <w:noWrap w:val="0"/>
            <w:vAlign w:val="top"/>
          </w:tcPr>
          <w:p w14:paraId="427DFB5F">
            <w:pPr>
              <w:rPr>
                <w:rFonts w:ascii="Arial"/>
                <w:color w:val="auto"/>
              </w:rPr>
            </w:pPr>
          </w:p>
        </w:tc>
        <w:tc>
          <w:tcPr>
            <w:tcW w:w="3081" w:type="dxa"/>
            <w:noWrap w:val="0"/>
            <w:vAlign w:val="top"/>
          </w:tcPr>
          <w:p w14:paraId="2361C519">
            <w:pPr>
              <w:pStyle w:val="871"/>
              <w:spacing w:before="66"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7F386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noWrap w:val="0"/>
            <w:vAlign w:val="top"/>
          </w:tcPr>
          <w:p w14:paraId="1B5263AB">
            <w:pPr>
              <w:pStyle w:val="871"/>
              <w:spacing w:before="95" w:line="184" w:lineRule="auto"/>
              <w:ind w:left="128"/>
              <w:rPr>
                <w:rFonts w:hint="eastAsia"/>
                <w:color w:val="auto"/>
              </w:rPr>
            </w:pPr>
            <w:r>
              <w:rPr>
                <w:color w:val="auto"/>
                <w:spacing w:val="-10"/>
              </w:rPr>
              <w:t>19</w:t>
            </w:r>
          </w:p>
        </w:tc>
        <w:tc>
          <w:tcPr>
            <w:tcW w:w="1343" w:type="dxa"/>
            <w:noWrap w:val="0"/>
            <w:vAlign w:val="top"/>
          </w:tcPr>
          <w:p w14:paraId="54DBB81B">
            <w:pPr>
              <w:pStyle w:val="871"/>
              <w:spacing w:before="67" w:line="220" w:lineRule="auto"/>
              <w:ind w:left="102"/>
              <w:rPr>
                <w:rFonts w:hint="eastAsia"/>
                <w:color w:val="auto"/>
              </w:rPr>
            </w:pPr>
            <w:r>
              <w:rPr>
                <w:color w:val="auto"/>
                <w:spacing w:val="-1"/>
              </w:rPr>
              <w:t>A0604</w:t>
            </w:r>
            <w:r>
              <w:rPr>
                <w:color w:val="auto"/>
                <w:spacing w:val="-35"/>
              </w:rPr>
              <w:t xml:space="preserve"> </w:t>
            </w:r>
            <w:r>
              <w:rPr>
                <w:color w:val="auto"/>
                <w:spacing w:val="-1"/>
              </w:rPr>
              <w:t>沙发类</w:t>
            </w:r>
          </w:p>
        </w:tc>
        <w:tc>
          <w:tcPr>
            <w:tcW w:w="2324" w:type="dxa"/>
            <w:noWrap w:val="0"/>
            <w:vAlign w:val="top"/>
          </w:tcPr>
          <w:p w14:paraId="1B486A8F">
            <w:pPr>
              <w:pStyle w:val="871"/>
              <w:spacing w:before="67" w:line="220" w:lineRule="auto"/>
              <w:ind w:left="103"/>
              <w:rPr>
                <w:rFonts w:hint="eastAsia"/>
                <w:color w:val="auto"/>
              </w:rPr>
            </w:pPr>
            <w:r>
              <w:rPr>
                <w:color w:val="auto"/>
                <w:spacing w:val="-1"/>
              </w:rPr>
              <w:t>A060499</w:t>
            </w:r>
            <w:r>
              <w:rPr>
                <w:color w:val="auto"/>
                <w:spacing w:val="-33"/>
              </w:rPr>
              <w:t xml:space="preserve"> </w:t>
            </w:r>
            <w:r>
              <w:rPr>
                <w:color w:val="auto"/>
                <w:spacing w:val="-1"/>
              </w:rPr>
              <w:t>其他沙发类</w:t>
            </w:r>
          </w:p>
        </w:tc>
        <w:tc>
          <w:tcPr>
            <w:tcW w:w="1956" w:type="dxa"/>
            <w:noWrap w:val="0"/>
            <w:vAlign w:val="top"/>
          </w:tcPr>
          <w:p w14:paraId="5B63365C">
            <w:pPr>
              <w:rPr>
                <w:rFonts w:ascii="Arial"/>
                <w:color w:val="auto"/>
              </w:rPr>
            </w:pPr>
          </w:p>
        </w:tc>
        <w:tc>
          <w:tcPr>
            <w:tcW w:w="3081" w:type="dxa"/>
            <w:noWrap w:val="0"/>
            <w:vAlign w:val="top"/>
          </w:tcPr>
          <w:p w14:paraId="048AFC1A">
            <w:pPr>
              <w:pStyle w:val="871"/>
              <w:spacing w:before="67"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0DB86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3B85E735">
            <w:pPr>
              <w:pStyle w:val="871"/>
              <w:spacing w:before="96" w:line="183" w:lineRule="auto"/>
              <w:ind w:left="116"/>
              <w:rPr>
                <w:rFonts w:hint="eastAsia"/>
                <w:color w:val="auto"/>
              </w:rPr>
            </w:pPr>
            <w:r>
              <w:rPr>
                <w:color w:val="auto"/>
                <w:spacing w:val="-4"/>
              </w:rPr>
              <w:t>20</w:t>
            </w:r>
          </w:p>
        </w:tc>
        <w:tc>
          <w:tcPr>
            <w:tcW w:w="1343" w:type="dxa"/>
            <w:vMerge w:val="restart"/>
            <w:tcBorders>
              <w:bottom w:val="nil"/>
            </w:tcBorders>
            <w:noWrap w:val="0"/>
            <w:vAlign w:val="top"/>
          </w:tcPr>
          <w:p w14:paraId="2153498C">
            <w:pPr>
              <w:pStyle w:val="871"/>
              <w:spacing w:before="67" w:line="220" w:lineRule="auto"/>
              <w:ind w:left="193"/>
              <w:rPr>
                <w:rFonts w:hint="eastAsia"/>
                <w:color w:val="auto"/>
              </w:rPr>
            </w:pPr>
            <w:r>
              <w:rPr>
                <w:color w:val="auto"/>
                <w:spacing w:val="-1"/>
              </w:rPr>
              <w:t>A0605</w:t>
            </w:r>
            <w:r>
              <w:rPr>
                <w:color w:val="auto"/>
                <w:spacing w:val="-36"/>
              </w:rPr>
              <w:t xml:space="preserve"> </w:t>
            </w:r>
            <w:r>
              <w:rPr>
                <w:color w:val="auto"/>
                <w:spacing w:val="-1"/>
              </w:rPr>
              <w:t>柜类</w:t>
            </w:r>
          </w:p>
        </w:tc>
        <w:tc>
          <w:tcPr>
            <w:tcW w:w="2324" w:type="dxa"/>
            <w:noWrap w:val="0"/>
            <w:vAlign w:val="top"/>
          </w:tcPr>
          <w:p w14:paraId="09061F54">
            <w:pPr>
              <w:pStyle w:val="871"/>
              <w:spacing w:before="67" w:line="220" w:lineRule="auto"/>
              <w:ind w:left="103"/>
              <w:rPr>
                <w:rFonts w:hint="eastAsia"/>
                <w:color w:val="auto"/>
              </w:rPr>
            </w:pPr>
            <w:r>
              <w:rPr>
                <w:color w:val="auto"/>
                <w:spacing w:val="-1"/>
              </w:rPr>
              <w:t>A060501</w:t>
            </w:r>
            <w:r>
              <w:rPr>
                <w:color w:val="auto"/>
                <w:spacing w:val="-33"/>
              </w:rPr>
              <w:t xml:space="preserve"> </w:t>
            </w:r>
            <w:r>
              <w:rPr>
                <w:color w:val="auto"/>
                <w:spacing w:val="-1"/>
              </w:rPr>
              <w:t>木质柜类</w:t>
            </w:r>
          </w:p>
        </w:tc>
        <w:tc>
          <w:tcPr>
            <w:tcW w:w="1956" w:type="dxa"/>
            <w:noWrap w:val="0"/>
            <w:vAlign w:val="top"/>
          </w:tcPr>
          <w:p w14:paraId="59A882FE">
            <w:pPr>
              <w:rPr>
                <w:rFonts w:ascii="Arial"/>
                <w:color w:val="auto"/>
              </w:rPr>
            </w:pPr>
          </w:p>
        </w:tc>
        <w:tc>
          <w:tcPr>
            <w:tcW w:w="3081" w:type="dxa"/>
            <w:noWrap w:val="0"/>
            <w:vAlign w:val="top"/>
          </w:tcPr>
          <w:p w14:paraId="52F5E3FA">
            <w:pPr>
              <w:pStyle w:val="871"/>
              <w:spacing w:before="67"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1B7FF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noWrap w:val="0"/>
            <w:vAlign w:val="top"/>
          </w:tcPr>
          <w:p w14:paraId="79A75CCC">
            <w:pPr>
              <w:rPr>
                <w:rFonts w:ascii="Arial"/>
                <w:color w:val="auto"/>
              </w:rPr>
            </w:pPr>
          </w:p>
        </w:tc>
        <w:tc>
          <w:tcPr>
            <w:tcW w:w="1343" w:type="dxa"/>
            <w:vMerge w:val="continue"/>
            <w:tcBorders>
              <w:top w:val="nil"/>
              <w:bottom w:val="nil"/>
            </w:tcBorders>
            <w:noWrap w:val="0"/>
            <w:vAlign w:val="top"/>
          </w:tcPr>
          <w:p w14:paraId="26BE64C5">
            <w:pPr>
              <w:rPr>
                <w:rFonts w:ascii="Arial"/>
                <w:color w:val="auto"/>
              </w:rPr>
            </w:pPr>
          </w:p>
        </w:tc>
        <w:tc>
          <w:tcPr>
            <w:tcW w:w="2324" w:type="dxa"/>
            <w:noWrap w:val="0"/>
            <w:vAlign w:val="top"/>
          </w:tcPr>
          <w:p w14:paraId="731302B8">
            <w:pPr>
              <w:pStyle w:val="871"/>
              <w:spacing w:before="67" w:line="220" w:lineRule="auto"/>
              <w:ind w:left="103"/>
              <w:rPr>
                <w:rFonts w:hint="eastAsia"/>
                <w:color w:val="auto"/>
              </w:rPr>
            </w:pPr>
            <w:r>
              <w:rPr>
                <w:color w:val="auto"/>
                <w:spacing w:val="-1"/>
              </w:rPr>
              <w:t>A060503</w:t>
            </w:r>
            <w:r>
              <w:rPr>
                <w:color w:val="auto"/>
                <w:spacing w:val="-32"/>
              </w:rPr>
              <w:t xml:space="preserve"> </w:t>
            </w:r>
            <w:r>
              <w:rPr>
                <w:color w:val="auto"/>
                <w:spacing w:val="-1"/>
              </w:rPr>
              <w:t>金属质柜类</w:t>
            </w:r>
          </w:p>
        </w:tc>
        <w:tc>
          <w:tcPr>
            <w:tcW w:w="1956" w:type="dxa"/>
            <w:noWrap w:val="0"/>
            <w:vAlign w:val="top"/>
          </w:tcPr>
          <w:p w14:paraId="090869A0">
            <w:pPr>
              <w:rPr>
                <w:rFonts w:ascii="Arial"/>
                <w:color w:val="auto"/>
              </w:rPr>
            </w:pPr>
          </w:p>
        </w:tc>
        <w:tc>
          <w:tcPr>
            <w:tcW w:w="3081" w:type="dxa"/>
            <w:noWrap w:val="0"/>
            <w:vAlign w:val="top"/>
          </w:tcPr>
          <w:p w14:paraId="0C1CBFBE">
            <w:pPr>
              <w:pStyle w:val="871"/>
              <w:spacing w:before="67"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49B8D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4CC89E97">
            <w:pPr>
              <w:rPr>
                <w:rFonts w:ascii="Arial"/>
                <w:color w:val="auto"/>
              </w:rPr>
            </w:pPr>
          </w:p>
        </w:tc>
        <w:tc>
          <w:tcPr>
            <w:tcW w:w="1343" w:type="dxa"/>
            <w:vMerge w:val="continue"/>
            <w:tcBorders>
              <w:top w:val="nil"/>
            </w:tcBorders>
            <w:noWrap w:val="0"/>
            <w:vAlign w:val="top"/>
          </w:tcPr>
          <w:p w14:paraId="7B292092">
            <w:pPr>
              <w:rPr>
                <w:rFonts w:ascii="Arial"/>
                <w:color w:val="auto"/>
              </w:rPr>
            </w:pPr>
          </w:p>
        </w:tc>
        <w:tc>
          <w:tcPr>
            <w:tcW w:w="2324" w:type="dxa"/>
            <w:noWrap w:val="0"/>
            <w:vAlign w:val="top"/>
          </w:tcPr>
          <w:p w14:paraId="7F4258C0">
            <w:pPr>
              <w:pStyle w:val="871"/>
              <w:spacing w:before="67" w:line="220" w:lineRule="auto"/>
              <w:ind w:left="103"/>
              <w:rPr>
                <w:rFonts w:hint="eastAsia"/>
                <w:color w:val="auto"/>
              </w:rPr>
            </w:pPr>
            <w:r>
              <w:rPr>
                <w:color w:val="auto"/>
                <w:spacing w:val="-1"/>
              </w:rPr>
              <w:t>A060599</w:t>
            </w:r>
            <w:r>
              <w:rPr>
                <w:color w:val="auto"/>
                <w:spacing w:val="-33"/>
              </w:rPr>
              <w:t xml:space="preserve"> </w:t>
            </w:r>
            <w:r>
              <w:rPr>
                <w:color w:val="auto"/>
                <w:spacing w:val="-1"/>
              </w:rPr>
              <w:t>其他柜类</w:t>
            </w:r>
          </w:p>
        </w:tc>
        <w:tc>
          <w:tcPr>
            <w:tcW w:w="1956" w:type="dxa"/>
            <w:noWrap w:val="0"/>
            <w:vAlign w:val="top"/>
          </w:tcPr>
          <w:p w14:paraId="388D4731">
            <w:pPr>
              <w:rPr>
                <w:rFonts w:ascii="Arial"/>
                <w:color w:val="auto"/>
              </w:rPr>
            </w:pPr>
          </w:p>
        </w:tc>
        <w:tc>
          <w:tcPr>
            <w:tcW w:w="3081" w:type="dxa"/>
            <w:noWrap w:val="0"/>
            <w:vAlign w:val="top"/>
          </w:tcPr>
          <w:p w14:paraId="47061C9B">
            <w:pPr>
              <w:pStyle w:val="871"/>
              <w:spacing w:before="67"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27D71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0A9B8589">
            <w:pPr>
              <w:pStyle w:val="871"/>
              <w:spacing w:before="94" w:line="184" w:lineRule="auto"/>
              <w:ind w:left="116"/>
              <w:rPr>
                <w:rFonts w:hint="eastAsia"/>
                <w:color w:val="auto"/>
              </w:rPr>
            </w:pPr>
            <w:r>
              <w:rPr>
                <w:color w:val="auto"/>
                <w:spacing w:val="-4"/>
              </w:rPr>
              <w:t>21</w:t>
            </w:r>
          </w:p>
        </w:tc>
        <w:tc>
          <w:tcPr>
            <w:tcW w:w="1343" w:type="dxa"/>
            <w:vMerge w:val="restart"/>
            <w:tcBorders>
              <w:bottom w:val="nil"/>
            </w:tcBorders>
            <w:noWrap w:val="0"/>
            <w:vAlign w:val="top"/>
          </w:tcPr>
          <w:p w14:paraId="2673E401">
            <w:pPr>
              <w:pStyle w:val="871"/>
              <w:spacing w:before="67" w:line="220" w:lineRule="auto"/>
              <w:ind w:left="102"/>
              <w:rPr>
                <w:rFonts w:hint="eastAsia"/>
                <w:color w:val="auto"/>
              </w:rPr>
            </w:pPr>
            <w:r>
              <w:rPr>
                <w:color w:val="auto"/>
                <w:spacing w:val="-1"/>
              </w:rPr>
              <w:t>A0606</w:t>
            </w:r>
            <w:r>
              <w:rPr>
                <w:color w:val="auto"/>
                <w:spacing w:val="-35"/>
              </w:rPr>
              <w:t xml:space="preserve"> </w:t>
            </w:r>
            <w:r>
              <w:rPr>
                <w:color w:val="auto"/>
                <w:spacing w:val="-1"/>
              </w:rPr>
              <w:t>架类</w:t>
            </w:r>
          </w:p>
        </w:tc>
        <w:tc>
          <w:tcPr>
            <w:tcW w:w="2324" w:type="dxa"/>
            <w:noWrap w:val="0"/>
            <w:vAlign w:val="top"/>
          </w:tcPr>
          <w:p w14:paraId="51321738">
            <w:pPr>
              <w:pStyle w:val="871"/>
              <w:spacing w:before="67" w:line="220" w:lineRule="auto"/>
              <w:ind w:left="103"/>
              <w:rPr>
                <w:rFonts w:hint="eastAsia"/>
                <w:color w:val="auto"/>
              </w:rPr>
            </w:pPr>
            <w:r>
              <w:rPr>
                <w:color w:val="auto"/>
                <w:spacing w:val="-1"/>
              </w:rPr>
              <w:t>A060601</w:t>
            </w:r>
            <w:r>
              <w:rPr>
                <w:color w:val="auto"/>
                <w:spacing w:val="-33"/>
              </w:rPr>
              <w:t xml:space="preserve"> </w:t>
            </w:r>
            <w:r>
              <w:rPr>
                <w:color w:val="auto"/>
                <w:spacing w:val="-1"/>
              </w:rPr>
              <w:t>木质架类</w:t>
            </w:r>
          </w:p>
        </w:tc>
        <w:tc>
          <w:tcPr>
            <w:tcW w:w="1956" w:type="dxa"/>
            <w:noWrap w:val="0"/>
            <w:vAlign w:val="top"/>
          </w:tcPr>
          <w:p w14:paraId="4DD846CB">
            <w:pPr>
              <w:rPr>
                <w:rFonts w:ascii="Arial"/>
                <w:color w:val="auto"/>
              </w:rPr>
            </w:pPr>
          </w:p>
        </w:tc>
        <w:tc>
          <w:tcPr>
            <w:tcW w:w="3081" w:type="dxa"/>
            <w:noWrap w:val="0"/>
            <w:vAlign w:val="top"/>
          </w:tcPr>
          <w:p w14:paraId="5EDE08E2">
            <w:pPr>
              <w:pStyle w:val="871"/>
              <w:spacing w:before="67"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70E6B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noWrap w:val="0"/>
            <w:vAlign w:val="top"/>
          </w:tcPr>
          <w:p w14:paraId="39CF7611">
            <w:pPr>
              <w:rPr>
                <w:rFonts w:ascii="Arial"/>
                <w:color w:val="auto"/>
              </w:rPr>
            </w:pPr>
          </w:p>
        </w:tc>
        <w:tc>
          <w:tcPr>
            <w:tcW w:w="1343" w:type="dxa"/>
            <w:vMerge w:val="continue"/>
            <w:tcBorders>
              <w:top w:val="nil"/>
            </w:tcBorders>
            <w:noWrap w:val="0"/>
            <w:vAlign w:val="top"/>
          </w:tcPr>
          <w:p w14:paraId="2AB4346F">
            <w:pPr>
              <w:rPr>
                <w:rFonts w:ascii="Arial"/>
                <w:color w:val="auto"/>
              </w:rPr>
            </w:pPr>
          </w:p>
        </w:tc>
        <w:tc>
          <w:tcPr>
            <w:tcW w:w="2324" w:type="dxa"/>
            <w:noWrap w:val="0"/>
            <w:vAlign w:val="top"/>
          </w:tcPr>
          <w:p w14:paraId="00880023">
            <w:pPr>
              <w:pStyle w:val="871"/>
              <w:spacing w:before="67" w:line="220" w:lineRule="auto"/>
              <w:ind w:left="103"/>
              <w:rPr>
                <w:rFonts w:hint="eastAsia"/>
                <w:color w:val="auto"/>
              </w:rPr>
            </w:pPr>
            <w:r>
              <w:rPr>
                <w:color w:val="auto"/>
                <w:spacing w:val="-1"/>
              </w:rPr>
              <w:t>A060602</w:t>
            </w:r>
            <w:r>
              <w:rPr>
                <w:color w:val="auto"/>
                <w:spacing w:val="-32"/>
              </w:rPr>
              <w:t xml:space="preserve"> </w:t>
            </w:r>
            <w:r>
              <w:rPr>
                <w:color w:val="auto"/>
                <w:spacing w:val="-1"/>
              </w:rPr>
              <w:t>金属质架类</w:t>
            </w:r>
          </w:p>
        </w:tc>
        <w:tc>
          <w:tcPr>
            <w:tcW w:w="1956" w:type="dxa"/>
            <w:noWrap w:val="0"/>
            <w:vAlign w:val="top"/>
          </w:tcPr>
          <w:p w14:paraId="70FCAD6E">
            <w:pPr>
              <w:rPr>
                <w:rFonts w:ascii="Arial"/>
                <w:color w:val="auto"/>
              </w:rPr>
            </w:pPr>
          </w:p>
        </w:tc>
        <w:tc>
          <w:tcPr>
            <w:tcW w:w="3081" w:type="dxa"/>
            <w:noWrap w:val="0"/>
            <w:vAlign w:val="top"/>
          </w:tcPr>
          <w:p w14:paraId="4B8AC65E">
            <w:pPr>
              <w:pStyle w:val="871"/>
              <w:spacing w:before="67"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64F07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053D39EC">
            <w:pPr>
              <w:pStyle w:val="871"/>
              <w:spacing w:before="96" w:line="183" w:lineRule="auto"/>
              <w:ind w:left="116"/>
              <w:rPr>
                <w:rFonts w:hint="eastAsia"/>
                <w:color w:val="auto"/>
              </w:rPr>
            </w:pPr>
            <w:r>
              <w:rPr>
                <w:color w:val="auto"/>
                <w:spacing w:val="-4"/>
              </w:rPr>
              <w:t>22</w:t>
            </w:r>
          </w:p>
        </w:tc>
        <w:tc>
          <w:tcPr>
            <w:tcW w:w="1343" w:type="dxa"/>
            <w:vMerge w:val="restart"/>
            <w:tcBorders>
              <w:bottom w:val="nil"/>
            </w:tcBorders>
            <w:noWrap w:val="0"/>
            <w:vAlign w:val="top"/>
          </w:tcPr>
          <w:p w14:paraId="6970977E">
            <w:pPr>
              <w:pStyle w:val="871"/>
              <w:spacing w:before="67" w:line="220" w:lineRule="auto"/>
              <w:ind w:left="102"/>
              <w:rPr>
                <w:rFonts w:hint="eastAsia"/>
                <w:color w:val="auto"/>
              </w:rPr>
            </w:pPr>
            <w:r>
              <w:rPr>
                <w:color w:val="auto"/>
                <w:spacing w:val="-1"/>
              </w:rPr>
              <w:t>A0607</w:t>
            </w:r>
            <w:r>
              <w:rPr>
                <w:color w:val="auto"/>
                <w:spacing w:val="-35"/>
              </w:rPr>
              <w:t xml:space="preserve"> </w:t>
            </w:r>
            <w:r>
              <w:rPr>
                <w:color w:val="auto"/>
                <w:spacing w:val="-1"/>
              </w:rPr>
              <w:t>屏风类</w:t>
            </w:r>
          </w:p>
        </w:tc>
        <w:tc>
          <w:tcPr>
            <w:tcW w:w="2324" w:type="dxa"/>
            <w:noWrap w:val="0"/>
            <w:vAlign w:val="top"/>
          </w:tcPr>
          <w:p w14:paraId="0D55296F">
            <w:pPr>
              <w:pStyle w:val="871"/>
              <w:spacing w:before="67" w:line="220" w:lineRule="auto"/>
              <w:ind w:left="103"/>
              <w:rPr>
                <w:rFonts w:hint="eastAsia"/>
                <w:color w:val="auto"/>
              </w:rPr>
            </w:pPr>
            <w:r>
              <w:rPr>
                <w:color w:val="auto"/>
                <w:spacing w:val="-1"/>
              </w:rPr>
              <w:t>A060701</w:t>
            </w:r>
            <w:r>
              <w:rPr>
                <w:color w:val="auto"/>
                <w:spacing w:val="-33"/>
              </w:rPr>
              <w:t xml:space="preserve"> </w:t>
            </w:r>
            <w:r>
              <w:rPr>
                <w:color w:val="auto"/>
                <w:spacing w:val="-1"/>
              </w:rPr>
              <w:t>木质屏风类</w:t>
            </w:r>
          </w:p>
        </w:tc>
        <w:tc>
          <w:tcPr>
            <w:tcW w:w="1956" w:type="dxa"/>
            <w:noWrap w:val="0"/>
            <w:vAlign w:val="top"/>
          </w:tcPr>
          <w:p w14:paraId="2D607441">
            <w:pPr>
              <w:rPr>
                <w:rFonts w:ascii="Arial"/>
                <w:color w:val="auto"/>
              </w:rPr>
            </w:pPr>
          </w:p>
        </w:tc>
        <w:tc>
          <w:tcPr>
            <w:tcW w:w="3081" w:type="dxa"/>
            <w:noWrap w:val="0"/>
            <w:vAlign w:val="top"/>
          </w:tcPr>
          <w:p w14:paraId="0D7D9FB8">
            <w:pPr>
              <w:pStyle w:val="871"/>
              <w:spacing w:before="67"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559DD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7BD3FFB5">
            <w:pPr>
              <w:rPr>
                <w:rFonts w:ascii="Arial"/>
                <w:color w:val="auto"/>
              </w:rPr>
            </w:pPr>
          </w:p>
        </w:tc>
        <w:tc>
          <w:tcPr>
            <w:tcW w:w="1343" w:type="dxa"/>
            <w:vMerge w:val="continue"/>
            <w:tcBorders>
              <w:top w:val="nil"/>
            </w:tcBorders>
            <w:noWrap w:val="0"/>
            <w:vAlign w:val="top"/>
          </w:tcPr>
          <w:p w14:paraId="24374DCF">
            <w:pPr>
              <w:rPr>
                <w:rFonts w:ascii="Arial"/>
                <w:color w:val="auto"/>
              </w:rPr>
            </w:pPr>
          </w:p>
        </w:tc>
        <w:tc>
          <w:tcPr>
            <w:tcW w:w="2324" w:type="dxa"/>
            <w:noWrap w:val="0"/>
            <w:vAlign w:val="top"/>
          </w:tcPr>
          <w:p w14:paraId="22F9C983">
            <w:pPr>
              <w:pStyle w:val="871"/>
              <w:spacing w:before="67" w:line="220" w:lineRule="auto"/>
              <w:ind w:left="103"/>
              <w:rPr>
                <w:rFonts w:hint="eastAsia"/>
                <w:color w:val="auto"/>
              </w:rPr>
            </w:pPr>
            <w:r>
              <w:rPr>
                <w:color w:val="auto"/>
                <w:spacing w:val="-1"/>
              </w:rPr>
              <w:t>A060702</w:t>
            </w:r>
            <w:r>
              <w:rPr>
                <w:color w:val="auto"/>
                <w:spacing w:val="-32"/>
              </w:rPr>
              <w:t xml:space="preserve"> </w:t>
            </w:r>
            <w:r>
              <w:rPr>
                <w:color w:val="auto"/>
                <w:spacing w:val="-1"/>
              </w:rPr>
              <w:t>金属质屏风类</w:t>
            </w:r>
          </w:p>
        </w:tc>
        <w:tc>
          <w:tcPr>
            <w:tcW w:w="1956" w:type="dxa"/>
            <w:noWrap w:val="0"/>
            <w:vAlign w:val="top"/>
          </w:tcPr>
          <w:p w14:paraId="158EED03">
            <w:pPr>
              <w:rPr>
                <w:rFonts w:ascii="Arial"/>
                <w:color w:val="auto"/>
              </w:rPr>
            </w:pPr>
          </w:p>
        </w:tc>
        <w:tc>
          <w:tcPr>
            <w:tcW w:w="3081" w:type="dxa"/>
            <w:noWrap w:val="0"/>
            <w:vAlign w:val="top"/>
          </w:tcPr>
          <w:p w14:paraId="5D4548FA">
            <w:pPr>
              <w:pStyle w:val="871"/>
              <w:spacing w:before="67"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5BC19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noWrap w:val="0"/>
            <w:vAlign w:val="top"/>
          </w:tcPr>
          <w:p w14:paraId="1AC8D04E">
            <w:pPr>
              <w:pStyle w:val="871"/>
              <w:spacing w:before="95" w:line="183" w:lineRule="auto"/>
              <w:ind w:left="116"/>
              <w:rPr>
                <w:rFonts w:hint="eastAsia"/>
                <w:color w:val="auto"/>
              </w:rPr>
            </w:pPr>
            <w:r>
              <w:rPr>
                <w:color w:val="auto"/>
                <w:spacing w:val="-4"/>
              </w:rPr>
              <w:t>23</w:t>
            </w:r>
          </w:p>
        </w:tc>
        <w:tc>
          <w:tcPr>
            <w:tcW w:w="1343" w:type="dxa"/>
            <w:noWrap w:val="0"/>
            <w:vAlign w:val="top"/>
          </w:tcPr>
          <w:p w14:paraId="10EE3264">
            <w:pPr>
              <w:pStyle w:val="871"/>
              <w:spacing w:before="67" w:line="220" w:lineRule="auto"/>
              <w:ind w:left="102"/>
              <w:rPr>
                <w:rFonts w:hint="eastAsia"/>
                <w:color w:val="auto"/>
              </w:rPr>
            </w:pPr>
            <w:r>
              <w:rPr>
                <w:color w:val="auto"/>
                <w:spacing w:val="-1"/>
              </w:rPr>
              <w:t>A060804</w:t>
            </w:r>
            <w:r>
              <w:rPr>
                <w:color w:val="auto"/>
                <w:spacing w:val="-32"/>
              </w:rPr>
              <w:t xml:space="preserve"> </w:t>
            </w:r>
            <w:r>
              <w:rPr>
                <w:color w:val="auto"/>
                <w:spacing w:val="-1"/>
              </w:rPr>
              <w:t>水池</w:t>
            </w:r>
          </w:p>
        </w:tc>
        <w:tc>
          <w:tcPr>
            <w:tcW w:w="2324" w:type="dxa"/>
            <w:noWrap w:val="0"/>
            <w:vAlign w:val="top"/>
          </w:tcPr>
          <w:p w14:paraId="76BF9619">
            <w:pPr>
              <w:rPr>
                <w:rFonts w:ascii="Arial"/>
                <w:color w:val="auto"/>
              </w:rPr>
            </w:pPr>
          </w:p>
        </w:tc>
        <w:tc>
          <w:tcPr>
            <w:tcW w:w="1956" w:type="dxa"/>
            <w:noWrap w:val="0"/>
            <w:vAlign w:val="top"/>
          </w:tcPr>
          <w:p w14:paraId="231993B7">
            <w:pPr>
              <w:rPr>
                <w:rFonts w:ascii="Arial"/>
                <w:color w:val="auto"/>
              </w:rPr>
            </w:pPr>
          </w:p>
        </w:tc>
        <w:tc>
          <w:tcPr>
            <w:tcW w:w="3081" w:type="dxa"/>
            <w:noWrap w:val="0"/>
            <w:vAlign w:val="top"/>
          </w:tcPr>
          <w:p w14:paraId="3EC40DC3">
            <w:pPr>
              <w:pStyle w:val="871"/>
              <w:spacing w:before="66" w:line="219" w:lineRule="auto"/>
              <w:ind w:left="109"/>
              <w:rPr>
                <w:rFonts w:hint="eastAsia"/>
                <w:color w:val="auto"/>
              </w:rPr>
            </w:pPr>
            <w:r>
              <w:rPr>
                <w:color w:val="auto"/>
                <w:spacing w:val="-1"/>
              </w:rPr>
              <w:t>HJ/T296</w:t>
            </w:r>
            <w:r>
              <w:rPr>
                <w:color w:val="auto"/>
                <w:spacing w:val="-34"/>
              </w:rPr>
              <w:t xml:space="preserve"> </w:t>
            </w:r>
            <w:r>
              <w:rPr>
                <w:color w:val="auto"/>
                <w:spacing w:val="-1"/>
              </w:rPr>
              <w:t>卫生陶瓷</w:t>
            </w:r>
          </w:p>
        </w:tc>
      </w:tr>
      <w:tr w14:paraId="18C3D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noWrap w:val="0"/>
            <w:vAlign w:val="top"/>
          </w:tcPr>
          <w:p w14:paraId="76C48B59">
            <w:pPr>
              <w:pStyle w:val="871"/>
              <w:spacing w:before="96" w:line="183" w:lineRule="auto"/>
              <w:ind w:left="116"/>
              <w:rPr>
                <w:rFonts w:hint="eastAsia"/>
                <w:color w:val="auto"/>
              </w:rPr>
            </w:pPr>
            <w:r>
              <w:rPr>
                <w:color w:val="auto"/>
                <w:spacing w:val="-4"/>
              </w:rPr>
              <w:t>24</w:t>
            </w:r>
          </w:p>
        </w:tc>
        <w:tc>
          <w:tcPr>
            <w:tcW w:w="1343" w:type="dxa"/>
            <w:noWrap w:val="0"/>
            <w:vAlign w:val="top"/>
          </w:tcPr>
          <w:p w14:paraId="18BFB1E5">
            <w:pPr>
              <w:pStyle w:val="871"/>
              <w:spacing w:before="67" w:line="220" w:lineRule="auto"/>
              <w:ind w:left="102"/>
              <w:rPr>
                <w:rFonts w:hint="eastAsia"/>
                <w:color w:val="auto"/>
              </w:rPr>
            </w:pPr>
            <w:r>
              <w:rPr>
                <w:color w:val="auto"/>
                <w:spacing w:val="-1"/>
              </w:rPr>
              <w:t>A060805</w:t>
            </w:r>
            <w:r>
              <w:rPr>
                <w:color w:val="auto"/>
                <w:spacing w:val="-33"/>
              </w:rPr>
              <w:t xml:space="preserve"> </w:t>
            </w:r>
            <w:r>
              <w:rPr>
                <w:color w:val="auto"/>
                <w:spacing w:val="-1"/>
              </w:rPr>
              <w:t>便器</w:t>
            </w:r>
          </w:p>
        </w:tc>
        <w:tc>
          <w:tcPr>
            <w:tcW w:w="2324" w:type="dxa"/>
            <w:noWrap w:val="0"/>
            <w:vAlign w:val="top"/>
          </w:tcPr>
          <w:p w14:paraId="270DABF2">
            <w:pPr>
              <w:rPr>
                <w:rFonts w:ascii="Arial"/>
                <w:color w:val="auto"/>
              </w:rPr>
            </w:pPr>
          </w:p>
        </w:tc>
        <w:tc>
          <w:tcPr>
            <w:tcW w:w="1956" w:type="dxa"/>
            <w:noWrap w:val="0"/>
            <w:vAlign w:val="top"/>
          </w:tcPr>
          <w:p w14:paraId="532B43DD">
            <w:pPr>
              <w:rPr>
                <w:rFonts w:ascii="Arial"/>
                <w:color w:val="auto"/>
              </w:rPr>
            </w:pPr>
          </w:p>
        </w:tc>
        <w:tc>
          <w:tcPr>
            <w:tcW w:w="3081" w:type="dxa"/>
            <w:noWrap w:val="0"/>
            <w:vAlign w:val="top"/>
          </w:tcPr>
          <w:p w14:paraId="2EE02A63">
            <w:pPr>
              <w:pStyle w:val="871"/>
              <w:spacing w:before="67" w:line="219" w:lineRule="auto"/>
              <w:ind w:left="109"/>
              <w:rPr>
                <w:rFonts w:hint="eastAsia"/>
                <w:color w:val="auto"/>
              </w:rPr>
            </w:pPr>
            <w:r>
              <w:rPr>
                <w:color w:val="auto"/>
                <w:spacing w:val="-1"/>
              </w:rPr>
              <w:t>HJ/T296</w:t>
            </w:r>
            <w:r>
              <w:rPr>
                <w:color w:val="auto"/>
                <w:spacing w:val="-34"/>
              </w:rPr>
              <w:t xml:space="preserve"> </w:t>
            </w:r>
            <w:r>
              <w:rPr>
                <w:color w:val="auto"/>
                <w:spacing w:val="-1"/>
              </w:rPr>
              <w:t>卫生陶瓷</w:t>
            </w:r>
          </w:p>
        </w:tc>
      </w:tr>
      <w:tr w14:paraId="5F7C8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noWrap w:val="0"/>
            <w:vAlign w:val="top"/>
          </w:tcPr>
          <w:p w14:paraId="6F0139CD">
            <w:pPr>
              <w:pStyle w:val="871"/>
              <w:spacing w:before="96" w:line="183" w:lineRule="auto"/>
              <w:ind w:left="116"/>
              <w:rPr>
                <w:rFonts w:hint="eastAsia"/>
                <w:color w:val="auto"/>
              </w:rPr>
            </w:pPr>
            <w:r>
              <w:rPr>
                <w:color w:val="auto"/>
                <w:spacing w:val="-4"/>
              </w:rPr>
              <w:t>25</w:t>
            </w:r>
          </w:p>
        </w:tc>
        <w:tc>
          <w:tcPr>
            <w:tcW w:w="1343" w:type="dxa"/>
            <w:noWrap w:val="0"/>
            <w:vAlign w:val="top"/>
          </w:tcPr>
          <w:p w14:paraId="3CF3825B">
            <w:pPr>
              <w:pStyle w:val="871"/>
              <w:spacing w:before="67" w:line="220" w:lineRule="auto"/>
              <w:ind w:left="102"/>
              <w:rPr>
                <w:rFonts w:hint="eastAsia"/>
                <w:color w:val="auto"/>
              </w:rPr>
            </w:pPr>
            <w:r>
              <w:rPr>
                <w:color w:val="auto"/>
                <w:spacing w:val="-1"/>
              </w:rPr>
              <w:t>A060806</w:t>
            </w:r>
            <w:r>
              <w:rPr>
                <w:color w:val="auto"/>
                <w:spacing w:val="-32"/>
              </w:rPr>
              <w:t xml:space="preserve"> </w:t>
            </w:r>
            <w:r>
              <w:rPr>
                <w:color w:val="auto"/>
                <w:spacing w:val="-1"/>
              </w:rPr>
              <w:t>水嘴</w:t>
            </w:r>
          </w:p>
        </w:tc>
        <w:tc>
          <w:tcPr>
            <w:tcW w:w="2324" w:type="dxa"/>
            <w:noWrap w:val="0"/>
            <w:vAlign w:val="top"/>
          </w:tcPr>
          <w:p w14:paraId="5753CAE1">
            <w:pPr>
              <w:rPr>
                <w:rFonts w:ascii="Arial"/>
                <w:color w:val="auto"/>
              </w:rPr>
            </w:pPr>
          </w:p>
        </w:tc>
        <w:tc>
          <w:tcPr>
            <w:tcW w:w="1956" w:type="dxa"/>
            <w:noWrap w:val="0"/>
            <w:vAlign w:val="top"/>
          </w:tcPr>
          <w:p w14:paraId="1FAD450A">
            <w:pPr>
              <w:rPr>
                <w:rFonts w:ascii="Arial"/>
                <w:color w:val="auto"/>
              </w:rPr>
            </w:pPr>
          </w:p>
        </w:tc>
        <w:tc>
          <w:tcPr>
            <w:tcW w:w="3081" w:type="dxa"/>
            <w:noWrap w:val="0"/>
            <w:vAlign w:val="top"/>
          </w:tcPr>
          <w:p w14:paraId="1CB5B7F7">
            <w:pPr>
              <w:pStyle w:val="871"/>
              <w:spacing w:before="67" w:line="219" w:lineRule="auto"/>
              <w:ind w:left="109"/>
              <w:rPr>
                <w:rFonts w:hint="eastAsia"/>
                <w:color w:val="auto"/>
              </w:rPr>
            </w:pPr>
            <w:r>
              <w:rPr>
                <w:color w:val="auto"/>
                <w:spacing w:val="-1"/>
              </w:rPr>
              <w:t>HJ/T411</w:t>
            </w:r>
            <w:r>
              <w:rPr>
                <w:color w:val="auto"/>
                <w:spacing w:val="-34"/>
              </w:rPr>
              <w:t xml:space="preserve"> </w:t>
            </w:r>
            <w:r>
              <w:rPr>
                <w:color w:val="auto"/>
                <w:spacing w:val="-1"/>
              </w:rPr>
              <w:t>水嘴</w:t>
            </w:r>
          </w:p>
        </w:tc>
      </w:tr>
      <w:tr w14:paraId="21BCE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noWrap w:val="0"/>
            <w:vAlign w:val="top"/>
          </w:tcPr>
          <w:p w14:paraId="00999867">
            <w:pPr>
              <w:pStyle w:val="871"/>
              <w:spacing w:before="95" w:line="183" w:lineRule="auto"/>
              <w:ind w:left="116"/>
              <w:rPr>
                <w:rFonts w:hint="eastAsia"/>
                <w:color w:val="auto"/>
              </w:rPr>
            </w:pPr>
            <w:r>
              <w:rPr>
                <w:color w:val="auto"/>
                <w:spacing w:val="-4"/>
              </w:rPr>
              <w:t>26</w:t>
            </w:r>
          </w:p>
        </w:tc>
        <w:tc>
          <w:tcPr>
            <w:tcW w:w="1343" w:type="dxa"/>
            <w:noWrap w:val="0"/>
            <w:vAlign w:val="top"/>
          </w:tcPr>
          <w:p w14:paraId="3EC927A6">
            <w:pPr>
              <w:pStyle w:val="871"/>
              <w:spacing w:before="67" w:line="221" w:lineRule="auto"/>
              <w:ind w:left="102"/>
              <w:rPr>
                <w:rFonts w:hint="eastAsia"/>
                <w:color w:val="auto"/>
              </w:rPr>
            </w:pPr>
            <w:r>
              <w:rPr>
                <w:color w:val="auto"/>
                <w:spacing w:val="-1"/>
              </w:rPr>
              <w:t>A0609</w:t>
            </w:r>
            <w:r>
              <w:rPr>
                <w:color w:val="auto"/>
                <w:spacing w:val="-34"/>
              </w:rPr>
              <w:t xml:space="preserve"> </w:t>
            </w:r>
            <w:r>
              <w:rPr>
                <w:color w:val="auto"/>
                <w:spacing w:val="-1"/>
              </w:rPr>
              <w:t>组合家具</w:t>
            </w:r>
          </w:p>
        </w:tc>
        <w:tc>
          <w:tcPr>
            <w:tcW w:w="2324" w:type="dxa"/>
            <w:noWrap w:val="0"/>
            <w:vAlign w:val="top"/>
          </w:tcPr>
          <w:p w14:paraId="29A675F4">
            <w:pPr>
              <w:rPr>
                <w:rFonts w:ascii="Arial"/>
                <w:color w:val="auto"/>
              </w:rPr>
            </w:pPr>
          </w:p>
        </w:tc>
        <w:tc>
          <w:tcPr>
            <w:tcW w:w="1956" w:type="dxa"/>
            <w:noWrap w:val="0"/>
            <w:vAlign w:val="top"/>
          </w:tcPr>
          <w:p w14:paraId="36F9E284">
            <w:pPr>
              <w:rPr>
                <w:rFonts w:ascii="Arial"/>
                <w:color w:val="auto"/>
              </w:rPr>
            </w:pPr>
          </w:p>
        </w:tc>
        <w:tc>
          <w:tcPr>
            <w:tcW w:w="3081" w:type="dxa"/>
            <w:noWrap w:val="0"/>
            <w:vAlign w:val="top"/>
          </w:tcPr>
          <w:p w14:paraId="55F903EA">
            <w:pPr>
              <w:pStyle w:val="871"/>
              <w:spacing w:before="67"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53495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575DE7D3">
            <w:pPr>
              <w:pStyle w:val="871"/>
              <w:spacing w:before="96" w:line="183" w:lineRule="auto"/>
              <w:ind w:left="116"/>
              <w:rPr>
                <w:rFonts w:hint="eastAsia"/>
                <w:color w:val="auto"/>
              </w:rPr>
            </w:pPr>
            <w:r>
              <w:rPr>
                <w:color w:val="auto"/>
                <w:spacing w:val="-4"/>
              </w:rPr>
              <w:t>27</w:t>
            </w:r>
          </w:p>
        </w:tc>
        <w:tc>
          <w:tcPr>
            <w:tcW w:w="1343" w:type="dxa"/>
            <w:noWrap w:val="0"/>
            <w:vAlign w:val="top"/>
          </w:tcPr>
          <w:p w14:paraId="30B45D29">
            <w:pPr>
              <w:pStyle w:val="871"/>
              <w:spacing w:before="68" w:line="282" w:lineRule="auto"/>
              <w:ind w:left="108" w:right="106" w:hanging="6"/>
              <w:rPr>
                <w:rFonts w:hint="eastAsia"/>
                <w:color w:val="auto"/>
              </w:rPr>
            </w:pPr>
            <w:r>
              <w:rPr>
                <w:color w:val="auto"/>
                <w:spacing w:val="4"/>
              </w:rPr>
              <w:t>A0610</w:t>
            </w:r>
            <w:r>
              <w:rPr>
                <w:color w:val="auto"/>
                <w:spacing w:val="31"/>
              </w:rPr>
              <w:t xml:space="preserve"> </w:t>
            </w:r>
            <w:r>
              <w:rPr>
                <w:color w:val="auto"/>
                <w:spacing w:val="4"/>
              </w:rPr>
              <w:t>家用家具</w:t>
            </w:r>
            <w:r>
              <w:rPr>
                <w:color w:val="auto"/>
                <w:spacing w:val="-2"/>
              </w:rPr>
              <w:t>零配件</w:t>
            </w:r>
          </w:p>
        </w:tc>
        <w:tc>
          <w:tcPr>
            <w:tcW w:w="2324" w:type="dxa"/>
            <w:noWrap w:val="0"/>
            <w:vAlign w:val="top"/>
          </w:tcPr>
          <w:p w14:paraId="2A8D37F7">
            <w:pPr>
              <w:rPr>
                <w:rFonts w:ascii="Arial"/>
                <w:color w:val="auto"/>
              </w:rPr>
            </w:pPr>
          </w:p>
        </w:tc>
        <w:tc>
          <w:tcPr>
            <w:tcW w:w="1956" w:type="dxa"/>
            <w:noWrap w:val="0"/>
            <w:vAlign w:val="top"/>
          </w:tcPr>
          <w:p w14:paraId="3CAF28DC">
            <w:pPr>
              <w:rPr>
                <w:rFonts w:ascii="Arial"/>
                <w:color w:val="auto"/>
              </w:rPr>
            </w:pPr>
          </w:p>
        </w:tc>
        <w:tc>
          <w:tcPr>
            <w:tcW w:w="3081" w:type="dxa"/>
            <w:noWrap w:val="0"/>
            <w:vAlign w:val="top"/>
          </w:tcPr>
          <w:p w14:paraId="51ABCEC1">
            <w:pPr>
              <w:pStyle w:val="871"/>
              <w:spacing w:before="67"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16F98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noWrap w:val="0"/>
            <w:vAlign w:val="top"/>
          </w:tcPr>
          <w:p w14:paraId="398F1BE3">
            <w:pPr>
              <w:pStyle w:val="871"/>
              <w:spacing w:before="99" w:line="183" w:lineRule="auto"/>
              <w:ind w:left="116"/>
              <w:rPr>
                <w:rFonts w:hint="eastAsia"/>
                <w:color w:val="auto"/>
              </w:rPr>
            </w:pPr>
            <w:r>
              <w:rPr>
                <w:color w:val="auto"/>
                <w:spacing w:val="-4"/>
              </w:rPr>
              <w:t>28</w:t>
            </w:r>
          </w:p>
        </w:tc>
        <w:tc>
          <w:tcPr>
            <w:tcW w:w="1343" w:type="dxa"/>
            <w:noWrap w:val="0"/>
            <w:vAlign w:val="top"/>
          </w:tcPr>
          <w:p w14:paraId="392F4B5C">
            <w:pPr>
              <w:pStyle w:val="871"/>
              <w:spacing w:before="71" w:line="282" w:lineRule="auto"/>
              <w:ind w:left="109" w:right="106" w:hanging="7"/>
              <w:rPr>
                <w:rFonts w:hint="eastAsia"/>
                <w:color w:val="auto"/>
              </w:rPr>
            </w:pPr>
            <w:r>
              <w:rPr>
                <w:color w:val="auto"/>
                <w:spacing w:val="4"/>
              </w:rPr>
              <w:t>A0699</w:t>
            </w:r>
            <w:r>
              <w:rPr>
                <w:color w:val="auto"/>
                <w:spacing w:val="31"/>
              </w:rPr>
              <w:t xml:space="preserve"> </w:t>
            </w:r>
            <w:r>
              <w:rPr>
                <w:color w:val="auto"/>
                <w:spacing w:val="4"/>
              </w:rPr>
              <w:t>其他家具</w:t>
            </w:r>
            <w:r>
              <w:rPr>
                <w:color w:val="auto"/>
                <w:spacing w:val="-3"/>
              </w:rPr>
              <w:t>用具</w:t>
            </w:r>
          </w:p>
        </w:tc>
        <w:tc>
          <w:tcPr>
            <w:tcW w:w="2324" w:type="dxa"/>
            <w:noWrap w:val="0"/>
            <w:vAlign w:val="top"/>
          </w:tcPr>
          <w:p w14:paraId="0E57D7C3">
            <w:pPr>
              <w:rPr>
                <w:rFonts w:ascii="Arial"/>
                <w:color w:val="auto"/>
              </w:rPr>
            </w:pPr>
          </w:p>
        </w:tc>
        <w:tc>
          <w:tcPr>
            <w:tcW w:w="1956" w:type="dxa"/>
            <w:noWrap w:val="0"/>
            <w:vAlign w:val="top"/>
          </w:tcPr>
          <w:p w14:paraId="753296FA">
            <w:pPr>
              <w:rPr>
                <w:rFonts w:ascii="Arial"/>
                <w:color w:val="auto"/>
              </w:rPr>
            </w:pPr>
          </w:p>
        </w:tc>
        <w:tc>
          <w:tcPr>
            <w:tcW w:w="3081" w:type="dxa"/>
            <w:noWrap w:val="0"/>
            <w:vAlign w:val="top"/>
          </w:tcPr>
          <w:p w14:paraId="20280156">
            <w:pPr>
              <w:pStyle w:val="871"/>
              <w:spacing w:before="70"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13793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noWrap w:val="0"/>
            <w:vAlign w:val="top"/>
          </w:tcPr>
          <w:p w14:paraId="4762C13F">
            <w:pPr>
              <w:pStyle w:val="871"/>
              <w:spacing w:before="96" w:line="183" w:lineRule="auto"/>
              <w:ind w:left="116"/>
              <w:rPr>
                <w:rFonts w:hint="eastAsia"/>
                <w:color w:val="auto"/>
              </w:rPr>
            </w:pPr>
            <w:r>
              <w:rPr>
                <w:color w:val="auto"/>
                <w:spacing w:val="-4"/>
              </w:rPr>
              <w:t>29</w:t>
            </w:r>
          </w:p>
        </w:tc>
        <w:tc>
          <w:tcPr>
            <w:tcW w:w="1343" w:type="dxa"/>
            <w:noWrap w:val="0"/>
            <w:vAlign w:val="top"/>
          </w:tcPr>
          <w:p w14:paraId="16D31C43">
            <w:pPr>
              <w:pStyle w:val="871"/>
              <w:spacing w:before="69" w:line="284" w:lineRule="auto"/>
              <w:ind w:left="111" w:right="106" w:hanging="9"/>
              <w:rPr>
                <w:rFonts w:hint="eastAsia"/>
                <w:color w:val="auto"/>
              </w:rPr>
            </w:pPr>
            <w:r>
              <w:rPr>
                <w:color w:val="auto"/>
                <w:spacing w:val="-7"/>
              </w:rPr>
              <w:t>A070101</w:t>
            </w:r>
            <w:r>
              <w:rPr>
                <w:color w:val="auto"/>
                <w:spacing w:val="-36"/>
              </w:rPr>
              <w:t xml:space="preserve"> </w:t>
            </w:r>
            <w:r>
              <w:rPr>
                <w:color w:val="auto"/>
                <w:spacing w:val="-7"/>
              </w:rPr>
              <w:t>棉、化纤</w:t>
            </w:r>
            <w:r>
              <w:rPr>
                <w:color w:val="auto"/>
              </w:rPr>
              <w:t xml:space="preserve"> </w:t>
            </w:r>
            <w:r>
              <w:rPr>
                <w:color w:val="auto"/>
                <w:spacing w:val="-2"/>
              </w:rPr>
              <w:t>纺织及印染原料</w:t>
            </w:r>
          </w:p>
        </w:tc>
        <w:tc>
          <w:tcPr>
            <w:tcW w:w="2324" w:type="dxa"/>
            <w:noWrap w:val="0"/>
            <w:vAlign w:val="top"/>
          </w:tcPr>
          <w:p w14:paraId="70DD6F9D">
            <w:pPr>
              <w:rPr>
                <w:rFonts w:ascii="Arial"/>
                <w:color w:val="auto"/>
              </w:rPr>
            </w:pPr>
          </w:p>
        </w:tc>
        <w:tc>
          <w:tcPr>
            <w:tcW w:w="1956" w:type="dxa"/>
            <w:noWrap w:val="0"/>
            <w:vAlign w:val="top"/>
          </w:tcPr>
          <w:p w14:paraId="3CF3C7D1">
            <w:pPr>
              <w:rPr>
                <w:rFonts w:ascii="Arial"/>
                <w:color w:val="auto"/>
              </w:rPr>
            </w:pPr>
          </w:p>
        </w:tc>
        <w:tc>
          <w:tcPr>
            <w:tcW w:w="3081" w:type="dxa"/>
            <w:noWrap w:val="0"/>
            <w:vAlign w:val="top"/>
          </w:tcPr>
          <w:p w14:paraId="15380218">
            <w:pPr>
              <w:pStyle w:val="871"/>
              <w:spacing w:before="67" w:line="219" w:lineRule="auto"/>
              <w:ind w:left="109"/>
              <w:rPr>
                <w:rFonts w:hint="eastAsia"/>
                <w:color w:val="auto"/>
              </w:rPr>
            </w:pPr>
            <w:r>
              <w:rPr>
                <w:color w:val="auto"/>
                <w:spacing w:val="-1"/>
              </w:rPr>
              <w:t>HJ2546</w:t>
            </w:r>
            <w:r>
              <w:rPr>
                <w:color w:val="auto"/>
                <w:spacing w:val="-34"/>
              </w:rPr>
              <w:t xml:space="preserve"> </w:t>
            </w:r>
            <w:r>
              <w:rPr>
                <w:color w:val="auto"/>
                <w:spacing w:val="-1"/>
              </w:rPr>
              <w:t>纺织产品</w:t>
            </w:r>
          </w:p>
        </w:tc>
      </w:tr>
      <w:tr w14:paraId="15321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10" w:type="dxa"/>
            <w:noWrap w:val="0"/>
            <w:vAlign w:val="top"/>
          </w:tcPr>
          <w:p w14:paraId="58AB27C6">
            <w:pPr>
              <w:pStyle w:val="871"/>
              <w:spacing w:before="96" w:line="183" w:lineRule="auto"/>
              <w:ind w:left="118"/>
              <w:rPr>
                <w:rFonts w:hint="eastAsia"/>
                <w:color w:val="auto"/>
              </w:rPr>
            </w:pPr>
            <w:r>
              <w:rPr>
                <w:color w:val="auto"/>
                <w:spacing w:val="-5"/>
              </w:rPr>
              <w:t>30</w:t>
            </w:r>
          </w:p>
        </w:tc>
        <w:tc>
          <w:tcPr>
            <w:tcW w:w="1343" w:type="dxa"/>
            <w:noWrap w:val="0"/>
            <w:vAlign w:val="top"/>
          </w:tcPr>
          <w:p w14:paraId="28603301">
            <w:pPr>
              <w:pStyle w:val="871"/>
              <w:spacing w:before="69" w:line="296" w:lineRule="auto"/>
              <w:ind w:left="109" w:right="106" w:hanging="7"/>
              <w:rPr>
                <w:rFonts w:hint="eastAsia"/>
                <w:color w:val="auto"/>
              </w:rPr>
            </w:pPr>
            <w:r>
              <w:rPr>
                <w:color w:val="auto"/>
                <w:spacing w:val="-2"/>
              </w:rPr>
              <w:t>A090101</w:t>
            </w:r>
            <w:r>
              <w:rPr>
                <w:color w:val="auto"/>
                <w:spacing w:val="42"/>
              </w:rPr>
              <w:t xml:space="preserve"> </w:t>
            </w:r>
            <w:r>
              <w:rPr>
                <w:color w:val="auto"/>
                <w:spacing w:val="-2"/>
              </w:rPr>
              <w:t>复</w:t>
            </w:r>
            <w:r>
              <w:rPr>
                <w:color w:val="auto"/>
                <w:spacing w:val="-48"/>
              </w:rPr>
              <w:t xml:space="preserve"> </w:t>
            </w:r>
            <w:r>
              <w:rPr>
                <w:color w:val="auto"/>
                <w:spacing w:val="-2"/>
              </w:rPr>
              <w:t>印纸</w:t>
            </w:r>
            <w:r>
              <w:rPr>
                <w:color w:val="auto"/>
              </w:rPr>
              <w:t xml:space="preserve"> </w:t>
            </w:r>
            <w:r>
              <w:rPr>
                <w:color w:val="auto"/>
                <w:spacing w:val="8"/>
              </w:rPr>
              <w:t>（包括再生复印</w:t>
            </w:r>
            <w:r>
              <w:rPr>
                <w:color w:val="auto"/>
                <w:spacing w:val="4"/>
              </w:rPr>
              <w:t xml:space="preserve"> </w:t>
            </w:r>
            <w:r>
              <w:rPr>
                <w:color w:val="auto"/>
                <w:spacing w:val="-5"/>
              </w:rPr>
              <w:t>纸）</w:t>
            </w:r>
          </w:p>
        </w:tc>
        <w:tc>
          <w:tcPr>
            <w:tcW w:w="2324" w:type="dxa"/>
            <w:noWrap w:val="0"/>
            <w:vAlign w:val="top"/>
          </w:tcPr>
          <w:p w14:paraId="4C1C4C55">
            <w:pPr>
              <w:rPr>
                <w:rFonts w:ascii="Arial"/>
                <w:color w:val="auto"/>
              </w:rPr>
            </w:pPr>
          </w:p>
        </w:tc>
        <w:tc>
          <w:tcPr>
            <w:tcW w:w="1956" w:type="dxa"/>
            <w:noWrap w:val="0"/>
            <w:vAlign w:val="top"/>
          </w:tcPr>
          <w:p w14:paraId="054B3B0B">
            <w:pPr>
              <w:rPr>
                <w:rFonts w:ascii="Arial"/>
                <w:color w:val="auto"/>
              </w:rPr>
            </w:pPr>
          </w:p>
        </w:tc>
        <w:tc>
          <w:tcPr>
            <w:tcW w:w="3081" w:type="dxa"/>
            <w:noWrap w:val="0"/>
            <w:vAlign w:val="top"/>
          </w:tcPr>
          <w:p w14:paraId="0CFE1556">
            <w:pPr>
              <w:pStyle w:val="871"/>
              <w:spacing w:before="67" w:line="219" w:lineRule="auto"/>
              <w:ind w:left="109"/>
              <w:rPr>
                <w:rFonts w:hint="eastAsia"/>
                <w:color w:val="auto"/>
              </w:rPr>
            </w:pPr>
            <w:r>
              <w:rPr>
                <w:color w:val="auto"/>
                <w:spacing w:val="-2"/>
              </w:rPr>
              <w:t>HJ410</w:t>
            </w:r>
            <w:r>
              <w:rPr>
                <w:color w:val="auto"/>
                <w:spacing w:val="-27"/>
              </w:rPr>
              <w:t xml:space="preserve"> </w:t>
            </w:r>
            <w:r>
              <w:rPr>
                <w:color w:val="auto"/>
                <w:spacing w:val="-2"/>
              </w:rPr>
              <w:t>文化用纸</w:t>
            </w:r>
          </w:p>
        </w:tc>
      </w:tr>
      <w:tr w14:paraId="3D08C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noWrap w:val="0"/>
            <w:vAlign w:val="top"/>
          </w:tcPr>
          <w:p w14:paraId="7BF5A0A7">
            <w:pPr>
              <w:pStyle w:val="871"/>
              <w:spacing w:before="91" w:line="184" w:lineRule="auto"/>
              <w:ind w:left="118"/>
              <w:rPr>
                <w:rFonts w:hint="eastAsia"/>
                <w:color w:val="auto"/>
              </w:rPr>
            </w:pPr>
            <w:r>
              <w:rPr>
                <w:color w:val="auto"/>
                <w:spacing w:val="-5"/>
              </w:rPr>
              <w:t>31</w:t>
            </w:r>
          </w:p>
        </w:tc>
        <w:tc>
          <w:tcPr>
            <w:tcW w:w="1343" w:type="dxa"/>
            <w:noWrap w:val="0"/>
            <w:vAlign w:val="top"/>
          </w:tcPr>
          <w:p w14:paraId="626388AC">
            <w:pPr>
              <w:pStyle w:val="871"/>
              <w:spacing w:before="64" w:line="296" w:lineRule="auto"/>
              <w:ind w:left="109" w:right="106" w:hanging="7"/>
              <w:rPr>
                <w:rFonts w:hint="eastAsia"/>
                <w:color w:val="auto"/>
              </w:rPr>
            </w:pPr>
            <w:r>
              <w:rPr>
                <w:color w:val="auto"/>
                <w:spacing w:val="3"/>
              </w:rPr>
              <w:t>A090201</w:t>
            </w:r>
            <w:r>
              <w:rPr>
                <w:color w:val="auto"/>
                <w:spacing w:val="34"/>
              </w:rPr>
              <w:t xml:space="preserve"> </w:t>
            </w:r>
            <w:r>
              <w:rPr>
                <w:color w:val="auto"/>
                <w:spacing w:val="3"/>
              </w:rPr>
              <w:t>鼓粉盒</w:t>
            </w:r>
            <w:r>
              <w:rPr>
                <w:color w:val="auto"/>
              </w:rPr>
              <w:t xml:space="preserve"> </w:t>
            </w:r>
            <w:r>
              <w:rPr>
                <w:color w:val="auto"/>
                <w:spacing w:val="8"/>
              </w:rPr>
              <w:t>（包括再生鼓粉</w:t>
            </w:r>
            <w:r>
              <w:rPr>
                <w:color w:val="auto"/>
                <w:spacing w:val="4"/>
              </w:rPr>
              <w:t xml:space="preserve"> </w:t>
            </w:r>
            <w:r>
              <w:rPr>
                <w:color w:val="auto"/>
                <w:spacing w:val="-5"/>
              </w:rPr>
              <w:t>盒）</w:t>
            </w:r>
          </w:p>
        </w:tc>
        <w:tc>
          <w:tcPr>
            <w:tcW w:w="2324" w:type="dxa"/>
            <w:noWrap w:val="0"/>
            <w:vAlign w:val="top"/>
          </w:tcPr>
          <w:p w14:paraId="5457A52A">
            <w:pPr>
              <w:rPr>
                <w:rFonts w:ascii="Arial"/>
                <w:color w:val="auto"/>
              </w:rPr>
            </w:pPr>
          </w:p>
        </w:tc>
        <w:tc>
          <w:tcPr>
            <w:tcW w:w="1956" w:type="dxa"/>
            <w:noWrap w:val="0"/>
            <w:vAlign w:val="top"/>
          </w:tcPr>
          <w:p w14:paraId="6350CFFA">
            <w:pPr>
              <w:rPr>
                <w:rFonts w:ascii="Arial"/>
                <w:color w:val="auto"/>
              </w:rPr>
            </w:pPr>
          </w:p>
        </w:tc>
        <w:tc>
          <w:tcPr>
            <w:tcW w:w="3081" w:type="dxa"/>
            <w:noWrap w:val="0"/>
            <w:vAlign w:val="top"/>
          </w:tcPr>
          <w:p w14:paraId="4A613EDB">
            <w:pPr>
              <w:pStyle w:val="871"/>
              <w:spacing w:before="63" w:line="219" w:lineRule="auto"/>
              <w:ind w:left="109"/>
              <w:rPr>
                <w:rFonts w:hint="eastAsia"/>
                <w:color w:val="auto"/>
              </w:rPr>
            </w:pPr>
            <w:r>
              <w:rPr>
                <w:color w:val="auto"/>
                <w:spacing w:val="-1"/>
              </w:rPr>
              <w:t>HJ/T413</w:t>
            </w:r>
            <w:r>
              <w:rPr>
                <w:color w:val="auto"/>
                <w:spacing w:val="-34"/>
              </w:rPr>
              <w:t xml:space="preserve"> </w:t>
            </w:r>
            <w:r>
              <w:rPr>
                <w:color w:val="auto"/>
                <w:spacing w:val="-1"/>
              </w:rPr>
              <w:t>再生鼓粉盒</w:t>
            </w:r>
          </w:p>
        </w:tc>
      </w:tr>
      <w:tr w14:paraId="699BF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10" w:type="dxa"/>
            <w:vMerge w:val="restart"/>
            <w:tcBorders>
              <w:bottom w:val="nil"/>
            </w:tcBorders>
            <w:noWrap w:val="0"/>
            <w:vAlign w:val="top"/>
          </w:tcPr>
          <w:p w14:paraId="332C0FDE">
            <w:pPr>
              <w:pStyle w:val="871"/>
              <w:spacing w:before="93" w:line="183" w:lineRule="auto"/>
              <w:ind w:left="118"/>
              <w:rPr>
                <w:rFonts w:hint="eastAsia"/>
                <w:color w:val="auto"/>
              </w:rPr>
            </w:pPr>
            <w:r>
              <w:rPr>
                <w:color w:val="auto"/>
                <w:spacing w:val="-5"/>
              </w:rPr>
              <w:t>32</w:t>
            </w:r>
          </w:p>
        </w:tc>
        <w:tc>
          <w:tcPr>
            <w:tcW w:w="1343" w:type="dxa"/>
            <w:vMerge w:val="restart"/>
            <w:tcBorders>
              <w:bottom w:val="nil"/>
            </w:tcBorders>
            <w:noWrap w:val="0"/>
            <w:vAlign w:val="top"/>
          </w:tcPr>
          <w:p w14:paraId="7E38E9CA">
            <w:pPr>
              <w:pStyle w:val="871"/>
              <w:spacing w:before="64" w:line="219" w:lineRule="auto"/>
              <w:ind w:left="102"/>
              <w:rPr>
                <w:rFonts w:hint="eastAsia"/>
                <w:color w:val="auto"/>
              </w:rPr>
            </w:pPr>
            <w:r>
              <w:rPr>
                <w:color w:val="auto"/>
                <w:spacing w:val="-1"/>
              </w:rPr>
              <w:t>A100203</w:t>
            </w:r>
            <w:r>
              <w:rPr>
                <w:color w:val="auto"/>
                <w:spacing w:val="-33"/>
              </w:rPr>
              <w:t xml:space="preserve"> </w:t>
            </w:r>
            <w:r>
              <w:rPr>
                <w:color w:val="auto"/>
                <w:spacing w:val="-1"/>
              </w:rPr>
              <w:t>人造板</w:t>
            </w:r>
          </w:p>
        </w:tc>
        <w:tc>
          <w:tcPr>
            <w:tcW w:w="2324" w:type="dxa"/>
            <w:noWrap w:val="0"/>
            <w:vAlign w:val="top"/>
          </w:tcPr>
          <w:p w14:paraId="661649B7">
            <w:pPr>
              <w:pStyle w:val="871"/>
              <w:spacing w:before="64" w:line="219" w:lineRule="auto"/>
              <w:ind w:left="103"/>
              <w:rPr>
                <w:rFonts w:hint="eastAsia"/>
                <w:color w:val="auto"/>
              </w:rPr>
            </w:pPr>
            <w:r>
              <w:rPr>
                <w:color w:val="auto"/>
                <w:spacing w:val="-1"/>
              </w:rPr>
              <w:t>A10020301</w:t>
            </w:r>
            <w:r>
              <w:rPr>
                <w:color w:val="auto"/>
                <w:spacing w:val="-32"/>
              </w:rPr>
              <w:t xml:space="preserve"> </w:t>
            </w:r>
            <w:r>
              <w:rPr>
                <w:color w:val="auto"/>
                <w:spacing w:val="-1"/>
              </w:rPr>
              <w:t>胶合板</w:t>
            </w:r>
          </w:p>
        </w:tc>
        <w:tc>
          <w:tcPr>
            <w:tcW w:w="1956" w:type="dxa"/>
            <w:noWrap w:val="0"/>
            <w:vAlign w:val="top"/>
          </w:tcPr>
          <w:p w14:paraId="2258F28C">
            <w:pPr>
              <w:rPr>
                <w:rFonts w:ascii="Arial"/>
                <w:color w:val="auto"/>
              </w:rPr>
            </w:pPr>
          </w:p>
        </w:tc>
        <w:tc>
          <w:tcPr>
            <w:tcW w:w="3081" w:type="dxa"/>
            <w:noWrap w:val="0"/>
            <w:vAlign w:val="top"/>
          </w:tcPr>
          <w:p w14:paraId="324C9E7C">
            <w:pPr>
              <w:pStyle w:val="871"/>
              <w:spacing w:before="64" w:line="219" w:lineRule="auto"/>
              <w:ind w:left="109"/>
              <w:rPr>
                <w:rFonts w:hint="eastAsia"/>
                <w:color w:val="auto"/>
              </w:rPr>
            </w:pPr>
            <w:r>
              <w:rPr>
                <w:color w:val="auto"/>
                <w:spacing w:val="-1"/>
              </w:rPr>
              <w:t>HJ571</w:t>
            </w:r>
            <w:r>
              <w:rPr>
                <w:color w:val="auto"/>
                <w:spacing w:val="-34"/>
              </w:rPr>
              <w:t xml:space="preserve"> </w:t>
            </w:r>
            <w:r>
              <w:rPr>
                <w:color w:val="auto"/>
                <w:spacing w:val="-1"/>
              </w:rPr>
              <w:t>人造板及其制品</w:t>
            </w:r>
          </w:p>
        </w:tc>
      </w:tr>
      <w:tr w14:paraId="0415E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4816828E">
            <w:pPr>
              <w:rPr>
                <w:rFonts w:ascii="Arial"/>
                <w:color w:val="auto"/>
              </w:rPr>
            </w:pPr>
          </w:p>
        </w:tc>
        <w:tc>
          <w:tcPr>
            <w:tcW w:w="1343" w:type="dxa"/>
            <w:vMerge w:val="continue"/>
            <w:tcBorders>
              <w:top w:val="nil"/>
              <w:bottom w:val="nil"/>
            </w:tcBorders>
            <w:noWrap w:val="0"/>
            <w:vAlign w:val="top"/>
          </w:tcPr>
          <w:p w14:paraId="6742C464">
            <w:pPr>
              <w:rPr>
                <w:rFonts w:ascii="Arial"/>
                <w:color w:val="auto"/>
              </w:rPr>
            </w:pPr>
          </w:p>
        </w:tc>
        <w:tc>
          <w:tcPr>
            <w:tcW w:w="2324" w:type="dxa"/>
            <w:noWrap w:val="0"/>
            <w:vAlign w:val="top"/>
          </w:tcPr>
          <w:p w14:paraId="2885F842">
            <w:pPr>
              <w:pStyle w:val="871"/>
              <w:spacing w:before="65" w:line="219" w:lineRule="auto"/>
              <w:ind w:left="103"/>
              <w:rPr>
                <w:rFonts w:hint="eastAsia"/>
                <w:color w:val="auto"/>
              </w:rPr>
            </w:pPr>
            <w:r>
              <w:rPr>
                <w:color w:val="auto"/>
                <w:spacing w:val="-1"/>
              </w:rPr>
              <w:t>A10020302</w:t>
            </w:r>
            <w:r>
              <w:rPr>
                <w:color w:val="auto"/>
                <w:spacing w:val="-30"/>
              </w:rPr>
              <w:t xml:space="preserve"> </w:t>
            </w:r>
            <w:r>
              <w:rPr>
                <w:color w:val="auto"/>
                <w:spacing w:val="-1"/>
              </w:rPr>
              <w:t>纤维板</w:t>
            </w:r>
          </w:p>
        </w:tc>
        <w:tc>
          <w:tcPr>
            <w:tcW w:w="1956" w:type="dxa"/>
            <w:noWrap w:val="0"/>
            <w:vAlign w:val="top"/>
          </w:tcPr>
          <w:p w14:paraId="1C788908">
            <w:pPr>
              <w:rPr>
                <w:rFonts w:ascii="Arial"/>
                <w:color w:val="auto"/>
              </w:rPr>
            </w:pPr>
          </w:p>
        </w:tc>
        <w:tc>
          <w:tcPr>
            <w:tcW w:w="3081" w:type="dxa"/>
            <w:noWrap w:val="0"/>
            <w:vAlign w:val="top"/>
          </w:tcPr>
          <w:p w14:paraId="7AE0FE5B">
            <w:pPr>
              <w:pStyle w:val="871"/>
              <w:spacing w:before="64" w:line="219" w:lineRule="auto"/>
              <w:ind w:left="109"/>
              <w:rPr>
                <w:rFonts w:hint="eastAsia"/>
                <w:color w:val="auto"/>
              </w:rPr>
            </w:pPr>
            <w:r>
              <w:rPr>
                <w:color w:val="auto"/>
                <w:spacing w:val="-1"/>
              </w:rPr>
              <w:t>HJ571</w:t>
            </w:r>
            <w:r>
              <w:rPr>
                <w:color w:val="auto"/>
                <w:spacing w:val="-34"/>
              </w:rPr>
              <w:t xml:space="preserve"> </w:t>
            </w:r>
            <w:r>
              <w:rPr>
                <w:color w:val="auto"/>
                <w:spacing w:val="-1"/>
              </w:rPr>
              <w:t>人造板及其制品</w:t>
            </w:r>
          </w:p>
        </w:tc>
      </w:tr>
      <w:tr w14:paraId="54BEC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noWrap w:val="0"/>
            <w:vAlign w:val="top"/>
          </w:tcPr>
          <w:p w14:paraId="29D46800">
            <w:pPr>
              <w:rPr>
                <w:rFonts w:ascii="Arial"/>
                <w:color w:val="auto"/>
              </w:rPr>
            </w:pPr>
          </w:p>
        </w:tc>
        <w:tc>
          <w:tcPr>
            <w:tcW w:w="1343" w:type="dxa"/>
            <w:vMerge w:val="continue"/>
            <w:tcBorders>
              <w:top w:val="nil"/>
              <w:bottom w:val="nil"/>
            </w:tcBorders>
            <w:noWrap w:val="0"/>
            <w:vAlign w:val="top"/>
          </w:tcPr>
          <w:p w14:paraId="439AD4D3">
            <w:pPr>
              <w:rPr>
                <w:rFonts w:ascii="Arial"/>
                <w:color w:val="auto"/>
              </w:rPr>
            </w:pPr>
          </w:p>
        </w:tc>
        <w:tc>
          <w:tcPr>
            <w:tcW w:w="2324" w:type="dxa"/>
            <w:noWrap w:val="0"/>
            <w:vAlign w:val="top"/>
          </w:tcPr>
          <w:p w14:paraId="22ED0A2F">
            <w:pPr>
              <w:pStyle w:val="871"/>
              <w:spacing w:before="65" w:line="219" w:lineRule="auto"/>
              <w:ind w:left="103"/>
              <w:rPr>
                <w:rFonts w:hint="eastAsia"/>
                <w:color w:val="auto"/>
              </w:rPr>
            </w:pPr>
            <w:r>
              <w:rPr>
                <w:color w:val="auto"/>
                <w:spacing w:val="-1"/>
              </w:rPr>
              <w:t>A10020303</w:t>
            </w:r>
            <w:r>
              <w:rPr>
                <w:color w:val="auto"/>
                <w:spacing w:val="-32"/>
              </w:rPr>
              <w:t xml:space="preserve"> </w:t>
            </w:r>
            <w:r>
              <w:rPr>
                <w:color w:val="auto"/>
                <w:spacing w:val="-1"/>
              </w:rPr>
              <w:t>刨花板</w:t>
            </w:r>
          </w:p>
        </w:tc>
        <w:tc>
          <w:tcPr>
            <w:tcW w:w="1956" w:type="dxa"/>
            <w:noWrap w:val="0"/>
            <w:vAlign w:val="top"/>
          </w:tcPr>
          <w:p w14:paraId="277B3BEA">
            <w:pPr>
              <w:rPr>
                <w:rFonts w:ascii="Arial"/>
                <w:color w:val="auto"/>
              </w:rPr>
            </w:pPr>
          </w:p>
        </w:tc>
        <w:tc>
          <w:tcPr>
            <w:tcW w:w="3081" w:type="dxa"/>
            <w:noWrap w:val="0"/>
            <w:vAlign w:val="top"/>
          </w:tcPr>
          <w:p w14:paraId="79977220">
            <w:pPr>
              <w:pStyle w:val="871"/>
              <w:spacing w:before="64" w:line="219" w:lineRule="auto"/>
              <w:ind w:left="109"/>
              <w:rPr>
                <w:rFonts w:hint="eastAsia"/>
                <w:color w:val="auto"/>
              </w:rPr>
            </w:pPr>
            <w:r>
              <w:rPr>
                <w:color w:val="auto"/>
                <w:spacing w:val="-1"/>
              </w:rPr>
              <w:t>HJ571</w:t>
            </w:r>
            <w:r>
              <w:rPr>
                <w:color w:val="auto"/>
                <w:spacing w:val="-34"/>
              </w:rPr>
              <w:t xml:space="preserve"> </w:t>
            </w:r>
            <w:r>
              <w:rPr>
                <w:color w:val="auto"/>
                <w:spacing w:val="-1"/>
              </w:rPr>
              <w:t>人造板及其制品</w:t>
            </w:r>
          </w:p>
        </w:tc>
      </w:tr>
      <w:tr w14:paraId="4E884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04FACD20">
            <w:pPr>
              <w:rPr>
                <w:rFonts w:ascii="Arial"/>
                <w:color w:val="auto"/>
              </w:rPr>
            </w:pPr>
          </w:p>
        </w:tc>
        <w:tc>
          <w:tcPr>
            <w:tcW w:w="1343" w:type="dxa"/>
            <w:vMerge w:val="continue"/>
            <w:tcBorders>
              <w:top w:val="nil"/>
              <w:bottom w:val="nil"/>
            </w:tcBorders>
            <w:noWrap w:val="0"/>
            <w:vAlign w:val="top"/>
          </w:tcPr>
          <w:p w14:paraId="6C49EAB8">
            <w:pPr>
              <w:rPr>
                <w:rFonts w:ascii="Arial"/>
                <w:color w:val="auto"/>
              </w:rPr>
            </w:pPr>
          </w:p>
        </w:tc>
        <w:tc>
          <w:tcPr>
            <w:tcW w:w="2324" w:type="dxa"/>
            <w:noWrap w:val="0"/>
            <w:vAlign w:val="top"/>
          </w:tcPr>
          <w:p w14:paraId="0E52704F">
            <w:pPr>
              <w:pStyle w:val="871"/>
              <w:spacing w:before="68" w:line="219" w:lineRule="auto"/>
              <w:ind w:left="103"/>
              <w:rPr>
                <w:rFonts w:hint="eastAsia"/>
                <w:color w:val="auto"/>
              </w:rPr>
            </w:pPr>
            <w:r>
              <w:rPr>
                <w:color w:val="auto"/>
                <w:spacing w:val="-1"/>
              </w:rPr>
              <w:t>A10020304</w:t>
            </w:r>
            <w:r>
              <w:rPr>
                <w:color w:val="auto"/>
                <w:spacing w:val="-31"/>
              </w:rPr>
              <w:t xml:space="preserve"> </w:t>
            </w:r>
            <w:r>
              <w:rPr>
                <w:color w:val="auto"/>
                <w:spacing w:val="-1"/>
              </w:rPr>
              <w:t>细木工板</w:t>
            </w:r>
          </w:p>
        </w:tc>
        <w:tc>
          <w:tcPr>
            <w:tcW w:w="1956" w:type="dxa"/>
            <w:noWrap w:val="0"/>
            <w:vAlign w:val="top"/>
          </w:tcPr>
          <w:p w14:paraId="42EA2954">
            <w:pPr>
              <w:rPr>
                <w:rFonts w:ascii="Arial"/>
                <w:color w:val="auto"/>
              </w:rPr>
            </w:pPr>
          </w:p>
        </w:tc>
        <w:tc>
          <w:tcPr>
            <w:tcW w:w="3081" w:type="dxa"/>
            <w:noWrap w:val="0"/>
            <w:vAlign w:val="top"/>
          </w:tcPr>
          <w:p w14:paraId="2872285A">
            <w:pPr>
              <w:pStyle w:val="871"/>
              <w:spacing w:before="67" w:line="219" w:lineRule="auto"/>
              <w:ind w:left="109"/>
              <w:rPr>
                <w:rFonts w:hint="eastAsia"/>
                <w:color w:val="auto"/>
              </w:rPr>
            </w:pPr>
            <w:r>
              <w:rPr>
                <w:color w:val="auto"/>
                <w:spacing w:val="-1"/>
              </w:rPr>
              <w:t>HJ571</w:t>
            </w:r>
            <w:r>
              <w:rPr>
                <w:color w:val="auto"/>
                <w:spacing w:val="-34"/>
              </w:rPr>
              <w:t xml:space="preserve"> </w:t>
            </w:r>
            <w:r>
              <w:rPr>
                <w:color w:val="auto"/>
                <w:spacing w:val="-1"/>
              </w:rPr>
              <w:t>人造板及其制品</w:t>
            </w:r>
          </w:p>
        </w:tc>
      </w:tr>
      <w:tr w14:paraId="4F5D5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1012DAA1">
            <w:pPr>
              <w:rPr>
                <w:rFonts w:ascii="Arial"/>
                <w:color w:val="auto"/>
              </w:rPr>
            </w:pPr>
          </w:p>
        </w:tc>
        <w:tc>
          <w:tcPr>
            <w:tcW w:w="1343" w:type="dxa"/>
            <w:vMerge w:val="continue"/>
            <w:tcBorders>
              <w:top w:val="nil"/>
            </w:tcBorders>
            <w:noWrap w:val="0"/>
            <w:vAlign w:val="top"/>
          </w:tcPr>
          <w:p w14:paraId="4D7BB10F">
            <w:pPr>
              <w:rPr>
                <w:rFonts w:ascii="Arial"/>
                <w:color w:val="auto"/>
              </w:rPr>
            </w:pPr>
          </w:p>
        </w:tc>
        <w:tc>
          <w:tcPr>
            <w:tcW w:w="2324" w:type="dxa"/>
            <w:noWrap w:val="0"/>
            <w:vAlign w:val="top"/>
          </w:tcPr>
          <w:p w14:paraId="05D58311">
            <w:pPr>
              <w:pStyle w:val="871"/>
              <w:spacing w:before="65" w:line="219" w:lineRule="auto"/>
              <w:ind w:left="103"/>
              <w:rPr>
                <w:rFonts w:hint="eastAsia"/>
                <w:color w:val="auto"/>
              </w:rPr>
            </w:pPr>
            <w:r>
              <w:rPr>
                <w:color w:val="auto"/>
                <w:spacing w:val="-1"/>
              </w:rPr>
              <w:t>A10020399</w:t>
            </w:r>
            <w:r>
              <w:rPr>
                <w:color w:val="auto"/>
                <w:spacing w:val="-31"/>
              </w:rPr>
              <w:t xml:space="preserve"> </w:t>
            </w:r>
            <w:r>
              <w:rPr>
                <w:color w:val="auto"/>
                <w:spacing w:val="-1"/>
              </w:rPr>
              <w:t>其他人造板</w:t>
            </w:r>
          </w:p>
        </w:tc>
        <w:tc>
          <w:tcPr>
            <w:tcW w:w="1956" w:type="dxa"/>
            <w:noWrap w:val="0"/>
            <w:vAlign w:val="top"/>
          </w:tcPr>
          <w:p w14:paraId="5B53F1C1">
            <w:pPr>
              <w:rPr>
                <w:rFonts w:ascii="Arial"/>
                <w:color w:val="auto"/>
              </w:rPr>
            </w:pPr>
          </w:p>
        </w:tc>
        <w:tc>
          <w:tcPr>
            <w:tcW w:w="3081" w:type="dxa"/>
            <w:noWrap w:val="0"/>
            <w:vAlign w:val="top"/>
          </w:tcPr>
          <w:p w14:paraId="23525256">
            <w:pPr>
              <w:pStyle w:val="871"/>
              <w:spacing w:before="64" w:line="219" w:lineRule="auto"/>
              <w:ind w:left="109"/>
              <w:rPr>
                <w:rFonts w:hint="eastAsia"/>
                <w:color w:val="auto"/>
              </w:rPr>
            </w:pPr>
            <w:r>
              <w:rPr>
                <w:color w:val="auto"/>
                <w:spacing w:val="-1"/>
              </w:rPr>
              <w:t>HJ571</w:t>
            </w:r>
            <w:r>
              <w:rPr>
                <w:color w:val="auto"/>
                <w:spacing w:val="-34"/>
              </w:rPr>
              <w:t xml:space="preserve"> </w:t>
            </w:r>
            <w:r>
              <w:rPr>
                <w:color w:val="auto"/>
                <w:spacing w:val="-1"/>
              </w:rPr>
              <w:t>人造板及其制品</w:t>
            </w:r>
          </w:p>
        </w:tc>
      </w:tr>
      <w:tr w14:paraId="00480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10" w:type="dxa"/>
            <w:vMerge w:val="restart"/>
            <w:tcBorders>
              <w:bottom w:val="nil"/>
            </w:tcBorders>
            <w:noWrap w:val="0"/>
            <w:vAlign w:val="top"/>
          </w:tcPr>
          <w:p w14:paraId="55781E52">
            <w:pPr>
              <w:pStyle w:val="871"/>
              <w:spacing w:before="93" w:line="183" w:lineRule="auto"/>
              <w:ind w:left="118"/>
              <w:rPr>
                <w:rFonts w:hint="eastAsia"/>
                <w:color w:val="auto"/>
              </w:rPr>
            </w:pPr>
            <w:r>
              <w:rPr>
                <w:color w:val="auto"/>
                <w:spacing w:val="-5"/>
              </w:rPr>
              <w:t>33</w:t>
            </w:r>
          </w:p>
        </w:tc>
        <w:tc>
          <w:tcPr>
            <w:tcW w:w="1343" w:type="dxa"/>
            <w:vMerge w:val="restart"/>
            <w:tcBorders>
              <w:bottom w:val="nil"/>
            </w:tcBorders>
            <w:noWrap w:val="0"/>
            <w:vAlign w:val="top"/>
          </w:tcPr>
          <w:p w14:paraId="71B0020B">
            <w:pPr>
              <w:pStyle w:val="871"/>
              <w:spacing w:before="65" w:line="305" w:lineRule="auto"/>
              <w:ind w:left="109" w:right="108" w:hanging="7"/>
              <w:rPr>
                <w:rFonts w:hint="eastAsia"/>
                <w:color w:val="auto"/>
              </w:rPr>
            </w:pPr>
            <w:r>
              <w:rPr>
                <w:color w:val="auto"/>
                <w:spacing w:val="3"/>
              </w:rPr>
              <w:t>A100204</w:t>
            </w:r>
            <w:r>
              <w:rPr>
                <w:color w:val="auto"/>
                <w:spacing w:val="34"/>
              </w:rPr>
              <w:t xml:space="preserve"> </w:t>
            </w:r>
            <w:r>
              <w:rPr>
                <w:color w:val="auto"/>
                <w:spacing w:val="3"/>
              </w:rPr>
              <w:t>二次加</w:t>
            </w:r>
            <w:r>
              <w:rPr>
                <w:color w:val="auto"/>
                <w:spacing w:val="-2"/>
              </w:rPr>
              <w:t>工材,相关板材</w:t>
            </w:r>
          </w:p>
        </w:tc>
        <w:tc>
          <w:tcPr>
            <w:tcW w:w="2324" w:type="dxa"/>
            <w:noWrap w:val="0"/>
            <w:vAlign w:val="top"/>
          </w:tcPr>
          <w:p w14:paraId="5AE6684A">
            <w:pPr>
              <w:pStyle w:val="871"/>
              <w:spacing w:before="65" w:line="219" w:lineRule="auto"/>
              <w:ind w:left="103"/>
              <w:rPr>
                <w:rFonts w:hint="eastAsia"/>
                <w:color w:val="auto"/>
              </w:rPr>
            </w:pPr>
            <w:r>
              <w:rPr>
                <w:color w:val="auto"/>
                <w:spacing w:val="-1"/>
              </w:rPr>
              <w:t>A10020404</w:t>
            </w:r>
            <w:r>
              <w:rPr>
                <w:color w:val="auto"/>
                <w:spacing w:val="-28"/>
              </w:rPr>
              <w:t xml:space="preserve"> </w:t>
            </w:r>
            <w:r>
              <w:rPr>
                <w:color w:val="auto"/>
                <w:spacing w:val="-1"/>
              </w:rPr>
              <w:t>人造板表面装饰板</w:t>
            </w:r>
          </w:p>
        </w:tc>
        <w:tc>
          <w:tcPr>
            <w:tcW w:w="1956" w:type="dxa"/>
            <w:noWrap w:val="0"/>
            <w:vAlign w:val="top"/>
          </w:tcPr>
          <w:p w14:paraId="1EBC55BE">
            <w:pPr>
              <w:rPr>
                <w:rFonts w:ascii="Arial"/>
                <w:color w:val="auto"/>
              </w:rPr>
            </w:pPr>
          </w:p>
        </w:tc>
        <w:tc>
          <w:tcPr>
            <w:tcW w:w="3081" w:type="dxa"/>
            <w:noWrap w:val="0"/>
            <w:vAlign w:val="top"/>
          </w:tcPr>
          <w:p w14:paraId="5FF598DC">
            <w:pPr>
              <w:pStyle w:val="871"/>
              <w:spacing w:before="64" w:line="219" w:lineRule="auto"/>
              <w:ind w:left="109"/>
              <w:rPr>
                <w:rFonts w:hint="eastAsia"/>
                <w:color w:val="auto"/>
              </w:rPr>
            </w:pPr>
            <w:r>
              <w:rPr>
                <w:color w:val="auto"/>
                <w:spacing w:val="-1"/>
              </w:rPr>
              <w:t>HJ571</w:t>
            </w:r>
            <w:r>
              <w:rPr>
                <w:color w:val="auto"/>
                <w:spacing w:val="-30"/>
              </w:rPr>
              <w:t xml:space="preserve"> </w:t>
            </w:r>
            <w:r>
              <w:rPr>
                <w:color w:val="auto"/>
                <w:spacing w:val="-1"/>
              </w:rPr>
              <w:t>人造板及其制品/HJ2540</w:t>
            </w:r>
            <w:r>
              <w:rPr>
                <w:color w:val="auto"/>
                <w:spacing w:val="-38"/>
              </w:rPr>
              <w:t xml:space="preserve"> </w:t>
            </w:r>
            <w:r>
              <w:rPr>
                <w:color w:val="auto"/>
                <w:spacing w:val="-1"/>
              </w:rPr>
              <w:t>木塑制品</w:t>
            </w:r>
          </w:p>
        </w:tc>
      </w:tr>
      <w:tr w14:paraId="05F58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noWrap w:val="0"/>
            <w:vAlign w:val="top"/>
          </w:tcPr>
          <w:p w14:paraId="69D2B6E3">
            <w:pPr>
              <w:rPr>
                <w:rFonts w:ascii="Arial"/>
                <w:color w:val="auto"/>
              </w:rPr>
            </w:pPr>
          </w:p>
        </w:tc>
        <w:tc>
          <w:tcPr>
            <w:tcW w:w="1343" w:type="dxa"/>
            <w:vMerge w:val="continue"/>
            <w:tcBorders>
              <w:top w:val="nil"/>
            </w:tcBorders>
            <w:noWrap w:val="0"/>
            <w:vAlign w:val="top"/>
          </w:tcPr>
          <w:p w14:paraId="044C572D">
            <w:pPr>
              <w:rPr>
                <w:rFonts w:ascii="Arial"/>
                <w:color w:val="auto"/>
              </w:rPr>
            </w:pPr>
          </w:p>
        </w:tc>
        <w:tc>
          <w:tcPr>
            <w:tcW w:w="2324" w:type="dxa"/>
            <w:noWrap w:val="0"/>
            <w:vAlign w:val="top"/>
          </w:tcPr>
          <w:p w14:paraId="4A749154">
            <w:pPr>
              <w:pStyle w:val="871"/>
              <w:spacing w:before="67" w:line="284" w:lineRule="auto"/>
              <w:ind w:left="113" w:right="107" w:hanging="10"/>
              <w:rPr>
                <w:rFonts w:hint="eastAsia"/>
                <w:color w:val="auto"/>
              </w:rPr>
            </w:pPr>
            <w:r>
              <w:rPr>
                <w:color w:val="auto"/>
                <w:spacing w:val="5"/>
              </w:rPr>
              <w:t>A10020404</w:t>
            </w:r>
            <w:r>
              <w:rPr>
                <w:color w:val="auto"/>
                <w:spacing w:val="30"/>
              </w:rPr>
              <w:t xml:space="preserve"> </w:t>
            </w:r>
            <w:r>
              <w:rPr>
                <w:color w:val="auto"/>
                <w:spacing w:val="5"/>
              </w:rPr>
              <w:t>人造板表面装饰板</w:t>
            </w:r>
            <w:r>
              <w:rPr>
                <w:color w:val="auto"/>
              </w:rPr>
              <w:t xml:space="preserve"> </w:t>
            </w:r>
            <w:r>
              <w:rPr>
                <w:color w:val="auto"/>
                <w:spacing w:val="-3"/>
              </w:rPr>
              <w:t>（地板）</w:t>
            </w:r>
          </w:p>
        </w:tc>
        <w:tc>
          <w:tcPr>
            <w:tcW w:w="1956" w:type="dxa"/>
            <w:noWrap w:val="0"/>
            <w:vAlign w:val="top"/>
          </w:tcPr>
          <w:p w14:paraId="67029214">
            <w:pPr>
              <w:rPr>
                <w:rFonts w:ascii="Arial"/>
                <w:color w:val="auto"/>
              </w:rPr>
            </w:pPr>
          </w:p>
        </w:tc>
        <w:tc>
          <w:tcPr>
            <w:tcW w:w="3081" w:type="dxa"/>
            <w:noWrap w:val="0"/>
            <w:vAlign w:val="top"/>
          </w:tcPr>
          <w:p w14:paraId="69C1CB59">
            <w:pPr>
              <w:pStyle w:val="871"/>
              <w:spacing w:before="67" w:line="219" w:lineRule="auto"/>
              <w:ind w:left="109"/>
              <w:rPr>
                <w:rFonts w:hint="eastAsia"/>
                <w:color w:val="auto"/>
              </w:rPr>
            </w:pPr>
            <w:r>
              <w:rPr>
                <w:color w:val="auto"/>
                <w:spacing w:val="-1"/>
              </w:rPr>
              <w:t>HJ571</w:t>
            </w:r>
            <w:r>
              <w:rPr>
                <w:color w:val="auto"/>
                <w:spacing w:val="-30"/>
              </w:rPr>
              <w:t xml:space="preserve"> </w:t>
            </w:r>
            <w:r>
              <w:rPr>
                <w:color w:val="auto"/>
                <w:spacing w:val="-1"/>
              </w:rPr>
              <w:t>人造板及其制品/HJ2540</w:t>
            </w:r>
            <w:r>
              <w:rPr>
                <w:color w:val="auto"/>
                <w:spacing w:val="-38"/>
              </w:rPr>
              <w:t xml:space="preserve"> </w:t>
            </w:r>
            <w:r>
              <w:rPr>
                <w:color w:val="auto"/>
                <w:spacing w:val="-1"/>
              </w:rPr>
              <w:t>木塑制品</w:t>
            </w:r>
          </w:p>
        </w:tc>
      </w:tr>
      <w:tr w14:paraId="4390D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39559C20">
            <w:pPr>
              <w:pStyle w:val="871"/>
              <w:spacing w:before="93" w:line="183" w:lineRule="auto"/>
              <w:ind w:left="118"/>
              <w:rPr>
                <w:rFonts w:hint="eastAsia"/>
                <w:color w:val="auto"/>
              </w:rPr>
            </w:pPr>
            <w:r>
              <w:rPr>
                <w:color w:val="auto"/>
                <w:spacing w:val="-5"/>
              </w:rPr>
              <w:t>34</w:t>
            </w:r>
          </w:p>
        </w:tc>
        <w:tc>
          <w:tcPr>
            <w:tcW w:w="1343" w:type="dxa"/>
            <w:noWrap w:val="0"/>
            <w:vAlign w:val="top"/>
          </w:tcPr>
          <w:p w14:paraId="7928A9A5">
            <w:pPr>
              <w:pStyle w:val="871"/>
              <w:spacing w:before="66" w:line="283" w:lineRule="auto"/>
              <w:ind w:left="107" w:right="108" w:hanging="5"/>
              <w:rPr>
                <w:rFonts w:hint="eastAsia"/>
                <w:color w:val="auto"/>
              </w:rPr>
            </w:pPr>
            <w:r>
              <w:rPr>
                <w:color w:val="auto"/>
                <w:spacing w:val="3"/>
              </w:rPr>
              <w:t>A100301</w:t>
            </w:r>
            <w:r>
              <w:rPr>
                <w:color w:val="auto"/>
                <w:spacing w:val="34"/>
              </w:rPr>
              <w:t xml:space="preserve"> </w:t>
            </w:r>
            <w:r>
              <w:rPr>
                <w:color w:val="auto"/>
                <w:spacing w:val="3"/>
              </w:rPr>
              <w:t>水泥熟</w:t>
            </w:r>
            <w:r>
              <w:rPr>
                <w:color w:val="auto"/>
                <w:spacing w:val="-2"/>
              </w:rPr>
              <w:t>料及水泥</w:t>
            </w:r>
          </w:p>
        </w:tc>
        <w:tc>
          <w:tcPr>
            <w:tcW w:w="2324" w:type="dxa"/>
            <w:noWrap w:val="0"/>
            <w:vAlign w:val="top"/>
          </w:tcPr>
          <w:p w14:paraId="480F412B">
            <w:pPr>
              <w:pStyle w:val="871"/>
              <w:spacing w:before="65" w:line="220" w:lineRule="auto"/>
              <w:ind w:left="103"/>
              <w:rPr>
                <w:rFonts w:hint="eastAsia"/>
                <w:color w:val="auto"/>
              </w:rPr>
            </w:pPr>
            <w:r>
              <w:rPr>
                <w:color w:val="auto"/>
                <w:spacing w:val="-1"/>
              </w:rPr>
              <w:t>A10030102</w:t>
            </w:r>
            <w:r>
              <w:rPr>
                <w:color w:val="auto"/>
                <w:spacing w:val="-31"/>
              </w:rPr>
              <w:t xml:space="preserve"> </w:t>
            </w:r>
            <w:r>
              <w:rPr>
                <w:color w:val="auto"/>
                <w:spacing w:val="-1"/>
              </w:rPr>
              <w:t>水泥</w:t>
            </w:r>
          </w:p>
        </w:tc>
        <w:tc>
          <w:tcPr>
            <w:tcW w:w="1956" w:type="dxa"/>
            <w:noWrap w:val="0"/>
            <w:vAlign w:val="top"/>
          </w:tcPr>
          <w:p w14:paraId="55A10BFC">
            <w:pPr>
              <w:rPr>
                <w:rFonts w:ascii="Arial"/>
                <w:color w:val="auto"/>
              </w:rPr>
            </w:pPr>
          </w:p>
        </w:tc>
        <w:tc>
          <w:tcPr>
            <w:tcW w:w="3081" w:type="dxa"/>
            <w:noWrap w:val="0"/>
            <w:vAlign w:val="top"/>
          </w:tcPr>
          <w:p w14:paraId="143A9A67">
            <w:pPr>
              <w:pStyle w:val="871"/>
              <w:spacing w:before="64" w:line="219" w:lineRule="auto"/>
              <w:ind w:left="109"/>
              <w:rPr>
                <w:rFonts w:hint="eastAsia"/>
                <w:color w:val="auto"/>
              </w:rPr>
            </w:pPr>
            <w:r>
              <w:rPr>
                <w:color w:val="auto"/>
                <w:spacing w:val="-1"/>
              </w:rPr>
              <w:t>HJ2519</w:t>
            </w:r>
            <w:r>
              <w:rPr>
                <w:color w:val="auto"/>
                <w:spacing w:val="-34"/>
              </w:rPr>
              <w:t xml:space="preserve"> </w:t>
            </w:r>
            <w:r>
              <w:rPr>
                <w:color w:val="auto"/>
                <w:spacing w:val="-1"/>
              </w:rPr>
              <w:t>水泥</w:t>
            </w:r>
          </w:p>
        </w:tc>
      </w:tr>
      <w:tr w14:paraId="6AD2C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570E8354">
            <w:pPr>
              <w:pStyle w:val="871"/>
              <w:spacing w:before="94" w:line="183" w:lineRule="auto"/>
              <w:ind w:left="118"/>
              <w:rPr>
                <w:rFonts w:hint="eastAsia"/>
                <w:color w:val="auto"/>
              </w:rPr>
            </w:pPr>
            <w:r>
              <w:rPr>
                <w:color w:val="auto"/>
                <w:spacing w:val="-5"/>
              </w:rPr>
              <w:t>35</w:t>
            </w:r>
          </w:p>
        </w:tc>
        <w:tc>
          <w:tcPr>
            <w:tcW w:w="1343" w:type="dxa"/>
            <w:noWrap w:val="0"/>
            <w:vAlign w:val="top"/>
          </w:tcPr>
          <w:p w14:paraId="5FCE79E9">
            <w:pPr>
              <w:pStyle w:val="871"/>
              <w:spacing w:before="66" w:line="283" w:lineRule="auto"/>
              <w:ind w:left="106" w:right="108" w:hanging="4"/>
              <w:rPr>
                <w:rFonts w:hint="eastAsia"/>
                <w:color w:val="auto"/>
              </w:rPr>
            </w:pPr>
            <w:r>
              <w:rPr>
                <w:color w:val="auto"/>
                <w:spacing w:val="3"/>
              </w:rPr>
              <w:t>A100303</w:t>
            </w:r>
            <w:r>
              <w:rPr>
                <w:color w:val="auto"/>
                <w:spacing w:val="34"/>
              </w:rPr>
              <w:t xml:space="preserve"> </w:t>
            </w:r>
            <w:r>
              <w:rPr>
                <w:color w:val="auto"/>
                <w:spacing w:val="3"/>
              </w:rPr>
              <w:t>水泥混</w:t>
            </w:r>
            <w:r>
              <w:rPr>
                <w:color w:val="auto"/>
                <w:spacing w:val="-2"/>
              </w:rPr>
              <w:t>凝土制品</w:t>
            </w:r>
          </w:p>
        </w:tc>
        <w:tc>
          <w:tcPr>
            <w:tcW w:w="2324" w:type="dxa"/>
            <w:noWrap w:val="0"/>
            <w:vAlign w:val="top"/>
          </w:tcPr>
          <w:p w14:paraId="18831E1A">
            <w:pPr>
              <w:pStyle w:val="871"/>
              <w:spacing w:before="65" w:line="221" w:lineRule="auto"/>
              <w:ind w:left="103"/>
              <w:rPr>
                <w:rFonts w:hint="eastAsia"/>
                <w:color w:val="auto"/>
              </w:rPr>
            </w:pPr>
            <w:r>
              <w:rPr>
                <w:color w:val="auto"/>
                <w:spacing w:val="-1"/>
              </w:rPr>
              <w:t>A10030301</w:t>
            </w:r>
            <w:r>
              <w:rPr>
                <w:color w:val="auto"/>
                <w:spacing w:val="-30"/>
              </w:rPr>
              <w:t xml:space="preserve"> </w:t>
            </w:r>
            <w:r>
              <w:rPr>
                <w:color w:val="auto"/>
                <w:spacing w:val="-1"/>
              </w:rPr>
              <w:t>商品混凝土</w:t>
            </w:r>
          </w:p>
        </w:tc>
        <w:tc>
          <w:tcPr>
            <w:tcW w:w="1956" w:type="dxa"/>
            <w:noWrap w:val="0"/>
            <w:vAlign w:val="top"/>
          </w:tcPr>
          <w:p w14:paraId="667FF316">
            <w:pPr>
              <w:rPr>
                <w:rFonts w:ascii="Arial"/>
                <w:color w:val="auto"/>
              </w:rPr>
            </w:pPr>
          </w:p>
        </w:tc>
        <w:tc>
          <w:tcPr>
            <w:tcW w:w="3081" w:type="dxa"/>
            <w:noWrap w:val="0"/>
            <w:vAlign w:val="top"/>
          </w:tcPr>
          <w:p w14:paraId="4109795A">
            <w:pPr>
              <w:pStyle w:val="871"/>
              <w:spacing w:before="65" w:line="219" w:lineRule="auto"/>
              <w:ind w:left="109"/>
              <w:rPr>
                <w:rFonts w:hint="eastAsia"/>
                <w:color w:val="auto"/>
              </w:rPr>
            </w:pPr>
            <w:r>
              <w:rPr>
                <w:color w:val="auto"/>
                <w:spacing w:val="-1"/>
              </w:rPr>
              <w:t>HJ/T412</w:t>
            </w:r>
            <w:r>
              <w:rPr>
                <w:color w:val="auto"/>
                <w:spacing w:val="-34"/>
              </w:rPr>
              <w:t xml:space="preserve"> </w:t>
            </w:r>
            <w:r>
              <w:rPr>
                <w:color w:val="auto"/>
                <w:spacing w:val="-1"/>
              </w:rPr>
              <w:t>预拌混凝土</w:t>
            </w:r>
          </w:p>
        </w:tc>
      </w:tr>
      <w:tr w14:paraId="57384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5DFDFCBC">
            <w:pPr>
              <w:pStyle w:val="871"/>
              <w:spacing w:before="94" w:line="183" w:lineRule="auto"/>
              <w:ind w:left="118"/>
              <w:rPr>
                <w:rFonts w:hint="eastAsia"/>
                <w:color w:val="auto"/>
              </w:rPr>
            </w:pPr>
            <w:r>
              <w:rPr>
                <w:color w:val="auto"/>
                <w:spacing w:val="-5"/>
              </w:rPr>
              <w:t>36</w:t>
            </w:r>
          </w:p>
        </w:tc>
        <w:tc>
          <w:tcPr>
            <w:tcW w:w="1343" w:type="dxa"/>
            <w:vMerge w:val="restart"/>
            <w:tcBorders>
              <w:bottom w:val="nil"/>
            </w:tcBorders>
            <w:noWrap w:val="0"/>
            <w:vAlign w:val="top"/>
          </w:tcPr>
          <w:p w14:paraId="48371444">
            <w:pPr>
              <w:pStyle w:val="871"/>
              <w:spacing w:before="65" w:line="307" w:lineRule="auto"/>
              <w:ind w:left="111" w:right="108" w:hanging="9"/>
              <w:rPr>
                <w:rFonts w:hint="eastAsia"/>
                <w:color w:val="auto"/>
              </w:rPr>
            </w:pPr>
            <w:r>
              <w:rPr>
                <w:color w:val="auto"/>
                <w:spacing w:val="3"/>
              </w:rPr>
              <w:t>A100304</w:t>
            </w:r>
            <w:r>
              <w:rPr>
                <w:color w:val="auto"/>
                <w:spacing w:val="35"/>
              </w:rPr>
              <w:t xml:space="preserve"> </w:t>
            </w:r>
            <w:r>
              <w:rPr>
                <w:color w:val="auto"/>
                <w:spacing w:val="3"/>
              </w:rPr>
              <w:t>纤维增</w:t>
            </w:r>
            <w:r>
              <w:rPr>
                <w:color w:val="auto"/>
                <w:spacing w:val="-2"/>
              </w:rPr>
              <w:t>强水泥制品</w:t>
            </w:r>
          </w:p>
        </w:tc>
        <w:tc>
          <w:tcPr>
            <w:tcW w:w="2324" w:type="dxa"/>
            <w:noWrap w:val="0"/>
            <w:vAlign w:val="top"/>
          </w:tcPr>
          <w:p w14:paraId="6A9F2024">
            <w:pPr>
              <w:pStyle w:val="871"/>
              <w:spacing w:before="66" w:line="219" w:lineRule="auto"/>
              <w:ind w:left="103"/>
              <w:rPr>
                <w:rFonts w:hint="eastAsia"/>
                <w:color w:val="auto"/>
              </w:rPr>
            </w:pPr>
            <w:r>
              <w:rPr>
                <w:color w:val="auto"/>
                <w:spacing w:val="-1"/>
              </w:rPr>
              <w:t>A10030402</w:t>
            </w:r>
            <w:r>
              <w:rPr>
                <w:color w:val="auto"/>
                <w:spacing w:val="-28"/>
              </w:rPr>
              <w:t xml:space="preserve"> </w:t>
            </w:r>
            <w:r>
              <w:rPr>
                <w:color w:val="auto"/>
                <w:spacing w:val="-1"/>
              </w:rPr>
              <w:t>纤维增强硅酸钙板</w:t>
            </w:r>
          </w:p>
        </w:tc>
        <w:tc>
          <w:tcPr>
            <w:tcW w:w="1956" w:type="dxa"/>
            <w:noWrap w:val="0"/>
            <w:vAlign w:val="top"/>
          </w:tcPr>
          <w:p w14:paraId="04C68263">
            <w:pPr>
              <w:rPr>
                <w:rFonts w:ascii="Arial"/>
                <w:color w:val="auto"/>
              </w:rPr>
            </w:pPr>
          </w:p>
        </w:tc>
        <w:tc>
          <w:tcPr>
            <w:tcW w:w="3081" w:type="dxa"/>
            <w:noWrap w:val="0"/>
            <w:vAlign w:val="top"/>
          </w:tcPr>
          <w:p w14:paraId="455EFCED">
            <w:pPr>
              <w:pStyle w:val="871"/>
              <w:spacing w:before="66" w:line="219" w:lineRule="auto"/>
              <w:ind w:left="109"/>
              <w:rPr>
                <w:rFonts w:hint="eastAsia"/>
                <w:color w:val="auto"/>
              </w:rPr>
            </w:pPr>
            <w:r>
              <w:rPr>
                <w:color w:val="auto"/>
                <w:spacing w:val="-1"/>
              </w:rPr>
              <w:t>HJ/T223</w:t>
            </w:r>
            <w:r>
              <w:rPr>
                <w:color w:val="auto"/>
                <w:spacing w:val="-33"/>
              </w:rPr>
              <w:t xml:space="preserve"> </w:t>
            </w:r>
            <w:r>
              <w:rPr>
                <w:color w:val="auto"/>
                <w:spacing w:val="-1"/>
              </w:rPr>
              <w:t>轻质墙体板材</w:t>
            </w:r>
          </w:p>
        </w:tc>
      </w:tr>
      <w:tr w14:paraId="36450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noWrap w:val="0"/>
            <w:vAlign w:val="top"/>
          </w:tcPr>
          <w:p w14:paraId="106A8543">
            <w:pPr>
              <w:rPr>
                <w:rFonts w:ascii="Arial"/>
                <w:color w:val="auto"/>
              </w:rPr>
            </w:pPr>
          </w:p>
        </w:tc>
        <w:tc>
          <w:tcPr>
            <w:tcW w:w="1343" w:type="dxa"/>
            <w:vMerge w:val="continue"/>
            <w:tcBorders>
              <w:top w:val="nil"/>
            </w:tcBorders>
            <w:noWrap w:val="0"/>
            <w:vAlign w:val="top"/>
          </w:tcPr>
          <w:p w14:paraId="2F4E502E">
            <w:pPr>
              <w:rPr>
                <w:rFonts w:ascii="Arial"/>
                <w:color w:val="auto"/>
              </w:rPr>
            </w:pPr>
          </w:p>
        </w:tc>
        <w:tc>
          <w:tcPr>
            <w:tcW w:w="2324" w:type="dxa"/>
            <w:noWrap w:val="0"/>
            <w:vAlign w:val="top"/>
          </w:tcPr>
          <w:p w14:paraId="51F2FE00">
            <w:pPr>
              <w:pStyle w:val="871"/>
              <w:spacing w:before="66" w:line="220" w:lineRule="auto"/>
              <w:ind w:left="103"/>
              <w:rPr>
                <w:rFonts w:hint="eastAsia"/>
                <w:color w:val="auto"/>
              </w:rPr>
            </w:pPr>
            <w:r>
              <w:rPr>
                <w:color w:val="auto"/>
                <w:spacing w:val="-1"/>
              </w:rPr>
              <w:t>A10030403</w:t>
            </w:r>
            <w:r>
              <w:rPr>
                <w:color w:val="auto"/>
                <w:spacing w:val="-45"/>
              </w:rPr>
              <w:t xml:space="preserve"> </w:t>
            </w:r>
            <w:r>
              <w:rPr>
                <w:color w:val="auto"/>
                <w:spacing w:val="-1"/>
              </w:rPr>
              <w:t>无石棉纤维水泥制品</w:t>
            </w:r>
          </w:p>
        </w:tc>
        <w:tc>
          <w:tcPr>
            <w:tcW w:w="1956" w:type="dxa"/>
            <w:noWrap w:val="0"/>
            <w:vAlign w:val="top"/>
          </w:tcPr>
          <w:p w14:paraId="174AE4C6">
            <w:pPr>
              <w:rPr>
                <w:rFonts w:ascii="Arial"/>
                <w:color w:val="auto"/>
              </w:rPr>
            </w:pPr>
          </w:p>
        </w:tc>
        <w:tc>
          <w:tcPr>
            <w:tcW w:w="3081" w:type="dxa"/>
            <w:noWrap w:val="0"/>
            <w:vAlign w:val="top"/>
          </w:tcPr>
          <w:p w14:paraId="703C809A">
            <w:pPr>
              <w:pStyle w:val="871"/>
              <w:spacing w:before="66" w:line="219" w:lineRule="auto"/>
              <w:ind w:left="109"/>
              <w:rPr>
                <w:rFonts w:hint="eastAsia"/>
                <w:color w:val="auto"/>
              </w:rPr>
            </w:pPr>
            <w:r>
              <w:rPr>
                <w:color w:val="auto"/>
                <w:spacing w:val="-1"/>
              </w:rPr>
              <w:t>HJ/T223</w:t>
            </w:r>
            <w:r>
              <w:rPr>
                <w:color w:val="auto"/>
                <w:spacing w:val="-33"/>
              </w:rPr>
              <w:t xml:space="preserve"> </w:t>
            </w:r>
            <w:r>
              <w:rPr>
                <w:color w:val="auto"/>
                <w:spacing w:val="-1"/>
              </w:rPr>
              <w:t>轻质墙体板材</w:t>
            </w:r>
          </w:p>
        </w:tc>
      </w:tr>
      <w:tr w14:paraId="5A975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65709F49">
            <w:pPr>
              <w:pStyle w:val="871"/>
              <w:spacing w:before="95" w:line="183" w:lineRule="auto"/>
              <w:ind w:left="118"/>
              <w:rPr>
                <w:rFonts w:hint="eastAsia"/>
                <w:color w:val="auto"/>
              </w:rPr>
            </w:pPr>
            <w:r>
              <w:rPr>
                <w:color w:val="auto"/>
                <w:spacing w:val="-5"/>
              </w:rPr>
              <w:t>37</w:t>
            </w:r>
          </w:p>
        </w:tc>
        <w:tc>
          <w:tcPr>
            <w:tcW w:w="1343" w:type="dxa"/>
            <w:vMerge w:val="restart"/>
            <w:tcBorders>
              <w:bottom w:val="nil"/>
            </w:tcBorders>
            <w:noWrap w:val="0"/>
            <w:vAlign w:val="top"/>
          </w:tcPr>
          <w:p w14:paraId="1F748F0D">
            <w:pPr>
              <w:pStyle w:val="871"/>
              <w:spacing w:before="67" w:line="306" w:lineRule="auto"/>
              <w:ind w:left="109" w:right="108" w:hanging="7"/>
              <w:rPr>
                <w:rFonts w:hint="eastAsia"/>
                <w:color w:val="auto"/>
              </w:rPr>
            </w:pPr>
            <w:r>
              <w:rPr>
                <w:color w:val="auto"/>
                <w:spacing w:val="3"/>
              </w:rPr>
              <w:t>A100305</w:t>
            </w:r>
            <w:r>
              <w:rPr>
                <w:color w:val="auto"/>
                <w:spacing w:val="34"/>
              </w:rPr>
              <w:t xml:space="preserve"> </w:t>
            </w:r>
            <w:r>
              <w:rPr>
                <w:color w:val="auto"/>
                <w:spacing w:val="3"/>
              </w:rPr>
              <w:t>轻质建</w:t>
            </w:r>
            <w:r>
              <w:rPr>
                <w:color w:val="auto"/>
                <w:spacing w:val="-2"/>
              </w:rPr>
              <w:t>筑材料及制品</w:t>
            </w:r>
          </w:p>
        </w:tc>
        <w:tc>
          <w:tcPr>
            <w:tcW w:w="2324" w:type="dxa"/>
            <w:noWrap w:val="0"/>
            <w:vAlign w:val="top"/>
          </w:tcPr>
          <w:p w14:paraId="175AD8B8">
            <w:pPr>
              <w:pStyle w:val="871"/>
              <w:spacing w:before="67" w:line="219" w:lineRule="auto"/>
              <w:ind w:left="103"/>
              <w:rPr>
                <w:rFonts w:hint="eastAsia"/>
                <w:color w:val="auto"/>
              </w:rPr>
            </w:pPr>
            <w:r>
              <w:rPr>
                <w:color w:val="auto"/>
                <w:spacing w:val="-1"/>
              </w:rPr>
              <w:t>A10030501</w:t>
            </w:r>
            <w:r>
              <w:rPr>
                <w:color w:val="auto"/>
                <w:spacing w:val="-32"/>
              </w:rPr>
              <w:t xml:space="preserve"> </w:t>
            </w:r>
            <w:r>
              <w:rPr>
                <w:color w:val="auto"/>
                <w:spacing w:val="-1"/>
              </w:rPr>
              <w:t>石膏板</w:t>
            </w:r>
          </w:p>
        </w:tc>
        <w:tc>
          <w:tcPr>
            <w:tcW w:w="1956" w:type="dxa"/>
            <w:noWrap w:val="0"/>
            <w:vAlign w:val="top"/>
          </w:tcPr>
          <w:p w14:paraId="5AD5009C">
            <w:pPr>
              <w:rPr>
                <w:rFonts w:ascii="Arial"/>
                <w:color w:val="auto"/>
              </w:rPr>
            </w:pPr>
          </w:p>
        </w:tc>
        <w:tc>
          <w:tcPr>
            <w:tcW w:w="3081" w:type="dxa"/>
            <w:noWrap w:val="0"/>
            <w:vAlign w:val="top"/>
          </w:tcPr>
          <w:p w14:paraId="76552DCD">
            <w:pPr>
              <w:pStyle w:val="871"/>
              <w:spacing w:before="66" w:line="219" w:lineRule="auto"/>
              <w:ind w:left="109"/>
              <w:rPr>
                <w:rFonts w:hint="eastAsia"/>
                <w:color w:val="auto"/>
              </w:rPr>
            </w:pPr>
            <w:r>
              <w:rPr>
                <w:color w:val="auto"/>
                <w:spacing w:val="-1"/>
              </w:rPr>
              <w:t>HJ/T223</w:t>
            </w:r>
            <w:r>
              <w:rPr>
                <w:color w:val="auto"/>
                <w:spacing w:val="-33"/>
              </w:rPr>
              <w:t xml:space="preserve"> </w:t>
            </w:r>
            <w:r>
              <w:rPr>
                <w:color w:val="auto"/>
                <w:spacing w:val="-1"/>
              </w:rPr>
              <w:t>轻质墙体板材</w:t>
            </w:r>
          </w:p>
        </w:tc>
      </w:tr>
      <w:tr w14:paraId="06183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10" w:type="dxa"/>
            <w:vMerge w:val="continue"/>
            <w:tcBorders>
              <w:top w:val="nil"/>
            </w:tcBorders>
            <w:noWrap w:val="0"/>
            <w:vAlign w:val="top"/>
          </w:tcPr>
          <w:p w14:paraId="078E5726">
            <w:pPr>
              <w:rPr>
                <w:rFonts w:ascii="Arial"/>
                <w:color w:val="auto"/>
              </w:rPr>
            </w:pPr>
          </w:p>
        </w:tc>
        <w:tc>
          <w:tcPr>
            <w:tcW w:w="1343" w:type="dxa"/>
            <w:vMerge w:val="continue"/>
            <w:tcBorders>
              <w:top w:val="nil"/>
            </w:tcBorders>
            <w:noWrap w:val="0"/>
            <w:vAlign w:val="top"/>
          </w:tcPr>
          <w:p w14:paraId="1387C223">
            <w:pPr>
              <w:rPr>
                <w:rFonts w:ascii="Arial"/>
                <w:color w:val="auto"/>
              </w:rPr>
            </w:pPr>
          </w:p>
        </w:tc>
        <w:tc>
          <w:tcPr>
            <w:tcW w:w="2324" w:type="dxa"/>
            <w:noWrap w:val="0"/>
            <w:vAlign w:val="top"/>
          </w:tcPr>
          <w:p w14:paraId="685554F6">
            <w:pPr>
              <w:pStyle w:val="871"/>
              <w:spacing w:before="66" w:line="219" w:lineRule="auto"/>
              <w:ind w:left="103"/>
              <w:rPr>
                <w:rFonts w:hint="eastAsia"/>
                <w:color w:val="auto"/>
              </w:rPr>
            </w:pPr>
            <w:r>
              <w:rPr>
                <w:color w:val="auto"/>
                <w:spacing w:val="-1"/>
              </w:rPr>
              <w:t>A10030503</w:t>
            </w:r>
            <w:r>
              <w:rPr>
                <w:color w:val="auto"/>
                <w:spacing w:val="-30"/>
              </w:rPr>
              <w:t xml:space="preserve"> </w:t>
            </w:r>
            <w:r>
              <w:rPr>
                <w:color w:val="auto"/>
                <w:spacing w:val="-1"/>
              </w:rPr>
              <w:t>轻质隔墙条板</w:t>
            </w:r>
          </w:p>
        </w:tc>
        <w:tc>
          <w:tcPr>
            <w:tcW w:w="1956" w:type="dxa"/>
            <w:noWrap w:val="0"/>
            <w:vAlign w:val="top"/>
          </w:tcPr>
          <w:p w14:paraId="74712F5E">
            <w:pPr>
              <w:rPr>
                <w:rFonts w:ascii="Arial"/>
                <w:color w:val="auto"/>
              </w:rPr>
            </w:pPr>
          </w:p>
        </w:tc>
        <w:tc>
          <w:tcPr>
            <w:tcW w:w="3081" w:type="dxa"/>
            <w:noWrap w:val="0"/>
            <w:vAlign w:val="top"/>
          </w:tcPr>
          <w:p w14:paraId="6A484A68">
            <w:pPr>
              <w:pStyle w:val="871"/>
              <w:spacing w:before="66" w:line="219" w:lineRule="auto"/>
              <w:ind w:left="109"/>
              <w:rPr>
                <w:rFonts w:hint="eastAsia"/>
                <w:color w:val="auto"/>
              </w:rPr>
            </w:pPr>
            <w:r>
              <w:rPr>
                <w:color w:val="auto"/>
                <w:spacing w:val="-1"/>
              </w:rPr>
              <w:t>HJ/T223</w:t>
            </w:r>
            <w:r>
              <w:rPr>
                <w:color w:val="auto"/>
                <w:spacing w:val="-33"/>
              </w:rPr>
              <w:t xml:space="preserve"> </w:t>
            </w:r>
            <w:r>
              <w:rPr>
                <w:color w:val="auto"/>
                <w:spacing w:val="-1"/>
              </w:rPr>
              <w:t>轻质墙体板材</w:t>
            </w:r>
          </w:p>
        </w:tc>
      </w:tr>
      <w:tr w14:paraId="0438A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415EAC1F">
            <w:pPr>
              <w:pStyle w:val="871"/>
              <w:spacing w:before="95" w:line="183" w:lineRule="auto"/>
              <w:ind w:left="118"/>
              <w:rPr>
                <w:rFonts w:hint="eastAsia"/>
                <w:color w:val="auto"/>
              </w:rPr>
            </w:pPr>
            <w:r>
              <w:rPr>
                <w:color w:val="auto"/>
                <w:spacing w:val="-5"/>
              </w:rPr>
              <w:t>38</w:t>
            </w:r>
          </w:p>
        </w:tc>
        <w:tc>
          <w:tcPr>
            <w:tcW w:w="1343" w:type="dxa"/>
            <w:vMerge w:val="restart"/>
            <w:tcBorders>
              <w:bottom w:val="nil"/>
            </w:tcBorders>
            <w:noWrap w:val="0"/>
            <w:vAlign w:val="top"/>
          </w:tcPr>
          <w:p w14:paraId="001DE8D7">
            <w:pPr>
              <w:pStyle w:val="871"/>
              <w:spacing w:before="66" w:line="307" w:lineRule="auto"/>
              <w:ind w:left="111" w:right="108" w:hanging="9"/>
              <w:rPr>
                <w:rFonts w:hint="eastAsia"/>
                <w:color w:val="auto"/>
              </w:rPr>
            </w:pPr>
            <w:r>
              <w:rPr>
                <w:color w:val="auto"/>
                <w:spacing w:val="-1"/>
              </w:rPr>
              <w:t>A100307</w:t>
            </w:r>
            <w:r>
              <w:rPr>
                <w:color w:val="auto"/>
                <w:spacing w:val="36"/>
              </w:rPr>
              <w:t xml:space="preserve"> </w:t>
            </w:r>
            <w:r>
              <w:rPr>
                <w:color w:val="auto"/>
                <w:spacing w:val="-1"/>
              </w:rPr>
              <w:t>建筑</w:t>
            </w:r>
            <w:r>
              <w:rPr>
                <w:color w:val="auto"/>
                <w:spacing w:val="-52"/>
              </w:rPr>
              <w:t xml:space="preserve"> </w:t>
            </w:r>
            <w:r>
              <w:rPr>
                <w:color w:val="auto"/>
                <w:spacing w:val="-1"/>
              </w:rPr>
              <w:t>陶</w:t>
            </w:r>
            <w:r>
              <w:rPr>
                <w:color w:val="auto"/>
              </w:rPr>
              <w:t xml:space="preserve"> </w:t>
            </w:r>
            <w:r>
              <w:rPr>
                <w:color w:val="auto"/>
                <w:spacing w:val="-3"/>
              </w:rPr>
              <w:t>瓷制品</w:t>
            </w:r>
          </w:p>
        </w:tc>
        <w:tc>
          <w:tcPr>
            <w:tcW w:w="2324" w:type="dxa"/>
            <w:noWrap w:val="0"/>
            <w:vAlign w:val="top"/>
          </w:tcPr>
          <w:p w14:paraId="7038491D">
            <w:pPr>
              <w:pStyle w:val="871"/>
              <w:spacing w:before="66" w:line="221" w:lineRule="auto"/>
              <w:ind w:left="103"/>
              <w:rPr>
                <w:rFonts w:hint="eastAsia"/>
                <w:color w:val="auto"/>
              </w:rPr>
            </w:pPr>
            <w:r>
              <w:rPr>
                <w:color w:val="auto"/>
                <w:spacing w:val="-1"/>
              </w:rPr>
              <w:t>A10030701</w:t>
            </w:r>
            <w:r>
              <w:rPr>
                <w:color w:val="auto"/>
                <w:spacing w:val="-30"/>
              </w:rPr>
              <w:t xml:space="preserve"> </w:t>
            </w:r>
            <w:r>
              <w:rPr>
                <w:color w:val="auto"/>
                <w:spacing w:val="-1"/>
              </w:rPr>
              <w:t>瓷质砖</w:t>
            </w:r>
          </w:p>
        </w:tc>
        <w:tc>
          <w:tcPr>
            <w:tcW w:w="1956" w:type="dxa"/>
            <w:noWrap w:val="0"/>
            <w:vAlign w:val="top"/>
          </w:tcPr>
          <w:p w14:paraId="1D688C09">
            <w:pPr>
              <w:rPr>
                <w:rFonts w:ascii="Arial"/>
                <w:color w:val="auto"/>
              </w:rPr>
            </w:pPr>
          </w:p>
        </w:tc>
        <w:tc>
          <w:tcPr>
            <w:tcW w:w="3081" w:type="dxa"/>
            <w:noWrap w:val="0"/>
            <w:vAlign w:val="top"/>
          </w:tcPr>
          <w:p w14:paraId="2A98D946">
            <w:pPr>
              <w:pStyle w:val="871"/>
              <w:spacing w:before="66" w:line="219" w:lineRule="auto"/>
              <w:ind w:left="109"/>
              <w:rPr>
                <w:rFonts w:hint="eastAsia"/>
                <w:color w:val="auto"/>
              </w:rPr>
            </w:pPr>
            <w:r>
              <w:rPr>
                <w:color w:val="auto"/>
                <w:spacing w:val="-2"/>
              </w:rPr>
              <w:t>HJ/T297</w:t>
            </w:r>
            <w:r>
              <w:rPr>
                <w:color w:val="auto"/>
                <w:spacing w:val="-22"/>
              </w:rPr>
              <w:t xml:space="preserve"> </w:t>
            </w:r>
            <w:r>
              <w:rPr>
                <w:color w:val="auto"/>
                <w:spacing w:val="-2"/>
              </w:rPr>
              <w:t>陶瓷砖</w:t>
            </w:r>
          </w:p>
        </w:tc>
      </w:tr>
      <w:tr w14:paraId="6BC28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4FCDB1C8">
            <w:pPr>
              <w:rPr>
                <w:rFonts w:ascii="Arial"/>
                <w:color w:val="auto"/>
              </w:rPr>
            </w:pPr>
          </w:p>
        </w:tc>
        <w:tc>
          <w:tcPr>
            <w:tcW w:w="1343" w:type="dxa"/>
            <w:vMerge w:val="continue"/>
            <w:tcBorders>
              <w:top w:val="nil"/>
              <w:bottom w:val="nil"/>
            </w:tcBorders>
            <w:noWrap w:val="0"/>
            <w:vAlign w:val="top"/>
          </w:tcPr>
          <w:p w14:paraId="02494549">
            <w:pPr>
              <w:rPr>
                <w:rFonts w:ascii="Arial"/>
                <w:color w:val="auto"/>
              </w:rPr>
            </w:pPr>
          </w:p>
        </w:tc>
        <w:tc>
          <w:tcPr>
            <w:tcW w:w="2324" w:type="dxa"/>
            <w:noWrap w:val="0"/>
            <w:vAlign w:val="top"/>
          </w:tcPr>
          <w:p w14:paraId="04A6C5EE">
            <w:pPr>
              <w:pStyle w:val="871"/>
              <w:spacing w:before="66" w:line="221" w:lineRule="auto"/>
              <w:ind w:left="103"/>
              <w:rPr>
                <w:rFonts w:hint="eastAsia"/>
                <w:color w:val="auto"/>
              </w:rPr>
            </w:pPr>
            <w:r>
              <w:rPr>
                <w:color w:val="auto"/>
              </w:rPr>
              <w:t>A10030704 炻质砖</w:t>
            </w:r>
          </w:p>
        </w:tc>
        <w:tc>
          <w:tcPr>
            <w:tcW w:w="1956" w:type="dxa"/>
            <w:noWrap w:val="0"/>
            <w:vAlign w:val="top"/>
          </w:tcPr>
          <w:p w14:paraId="544E9B4C">
            <w:pPr>
              <w:rPr>
                <w:rFonts w:ascii="Arial"/>
                <w:color w:val="auto"/>
              </w:rPr>
            </w:pPr>
          </w:p>
        </w:tc>
        <w:tc>
          <w:tcPr>
            <w:tcW w:w="3081" w:type="dxa"/>
            <w:noWrap w:val="0"/>
            <w:vAlign w:val="top"/>
          </w:tcPr>
          <w:p w14:paraId="1D200300">
            <w:pPr>
              <w:pStyle w:val="871"/>
              <w:spacing w:before="66" w:line="219" w:lineRule="auto"/>
              <w:ind w:left="109"/>
              <w:rPr>
                <w:rFonts w:hint="eastAsia"/>
                <w:color w:val="auto"/>
              </w:rPr>
            </w:pPr>
            <w:r>
              <w:rPr>
                <w:color w:val="auto"/>
                <w:spacing w:val="-2"/>
              </w:rPr>
              <w:t>HJ/T297</w:t>
            </w:r>
            <w:r>
              <w:rPr>
                <w:color w:val="auto"/>
                <w:spacing w:val="-22"/>
              </w:rPr>
              <w:t xml:space="preserve"> </w:t>
            </w:r>
            <w:r>
              <w:rPr>
                <w:color w:val="auto"/>
                <w:spacing w:val="-2"/>
              </w:rPr>
              <w:t>陶瓷砖</w:t>
            </w:r>
          </w:p>
        </w:tc>
      </w:tr>
      <w:tr w14:paraId="3E20A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noWrap w:val="0"/>
            <w:vAlign w:val="top"/>
          </w:tcPr>
          <w:p w14:paraId="2A05F2AF">
            <w:pPr>
              <w:rPr>
                <w:rFonts w:ascii="Arial"/>
                <w:color w:val="auto"/>
              </w:rPr>
            </w:pPr>
          </w:p>
        </w:tc>
        <w:tc>
          <w:tcPr>
            <w:tcW w:w="1343" w:type="dxa"/>
            <w:vMerge w:val="continue"/>
            <w:tcBorders>
              <w:top w:val="nil"/>
              <w:bottom w:val="nil"/>
            </w:tcBorders>
            <w:noWrap w:val="0"/>
            <w:vAlign w:val="top"/>
          </w:tcPr>
          <w:p w14:paraId="23CC1447">
            <w:pPr>
              <w:rPr>
                <w:rFonts w:ascii="Arial"/>
                <w:color w:val="auto"/>
              </w:rPr>
            </w:pPr>
          </w:p>
        </w:tc>
        <w:tc>
          <w:tcPr>
            <w:tcW w:w="2324" w:type="dxa"/>
            <w:noWrap w:val="0"/>
            <w:vAlign w:val="top"/>
          </w:tcPr>
          <w:p w14:paraId="0D471513">
            <w:pPr>
              <w:pStyle w:val="871"/>
              <w:spacing w:before="66" w:line="221" w:lineRule="auto"/>
              <w:ind w:left="103"/>
              <w:rPr>
                <w:rFonts w:hint="eastAsia"/>
                <w:color w:val="auto"/>
              </w:rPr>
            </w:pPr>
            <w:r>
              <w:rPr>
                <w:color w:val="auto"/>
                <w:spacing w:val="-2"/>
              </w:rPr>
              <w:t>A10030705</w:t>
            </w:r>
            <w:r>
              <w:rPr>
                <w:color w:val="auto"/>
                <w:spacing w:val="-17"/>
              </w:rPr>
              <w:t xml:space="preserve"> </w:t>
            </w:r>
            <w:r>
              <w:rPr>
                <w:color w:val="auto"/>
                <w:spacing w:val="-2"/>
              </w:rPr>
              <w:t>陶质砖</w:t>
            </w:r>
          </w:p>
        </w:tc>
        <w:tc>
          <w:tcPr>
            <w:tcW w:w="1956" w:type="dxa"/>
            <w:noWrap w:val="0"/>
            <w:vAlign w:val="top"/>
          </w:tcPr>
          <w:p w14:paraId="6B76A4C8">
            <w:pPr>
              <w:rPr>
                <w:rFonts w:ascii="Arial"/>
                <w:color w:val="auto"/>
              </w:rPr>
            </w:pPr>
          </w:p>
        </w:tc>
        <w:tc>
          <w:tcPr>
            <w:tcW w:w="3081" w:type="dxa"/>
            <w:noWrap w:val="0"/>
            <w:vAlign w:val="top"/>
          </w:tcPr>
          <w:p w14:paraId="2F8AACCD">
            <w:pPr>
              <w:pStyle w:val="871"/>
              <w:spacing w:before="66" w:line="219" w:lineRule="auto"/>
              <w:ind w:left="109"/>
              <w:rPr>
                <w:rFonts w:hint="eastAsia"/>
                <w:color w:val="auto"/>
              </w:rPr>
            </w:pPr>
            <w:r>
              <w:rPr>
                <w:color w:val="auto"/>
                <w:spacing w:val="-2"/>
              </w:rPr>
              <w:t>HJ/T297</w:t>
            </w:r>
            <w:r>
              <w:rPr>
                <w:color w:val="auto"/>
                <w:spacing w:val="-22"/>
              </w:rPr>
              <w:t xml:space="preserve"> </w:t>
            </w:r>
            <w:r>
              <w:rPr>
                <w:color w:val="auto"/>
                <w:spacing w:val="-2"/>
              </w:rPr>
              <w:t>陶瓷砖</w:t>
            </w:r>
          </w:p>
        </w:tc>
      </w:tr>
      <w:tr w14:paraId="17AAA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047B5E2C">
            <w:pPr>
              <w:rPr>
                <w:rFonts w:ascii="Arial"/>
                <w:color w:val="auto"/>
              </w:rPr>
            </w:pPr>
          </w:p>
        </w:tc>
        <w:tc>
          <w:tcPr>
            <w:tcW w:w="1343" w:type="dxa"/>
            <w:vMerge w:val="continue"/>
            <w:tcBorders>
              <w:top w:val="nil"/>
            </w:tcBorders>
            <w:noWrap w:val="0"/>
            <w:vAlign w:val="top"/>
          </w:tcPr>
          <w:p w14:paraId="2110E158">
            <w:pPr>
              <w:rPr>
                <w:rFonts w:ascii="Arial"/>
                <w:color w:val="auto"/>
              </w:rPr>
            </w:pPr>
          </w:p>
        </w:tc>
        <w:tc>
          <w:tcPr>
            <w:tcW w:w="2324" w:type="dxa"/>
            <w:noWrap w:val="0"/>
            <w:vAlign w:val="top"/>
          </w:tcPr>
          <w:p w14:paraId="155498A2">
            <w:pPr>
              <w:pStyle w:val="871"/>
              <w:spacing w:before="66" w:line="221" w:lineRule="auto"/>
              <w:ind w:left="103"/>
              <w:rPr>
                <w:rFonts w:hint="eastAsia"/>
                <w:color w:val="auto"/>
              </w:rPr>
            </w:pPr>
            <w:r>
              <w:rPr>
                <w:color w:val="auto"/>
              </w:rPr>
              <w:t>A10030799 其他建筑陶瓷制品</w:t>
            </w:r>
          </w:p>
        </w:tc>
        <w:tc>
          <w:tcPr>
            <w:tcW w:w="1956" w:type="dxa"/>
            <w:noWrap w:val="0"/>
            <w:vAlign w:val="top"/>
          </w:tcPr>
          <w:p w14:paraId="3A9CD1E1">
            <w:pPr>
              <w:rPr>
                <w:rFonts w:ascii="Arial"/>
                <w:color w:val="auto"/>
              </w:rPr>
            </w:pPr>
          </w:p>
        </w:tc>
        <w:tc>
          <w:tcPr>
            <w:tcW w:w="3081" w:type="dxa"/>
            <w:noWrap w:val="0"/>
            <w:vAlign w:val="top"/>
          </w:tcPr>
          <w:p w14:paraId="1110B78E">
            <w:pPr>
              <w:pStyle w:val="871"/>
              <w:spacing w:before="66" w:line="219" w:lineRule="auto"/>
              <w:ind w:left="109"/>
              <w:rPr>
                <w:rFonts w:hint="eastAsia"/>
                <w:color w:val="auto"/>
              </w:rPr>
            </w:pPr>
            <w:r>
              <w:rPr>
                <w:color w:val="auto"/>
                <w:spacing w:val="-2"/>
              </w:rPr>
              <w:t>HJ/T297</w:t>
            </w:r>
            <w:r>
              <w:rPr>
                <w:color w:val="auto"/>
                <w:spacing w:val="-22"/>
              </w:rPr>
              <w:t xml:space="preserve"> </w:t>
            </w:r>
            <w:r>
              <w:rPr>
                <w:color w:val="auto"/>
                <w:spacing w:val="-2"/>
              </w:rPr>
              <w:t>陶瓷砖</w:t>
            </w:r>
          </w:p>
        </w:tc>
      </w:tr>
      <w:tr w14:paraId="5A678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noWrap w:val="0"/>
            <w:vAlign w:val="top"/>
          </w:tcPr>
          <w:p w14:paraId="5CBDE6EB">
            <w:pPr>
              <w:pStyle w:val="871"/>
              <w:spacing w:before="95" w:line="183" w:lineRule="auto"/>
              <w:ind w:left="118"/>
              <w:rPr>
                <w:rFonts w:hint="eastAsia"/>
                <w:color w:val="auto"/>
              </w:rPr>
            </w:pPr>
            <w:r>
              <w:rPr>
                <w:color w:val="auto"/>
                <w:spacing w:val="-5"/>
              </w:rPr>
              <w:t>39</w:t>
            </w:r>
          </w:p>
        </w:tc>
        <w:tc>
          <w:tcPr>
            <w:tcW w:w="1343" w:type="dxa"/>
            <w:vMerge w:val="restart"/>
            <w:tcBorders>
              <w:bottom w:val="nil"/>
            </w:tcBorders>
            <w:noWrap w:val="0"/>
            <w:vAlign w:val="top"/>
          </w:tcPr>
          <w:p w14:paraId="5C8D384D">
            <w:pPr>
              <w:pStyle w:val="871"/>
              <w:spacing w:before="66" w:line="306" w:lineRule="auto"/>
              <w:ind w:left="109" w:right="108" w:hanging="7"/>
              <w:rPr>
                <w:rFonts w:hint="eastAsia"/>
                <w:color w:val="auto"/>
              </w:rPr>
            </w:pPr>
            <w:r>
              <w:rPr>
                <w:color w:val="auto"/>
                <w:spacing w:val="-1"/>
              </w:rPr>
              <w:t>A100309</w:t>
            </w:r>
            <w:r>
              <w:rPr>
                <w:color w:val="auto"/>
                <w:spacing w:val="34"/>
                <w:w w:val="101"/>
              </w:rPr>
              <w:t xml:space="preserve"> </w:t>
            </w:r>
            <w:r>
              <w:rPr>
                <w:color w:val="auto"/>
                <w:spacing w:val="-1"/>
              </w:rPr>
              <w:t>建筑</w:t>
            </w:r>
            <w:r>
              <w:rPr>
                <w:color w:val="auto"/>
                <w:spacing w:val="-51"/>
              </w:rPr>
              <w:t xml:space="preserve"> </w:t>
            </w:r>
            <w:r>
              <w:rPr>
                <w:color w:val="auto"/>
                <w:spacing w:val="-1"/>
              </w:rPr>
              <w:t>防</w:t>
            </w:r>
            <w:r>
              <w:rPr>
                <w:color w:val="auto"/>
              </w:rPr>
              <w:t xml:space="preserve"> </w:t>
            </w:r>
            <w:r>
              <w:rPr>
                <w:color w:val="auto"/>
                <w:spacing w:val="-2"/>
              </w:rPr>
              <w:t>水卷材及制品</w:t>
            </w:r>
          </w:p>
        </w:tc>
        <w:tc>
          <w:tcPr>
            <w:tcW w:w="2324" w:type="dxa"/>
            <w:noWrap w:val="0"/>
            <w:vAlign w:val="top"/>
          </w:tcPr>
          <w:p w14:paraId="270098C5">
            <w:pPr>
              <w:pStyle w:val="871"/>
              <w:spacing w:before="66" w:line="283" w:lineRule="auto"/>
              <w:ind w:left="110" w:right="107" w:hanging="7"/>
              <w:rPr>
                <w:rFonts w:hint="eastAsia"/>
                <w:color w:val="auto"/>
              </w:rPr>
            </w:pPr>
            <w:r>
              <w:rPr>
                <w:color w:val="auto"/>
                <w:spacing w:val="-1"/>
              </w:rPr>
              <w:t>A10030901</w:t>
            </w:r>
            <w:r>
              <w:rPr>
                <w:color w:val="auto"/>
                <w:spacing w:val="-47"/>
              </w:rPr>
              <w:t xml:space="preserve"> </w:t>
            </w:r>
            <w:r>
              <w:rPr>
                <w:color w:val="auto"/>
                <w:spacing w:val="-1"/>
              </w:rPr>
              <w:t>沥青和改性沥青防水</w:t>
            </w:r>
            <w:r>
              <w:rPr>
                <w:color w:val="auto"/>
              </w:rPr>
              <w:t xml:space="preserve"> </w:t>
            </w:r>
            <w:r>
              <w:rPr>
                <w:color w:val="auto"/>
                <w:spacing w:val="-3"/>
              </w:rPr>
              <w:t>卷材</w:t>
            </w:r>
          </w:p>
        </w:tc>
        <w:tc>
          <w:tcPr>
            <w:tcW w:w="1956" w:type="dxa"/>
            <w:noWrap w:val="0"/>
            <w:vAlign w:val="top"/>
          </w:tcPr>
          <w:p w14:paraId="264A61C3">
            <w:pPr>
              <w:rPr>
                <w:rFonts w:ascii="Arial"/>
                <w:color w:val="auto"/>
              </w:rPr>
            </w:pPr>
          </w:p>
        </w:tc>
        <w:tc>
          <w:tcPr>
            <w:tcW w:w="3081" w:type="dxa"/>
            <w:noWrap w:val="0"/>
            <w:vAlign w:val="top"/>
          </w:tcPr>
          <w:p w14:paraId="06614A95">
            <w:pPr>
              <w:pStyle w:val="871"/>
              <w:spacing w:before="66" w:line="219" w:lineRule="auto"/>
              <w:ind w:left="109"/>
              <w:rPr>
                <w:rFonts w:hint="eastAsia"/>
                <w:color w:val="auto"/>
              </w:rPr>
            </w:pPr>
            <w:r>
              <w:rPr>
                <w:color w:val="auto"/>
                <w:spacing w:val="-2"/>
              </w:rPr>
              <w:t>HJ455</w:t>
            </w:r>
            <w:r>
              <w:rPr>
                <w:color w:val="auto"/>
                <w:spacing w:val="-25"/>
              </w:rPr>
              <w:t xml:space="preserve"> </w:t>
            </w:r>
            <w:r>
              <w:rPr>
                <w:color w:val="auto"/>
                <w:spacing w:val="-2"/>
              </w:rPr>
              <w:t>防水卷材</w:t>
            </w:r>
          </w:p>
        </w:tc>
      </w:tr>
      <w:tr w14:paraId="6622C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3141964E">
            <w:pPr>
              <w:rPr>
                <w:rFonts w:ascii="Arial"/>
                <w:color w:val="auto"/>
              </w:rPr>
            </w:pPr>
          </w:p>
        </w:tc>
        <w:tc>
          <w:tcPr>
            <w:tcW w:w="1343" w:type="dxa"/>
            <w:vMerge w:val="continue"/>
            <w:tcBorders>
              <w:top w:val="nil"/>
              <w:bottom w:val="nil"/>
            </w:tcBorders>
            <w:noWrap w:val="0"/>
            <w:vAlign w:val="top"/>
          </w:tcPr>
          <w:p w14:paraId="7742438D">
            <w:pPr>
              <w:rPr>
                <w:rFonts w:ascii="Arial"/>
                <w:color w:val="auto"/>
              </w:rPr>
            </w:pPr>
          </w:p>
        </w:tc>
        <w:tc>
          <w:tcPr>
            <w:tcW w:w="2324" w:type="dxa"/>
            <w:noWrap w:val="0"/>
            <w:vAlign w:val="top"/>
          </w:tcPr>
          <w:p w14:paraId="4778132C">
            <w:pPr>
              <w:pStyle w:val="871"/>
              <w:spacing w:before="67" w:line="219" w:lineRule="auto"/>
              <w:ind w:left="103"/>
              <w:rPr>
                <w:rFonts w:hint="eastAsia"/>
                <w:color w:val="auto"/>
              </w:rPr>
            </w:pPr>
            <w:r>
              <w:rPr>
                <w:color w:val="auto"/>
                <w:spacing w:val="-2"/>
              </w:rPr>
              <w:t>A10030903</w:t>
            </w:r>
            <w:r>
              <w:rPr>
                <w:color w:val="auto"/>
                <w:spacing w:val="36"/>
              </w:rPr>
              <w:t xml:space="preserve"> </w:t>
            </w:r>
            <w:r>
              <w:rPr>
                <w:color w:val="auto"/>
                <w:spacing w:val="-2"/>
              </w:rPr>
              <w:t>自粘防水卷材</w:t>
            </w:r>
          </w:p>
        </w:tc>
        <w:tc>
          <w:tcPr>
            <w:tcW w:w="1956" w:type="dxa"/>
            <w:noWrap w:val="0"/>
            <w:vAlign w:val="top"/>
          </w:tcPr>
          <w:p w14:paraId="1E552CC3">
            <w:pPr>
              <w:rPr>
                <w:rFonts w:ascii="Arial"/>
                <w:color w:val="auto"/>
              </w:rPr>
            </w:pPr>
          </w:p>
        </w:tc>
        <w:tc>
          <w:tcPr>
            <w:tcW w:w="3081" w:type="dxa"/>
            <w:noWrap w:val="0"/>
            <w:vAlign w:val="top"/>
          </w:tcPr>
          <w:p w14:paraId="6FE6C026">
            <w:pPr>
              <w:pStyle w:val="871"/>
              <w:spacing w:before="66" w:line="219" w:lineRule="auto"/>
              <w:ind w:left="109"/>
              <w:rPr>
                <w:rFonts w:hint="eastAsia"/>
                <w:color w:val="auto"/>
              </w:rPr>
            </w:pPr>
            <w:r>
              <w:rPr>
                <w:color w:val="auto"/>
                <w:spacing w:val="-2"/>
              </w:rPr>
              <w:t>HJ455</w:t>
            </w:r>
            <w:r>
              <w:rPr>
                <w:color w:val="auto"/>
                <w:spacing w:val="-25"/>
              </w:rPr>
              <w:t xml:space="preserve"> </w:t>
            </w:r>
            <w:r>
              <w:rPr>
                <w:color w:val="auto"/>
                <w:spacing w:val="-2"/>
              </w:rPr>
              <w:t>防水卷材</w:t>
            </w:r>
          </w:p>
        </w:tc>
      </w:tr>
      <w:tr w14:paraId="4DD8E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tcBorders>
            <w:noWrap w:val="0"/>
            <w:vAlign w:val="top"/>
          </w:tcPr>
          <w:p w14:paraId="422F8951">
            <w:pPr>
              <w:rPr>
                <w:rFonts w:ascii="Arial"/>
                <w:color w:val="auto"/>
              </w:rPr>
            </w:pPr>
          </w:p>
        </w:tc>
        <w:tc>
          <w:tcPr>
            <w:tcW w:w="1343" w:type="dxa"/>
            <w:vMerge w:val="continue"/>
            <w:tcBorders>
              <w:top w:val="nil"/>
            </w:tcBorders>
            <w:noWrap w:val="0"/>
            <w:vAlign w:val="top"/>
          </w:tcPr>
          <w:p w14:paraId="59487A55">
            <w:pPr>
              <w:rPr>
                <w:rFonts w:ascii="Arial"/>
                <w:color w:val="auto"/>
              </w:rPr>
            </w:pPr>
          </w:p>
        </w:tc>
        <w:tc>
          <w:tcPr>
            <w:tcW w:w="2324" w:type="dxa"/>
            <w:noWrap w:val="0"/>
            <w:vAlign w:val="top"/>
          </w:tcPr>
          <w:p w14:paraId="5E2EF57E">
            <w:pPr>
              <w:pStyle w:val="871"/>
              <w:spacing w:before="66" w:line="283" w:lineRule="auto"/>
              <w:ind w:left="108" w:right="102" w:hanging="5"/>
              <w:rPr>
                <w:rFonts w:hint="eastAsia"/>
                <w:color w:val="auto"/>
              </w:rPr>
            </w:pPr>
            <w:r>
              <w:rPr>
                <w:color w:val="auto"/>
                <w:spacing w:val="-2"/>
              </w:rPr>
              <w:t>A10030906</w:t>
            </w:r>
            <w:r>
              <w:rPr>
                <w:color w:val="auto"/>
                <w:spacing w:val="-24"/>
              </w:rPr>
              <w:t xml:space="preserve"> </w:t>
            </w:r>
            <w:r>
              <w:rPr>
                <w:color w:val="auto"/>
                <w:spacing w:val="-2"/>
              </w:rPr>
              <w:t>高分子防水卷（片）</w:t>
            </w:r>
            <w:r>
              <w:rPr>
                <w:color w:val="auto"/>
              </w:rPr>
              <w:t xml:space="preserve"> 材</w:t>
            </w:r>
          </w:p>
        </w:tc>
        <w:tc>
          <w:tcPr>
            <w:tcW w:w="1956" w:type="dxa"/>
            <w:noWrap w:val="0"/>
            <w:vAlign w:val="top"/>
          </w:tcPr>
          <w:p w14:paraId="41E2A60F">
            <w:pPr>
              <w:rPr>
                <w:rFonts w:ascii="Arial"/>
                <w:color w:val="auto"/>
              </w:rPr>
            </w:pPr>
          </w:p>
        </w:tc>
        <w:tc>
          <w:tcPr>
            <w:tcW w:w="3081" w:type="dxa"/>
            <w:noWrap w:val="0"/>
            <w:vAlign w:val="top"/>
          </w:tcPr>
          <w:p w14:paraId="1D2143D8">
            <w:pPr>
              <w:pStyle w:val="871"/>
              <w:spacing w:before="66" w:line="219" w:lineRule="auto"/>
              <w:ind w:left="109"/>
              <w:rPr>
                <w:rFonts w:hint="eastAsia"/>
                <w:color w:val="auto"/>
              </w:rPr>
            </w:pPr>
            <w:r>
              <w:rPr>
                <w:color w:val="auto"/>
                <w:spacing w:val="-2"/>
              </w:rPr>
              <w:t>HJ455</w:t>
            </w:r>
            <w:r>
              <w:rPr>
                <w:color w:val="auto"/>
                <w:spacing w:val="-25"/>
              </w:rPr>
              <w:t xml:space="preserve"> </w:t>
            </w:r>
            <w:r>
              <w:rPr>
                <w:color w:val="auto"/>
                <w:spacing w:val="-2"/>
              </w:rPr>
              <w:t>防水卷材</w:t>
            </w:r>
          </w:p>
        </w:tc>
      </w:tr>
      <w:tr w14:paraId="1195B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noWrap w:val="0"/>
            <w:vAlign w:val="top"/>
          </w:tcPr>
          <w:p w14:paraId="01A9B973">
            <w:pPr>
              <w:pStyle w:val="871"/>
              <w:spacing w:before="95" w:line="183" w:lineRule="auto"/>
              <w:ind w:left="114"/>
              <w:rPr>
                <w:rFonts w:hint="eastAsia"/>
                <w:color w:val="auto"/>
              </w:rPr>
            </w:pPr>
            <w:r>
              <w:rPr>
                <w:color w:val="auto"/>
                <w:spacing w:val="-3"/>
              </w:rPr>
              <w:t>40</w:t>
            </w:r>
          </w:p>
        </w:tc>
        <w:tc>
          <w:tcPr>
            <w:tcW w:w="1343" w:type="dxa"/>
            <w:vMerge w:val="restart"/>
            <w:tcBorders>
              <w:bottom w:val="nil"/>
            </w:tcBorders>
            <w:noWrap w:val="0"/>
            <w:vAlign w:val="top"/>
          </w:tcPr>
          <w:p w14:paraId="0AD7C9C2">
            <w:pPr>
              <w:pStyle w:val="871"/>
              <w:spacing w:before="68" w:line="311" w:lineRule="auto"/>
              <w:ind w:left="106" w:right="106" w:hanging="4"/>
              <w:rPr>
                <w:rFonts w:hint="eastAsia"/>
                <w:color w:val="auto"/>
              </w:rPr>
            </w:pPr>
            <w:r>
              <w:rPr>
                <w:color w:val="auto"/>
                <w:spacing w:val="-8"/>
              </w:rPr>
              <w:t>A100310</w:t>
            </w:r>
            <w:r>
              <w:rPr>
                <w:color w:val="auto"/>
                <w:spacing w:val="-25"/>
              </w:rPr>
              <w:t xml:space="preserve"> </w:t>
            </w:r>
            <w:r>
              <w:rPr>
                <w:color w:val="auto"/>
                <w:spacing w:val="-8"/>
              </w:rPr>
              <w:t>隔热、隔</w:t>
            </w:r>
            <w:r>
              <w:rPr>
                <w:color w:val="auto"/>
              </w:rPr>
              <w:t xml:space="preserve"> </w:t>
            </w:r>
            <w:r>
              <w:rPr>
                <w:color w:val="auto"/>
                <w:spacing w:val="9"/>
              </w:rPr>
              <w:t>音人造矿物材料</w:t>
            </w:r>
            <w:r>
              <w:rPr>
                <w:color w:val="auto"/>
                <w:spacing w:val="-2"/>
              </w:rPr>
              <w:t>及其制品</w:t>
            </w:r>
          </w:p>
        </w:tc>
        <w:tc>
          <w:tcPr>
            <w:tcW w:w="2324" w:type="dxa"/>
            <w:noWrap w:val="0"/>
            <w:vAlign w:val="top"/>
          </w:tcPr>
          <w:p w14:paraId="3930A045">
            <w:pPr>
              <w:pStyle w:val="871"/>
              <w:spacing w:before="68" w:line="282" w:lineRule="auto"/>
              <w:ind w:left="108" w:right="107" w:hanging="5"/>
              <w:rPr>
                <w:rFonts w:hint="eastAsia"/>
                <w:color w:val="auto"/>
                <w:lang w:eastAsia="zh-CN"/>
              </w:rPr>
            </w:pPr>
            <w:r>
              <w:rPr>
                <w:color w:val="auto"/>
                <w:spacing w:val="6"/>
                <w:lang w:eastAsia="zh-CN"/>
              </w:rPr>
              <w:t>A10031001 矿物绝热和吸声材</w:t>
            </w:r>
            <w:r>
              <w:rPr>
                <w:color w:val="auto"/>
                <w:spacing w:val="7"/>
                <w:lang w:eastAsia="zh-CN"/>
              </w:rPr>
              <w:t xml:space="preserve"> </w:t>
            </w:r>
            <w:r>
              <w:rPr>
                <w:color w:val="auto"/>
                <w:lang w:eastAsia="zh-CN"/>
              </w:rPr>
              <w:t>料</w:t>
            </w:r>
          </w:p>
        </w:tc>
        <w:tc>
          <w:tcPr>
            <w:tcW w:w="1956" w:type="dxa"/>
            <w:noWrap w:val="0"/>
            <w:vAlign w:val="top"/>
          </w:tcPr>
          <w:p w14:paraId="6E1E3331">
            <w:pPr>
              <w:rPr>
                <w:rFonts w:ascii="Arial"/>
                <w:color w:val="auto"/>
              </w:rPr>
            </w:pPr>
          </w:p>
        </w:tc>
        <w:tc>
          <w:tcPr>
            <w:tcW w:w="3081" w:type="dxa"/>
            <w:noWrap w:val="0"/>
            <w:vAlign w:val="top"/>
          </w:tcPr>
          <w:p w14:paraId="1A5EFA85">
            <w:pPr>
              <w:pStyle w:val="871"/>
              <w:spacing w:before="67" w:line="219" w:lineRule="auto"/>
              <w:ind w:left="109"/>
              <w:rPr>
                <w:rFonts w:hint="eastAsia"/>
                <w:color w:val="auto"/>
              </w:rPr>
            </w:pPr>
            <w:r>
              <w:rPr>
                <w:color w:val="auto"/>
                <w:spacing w:val="-1"/>
              </w:rPr>
              <w:t>HJ/T223</w:t>
            </w:r>
            <w:r>
              <w:rPr>
                <w:color w:val="auto"/>
                <w:spacing w:val="-33"/>
              </w:rPr>
              <w:t xml:space="preserve"> </w:t>
            </w:r>
            <w:r>
              <w:rPr>
                <w:color w:val="auto"/>
                <w:spacing w:val="-1"/>
              </w:rPr>
              <w:t>轻质墙体板材</w:t>
            </w:r>
          </w:p>
        </w:tc>
      </w:tr>
      <w:tr w14:paraId="7816C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59387B0B">
            <w:pPr>
              <w:rPr>
                <w:rFonts w:ascii="Arial"/>
                <w:color w:val="auto"/>
              </w:rPr>
            </w:pPr>
          </w:p>
        </w:tc>
        <w:tc>
          <w:tcPr>
            <w:tcW w:w="1343" w:type="dxa"/>
            <w:vMerge w:val="continue"/>
            <w:tcBorders>
              <w:top w:val="nil"/>
            </w:tcBorders>
            <w:noWrap w:val="0"/>
            <w:vAlign w:val="top"/>
          </w:tcPr>
          <w:p w14:paraId="0D5F3B22">
            <w:pPr>
              <w:rPr>
                <w:rFonts w:ascii="Arial"/>
                <w:color w:val="auto"/>
              </w:rPr>
            </w:pPr>
          </w:p>
        </w:tc>
        <w:tc>
          <w:tcPr>
            <w:tcW w:w="2324" w:type="dxa"/>
            <w:noWrap w:val="0"/>
            <w:vAlign w:val="top"/>
          </w:tcPr>
          <w:p w14:paraId="789111BC">
            <w:pPr>
              <w:pStyle w:val="871"/>
              <w:spacing w:before="68" w:line="219" w:lineRule="auto"/>
              <w:ind w:left="103"/>
              <w:rPr>
                <w:rFonts w:hint="eastAsia"/>
                <w:color w:val="auto"/>
              </w:rPr>
            </w:pPr>
            <w:r>
              <w:rPr>
                <w:color w:val="auto"/>
                <w:spacing w:val="-1"/>
              </w:rPr>
              <w:t>A10031002</w:t>
            </w:r>
            <w:r>
              <w:rPr>
                <w:color w:val="auto"/>
                <w:spacing w:val="-30"/>
              </w:rPr>
              <w:t xml:space="preserve"> </w:t>
            </w:r>
            <w:r>
              <w:rPr>
                <w:color w:val="auto"/>
                <w:spacing w:val="-1"/>
              </w:rPr>
              <w:t>矿物材料制品</w:t>
            </w:r>
          </w:p>
        </w:tc>
        <w:tc>
          <w:tcPr>
            <w:tcW w:w="1956" w:type="dxa"/>
            <w:noWrap w:val="0"/>
            <w:vAlign w:val="top"/>
          </w:tcPr>
          <w:p w14:paraId="31ACDA95">
            <w:pPr>
              <w:rPr>
                <w:rFonts w:ascii="Arial"/>
                <w:color w:val="auto"/>
              </w:rPr>
            </w:pPr>
          </w:p>
        </w:tc>
        <w:tc>
          <w:tcPr>
            <w:tcW w:w="3081" w:type="dxa"/>
            <w:noWrap w:val="0"/>
            <w:vAlign w:val="top"/>
          </w:tcPr>
          <w:p w14:paraId="63E3B80D">
            <w:pPr>
              <w:pStyle w:val="871"/>
              <w:spacing w:before="67" w:line="219" w:lineRule="auto"/>
              <w:ind w:left="109"/>
              <w:rPr>
                <w:rFonts w:hint="eastAsia"/>
                <w:color w:val="auto"/>
              </w:rPr>
            </w:pPr>
            <w:r>
              <w:rPr>
                <w:color w:val="auto"/>
                <w:spacing w:val="-1"/>
              </w:rPr>
              <w:t>HJ/T223</w:t>
            </w:r>
            <w:r>
              <w:rPr>
                <w:color w:val="auto"/>
                <w:spacing w:val="-33"/>
              </w:rPr>
              <w:t xml:space="preserve"> </w:t>
            </w:r>
            <w:r>
              <w:rPr>
                <w:color w:val="auto"/>
                <w:spacing w:val="-1"/>
              </w:rPr>
              <w:t>轻质墙体板材</w:t>
            </w:r>
          </w:p>
        </w:tc>
      </w:tr>
      <w:tr w14:paraId="35FDD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573A1C07">
            <w:pPr>
              <w:pStyle w:val="871"/>
              <w:spacing w:before="95" w:line="184" w:lineRule="auto"/>
              <w:ind w:left="114"/>
              <w:rPr>
                <w:rFonts w:hint="eastAsia"/>
                <w:color w:val="auto"/>
              </w:rPr>
            </w:pPr>
            <w:r>
              <w:rPr>
                <w:color w:val="auto"/>
                <w:spacing w:val="-3"/>
              </w:rPr>
              <w:t>41</w:t>
            </w:r>
          </w:p>
        </w:tc>
        <w:tc>
          <w:tcPr>
            <w:tcW w:w="1343" w:type="dxa"/>
            <w:noWrap w:val="0"/>
            <w:vAlign w:val="top"/>
          </w:tcPr>
          <w:p w14:paraId="645DF80E">
            <w:pPr>
              <w:pStyle w:val="871"/>
              <w:spacing w:before="68" w:line="282" w:lineRule="auto"/>
              <w:ind w:left="109" w:right="108" w:hanging="7"/>
              <w:rPr>
                <w:rFonts w:hint="eastAsia"/>
                <w:color w:val="auto"/>
              </w:rPr>
            </w:pPr>
            <w:r>
              <w:rPr>
                <w:color w:val="auto"/>
                <w:spacing w:val="3"/>
              </w:rPr>
              <w:t>A100601</w:t>
            </w:r>
            <w:r>
              <w:rPr>
                <w:color w:val="auto"/>
                <w:spacing w:val="34"/>
              </w:rPr>
              <w:t xml:space="preserve"> </w:t>
            </w:r>
            <w:r>
              <w:rPr>
                <w:color w:val="auto"/>
                <w:spacing w:val="3"/>
              </w:rPr>
              <w:t>功能性</w:t>
            </w:r>
            <w:r>
              <w:rPr>
                <w:color w:val="auto"/>
              </w:rPr>
              <w:t xml:space="preserve"> </w:t>
            </w:r>
            <w:r>
              <w:rPr>
                <w:color w:val="auto"/>
                <w:spacing w:val="-2"/>
              </w:rPr>
              <w:t>建筑涂料</w:t>
            </w:r>
          </w:p>
        </w:tc>
        <w:tc>
          <w:tcPr>
            <w:tcW w:w="2324" w:type="dxa"/>
            <w:noWrap w:val="0"/>
            <w:vAlign w:val="top"/>
          </w:tcPr>
          <w:p w14:paraId="4CDFCEFA">
            <w:pPr>
              <w:rPr>
                <w:rFonts w:ascii="Arial"/>
                <w:color w:val="auto"/>
              </w:rPr>
            </w:pPr>
          </w:p>
        </w:tc>
        <w:tc>
          <w:tcPr>
            <w:tcW w:w="1956" w:type="dxa"/>
            <w:noWrap w:val="0"/>
            <w:vAlign w:val="top"/>
          </w:tcPr>
          <w:p w14:paraId="558BB575">
            <w:pPr>
              <w:rPr>
                <w:rFonts w:ascii="Arial"/>
                <w:color w:val="auto"/>
              </w:rPr>
            </w:pPr>
          </w:p>
        </w:tc>
        <w:tc>
          <w:tcPr>
            <w:tcW w:w="3081" w:type="dxa"/>
            <w:noWrap w:val="0"/>
            <w:vAlign w:val="top"/>
          </w:tcPr>
          <w:p w14:paraId="6E2B269E">
            <w:pPr>
              <w:pStyle w:val="871"/>
              <w:spacing w:before="67" w:line="219" w:lineRule="auto"/>
              <w:ind w:left="109"/>
              <w:rPr>
                <w:rFonts w:hint="eastAsia"/>
                <w:color w:val="auto"/>
              </w:rPr>
            </w:pPr>
            <w:r>
              <w:rPr>
                <w:color w:val="auto"/>
                <w:spacing w:val="-1"/>
              </w:rPr>
              <w:t>HJ2537</w:t>
            </w:r>
            <w:r>
              <w:rPr>
                <w:color w:val="auto"/>
                <w:spacing w:val="-34"/>
              </w:rPr>
              <w:t xml:space="preserve"> </w:t>
            </w:r>
            <w:r>
              <w:rPr>
                <w:color w:val="auto"/>
                <w:spacing w:val="-1"/>
              </w:rPr>
              <w:t>水性涂料</w:t>
            </w:r>
          </w:p>
        </w:tc>
      </w:tr>
      <w:tr w14:paraId="4B57F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noWrap w:val="0"/>
            <w:vAlign w:val="top"/>
          </w:tcPr>
          <w:p w14:paraId="61AF6259">
            <w:pPr>
              <w:pStyle w:val="871"/>
              <w:spacing w:before="97" w:line="183" w:lineRule="auto"/>
              <w:ind w:left="114"/>
              <w:rPr>
                <w:rFonts w:hint="eastAsia"/>
                <w:color w:val="auto"/>
              </w:rPr>
            </w:pPr>
            <w:r>
              <w:rPr>
                <w:color w:val="auto"/>
                <w:spacing w:val="-3"/>
              </w:rPr>
              <w:t>42</w:t>
            </w:r>
          </w:p>
        </w:tc>
        <w:tc>
          <w:tcPr>
            <w:tcW w:w="1343" w:type="dxa"/>
            <w:noWrap w:val="0"/>
            <w:vAlign w:val="top"/>
          </w:tcPr>
          <w:p w14:paraId="3FA2CD17">
            <w:pPr>
              <w:pStyle w:val="871"/>
              <w:spacing w:before="69" w:line="284" w:lineRule="auto"/>
              <w:ind w:left="109" w:right="106" w:firstLine="84"/>
              <w:rPr>
                <w:rFonts w:hint="eastAsia"/>
                <w:color w:val="auto"/>
              </w:rPr>
            </w:pPr>
            <w:r>
              <w:rPr>
                <w:color w:val="auto"/>
                <w:spacing w:val="-1"/>
              </w:rPr>
              <w:t>A100399</w:t>
            </w:r>
            <w:r>
              <w:rPr>
                <w:color w:val="auto"/>
                <w:spacing w:val="-15"/>
              </w:rPr>
              <w:t xml:space="preserve"> </w:t>
            </w:r>
            <w:r>
              <w:rPr>
                <w:color w:val="auto"/>
                <w:spacing w:val="-1"/>
              </w:rPr>
              <w:t>其他非</w:t>
            </w:r>
            <w:r>
              <w:rPr>
                <w:color w:val="auto"/>
              </w:rPr>
              <w:t xml:space="preserve"> </w:t>
            </w:r>
            <w:r>
              <w:rPr>
                <w:color w:val="auto"/>
                <w:spacing w:val="-2"/>
              </w:rPr>
              <w:t>金属矿物制品</w:t>
            </w:r>
          </w:p>
        </w:tc>
        <w:tc>
          <w:tcPr>
            <w:tcW w:w="2324" w:type="dxa"/>
            <w:noWrap w:val="0"/>
            <w:vAlign w:val="top"/>
          </w:tcPr>
          <w:p w14:paraId="455393EC">
            <w:pPr>
              <w:pStyle w:val="871"/>
              <w:spacing w:before="68" w:line="219" w:lineRule="auto"/>
              <w:ind w:left="103"/>
              <w:rPr>
                <w:rFonts w:hint="eastAsia"/>
                <w:color w:val="auto"/>
              </w:rPr>
            </w:pPr>
            <w:r>
              <w:rPr>
                <w:color w:val="auto"/>
                <w:spacing w:val="-1"/>
              </w:rPr>
              <w:t>A10039901</w:t>
            </w:r>
            <w:r>
              <w:rPr>
                <w:color w:val="auto"/>
                <w:spacing w:val="-45"/>
              </w:rPr>
              <w:t xml:space="preserve"> </w:t>
            </w:r>
            <w:r>
              <w:rPr>
                <w:color w:val="auto"/>
                <w:spacing w:val="-1"/>
              </w:rPr>
              <w:t>其他非金属建筑材料</w:t>
            </w:r>
          </w:p>
        </w:tc>
        <w:tc>
          <w:tcPr>
            <w:tcW w:w="1956" w:type="dxa"/>
            <w:noWrap w:val="0"/>
            <w:vAlign w:val="top"/>
          </w:tcPr>
          <w:p w14:paraId="0D617B56">
            <w:pPr>
              <w:rPr>
                <w:rFonts w:ascii="Arial"/>
                <w:color w:val="auto"/>
              </w:rPr>
            </w:pPr>
          </w:p>
        </w:tc>
        <w:tc>
          <w:tcPr>
            <w:tcW w:w="3081" w:type="dxa"/>
            <w:noWrap w:val="0"/>
            <w:vAlign w:val="top"/>
          </w:tcPr>
          <w:p w14:paraId="312D503D">
            <w:pPr>
              <w:pStyle w:val="871"/>
              <w:spacing w:before="68" w:line="219" w:lineRule="auto"/>
              <w:ind w:left="109"/>
              <w:rPr>
                <w:rFonts w:hint="eastAsia"/>
                <w:color w:val="auto"/>
              </w:rPr>
            </w:pPr>
            <w:r>
              <w:rPr>
                <w:color w:val="auto"/>
                <w:spacing w:val="-2"/>
              </w:rPr>
              <w:t>HJ456</w:t>
            </w:r>
            <w:r>
              <w:rPr>
                <w:color w:val="auto"/>
                <w:spacing w:val="-23"/>
              </w:rPr>
              <w:t xml:space="preserve"> </w:t>
            </w:r>
            <w:r>
              <w:rPr>
                <w:color w:val="auto"/>
                <w:spacing w:val="-2"/>
              </w:rPr>
              <w:t>刚性防水材料</w:t>
            </w:r>
          </w:p>
        </w:tc>
      </w:tr>
      <w:tr w14:paraId="1938B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vMerge w:val="restart"/>
            <w:tcBorders>
              <w:bottom w:val="nil"/>
            </w:tcBorders>
            <w:noWrap w:val="0"/>
            <w:vAlign w:val="top"/>
          </w:tcPr>
          <w:p w14:paraId="6668E21E">
            <w:pPr>
              <w:pStyle w:val="871"/>
              <w:spacing w:before="96" w:line="183" w:lineRule="auto"/>
              <w:ind w:left="114"/>
              <w:rPr>
                <w:rFonts w:hint="eastAsia"/>
                <w:color w:val="auto"/>
              </w:rPr>
            </w:pPr>
            <w:r>
              <w:rPr>
                <w:color w:val="auto"/>
                <w:spacing w:val="-3"/>
              </w:rPr>
              <w:t>43</w:t>
            </w:r>
          </w:p>
        </w:tc>
        <w:tc>
          <w:tcPr>
            <w:tcW w:w="1343" w:type="dxa"/>
            <w:vMerge w:val="restart"/>
            <w:tcBorders>
              <w:bottom w:val="nil"/>
            </w:tcBorders>
            <w:noWrap w:val="0"/>
            <w:vAlign w:val="top"/>
          </w:tcPr>
          <w:p w14:paraId="3CAD09F8">
            <w:pPr>
              <w:pStyle w:val="871"/>
              <w:spacing w:before="68" w:line="307" w:lineRule="auto"/>
              <w:ind w:left="107" w:right="108" w:hanging="5"/>
              <w:rPr>
                <w:rFonts w:hint="eastAsia"/>
                <w:color w:val="auto"/>
              </w:rPr>
            </w:pPr>
            <w:r>
              <w:rPr>
                <w:color w:val="auto"/>
                <w:spacing w:val="3"/>
              </w:rPr>
              <w:t>A100602</w:t>
            </w:r>
            <w:r>
              <w:rPr>
                <w:color w:val="auto"/>
                <w:spacing w:val="34"/>
              </w:rPr>
              <w:t xml:space="preserve"> </w:t>
            </w:r>
            <w:r>
              <w:rPr>
                <w:color w:val="auto"/>
                <w:spacing w:val="3"/>
              </w:rPr>
              <w:t>墙面涂</w:t>
            </w:r>
            <w:r>
              <w:rPr>
                <w:color w:val="auto"/>
              </w:rPr>
              <w:t xml:space="preserve"> 料</w:t>
            </w:r>
          </w:p>
        </w:tc>
        <w:tc>
          <w:tcPr>
            <w:tcW w:w="2324" w:type="dxa"/>
            <w:noWrap w:val="0"/>
            <w:vAlign w:val="top"/>
          </w:tcPr>
          <w:p w14:paraId="492D4E80">
            <w:pPr>
              <w:pStyle w:val="871"/>
              <w:spacing w:before="69" w:line="284" w:lineRule="auto"/>
              <w:ind w:left="108" w:right="107" w:hanging="5"/>
              <w:rPr>
                <w:rFonts w:hint="eastAsia"/>
                <w:color w:val="auto"/>
              </w:rPr>
            </w:pPr>
            <w:r>
              <w:rPr>
                <w:color w:val="auto"/>
                <w:spacing w:val="-1"/>
              </w:rPr>
              <w:t>A10060202</w:t>
            </w:r>
            <w:r>
              <w:rPr>
                <w:color w:val="auto"/>
                <w:spacing w:val="-47"/>
              </w:rPr>
              <w:t xml:space="preserve"> </w:t>
            </w:r>
            <w:r>
              <w:rPr>
                <w:color w:val="auto"/>
                <w:spacing w:val="-1"/>
              </w:rPr>
              <w:t>合成树脂乳液内墙涂</w:t>
            </w:r>
            <w:r>
              <w:rPr>
                <w:color w:val="auto"/>
              </w:rPr>
              <w:t xml:space="preserve"> 料</w:t>
            </w:r>
          </w:p>
        </w:tc>
        <w:tc>
          <w:tcPr>
            <w:tcW w:w="1956" w:type="dxa"/>
            <w:noWrap w:val="0"/>
            <w:vAlign w:val="top"/>
          </w:tcPr>
          <w:p w14:paraId="2722441F">
            <w:pPr>
              <w:rPr>
                <w:rFonts w:ascii="Arial"/>
                <w:color w:val="auto"/>
              </w:rPr>
            </w:pPr>
          </w:p>
        </w:tc>
        <w:tc>
          <w:tcPr>
            <w:tcW w:w="3081" w:type="dxa"/>
            <w:noWrap w:val="0"/>
            <w:vAlign w:val="top"/>
          </w:tcPr>
          <w:p w14:paraId="47F66D1D">
            <w:pPr>
              <w:pStyle w:val="871"/>
              <w:spacing w:before="67" w:line="219" w:lineRule="auto"/>
              <w:ind w:left="109"/>
              <w:rPr>
                <w:rFonts w:hint="eastAsia"/>
                <w:color w:val="auto"/>
              </w:rPr>
            </w:pPr>
            <w:r>
              <w:rPr>
                <w:color w:val="auto"/>
                <w:spacing w:val="-1"/>
              </w:rPr>
              <w:t>HJ2537</w:t>
            </w:r>
            <w:r>
              <w:rPr>
                <w:color w:val="auto"/>
                <w:spacing w:val="-34"/>
              </w:rPr>
              <w:t xml:space="preserve"> </w:t>
            </w:r>
            <w:r>
              <w:rPr>
                <w:color w:val="auto"/>
                <w:spacing w:val="-1"/>
              </w:rPr>
              <w:t>水性涂料</w:t>
            </w:r>
          </w:p>
        </w:tc>
      </w:tr>
      <w:tr w14:paraId="22B4A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bottom w:val="nil"/>
            </w:tcBorders>
            <w:noWrap w:val="0"/>
            <w:vAlign w:val="top"/>
          </w:tcPr>
          <w:p w14:paraId="510EE46F">
            <w:pPr>
              <w:rPr>
                <w:rFonts w:ascii="Arial"/>
                <w:color w:val="auto"/>
              </w:rPr>
            </w:pPr>
          </w:p>
        </w:tc>
        <w:tc>
          <w:tcPr>
            <w:tcW w:w="1343" w:type="dxa"/>
            <w:vMerge w:val="continue"/>
            <w:tcBorders>
              <w:top w:val="nil"/>
              <w:bottom w:val="nil"/>
            </w:tcBorders>
            <w:noWrap w:val="0"/>
            <w:vAlign w:val="top"/>
          </w:tcPr>
          <w:p w14:paraId="391E89D4">
            <w:pPr>
              <w:rPr>
                <w:rFonts w:ascii="Arial"/>
                <w:color w:val="auto"/>
              </w:rPr>
            </w:pPr>
          </w:p>
        </w:tc>
        <w:tc>
          <w:tcPr>
            <w:tcW w:w="2324" w:type="dxa"/>
            <w:noWrap w:val="0"/>
            <w:vAlign w:val="top"/>
          </w:tcPr>
          <w:p w14:paraId="09329EF2">
            <w:pPr>
              <w:pStyle w:val="871"/>
              <w:spacing w:before="64" w:line="284" w:lineRule="auto"/>
              <w:ind w:left="108" w:right="107" w:hanging="5"/>
              <w:rPr>
                <w:rFonts w:hint="eastAsia"/>
                <w:color w:val="auto"/>
              </w:rPr>
            </w:pPr>
            <w:r>
              <w:rPr>
                <w:color w:val="auto"/>
                <w:spacing w:val="-1"/>
              </w:rPr>
              <w:t>A10060203</w:t>
            </w:r>
            <w:r>
              <w:rPr>
                <w:color w:val="auto"/>
                <w:spacing w:val="-47"/>
              </w:rPr>
              <w:t xml:space="preserve"> </w:t>
            </w:r>
            <w:r>
              <w:rPr>
                <w:color w:val="auto"/>
                <w:spacing w:val="-1"/>
              </w:rPr>
              <w:t>合成树脂乳液外墙涂</w:t>
            </w:r>
            <w:r>
              <w:rPr>
                <w:color w:val="auto"/>
              </w:rPr>
              <w:t xml:space="preserve"> 料</w:t>
            </w:r>
          </w:p>
        </w:tc>
        <w:tc>
          <w:tcPr>
            <w:tcW w:w="1956" w:type="dxa"/>
            <w:noWrap w:val="0"/>
            <w:vAlign w:val="top"/>
          </w:tcPr>
          <w:p w14:paraId="70033D03">
            <w:pPr>
              <w:rPr>
                <w:rFonts w:ascii="Arial"/>
                <w:color w:val="auto"/>
              </w:rPr>
            </w:pPr>
          </w:p>
        </w:tc>
        <w:tc>
          <w:tcPr>
            <w:tcW w:w="3081" w:type="dxa"/>
            <w:noWrap w:val="0"/>
            <w:vAlign w:val="top"/>
          </w:tcPr>
          <w:p w14:paraId="4D69BEAF">
            <w:pPr>
              <w:pStyle w:val="871"/>
              <w:spacing w:before="63" w:line="219" w:lineRule="auto"/>
              <w:ind w:left="109"/>
              <w:rPr>
                <w:rFonts w:hint="eastAsia"/>
                <w:color w:val="auto"/>
              </w:rPr>
            </w:pPr>
            <w:r>
              <w:rPr>
                <w:color w:val="auto"/>
                <w:spacing w:val="-1"/>
              </w:rPr>
              <w:t>HJ2537</w:t>
            </w:r>
            <w:r>
              <w:rPr>
                <w:color w:val="auto"/>
                <w:spacing w:val="-34"/>
              </w:rPr>
              <w:t xml:space="preserve"> </w:t>
            </w:r>
            <w:r>
              <w:rPr>
                <w:color w:val="auto"/>
                <w:spacing w:val="-1"/>
              </w:rPr>
              <w:t>水性涂料</w:t>
            </w:r>
          </w:p>
        </w:tc>
      </w:tr>
      <w:tr w14:paraId="2729D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tcBorders>
            <w:noWrap w:val="0"/>
            <w:vAlign w:val="top"/>
          </w:tcPr>
          <w:p w14:paraId="467A0460">
            <w:pPr>
              <w:rPr>
                <w:rFonts w:ascii="Arial"/>
                <w:color w:val="auto"/>
              </w:rPr>
            </w:pPr>
          </w:p>
        </w:tc>
        <w:tc>
          <w:tcPr>
            <w:tcW w:w="1343" w:type="dxa"/>
            <w:vMerge w:val="continue"/>
            <w:tcBorders>
              <w:top w:val="nil"/>
            </w:tcBorders>
            <w:noWrap w:val="0"/>
            <w:vAlign w:val="top"/>
          </w:tcPr>
          <w:p w14:paraId="56DEF916">
            <w:pPr>
              <w:rPr>
                <w:rFonts w:ascii="Arial"/>
                <w:color w:val="auto"/>
              </w:rPr>
            </w:pPr>
          </w:p>
        </w:tc>
        <w:tc>
          <w:tcPr>
            <w:tcW w:w="2324" w:type="dxa"/>
            <w:noWrap w:val="0"/>
            <w:vAlign w:val="top"/>
          </w:tcPr>
          <w:p w14:paraId="7AD3F1E4">
            <w:pPr>
              <w:pStyle w:val="871"/>
              <w:spacing w:before="64" w:line="221" w:lineRule="auto"/>
              <w:ind w:left="103"/>
              <w:rPr>
                <w:rFonts w:hint="eastAsia"/>
                <w:color w:val="auto"/>
              </w:rPr>
            </w:pPr>
            <w:r>
              <w:rPr>
                <w:color w:val="auto"/>
                <w:spacing w:val="-1"/>
              </w:rPr>
              <w:t>A10060299</w:t>
            </w:r>
            <w:r>
              <w:rPr>
                <w:color w:val="auto"/>
                <w:spacing w:val="-30"/>
              </w:rPr>
              <w:t xml:space="preserve"> </w:t>
            </w:r>
            <w:r>
              <w:rPr>
                <w:color w:val="auto"/>
                <w:spacing w:val="-1"/>
              </w:rPr>
              <w:t>其他墙面涂料</w:t>
            </w:r>
          </w:p>
        </w:tc>
        <w:tc>
          <w:tcPr>
            <w:tcW w:w="1956" w:type="dxa"/>
            <w:noWrap w:val="0"/>
            <w:vAlign w:val="top"/>
          </w:tcPr>
          <w:p w14:paraId="0E50521E">
            <w:pPr>
              <w:rPr>
                <w:rFonts w:ascii="Arial"/>
                <w:color w:val="auto"/>
              </w:rPr>
            </w:pPr>
          </w:p>
        </w:tc>
        <w:tc>
          <w:tcPr>
            <w:tcW w:w="3081" w:type="dxa"/>
            <w:noWrap w:val="0"/>
            <w:vAlign w:val="top"/>
          </w:tcPr>
          <w:p w14:paraId="79F54BBF">
            <w:pPr>
              <w:pStyle w:val="871"/>
              <w:spacing w:before="64" w:line="219" w:lineRule="auto"/>
              <w:ind w:left="109"/>
              <w:rPr>
                <w:rFonts w:hint="eastAsia"/>
                <w:color w:val="auto"/>
              </w:rPr>
            </w:pPr>
            <w:r>
              <w:rPr>
                <w:color w:val="auto"/>
                <w:spacing w:val="-1"/>
              </w:rPr>
              <w:t>HJ2537</w:t>
            </w:r>
            <w:r>
              <w:rPr>
                <w:color w:val="auto"/>
                <w:spacing w:val="-34"/>
              </w:rPr>
              <w:t xml:space="preserve"> </w:t>
            </w:r>
            <w:r>
              <w:rPr>
                <w:color w:val="auto"/>
                <w:spacing w:val="-1"/>
              </w:rPr>
              <w:t>水性涂料</w:t>
            </w:r>
          </w:p>
        </w:tc>
      </w:tr>
      <w:tr w14:paraId="6B866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0FEB4EC2">
            <w:pPr>
              <w:pStyle w:val="871"/>
              <w:spacing w:before="93" w:line="183" w:lineRule="auto"/>
              <w:ind w:left="114"/>
              <w:rPr>
                <w:rFonts w:hint="eastAsia"/>
                <w:color w:val="auto"/>
              </w:rPr>
            </w:pPr>
            <w:r>
              <w:rPr>
                <w:color w:val="auto"/>
                <w:spacing w:val="-3"/>
              </w:rPr>
              <w:t>44</w:t>
            </w:r>
          </w:p>
        </w:tc>
        <w:tc>
          <w:tcPr>
            <w:tcW w:w="1343" w:type="dxa"/>
            <w:noWrap w:val="0"/>
            <w:vAlign w:val="top"/>
          </w:tcPr>
          <w:p w14:paraId="44426DD5">
            <w:pPr>
              <w:pStyle w:val="871"/>
              <w:spacing w:before="66" w:line="283" w:lineRule="auto"/>
              <w:ind w:left="107" w:right="108" w:hanging="5"/>
              <w:rPr>
                <w:rFonts w:hint="eastAsia"/>
                <w:color w:val="auto"/>
              </w:rPr>
            </w:pPr>
            <w:r>
              <w:rPr>
                <w:color w:val="auto"/>
                <w:spacing w:val="2"/>
              </w:rPr>
              <w:t>A100604</w:t>
            </w:r>
            <w:r>
              <w:rPr>
                <w:color w:val="auto"/>
                <w:spacing w:val="44"/>
              </w:rPr>
              <w:t xml:space="preserve"> </w:t>
            </w:r>
            <w:r>
              <w:rPr>
                <w:color w:val="auto"/>
                <w:spacing w:val="2"/>
              </w:rPr>
              <w:t>防水涂</w:t>
            </w:r>
            <w:r>
              <w:rPr>
                <w:color w:val="auto"/>
              </w:rPr>
              <w:t xml:space="preserve"> 料</w:t>
            </w:r>
          </w:p>
        </w:tc>
        <w:tc>
          <w:tcPr>
            <w:tcW w:w="2324" w:type="dxa"/>
            <w:noWrap w:val="0"/>
            <w:vAlign w:val="top"/>
          </w:tcPr>
          <w:p w14:paraId="58C470FE">
            <w:pPr>
              <w:pStyle w:val="871"/>
              <w:spacing w:before="65" w:line="220" w:lineRule="auto"/>
              <w:ind w:left="103"/>
              <w:rPr>
                <w:rFonts w:hint="eastAsia"/>
                <w:color w:val="auto"/>
              </w:rPr>
            </w:pPr>
            <w:r>
              <w:rPr>
                <w:color w:val="auto"/>
                <w:spacing w:val="-1"/>
              </w:rPr>
              <w:t>A10060499</w:t>
            </w:r>
            <w:r>
              <w:rPr>
                <w:color w:val="auto"/>
                <w:spacing w:val="-30"/>
              </w:rPr>
              <w:t xml:space="preserve"> </w:t>
            </w:r>
            <w:r>
              <w:rPr>
                <w:color w:val="auto"/>
                <w:spacing w:val="-1"/>
              </w:rPr>
              <w:t>其他防水涂料</w:t>
            </w:r>
          </w:p>
        </w:tc>
        <w:tc>
          <w:tcPr>
            <w:tcW w:w="1956" w:type="dxa"/>
            <w:noWrap w:val="0"/>
            <w:vAlign w:val="top"/>
          </w:tcPr>
          <w:p w14:paraId="0EE7E71D">
            <w:pPr>
              <w:rPr>
                <w:rFonts w:ascii="Arial"/>
                <w:color w:val="auto"/>
              </w:rPr>
            </w:pPr>
          </w:p>
        </w:tc>
        <w:tc>
          <w:tcPr>
            <w:tcW w:w="3081" w:type="dxa"/>
            <w:noWrap w:val="0"/>
            <w:vAlign w:val="top"/>
          </w:tcPr>
          <w:p w14:paraId="5A888B4A">
            <w:pPr>
              <w:pStyle w:val="871"/>
              <w:spacing w:before="65" w:line="219" w:lineRule="auto"/>
              <w:ind w:left="109"/>
              <w:rPr>
                <w:rFonts w:hint="eastAsia"/>
                <w:color w:val="auto"/>
              </w:rPr>
            </w:pPr>
            <w:r>
              <w:rPr>
                <w:color w:val="auto"/>
                <w:spacing w:val="-1"/>
              </w:rPr>
              <w:t>HJ2537</w:t>
            </w:r>
            <w:r>
              <w:rPr>
                <w:color w:val="auto"/>
                <w:spacing w:val="-34"/>
              </w:rPr>
              <w:t xml:space="preserve"> </w:t>
            </w:r>
            <w:r>
              <w:rPr>
                <w:color w:val="auto"/>
                <w:spacing w:val="-1"/>
              </w:rPr>
              <w:t>水性涂料</w:t>
            </w:r>
          </w:p>
        </w:tc>
      </w:tr>
      <w:tr w14:paraId="06309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685559B2">
            <w:pPr>
              <w:pStyle w:val="871"/>
              <w:spacing w:before="94" w:line="183" w:lineRule="auto"/>
              <w:ind w:left="114"/>
              <w:rPr>
                <w:rFonts w:hint="eastAsia"/>
                <w:color w:val="auto"/>
              </w:rPr>
            </w:pPr>
            <w:r>
              <w:rPr>
                <w:color w:val="auto"/>
                <w:spacing w:val="-3"/>
              </w:rPr>
              <w:t>45</w:t>
            </w:r>
          </w:p>
        </w:tc>
        <w:tc>
          <w:tcPr>
            <w:tcW w:w="1343" w:type="dxa"/>
            <w:noWrap w:val="0"/>
            <w:vAlign w:val="top"/>
          </w:tcPr>
          <w:p w14:paraId="09A6039D">
            <w:pPr>
              <w:pStyle w:val="871"/>
              <w:spacing w:before="66" w:line="283" w:lineRule="auto"/>
              <w:ind w:left="109" w:right="108" w:hanging="7"/>
              <w:rPr>
                <w:rFonts w:hint="eastAsia"/>
                <w:color w:val="auto"/>
              </w:rPr>
            </w:pPr>
            <w:r>
              <w:rPr>
                <w:color w:val="auto"/>
                <w:spacing w:val="3"/>
              </w:rPr>
              <w:t>A100699</w:t>
            </w:r>
            <w:r>
              <w:rPr>
                <w:color w:val="auto"/>
                <w:spacing w:val="34"/>
              </w:rPr>
              <w:t xml:space="preserve"> </w:t>
            </w:r>
            <w:r>
              <w:rPr>
                <w:color w:val="auto"/>
                <w:spacing w:val="3"/>
              </w:rPr>
              <w:t>其他建</w:t>
            </w:r>
            <w:r>
              <w:rPr>
                <w:color w:val="auto"/>
                <w:spacing w:val="-2"/>
              </w:rPr>
              <w:t>筑涂料</w:t>
            </w:r>
          </w:p>
        </w:tc>
        <w:tc>
          <w:tcPr>
            <w:tcW w:w="2324" w:type="dxa"/>
            <w:noWrap w:val="0"/>
            <w:vAlign w:val="top"/>
          </w:tcPr>
          <w:p w14:paraId="60AB631B">
            <w:pPr>
              <w:rPr>
                <w:rFonts w:ascii="Arial"/>
                <w:color w:val="auto"/>
              </w:rPr>
            </w:pPr>
          </w:p>
        </w:tc>
        <w:tc>
          <w:tcPr>
            <w:tcW w:w="1956" w:type="dxa"/>
            <w:noWrap w:val="0"/>
            <w:vAlign w:val="top"/>
          </w:tcPr>
          <w:p w14:paraId="5F8D997F">
            <w:pPr>
              <w:rPr>
                <w:rFonts w:ascii="Arial"/>
                <w:color w:val="auto"/>
              </w:rPr>
            </w:pPr>
          </w:p>
        </w:tc>
        <w:tc>
          <w:tcPr>
            <w:tcW w:w="3081" w:type="dxa"/>
            <w:noWrap w:val="0"/>
            <w:vAlign w:val="top"/>
          </w:tcPr>
          <w:p w14:paraId="533F60F8">
            <w:pPr>
              <w:pStyle w:val="871"/>
              <w:spacing w:before="65" w:line="219" w:lineRule="auto"/>
              <w:ind w:left="109"/>
              <w:rPr>
                <w:rFonts w:hint="eastAsia"/>
                <w:color w:val="auto"/>
              </w:rPr>
            </w:pPr>
            <w:r>
              <w:rPr>
                <w:color w:val="auto"/>
                <w:spacing w:val="-1"/>
              </w:rPr>
              <w:t>HJ2537</w:t>
            </w:r>
            <w:r>
              <w:rPr>
                <w:color w:val="auto"/>
                <w:spacing w:val="-34"/>
              </w:rPr>
              <w:t xml:space="preserve"> </w:t>
            </w:r>
            <w:r>
              <w:rPr>
                <w:color w:val="auto"/>
                <w:spacing w:val="-1"/>
              </w:rPr>
              <w:t>水性涂料</w:t>
            </w:r>
          </w:p>
        </w:tc>
      </w:tr>
      <w:tr w14:paraId="32629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10" w:type="dxa"/>
            <w:noWrap w:val="0"/>
            <w:vAlign w:val="top"/>
          </w:tcPr>
          <w:p w14:paraId="7E5022BE">
            <w:pPr>
              <w:pStyle w:val="871"/>
              <w:spacing w:before="95" w:line="183" w:lineRule="auto"/>
              <w:ind w:left="114"/>
              <w:rPr>
                <w:rFonts w:hint="eastAsia"/>
                <w:color w:val="auto"/>
              </w:rPr>
            </w:pPr>
            <w:r>
              <w:rPr>
                <w:color w:val="auto"/>
                <w:spacing w:val="-3"/>
              </w:rPr>
              <w:t>46</w:t>
            </w:r>
          </w:p>
        </w:tc>
        <w:tc>
          <w:tcPr>
            <w:tcW w:w="1343" w:type="dxa"/>
            <w:noWrap w:val="0"/>
            <w:vAlign w:val="top"/>
          </w:tcPr>
          <w:p w14:paraId="74194983">
            <w:pPr>
              <w:pStyle w:val="871"/>
              <w:spacing w:before="66" w:line="222" w:lineRule="auto"/>
              <w:ind w:left="102"/>
              <w:rPr>
                <w:rFonts w:hint="eastAsia"/>
                <w:color w:val="auto"/>
              </w:rPr>
            </w:pPr>
            <w:r>
              <w:rPr>
                <w:color w:val="auto"/>
                <w:spacing w:val="-8"/>
              </w:rPr>
              <w:t>A100701</w:t>
            </w:r>
            <w:r>
              <w:rPr>
                <w:color w:val="auto"/>
                <w:spacing w:val="-12"/>
              </w:rPr>
              <w:t xml:space="preserve"> </w:t>
            </w:r>
            <w:r>
              <w:rPr>
                <w:color w:val="auto"/>
                <w:spacing w:val="-8"/>
              </w:rPr>
              <w:t>门、门槛</w:t>
            </w:r>
          </w:p>
        </w:tc>
        <w:tc>
          <w:tcPr>
            <w:tcW w:w="2324" w:type="dxa"/>
            <w:noWrap w:val="0"/>
            <w:vAlign w:val="top"/>
          </w:tcPr>
          <w:p w14:paraId="30C4B8B2">
            <w:pPr>
              <w:rPr>
                <w:rFonts w:ascii="Arial"/>
                <w:color w:val="auto"/>
              </w:rPr>
            </w:pPr>
          </w:p>
        </w:tc>
        <w:tc>
          <w:tcPr>
            <w:tcW w:w="1956" w:type="dxa"/>
            <w:noWrap w:val="0"/>
            <w:vAlign w:val="top"/>
          </w:tcPr>
          <w:p w14:paraId="6F784F02">
            <w:pPr>
              <w:rPr>
                <w:rFonts w:ascii="Arial"/>
                <w:color w:val="auto"/>
              </w:rPr>
            </w:pPr>
          </w:p>
        </w:tc>
        <w:tc>
          <w:tcPr>
            <w:tcW w:w="3081" w:type="dxa"/>
            <w:noWrap w:val="0"/>
            <w:vAlign w:val="top"/>
          </w:tcPr>
          <w:p w14:paraId="4D89365F">
            <w:pPr>
              <w:pStyle w:val="871"/>
              <w:spacing w:before="66" w:line="219" w:lineRule="auto"/>
              <w:ind w:left="109"/>
              <w:rPr>
                <w:rFonts w:hint="eastAsia"/>
                <w:color w:val="auto"/>
                <w:lang w:eastAsia="zh-CN"/>
              </w:rPr>
            </w:pPr>
            <w:r>
              <w:rPr>
                <w:color w:val="auto"/>
                <w:spacing w:val="-1"/>
                <w:lang w:eastAsia="zh-CN"/>
              </w:rPr>
              <w:t>HJ/T 237</w:t>
            </w:r>
            <w:r>
              <w:rPr>
                <w:color w:val="auto"/>
                <w:spacing w:val="-32"/>
                <w:lang w:eastAsia="zh-CN"/>
              </w:rPr>
              <w:t xml:space="preserve"> </w:t>
            </w:r>
            <w:r>
              <w:rPr>
                <w:color w:val="auto"/>
                <w:spacing w:val="-1"/>
                <w:lang w:eastAsia="zh-CN"/>
              </w:rPr>
              <w:t>塑料门窗/HJ459</w:t>
            </w:r>
            <w:r>
              <w:rPr>
                <w:color w:val="auto"/>
                <w:spacing w:val="-37"/>
                <w:lang w:eastAsia="zh-CN"/>
              </w:rPr>
              <w:t xml:space="preserve"> </w:t>
            </w:r>
            <w:r>
              <w:rPr>
                <w:color w:val="auto"/>
                <w:spacing w:val="-1"/>
                <w:lang w:eastAsia="zh-CN"/>
              </w:rPr>
              <w:t>木</w:t>
            </w:r>
            <w:r>
              <w:rPr>
                <w:color w:val="auto"/>
                <w:spacing w:val="-2"/>
                <w:lang w:eastAsia="zh-CN"/>
              </w:rPr>
              <w:t>质门和钢质门</w:t>
            </w:r>
          </w:p>
        </w:tc>
      </w:tr>
      <w:tr w14:paraId="467F7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noWrap w:val="0"/>
            <w:vAlign w:val="top"/>
          </w:tcPr>
          <w:p w14:paraId="39A7022D">
            <w:pPr>
              <w:pStyle w:val="871"/>
              <w:spacing w:before="95" w:line="183" w:lineRule="auto"/>
              <w:ind w:left="114"/>
              <w:rPr>
                <w:rFonts w:hint="eastAsia"/>
                <w:color w:val="auto"/>
              </w:rPr>
            </w:pPr>
            <w:r>
              <w:rPr>
                <w:color w:val="auto"/>
                <w:spacing w:val="-3"/>
              </w:rPr>
              <w:t>47</w:t>
            </w:r>
          </w:p>
        </w:tc>
        <w:tc>
          <w:tcPr>
            <w:tcW w:w="1343" w:type="dxa"/>
            <w:noWrap w:val="0"/>
            <w:vAlign w:val="top"/>
          </w:tcPr>
          <w:p w14:paraId="06EE2AE9">
            <w:pPr>
              <w:pStyle w:val="871"/>
              <w:spacing w:before="66" w:line="221" w:lineRule="auto"/>
              <w:ind w:left="102"/>
              <w:rPr>
                <w:rFonts w:hint="eastAsia"/>
                <w:color w:val="auto"/>
              </w:rPr>
            </w:pPr>
            <w:r>
              <w:rPr>
                <w:color w:val="auto"/>
                <w:spacing w:val="-1"/>
              </w:rPr>
              <w:t>A100702</w:t>
            </w:r>
            <w:r>
              <w:rPr>
                <w:color w:val="auto"/>
                <w:spacing w:val="-24"/>
              </w:rPr>
              <w:t xml:space="preserve"> </w:t>
            </w:r>
            <w:r>
              <w:rPr>
                <w:color w:val="auto"/>
                <w:spacing w:val="-1"/>
              </w:rPr>
              <w:t>窗</w:t>
            </w:r>
          </w:p>
        </w:tc>
        <w:tc>
          <w:tcPr>
            <w:tcW w:w="2324" w:type="dxa"/>
            <w:noWrap w:val="0"/>
            <w:vAlign w:val="top"/>
          </w:tcPr>
          <w:p w14:paraId="4C9EACEC">
            <w:pPr>
              <w:rPr>
                <w:rFonts w:ascii="Arial"/>
                <w:color w:val="auto"/>
              </w:rPr>
            </w:pPr>
          </w:p>
        </w:tc>
        <w:tc>
          <w:tcPr>
            <w:tcW w:w="1956" w:type="dxa"/>
            <w:noWrap w:val="0"/>
            <w:vAlign w:val="top"/>
          </w:tcPr>
          <w:p w14:paraId="7C5297D2">
            <w:pPr>
              <w:rPr>
                <w:rFonts w:ascii="Arial"/>
                <w:color w:val="auto"/>
              </w:rPr>
            </w:pPr>
          </w:p>
        </w:tc>
        <w:tc>
          <w:tcPr>
            <w:tcW w:w="3081" w:type="dxa"/>
            <w:noWrap w:val="0"/>
            <w:vAlign w:val="top"/>
          </w:tcPr>
          <w:p w14:paraId="3EE10025">
            <w:pPr>
              <w:pStyle w:val="871"/>
              <w:spacing w:before="66" w:line="219" w:lineRule="auto"/>
              <w:ind w:left="109"/>
              <w:rPr>
                <w:rFonts w:hint="eastAsia"/>
                <w:color w:val="auto"/>
              </w:rPr>
            </w:pPr>
            <w:r>
              <w:rPr>
                <w:color w:val="auto"/>
                <w:spacing w:val="-1"/>
              </w:rPr>
              <w:t>HJ/T237</w:t>
            </w:r>
            <w:r>
              <w:rPr>
                <w:color w:val="auto"/>
                <w:spacing w:val="-33"/>
              </w:rPr>
              <w:t xml:space="preserve"> </w:t>
            </w:r>
            <w:r>
              <w:rPr>
                <w:color w:val="auto"/>
                <w:spacing w:val="-1"/>
              </w:rPr>
              <w:t>塑料门窗</w:t>
            </w:r>
          </w:p>
        </w:tc>
      </w:tr>
      <w:tr w14:paraId="6C453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10" w:type="dxa"/>
            <w:noWrap w:val="0"/>
            <w:vAlign w:val="top"/>
          </w:tcPr>
          <w:p w14:paraId="5D3C4D9F">
            <w:pPr>
              <w:pStyle w:val="871"/>
              <w:spacing w:before="98" w:line="183" w:lineRule="auto"/>
              <w:ind w:left="114"/>
              <w:rPr>
                <w:rFonts w:hint="eastAsia"/>
                <w:color w:val="auto"/>
              </w:rPr>
            </w:pPr>
            <w:r>
              <w:rPr>
                <w:color w:val="auto"/>
                <w:spacing w:val="-3"/>
              </w:rPr>
              <w:t>48</w:t>
            </w:r>
          </w:p>
        </w:tc>
        <w:tc>
          <w:tcPr>
            <w:tcW w:w="1343" w:type="dxa"/>
            <w:noWrap w:val="0"/>
            <w:vAlign w:val="top"/>
          </w:tcPr>
          <w:p w14:paraId="2FF39735">
            <w:pPr>
              <w:pStyle w:val="871"/>
              <w:spacing w:before="70" w:line="282" w:lineRule="auto"/>
              <w:ind w:left="109" w:right="106" w:hanging="7"/>
              <w:rPr>
                <w:rFonts w:hint="eastAsia"/>
                <w:color w:val="auto"/>
              </w:rPr>
            </w:pPr>
            <w:r>
              <w:rPr>
                <w:color w:val="auto"/>
                <w:spacing w:val="-8"/>
              </w:rPr>
              <w:t>A170108</w:t>
            </w:r>
            <w:r>
              <w:rPr>
                <w:color w:val="auto"/>
                <w:spacing w:val="-25"/>
              </w:rPr>
              <w:t xml:space="preserve"> </w:t>
            </w:r>
            <w:r>
              <w:rPr>
                <w:color w:val="auto"/>
                <w:spacing w:val="-8"/>
              </w:rPr>
              <w:t>涂料（建</w:t>
            </w:r>
            <w:r>
              <w:rPr>
                <w:color w:val="auto"/>
              </w:rPr>
              <w:t xml:space="preserve"> </w:t>
            </w:r>
            <w:r>
              <w:rPr>
                <w:color w:val="auto"/>
                <w:spacing w:val="-2"/>
              </w:rPr>
              <w:t>筑涂料除外）</w:t>
            </w:r>
          </w:p>
        </w:tc>
        <w:tc>
          <w:tcPr>
            <w:tcW w:w="2324" w:type="dxa"/>
            <w:noWrap w:val="0"/>
            <w:vAlign w:val="top"/>
          </w:tcPr>
          <w:p w14:paraId="7609567B">
            <w:pPr>
              <w:rPr>
                <w:rFonts w:ascii="Arial"/>
                <w:color w:val="auto"/>
              </w:rPr>
            </w:pPr>
          </w:p>
        </w:tc>
        <w:tc>
          <w:tcPr>
            <w:tcW w:w="1956" w:type="dxa"/>
            <w:noWrap w:val="0"/>
            <w:vAlign w:val="top"/>
          </w:tcPr>
          <w:p w14:paraId="1C7A1AD1">
            <w:pPr>
              <w:rPr>
                <w:rFonts w:ascii="Arial"/>
                <w:color w:val="auto"/>
              </w:rPr>
            </w:pPr>
          </w:p>
        </w:tc>
        <w:tc>
          <w:tcPr>
            <w:tcW w:w="3081" w:type="dxa"/>
            <w:noWrap w:val="0"/>
            <w:vAlign w:val="top"/>
          </w:tcPr>
          <w:p w14:paraId="4047174E">
            <w:pPr>
              <w:pStyle w:val="871"/>
              <w:spacing w:before="69" w:line="219" w:lineRule="auto"/>
              <w:ind w:left="109"/>
              <w:rPr>
                <w:rFonts w:hint="eastAsia"/>
                <w:color w:val="auto"/>
              </w:rPr>
            </w:pPr>
            <w:r>
              <w:rPr>
                <w:color w:val="auto"/>
                <w:spacing w:val="-1"/>
              </w:rPr>
              <w:t>HJ2537</w:t>
            </w:r>
            <w:r>
              <w:rPr>
                <w:color w:val="auto"/>
                <w:spacing w:val="-34"/>
              </w:rPr>
              <w:t xml:space="preserve"> </w:t>
            </w:r>
            <w:r>
              <w:rPr>
                <w:color w:val="auto"/>
                <w:spacing w:val="-1"/>
              </w:rPr>
              <w:t>水性涂料</w:t>
            </w:r>
          </w:p>
        </w:tc>
      </w:tr>
      <w:tr w14:paraId="1436E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04E93CB6">
            <w:pPr>
              <w:pStyle w:val="871"/>
              <w:spacing w:before="96" w:line="183" w:lineRule="auto"/>
              <w:ind w:left="114"/>
              <w:rPr>
                <w:rFonts w:hint="eastAsia"/>
                <w:color w:val="auto"/>
              </w:rPr>
            </w:pPr>
            <w:r>
              <w:rPr>
                <w:color w:val="auto"/>
                <w:spacing w:val="-3"/>
              </w:rPr>
              <w:t>49</w:t>
            </w:r>
          </w:p>
        </w:tc>
        <w:tc>
          <w:tcPr>
            <w:tcW w:w="1343" w:type="dxa"/>
            <w:noWrap w:val="0"/>
            <w:vAlign w:val="top"/>
          </w:tcPr>
          <w:p w14:paraId="03E728AA">
            <w:pPr>
              <w:pStyle w:val="871"/>
              <w:spacing w:before="68" w:line="282" w:lineRule="auto"/>
              <w:ind w:left="109" w:right="108" w:hanging="7"/>
              <w:rPr>
                <w:rFonts w:hint="eastAsia"/>
                <w:color w:val="auto"/>
              </w:rPr>
            </w:pPr>
            <w:r>
              <w:rPr>
                <w:color w:val="auto"/>
                <w:spacing w:val="3"/>
              </w:rPr>
              <w:t>A170112</w:t>
            </w:r>
            <w:r>
              <w:rPr>
                <w:color w:val="auto"/>
                <w:spacing w:val="34"/>
              </w:rPr>
              <w:t xml:space="preserve"> </w:t>
            </w:r>
            <w:r>
              <w:rPr>
                <w:color w:val="auto"/>
                <w:spacing w:val="3"/>
              </w:rPr>
              <w:t>密封用</w:t>
            </w:r>
            <w:r>
              <w:rPr>
                <w:color w:val="auto"/>
              </w:rPr>
              <w:t xml:space="preserve"> </w:t>
            </w:r>
            <w:r>
              <w:rPr>
                <w:color w:val="auto"/>
                <w:spacing w:val="-2"/>
              </w:rPr>
              <w:t>填料及类似品</w:t>
            </w:r>
          </w:p>
        </w:tc>
        <w:tc>
          <w:tcPr>
            <w:tcW w:w="2324" w:type="dxa"/>
            <w:noWrap w:val="0"/>
            <w:vAlign w:val="top"/>
          </w:tcPr>
          <w:p w14:paraId="74CD08EC">
            <w:pPr>
              <w:rPr>
                <w:rFonts w:ascii="Arial"/>
                <w:color w:val="auto"/>
              </w:rPr>
            </w:pPr>
          </w:p>
        </w:tc>
        <w:tc>
          <w:tcPr>
            <w:tcW w:w="1956" w:type="dxa"/>
            <w:noWrap w:val="0"/>
            <w:vAlign w:val="top"/>
          </w:tcPr>
          <w:p w14:paraId="69867939">
            <w:pPr>
              <w:rPr>
                <w:rFonts w:ascii="Arial"/>
                <w:color w:val="auto"/>
              </w:rPr>
            </w:pPr>
          </w:p>
        </w:tc>
        <w:tc>
          <w:tcPr>
            <w:tcW w:w="3081" w:type="dxa"/>
            <w:noWrap w:val="0"/>
            <w:vAlign w:val="top"/>
          </w:tcPr>
          <w:p w14:paraId="4D7609C5">
            <w:pPr>
              <w:pStyle w:val="871"/>
              <w:spacing w:before="67" w:line="219" w:lineRule="auto"/>
              <w:ind w:left="109"/>
              <w:rPr>
                <w:rFonts w:hint="eastAsia"/>
                <w:color w:val="auto"/>
              </w:rPr>
            </w:pPr>
            <w:r>
              <w:rPr>
                <w:color w:val="auto"/>
                <w:spacing w:val="-1"/>
              </w:rPr>
              <w:t>HJ2541</w:t>
            </w:r>
            <w:r>
              <w:rPr>
                <w:color w:val="auto"/>
                <w:spacing w:val="-35"/>
              </w:rPr>
              <w:t xml:space="preserve"> </w:t>
            </w:r>
            <w:r>
              <w:rPr>
                <w:color w:val="auto"/>
                <w:spacing w:val="-1"/>
              </w:rPr>
              <w:t>胶粘剂</w:t>
            </w:r>
          </w:p>
        </w:tc>
      </w:tr>
      <w:tr w14:paraId="6E618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noWrap w:val="0"/>
            <w:vAlign w:val="top"/>
          </w:tcPr>
          <w:p w14:paraId="1CC97AD7">
            <w:pPr>
              <w:pStyle w:val="871"/>
              <w:spacing w:before="97" w:line="183" w:lineRule="auto"/>
              <w:ind w:left="118"/>
              <w:rPr>
                <w:rFonts w:hint="eastAsia"/>
                <w:color w:val="auto"/>
              </w:rPr>
            </w:pPr>
            <w:r>
              <w:rPr>
                <w:color w:val="auto"/>
                <w:spacing w:val="-5"/>
              </w:rPr>
              <w:t>50</w:t>
            </w:r>
          </w:p>
        </w:tc>
        <w:tc>
          <w:tcPr>
            <w:tcW w:w="1343" w:type="dxa"/>
            <w:noWrap w:val="0"/>
            <w:vAlign w:val="top"/>
          </w:tcPr>
          <w:p w14:paraId="00C9B816">
            <w:pPr>
              <w:pStyle w:val="871"/>
              <w:spacing w:before="69" w:line="284" w:lineRule="auto"/>
              <w:ind w:left="122" w:right="108" w:hanging="20"/>
              <w:rPr>
                <w:rFonts w:hint="eastAsia"/>
                <w:color w:val="auto"/>
              </w:rPr>
            </w:pPr>
            <w:r>
              <w:rPr>
                <w:color w:val="auto"/>
                <w:spacing w:val="3"/>
              </w:rPr>
              <w:t>A180201</w:t>
            </w:r>
            <w:r>
              <w:rPr>
                <w:color w:val="auto"/>
                <w:spacing w:val="34"/>
              </w:rPr>
              <w:t xml:space="preserve"> </w:t>
            </w:r>
            <w:r>
              <w:rPr>
                <w:color w:val="auto"/>
                <w:spacing w:val="3"/>
              </w:rPr>
              <w:t>塑料制</w:t>
            </w:r>
            <w:r>
              <w:rPr>
                <w:color w:val="auto"/>
              </w:rPr>
              <w:t xml:space="preserve"> 品</w:t>
            </w:r>
          </w:p>
        </w:tc>
        <w:tc>
          <w:tcPr>
            <w:tcW w:w="2324" w:type="dxa"/>
            <w:noWrap w:val="0"/>
            <w:vAlign w:val="top"/>
          </w:tcPr>
          <w:p w14:paraId="75554377">
            <w:pPr>
              <w:rPr>
                <w:rFonts w:ascii="Arial"/>
                <w:color w:val="auto"/>
              </w:rPr>
            </w:pPr>
          </w:p>
        </w:tc>
        <w:tc>
          <w:tcPr>
            <w:tcW w:w="1956" w:type="dxa"/>
            <w:noWrap w:val="0"/>
            <w:vAlign w:val="top"/>
          </w:tcPr>
          <w:p w14:paraId="2A93A2CF">
            <w:pPr>
              <w:rPr>
                <w:rFonts w:ascii="Arial"/>
                <w:color w:val="auto"/>
              </w:rPr>
            </w:pPr>
          </w:p>
        </w:tc>
        <w:tc>
          <w:tcPr>
            <w:tcW w:w="3081" w:type="dxa"/>
            <w:noWrap w:val="0"/>
            <w:vAlign w:val="top"/>
          </w:tcPr>
          <w:p w14:paraId="3769DDF7">
            <w:pPr>
              <w:pStyle w:val="871"/>
              <w:spacing w:before="69" w:line="284" w:lineRule="auto"/>
              <w:ind w:left="113" w:right="104" w:hanging="4"/>
              <w:rPr>
                <w:rFonts w:hint="eastAsia"/>
                <w:color w:val="auto"/>
              </w:rPr>
            </w:pPr>
            <w:r>
              <w:rPr>
                <w:color w:val="auto"/>
              </w:rPr>
              <w:t>HJ/T226 建筑用塑料管材/HJ/</w:t>
            </w:r>
            <w:r>
              <w:rPr>
                <w:color w:val="auto"/>
                <w:spacing w:val="-1"/>
              </w:rPr>
              <w:t>T231 再生塑</w:t>
            </w:r>
            <w:r>
              <w:rPr>
                <w:color w:val="auto"/>
              </w:rPr>
              <w:t xml:space="preserve"> </w:t>
            </w:r>
            <w:r>
              <w:rPr>
                <w:color w:val="auto"/>
                <w:spacing w:val="-2"/>
              </w:rPr>
              <w:t>料制品</w:t>
            </w:r>
          </w:p>
        </w:tc>
      </w:tr>
    </w:tbl>
    <w:p w14:paraId="75924D9E">
      <w:pPr>
        <w:spacing w:line="91" w:lineRule="auto"/>
        <w:rPr>
          <w:rFonts w:ascii="Arial"/>
          <w:color w:val="auto"/>
          <w:sz w:val="2"/>
        </w:rPr>
      </w:pPr>
    </w:p>
    <w:p w14:paraId="00803125">
      <w:pPr>
        <w:rPr>
          <w:rFonts w:hint="eastAsia" w:ascii="仿宋" w:hAnsi="仿宋" w:eastAsia="仿宋" w:cs="仿宋"/>
          <w:color w:val="auto"/>
          <w:spacing w:val="-1"/>
          <w:sz w:val="24"/>
        </w:rPr>
      </w:pPr>
      <w:r>
        <w:rPr>
          <w:rFonts w:ascii="仿宋" w:hAnsi="仿宋" w:eastAsia="仿宋" w:cs="仿宋"/>
          <w:color w:val="auto"/>
          <w:spacing w:val="-1"/>
          <w:sz w:val="24"/>
        </w:rPr>
        <w:t>注：环境标志产品认证应依据相关标准的最新版本</w:t>
      </w:r>
      <w:r>
        <w:rPr>
          <w:rFonts w:hint="eastAsia" w:ascii="仿宋" w:hAnsi="仿宋" w:eastAsia="仿宋" w:cs="仿宋"/>
          <w:color w:val="auto"/>
          <w:spacing w:val="-1"/>
          <w:sz w:val="24"/>
        </w:rPr>
        <w:t>。</w:t>
      </w:r>
    </w:p>
    <w:p w14:paraId="0FA7C241">
      <w:pPr>
        <w:adjustRightInd w:val="0"/>
        <w:spacing w:line="400" w:lineRule="exact"/>
        <w:ind w:firstLine="422" w:firstLineChars="200"/>
        <w:jc w:val="left"/>
        <w:textAlignment w:val="baseline"/>
        <w:rPr>
          <w:rFonts w:hint="eastAsia" w:hAnsi="宋体"/>
          <w:b/>
          <w:bCs/>
          <w:color w:val="auto"/>
        </w:rPr>
      </w:pPr>
    </w:p>
    <w:p w14:paraId="2DC6DC5D">
      <w:pPr>
        <w:adjustRightInd w:val="0"/>
        <w:spacing w:line="400" w:lineRule="exact"/>
        <w:ind w:firstLine="422" w:firstLineChars="200"/>
        <w:jc w:val="left"/>
        <w:textAlignment w:val="baseline"/>
        <w:rPr>
          <w:rFonts w:hint="eastAsia" w:hAnsi="宋体"/>
          <w:b/>
          <w:bCs/>
          <w:color w:val="auto"/>
        </w:rPr>
        <w:sectPr>
          <w:headerReference r:id="rId9" w:type="default"/>
          <w:pgSz w:w="11906" w:h="16838"/>
          <w:pgMar w:top="1440" w:right="566" w:bottom="1440" w:left="851" w:header="851" w:footer="992" w:gutter="0"/>
          <w:cols w:space="720" w:num="1"/>
          <w:docGrid w:linePitch="312" w:charSpace="0"/>
        </w:sectPr>
      </w:pPr>
    </w:p>
    <w:p w14:paraId="382FE21C">
      <w:pPr>
        <w:rPr>
          <w:b/>
          <w:color w:val="auto"/>
          <w:sz w:val="24"/>
        </w:rPr>
      </w:pPr>
    </w:p>
    <w:p w14:paraId="038518CB">
      <w:pPr>
        <w:pStyle w:val="3"/>
        <w:jc w:val="center"/>
        <w:rPr>
          <w:rFonts w:hint="eastAsia"/>
          <w:color w:val="auto"/>
          <w:sz w:val="30"/>
          <w:szCs w:val="30"/>
        </w:rPr>
      </w:pPr>
      <w:bookmarkStart w:id="82" w:name="_Toc21458"/>
      <w:bookmarkStart w:id="83" w:name="_Toc497578453"/>
    </w:p>
    <w:p w14:paraId="477E6143">
      <w:pPr>
        <w:pStyle w:val="3"/>
        <w:jc w:val="center"/>
        <w:rPr>
          <w:rFonts w:hint="eastAsia"/>
          <w:color w:val="auto"/>
          <w:sz w:val="30"/>
          <w:szCs w:val="30"/>
        </w:rPr>
      </w:pPr>
    </w:p>
    <w:p w14:paraId="509BB4CE">
      <w:pPr>
        <w:pStyle w:val="3"/>
        <w:jc w:val="center"/>
        <w:rPr>
          <w:rFonts w:hint="eastAsia"/>
          <w:color w:val="auto"/>
          <w:sz w:val="30"/>
          <w:szCs w:val="30"/>
        </w:rPr>
      </w:pPr>
    </w:p>
    <w:p w14:paraId="782D3298">
      <w:pPr>
        <w:pStyle w:val="3"/>
        <w:jc w:val="center"/>
        <w:rPr>
          <w:rFonts w:hint="eastAsia"/>
          <w:color w:val="auto"/>
          <w:sz w:val="30"/>
          <w:szCs w:val="30"/>
        </w:rPr>
      </w:pPr>
    </w:p>
    <w:p w14:paraId="54227A1B">
      <w:pPr>
        <w:pStyle w:val="3"/>
        <w:jc w:val="center"/>
        <w:rPr>
          <w:rFonts w:ascii="仿宋_GB2312" w:eastAsia="仿宋_GB2312"/>
          <w:b w:val="0"/>
          <w:bCs w:val="0"/>
          <w:color w:val="auto"/>
          <w:sz w:val="32"/>
          <w:szCs w:val="32"/>
        </w:rPr>
      </w:pPr>
      <w:r>
        <w:rPr>
          <w:rFonts w:hint="eastAsia"/>
          <w:color w:val="auto"/>
          <w:sz w:val="30"/>
          <w:szCs w:val="30"/>
        </w:rPr>
        <w:t>第五章 合同主要条款格式及广西壮族自治区政府采购项目合同验收书格式</w:t>
      </w:r>
      <w:bookmarkEnd w:id="82"/>
      <w:bookmarkEnd w:id="83"/>
    </w:p>
    <w:p w14:paraId="257D70A6">
      <w:pPr>
        <w:snapToGrid w:val="0"/>
        <w:jc w:val="center"/>
        <w:rPr>
          <w:rFonts w:hint="eastAsia" w:ascii="仿宋_GB2312" w:hAnsi="华文中宋" w:eastAsia="仿宋_GB2312"/>
          <w:bCs/>
          <w:color w:val="auto"/>
          <w:sz w:val="32"/>
          <w:szCs w:val="32"/>
        </w:rPr>
      </w:pPr>
    </w:p>
    <w:p w14:paraId="473A15F8">
      <w:pPr>
        <w:snapToGrid w:val="0"/>
        <w:jc w:val="center"/>
        <w:rPr>
          <w:rFonts w:hint="eastAsia" w:ascii="仿宋_GB2312" w:hAnsi="华文中宋" w:eastAsia="仿宋_GB2312"/>
          <w:bCs/>
          <w:color w:val="auto"/>
          <w:sz w:val="32"/>
          <w:szCs w:val="32"/>
        </w:rPr>
      </w:pPr>
    </w:p>
    <w:p w14:paraId="2BA16F4B">
      <w:pPr>
        <w:snapToGrid w:val="0"/>
        <w:jc w:val="center"/>
        <w:rPr>
          <w:rFonts w:hint="eastAsia" w:ascii="仿宋_GB2312" w:hAnsi="华文中宋" w:eastAsia="仿宋_GB2312"/>
          <w:bCs/>
          <w:color w:val="auto"/>
          <w:sz w:val="32"/>
          <w:szCs w:val="32"/>
        </w:rPr>
      </w:pPr>
    </w:p>
    <w:p w14:paraId="330BF78F">
      <w:pPr>
        <w:snapToGrid w:val="0"/>
        <w:jc w:val="center"/>
        <w:rPr>
          <w:rFonts w:hint="eastAsia" w:ascii="仿宋_GB2312" w:hAnsi="华文中宋" w:eastAsia="仿宋_GB2312"/>
          <w:bCs/>
          <w:color w:val="auto"/>
          <w:sz w:val="32"/>
          <w:szCs w:val="32"/>
        </w:rPr>
      </w:pPr>
    </w:p>
    <w:p w14:paraId="472F49CE">
      <w:pPr>
        <w:snapToGrid w:val="0"/>
        <w:jc w:val="center"/>
        <w:rPr>
          <w:rFonts w:hint="eastAsia" w:ascii="仿宋_GB2312" w:hAnsi="华文中宋" w:eastAsia="仿宋_GB2312"/>
          <w:bCs/>
          <w:color w:val="auto"/>
          <w:sz w:val="32"/>
          <w:szCs w:val="32"/>
        </w:rPr>
      </w:pPr>
    </w:p>
    <w:p w14:paraId="1D586B7B">
      <w:pPr>
        <w:snapToGrid w:val="0"/>
        <w:jc w:val="center"/>
        <w:rPr>
          <w:rFonts w:hint="eastAsia" w:ascii="仿宋_GB2312" w:hAnsi="华文中宋" w:eastAsia="仿宋_GB2312"/>
          <w:bCs/>
          <w:color w:val="auto"/>
          <w:sz w:val="32"/>
          <w:szCs w:val="32"/>
        </w:rPr>
      </w:pPr>
    </w:p>
    <w:p w14:paraId="48CC744B">
      <w:pPr>
        <w:snapToGrid w:val="0"/>
        <w:jc w:val="center"/>
        <w:rPr>
          <w:rFonts w:hint="eastAsia" w:ascii="仿宋_GB2312" w:hAnsi="华文中宋" w:eastAsia="仿宋_GB2312"/>
          <w:bCs/>
          <w:color w:val="auto"/>
          <w:sz w:val="32"/>
          <w:szCs w:val="32"/>
        </w:rPr>
      </w:pPr>
    </w:p>
    <w:p w14:paraId="71453F5C">
      <w:pPr>
        <w:snapToGrid w:val="0"/>
        <w:rPr>
          <w:rFonts w:hint="eastAsia" w:ascii="仿宋_GB2312" w:hAnsi="华文中宋" w:eastAsia="仿宋_GB2312"/>
          <w:bCs/>
          <w:color w:val="auto"/>
          <w:sz w:val="32"/>
          <w:szCs w:val="32"/>
        </w:rPr>
      </w:pPr>
    </w:p>
    <w:p w14:paraId="2D18A036">
      <w:pPr>
        <w:snapToGrid w:val="0"/>
        <w:rPr>
          <w:rFonts w:hint="eastAsia" w:ascii="仿宋_GB2312" w:hAnsi="华文中宋" w:eastAsia="仿宋_GB2312"/>
          <w:bCs/>
          <w:color w:val="auto"/>
          <w:sz w:val="32"/>
          <w:szCs w:val="32"/>
        </w:rPr>
      </w:pPr>
    </w:p>
    <w:p w14:paraId="348B2E66">
      <w:pPr>
        <w:snapToGrid w:val="0"/>
        <w:jc w:val="left"/>
        <w:rPr>
          <w:rFonts w:ascii="仿宋_GB2312" w:eastAsia="仿宋_GB2312"/>
          <w:b/>
          <w:color w:val="auto"/>
          <w:sz w:val="24"/>
        </w:rPr>
      </w:pPr>
      <w:r>
        <w:rPr>
          <w:rFonts w:hint="eastAsia" w:ascii="仿宋_GB2312" w:eastAsia="仿宋_GB2312"/>
          <w:b/>
          <w:color w:val="auto"/>
          <w:sz w:val="24"/>
        </w:rPr>
        <w:br w:type="page"/>
      </w:r>
      <w:bookmarkStart w:id="84" w:name="_Hlk93681122"/>
    </w:p>
    <w:p w14:paraId="4213A3CF">
      <w:pPr>
        <w:snapToGrid w:val="0"/>
        <w:ind w:firstLine="482" w:firstLineChars="200"/>
        <w:jc w:val="left"/>
        <w:rPr>
          <w:rFonts w:ascii="仿宋_GB2312" w:eastAsia="仿宋_GB2312"/>
          <w:b/>
          <w:color w:val="auto"/>
          <w:sz w:val="24"/>
        </w:rPr>
      </w:pPr>
      <w:r>
        <w:rPr>
          <w:rFonts w:hint="eastAsia" w:ascii="仿宋_GB2312" w:eastAsia="仿宋_GB2312"/>
          <w:b/>
          <w:color w:val="auto"/>
          <w:sz w:val="24"/>
        </w:rPr>
        <w:t>合同使用说明：本合同</w:t>
      </w:r>
      <w:r>
        <w:rPr>
          <w:rFonts w:ascii="仿宋_GB2312" w:eastAsia="仿宋_GB2312"/>
          <w:b/>
          <w:color w:val="auto"/>
          <w:sz w:val="24"/>
        </w:rPr>
        <w:t>为中小企业</w:t>
      </w:r>
      <w:r>
        <w:rPr>
          <w:rFonts w:hint="eastAsia" w:ascii="仿宋_GB2312" w:eastAsia="仿宋_GB2312"/>
          <w:b/>
          <w:color w:val="auto"/>
          <w:sz w:val="24"/>
        </w:rPr>
        <w:t>预留合同。</w:t>
      </w:r>
    </w:p>
    <w:p w14:paraId="27883B65">
      <w:pPr>
        <w:pStyle w:val="26"/>
        <w:spacing w:line="400" w:lineRule="exact"/>
        <w:jc w:val="left"/>
        <w:rPr>
          <w:b/>
          <w:color w:val="auto"/>
          <w:sz w:val="32"/>
        </w:rPr>
      </w:pPr>
    </w:p>
    <w:p w14:paraId="0380B8D4">
      <w:pPr>
        <w:snapToGrid w:val="0"/>
        <w:jc w:val="center"/>
        <w:rPr>
          <w:rFonts w:hint="eastAsia" w:ascii="仿宋_GB2312" w:hAnsi="宋体" w:eastAsia="仿宋_GB2312"/>
          <w:b/>
          <w:bCs/>
          <w:color w:val="auto"/>
          <w:sz w:val="44"/>
          <w:szCs w:val="44"/>
        </w:rPr>
      </w:pPr>
      <w:r>
        <w:rPr>
          <w:rFonts w:hint="eastAsia" w:ascii="仿宋_GB2312" w:hAnsi="宋体" w:eastAsia="仿宋_GB2312"/>
          <w:b/>
          <w:bCs/>
          <w:color w:val="auto"/>
          <w:sz w:val="44"/>
          <w:szCs w:val="44"/>
        </w:rPr>
        <w:t>政府采购合同</w:t>
      </w:r>
    </w:p>
    <w:p w14:paraId="511F7131">
      <w:pPr>
        <w:snapToGrid w:val="0"/>
        <w:jc w:val="center"/>
        <w:rPr>
          <w:rFonts w:hint="eastAsia" w:ascii="仿宋_GB2312" w:hAnsi="宋体" w:eastAsia="仿宋_GB2312"/>
          <w:b/>
          <w:bCs/>
          <w:color w:val="auto"/>
          <w:sz w:val="36"/>
          <w:szCs w:val="36"/>
        </w:rPr>
      </w:pPr>
      <w:r>
        <w:rPr>
          <w:rFonts w:hint="eastAsia" w:ascii="仿宋_GB2312" w:hAnsi="宋体" w:eastAsia="仿宋_GB2312"/>
          <w:b/>
          <w:bCs/>
          <w:color w:val="auto"/>
          <w:sz w:val="36"/>
          <w:szCs w:val="36"/>
        </w:rPr>
        <w:t>（一般货物类）</w:t>
      </w:r>
    </w:p>
    <w:p w14:paraId="4A007099">
      <w:pPr>
        <w:wordWrap w:val="0"/>
        <w:snapToGrid w:val="0"/>
        <w:jc w:val="right"/>
        <w:rPr>
          <w:rFonts w:hint="eastAsia" w:ascii="仿宋_GB2312" w:hAnsi="宋体" w:eastAsia="仿宋_GB2312"/>
          <w:bCs/>
          <w:color w:val="auto"/>
          <w:sz w:val="24"/>
          <w:u w:val="single"/>
        </w:rPr>
      </w:pPr>
      <w:r>
        <w:rPr>
          <w:rFonts w:hint="eastAsia" w:ascii="仿宋_GB2312" w:hAnsi="宋体" w:eastAsia="仿宋_GB2312"/>
          <w:bCs/>
          <w:color w:val="auto"/>
          <w:sz w:val="24"/>
        </w:rPr>
        <w:t xml:space="preserve">合同编号：            </w:t>
      </w:r>
    </w:p>
    <w:p w14:paraId="56C8B86F">
      <w:pPr>
        <w:snapToGrid w:val="0"/>
        <w:rPr>
          <w:rFonts w:hint="eastAsia" w:ascii="仿宋_GB2312" w:hAnsi="宋体" w:eastAsia="仿宋_GB2312"/>
          <w:color w:val="auto"/>
          <w:sz w:val="24"/>
        </w:rPr>
      </w:pPr>
    </w:p>
    <w:p w14:paraId="2F0089D7">
      <w:pPr>
        <w:snapToGrid w:val="0"/>
        <w:spacing w:line="320" w:lineRule="exact"/>
        <w:ind w:right="-470" w:rightChars="-224"/>
        <w:rPr>
          <w:rFonts w:hint="eastAsia" w:ascii="仿宋_GB2312" w:hAnsi="宋体" w:eastAsia="仿宋_GB2312"/>
          <w:color w:val="auto"/>
          <w:sz w:val="24"/>
          <w:u w:val="single"/>
        </w:rPr>
      </w:pPr>
      <w:r>
        <w:rPr>
          <w:rFonts w:hint="eastAsia" w:ascii="仿宋_GB2312" w:hAnsi="宋体" w:eastAsia="仿宋_GB2312"/>
          <w:color w:val="auto"/>
          <w:sz w:val="24"/>
        </w:rPr>
        <w:t>采购单位（甲方）：</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rPr>
        <w:t>采购计划表编号：</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p>
    <w:p w14:paraId="5D66BF41">
      <w:pPr>
        <w:snapToGrid w:val="0"/>
        <w:spacing w:line="320" w:lineRule="exact"/>
        <w:ind w:right="-470" w:rightChars="-224"/>
        <w:rPr>
          <w:rFonts w:hint="eastAsia" w:ascii="仿宋_GB2312" w:hAnsi="宋体" w:eastAsia="仿宋_GB2312"/>
          <w:color w:val="auto"/>
          <w:sz w:val="24"/>
          <w:u w:val="single"/>
        </w:rPr>
      </w:pPr>
      <w:r>
        <w:rPr>
          <w:rFonts w:hint="eastAsia" w:ascii="仿宋_GB2312" w:hAnsi="宋体" w:eastAsia="仿宋_GB2312"/>
          <w:color w:val="auto"/>
          <w:sz w:val="24"/>
        </w:rPr>
        <w:t>供 应 商（乙方）：</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项目名称及编号</w:t>
      </w:r>
      <w:r>
        <w:rPr>
          <w:rFonts w:hint="eastAsia" w:ascii="仿宋_GB2312" w:hAnsi="宋体" w:eastAsia="仿宋_GB2312"/>
          <w:color w:val="auto"/>
          <w:spacing w:val="-20"/>
          <w:sz w:val="24"/>
        </w:rPr>
        <w:t>：</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4B8F24F8">
      <w:pPr>
        <w:snapToGrid w:val="0"/>
        <w:spacing w:line="320" w:lineRule="exact"/>
        <w:ind w:right="-470" w:rightChars="-224"/>
        <w:rPr>
          <w:rFonts w:hint="eastAsia" w:ascii="仿宋_GB2312" w:hAnsi="宋体" w:eastAsia="仿宋_GB2312"/>
          <w:color w:val="auto"/>
          <w:sz w:val="24"/>
          <w:u w:val="single"/>
        </w:rPr>
      </w:pPr>
      <w:r>
        <w:rPr>
          <w:rFonts w:hint="eastAsia" w:ascii="仿宋_GB2312" w:hAnsi="宋体" w:eastAsia="仿宋_GB2312"/>
          <w:color w:val="auto"/>
          <w:sz w:val="24"/>
        </w:rPr>
        <w:t>签  订  地  点 ：</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pacing w:val="38"/>
          <w:sz w:val="24"/>
        </w:rPr>
        <w:t>签订时间：</w:t>
      </w:r>
      <w:r>
        <w:rPr>
          <w:rFonts w:hint="eastAsia" w:ascii="仿宋_GB2312" w:hAnsi="宋体" w:eastAsia="仿宋_GB2312"/>
          <w:color w:val="auto"/>
          <w:sz w:val="24"/>
          <w:u w:val="single"/>
        </w:rPr>
        <w:t xml:space="preserve">     年   月   日   </w:t>
      </w:r>
    </w:p>
    <w:p w14:paraId="6FE00B70">
      <w:pPr>
        <w:snapToGrid w:val="0"/>
        <w:spacing w:line="32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根据《中华人民共和国政府采购法》、《</w:t>
      </w:r>
      <w:r>
        <w:rPr>
          <w:rFonts w:hint="eastAsia" w:ascii="仿宋_GB2312" w:eastAsia="仿宋_GB2312"/>
          <w:color w:val="auto"/>
          <w:sz w:val="24"/>
        </w:rPr>
        <w:t>中华人民共和国民法典</w:t>
      </w:r>
      <w:r>
        <w:rPr>
          <w:rFonts w:hint="eastAsia" w:ascii="仿宋_GB2312" w:hAnsi="宋体" w:eastAsia="仿宋_GB2312"/>
          <w:color w:val="auto"/>
          <w:sz w:val="24"/>
        </w:rPr>
        <w:t>》等法律、法规规定，按照招投标文件（采购文件）规定条款和中标（成交）供应商承诺，甲乙双方签订本合同。</w:t>
      </w:r>
    </w:p>
    <w:p w14:paraId="1E67141C">
      <w:pPr>
        <w:snapToGrid w:val="0"/>
        <w:spacing w:line="320" w:lineRule="exact"/>
        <w:ind w:right="-470" w:rightChars="-224" w:firstLine="482" w:firstLineChars="200"/>
        <w:rPr>
          <w:rFonts w:hint="eastAsia" w:ascii="仿宋_GB2312" w:hAnsi="宋体" w:eastAsia="仿宋_GB2312"/>
          <w:b/>
          <w:color w:val="auto"/>
          <w:sz w:val="24"/>
        </w:rPr>
      </w:pPr>
      <w:r>
        <w:rPr>
          <w:rFonts w:hint="eastAsia" w:ascii="仿宋_GB2312" w:eastAsia="仿宋_GB2312"/>
          <w:b/>
          <w:color w:val="auto"/>
          <w:sz w:val="24"/>
        </w:rPr>
        <w:t xml:space="preserve"> </w:t>
      </w:r>
      <w:r>
        <w:rPr>
          <w:rFonts w:hint="eastAsia" w:ascii="仿宋_GB2312" w:hAnsi="宋体" w:eastAsia="仿宋_GB2312"/>
          <w:b/>
          <w:color w:val="auto"/>
          <w:sz w:val="24"/>
        </w:rPr>
        <w:t>第一条　合同标的</w:t>
      </w:r>
    </w:p>
    <w:p w14:paraId="0C4D28B6">
      <w:pPr>
        <w:snapToGrid w:val="0"/>
        <w:spacing w:line="32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1.供货一览表</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14:paraId="6415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noWrap w:val="0"/>
            <w:vAlign w:val="center"/>
          </w:tcPr>
          <w:p w14:paraId="6725F8C2">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序号</w:t>
            </w:r>
          </w:p>
        </w:tc>
        <w:tc>
          <w:tcPr>
            <w:tcW w:w="1207" w:type="dxa"/>
            <w:noWrap w:val="0"/>
            <w:vAlign w:val="center"/>
          </w:tcPr>
          <w:p w14:paraId="17AE9429">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产品名称</w:t>
            </w:r>
          </w:p>
        </w:tc>
        <w:tc>
          <w:tcPr>
            <w:tcW w:w="1134" w:type="dxa"/>
            <w:noWrap w:val="0"/>
            <w:vAlign w:val="center"/>
          </w:tcPr>
          <w:p w14:paraId="788EBFD6">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商标品牌</w:t>
            </w:r>
          </w:p>
        </w:tc>
        <w:tc>
          <w:tcPr>
            <w:tcW w:w="1037" w:type="dxa"/>
            <w:noWrap w:val="0"/>
            <w:vAlign w:val="center"/>
          </w:tcPr>
          <w:p w14:paraId="50F1479C">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规格型号</w:t>
            </w:r>
          </w:p>
        </w:tc>
        <w:tc>
          <w:tcPr>
            <w:tcW w:w="1161" w:type="dxa"/>
            <w:noWrap w:val="0"/>
            <w:vAlign w:val="center"/>
          </w:tcPr>
          <w:p w14:paraId="204B3803">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生产厂家</w:t>
            </w:r>
          </w:p>
        </w:tc>
        <w:tc>
          <w:tcPr>
            <w:tcW w:w="903" w:type="dxa"/>
            <w:noWrap w:val="0"/>
            <w:vAlign w:val="center"/>
          </w:tcPr>
          <w:p w14:paraId="22F39797">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数量</w:t>
            </w:r>
          </w:p>
        </w:tc>
        <w:tc>
          <w:tcPr>
            <w:tcW w:w="892" w:type="dxa"/>
            <w:noWrap w:val="0"/>
            <w:vAlign w:val="center"/>
          </w:tcPr>
          <w:p w14:paraId="2D07B092">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单位</w:t>
            </w:r>
          </w:p>
        </w:tc>
        <w:tc>
          <w:tcPr>
            <w:tcW w:w="1422" w:type="dxa"/>
            <w:noWrap w:val="0"/>
            <w:vAlign w:val="center"/>
          </w:tcPr>
          <w:p w14:paraId="4CEC2424">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单价（元）</w:t>
            </w:r>
          </w:p>
        </w:tc>
        <w:tc>
          <w:tcPr>
            <w:tcW w:w="1418" w:type="dxa"/>
            <w:noWrap w:val="0"/>
            <w:vAlign w:val="center"/>
          </w:tcPr>
          <w:p w14:paraId="33F79A2E">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金额（元）</w:t>
            </w:r>
          </w:p>
        </w:tc>
      </w:tr>
      <w:tr w14:paraId="4F78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noWrap w:val="0"/>
            <w:vAlign w:val="center"/>
          </w:tcPr>
          <w:p w14:paraId="033B134E">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1</w:t>
            </w:r>
          </w:p>
        </w:tc>
        <w:tc>
          <w:tcPr>
            <w:tcW w:w="1207" w:type="dxa"/>
            <w:noWrap w:val="0"/>
            <w:vAlign w:val="center"/>
          </w:tcPr>
          <w:p w14:paraId="65E054EE">
            <w:pPr>
              <w:snapToGrid w:val="0"/>
              <w:spacing w:line="320" w:lineRule="exact"/>
              <w:jc w:val="center"/>
              <w:rPr>
                <w:rFonts w:hint="eastAsia" w:ascii="仿宋_GB2312" w:hAnsi="宋体" w:eastAsia="仿宋_GB2312"/>
                <w:color w:val="auto"/>
                <w:sz w:val="24"/>
              </w:rPr>
            </w:pPr>
          </w:p>
        </w:tc>
        <w:tc>
          <w:tcPr>
            <w:tcW w:w="1134" w:type="dxa"/>
            <w:noWrap w:val="0"/>
            <w:vAlign w:val="center"/>
          </w:tcPr>
          <w:p w14:paraId="036AB855">
            <w:pPr>
              <w:snapToGrid w:val="0"/>
              <w:spacing w:line="320" w:lineRule="exact"/>
              <w:jc w:val="center"/>
              <w:rPr>
                <w:rFonts w:hint="eastAsia" w:ascii="仿宋_GB2312" w:hAnsi="宋体" w:eastAsia="仿宋_GB2312"/>
                <w:color w:val="auto"/>
                <w:sz w:val="24"/>
              </w:rPr>
            </w:pPr>
          </w:p>
        </w:tc>
        <w:tc>
          <w:tcPr>
            <w:tcW w:w="1037" w:type="dxa"/>
            <w:noWrap w:val="0"/>
            <w:vAlign w:val="center"/>
          </w:tcPr>
          <w:p w14:paraId="06EA972D">
            <w:pPr>
              <w:snapToGrid w:val="0"/>
              <w:spacing w:line="320" w:lineRule="exact"/>
              <w:jc w:val="center"/>
              <w:rPr>
                <w:rFonts w:hint="eastAsia" w:ascii="仿宋_GB2312" w:hAnsi="宋体" w:eastAsia="仿宋_GB2312"/>
                <w:color w:val="auto"/>
                <w:sz w:val="24"/>
              </w:rPr>
            </w:pPr>
          </w:p>
        </w:tc>
        <w:tc>
          <w:tcPr>
            <w:tcW w:w="1161" w:type="dxa"/>
            <w:noWrap w:val="0"/>
            <w:vAlign w:val="center"/>
          </w:tcPr>
          <w:p w14:paraId="6A58CAD7">
            <w:pPr>
              <w:snapToGrid w:val="0"/>
              <w:spacing w:line="320" w:lineRule="exact"/>
              <w:jc w:val="center"/>
              <w:rPr>
                <w:rFonts w:hint="eastAsia" w:ascii="仿宋_GB2312" w:hAnsi="宋体" w:eastAsia="仿宋_GB2312"/>
                <w:color w:val="auto"/>
                <w:sz w:val="24"/>
              </w:rPr>
            </w:pPr>
          </w:p>
        </w:tc>
        <w:tc>
          <w:tcPr>
            <w:tcW w:w="903" w:type="dxa"/>
            <w:noWrap w:val="0"/>
            <w:vAlign w:val="center"/>
          </w:tcPr>
          <w:p w14:paraId="3394DE10">
            <w:pPr>
              <w:snapToGrid w:val="0"/>
              <w:spacing w:line="320" w:lineRule="exact"/>
              <w:jc w:val="center"/>
              <w:rPr>
                <w:rFonts w:hint="eastAsia" w:ascii="仿宋_GB2312" w:hAnsi="宋体" w:eastAsia="仿宋_GB2312"/>
                <w:color w:val="auto"/>
                <w:sz w:val="24"/>
              </w:rPr>
            </w:pPr>
          </w:p>
        </w:tc>
        <w:tc>
          <w:tcPr>
            <w:tcW w:w="892" w:type="dxa"/>
            <w:noWrap w:val="0"/>
            <w:vAlign w:val="center"/>
          </w:tcPr>
          <w:p w14:paraId="1C0BD8DD">
            <w:pPr>
              <w:snapToGrid w:val="0"/>
              <w:spacing w:line="320" w:lineRule="exact"/>
              <w:jc w:val="center"/>
              <w:rPr>
                <w:rFonts w:hint="eastAsia" w:ascii="仿宋_GB2312" w:hAnsi="宋体" w:eastAsia="仿宋_GB2312"/>
                <w:color w:val="auto"/>
                <w:sz w:val="24"/>
              </w:rPr>
            </w:pPr>
          </w:p>
        </w:tc>
        <w:tc>
          <w:tcPr>
            <w:tcW w:w="1422" w:type="dxa"/>
            <w:noWrap w:val="0"/>
            <w:vAlign w:val="center"/>
          </w:tcPr>
          <w:p w14:paraId="26BA34C5">
            <w:pPr>
              <w:snapToGrid w:val="0"/>
              <w:spacing w:line="320" w:lineRule="exact"/>
              <w:jc w:val="center"/>
              <w:rPr>
                <w:rFonts w:hint="eastAsia" w:ascii="仿宋_GB2312" w:hAnsi="宋体" w:eastAsia="仿宋_GB2312"/>
                <w:color w:val="auto"/>
                <w:sz w:val="24"/>
              </w:rPr>
            </w:pPr>
          </w:p>
        </w:tc>
        <w:tc>
          <w:tcPr>
            <w:tcW w:w="1418" w:type="dxa"/>
            <w:noWrap w:val="0"/>
            <w:vAlign w:val="center"/>
          </w:tcPr>
          <w:p w14:paraId="1E5AAD97">
            <w:pPr>
              <w:snapToGrid w:val="0"/>
              <w:spacing w:line="320" w:lineRule="exact"/>
              <w:jc w:val="center"/>
              <w:rPr>
                <w:rFonts w:hint="eastAsia" w:ascii="仿宋_GB2312" w:hAnsi="宋体" w:eastAsia="仿宋_GB2312"/>
                <w:color w:val="auto"/>
                <w:sz w:val="24"/>
              </w:rPr>
            </w:pPr>
          </w:p>
        </w:tc>
      </w:tr>
      <w:tr w14:paraId="1D31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noWrap w:val="0"/>
            <w:vAlign w:val="center"/>
          </w:tcPr>
          <w:p w14:paraId="61D5B745">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2</w:t>
            </w:r>
          </w:p>
        </w:tc>
        <w:tc>
          <w:tcPr>
            <w:tcW w:w="1207" w:type="dxa"/>
            <w:noWrap w:val="0"/>
            <w:vAlign w:val="center"/>
          </w:tcPr>
          <w:p w14:paraId="2E89D67F">
            <w:pPr>
              <w:snapToGrid w:val="0"/>
              <w:spacing w:line="320" w:lineRule="exact"/>
              <w:jc w:val="center"/>
              <w:rPr>
                <w:rFonts w:hint="eastAsia" w:ascii="仿宋_GB2312" w:hAnsi="宋体" w:eastAsia="仿宋_GB2312"/>
                <w:color w:val="auto"/>
                <w:sz w:val="24"/>
              </w:rPr>
            </w:pPr>
          </w:p>
        </w:tc>
        <w:tc>
          <w:tcPr>
            <w:tcW w:w="1134" w:type="dxa"/>
            <w:noWrap w:val="0"/>
            <w:vAlign w:val="center"/>
          </w:tcPr>
          <w:p w14:paraId="2A1161E9">
            <w:pPr>
              <w:snapToGrid w:val="0"/>
              <w:spacing w:line="320" w:lineRule="exact"/>
              <w:jc w:val="center"/>
              <w:rPr>
                <w:rFonts w:hint="eastAsia" w:ascii="仿宋_GB2312" w:hAnsi="宋体" w:eastAsia="仿宋_GB2312"/>
                <w:color w:val="auto"/>
                <w:sz w:val="24"/>
              </w:rPr>
            </w:pPr>
          </w:p>
        </w:tc>
        <w:tc>
          <w:tcPr>
            <w:tcW w:w="1037" w:type="dxa"/>
            <w:noWrap w:val="0"/>
            <w:vAlign w:val="center"/>
          </w:tcPr>
          <w:p w14:paraId="225C2D59">
            <w:pPr>
              <w:snapToGrid w:val="0"/>
              <w:spacing w:line="320" w:lineRule="exact"/>
              <w:jc w:val="center"/>
              <w:rPr>
                <w:rFonts w:hint="eastAsia" w:ascii="仿宋_GB2312" w:hAnsi="宋体" w:eastAsia="仿宋_GB2312"/>
                <w:color w:val="auto"/>
                <w:sz w:val="24"/>
              </w:rPr>
            </w:pPr>
          </w:p>
        </w:tc>
        <w:tc>
          <w:tcPr>
            <w:tcW w:w="1161" w:type="dxa"/>
            <w:noWrap w:val="0"/>
            <w:vAlign w:val="center"/>
          </w:tcPr>
          <w:p w14:paraId="22FDD7A5">
            <w:pPr>
              <w:snapToGrid w:val="0"/>
              <w:spacing w:line="320" w:lineRule="exact"/>
              <w:jc w:val="center"/>
              <w:rPr>
                <w:rFonts w:hint="eastAsia" w:ascii="仿宋_GB2312" w:hAnsi="宋体" w:eastAsia="仿宋_GB2312"/>
                <w:color w:val="auto"/>
                <w:sz w:val="24"/>
              </w:rPr>
            </w:pPr>
          </w:p>
        </w:tc>
        <w:tc>
          <w:tcPr>
            <w:tcW w:w="903" w:type="dxa"/>
            <w:noWrap w:val="0"/>
            <w:vAlign w:val="center"/>
          </w:tcPr>
          <w:p w14:paraId="44F3914C">
            <w:pPr>
              <w:snapToGrid w:val="0"/>
              <w:spacing w:line="320" w:lineRule="exact"/>
              <w:jc w:val="center"/>
              <w:rPr>
                <w:rFonts w:hint="eastAsia" w:ascii="仿宋_GB2312" w:hAnsi="宋体" w:eastAsia="仿宋_GB2312"/>
                <w:color w:val="auto"/>
                <w:sz w:val="24"/>
              </w:rPr>
            </w:pPr>
          </w:p>
        </w:tc>
        <w:tc>
          <w:tcPr>
            <w:tcW w:w="892" w:type="dxa"/>
            <w:noWrap w:val="0"/>
            <w:vAlign w:val="center"/>
          </w:tcPr>
          <w:p w14:paraId="6293DA13">
            <w:pPr>
              <w:snapToGrid w:val="0"/>
              <w:spacing w:line="320" w:lineRule="exact"/>
              <w:jc w:val="center"/>
              <w:rPr>
                <w:rFonts w:hint="eastAsia" w:ascii="仿宋_GB2312" w:hAnsi="宋体" w:eastAsia="仿宋_GB2312"/>
                <w:color w:val="auto"/>
                <w:sz w:val="24"/>
              </w:rPr>
            </w:pPr>
          </w:p>
        </w:tc>
        <w:tc>
          <w:tcPr>
            <w:tcW w:w="1422" w:type="dxa"/>
            <w:noWrap w:val="0"/>
            <w:vAlign w:val="center"/>
          </w:tcPr>
          <w:p w14:paraId="1702A08F">
            <w:pPr>
              <w:snapToGrid w:val="0"/>
              <w:spacing w:line="320" w:lineRule="exact"/>
              <w:jc w:val="center"/>
              <w:rPr>
                <w:rFonts w:hint="eastAsia" w:ascii="仿宋_GB2312" w:hAnsi="宋体" w:eastAsia="仿宋_GB2312"/>
                <w:color w:val="auto"/>
                <w:sz w:val="24"/>
              </w:rPr>
            </w:pPr>
          </w:p>
        </w:tc>
        <w:tc>
          <w:tcPr>
            <w:tcW w:w="1418" w:type="dxa"/>
            <w:noWrap w:val="0"/>
            <w:vAlign w:val="center"/>
          </w:tcPr>
          <w:p w14:paraId="7BBE33A2">
            <w:pPr>
              <w:snapToGrid w:val="0"/>
              <w:spacing w:line="320" w:lineRule="exact"/>
              <w:jc w:val="center"/>
              <w:rPr>
                <w:rFonts w:hint="eastAsia" w:ascii="仿宋_GB2312" w:hAnsi="宋体" w:eastAsia="仿宋_GB2312"/>
                <w:color w:val="auto"/>
                <w:sz w:val="24"/>
              </w:rPr>
            </w:pPr>
          </w:p>
        </w:tc>
      </w:tr>
      <w:tr w14:paraId="63AE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noWrap w:val="0"/>
            <w:vAlign w:val="center"/>
          </w:tcPr>
          <w:p w14:paraId="539296B4">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w:t>
            </w:r>
          </w:p>
        </w:tc>
        <w:tc>
          <w:tcPr>
            <w:tcW w:w="1207" w:type="dxa"/>
            <w:noWrap w:val="0"/>
            <w:vAlign w:val="center"/>
          </w:tcPr>
          <w:p w14:paraId="578B75D9">
            <w:pPr>
              <w:snapToGrid w:val="0"/>
              <w:spacing w:line="320" w:lineRule="exact"/>
              <w:jc w:val="center"/>
              <w:rPr>
                <w:rFonts w:hint="eastAsia" w:ascii="仿宋_GB2312" w:hAnsi="宋体" w:eastAsia="仿宋_GB2312"/>
                <w:color w:val="auto"/>
                <w:sz w:val="24"/>
              </w:rPr>
            </w:pPr>
          </w:p>
        </w:tc>
        <w:tc>
          <w:tcPr>
            <w:tcW w:w="1134" w:type="dxa"/>
            <w:noWrap w:val="0"/>
            <w:vAlign w:val="center"/>
          </w:tcPr>
          <w:p w14:paraId="095B79D3">
            <w:pPr>
              <w:snapToGrid w:val="0"/>
              <w:spacing w:line="320" w:lineRule="exact"/>
              <w:jc w:val="center"/>
              <w:rPr>
                <w:rFonts w:hint="eastAsia" w:ascii="仿宋_GB2312" w:hAnsi="宋体" w:eastAsia="仿宋_GB2312"/>
                <w:color w:val="auto"/>
                <w:sz w:val="24"/>
              </w:rPr>
            </w:pPr>
          </w:p>
        </w:tc>
        <w:tc>
          <w:tcPr>
            <w:tcW w:w="1037" w:type="dxa"/>
            <w:noWrap w:val="0"/>
            <w:vAlign w:val="center"/>
          </w:tcPr>
          <w:p w14:paraId="043EA14A">
            <w:pPr>
              <w:snapToGrid w:val="0"/>
              <w:spacing w:line="320" w:lineRule="exact"/>
              <w:jc w:val="center"/>
              <w:rPr>
                <w:rFonts w:hint="eastAsia" w:ascii="仿宋_GB2312" w:hAnsi="宋体" w:eastAsia="仿宋_GB2312"/>
                <w:color w:val="auto"/>
                <w:sz w:val="24"/>
              </w:rPr>
            </w:pPr>
          </w:p>
        </w:tc>
        <w:tc>
          <w:tcPr>
            <w:tcW w:w="1161" w:type="dxa"/>
            <w:noWrap w:val="0"/>
            <w:vAlign w:val="center"/>
          </w:tcPr>
          <w:p w14:paraId="2F28E6D6">
            <w:pPr>
              <w:snapToGrid w:val="0"/>
              <w:spacing w:line="320" w:lineRule="exact"/>
              <w:jc w:val="center"/>
              <w:rPr>
                <w:rFonts w:hint="eastAsia" w:ascii="仿宋_GB2312" w:hAnsi="宋体" w:eastAsia="仿宋_GB2312"/>
                <w:color w:val="auto"/>
                <w:sz w:val="24"/>
              </w:rPr>
            </w:pPr>
          </w:p>
        </w:tc>
        <w:tc>
          <w:tcPr>
            <w:tcW w:w="903" w:type="dxa"/>
            <w:noWrap w:val="0"/>
            <w:vAlign w:val="center"/>
          </w:tcPr>
          <w:p w14:paraId="118DC65A">
            <w:pPr>
              <w:snapToGrid w:val="0"/>
              <w:spacing w:line="320" w:lineRule="exact"/>
              <w:jc w:val="center"/>
              <w:rPr>
                <w:rFonts w:hint="eastAsia" w:ascii="仿宋_GB2312" w:hAnsi="宋体" w:eastAsia="仿宋_GB2312"/>
                <w:color w:val="auto"/>
                <w:sz w:val="24"/>
              </w:rPr>
            </w:pPr>
          </w:p>
        </w:tc>
        <w:tc>
          <w:tcPr>
            <w:tcW w:w="892" w:type="dxa"/>
            <w:noWrap w:val="0"/>
            <w:vAlign w:val="center"/>
          </w:tcPr>
          <w:p w14:paraId="17B9177B">
            <w:pPr>
              <w:snapToGrid w:val="0"/>
              <w:spacing w:line="320" w:lineRule="exact"/>
              <w:jc w:val="center"/>
              <w:rPr>
                <w:rFonts w:hint="eastAsia" w:ascii="仿宋_GB2312" w:hAnsi="宋体" w:eastAsia="仿宋_GB2312"/>
                <w:color w:val="auto"/>
                <w:sz w:val="24"/>
              </w:rPr>
            </w:pPr>
          </w:p>
        </w:tc>
        <w:tc>
          <w:tcPr>
            <w:tcW w:w="1422" w:type="dxa"/>
            <w:noWrap w:val="0"/>
            <w:vAlign w:val="center"/>
          </w:tcPr>
          <w:p w14:paraId="31AC94DE">
            <w:pPr>
              <w:snapToGrid w:val="0"/>
              <w:spacing w:line="320" w:lineRule="exact"/>
              <w:jc w:val="center"/>
              <w:rPr>
                <w:rFonts w:hint="eastAsia" w:ascii="仿宋_GB2312" w:hAnsi="宋体" w:eastAsia="仿宋_GB2312"/>
                <w:color w:val="auto"/>
                <w:sz w:val="24"/>
              </w:rPr>
            </w:pPr>
          </w:p>
        </w:tc>
        <w:tc>
          <w:tcPr>
            <w:tcW w:w="1418" w:type="dxa"/>
            <w:noWrap w:val="0"/>
            <w:vAlign w:val="center"/>
          </w:tcPr>
          <w:p w14:paraId="3C95D957">
            <w:pPr>
              <w:snapToGrid w:val="0"/>
              <w:spacing w:line="320" w:lineRule="exact"/>
              <w:jc w:val="center"/>
              <w:rPr>
                <w:rFonts w:hint="eastAsia" w:ascii="仿宋_GB2312" w:hAnsi="宋体" w:eastAsia="仿宋_GB2312"/>
                <w:color w:val="auto"/>
                <w:sz w:val="24"/>
              </w:rPr>
            </w:pPr>
          </w:p>
        </w:tc>
      </w:tr>
      <w:tr w14:paraId="7B65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noWrap w:val="0"/>
            <w:vAlign w:val="center"/>
          </w:tcPr>
          <w:p w14:paraId="72D231B8">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N</w:t>
            </w:r>
          </w:p>
        </w:tc>
        <w:tc>
          <w:tcPr>
            <w:tcW w:w="1207" w:type="dxa"/>
            <w:noWrap w:val="0"/>
            <w:vAlign w:val="center"/>
          </w:tcPr>
          <w:p w14:paraId="0EEE5FF1">
            <w:pPr>
              <w:snapToGrid w:val="0"/>
              <w:spacing w:line="320" w:lineRule="exact"/>
              <w:jc w:val="center"/>
              <w:rPr>
                <w:rFonts w:hint="eastAsia" w:ascii="仿宋_GB2312" w:hAnsi="宋体" w:eastAsia="仿宋_GB2312"/>
                <w:color w:val="auto"/>
                <w:sz w:val="24"/>
              </w:rPr>
            </w:pPr>
          </w:p>
        </w:tc>
        <w:tc>
          <w:tcPr>
            <w:tcW w:w="1134" w:type="dxa"/>
            <w:noWrap w:val="0"/>
            <w:vAlign w:val="center"/>
          </w:tcPr>
          <w:p w14:paraId="31B8699A">
            <w:pPr>
              <w:snapToGrid w:val="0"/>
              <w:spacing w:line="320" w:lineRule="exact"/>
              <w:jc w:val="center"/>
              <w:rPr>
                <w:rFonts w:hint="eastAsia" w:ascii="仿宋_GB2312" w:hAnsi="宋体" w:eastAsia="仿宋_GB2312"/>
                <w:color w:val="auto"/>
                <w:sz w:val="24"/>
              </w:rPr>
            </w:pPr>
          </w:p>
        </w:tc>
        <w:tc>
          <w:tcPr>
            <w:tcW w:w="1037" w:type="dxa"/>
            <w:noWrap w:val="0"/>
            <w:vAlign w:val="center"/>
          </w:tcPr>
          <w:p w14:paraId="56F7FD2C">
            <w:pPr>
              <w:snapToGrid w:val="0"/>
              <w:spacing w:line="320" w:lineRule="exact"/>
              <w:jc w:val="center"/>
              <w:rPr>
                <w:rFonts w:hint="eastAsia" w:ascii="仿宋_GB2312" w:hAnsi="宋体" w:eastAsia="仿宋_GB2312"/>
                <w:color w:val="auto"/>
                <w:sz w:val="24"/>
              </w:rPr>
            </w:pPr>
          </w:p>
        </w:tc>
        <w:tc>
          <w:tcPr>
            <w:tcW w:w="1161" w:type="dxa"/>
            <w:noWrap w:val="0"/>
            <w:vAlign w:val="center"/>
          </w:tcPr>
          <w:p w14:paraId="3E2E9CE3">
            <w:pPr>
              <w:snapToGrid w:val="0"/>
              <w:spacing w:line="320" w:lineRule="exact"/>
              <w:jc w:val="center"/>
              <w:rPr>
                <w:rFonts w:hint="eastAsia" w:ascii="仿宋_GB2312" w:hAnsi="宋体" w:eastAsia="仿宋_GB2312"/>
                <w:color w:val="auto"/>
                <w:sz w:val="24"/>
              </w:rPr>
            </w:pPr>
          </w:p>
        </w:tc>
        <w:tc>
          <w:tcPr>
            <w:tcW w:w="903" w:type="dxa"/>
            <w:noWrap w:val="0"/>
            <w:vAlign w:val="center"/>
          </w:tcPr>
          <w:p w14:paraId="6A3A52E3">
            <w:pPr>
              <w:snapToGrid w:val="0"/>
              <w:spacing w:line="320" w:lineRule="exact"/>
              <w:jc w:val="center"/>
              <w:rPr>
                <w:rFonts w:hint="eastAsia" w:ascii="仿宋_GB2312" w:hAnsi="宋体" w:eastAsia="仿宋_GB2312"/>
                <w:color w:val="auto"/>
                <w:sz w:val="24"/>
              </w:rPr>
            </w:pPr>
          </w:p>
        </w:tc>
        <w:tc>
          <w:tcPr>
            <w:tcW w:w="892" w:type="dxa"/>
            <w:noWrap w:val="0"/>
            <w:vAlign w:val="center"/>
          </w:tcPr>
          <w:p w14:paraId="578B4A0E">
            <w:pPr>
              <w:snapToGrid w:val="0"/>
              <w:spacing w:line="320" w:lineRule="exact"/>
              <w:jc w:val="center"/>
              <w:rPr>
                <w:rFonts w:hint="eastAsia" w:ascii="仿宋_GB2312" w:hAnsi="宋体" w:eastAsia="仿宋_GB2312"/>
                <w:color w:val="auto"/>
                <w:sz w:val="24"/>
              </w:rPr>
            </w:pPr>
          </w:p>
        </w:tc>
        <w:tc>
          <w:tcPr>
            <w:tcW w:w="1422" w:type="dxa"/>
            <w:noWrap w:val="0"/>
            <w:vAlign w:val="center"/>
          </w:tcPr>
          <w:p w14:paraId="6D487463">
            <w:pPr>
              <w:snapToGrid w:val="0"/>
              <w:spacing w:line="320" w:lineRule="exact"/>
              <w:jc w:val="center"/>
              <w:rPr>
                <w:rFonts w:hint="eastAsia" w:ascii="仿宋_GB2312" w:hAnsi="宋体" w:eastAsia="仿宋_GB2312"/>
                <w:color w:val="auto"/>
                <w:sz w:val="24"/>
              </w:rPr>
            </w:pPr>
          </w:p>
        </w:tc>
        <w:tc>
          <w:tcPr>
            <w:tcW w:w="1418" w:type="dxa"/>
            <w:noWrap w:val="0"/>
            <w:vAlign w:val="center"/>
          </w:tcPr>
          <w:p w14:paraId="2F737BCA">
            <w:pPr>
              <w:snapToGrid w:val="0"/>
              <w:spacing w:line="320" w:lineRule="exact"/>
              <w:jc w:val="center"/>
              <w:rPr>
                <w:rFonts w:hint="eastAsia" w:ascii="仿宋_GB2312" w:hAnsi="宋体" w:eastAsia="仿宋_GB2312"/>
                <w:color w:val="auto"/>
                <w:sz w:val="24"/>
              </w:rPr>
            </w:pPr>
          </w:p>
        </w:tc>
      </w:tr>
      <w:tr w14:paraId="5F70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noWrap w:val="0"/>
            <w:vAlign w:val="center"/>
          </w:tcPr>
          <w:p w14:paraId="5C993F90">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人民币合计金额（大写） ：                         （小写）：¥</w:t>
            </w:r>
            <w:r>
              <w:rPr>
                <w:rFonts w:hint="eastAsia" w:ascii="仿宋_GB2312" w:hAnsi="宋体" w:eastAsia="仿宋_GB2312"/>
                <w:color w:val="auto"/>
                <w:sz w:val="24"/>
                <w:u w:val="single"/>
              </w:rPr>
              <w:t xml:space="preserve">               </w:t>
            </w:r>
          </w:p>
        </w:tc>
      </w:tr>
    </w:tbl>
    <w:p w14:paraId="5ED00422">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14:paraId="19D96BAB">
      <w:pPr>
        <w:snapToGrid w:val="0"/>
        <w:spacing w:line="360" w:lineRule="exact"/>
        <w:ind w:right="-330" w:rightChars="-157"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第二条　质量保证</w:t>
      </w:r>
    </w:p>
    <w:p w14:paraId="48A31EE1">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1.乙方所提供的货物型号、技术规格、技术参数等质量必须与招投标文件和承诺相一致。乙方提供的节能和环保产品必须是列入政府采购清单的产品。</w:t>
      </w:r>
    </w:p>
    <w:p w14:paraId="48EC7A86">
      <w:pPr>
        <w:snapToGrid w:val="0"/>
        <w:spacing w:line="360" w:lineRule="exact"/>
        <w:ind w:right="-330" w:rightChars="-157" w:firstLine="480" w:firstLineChars="200"/>
        <w:rPr>
          <w:rFonts w:hint="eastAsia" w:ascii="仿宋_GB2312" w:hAnsi="宋体" w:eastAsia="仿宋_GB2312"/>
          <w:color w:val="auto"/>
          <w:sz w:val="24"/>
          <w:u w:val="single"/>
        </w:rPr>
      </w:pPr>
      <w:r>
        <w:rPr>
          <w:rFonts w:hint="eastAsia" w:ascii="仿宋_GB2312" w:hAnsi="宋体" w:eastAsia="仿宋_GB2312"/>
          <w:color w:val="auto"/>
          <w:sz w:val="24"/>
        </w:rPr>
        <w:t>2.乙方所提供的货物必须是全新、未使用的原装产品，且在正常安装、使用和保养条件下，其使用寿命期内各项指标均达到质量要求。</w:t>
      </w:r>
    </w:p>
    <w:p w14:paraId="72F1175B">
      <w:pPr>
        <w:snapToGrid w:val="0"/>
        <w:spacing w:line="360" w:lineRule="exact"/>
        <w:ind w:right="-330" w:rightChars="-157"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第三条　权利保证</w:t>
      </w:r>
    </w:p>
    <w:p w14:paraId="2D30CE48">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1.乙方应保证所提供货物在使用时不会侵犯任何第三方的专利权、商标权、工业设计权或其他权利。</w:t>
      </w:r>
    </w:p>
    <w:p w14:paraId="21081045">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2.乙方应按招标文件规定的时间向甲方提供使用货物的有关技术资料。</w:t>
      </w:r>
    </w:p>
    <w:p w14:paraId="02893899">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6B173B5">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4.乙方保证所交付的货物的所有权完全属于乙方且无任何抵押、查封等产权瑕疵。</w:t>
      </w:r>
    </w:p>
    <w:p w14:paraId="0A62AB96">
      <w:pPr>
        <w:snapToGrid w:val="0"/>
        <w:spacing w:line="360" w:lineRule="exact"/>
        <w:ind w:right="-330" w:rightChars="-157"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第四条　包装和运输</w:t>
      </w:r>
    </w:p>
    <w:p w14:paraId="17B55A56">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1.乙方提供的货物均应按招投标文件要求的包装材料、包装标准、包装方式进行包装，每一包装单元内应附详细的装箱单和质量合格证。</w:t>
      </w:r>
    </w:p>
    <w:p w14:paraId="593F7B11">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2.货物的运输方式：</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14:paraId="4272105C">
      <w:pPr>
        <w:snapToGrid w:val="0"/>
        <w:spacing w:line="360" w:lineRule="exact"/>
        <w:ind w:right="-330" w:rightChars="-157" w:firstLine="480" w:firstLineChars="200"/>
        <w:rPr>
          <w:rFonts w:hint="eastAsia" w:ascii="仿宋_GB2312" w:hAnsi="宋体" w:eastAsia="仿宋_GB2312"/>
          <w:color w:val="auto"/>
          <w:sz w:val="24"/>
          <w:u w:val="single"/>
        </w:rPr>
      </w:pPr>
      <w:r>
        <w:rPr>
          <w:rFonts w:hint="eastAsia" w:ascii="仿宋_GB2312" w:hAnsi="宋体" w:eastAsia="仿宋_GB2312"/>
          <w:color w:val="auto"/>
          <w:sz w:val="24"/>
        </w:rPr>
        <w:t>3.乙方负责货物运输，货物运输合理损耗及计算方法：</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14:paraId="28931DBB">
      <w:pPr>
        <w:snapToGrid w:val="0"/>
        <w:spacing w:line="360" w:lineRule="exact"/>
        <w:ind w:right="-330" w:rightChars="-157"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第五条　交付和验收</w:t>
      </w:r>
    </w:p>
    <w:p w14:paraId="6BCE9ED5">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1.交货时间：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、地点：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14:paraId="416C2710">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2.乙方提供不符合招投标文件和本合同规定的货物，甲方有权拒绝接受。</w:t>
      </w:r>
    </w:p>
    <w:p w14:paraId="56E793C6">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3.乙方应将所提供货物的装箱清单、用户手册、原厂保修卡、随机资料、工具和备品、备件等交付给甲方，如有缺失应及时补齐，否则视为逾期交货。</w:t>
      </w:r>
    </w:p>
    <w:p w14:paraId="1D5BEFC1">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4.甲方应当在到货（安装、调试完）后七个工作日内进行验收，逾期不验收的，乙方可视同验收合格。验收合格后由甲乙双方签署货物验收单并加盖采购单位公章，甲乙双方各执一份。</w:t>
      </w:r>
    </w:p>
    <w:p w14:paraId="1C210C00">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6F71571A">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6.甲方对验收有异议的，在验收后五个工作日内以书面形式向乙方提出，乙方应自收到甲方书面异议后</w:t>
      </w:r>
      <w:r>
        <w:rPr>
          <w:rFonts w:hint="eastAsia" w:ascii="仿宋_GB2312" w:hAnsi="仿宋" w:eastAsia="仿宋_GB2312"/>
          <w:color w:val="auto"/>
          <w:sz w:val="24"/>
          <w:u w:val="single"/>
        </w:rPr>
        <w:t>五</w:t>
      </w:r>
      <w:r>
        <w:rPr>
          <w:rFonts w:hint="eastAsia" w:ascii="仿宋_GB2312" w:hAnsi="宋体" w:eastAsia="仿宋_GB2312"/>
          <w:color w:val="auto"/>
          <w:sz w:val="24"/>
        </w:rPr>
        <w:t>日内及时予以解决。</w:t>
      </w:r>
    </w:p>
    <w:p w14:paraId="0C425639">
      <w:pPr>
        <w:snapToGrid w:val="0"/>
        <w:spacing w:line="360" w:lineRule="exact"/>
        <w:ind w:right="-330" w:rightChars="-157"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第六条　安装和培训</w:t>
      </w:r>
    </w:p>
    <w:p w14:paraId="2122229E">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1.甲方应提供必要安装条件（如场地、电源、水源等）。</w:t>
      </w:r>
    </w:p>
    <w:p w14:paraId="1C6FD834">
      <w:pPr>
        <w:snapToGrid w:val="0"/>
        <w:spacing w:line="360" w:lineRule="exact"/>
        <w:ind w:right="-330" w:rightChars="-157" w:firstLine="480" w:firstLineChars="200"/>
        <w:rPr>
          <w:rFonts w:hint="eastAsia" w:ascii="仿宋_GB2312" w:hAnsi="宋体" w:eastAsia="仿宋_GB2312"/>
          <w:color w:val="auto"/>
          <w:sz w:val="24"/>
          <w:u w:val="single"/>
        </w:rPr>
      </w:pPr>
      <w:r>
        <w:rPr>
          <w:rFonts w:hint="eastAsia" w:ascii="仿宋_GB2312" w:hAnsi="宋体" w:eastAsia="仿宋_GB2312"/>
          <w:color w:val="auto"/>
          <w:sz w:val="24"/>
        </w:rPr>
        <w:t>2.乙方负责甲方有关人员的培训。培训时间、地点：</w:t>
      </w:r>
      <w:r>
        <w:rPr>
          <w:rFonts w:hint="eastAsia" w:ascii="仿宋_GB2312" w:hAnsi="宋体" w:eastAsia="仿宋_GB2312"/>
          <w:color w:val="auto"/>
          <w:sz w:val="24"/>
          <w:u w:val="single"/>
        </w:rPr>
        <w:t>与甲方商议</w:t>
      </w:r>
      <w:r>
        <w:rPr>
          <w:rFonts w:hint="eastAsia" w:ascii="仿宋_GB2312" w:hAnsi="宋体" w:eastAsia="仿宋_GB2312"/>
          <w:color w:val="auto"/>
          <w:sz w:val="24"/>
        </w:rPr>
        <w:t>。</w:t>
      </w:r>
    </w:p>
    <w:p w14:paraId="4DDFD004">
      <w:pPr>
        <w:snapToGrid w:val="0"/>
        <w:spacing w:line="360" w:lineRule="exact"/>
        <w:ind w:right="-330" w:rightChars="-157"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第七条  售后服务</w:t>
      </w:r>
    </w:p>
    <w:p w14:paraId="5CE2717E">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1.乙方应按照国家有关法律法规和“三包”规定以及招投标文件和本合同所附的《服务承诺》，为甲方提供售后服务。</w:t>
      </w:r>
    </w:p>
    <w:p w14:paraId="7ACA65F9">
      <w:pPr>
        <w:snapToGrid w:val="0"/>
        <w:spacing w:line="360" w:lineRule="exact"/>
        <w:ind w:right="-330" w:rightChars="-157" w:firstLine="480" w:firstLineChars="200"/>
        <w:rPr>
          <w:rFonts w:hint="eastAsia" w:ascii="仿宋_GB2312" w:hAnsi="宋体" w:eastAsia="仿宋_GB2312"/>
          <w:color w:val="auto"/>
          <w:sz w:val="24"/>
          <w:u w:val="single"/>
        </w:rPr>
      </w:pPr>
      <w:r>
        <w:rPr>
          <w:rFonts w:hint="eastAsia" w:ascii="仿宋_GB2312" w:hAnsi="宋体" w:eastAsia="仿宋_GB2312"/>
          <w:color w:val="auto"/>
          <w:sz w:val="24"/>
        </w:rPr>
        <w:t>2.货物保修期：</w:t>
      </w:r>
      <w:r>
        <w:rPr>
          <w:rFonts w:hint="eastAsia" w:ascii="仿宋_GB2312" w:hAnsi="宋体" w:eastAsia="仿宋_GB2312"/>
          <w:color w:val="auto"/>
          <w:sz w:val="24"/>
          <w:u w:val="single"/>
        </w:rPr>
        <w:t>详见投标文件及合同附件。</w:t>
      </w:r>
    </w:p>
    <w:p w14:paraId="636190D2">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3.乙方提供的服务承诺和售后服务及保修期责任等其它具体约定事项。（见合同附件）</w:t>
      </w:r>
    </w:p>
    <w:p w14:paraId="7D2F90F1">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4.售后服务、保修时间从项目整体验收合格之日起计算。</w:t>
      </w:r>
    </w:p>
    <w:p w14:paraId="724AF321">
      <w:pPr>
        <w:snapToGrid w:val="0"/>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第八条　付款方式</w:t>
      </w:r>
    </w:p>
    <w:p w14:paraId="556D3122">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1.当采购数量与实际使用数量不一致时，乙方应根据实际使用量供货，合同的最终结算金额按实际使用量乘以成交单价进行计算。</w:t>
      </w:r>
    </w:p>
    <w:p w14:paraId="0B9D2B7D">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2.资金性质：财政性资金。</w:t>
      </w:r>
    </w:p>
    <w:p w14:paraId="4EC3B6D4">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3.付款方式：财政性资金按财政国库集中支付规定程序办理。</w:t>
      </w:r>
      <w:r>
        <w:rPr>
          <w:rFonts w:hint="eastAsia" w:ascii="仿宋_GB2312" w:hAnsi="仿宋_GB2312" w:eastAsia="仿宋_GB2312" w:cs="仿宋_GB2312"/>
          <w:bCs/>
          <w:color w:val="auto"/>
          <w:sz w:val="24"/>
        </w:rPr>
        <w:t>本项目无预付款，货物全部到货完毕，货物验收合格之日起10个工作日内，支付合同价款的40%；全部安装完毕，项目整体交付使用并通过最终验收合格后10个工作日内支付合同价款的60%</w:t>
      </w:r>
      <w:r>
        <w:rPr>
          <w:rFonts w:hint="eastAsia" w:ascii="仿宋_GB2312" w:hAnsi="仿宋_GB2312" w:eastAsia="仿宋_GB2312" w:cs="仿宋_GB2312"/>
          <w:bCs/>
          <w:color w:val="auto"/>
          <w:sz w:val="24"/>
          <w:lang w:eastAsia="zh-CN"/>
        </w:rPr>
        <w:t>。</w:t>
      </w:r>
    </w:p>
    <w:p w14:paraId="163A9CE3">
      <w:pPr>
        <w:snapToGrid w:val="0"/>
        <w:spacing w:line="276" w:lineRule="auto"/>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第九条  税费</w:t>
      </w:r>
    </w:p>
    <w:p w14:paraId="148672BE">
      <w:pPr>
        <w:snapToGrid w:val="0"/>
        <w:spacing w:line="276" w:lineRule="auto"/>
        <w:ind w:firstLine="480" w:firstLineChars="200"/>
        <w:rPr>
          <w:rFonts w:hint="eastAsia" w:ascii="仿宋_GB2312" w:hAnsi="宋体" w:eastAsia="仿宋_GB2312"/>
          <w:color w:val="auto"/>
          <w:sz w:val="24"/>
        </w:rPr>
      </w:pPr>
      <w:r>
        <w:rPr>
          <w:rFonts w:hint="eastAsia" w:ascii="仿宋_GB2312" w:hAnsi="宋体" w:eastAsia="仿宋_GB2312"/>
          <w:color w:val="auto"/>
          <w:sz w:val="24"/>
        </w:rPr>
        <w:t>本合同执行中相关的一切税费均由乙方负担。</w:t>
      </w:r>
    </w:p>
    <w:p w14:paraId="17A82EA4">
      <w:pPr>
        <w:snapToGrid w:val="0"/>
        <w:spacing w:line="276" w:lineRule="auto"/>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第十条  质量保证及售后服务</w:t>
      </w:r>
    </w:p>
    <w:p w14:paraId="3E45F926">
      <w:pPr>
        <w:snapToGrid w:val="0"/>
        <w:spacing w:line="276" w:lineRule="auto"/>
        <w:ind w:right="-470" w:rightChars="-224" w:firstLine="480" w:firstLineChars="200"/>
        <w:rPr>
          <w:rFonts w:hint="eastAsia" w:ascii="仿宋_GB2312" w:hAnsi="宋体" w:eastAsia="仿宋_GB2312" w:cs="Courier New"/>
          <w:color w:val="auto"/>
          <w:sz w:val="24"/>
        </w:rPr>
      </w:pPr>
      <w:r>
        <w:rPr>
          <w:rFonts w:hint="eastAsia" w:ascii="仿宋_GB2312" w:hAnsi="宋体" w:eastAsia="仿宋_GB2312" w:cs="Courier New"/>
          <w:color w:val="auto"/>
          <w:sz w:val="24"/>
        </w:rPr>
        <w:t>1.乙方应按招标文件规定的货物性能、技术要求、质量标准向甲方提供未经使用的全新产品。不符合要求的，根据实际情况，经双方协商，可按以下办法处理：</w:t>
      </w:r>
    </w:p>
    <w:p w14:paraId="4E990FA5">
      <w:pPr>
        <w:snapToGrid w:val="0"/>
        <w:spacing w:line="276" w:lineRule="auto"/>
        <w:ind w:right="-470" w:rightChars="-224" w:firstLine="480" w:firstLineChars="200"/>
        <w:rPr>
          <w:rFonts w:hint="eastAsia" w:ascii="仿宋_GB2312" w:hAnsi="宋体" w:eastAsia="仿宋_GB2312" w:cs="Courier New"/>
          <w:color w:val="auto"/>
          <w:sz w:val="24"/>
        </w:rPr>
      </w:pPr>
      <w:r>
        <w:rPr>
          <w:rFonts w:hint="eastAsia" w:ascii="仿宋_GB2312" w:hAnsi="宋体" w:eastAsia="仿宋_GB2312" w:cs="Courier New"/>
          <w:color w:val="auto"/>
          <w:sz w:val="24"/>
        </w:rPr>
        <w:t>⑴更换：由乙方承担所发生的全部费用。</w:t>
      </w:r>
    </w:p>
    <w:p w14:paraId="1CF8A948">
      <w:pPr>
        <w:snapToGrid w:val="0"/>
        <w:spacing w:line="276" w:lineRule="auto"/>
        <w:ind w:right="-470" w:rightChars="-224" w:firstLine="480" w:firstLineChars="200"/>
        <w:rPr>
          <w:rFonts w:hint="eastAsia" w:ascii="仿宋_GB2312" w:hAnsi="宋体" w:eastAsia="仿宋_GB2312" w:cs="Courier New"/>
          <w:color w:val="auto"/>
          <w:sz w:val="24"/>
        </w:rPr>
      </w:pPr>
      <w:r>
        <w:rPr>
          <w:rFonts w:hint="eastAsia" w:ascii="仿宋_GB2312" w:hAnsi="宋体" w:eastAsia="仿宋_GB2312" w:cs="Courier New"/>
          <w:color w:val="auto"/>
          <w:sz w:val="24"/>
        </w:rPr>
        <w:t>⑵贬值处理：由甲乙双方合议定价。</w:t>
      </w:r>
    </w:p>
    <w:p w14:paraId="69763EBD">
      <w:pPr>
        <w:snapToGrid w:val="0"/>
        <w:spacing w:line="276" w:lineRule="auto"/>
        <w:ind w:right="-470" w:rightChars="-224" w:firstLine="480" w:firstLineChars="200"/>
        <w:rPr>
          <w:rFonts w:hint="eastAsia" w:ascii="仿宋_GB2312" w:hAnsi="宋体" w:eastAsia="仿宋_GB2312" w:cs="Courier New"/>
          <w:color w:val="auto"/>
          <w:sz w:val="24"/>
        </w:rPr>
      </w:pPr>
      <w:r>
        <w:rPr>
          <w:rFonts w:hint="eastAsia" w:ascii="仿宋_GB2312" w:hAnsi="宋体" w:eastAsia="仿宋_GB2312" w:cs="Courier New"/>
          <w:color w:val="auto"/>
          <w:sz w:val="24"/>
        </w:rPr>
        <w:t>⑶退货处理：乙方应退还甲方支付的合同款，同时应承担该货物的直接费用（运输、保险、检验、货款利息及银行手续费等）。</w:t>
      </w:r>
    </w:p>
    <w:p w14:paraId="09A8EC33">
      <w:pPr>
        <w:snapToGrid w:val="0"/>
        <w:spacing w:line="276" w:lineRule="auto"/>
        <w:ind w:right="-470" w:rightChars="-224" w:firstLine="480" w:firstLineChars="200"/>
        <w:rPr>
          <w:rFonts w:hint="eastAsia" w:ascii="仿宋_GB2312" w:hAnsi="宋体" w:eastAsia="仿宋_GB2312" w:cs="Courier New"/>
          <w:color w:val="auto"/>
          <w:sz w:val="24"/>
        </w:rPr>
      </w:pPr>
      <w:r>
        <w:rPr>
          <w:rFonts w:hint="eastAsia" w:ascii="仿宋_GB2312" w:hAnsi="宋体" w:eastAsia="仿宋_GB2312" w:cs="Courier New"/>
          <w:color w:val="auto"/>
          <w:sz w:val="24"/>
        </w:rPr>
        <w:t>2.如在使用过程中发生质量问题，乙方在接到甲方通知后在</w:t>
      </w:r>
      <w:r>
        <w:rPr>
          <w:rFonts w:hint="eastAsia" w:ascii="仿宋_GB2312" w:hAnsi="宋体" w:eastAsia="仿宋_GB2312" w:cs="Courier New"/>
          <w:color w:val="auto"/>
          <w:sz w:val="24"/>
          <w:u w:val="single"/>
        </w:rPr>
        <w:t xml:space="preserve">    </w:t>
      </w:r>
      <w:r>
        <w:rPr>
          <w:rFonts w:hint="eastAsia" w:ascii="仿宋_GB2312" w:hAnsi="宋体" w:eastAsia="仿宋_GB2312" w:cs="Courier New"/>
          <w:color w:val="auto"/>
          <w:sz w:val="24"/>
        </w:rPr>
        <w:t>小时内到达甲方现场。</w:t>
      </w:r>
    </w:p>
    <w:p w14:paraId="670CC6AE">
      <w:pPr>
        <w:snapToGrid w:val="0"/>
        <w:spacing w:line="276" w:lineRule="auto"/>
        <w:ind w:right="-470" w:rightChars="-224" w:firstLine="480" w:firstLineChars="200"/>
        <w:rPr>
          <w:rFonts w:hint="eastAsia" w:ascii="仿宋_GB2312" w:hAnsi="宋体" w:eastAsia="仿宋_GB2312" w:cs="Courier New"/>
          <w:color w:val="auto"/>
          <w:sz w:val="24"/>
        </w:rPr>
      </w:pPr>
      <w:r>
        <w:rPr>
          <w:rFonts w:hint="eastAsia" w:ascii="仿宋_GB2312" w:hAnsi="宋体" w:eastAsia="仿宋_GB2312" w:cs="Courier New"/>
          <w:color w:val="auto"/>
          <w:sz w:val="24"/>
        </w:rPr>
        <w:t>3.在质保期内，乙方应对货物出现的质量及安全问题负责处理解决并承担一切费用。</w:t>
      </w:r>
    </w:p>
    <w:p w14:paraId="50AB4DF8">
      <w:pPr>
        <w:snapToGrid w:val="0"/>
        <w:spacing w:line="276" w:lineRule="auto"/>
        <w:ind w:right="-470" w:rightChars="-224" w:firstLine="480" w:firstLineChars="200"/>
        <w:rPr>
          <w:rFonts w:hint="eastAsia" w:ascii="仿宋_GB2312" w:hAnsi="宋体" w:eastAsia="仿宋_GB2312" w:cs="Courier New"/>
          <w:color w:val="auto"/>
          <w:sz w:val="24"/>
        </w:rPr>
      </w:pPr>
      <w:r>
        <w:rPr>
          <w:rFonts w:hint="eastAsia" w:ascii="仿宋_GB2312" w:hAnsi="宋体" w:eastAsia="仿宋_GB2312" w:cs="Courier New"/>
          <w:color w:val="auto"/>
          <w:sz w:val="24"/>
        </w:rPr>
        <w:t>4.上述的货物免费保修期为</w:t>
      </w:r>
      <w:r>
        <w:rPr>
          <w:rFonts w:hint="eastAsia" w:ascii="仿宋_GB2312" w:hAnsi="宋体" w:eastAsia="仿宋_GB2312" w:cs="Courier New"/>
          <w:color w:val="auto"/>
          <w:sz w:val="24"/>
          <w:u w:val="single"/>
        </w:rPr>
        <w:t xml:space="preserve">     </w:t>
      </w:r>
      <w:r>
        <w:rPr>
          <w:rFonts w:hint="eastAsia" w:ascii="仿宋_GB2312" w:hAnsi="宋体" w:eastAsia="仿宋_GB2312" w:cs="Courier New"/>
          <w:color w:val="auto"/>
          <w:sz w:val="24"/>
        </w:rPr>
        <w:t>年，因人为因素出现的故障不在免费保修范围内。超过保修期的机器设备，终生维修，维修时只收部件成本费。</w:t>
      </w:r>
    </w:p>
    <w:p w14:paraId="1FE13D58">
      <w:pPr>
        <w:snapToGrid w:val="0"/>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第十一条  调试和验收</w:t>
      </w:r>
    </w:p>
    <w:p w14:paraId="08672127">
      <w:pPr>
        <w:snapToGrid w:val="0"/>
        <w:spacing w:line="360" w:lineRule="exact"/>
        <w:ind w:right="-611" w:rightChars="-291"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11A7E000">
      <w:pPr>
        <w:snapToGrid w:val="0"/>
        <w:spacing w:line="360" w:lineRule="exact"/>
        <w:ind w:right="-611" w:rightChars="-291" w:firstLine="480" w:firstLineChars="200"/>
        <w:rPr>
          <w:rFonts w:hint="eastAsia" w:ascii="仿宋_GB2312" w:hAnsi="宋体" w:eastAsia="仿宋_GB2312"/>
          <w:color w:val="auto"/>
          <w:sz w:val="24"/>
        </w:rPr>
      </w:pPr>
      <w:r>
        <w:rPr>
          <w:rFonts w:hint="eastAsia" w:ascii="仿宋_GB2312" w:hAnsi="宋体" w:eastAsia="仿宋_GB2312"/>
          <w:color w:val="auto"/>
          <w:sz w:val="24"/>
        </w:rPr>
        <w:t>2.乙方交货前应对产品作出全面检查和对验收文件进行整理，并列出清单，作为甲方收货验收和使用的技术条件依据，检验的结果应随货物交甲方。</w:t>
      </w:r>
    </w:p>
    <w:p w14:paraId="1D2CFFC2">
      <w:pPr>
        <w:snapToGrid w:val="0"/>
        <w:spacing w:line="360" w:lineRule="exact"/>
        <w:ind w:right="-611" w:rightChars="-291" w:firstLine="480" w:firstLineChars="200"/>
        <w:rPr>
          <w:rFonts w:hint="eastAsia" w:ascii="仿宋_GB2312" w:hAnsi="宋体" w:eastAsia="仿宋_GB2312"/>
          <w:color w:val="auto"/>
          <w:sz w:val="24"/>
        </w:rPr>
      </w:pPr>
      <w:r>
        <w:rPr>
          <w:rFonts w:hint="eastAsia" w:ascii="仿宋_GB2312" w:hAnsi="宋体" w:eastAsia="仿宋_GB2312"/>
          <w:color w:val="auto"/>
          <w:sz w:val="24"/>
        </w:rPr>
        <w:t>3.甲方对乙方提供的货物在使用前进行调试时，乙方需负责安装并培训甲方的使用操作人员，并协助甲方一起调试，直到符合技术要求，甲方才做最终验收。</w:t>
      </w:r>
    </w:p>
    <w:p w14:paraId="49A983DC">
      <w:pPr>
        <w:snapToGrid w:val="0"/>
        <w:spacing w:line="360" w:lineRule="exact"/>
        <w:ind w:right="-611" w:rightChars="-291" w:firstLine="480" w:firstLineChars="200"/>
        <w:rPr>
          <w:rFonts w:hint="eastAsia" w:ascii="仿宋_GB2312" w:hAnsi="宋体" w:eastAsia="仿宋_GB2312"/>
          <w:color w:val="auto"/>
          <w:sz w:val="24"/>
        </w:rPr>
      </w:pPr>
      <w:r>
        <w:rPr>
          <w:rFonts w:hint="eastAsia" w:ascii="仿宋_GB2312" w:hAnsi="宋体" w:eastAsia="仿宋_GB2312"/>
          <w:color w:val="auto"/>
          <w:sz w:val="24"/>
        </w:rPr>
        <w:t>4.对技术复杂的货物，甲方应请国家认可的专业检测机构参与初步验收及最终验收，并由其出具质量检测报告。</w:t>
      </w:r>
    </w:p>
    <w:p w14:paraId="0B1BB282">
      <w:pPr>
        <w:snapToGrid w:val="0"/>
        <w:spacing w:line="360" w:lineRule="exact"/>
        <w:ind w:right="-611" w:rightChars="-291" w:firstLine="480" w:firstLineChars="200"/>
        <w:rPr>
          <w:rFonts w:hint="eastAsia" w:ascii="仿宋_GB2312" w:hAnsi="宋体" w:eastAsia="仿宋_GB2312"/>
          <w:color w:val="auto"/>
          <w:sz w:val="24"/>
        </w:rPr>
      </w:pPr>
      <w:r>
        <w:rPr>
          <w:rFonts w:hint="eastAsia" w:ascii="仿宋_GB2312" w:hAnsi="宋体" w:eastAsia="仿宋_GB2312"/>
          <w:color w:val="auto"/>
          <w:sz w:val="24"/>
        </w:rPr>
        <w:t>5.验收时乙方必须在现场，验收完毕后作出验收结果报告；验收费用由乙方负责。</w:t>
      </w:r>
    </w:p>
    <w:p w14:paraId="55D6CF96">
      <w:pPr>
        <w:snapToGrid w:val="0"/>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第十二条  货物包装、发运及运输</w:t>
      </w:r>
    </w:p>
    <w:p w14:paraId="1A3B120D">
      <w:pPr>
        <w:snapToGrid w:val="0"/>
        <w:spacing w:line="360" w:lineRule="exact"/>
        <w:ind w:right="-611" w:rightChars="-291" w:firstLine="480" w:firstLineChars="200"/>
        <w:rPr>
          <w:rFonts w:hint="eastAsia" w:ascii="仿宋_GB2312" w:hAnsi="宋体" w:eastAsia="仿宋_GB2312"/>
          <w:color w:val="auto"/>
          <w:sz w:val="24"/>
        </w:rPr>
      </w:pPr>
      <w:r>
        <w:rPr>
          <w:rFonts w:hint="eastAsia" w:ascii="仿宋_GB2312" w:hAnsi="宋体" w:eastAsia="仿宋_GB2312"/>
          <w:color w:val="auto"/>
          <w:sz w:val="24"/>
        </w:rPr>
        <w:t>1.乙方应在货物发运前对其进行满足运输距离、防潮、防震、防锈和防破损装卸等要求包装，以保证货物安全运达甲方指定地点。</w:t>
      </w:r>
    </w:p>
    <w:p w14:paraId="3070D766">
      <w:pPr>
        <w:snapToGrid w:val="0"/>
        <w:spacing w:line="360" w:lineRule="exact"/>
        <w:ind w:right="-611" w:rightChars="-291" w:firstLine="480" w:firstLineChars="200"/>
        <w:rPr>
          <w:rFonts w:hint="eastAsia" w:ascii="仿宋_GB2312" w:hAnsi="宋体" w:eastAsia="仿宋_GB2312"/>
          <w:color w:val="auto"/>
          <w:sz w:val="24"/>
        </w:rPr>
      </w:pPr>
      <w:r>
        <w:rPr>
          <w:rFonts w:hint="eastAsia" w:ascii="仿宋_GB2312" w:hAnsi="宋体" w:eastAsia="仿宋_GB2312"/>
          <w:color w:val="auto"/>
          <w:sz w:val="24"/>
        </w:rPr>
        <w:t>2.使用说明书、质量检验证明书、随配附件和工具以及清单一并附于货物内。</w:t>
      </w:r>
    </w:p>
    <w:p w14:paraId="7F9198AD">
      <w:pPr>
        <w:snapToGrid w:val="0"/>
        <w:spacing w:line="360" w:lineRule="exact"/>
        <w:ind w:right="-611" w:rightChars="-291" w:firstLine="480" w:firstLineChars="200"/>
        <w:rPr>
          <w:rFonts w:hint="eastAsia" w:ascii="仿宋_GB2312" w:hAnsi="宋体" w:eastAsia="仿宋_GB2312"/>
          <w:color w:val="auto"/>
          <w:sz w:val="24"/>
        </w:rPr>
      </w:pPr>
      <w:r>
        <w:rPr>
          <w:rFonts w:hint="eastAsia" w:ascii="仿宋_GB2312" w:hAnsi="宋体" w:eastAsia="仿宋_GB2312"/>
          <w:color w:val="auto"/>
          <w:sz w:val="24"/>
        </w:rPr>
        <w:t>3.乙方在货物发运手续办理完毕后二十四小时内或货到甲方四十八小时前通知甲方，以准备接货。</w:t>
      </w:r>
    </w:p>
    <w:p w14:paraId="7FF2C8A7">
      <w:pPr>
        <w:snapToGrid w:val="0"/>
        <w:spacing w:line="360" w:lineRule="exact"/>
        <w:ind w:right="-611" w:rightChars="-291" w:firstLine="480" w:firstLineChars="200"/>
        <w:rPr>
          <w:rFonts w:hint="eastAsia" w:ascii="仿宋_GB2312" w:hAnsi="宋体" w:eastAsia="仿宋_GB2312"/>
          <w:color w:val="auto"/>
          <w:sz w:val="24"/>
        </w:rPr>
      </w:pPr>
      <w:r>
        <w:rPr>
          <w:rFonts w:hint="eastAsia" w:ascii="仿宋_GB2312" w:hAnsi="宋体" w:eastAsia="仿宋_GB2312"/>
          <w:color w:val="auto"/>
          <w:sz w:val="24"/>
        </w:rPr>
        <w:t>4.货物在交付甲方前发生的风险均由乙方负责。</w:t>
      </w:r>
    </w:p>
    <w:p w14:paraId="7DF42809">
      <w:pPr>
        <w:snapToGrid w:val="0"/>
        <w:spacing w:line="360" w:lineRule="exact"/>
        <w:ind w:right="-611" w:rightChars="-291" w:firstLine="480" w:firstLineChars="200"/>
        <w:rPr>
          <w:rFonts w:hint="eastAsia" w:ascii="仿宋_GB2312" w:hAnsi="宋体" w:eastAsia="仿宋_GB2312"/>
          <w:color w:val="auto"/>
          <w:sz w:val="24"/>
        </w:rPr>
      </w:pPr>
      <w:r>
        <w:rPr>
          <w:rFonts w:hint="eastAsia" w:ascii="仿宋_GB2312" w:hAnsi="宋体" w:eastAsia="仿宋_GB2312"/>
          <w:color w:val="auto"/>
          <w:sz w:val="24"/>
        </w:rPr>
        <w:t>5.货物在规定的交付期限内由乙方送达甲方指定的地点视为交付，乙方同时需通知甲方货物已送达。</w:t>
      </w:r>
    </w:p>
    <w:p w14:paraId="4078CDB5">
      <w:pPr>
        <w:snapToGrid w:val="0"/>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第十三条 违约责任</w:t>
      </w:r>
    </w:p>
    <w:p w14:paraId="0EEE7B6E">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3FFED7B8">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2.乙方提供的货物如侵犯了第三方合法权益而引发的任何纠纷或诉讼，均由乙方负责交涉并承担全部责任。</w:t>
      </w:r>
    </w:p>
    <w:p w14:paraId="6D97FB7B">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3.因包装、运输引起的货物损坏，按质量不合格处理。</w:t>
      </w:r>
    </w:p>
    <w:p w14:paraId="77CE950E">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4.甲方无故延期接收货物、乙方逾期交货的，每天向对方偿付违约货款额3‰违约金，但违约金累计不得超过违约货款额</w:t>
      </w:r>
      <w:r>
        <w:rPr>
          <w:rFonts w:hint="eastAsia" w:ascii="仿宋_GB2312" w:hAnsi="宋体" w:eastAsia="仿宋_GB2312"/>
          <w:color w:val="auto"/>
          <w:sz w:val="24"/>
          <w:u w:val="single"/>
        </w:rPr>
        <w:t>5%</w:t>
      </w:r>
      <w:r>
        <w:rPr>
          <w:rFonts w:hint="eastAsia" w:ascii="仿宋_GB2312" w:hAnsi="宋体" w:eastAsia="仿宋_GB2312"/>
          <w:color w:val="auto"/>
          <w:sz w:val="24"/>
        </w:rPr>
        <w:t xml:space="preserve">，超过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color w:val="auto"/>
          <w:sz w:val="24"/>
          <w:u w:val="single"/>
        </w:rPr>
        <w:t>5%</w:t>
      </w:r>
      <w:r>
        <w:rPr>
          <w:rFonts w:hint="eastAsia" w:ascii="仿宋_GB2312" w:hAnsi="宋体" w:eastAsia="仿宋_GB2312"/>
          <w:color w:val="auto"/>
          <w:sz w:val="24"/>
        </w:rPr>
        <w:t>。</w:t>
      </w:r>
    </w:p>
    <w:p w14:paraId="1115F3A9">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5.乙方未按本合同和投标文件中规定的服务承诺提供售后服务的，乙方应按本合同合计金额5%向甲方支付违约金。</w:t>
      </w:r>
    </w:p>
    <w:p w14:paraId="5E0BFE68">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6.乙方提供的货物在质量保证期内，因设计、工艺或材料的缺陷和其它质量原因造成的问题，由乙方负责，费用从未付款项中扣除，不足另补。</w:t>
      </w:r>
    </w:p>
    <w:p w14:paraId="13F6C954">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7.其它违约行为按违约货款额5%收取违约金并赔偿经济损失。</w:t>
      </w:r>
    </w:p>
    <w:p w14:paraId="1CB95480">
      <w:pPr>
        <w:snapToGrid w:val="0"/>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第十四条 不可抗力事件处理</w:t>
      </w:r>
    </w:p>
    <w:p w14:paraId="06A5B11B">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1.在合同有效期内，任何一方因不可抗力事件导致不能履行合同，则合同履行期可延长，其延长期与不可抗力影响期相同。</w:t>
      </w:r>
    </w:p>
    <w:p w14:paraId="3E34FC10">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2.不可抗力事件发生后，应立即通知对方，并寄送有关权威机构出具的证明。</w:t>
      </w:r>
    </w:p>
    <w:p w14:paraId="4AF6B7AB">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3.不可抗力事件延续一百二十天以上，双方应通过友好协商，确定是否继续履行合同。</w:t>
      </w:r>
    </w:p>
    <w:p w14:paraId="502655A8">
      <w:pPr>
        <w:snapToGrid w:val="0"/>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第十五条  合同争议解决</w:t>
      </w:r>
    </w:p>
    <w:p w14:paraId="705384EC">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1.因货物质量问题发生争议的，应邀请国家认可的质量检测机构对货物质量进行鉴定。货物符合标准的，鉴定费由甲方承担；货物不符合标准的，鉴定费由乙方承担。</w:t>
      </w:r>
    </w:p>
    <w:p w14:paraId="5A0B09FF">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2.因履行本合同引起的或与本合同有关的争议，甲乙双方应首先通过友好协商解决，如果协商不能解决，可向甲方所在地的人民法院提起诉讼。</w:t>
      </w:r>
    </w:p>
    <w:p w14:paraId="14B54828">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3.诉讼期间，本合同继续履行。</w:t>
      </w:r>
    </w:p>
    <w:p w14:paraId="06DBF3D4">
      <w:pPr>
        <w:snapToGrid w:val="0"/>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第十六条  合同生效及其它</w:t>
      </w:r>
    </w:p>
    <w:p w14:paraId="0C5D66F6">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1.合同经双方法定代表人或授权代表签字并加盖单位公章后生效。</w:t>
      </w:r>
    </w:p>
    <w:p w14:paraId="63AF3A45">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2.合同执行中涉及采购资金和采购内容修改或补充的，须经财政部门审批，并签书面补充协议报财政部门备案，方可作为主合同不可分割的一部分。</w:t>
      </w:r>
    </w:p>
    <w:p w14:paraId="0B831744">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3.本合同未尽事宜，遵照《</w:t>
      </w:r>
      <w:r>
        <w:rPr>
          <w:rFonts w:hint="eastAsia" w:ascii="仿宋_GB2312" w:eastAsia="仿宋_GB2312"/>
          <w:color w:val="auto"/>
          <w:sz w:val="24"/>
        </w:rPr>
        <w:t>中华人民共和国民法典</w:t>
      </w:r>
      <w:r>
        <w:rPr>
          <w:rFonts w:hint="eastAsia" w:ascii="仿宋_GB2312" w:hAnsi="宋体" w:eastAsia="仿宋_GB2312"/>
          <w:color w:val="auto"/>
          <w:sz w:val="24"/>
        </w:rPr>
        <w:t>》有关条文执行。</w:t>
      </w:r>
    </w:p>
    <w:p w14:paraId="2F8CB86C">
      <w:pPr>
        <w:snapToGrid w:val="0"/>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第十七条　合同的变更、终止与转让</w:t>
      </w:r>
    </w:p>
    <w:p w14:paraId="0A784579">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1.除《中华人民共和国政府采购法》第五十条规定的情形外，本合同一经签订，甲乙双方不得擅自变更、中止或终止。</w:t>
      </w:r>
    </w:p>
    <w:p w14:paraId="795D2415">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2.乙方不得擅自转让（无进口资格的供应商委托进口货物除外）其应履行的合同义务。</w:t>
      </w:r>
    </w:p>
    <w:p w14:paraId="62B16BA5">
      <w:pPr>
        <w:snapToGrid w:val="0"/>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第十八条　签订本合同依据</w:t>
      </w:r>
    </w:p>
    <w:p w14:paraId="76EDC0B7">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1.政府采购招标文件；</w:t>
      </w:r>
    </w:p>
    <w:p w14:paraId="7D7741AF">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2.乙方提供的采购投标（或应答）文件；</w:t>
      </w:r>
    </w:p>
    <w:p w14:paraId="31123536">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3.投标承诺书；</w:t>
      </w:r>
    </w:p>
    <w:p w14:paraId="107E10FB">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4.中标或成交通知书。</w:t>
      </w:r>
    </w:p>
    <w:p w14:paraId="59260084">
      <w:pPr>
        <w:snapToGrid w:val="0"/>
        <w:spacing w:line="360" w:lineRule="exact"/>
        <w:ind w:right="-754" w:rightChars="-359" w:firstLine="482" w:firstLineChars="200"/>
        <w:rPr>
          <w:rFonts w:hint="eastAsia" w:ascii="仿宋_GB2312" w:hAnsi="宋体" w:eastAsia="仿宋_GB2312"/>
          <w:color w:val="auto"/>
          <w:sz w:val="24"/>
        </w:rPr>
      </w:pPr>
      <w:r>
        <w:rPr>
          <w:rFonts w:hint="eastAsia" w:ascii="仿宋_GB2312" w:hAnsi="宋体" w:eastAsia="仿宋_GB2312"/>
          <w:b/>
          <w:color w:val="auto"/>
          <w:sz w:val="24"/>
        </w:rPr>
        <w:t>第十九条</w:t>
      </w:r>
      <w:r>
        <w:rPr>
          <w:rFonts w:hint="eastAsia" w:ascii="楷体_GB2312" w:hAnsi="宋体" w:eastAsia="楷体_GB2312"/>
          <w:b/>
          <w:color w:val="auto"/>
          <w:szCs w:val="21"/>
        </w:rPr>
        <w:t>　</w:t>
      </w:r>
      <w:r>
        <w:rPr>
          <w:rFonts w:hint="eastAsia" w:ascii="仿宋_GB2312" w:hAnsi="宋体" w:eastAsia="仿宋_GB2312"/>
          <w:color w:val="auto"/>
          <w:sz w:val="24"/>
        </w:rPr>
        <w:t>本合同一式</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份，具有同等法律效力，采购代理机构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份，甲方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份，乙方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份（可根据需要另增加）。</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3C4B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noWrap w:val="0"/>
            <w:vAlign w:val="center"/>
          </w:tcPr>
          <w:p w14:paraId="6C30146C">
            <w:pPr>
              <w:snapToGrid w:val="0"/>
              <w:spacing w:line="320" w:lineRule="exact"/>
              <w:rPr>
                <w:rFonts w:ascii="仿宋_GB2312" w:eastAsia="仿宋_GB2312"/>
                <w:color w:val="auto"/>
                <w:sz w:val="24"/>
              </w:rPr>
            </w:pPr>
            <w:r>
              <w:rPr>
                <w:rFonts w:hint="eastAsia" w:ascii="仿宋_GB2312" w:eastAsia="仿宋_GB2312"/>
                <w:color w:val="auto"/>
                <w:sz w:val="24"/>
              </w:rPr>
              <w:t xml:space="preserve">甲方（章）           </w:t>
            </w:r>
          </w:p>
          <w:p w14:paraId="0487784F">
            <w:pPr>
              <w:snapToGrid w:val="0"/>
              <w:spacing w:line="320" w:lineRule="exact"/>
              <w:ind w:firstLine="480" w:firstLineChars="200"/>
              <w:rPr>
                <w:rFonts w:ascii="仿宋_GB2312" w:eastAsia="仿宋_GB2312"/>
                <w:color w:val="auto"/>
                <w:sz w:val="24"/>
              </w:rPr>
            </w:pPr>
          </w:p>
          <w:p w14:paraId="06FDF257">
            <w:pPr>
              <w:snapToGrid w:val="0"/>
              <w:spacing w:line="320" w:lineRule="exact"/>
              <w:ind w:firstLine="480" w:firstLineChars="200"/>
              <w:jc w:val="right"/>
              <w:rPr>
                <w:rFonts w:ascii="仿宋_GB2312" w:eastAsia="仿宋_GB2312"/>
                <w:color w:val="auto"/>
                <w:sz w:val="24"/>
              </w:rPr>
            </w:pPr>
            <w:r>
              <w:rPr>
                <w:rFonts w:hint="eastAsia" w:ascii="仿宋_GB2312" w:eastAsia="仿宋_GB2312"/>
                <w:color w:val="auto"/>
                <w:sz w:val="24"/>
              </w:rPr>
              <w:t>年   月   日</w:t>
            </w:r>
          </w:p>
        </w:tc>
        <w:tc>
          <w:tcPr>
            <w:tcW w:w="4690" w:type="dxa"/>
            <w:noWrap w:val="0"/>
            <w:vAlign w:val="center"/>
          </w:tcPr>
          <w:p w14:paraId="72A81E09">
            <w:pPr>
              <w:snapToGrid w:val="0"/>
              <w:spacing w:line="320" w:lineRule="exact"/>
              <w:rPr>
                <w:rFonts w:ascii="仿宋_GB2312" w:eastAsia="仿宋_GB2312"/>
                <w:color w:val="auto"/>
                <w:sz w:val="24"/>
              </w:rPr>
            </w:pPr>
            <w:r>
              <w:rPr>
                <w:rFonts w:hint="eastAsia" w:ascii="仿宋_GB2312" w:eastAsia="仿宋_GB2312"/>
                <w:color w:val="auto"/>
                <w:sz w:val="24"/>
              </w:rPr>
              <w:t xml:space="preserve">乙方（章）              </w:t>
            </w:r>
          </w:p>
          <w:p w14:paraId="216E6EBE">
            <w:pPr>
              <w:snapToGrid w:val="0"/>
              <w:spacing w:line="320" w:lineRule="exact"/>
              <w:ind w:firstLine="480" w:firstLineChars="200"/>
              <w:rPr>
                <w:rFonts w:ascii="仿宋_GB2312" w:eastAsia="仿宋_GB2312"/>
                <w:color w:val="auto"/>
                <w:sz w:val="24"/>
              </w:rPr>
            </w:pPr>
          </w:p>
          <w:p w14:paraId="0468E95E">
            <w:pPr>
              <w:snapToGrid w:val="0"/>
              <w:spacing w:line="320" w:lineRule="exact"/>
              <w:ind w:firstLine="480" w:firstLineChars="200"/>
              <w:jc w:val="right"/>
              <w:rPr>
                <w:rFonts w:ascii="仿宋_GB2312" w:eastAsia="仿宋_GB2312"/>
                <w:color w:val="auto"/>
                <w:sz w:val="24"/>
              </w:rPr>
            </w:pPr>
            <w:r>
              <w:rPr>
                <w:rFonts w:hint="eastAsia" w:ascii="仿宋_GB2312" w:eastAsia="仿宋_GB2312"/>
                <w:color w:val="auto"/>
                <w:sz w:val="24"/>
              </w:rPr>
              <w:t xml:space="preserve"> 年   月   日</w:t>
            </w:r>
          </w:p>
        </w:tc>
      </w:tr>
      <w:tr w14:paraId="0F33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noWrap w:val="0"/>
            <w:vAlign w:val="center"/>
          </w:tcPr>
          <w:p w14:paraId="7FDCD615">
            <w:pPr>
              <w:snapToGrid w:val="0"/>
              <w:spacing w:line="320" w:lineRule="exact"/>
              <w:rPr>
                <w:rFonts w:ascii="仿宋_GB2312" w:eastAsia="仿宋_GB2312"/>
                <w:color w:val="auto"/>
                <w:sz w:val="24"/>
              </w:rPr>
            </w:pPr>
            <w:r>
              <w:rPr>
                <w:rFonts w:hint="eastAsia" w:ascii="仿宋_GB2312" w:eastAsia="仿宋_GB2312"/>
                <w:color w:val="auto"/>
                <w:sz w:val="24"/>
              </w:rPr>
              <w:t>单位地址：</w:t>
            </w:r>
          </w:p>
        </w:tc>
        <w:tc>
          <w:tcPr>
            <w:tcW w:w="4690" w:type="dxa"/>
            <w:noWrap w:val="0"/>
            <w:vAlign w:val="center"/>
          </w:tcPr>
          <w:p w14:paraId="0B9585B8">
            <w:pPr>
              <w:snapToGrid w:val="0"/>
              <w:spacing w:line="320" w:lineRule="exact"/>
              <w:rPr>
                <w:rFonts w:ascii="仿宋_GB2312" w:eastAsia="仿宋_GB2312"/>
                <w:color w:val="auto"/>
                <w:sz w:val="24"/>
              </w:rPr>
            </w:pPr>
            <w:r>
              <w:rPr>
                <w:rFonts w:hint="eastAsia" w:ascii="仿宋_GB2312" w:eastAsia="仿宋_GB2312"/>
                <w:color w:val="auto"/>
                <w:sz w:val="24"/>
              </w:rPr>
              <w:t>单位地址：</w:t>
            </w:r>
          </w:p>
        </w:tc>
      </w:tr>
      <w:tr w14:paraId="0B86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noWrap w:val="0"/>
            <w:vAlign w:val="center"/>
          </w:tcPr>
          <w:p w14:paraId="0F0CE155">
            <w:pPr>
              <w:snapToGrid w:val="0"/>
              <w:spacing w:line="320" w:lineRule="exact"/>
              <w:rPr>
                <w:rFonts w:ascii="仿宋_GB2312" w:eastAsia="仿宋_GB2312"/>
                <w:color w:val="auto"/>
                <w:sz w:val="24"/>
              </w:rPr>
            </w:pPr>
            <w:r>
              <w:rPr>
                <w:rFonts w:hint="eastAsia" w:ascii="仿宋_GB2312" w:eastAsia="仿宋_GB2312"/>
                <w:color w:val="auto"/>
                <w:sz w:val="24"/>
              </w:rPr>
              <w:t>法定代表人：</w:t>
            </w:r>
          </w:p>
        </w:tc>
        <w:tc>
          <w:tcPr>
            <w:tcW w:w="4690" w:type="dxa"/>
            <w:noWrap w:val="0"/>
            <w:vAlign w:val="center"/>
          </w:tcPr>
          <w:p w14:paraId="333D31C6">
            <w:pPr>
              <w:snapToGrid w:val="0"/>
              <w:spacing w:line="320" w:lineRule="exact"/>
              <w:rPr>
                <w:rFonts w:ascii="仿宋_GB2312" w:eastAsia="仿宋_GB2312"/>
                <w:color w:val="auto"/>
                <w:sz w:val="24"/>
              </w:rPr>
            </w:pPr>
            <w:r>
              <w:rPr>
                <w:rFonts w:hint="eastAsia" w:ascii="仿宋_GB2312" w:eastAsia="仿宋_GB2312"/>
                <w:color w:val="auto"/>
                <w:sz w:val="24"/>
              </w:rPr>
              <w:t>法定代表人：</w:t>
            </w:r>
          </w:p>
        </w:tc>
      </w:tr>
      <w:tr w14:paraId="411E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noWrap w:val="0"/>
            <w:vAlign w:val="center"/>
          </w:tcPr>
          <w:p w14:paraId="54EEA00B">
            <w:pPr>
              <w:snapToGrid w:val="0"/>
              <w:spacing w:line="320" w:lineRule="exact"/>
              <w:rPr>
                <w:rFonts w:ascii="仿宋_GB2312" w:eastAsia="仿宋_GB2312"/>
                <w:color w:val="auto"/>
                <w:sz w:val="24"/>
              </w:rPr>
            </w:pPr>
            <w:r>
              <w:rPr>
                <w:rFonts w:hint="eastAsia" w:ascii="仿宋_GB2312" w:eastAsia="仿宋_GB2312"/>
                <w:color w:val="auto"/>
                <w:sz w:val="24"/>
              </w:rPr>
              <w:t>委托代理人：</w:t>
            </w:r>
          </w:p>
        </w:tc>
        <w:tc>
          <w:tcPr>
            <w:tcW w:w="4690" w:type="dxa"/>
            <w:noWrap w:val="0"/>
            <w:vAlign w:val="center"/>
          </w:tcPr>
          <w:p w14:paraId="1F9E3175">
            <w:pPr>
              <w:snapToGrid w:val="0"/>
              <w:spacing w:line="320" w:lineRule="exact"/>
              <w:rPr>
                <w:rFonts w:ascii="仿宋_GB2312" w:eastAsia="仿宋_GB2312"/>
                <w:color w:val="auto"/>
                <w:sz w:val="24"/>
              </w:rPr>
            </w:pPr>
            <w:r>
              <w:rPr>
                <w:rFonts w:hint="eastAsia" w:ascii="仿宋_GB2312" w:eastAsia="仿宋_GB2312"/>
                <w:color w:val="auto"/>
                <w:sz w:val="24"/>
              </w:rPr>
              <w:t>委托代理人：</w:t>
            </w:r>
          </w:p>
        </w:tc>
      </w:tr>
      <w:tr w14:paraId="6381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noWrap w:val="0"/>
            <w:vAlign w:val="center"/>
          </w:tcPr>
          <w:p w14:paraId="26C3AE77">
            <w:pPr>
              <w:snapToGrid w:val="0"/>
              <w:spacing w:line="320" w:lineRule="exact"/>
              <w:rPr>
                <w:rFonts w:ascii="仿宋_GB2312" w:eastAsia="仿宋_GB2312"/>
                <w:color w:val="auto"/>
                <w:sz w:val="24"/>
              </w:rPr>
            </w:pPr>
            <w:r>
              <w:rPr>
                <w:rFonts w:hint="eastAsia" w:ascii="仿宋_GB2312" w:eastAsia="仿宋_GB2312"/>
                <w:color w:val="auto"/>
                <w:sz w:val="24"/>
              </w:rPr>
              <w:t>电    话：</w:t>
            </w:r>
          </w:p>
        </w:tc>
        <w:tc>
          <w:tcPr>
            <w:tcW w:w="4690" w:type="dxa"/>
            <w:noWrap w:val="0"/>
            <w:vAlign w:val="center"/>
          </w:tcPr>
          <w:p w14:paraId="19DD112F">
            <w:pPr>
              <w:snapToGrid w:val="0"/>
              <w:spacing w:line="320" w:lineRule="exact"/>
              <w:rPr>
                <w:rFonts w:ascii="仿宋_GB2312" w:eastAsia="仿宋_GB2312"/>
                <w:color w:val="auto"/>
                <w:sz w:val="24"/>
              </w:rPr>
            </w:pPr>
            <w:r>
              <w:rPr>
                <w:rFonts w:hint="eastAsia" w:ascii="仿宋_GB2312" w:eastAsia="仿宋_GB2312"/>
                <w:color w:val="auto"/>
                <w:sz w:val="24"/>
              </w:rPr>
              <w:t>电    话：</w:t>
            </w:r>
          </w:p>
        </w:tc>
      </w:tr>
      <w:tr w14:paraId="450F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noWrap w:val="0"/>
            <w:vAlign w:val="center"/>
          </w:tcPr>
          <w:p w14:paraId="082E31B0">
            <w:pPr>
              <w:snapToGrid w:val="0"/>
              <w:spacing w:line="320" w:lineRule="exact"/>
              <w:rPr>
                <w:rFonts w:ascii="仿宋_GB2312" w:eastAsia="仿宋_GB2312"/>
                <w:color w:val="auto"/>
                <w:sz w:val="24"/>
              </w:rPr>
            </w:pPr>
            <w:r>
              <w:rPr>
                <w:rFonts w:hint="eastAsia" w:ascii="仿宋_GB2312" w:eastAsia="仿宋_GB2312"/>
                <w:color w:val="auto"/>
                <w:sz w:val="24"/>
              </w:rPr>
              <w:t>电子邮箱：</w:t>
            </w:r>
          </w:p>
        </w:tc>
        <w:tc>
          <w:tcPr>
            <w:tcW w:w="4690" w:type="dxa"/>
            <w:noWrap w:val="0"/>
            <w:vAlign w:val="center"/>
          </w:tcPr>
          <w:p w14:paraId="427DECA9">
            <w:pPr>
              <w:snapToGrid w:val="0"/>
              <w:spacing w:line="320" w:lineRule="exact"/>
              <w:rPr>
                <w:rFonts w:ascii="仿宋_GB2312" w:eastAsia="仿宋_GB2312"/>
                <w:color w:val="auto"/>
                <w:sz w:val="24"/>
              </w:rPr>
            </w:pPr>
            <w:r>
              <w:rPr>
                <w:rFonts w:hint="eastAsia" w:ascii="仿宋_GB2312" w:eastAsia="仿宋_GB2312"/>
                <w:color w:val="auto"/>
                <w:sz w:val="24"/>
              </w:rPr>
              <w:t>电子邮箱：</w:t>
            </w:r>
          </w:p>
        </w:tc>
      </w:tr>
      <w:tr w14:paraId="022C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noWrap w:val="0"/>
            <w:vAlign w:val="center"/>
          </w:tcPr>
          <w:p w14:paraId="74DF1D01">
            <w:pPr>
              <w:snapToGrid w:val="0"/>
              <w:spacing w:line="320" w:lineRule="exact"/>
              <w:rPr>
                <w:rFonts w:ascii="仿宋_GB2312" w:eastAsia="仿宋_GB2312"/>
                <w:color w:val="auto"/>
                <w:sz w:val="24"/>
              </w:rPr>
            </w:pPr>
            <w:r>
              <w:rPr>
                <w:rFonts w:hint="eastAsia" w:ascii="仿宋_GB2312" w:eastAsia="仿宋_GB2312"/>
                <w:color w:val="auto"/>
                <w:sz w:val="24"/>
              </w:rPr>
              <w:t>开户银行：</w:t>
            </w:r>
          </w:p>
        </w:tc>
        <w:tc>
          <w:tcPr>
            <w:tcW w:w="4690" w:type="dxa"/>
            <w:noWrap w:val="0"/>
            <w:vAlign w:val="center"/>
          </w:tcPr>
          <w:p w14:paraId="4A35A9CE">
            <w:pPr>
              <w:snapToGrid w:val="0"/>
              <w:spacing w:line="320" w:lineRule="exact"/>
              <w:rPr>
                <w:rFonts w:ascii="仿宋_GB2312" w:eastAsia="仿宋_GB2312"/>
                <w:color w:val="auto"/>
                <w:sz w:val="24"/>
              </w:rPr>
            </w:pPr>
            <w:r>
              <w:rPr>
                <w:rFonts w:hint="eastAsia" w:ascii="仿宋_GB2312" w:eastAsia="仿宋_GB2312"/>
                <w:color w:val="auto"/>
                <w:sz w:val="24"/>
              </w:rPr>
              <w:t>开户银行：</w:t>
            </w:r>
          </w:p>
        </w:tc>
      </w:tr>
      <w:tr w14:paraId="20F2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noWrap w:val="0"/>
            <w:vAlign w:val="center"/>
          </w:tcPr>
          <w:p w14:paraId="5D98103B">
            <w:pPr>
              <w:snapToGrid w:val="0"/>
              <w:spacing w:line="320" w:lineRule="exact"/>
              <w:rPr>
                <w:rFonts w:ascii="仿宋_GB2312" w:eastAsia="仿宋_GB2312"/>
                <w:color w:val="auto"/>
                <w:sz w:val="24"/>
              </w:rPr>
            </w:pPr>
            <w:r>
              <w:rPr>
                <w:rFonts w:hint="eastAsia" w:ascii="仿宋_GB2312" w:eastAsia="仿宋_GB2312"/>
                <w:color w:val="auto"/>
                <w:sz w:val="24"/>
              </w:rPr>
              <w:t>账    号：</w:t>
            </w:r>
          </w:p>
        </w:tc>
        <w:tc>
          <w:tcPr>
            <w:tcW w:w="4690" w:type="dxa"/>
            <w:noWrap w:val="0"/>
            <w:vAlign w:val="center"/>
          </w:tcPr>
          <w:p w14:paraId="79137DFB">
            <w:pPr>
              <w:snapToGrid w:val="0"/>
              <w:spacing w:line="320" w:lineRule="exact"/>
              <w:rPr>
                <w:rFonts w:ascii="仿宋_GB2312" w:eastAsia="仿宋_GB2312"/>
                <w:color w:val="auto"/>
                <w:sz w:val="24"/>
              </w:rPr>
            </w:pPr>
            <w:r>
              <w:rPr>
                <w:rFonts w:hint="eastAsia" w:ascii="仿宋_GB2312" w:eastAsia="仿宋_GB2312"/>
                <w:color w:val="auto"/>
                <w:sz w:val="24"/>
              </w:rPr>
              <w:t>账    号：</w:t>
            </w:r>
          </w:p>
        </w:tc>
      </w:tr>
      <w:tr w14:paraId="7971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noWrap w:val="0"/>
            <w:vAlign w:val="center"/>
          </w:tcPr>
          <w:p w14:paraId="5954FABB">
            <w:pPr>
              <w:snapToGrid w:val="0"/>
              <w:spacing w:line="320" w:lineRule="exact"/>
              <w:rPr>
                <w:rFonts w:ascii="仿宋_GB2312" w:eastAsia="仿宋_GB2312"/>
                <w:color w:val="auto"/>
                <w:sz w:val="24"/>
              </w:rPr>
            </w:pPr>
            <w:r>
              <w:rPr>
                <w:rFonts w:hint="eastAsia" w:ascii="仿宋_GB2312" w:eastAsia="仿宋_GB2312"/>
                <w:color w:val="auto"/>
                <w:sz w:val="24"/>
              </w:rPr>
              <w:t>邮政编码：</w:t>
            </w:r>
          </w:p>
        </w:tc>
        <w:tc>
          <w:tcPr>
            <w:tcW w:w="4690" w:type="dxa"/>
            <w:noWrap w:val="0"/>
            <w:vAlign w:val="center"/>
          </w:tcPr>
          <w:p w14:paraId="53BA8E86">
            <w:pPr>
              <w:snapToGrid w:val="0"/>
              <w:spacing w:line="320" w:lineRule="exact"/>
              <w:rPr>
                <w:rFonts w:ascii="仿宋_GB2312" w:eastAsia="仿宋_GB2312"/>
                <w:color w:val="auto"/>
                <w:sz w:val="24"/>
              </w:rPr>
            </w:pPr>
            <w:r>
              <w:rPr>
                <w:rFonts w:hint="eastAsia" w:ascii="仿宋_GB2312" w:eastAsia="仿宋_GB2312"/>
                <w:color w:val="auto"/>
                <w:sz w:val="24"/>
              </w:rPr>
              <w:t>邮政编码：</w:t>
            </w:r>
          </w:p>
        </w:tc>
      </w:tr>
      <w:tr w14:paraId="4FF2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noWrap w:val="0"/>
            <w:vAlign w:val="top"/>
          </w:tcPr>
          <w:p w14:paraId="6E67371A">
            <w:pPr>
              <w:snapToGrid w:val="0"/>
              <w:spacing w:line="320" w:lineRule="exact"/>
              <w:rPr>
                <w:rFonts w:ascii="仿宋_GB2312" w:eastAsia="仿宋_GB2312"/>
                <w:color w:val="auto"/>
                <w:sz w:val="24"/>
              </w:rPr>
            </w:pPr>
            <w:r>
              <w:rPr>
                <w:rFonts w:hint="eastAsia" w:ascii="仿宋_GB2312" w:eastAsia="仿宋_GB2312"/>
                <w:color w:val="auto"/>
                <w:sz w:val="24"/>
              </w:rPr>
              <w:t>经办人：</w:t>
            </w:r>
          </w:p>
          <w:p w14:paraId="388A9EAF">
            <w:pPr>
              <w:snapToGrid w:val="0"/>
              <w:spacing w:line="320" w:lineRule="exact"/>
              <w:ind w:firstLine="480" w:firstLineChars="200"/>
              <w:jc w:val="right"/>
              <w:rPr>
                <w:rFonts w:ascii="仿宋_GB2312" w:eastAsia="仿宋_GB2312"/>
                <w:color w:val="auto"/>
                <w:sz w:val="24"/>
              </w:rPr>
            </w:pPr>
            <w:r>
              <w:rPr>
                <w:rFonts w:hint="eastAsia" w:ascii="仿宋_GB2312" w:eastAsia="仿宋_GB2312"/>
                <w:color w:val="auto"/>
                <w:sz w:val="24"/>
              </w:rPr>
              <w:t>年    月    日</w:t>
            </w:r>
          </w:p>
        </w:tc>
      </w:tr>
    </w:tbl>
    <w:p w14:paraId="78C03A71">
      <w:pPr>
        <w:spacing w:line="360" w:lineRule="exact"/>
        <w:ind w:left="420" w:leftChars="200" w:firstLine="360" w:firstLineChars="150"/>
        <w:jc w:val="left"/>
        <w:rPr>
          <w:rFonts w:ascii="仿宋_GB2312" w:eastAsia="仿宋_GB2312"/>
          <w:color w:val="auto"/>
          <w:sz w:val="24"/>
        </w:rPr>
      </w:pPr>
    </w:p>
    <w:p w14:paraId="64EC022E">
      <w:pPr>
        <w:rPr>
          <w:rFonts w:hint="eastAsia" w:ascii="仿宋_GB2312" w:eastAsia="仿宋_GB2312"/>
          <w:b/>
          <w:color w:val="auto"/>
          <w:sz w:val="28"/>
          <w:szCs w:val="28"/>
        </w:rPr>
      </w:pPr>
      <w:r>
        <w:rPr>
          <w:rFonts w:hint="eastAsia" w:ascii="仿宋_GB2312" w:eastAsia="仿宋_GB2312"/>
          <w:b/>
          <w:color w:val="auto"/>
          <w:sz w:val="28"/>
          <w:szCs w:val="28"/>
        </w:rPr>
        <w:br w:type="page"/>
      </w:r>
    </w:p>
    <w:p w14:paraId="152DBD71">
      <w:pPr>
        <w:snapToGrid w:val="0"/>
        <w:jc w:val="center"/>
        <w:rPr>
          <w:rFonts w:ascii="仿宋_GB2312" w:eastAsia="仿宋_GB2312"/>
          <w:b/>
          <w:color w:val="auto"/>
          <w:sz w:val="28"/>
          <w:szCs w:val="28"/>
        </w:rPr>
      </w:pPr>
      <w:r>
        <w:rPr>
          <w:rFonts w:hint="eastAsia" w:ascii="仿宋_GB2312" w:eastAsia="仿宋_GB2312"/>
          <w:b/>
          <w:color w:val="auto"/>
          <w:sz w:val="28"/>
          <w:szCs w:val="28"/>
        </w:rPr>
        <w:t>合 同 附 件</w:t>
      </w:r>
    </w:p>
    <w:p w14:paraId="704FB22D">
      <w:pPr>
        <w:snapToGrid w:val="0"/>
        <w:ind w:firstLine="240" w:firstLineChars="100"/>
        <w:rPr>
          <w:rFonts w:ascii="仿宋_GB2312" w:eastAsia="仿宋_GB2312"/>
          <w:b/>
          <w:color w:val="auto"/>
          <w:sz w:val="24"/>
        </w:rPr>
      </w:pPr>
      <w:r>
        <w:rPr>
          <w:rFonts w:hint="eastAsia" w:ascii="仿宋_GB2312" w:eastAsia="仿宋_GB2312"/>
          <w:color w:val="auto"/>
          <w:sz w:val="24"/>
        </w:rPr>
        <w:t>一般货物类</w:t>
      </w:r>
    </w:p>
    <w:tbl>
      <w:tblPr>
        <w:tblStyle w:val="48"/>
        <w:tblW w:w="0" w:type="auto"/>
        <w:tblInd w:w="108" w:type="dxa"/>
        <w:tblLayout w:type="fixed"/>
        <w:tblCellMar>
          <w:top w:w="0" w:type="dxa"/>
          <w:left w:w="108" w:type="dxa"/>
          <w:bottom w:w="0" w:type="dxa"/>
          <w:right w:w="108" w:type="dxa"/>
        </w:tblCellMar>
      </w:tblPr>
      <w:tblGrid>
        <w:gridCol w:w="4678"/>
        <w:gridCol w:w="4394"/>
      </w:tblGrid>
      <w:tr w14:paraId="05D2D726">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noWrap w:val="0"/>
            <w:vAlign w:val="top"/>
          </w:tcPr>
          <w:p w14:paraId="5801BCA5">
            <w:pPr>
              <w:snapToGrid w:val="0"/>
              <w:rPr>
                <w:rFonts w:ascii="仿宋_GB2312" w:eastAsia="仿宋_GB2312"/>
                <w:color w:val="auto"/>
                <w:sz w:val="24"/>
              </w:rPr>
            </w:pPr>
            <w:r>
              <w:rPr>
                <w:rFonts w:hint="eastAsia" w:ascii="仿宋_GB2312" w:eastAsia="仿宋_GB2312"/>
                <w:color w:val="auto"/>
                <w:sz w:val="24"/>
              </w:rPr>
              <w:t>1</w:t>
            </w:r>
            <w:r>
              <w:rPr>
                <w:rFonts w:hint="eastAsia" w:ascii="仿宋_GB2312" w:hAnsi="宋体" w:eastAsia="仿宋_GB2312"/>
                <w:color w:val="auto"/>
                <w:sz w:val="24"/>
              </w:rPr>
              <w:t>.</w:t>
            </w:r>
            <w:r>
              <w:rPr>
                <w:rFonts w:hint="eastAsia" w:ascii="仿宋_GB2312" w:eastAsia="仿宋_GB2312"/>
                <w:color w:val="auto"/>
                <w:sz w:val="24"/>
              </w:rPr>
              <w:t>供应商承诺具体事项：</w:t>
            </w:r>
          </w:p>
          <w:p w14:paraId="6166630E">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14:paraId="0329A681">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noWrap w:val="0"/>
            <w:vAlign w:val="top"/>
          </w:tcPr>
          <w:p w14:paraId="2917CA29">
            <w:pPr>
              <w:snapToGrid w:val="0"/>
              <w:rPr>
                <w:rFonts w:ascii="仿宋_GB2312" w:eastAsia="仿宋_GB2312"/>
                <w:color w:val="auto"/>
                <w:sz w:val="24"/>
              </w:rPr>
            </w:pPr>
            <w:r>
              <w:rPr>
                <w:rFonts w:hint="eastAsia" w:ascii="仿宋_GB2312" w:eastAsia="仿宋_GB2312"/>
                <w:color w:val="auto"/>
                <w:sz w:val="24"/>
              </w:rPr>
              <w:t>2</w:t>
            </w:r>
            <w:r>
              <w:rPr>
                <w:rFonts w:hint="eastAsia" w:ascii="仿宋_GB2312" w:hAnsi="宋体" w:eastAsia="仿宋_GB2312"/>
                <w:color w:val="auto"/>
                <w:sz w:val="24"/>
              </w:rPr>
              <w:t>.</w:t>
            </w:r>
            <w:r>
              <w:rPr>
                <w:rFonts w:hint="eastAsia" w:ascii="仿宋_GB2312" w:eastAsia="仿宋_GB2312"/>
                <w:color w:val="auto"/>
                <w:sz w:val="24"/>
              </w:rPr>
              <w:t>售后服务具体事项：</w:t>
            </w:r>
          </w:p>
          <w:p w14:paraId="7BA2FEAD">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14:paraId="1F8B39B1">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noWrap w:val="0"/>
            <w:vAlign w:val="top"/>
          </w:tcPr>
          <w:p w14:paraId="1847123F">
            <w:pPr>
              <w:snapToGrid w:val="0"/>
              <w:rPr>
                <w:rFonts w:ascii="仿宋_GB2312" w:eastAsia="仿宋_GB2312"/>
                <w:color w:val="auto"/>
                <w:sz w:val="24"/>
              </w:rPr>
            </w:pPr>
            <w:r>
              <w:rPr>
                <w:rFonts w:hint="eastAsia" w:ascii="仿宋_GB2312" w:eastAsia="仿宋_GB2312"/>
                <w:color w:val="auto"/>
                <w:sz w:val="24"/>
              </w:rPr>
              <w:t>3</w:t>
            </w:r>
            <w:r>
              <w:rPr>
                <w:rFonts w:hint="eastAsia" w:ascii="仿宋_GB2312" w:hAnsi="宋体" w:eastAsia="仿宋_GB2312"/>
                <w:color w:val="auto"/>
                <w:sz w:val="24"/>
              </w:rPr>
              <w:t>.</w:t>
            </w:r>
            <w:r>
              <w:rPr>
                <w:rFonts w:hint="eastAsia" w:ascii="仿宋_GB2312" w:eastAsia="仿宋_GB2312"/>
                <w:color w:val="auto"/>
                <w:sz w:val="24"/>
              </w:rPr>
              <w:t>保修期责任：</w:t>
            </w:r>
          </w:p>
          <w:p w14:paraId="5BCDAB55">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14:paraId="1DB0C089">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noWrap w:val="0"/>
            <w:vAlign w:val="top"/>
          </w:tcPr>
          <w:p w14:paraId="5344D9B3">
            <w:pPr>
              <w:snapToGrid w:val="0"/>
              <w:rPr>
                <w:rFonts w:ascii="仿宋_GB2312" w:eastAsia="仿宋_GB2312"/>
                <w:color w:val="auto"/>
                <w:sz w:val="24"/>
              </w:rPr>
            </w:pPr>
            <w:r>
              <w:rPr>
                <w:rFonts w:hint="eastAsia" w:ascii="仿宋_GB2312" w:eastAsia="仿宋_GB2312"/>
                <w:color w:val="auto"/>
                <w:sz w:val="24"/>
              </w:rPr>
              <w:t>4</w:t>
            </w:r>
            <w:r>
              <w:rPr>
                <w:rFonts w:hint="eastAsia" w:ascii="仿宋_GB2312" w:hAnsi="宋体" w:eastAsia="仿宋_GB2312"/>
                <w:color w:val="auto"/>
                <w:sz w:val="24"/>
              </w:rPr>
              <w:t>.</w:t>
            </w:r>
            <w:r>
              <w:rPr>
                <w:rFonts w:hint="eastAsia" w:ascii="仿宋_GB2312" w:eastAsia="仿宋_GB2312"/>
                <w:color w:val="auto"/>
                <w:sz w:val="24"/>
              </w:rPr>
              <w:t>其他具体事项：</w:t>
            </w:r>
          </w:p>
          <w:p w14:paraId="277C215C">
            <w:pPr>
              <w:snapToGrid w:val="0"/>
              <w:rPr>
                <w:rFonts w:ascii="仿宋_GB2312" w:eastAsia="仿宋_GB2312"/>
                <w:color w:val="auto"/>
                <w:sz w:val="24"/>
              </w:rPr>
            </w:pPr>
          </w:p>
        </w:tc>
      </w:tr>
      <w:tr w14:paraId="3E7F594F">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noWrap w:val="0"/>
            <w:vAlign w:val="center"/>
          </w:tcPr>
          <w:p w14:paraId="53F264AC">
            <w:pPr>
              <w:snapToGrid w:val="0"/>
              <w:spacing w:line="276" w:lineRule="auto"/>
              <w:rPr>
                <w:rFonts w:ascii="仿宋_GB2312" w:eastAsia="仿宋_GB2312"/>
                <w:color w:val="auto"/>
                <w:sz w:val="24"/>
              </w:rPr>
            </w:pPr>
            <w:r>
              <w:rPr>
                <w:rFonts w:hint="eastAsia" w:ascii="仿宋_GB2312" w:eastAsia="仿宋_GB2312"/>
                <w:color w:val="auto"/>
                <w:sz w:val="24"/>
              </w:rPr>
              <w:t>甲方（章）</w:t>
            </w:r>
          </w:p>
          <w:p w14:paraId="078610F1">
            <w:pPr>
              <w:snapToGrid w:val="0"/>
              <w:spacing w:line="276" w:lineRule="auto"/>
              <w:ind w:firstLine="480" w:firstLineChars="200"/>
              <w:rPr>
                <w:rFonts w:ascii="仿宋_GB2312" w:eastAsia="仿宋_GB2312"/>
                <w:color w:val="auto"/>
                <w:sz w:val="24"/>
              </w:rPr>
            </w:pPr>
          </w:p>
          <w:p w14:paraId="4B993F6E">
            <w:pPr>
              <w:snapToGrid w:val="0"/>
              <w:spacing w:line="276" w:lineRule="auto"/>
              <w:ind w:firstLine="480" w:firstLineChars="200"/>
              <w:rPr>
                <w:rFonts w:ascii="仿宋_GB2312" w:eastAsia="仿宋_GB2312"/>
                <w:color w:val="auto"/>
                <w:sz w:val="24"/>
              </w:rPr>
            </w:pPr>
          </w:p>
          <w:p w14:paraId="5AFD30E7">
            <w:pPr>
              <w:snapToGrid w:val="0"/>
              <w:spacing w:line="276" w:lineRule="auto"/>
              <w:ind w:firstLine="480" w:firstLineChars="200"/>
              <w:rPr>
                <w:rFonts w:ascii="仿宋_GB2312" w:eastAsia="仿宋_GB2312"/>
                <w:color w:val="auto"/>
                <w:sz w:val="24"/>
              </w:rPr>
            </w:pPr>
          </w:p>
          <w:p w14:paraId="7763AFC7">
            <w:pPr>
              <w:snapToGrid w:val="0"/>
              <w:spacing w:line="276" w:lineRule="auto"/>
              <w:ind w:firstLine="480" w:firstLineChars="200"/>
              <w:rPr>
                <w:rFonts w:ascii="仿宋_GB2312" w:eastAsia="仿宋_GB2312"/>
                <w:color w:val="auto"/>
                <w:sz w:val="24"/>
              </w:rPr>
            </w:pPr>
          </w:p>
          <w:p w14:paraId="24D54E8B">
            <w:pPr>
              <w:snapToGrid w:val="0"/>
              <w:spacing w:line="276" w:lineRule="auto"/>
              <w:ind w:firstLine="480" w:firstLineChars="200"/>
              <w:rPr>
                <w:rFonts w:ascii="仿宋_GB2312" w:eastAsia="仿宋_GB2312"/>
                <w:color w:val="auto"/>
                <w:sz w:val="24"/>
              </w:rPr>
            </w:pPr>
          </w:p>
          <w:p w14:paraId="65500DF2">
            <w:pPr>
              <w:snapToGrid w:val="0"/>
              <w:spacing w:line="276" w:lineRule="auto"/>
              <w:ind w:firstLine="480" w:firstLineChars="200"/>
              <w:rPr>
                <w:rFonts w:ascii="仿宋_GB2312" w:eastAsia="仿宋_GB2312"/>
                <w:color w:val="auto"/>
                <w:sz w:val="24"/>
              </w:rPr>
            </w:pPr>
          </w:p>
          <w:p w14:paraId="55918F12">
            <w:pPr>
              <w:snapToGrid w:val="0"/>
              <w:spacing w:line="276" w:lineRule="auto"/>
              <w:ind w:firstLine="480" w:firstLineChars="200"/>
              <w:rPr>
                <w:rFonts w:ascii="仿宋_GB2312" w:eastAsia="仿宋_GB2312"/>
                <w:color w:val="auto"/>
                <w:sz w:val="24"/>
              </w:rPr>
            </w:pPr>
            <w:r>
              <w:rPr>
                <w:rFonts w:hint="eastAsia" w:ascii="仿宋_GB2312" w:eastAsia="仿宋_GB2312"/>
                <w:color w:val="auto"/>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54F0CD38">
            <w:pPr>
              <w:snapToGrid w:val="0"/>
              <w:spacing w:line="276" w:lineRule="auto"/>
              <w:rPr>
                <w:rFonts w:ascii="仿宋_GB2312" w:eastAsia="仿宋_GB2312"/>
                <w:color w:val="auto"/>
                <w:sz w:val="24"/>
              </w:rPr>
            </w:pPr>
            <w:r>
              <w:rPr>
                <w:rFonts w:hint="eastAsia" w:ascii="仿宋_GB2312" w:eastAsia="仿宋_GB2312"/>
                <w:color w:val="auto"/>
                <w:sz w:val="24"/>
              </w:rPr>
              <w:t>乙方（章）</w:t>
            </w:r>
          </w:p>
          <w:p w14:paraId="542EACA6">
            <w:pPr>
              <w:snapToGrid w:val="0"/>
              <w:spacing w:line="276" w:lineRule="auto"/>
              <w:ind w:firstLine="480" w:firstLineChars="200"/>
              <w:rPr>
                <w:rFonts w:ascii="仿宋_GB2312" w:eastAsia="仿宋_GB2312"/>
                <w:color w:val="auto"/>
                <w:sz w:val="24"/>
              </w:rPr>
            </w:pPr>
          </w:p>
          <w:p w14:paraId="4AF64C30">
            <w:pPr>
              <w:snapToGrid w:val="0"/>
              <w:spacing w:line="276" w:lineRule="auto"/>
              <w:ind w:firstLine="480" w:firstLineChars="200"/>
              <w:rPr>
                <w:rFonts w:ascii="仿宋_GB2312" w:eastAsia="仿宋_GB2312"/>
                <w:color w:val="auto"/>
                <w:sz w:val="24"/>
              </w:rPr>
            </w:pPr>
          </w:p>
          <w:p w14:paraId="6D38985D">
            <w:pPr>
              <w:snapToGrid w:val="0"/>
              <w:spacing w:line="276" w:lineRule="auto"/>
              <w:ind w:firstLine="480" w:firstLineChars="200"/>
              <w:rPr>
                <w:rFonts w:ascii="仿宋_GB2312" w:eastAsia="仿宋_GB2312"/>
                <w:color w:val="auto"/>
                <w:sz w:val="24"/>
              </w:rPr>
            </w:pPr>
          </w:p>
          <w:p w14:paraId="7B3D055C">
            <w:pPr>
              <w:snapToGrid w:val="0"/>
              <w:spacing w:line="276" w:lineRule="auto"/>
              <w:ind w:firstLine="480" w:firstLineChars="200"/>
              <w:rPr>
                <w:rFonts w:ascii="仿宋_GB2312" w:eastAsia="仿宋_GB2312"/>
                <w:color w:val="auto"/>
                <w:sz w:val="24"/>
              </w:rPr>
            </w:pPr>
          </w:p>
          <w:p w14:paraId="32E26E4B">
            <w:pPr>
              <w:snapToGrid w:val="0"/>
              <w:spacing w:line="276" w:lineRule="auto"/>
              <w:ind w:firstLine="480" w:firstLineChars="200"/>
              <w:rPr>
                <w:rFonts w:ascii="仿宋_GB2312" w:eastAsia="仿宋_GB2312"/>
                <w:color w:val="auto"/>
                <w:sz w:val="24"/>
              </w:rPr>
            </w:pPr>
          </w:p>
          <w:p w14:paraId="1389AFC1">
            <w:pPr>
              <w:snapToGrid w:val="0"/>
              <w:spacing w:line="276" w:lineRule="auto"/>
              <w:ind w:firstLine="480" w:firstLineChars="200"/>
              <w:rPr>
                <w:rFonts w:ascii="仿宋_GB2312" w:eastAsia="仿宋_GB2312"/>
                <w:color w:val="auto"/>
                <w:sz w:val="24"/>
              </w:rPr>
            </w:pPr>
          </w:p>
          <w:p w14:paraId="64422024">
            <w:pPr>
              <w:snapToGrid w:val="0"/>
              <w:spacing w:line="276" w:lineRule="auto"/>
              <w:ind w:firstLine="480" w:firstLineChars="200"/>
              <w:rPr>
                <w:rFonts w:ascii="仿宋_GB2312" w:eastAsia="仿宋_GB2312"/>
                <w:color w:val="auto"/>
                <w:sz w:val="24"/>
              </w:rPr>
            </w:pPr>
            <w:r>
              <w:rPr>
                <w:rFonts w:hint="eastAsia" w:ascii="仿宋_GB2312" w:eastAsia="仿宋_GB2312"/>
                <w:color w:val="auto"/>
                <w:sz w:val="24"/>
              </w:rPr>
              <w:t xml:space="preserve">                年   月   日</w:t>
            </w:r>
          </w:p>
        </w:tc>
      </w:tr>
    </w:tbl>
    <w:p w14:paraId="0AF20A3E">
      <w:pPr>
        <w:snapToGrid w:val="0"/>
        <w:ind w:firstLine="480" w:firstLineChars="200"/>
        <w:rPr>
          <w:rFonts w:ascii="仿宋_GB2312" w:eastAsia="仿宋_GB2312"/>
          <w:color w:val="auto"/>
          <w:sz w:val="24"/>
        </w:rPr>
        <w:sectPr>
          <w:pgSz w:w="11906" w:h="16838"/>
          <w:pgMar w:top="1440" w:right="1440" w:bottom="1440" w:left="1440" w:header="851" w:footer="992" w:gutter="0"/>
          <w:cols w:space="720" w:num="1"/>
          <w:docGrid w:linePitch="312" w:charSpace="0"/>
        </w:sectPr>
      </w:pPr>
      <w:r>
        <w:rPr>
          <w:rFonts w:hint="eastAsia" w:ascii="仿宋_GB2312" w:eastAsia="仿宋_GB2312"/>
          <w:color w:val="auto"/>
          <w:sz w:val="24"/>
        </w:rPr>
        <w:t>注：售后服务事项填不下时可另加附页</w:t>
      </w:r>
    </w:p>
    <w:p w14:paraId="4CED3A4C">
      <w:pPr>
        <w:spacing w:line="276" w:lineRule="auto"/>
        <w:jc w:val="center"/>
        <w:rPr>
          <w:rFonts w:hint="eastAsia" w:ascii="仿宋_GB2312" w:hAnsi="华文中宋" w:eastAsia="仿宋_GB2312"/>
          <w:bCs/>
          <w:color w:val="auto"/>
          <w:sz w:val="32"/>
          <w:szCs w:val="32"/>
        </w:rPr>
      </w:pPr>
    </w:p>
    <w:p w14:paraId="0F8AD627">
      <w:pPr>
        <w:spacing w:before="120" w:beforeLines="50" w:after="480" w:afterLines="200" w:line="340" w:lineRule="exact"/>
        <w:jc w:val="center"/>
        <w:rPr>
          <w:b/>
          <w:color w:val="auto"/>
          <w:kern w:val="0"/>
          <w:sz w:val="32"/>
          <w:szCs w:val="32"/>
        </w:rPr>
      </w:pPr>
      <w:r>
        <w:rPr>
          <w:rFonts w:hint="eastAsia"/>
          <w:b/>
          <w:bCs/>
          <w:color w:val="auto"/>
          <w:kern w:val="0"/>
          <w:sz w:val="32"/>
          <w:szCs w:val="32"/>
        </w:rPr>
        <w:t>广西壮族自治区政府采购项目</w:t>
      </w:r>
      <w:r>
        <w:rPr>
          <w:rFonts w:hint="eastAsia"/>
          <w:b/>
          <w:color w:val="auto"/>
          <w:kern w:val="0"/>
          <w:sz w:val="32"/>
          <w:szCs w:val="32"/>
        </w:rPr>
        <w:t>合同验收书（格式）</w:t>
      </w:r>
    </w:p>
    <w:p w14:paraId="77425F35">
      <w:pPr>
        <w:spacing w:line="340" w:lineRule="exact"/>
        <w:ind w:firstLine="420" w:firstLineChars="200"/>
        <w:rPr>
          <w:rFonts w:ascii="仿宋_GB2312" w:eastAsia="仿宋_GB2312"/>
          <w:color w:val="auto"/>
          <w:kern w:val="0"/>
          <w:szCs w:val="21"/>
        </w:rPr>
      </w:pPr>
      <w:r>
        <w:rPr>
          <w:rFonts w:hint="eastAsia" w:ascii="仿宋_GB2312" w:eastAsia="仿宋_GB2312"/>
          <w:color w:val="auto"/>
          <w:kern w:val="0"/>
          <w:szCs w:val="21"/>
        </w:rPr>
        <w:t>根据政府采购项目（采购合同编号：</w:t>
      </w:r>
      <w:r>
        <w:rPr>
          <w:rFonts w:hint="eastAsia" w:ascii="仿宋_GB2312" w:eastAsia="仿宋_GB2312"/>
          <w:color w:val="auto"/>
          <w:kern w:val="0"/>
          <w:szCs w:val="21"/>
        </w:rPr>
        <w:softHyphen/>
      </w:r>
      <w:r>
        <w:rPr>
          <w:rFonts w:hint="eastAsia" w:eastAsia="仿宋_GB2312"/>
          <w:color w:val="auto"/>
          <w:kern w:val="0"/>
          <w:szCs w:val="21"/>
        </w:rPr>
        <w:t>   </w:t>
      </w:r>
      <w:r>
        <w:rPr>
          <w:rFonts w:hint="eastAsia" w:ascii="仿宋_GB2312" w:eastAsia="仿宋_GB2312"/>
          <w:color w:val="auto"/>
          <w:kern w:val="0"/>
          <w:szCs w:val="21"/>
        </w:rPr>
        <w:t>）的约定，我单位对</w:t>
      </w:r>
      <w:r>
        <w:rPr>
          <w:rFonts w:hint="eastAsia" w:ascii="仿宋_GB2312" w:eastAsia="仿宋_GB2312"/>
          <w:color w:val="auto"/>
          <w:kern w:val="0"/>
          <w:szCs w:val="21"/>
          <w:u w:val="single"/>
        </w:rPr>
        <w:t>（ 项目名称 ）</w:t>
      </w:r>
      <w:r>
        <w:rPr>
          <w:rFonts w:hint="eastAsia" w:ascii="仿宋_GB2312" w:eastAsia="仿宋_GB2312"/>
          <w:color w:val="auto"/>
          <w:kern w:val="0"/>
          <w:szCs w:val="21"/>
        </w:rPr>
        <w:t>政府采购项目中标供应商</w:t>
      </w:r>
      <w:r>
        <w:rPr>
          <w:rFonts w:hint="eastAsia" w:ascii="仿宋_GB2312" w:eastAsia="仿宋_GB2312"/>
          <w:color w:val="auto"/>
          <w:kern w:val="0"/>
          <w:szCs w:val="21"/>
          <w:u w:val="single"/>
        </w:rPr>
        <w:t>（ 公司名称 ）</w:t>
      </w:r>
      <w:r>
        <w:rPr>
          <w:rFonts w:hint="eastAsia" w:ascii="仿宋_GB2312" w:eastAsia="仿宋_GB2312"/>
          <w:color w:val="auto"/>
          <w:kern w:val="0"/>
          <w:szCs w:val="21"/>
        </w:rPr>
        <w:t>提供的货物进行了验收，验收情况如下：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14:paraId="2858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noWrap w:val="0"/>
            <w:vAlign w:val="top"/>
          </w:tcPr>
          <w:p w14:paraId="0B28F193">
            <w:pPr>
              <w:spacing w:line="340" w:lineRule="exact"/>
              <w:jc w:val="center"/>
              <w:rPr>
                <w:rFonts w:ascii="仿宋_GB2312" w:eastAsia="仿宋_GB2312"/>
                <w:b/>
                <w:color w:val="auto"/>
                <w:szCs w:val="21"/>
              </w:rPr>
            </w:pPr>
            <w:r>
              <w:rPr>
                <w:rFonts w:hint="eastAsia" w:ascii="仿宋_GB2312" w:eastAsia="仿宋_GB2312"/>
                <w:color w:val="auto"/>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noWrap w:val="0"/>
            <w:vAlign w:val="top"/>
          </w:tcPr>
          <w:p w14:paraId="6EABC4F6">
            <w:pPr>
              <w:spacing w:line="340" w:lineRule="exact"/>
              <w:jc w:val="center"/>
              <w:rPr>
                <w:rFonts w:ascii="仿宋_GB2312" w:eastAsia="仿宋_GB2312"/>
                <w:b/>
                <w:color w:val="auto"/>
                <w:szCs w:val="21"/>
              </w:rPr>
            </w:pPr>
            <w:r>
              <w:rPr>
                <w:rFonts w:hint="eastAsia" w:ascii="仿宋_GB2312" w:eastAsia="仿宋_GB2312"/>
                <w:color w:val="auto"/>
                <w:kern w:val="0"/>
                <w:szCs w:val="21"/>
              </w:rPr>
              <w:t>□自行验收</w:t>
            </w:r>
            <w:r>
              <w:rPr>
                <w:rFonts w:eastAsia="仿宋_GB2312"/>
                <w:color w:val="auto"/>
                <w:kern w:val="0"/>
                <w:szCs w:val="21"/>
              </w:rPr>
              <w:t>    </w:t>
            </w:r>
            <w:r>
              <w:rPr>
                <w:rFonts w:hint="eastAsia" w:ascii="仿宋_GB2312" w:eastAsia="仿宋_GB2312"/>
                <w:color w:val="auto"/>
                <w:kern w:val="0"/>
                <w:szCs w:val="21"/>
              </w:rPr>
              <w:t>□委托验收</w:t>
            </w:r>
          </w:p>
        </w:tc>
      </w:tr>
      <w:tr w14:paraId="3B35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center"/>
          </w:tcPr>
          <w:p w14:paraId="2186F93E">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序号</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5A22A88">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名</w:t>
            </w:r>
            <w:r>
              <w:rPr>
                <w:rFonts w:eastAsia="仿宋_GB2312"/>
                <w:color w:val="auto"/>
                <w:kern w:val="0"/>
                <w:szCs w:val="21"/>
              </w:rPr>
              <w:t> </w:t>
            </w:r>
            <w:r>
              <w:rPr>
                <w:rFonts w:hint="eastAsia" w:ascii="仿宋_GB2312" w:eastAsia="仿宋_GB2312"/>
                <w:color w:val="auto"/>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noWrap w:val="0"/>
            <w:vAlign w:val="center"/>
          </w:tcPr>
          <w:p w14:paraId="54D91050">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noWrap w:val="0"/>
            <w:vAlign w:val="center"/>
          </w:tcPr>
          <w:p w14:paraId="07FDECEF">
            <w:pPr>
              <w:widowControl/>
              <w:snapToGrid w:val="0"/>
              <w:spacing w:before="100" w:beforeAutospacing="1" w:after="100" w:afterAutospacing="1" w:line="320" w:lineRule="atLeast"/>
              <w:jc w:val="center"/>
              <w:rPr>
                <w:rFonts w:ascii="仿宋_GB2312" w:eastAsia="仿宋_GB2312"/>
                <w:color w:val="auto"/>
                <w:kern w:val="0"/>
                <w:szCs w:val="21"/>
              </w:rPr>
            </w:pPr>
            <w:r>
              <w:rPr>
                <w:rFonts w:hint="eastAsia" w:ascii="仿宋_GB2312" w:eastAsia="仿宋_GB2312"/>
                <w:color w:val="auto"/>
                <w:kern w:val="0"/>
                <w:szCs w:val="21"/>
              </w:rPr>
              <w:t>数量</w:t>
            </w:r>
          </w:p>
        </w:tc>
        <w:tc>
          <w:tcPr>
            <w:tcW w:w="1487" w:type="dxa"/>
            <w:tcBorders>
              <w:top w:val="single" w:color="auto" w:sz="4" w:space="0"/>
              <w:left w:val="single" w:color="auto" w:sz="4" w:space="0"/>
              <w:bottom w:val="single" w:color="auto" w:sz="4" w:space="0"/>
              <w:right w:val="single" w:color="auto" w:sz="4" w:space="0"/>
            </w:tcBorders>
            <w:noWrap w:val="0"/>
            <w:vAlign w:val="center"/>
          </w:tcPr>
          <w:p w14:paraId="47910C37">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金</w:t>
            </w:r>
            <w:r>
              <w:rPr>
                <w:rFonts w:eastAsia="仿宋_GB2312"/>
                <w:color w:val="auto"/>
                <w:kern w:val="0"/>
                <w:szCs w:val="21"/>
              </w:rPr>
              <w:t> </w:t>
            </w:r>
            <w:r>
              <w:rPr>
                <w:rFonts w:hint="eastAsia" w:ascii="仿宋_GB2312" w:eastAsia="仿宋_GB2312"/>
                <w:color w:val="auto"/>
                <w:kern w:val="0"/>
                <w:szCs w:val="21"/>
              </w:rPr>
              <w:t>额</w:t>
            </w:r>
          </w:p>
        </w:tc>
      </w:tr>
      <w:tr w14:paraId="534B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center"/>
          </w:tcPr>
          <w:p w14:paraId="44D5AFB9">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790ABB8">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3075" w:type="dxa"/>
            <w:gridSpan w:val="3"/>
            <w:tcBorders>
              <w:top w:val="single" w:color="auto" w:sz="4" w:space="0"/>
              <w:left w:val="single" w:color="auto" w:sz="4" w:space="0"/>
              <w:bottom w:val="single" w:color="auto" w:sz="4" w:space="0"/>
              <w:right w:val="single" w:color="auto" w:sz="4" w:space="0"/>
            </w:tcBorders>
            <w:noWrap w:val="0"/>
            <w:vAlign w:val="center"/>
          </w:tcPr>
          <w:p w14:paraId="0A3F7EBA">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371A2048">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0167AA1E">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4711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center"/>
          </w:tcPr>
          <w:p w14:paraId="00D10364">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C6C5DA7">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3075" w:type="dxa"/>
            <w:gridSpan w:val="3"/>
            <w:tcBorders>
              <w:top w:val="single" w:color="auto" w:sz="4" w:space="0"/>
              <w:left w:val="single" w:color="auto" w:sz="4" w:space="0"/>
              <w:bottom w:val="single" w:color="auto" w:sz="4" w:space="0"/>
              <w:right w:val="single" w:color="auto" w:sz="4" w:space="0"/>
            </w:tcBorders>
            <w:noWrap w:val="0"/>
            <w:vAlign w:val="center"/>
          </w:tcPr>
          <w:p w14:paraId="242DAE94">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5B4A9556">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7432EACB">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3C5A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center"/>
          </w:tcPr>
          <w:p w14:paraId="72ADE8BC">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425C10D">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3075" w:type="dxa"/>
            <w:gridSpan w:val="3"/>
            <w:tcBorders>
              <w:top w:val="single" w:color="auto" w:sz="4" w:space="0"/>
              <w:left w:val="single" w:color="auto" w:sz="4" w:space="0"/>
              <w:bottom w:val="single" w:color="auto" w:sz="4" w:space="0"/>
              <w:right w:val="single" w:color="auto" w:sz="4" w:space="0"/>
            </w:tcBorders>
            <w:noWrap w:val="0"/>
            <w:vAlign w:val="center"/>
          </w:tcPr>
          <w:p w14:paraId="3732A7B3">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1178514E">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01D9826B">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7C72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noWrap w:val="0"/>
            <w:vAlign w:val="center"/>
          </w:tcPr>
          <w:p w14:paraId="7881183E">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合</w:t>
            </w:r>
            <w:r>
              <w:rPr>
                <w:rFonts w:eastAsia="仿宋_GB2312"/>
                <w:color w:val="auto"/>
                <w:kern w:val="0"/>
                <w:szCs w:val="21"/>
              </w:rPr>
              <w:t>  </w:t>
            </w:r>
            <w:r>
              <w:rPr>
                <w:rFonts w:hint="eastAsia" w:ascii="仿宋_GB2312" w:eastAsia="仿宋_GB2312"/>
                <w:color w:val="auto"/>
                <w:kern w:val="0"/>
                <w:szCs w:val="21"/>
              </w:rPr>
              <w:t>计</w:t>
            </w:r>
          </w:p>
        </w:tc>
        <w:tc>
          <w:tcPr>
            <w:tcW w:w="1556" w:type="dxa"/>
            <w:tcBorders>
              <w:top w:val="single" w:color="auto" w:sz="4" w:space="0"/>
              <w:left w:val="single" w:color="auto" w:sz="4" w:space="0"/>
              <w:bottom w:val="single" w:color="auto" w:sz="4" w:space="0"/>
              <w:right w:val="single" w:color="auto" w:sz="4" w:space="0"/>
            </w:tcBorders>
            <w:noWrap w:val="0"/>
            <w:vAlign w:val="center"/>
          </w:tcPr>
          <w:p w14:paraId="56B1C95A">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09E75B6D">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576E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noWrap w:val="0"/>
            <w:vAlign w:val="center"/>
          </w:tcPr>
          <w:p w14:paraId="1C8AD1B6">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合计大写金额：</w:t>
            </w:r>
            <w:r>
              <w:rPr>
                <w:rFonts w:eastAsia="仿宋_GB2312"/>
                <w:color w:val="auto"/>
                <w:kern w:val="0"/>
                <w:szCs w:val="21"/>
              </w:rPr>
              <w:t> </w:t>
            </w:r>
            <w:r>
              <w:rPr>
                <w:rFonts w:hint="eastAsia" w:ascii="仿宋_GB2312" w:eastAsia="仿宋_GB2312"/>
                <w:color w:val="auto"/>
                <w:kern w:val="0"/>
                <w:szCs w:val="21"/>
              </w:rPr>
              <w:t xml:space="preserve"> </w:t>
            </w:r>
          </w:p>
        </w:tc>
      </w:tr>
      <w:tr w14:paraId="7A7C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4122AED8">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148EE306">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650FAF8">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noWrap w:val="0"/>
            <w:vAlign w:val="center"/>
          </w:tcPr>
          <w:p w14:paraId="4F6FB3EF">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0564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0DE5D9A3">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174828D5">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3518B2">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3141" w:type="dxa"/>
            <w:gridSpan w:val="3"/>
            <w:tcBorders>
              <w:top w:val="single" w:color="auto" w:sz="4" w:space="0"/>
              <w:left w:val="single" w:color="auto" w:sz="4" w:space="0"/>
              <w:bottom w:val="single" w:color="auto" w:sz="4" w:space="0"/>
              <w:right w:val="single" w:color="auto" w:sz="4" w:space="0"/>
            </w:tcBorders>
            <w:noWrap w:val="0"/>
            <w:vAlign w:val="center"/>
          </w:tcPr>
          <w:p w14:paraId="462D38CA">
            <w:pPr>
              <w:widowControl/>
              <w:snapToGrid w:val="0"/>
              <w:spacing w:before="100" w:beforeAutospacing="1" w:after="100" w:afterAutospacing="1" w:line="320" w:lineRule="atLeast"/>
              <w:ind w:firstLine="2"/>
              <w:jc w:val="left"/>
              <w:rPr>
                <w:rFonts w:ascii="仿宋_GB2312" w:eastAsia="仿宋_GB2312"/>
                <w:color w:val="auto"/>
                <w:kern w:val="0"/>
                <w:szCs w:val="21"/>
              </w:rPr>
            </w:pPr>
          </w:p>
        </w:tc>
      </w:tr>
      <w:tr w14:paraId="5D3C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5527C3EC">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noWrap w:val="0"/>
            <w:vAlign w:val="center"/>
          </w:tcPr>
          <w:p w14:paraId="4125F1D4">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hAnsi="宋体" w:eastAsia="仿宋_GB2312" w:cs="宋体"/>
                <w:color w:val="auto"/>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14:paraId="1C14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14:paraId="2E4614BB">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noWrap w:val="0"/>
            <w:vAlign w:val="center"/>
          </w:tcPr>
          <w:p w14:paraId="0AEB62C0">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验收结论性意见：</w:t>
            </w:r>
          </w:p>
          <w:p w14:paraId="2E0B4E3E">
            <w:pPr>
              <w:widowControl/>
              <w:snapToGrid w:val="0"/>
              <w:spacing w:before="100" w:beforeAutospacing="1" w:after="100" w:afterAutospacing="1" w:line="320" w:lineRule="atLeast"/>
              <w:jc w:val="left"/>
              <w:rPr>
                <w:rFonts w:ascii="仿宋_GB2312" w:eastAsia="仿宋_GB2312"/>
                <w:color w:val="auto"/>
                <w:kern w:val="0"/>
                <w:szCs w:val="21"/>
              </w:rPr>
            </w:pPr>
          </w:p>
        </w:tc>
      </w:tr>
      <w:tr w14:paraId="7A3D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14:paraId="6B8849BB">
            <w:pPr>
              <w:widowControl/>
              <w:jc w:val="left"/>
              <w:rPr>
                <w:rFonts w:ascii="仿宋_GB2312" w:eastAsia="仿宋_GB2312"/>
                <w:color w:val="auto"/>
                <w:kern w:val="0"/>
                <w:szCs w:val="21"/>
              </w:rPr>
            </w:pPr>
          </w:p>
        </w:tc>
        <w:tc>
          <w:tcPr>
            <w:tcW w:w="8102" w:type="dxa"/>
            <w:gridSpan w:val="6"/>
            <w:tcBorders>
              <w:top w:val="single" w:color="auto" w:sz="4" w:space="0"/>
              <w:left w:val="single" w:color="auto" w:sz="4" w:space="0"/>
              <w:bottom w:val="single" w:color="auto" w:sz="4" w:space="0"/>
              <w:right w:val="single" w:color="auto" w:sz="4" w:space="0"/>
            </w:tcBorders>
            <w:noWrap w:val="0"/>
            <w:vAlign w:val="center"/>
          </w:tcPr>
          <w:p w14:paraId="001F81CF">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有异议的意见和说明理由：</w:t>
            </w:r>
          </w:p>
          <w:p w14:paraId="2D9AC84E">
            <w:pPr>
              <w:widowControl/>
              <w:snapToGrid w:val="0"/>
              <w:spacing w:before="100" w:beforeAutospacing="1" w:after="100" w:afterAutospacing="1" w:line="320" w:lineRule="atLeast"/>
              <w:jc w:val="center"/>
              <w:rPr>
                <w:rFonts w:ascii="仿宋_GB2312" w:eastAsia="仿宋_GB2312"/>
                <w:color w:val="auto"/>
                <w:kern w:val="0"/>
                <w:szCs w:val="21"/>
              </w:rPr>
            </w:pPr>
            <w:r>
              <w:rPr>
                <w:rFonts w:hint="eastAsia" w:ascii="仿宋_GB2312" w:eastAsia="仿宋_GB2312"/>
                <w:color w:val="auto"/>
                <w:kern w:val="0"/>
                <w:szCs w:val="21"/>
              </w:rPr>
              <w:t xml:space="preserve">            签字：</w:t>
            </w:r>
          </w:p>
        </w:tc>
      </w:tr>
      <w:tr w14:paraId="0DAF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noWrap w:val="0"/>
            <w:vAlign w:val="center"/>
          </w:tcPr>
          <w:p w14:paraId="633B7C13">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验收小组成员签字：</w:t>
            </w:r>
          </w:p>
        </w:tc>
      </w:tr>
      <w:tr w14:paraId="7192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noWrap w:val="0"/>
            <w:vAlign w:val="center"/>
          </w:tcPr>
          <w:p w14:paraId="23EF914C">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监督人员或其他相关人员签字：</w:t>
            </w:r>
          </w:p>
          <w:p w14:paraId="07E32C63">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或受邀机构的意见（盖章）：</w:t>
            </w:r>
          </w:p>
        </w:tc>
      </w:tr>
      <w:tr w14:paraId="41BB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noWrap w:val="0"/>
            <w:vAlign w:val="center"/>
          </w:tcPr>
          <w:p w14:paraId="569A8692">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 xml:space="preserve">中标供应商负责人签字或者盖章：               </w:t>
            </w:r>
            <w:r>
              <w:rPr>
                <w:rFonts w:eastAsia="仿宋_GB2312"/>
                <w:color w:val="auto"/>
                <w:kern w:val="0"/>
                <w:szCs w:val="21"/>
              </w:rPr>
              <w:t> </w:t>
            </w:r>
            <w:r>
              <w:rPr>
                <w:rFonts w:hint="eastAsia" w:ascii="仿宋_GB2312" w:eastAsia="仿宋_GB2312"/>
                <w:color w:val="auto"/>
                <w:kern w:val="0"/>
                <w:szCs w:val="21"/>
              </w:rPr>
              <w:t>采购人或受托机构的意见（盖章）：</w:t>
            </w:r>
          </w:p>
          <w:p w14:paraId="1D5C1D03">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 xml:space="preserve">联系电话： </w:t>
            </w:r>
            <w:r>
              <w:rPr>
                <w:rFonts w:eastAsia="仿宋_GB2312"/>
                <w:color w:val="auto"/>
                <w:kern w:val="0"/>
                <w:szCs w:val="21"/>
              </w:rPr>
              <w:t>  </w:t>
            </w:r>
            <w:r>
              <w:rPr>
                <w:rFonts w:hint="eastAsia" w:ascii="仿宋_GB2312" w:eastAsia="仿宋_GB2312"/>
                <w:color w:val="auto"/>
                <w:kern w:val="0"/>
                <w:szCs w:val="21"/>
              </w:rPr>
              <w:t xml:space="preserve">  </w:t>
            </w:r>
            <w:r>
              <w:rPr>
                <w:rFonts w:eastAsia="仿宋_GB2312"/>
                <w:color w:val="auto"/>
                <w:kern w:val="0"/>
                <w:szCs w:val="21"/>
              </w:rPr>
              <w:t>  </w:t>
            </w:r>
            <w:r>
              <w:rPr>
                <w:rFonts w:hint="eastAsia" w:ascii="仿宋_GB2312" w:eastAsia="仿宋_GB2312"/>
                <w:color w:val="auto"/>
                <w:kern w:val="0"/>
                <w:szCs w:val="21"/>
              </w:rPr>
              <w:t xml:space="preserve"> 年</w:t>
            </w:r>
            <w:r>
              <w:rPr>
                <w:rFonts w:eastAsia="仿宋_GB2312"/>
                <w:color w:val="auto"/>
                <w:kern w:val="0"/>
                <w:szCs w:val="21"/>
              </w:rPr>
              <w:t>  </w:t>
            </w:r>
            <w:r>
              <w:rPr>
                <w:rFonts w:hint="eastAsia" w:ascii="仿宋_GB2312" w:eastAsia="仿宋_GB2312"/>
                <w:color w:val="auto"/>
                <w:kern w:val="0"/>
                <w:szCs w:val="21"/>
              </w:rPr>
              <w:t xml:space="preserve"> 月</w:t>
            </w:r>
            <w:r>
              <w:rPr>
                <w:rFonts w:eastAsia="仿宋_GB2312"/>
                <w:color w:val="auto"/>
                <w:kern w:val="0"/>
                <w:szCs w:val="21"/>
              </w:rPr>
              <w:t>  </w:t>
            </w:r>
            <w:r>
              <w:rPr>
                <w:rFonts w:hint="eastAsia" w:ascii="仿宋_GB2312" w:eastAsia="仿宋_GB2312"/>
                <w:color w:val="auto"/>
                <w:kern w:val="0"/>
                <w:szCs w:val="21"/>
              </w:rPr>
              <w:t xml:space="preserve"> 日                     联系电话： </w:t>
            </w:r>
            <w:r>
              <w:rPr>
                <w:rFonts w:eastAsia="仿宋_GB2312"/>
                <w:color w:val="auto"/>
                <w:kern w:val="0"/>
                <w:szCs w:val="21"/>
              </w:rPr>
              <w:t>       </w:t>
            </w:r>
            <w:r>
              <w:rPr>
                <w:rFonts w:hint="eastAsia" w:ascii="仿宋_GB2312" w:eastAsia="仿宋_GB2312"/>
                <w:color w:val="auto"/>
                <w:kern w:val="0"/>
                <w:szCs w:val="21"/>
              </w:rPr>
              <w:t xml:space="preserve"> 年</w:t>
            </w:r>
            <w:r>
              <w:rPr>
                <w:rFonts w:eastAsia="仿宋_GB2312"/>
                <w:color w:val="auto"/>
                <w:kern w:val="0"/>
                <w:szCs w:val="21"/>
              </w:rPr>
              <w:t>  </w:t>
            </w:r>
            <w:r>
              <w:rPr>
                <w:rFonts w:hint="eastAsia" w:ascii="仿宋_GB2312" w:eastAsia="仿宋_GB2312"/>
                <w:color w:val="auto"/>
                <w:kern w:val="0"/>
                <w:szCs w:val="21"/>
              </w:rPr>
              <w:t xml:space="preserve"> 月</w:t>
            </w:r>
            <w:r>
              <w:rPr>
                <w:rFonts w:eastAsia="仿宋_GB2312"/>
                <w:color w:val="auto"/>
                <w:kern w:val="0"/>
                <w:szCs w:val="21"/>
              </w:rPr>
              <w:t>  </w:t>
            </w:r>
            <w:r>
              <w:rPr>
                <w:rFonts w:hint="eastAsia" w:ascii="仿宋_GB2312" w:eastAsia="仿宋_GB2312"/>
                <w:color w:val="auto"/>
                <w:kern w:val="0"/>
                <w:szCs w:val="21"/>
              </w:rPr>
              <w:t xml:space="preserve"> 日</w:t>
            </w:r>
          </w:p>
        </w:tc>
      </w:tr>
    </w:tbl>
    <w:p w14:paraId="5BD6285A">
      <w:pPr>
        <w:spacing w:line="276" w:lineRule="auto"/>
        <w:jc w:val="left"/>
        <w:rPr>
          <w:rFonts w:hint="eastAsia" w:ascii="仿宋_GB2312" w:hAnsi="华文中宋" w:eastAsia="仿宋_GB2312"/>
          <w:bCs/>
          <w:color w:val="auto"/>
          <w:szCs w:val="21"/>
        </w:rPr>
      </w:pPr>
    </w:p>
    <w:p w14:paraId="550482F4">
      <w:pPr>
        <w:spacing w:line="276" w:lineRule="auto"/>
        <w:jc w:val="left"/>
        <w:rPr>
          <w:rFonts w:hint="eastAsia" w:ascii="仿宋_GB2312" w:hAnsi="华文中宋" w:eastAsia="仿宋_GB2312"/>
          <w:b/>
          <w:bCs/>
          <w:color w:val="auto"/>
          <w:szCs w:val="21"/>
        </w:rPr>
      </w:pPr>
      <w:r>
        <w:rPr>
          <w:rFonts w:hint="eastAsia" w:ascii="仿宋_GB2312" w:hAnsi="华文中宋" w:eastAsia="仿宋_GB2312"/>
          <w:b/>
          <w:bCs/>
          <w:color w:val="auto"/>
          <w:szCs w:val="21"/>
        </w:rPr>
        <w:t>备注：本验收书一式三份（采购人一份、中标人一份、采购代理机构一份）</w:t>
      </w:r>
    </w:p>
    <w:bookmarkEnd w:id="84"/>
    <w:p w14:paraId="5CB7C07D">
      <w:pPr>
        <w:snapToGrid w:val="0"/>
        <w:jc w:val="left"/>
        <w:rPr>
          <w:rFonts w:hint="eastAsia" w:ascii="仿宋_GB2312" w:hAnsi="华文中宋" w:eastAsia="仿宋_GB2312"/>
          <w:b/>
          <w:color w:val="auto"/>
          <w:szCs w:val="21"/>
        </w:rPr>
      </w:pPr>
      <w:bookmarkStart w:id="85" w:name="_GoBack"/>
      <w:bookmarkEnd w:id="85"/>
    </w:p>
    <w:p w14:paraId="62355E80">
      <w:pPr>
        <w:spacing w:line="276" w:lineRule="auto"/>
        <w:jc w:val="center"/>
        <w:rPr>
          <w:rFonts w:hint="eastAsia" w:ascii="仿宋_GB2312" w:hAnsi="华文中宋" w:eastAsia="仿宋_GB2312"/>
          <w:bCs/>
          <w:color w:val="auto"/>
          <w:sz w:val="32"/>
          <w:szCs w:val="32"/>
        </w:rPr>
      </w:pPr>
    </w:p>
    <w:p w14:paraId="1580BC61">
      <w:pPr>
        <w:spacing w:line="276" w:lineRule="auto"/>
        <w:jc w:val="center"/>
        <w:rPr>
          <w:rFonts w:hint="eastAsia" w:ascii="仿宋_GB2312" w:hAnsi="华文中宋" w:eastAsia="仿宋_GB2312"/>
          <w:bCs/>
          <w:color w:val="auto"/>
          <w:sz w:val="32"/>
          <w:szCs w:val="32"/>
        </w:rPr>
      </w:pPr>
    </w:p>
    <w:p w14:paraId="2B5EAD87">
      <w:pPr>
        <w:spacing w:line="276" w:lineRule="auto"/>
        <w:jc w:val="center"/>
        <w:rPr>
          <w:rFonts w:hint="eastAsia" w:ascii="仿宋_GB2312" w:hAnsi="华文中宋" w:eastAsia="仿宋_GB2312"/>
          <w:bCs/>
          <w:color w:val="auto"/>
          <w:sz w:val="32"/>
          <w:szCs w:val="32"/>
        </w:rPr>
      </w:pPr>
    </w:p>
    <w:p w14:paraId="3CC0C984">
      <w:pPr>
        <w:spacing w:line="276" w:lineRule="auto"/>
        <w:jc w:val="center"/>
        <w:rPr>
          <w:rFonts w:hint="eastAsia" w:ascii="仿宋_GB2312" w:hAnsi="华文中宋" w:eastAsia="仿宋_GB2312"/>
          <w:bCs/>
          <w:color w:val="auto"/>
          <w:sz w:val="32"/>
          <w:szCs w:val="32"/>
        </w:rPr>
      </w:pPr>
    </w:p>
    <w:sectPr>
      <w:footerReference r:id="rId10"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BADD1">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14:paraId="6CA1FB17">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D99D3">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2238C">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p w14:paraId="511E4FD3"/>
  <w:p w14:paraId="034558A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AB9EB">
    <w:pPr>
      <w:pStyle w:val="31"/>
      <w:jc w:val="center"/>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E1DCF">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67C54">
    <w:pPr>
      <w:pStyle w:val="32"/>
      <w:jc w:val="right"/>
      <w:rPr>
        <w:b/>
        <w:color w:val="000000"/>
      </w:rPr>
    </w:pPr>
    <w:r>
      <w:rPr>
        <w:b/>
      </w:rPr>
      <w:t>课桌椅设备采购</w:t>
    </w:r>
    <w:r>
      <w:rPr>
        <w:rFonts w:hint="eastAsia"/>
        <w:b/>
      </w:rPr>
      <w:t>（</w:t>
    </w:r>
    <w:r>
      <w:rPr>
        <w:rFonts w:hint="eastAsia"/>
        <w:b/>
        <w:lang w:eastAsia="zh-CN"/>
      </w:rPr>
      <w:t>LZZC2025-G1-990307-LZSZ</w:t>
    </w:r>
    <w:r>
      <w:rPr>
        <w:rFonts w:hint="eastAsia"/>
        <w:b/>
      </w:rPr>
      <w:t xml:space="preserve">）   </w:t>
    </w:r>
    <w:r>
      <w:rPr>
        <w:rFonts w:hint="eastAsia"/>
        <w:b/>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D2F95">
    <w:pPr>
      <w:pStyle w:val="32"/>
      <w:jc w:val="right"/>
      <w:rPr>
        <w:b/>
      </w:rPr>
    </w:pPr>
  </w:p>
  <w:p w14:paraId="67B8506C">
    <w:pPr>
      <w:pStyle w:val="32"/>
      <w:jc w:val="right"/>
      <w:rPr>
        <w:b/>
      </w:rPr>
    </w:pPr>
  </w:p>
  <w:p w14:paraId="17BA0788">
    <w:pPr>
      <w:pStyle w:val="32"/>
      <w:jc w:val="right"/>
      <w:rPr>
        <w:b/>
      </w:rPr>
    </w:pPr>
  </w:p>
  <w:p w14:paraId="2443B1AF">
    <w:pPr>
      <w:pStyle w:val="32"/>
      <w:jc w:val="right"/>
      <w:rPr>
        <w:b/>
      </w:rPr>
    </w:pPr>
  </w:p>
  <w:p w14:paraId="544AD2CD">
    <w:pPr>
      <w:pStyle w:val="32"/>
      <w:jc w:val="right"/>
      <w:rPr>
        <w:b/>
        <w:color w:val="000000"/>
      </w:rPr>
    </w:pPr>
    <w:r>
      <w:rPr>
        <w:b/>
      </w:rPr>
      <w:t>课桌椅及办公家具采购</w:t>
    </w:r>
    <w:r>
      <w:rPr>
        <w:rFonts w:hint="eastAsia"/>
        <w:b/>
      </w:rPr>
      <w:t>（</w:t>
    </w:r>
    <w:r>
      <w:rPr>
        <w:rFonts w:hint="eastAsia"/>
        <w:b/>
        <w:lang w:eastAsia="zh-CN"/>
      </w:rPr>
      <w:t>LZZC2025-G1-990307-LZSZ</w:t>
    </w:r>
    <w:r>
      <w:rPr>
        <w:rFonts w:hint="eastAsia"/>
        <w:b/>
      </w:rPr>
      <w:t xml:space="preserve">）   </w:t>
    </w:r>
    <w:r>
      <w:rPr>
        <w:rFonts w:hint="eastAsia"/>
        <w:b/>
        <w: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7010D">
    <w:pPr>
      <w:pStyle w:val="32"/>
      <w:jc w:val="right"/>
      <w:rPr>
        <w:b/>
        <w:color w:val="000000"/>
      </w:rPr>
    </w:pPr>
    <w:r>
      <w:rPr>
        <w:b/>
      </w:rPr>
      <w:t>课桌椅及办公家具采购</w:t>
    </w:r>
    <w:r>
      <w:rPr>
        <w:rFonts w:hint="eastAsia"/>
        <w:b/>
      </w:rPr>
      <w:t>（</w:t>
    </w:r>
    <w:r>
      <w:rPr>
        <w:rFonts w:hint="eastAsia"/>
        <w:b/>
        <w:lang w:eastAsia="zh-CN"/>
      </w:rPr>
      <w:t>LZZC2025-G1-990307-LZSZ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2FC8A"/>
    <w:multiLevelType w:val="singleLevel"/>
    <w:tmpl w:val="9EA2FC8A"/>
    <w:lvl w:ilvl="0" w:tentative="0">
      <w:start w:val="1"/>
      <w:numFmt w:val="chineseCounting"/>
      <w:suff w:val="nothing"/>
      <w:lvlText w:val="%1、"/>
      <w:lvlJc w:val="left"/>
      <w:rPr>
        <w:rFonts w:hint="eastAsia"/>
      </w:rPr>
    </w:lvl>
  </w:abstractNum>
  <w:abstractNum w:abstractNumId="1">
    <w:nsid w:val="C0BFAB40"/>
    <w:multiLevelType w:val="singleLevel"/>
    <w:tmpl w:val="C0BFAB40"/>
    <w:lvl w:ilvl="0" w:tentative="0">
      <w:start w:val="3"/>
      <w:numFmt w:val="decimal"/>
      <w:lvlText w:val="%1."/>
      <w:lvlJc w:val="left"/>
      <w:pPr>
        <w:tabs>
          <w:tab w:val="left" w:pos="312"/>
        </w:tabs>
      </w:pPr>
    </w:lvl>
  </w:abstractNum>
  <w:abstractNum w:abstractNumId="2">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3">
    <w:nsid w:val="09256FDA"/>
    <w:multiLevelType w:val="multilevel"/>
    <w:tmpl w:val="09256FDA"/>
    <w:lvl w:ilvl="0" w:tentative="0">
      <w:start w:val="1"/>
      <w:numFmt w:val="chineseCountingThousand"/>
      <w:pStyle w:val="217"/>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4A4A46C9"/>
    <w:multiLevelType w:val="singleLevel"/>
    <w:tmpl w:val="4A4A46C9"/>
    <w:lvl w:ilvl="0" w:tentative="0">
      <w:start w:val="1"/>
      <w:numFmt w:val="decimal"/>
      <w:lvlText w:val="%1."/>
      <w:lvlJc w:val="left"/>
      <w:pPr>
        <w:tabs>
          <w:tab w:val="left" w:pos="312"/>
        </w:tabs>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51664"/>
    <w:rsid w:val="00000098"/>
    <w:rsid w:val="00000235"/>
    <w:rsid w:val="00000BE6"/>
    <w:rsid w:val="00000F70"/>
    <w:rsid w:val="00001419"/>
    <w:rsid w:val="00001E3D"/>
    <w:rsid w:val="0000234F"/>
    <w:rsid w:val="00002B91"/>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1F18"/>
    <w:rsid w:val="00033587"/>
    <w:rsid w:val="00033A5E"/>
    <w:rsid w:val="000345B3"/>
    <w:rsid w:val="0003560F"/>
    <w:rsid w:val="00035DE8"/>
    <w:rsid w:val="00036947"/>
    <w:rsid w:val="00036DAE"/>
    <w:rsid w:val="00036F4B"/>
    <w:rsid w:val="000374B1"/>
    <w:rsid w:val="00037959"/>
    <w:rsid w:val="00040330"/>
    <w:rsid w:val="0004035E"/>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46C"/>
    <w:rsid w:val="00054E25"/>
    <w:rsid w:val="000557F4"/>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813"/>
    <w:rsid w:val="000A2980"/>
    <w:rsid w:val="000A3B7B"/>
    <w:rsid w:val="000A3D56"/>
    <w:rsid w:val="000A4485"/>
    <w:rsid w:val="000A4A59"/>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0E8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75"/>
    <w:rsid w:val="0010348F"/>
    <w:rsid w:val="001034A6"/>
    <w:rsid w:val="0010388D"/>
    <w:rsid w:val="00103D5A"/>
    <w:rsid w:val="00104C63"/>
    <w:rsid w:val="0010686F"/>
    <w:rsid w:val="0010717F"/>
    <w:rsid w:val="00107881"/>
    <w:rsid w:val="001106E1"/>
    <w:rsid w:val="0011175F"/>
    <w:rsid w:val="00111A85"/>
    <w:rsid w:val="00112086"/>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3378"/>
    <w:rsid w:val="0012444B"/>
    <w:rsid w:val="00125976"/>
    <w:rsid w:val="00126A2C"/>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203"/>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70A"/>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2F0"/>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C793A"/>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0B25"/>
    <w:rsid w:val="001F18BC"/>
    <w:rsid w:val="001F22E9"/>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4F89"/>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4B9"/>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DD0"/>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17AA"/>
    <w:rsid w:val="002621B7"/>
    <w:rsid w:val="00262474"/>
    <w:rsid w:val="0026287B"/>
    <w:rsid w:val="002638A0"/>
    <w:rsid w:val="0026494F"/>
    <w:rsid w:val="0026552A"/>
    <w:rsid w:val="00265F0B"/>
    <w:rsid w:val="002662E2"/>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6464"/>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E3E"/>
    <w:rsid w:val="002B04FA"/>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1F9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B5"/>
    <w:rsid w:val="002D4484"/>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8F1"/>
    <w:rsid w:val="002F525A"/>
    <w:rsid w:val="002F63F7"/>
    <w:rsid w:val="002F673E"/>
    <w:rsid w:val="002F6A83"/>
    <w:rsid w:val="002F6B17"/>
    <w:rsid w:val="002F6C21"/>
    <w:rsid w:val="002F784D"/>
    <w:rsid w:val="002F79BD"/>
    <w:rsid w:val="002F7AE1"/>
    <w:rsid w:val="00300AFD"/>
    <w:rsid w:val="00300DB7"/>
    <w:rsid w:val="0030136E"/>
    <w:rsid w:val="00301CB4"/>
    <w:rsid w:val="00302DFC"/>
    <w:rsid w:val="00303698"/>
    <w:rsid w:val="00303ADC"/>
    <w:rsid w:val="00304059"/>
    <w:rsid w:val="00304365"/>
    <w:rsid w:val="003048E6"/>
    <w:rsid w:val="00304BBD"/>
    <w:rsid w:val="003057E9"/>
    <w:rsid w:val="003060EE"/>
    <w:rsid w:val="00306620"/>
    <w:rsid w:val="0030793E"/>
    <w:rsid w:val="00307A8B"/>
    <w:rsid w:val="00307EA1"/>
    <w:rsid w:val="003117F4"/>
    <w:rsid w:val="00312163"/>
    <w:rsid w:val="003139BB"/>
    <w:rsid w:val="00313E9A"/>
    <w:rsid w:val="0031504C"/>
    <w:rsid w:val="00315844"/>
    <w:rsid w:val="00315F6E"/>
    <w:rsid w:val="0031611E"/>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503"/>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6DC6"/>
    <w:rsid w:val="00377E67"/>
    <w:rsid w:val="00380066"/>
    <w:rsid w:val="00380744"/>
    <w:rsid w:val="00380E79"/>
    <w:rsid w:val="003810C1"/>
    <w:rsid w:val="00382074"/>
    <w:rsid w:val="0038216B"/>
    <w:rsid w:val="00382B18"/>
    <w:rsid w:val="003834EA"/>
    <w:rsid w:val="00383C28"/>
    <w:rsid w:val="00383F4C"/>
    <w:rsid w:val="00384D20"/>
    <w:rsid w:val="00384DD1"/>
    <w:rsid w:val="003879C8"/>
    <w:rsid w:val="003901F7"/>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892"/>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1E27"/>
    <w:rsid w:val="003E248D"/>
    <w:rsid w:val="003E24F5"/>
    <w:rsid w:val="003E2AF3"/>
    <w:rsid w:val="003E3EA4"/>
    <w:rsid w:val="003E4B1F"/>
    <w:rsid w:val="003E4E9A"/>
    <w:rsid w:val="003E4FB4"/>
    <w:rsid w:val="003E5172"/>
    <w:rsid w:val="003E558E"/>
    <w:rsid w:val="003E5FB0"/>
    <w:rsid w:val="003E7092"/>
    <w:rsid w:val="003E7A0A"/>
    <w:rsid w:val="003E7C9F"/>
    <w:rsid w:val="003F0342"/>
    <w:rsid w:val="003F19F9"/>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4B40"/>
    <w:rsid w:val="004252D9"/>
    <w:rsid w:val="00425B9E"/>
    <w:rsid w:val="00426015"/>
    <w:rsid w:val="004263B4"/>
    <w:rsid w:val="004265A9"/>
    <w:rsid w:val="00427520"/>
    <w:rsid w:val="004276EF"/>
    <w:rsid w:val="0043053B"/>
    <w:rsid w:val="00430B7B"/>
    <w:rsid w:val="00430D11"/>
    <w:rsid w:val="00432B0A"/>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5712"/>
    <w:rsid w:val="00445946"/>
    <w:rsid w:val="00445EB6"/>
    <w:rsid w:val="00446193"/>
    <w:rsid w:val="00446D6F"/>
    <w:rsid w:val="00447543"/>
    <w:rsid w:val="0044795B"/>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5DF9"/>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0FA"/>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4B9"/>
    <w:rsid w:val="00541613"/>
    <w:rsid w:val="00541C96"/>
    <w:rsid w:val="0054231D"/>
    <w:rsid w:val="0054235F"/>
    <w:rsid w:val="00542ED6"/>
    <w:rsid w:val="00543C4A"/>
    <w:rsid w:val="005453C4"/>
    <w:rsid w:val="00545B71"/>
    <w:rsid w:val="00546081"/>
    <w:rsid w:val="0054668E"/>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97892"/>
    <w:rsid w:val="005A066E"/>
    <w:rsid w:val="005A0726"/>
    <w:rsid w:val="005A1CD3"/>
    <w:rsid w:val="005A2123"/>
    <w:rsid w:val="005A2A9F"/>
    <w:rsid w:val="005A36E8"/>
    <w:rsid w:val="005A42A9"/>
    <w:rsid w:val="005A46A4"/>
    <w:rsid w:val="005A499F"/>
    <w:rsid w:val="005A5775"/>
    <w:rsid w:val="005A58C2"/>
    <w:rsid w:val="005A58E7"/>
    <w:rsid w:val="005A6146"/>
    <w:rsid w:val="005A7297"/>
    <w:rsid w:val="005B042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AC6"/>
    <w:rsid w:val="005D3B26"/>
    <w:rsid w:val="005D3B3A"/>
    <w:rsid w:val="005D488A"/>
    <w:rsid w:val="005D5566"/>
    <w:rsid w:val="005D670B"/>
    <w:rsid w:val="005D6884"/>
    <w:rsid w:val="005D7B57"/>
    <w:rsid w:val="005D7E7F"/>
    <w:rsid w:val="005E11AB"/>
    <w:rsid w:val="005E1E32"/>
    <w:rsid w:val="005E2090"/>
    <w:rsid w:val="005E2679"/>
    <w:rsid w:val="005E2D86"/>
    <w:rsid w:val="005E4429"/>
    <w:rsid w:val="005E49D1"/>
    <w:rsid w:val="005E4AA7"/>
    <w:rsid w:val="005E5292"/>
    <w:rsid w:val="005E54B7"/>
    <w:rsid w:val="005E6232"/>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1A8"/>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503"/>
    <w:rsid w:val="00606682"/>
    <w:rsid w:val="00607EFC"/>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67B"/>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5689"/>
    <w:rsid w:val="0064611C"/>
    <w:rsid w:val="00646459"/>
    <w:rsid w:val="00646CC8"/>
    <w:rsid w:val="00646D32"/>
    <w:rsid w:val="00647AAF"/>
    <w:rsid w:val="00647BAE"/>
    <w:rsid w:val="00647D60"/>
    <w:rsid w:val="006500D3"/>
    <w:rsid w:val="00652715"/>
    <w:rsid w:val="006528A8"/>
    <w:rsid w:val="0065292D"/>
    <w:rsid w:val="00654583"/>
    <w:rsid w:val="00654A3B"/>
    <w:rsid w:val="00655053"/>
    <w:rsid w:val="006550DB"/>
    <w:rsid w:val="00656319"/>
    <w:rsid w:val="00656323"/>
    <w:rsid w:val="006563EF"/>
    <w:rsid w:val="006565E1"/>
    <w:rsid w:val="00656E6F"/>
    <w:rsid w:val="00657364"/>
    <w:rsid w:val="00657D37"/>
    <w:rsid w:val="00661C30"/>
    <w:rsid w:val="00661E30"/>
    <w:rsid w:val="00661F03"/>
    <w:rsid w:val="006625D6"/>
    <w:rsid w:val="00662B6C"/>
    <w:rsid w:val="00662C71"/>
    <w:rsid w:val="006637F7"/>
    <w:rsid w:val="00663A61"/>
    <w:rsid w:val="00663D31"/>
    <w:rsid w:val="0066443D"/>
    <w:rsid w:val="006644E7"/>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970"/>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3981"/>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3C0E"/>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51BC"/>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5A84"/>
    <w:rsid w:val="007C62E5"/>
    <w:rsid w:val="007C6402"/>
    <w:rsid w:val="007C64E5"/>
    <w:rsid w:val="007C6C62"/>
    <w:rsid w:val="007C7147"/>
    <w:rsid w:val="007C74EB"/>
    <w:rsid w:val="007C7766"/>
    <w:rsid w:val="007C7F65"/>
    <w:rsid w:val="007D00B3"/>
    <w:rsid w:val="007D0FBC"/>
    <w:rsid w:val="007D2808"/>
    <w:rsid w:val="007D4481"/>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2524"/>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6BB"/>
    <w:rsid w:val="00815EC1"/>
    <w:rsid w:val="0081663E"/>
    <w:rsid w:val="008170ED"/>
    <w:rsid w:val="0081774A"/>
    <w:rsid w:val="00817AC1"/>
    <w:rsid w:val="00820319"/>
    <w:rsid w:val="00821095"/>
    <w:rsid w:val="00821846"/>
    <w:rsid w:val="00821F92"/>
    <w:rsid w:val="0082354E"/>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77A7"/>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C13"/>
    <w:rsid w:val="008A1C6B"/>
    <w:rsid w:val="008A2FEE"/>
    <w:rsid w:val="008A3860"/>
    <w:rsid w:val="008A4550"/>
    <w:rsid w:val="008A5309"/>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09"/>
    <w:rsid w:val="008B3FAB"/>
    <w:rsid w:val="008B4221"/>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4E8C"/>
    <w:rsid w:val="008C6827"/>
    <w:rsid w:val="008C7F51"/>
    <w:rsid w:val="008D00B8"/>
    <w:rsid w:val="008D0B93"/>
    <w:rsid w:val="008D1BB8"/>
    <w:rsid w:val="008D2442"/>
    <w:rsid w:val="008D26C6"/>
    <w:rsid w:val="008D2D5F"/>
    <w:rsid w:val="008D3077"/>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4046"/>
    <w:rsid w:val="008F454D"/>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1783"/>
    <w:rsid w:val="0091236E"/>
    <w:rsid w:val="00912376"/>
    <w:rsid w:val="009125EC"/>
    <w:rsid w:val="00912E3F"/>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37DD"/>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6DB9"/>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69C"/>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65AB"/>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1E2"/>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F5"/>
    <w:rsid w:val="00A5574B"/>
    <w:rsid w:val="00A558A3"/>
    <w:rsid w:val="00A5649F"/>
    <w:rsid w:val="00A57B74"/>
    <w:rsid w:val="00A60840"/>
    <w:rsid w:val="00A61353"/>
    <w:rsid w:val="00A613CB"/>
    <w:rsid w:val="00A61658"/>
    <w:rsid w:val="00A6198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166"/>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5F8C"/>
    <w:rsid w:val="00AB60BB"/>
    <w:rsid w:val="00AB638F"/>
    <w:rsid w:val="00AB64E3"/>
    <w:rsid w:val="00AB6657"/>
    <w:rsid w:val="00AB6A83"/>
    <w:rsid w:val="00AB6C28"/>
    <w:rsid w:val="00AC00A0"/>
    <w:rsid w:val="00AC153D"/>
    <w:rsid w:val="00AC1815"/>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41B"/>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1BFA"/>
    <w:rsid w:val="00AF2B7F"/>
    <w:rsid w:val="00AF2BDF"/>
    <w:rsid w:val="00AF3736"/>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4736"/>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23"/>
    <w:rsid w:val="00B42131"/>
    <w:rsid w:val="00B42BB8"/>
    <w:rsid w:val="00B43244"/>
    <w:rsid w:val="00B438DB"/>
    <w:rsid w:val="00B4446E"/>
    <w:rsid w:val="00B444EF"/>
    <w:rsid w:val="00B446E8"/>
    <w:rsid w:val="00B4489B"/>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B3A"/>
    <w:rsid w:val="00B53E20"/>
    <w:rsid w:val="00B54214"/>
    <w:rsid w:val="00B55076"/>
    <w:rsid w:val="00B551F1"/>
    <w:rsid w:val="00B55276"/>
    <w:rsid w:val="00B576E5"/>
    <w:rsid w:val="00B578E7"/>
    <w:rsid w:val="00B60087"/>
    <w:rsid w:val="00B606FD"/>
    <w:rsid w:val="00B60A98"/>
    <w:rsid w:val="00B60CE9"/>
    <w:rsid w:val="00B60EAA"/>
    <w:rsid w:val="00B60FB9"/>
    <w:rsid w:val="00B61874"/>
    <w:rsid w:val="00B63743"/>
    <w:rsid w:val="00B63B26"/>
    <w:rsid w:val="00B64AA3"/>
    <w:rsid w:val="00B64BE5"/>
    <w:rsid w:val="00B64D94"/>
    <w:rsid w:val="00B65B2A"/>
    <w:rsid w:val="00B65B9B"/>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667"/>
    <w:rsid w:val="00B81BE4"/>
    <w:rsid w:val="00B82593"/>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393C"/>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74B"/>
    <w:rsid w:val="00BC2828"/>
    <w:rsid w:val="00BC4076"/>
    <w:rsid w:val="00BC4853"/>
    <w:rsid w:val="00BC4857"/>
    <w:rsid w:val="00BC4984"/>
    <w:rsid w:val="00BC612D"/>
    <w:rsid w:val="00BC62A4"/>
    <w:rsid w:val="00BC69AD"/>
    <w:rsid w:val="00BC69C2"/>
    <w:rsid w:val="00BC6BEE"/>
    <w:rsid w:val="00BC6E90"/>
    <w:rsid w:val="00BC70CF"/>
    <w:rsid w:val="00BC7100"/>
    <w:rsid w:val="00BC7419"/>
    <w:rsid w:val="00BC7766"/>
    <w:rsid w:val="00BD0683"/>
    <w:rsid w:val="00BD07A7"/>
    <w:rsid w:val="00BD0BBB"/>
    <w:rsid w:val="00BD0F2E"/>
    <w:rsid w:val="00BD12B5"/>
    <w:rsid w:val="00BD2B81"/>
    <w:rsid w:val="00BD36C4"/>
    <w:rsid w:val="00BD414F"/>
    <w:rsid w:val="00BD4363"/>
    <w:rsid w:val="00BD54AA"/>
    <w:rsid w:val="00BD5B1D"/>
    <w:rsid w:val="00BD5D12"/>
    <w:rsid w:val="00BD607B"/>
    <w:rsid w:val="00BD61A1"/>
    <w:rsid w:val="00BD65C3"/>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5FFD"/>
    <w:rsid w:val="00BE6BA2"/>
    <w:rsid w:val="00BE6FCE"/>
    <w:rsid w:val="00BE7828"/>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96F"/>
    <w:rsid w:val="00C21F0C"/>
    <w:rsid w:val="00C23DD4"/>
    <w:rsid w:val="00C24103"/>
    <w:rsid w:val="00C24AE7"/>
    <w:rsid w:val="00C24F15"/>
    <w:rsid w:val="00C2644B"/>
    <w:rsid w:val="00C264BE"/>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204"/>
    <w:rsid w:val="00C704D4"/>
    <w:rsid w:val="00C70FC4"/>
    <w:rsid w:val="00C72DC8"/>
    <w:rsid w:val="00C742A6"/>
    <w:rsid w:val="00C75683"/>
    <w:rsid w:val="00C75805"/>
    <w:rsid w:val="00C75F22"/>
    <w:rsid w:val="00C765D7"/>
    <w:rsid w:val="00C76886"/>
    <w:rsid w:val="00C774C0"/>
    <w:rsid w:val="00C775E3"/>
    <w:rsid w:val="00C816BD"/>
    <w:rsid w:val="00C819CD"/>
    <w:rsid w:val="00C81AFE"/>
    <w:rsid w:val="00C81C9C"/>
    <w:rsid w:val="00C8235E"/>
    <w:rsid w:val="00C823F0"/>
    <w:rsid w:val="00C8272D"/>
    <w:rsid w:val="00C82DA1"/>
    <w:rsid w:val="00C8309E"/>
    <w:rsid w:val="00C8348D"/>
    <w:rsid w:val="00C83BC0"/>
    <w:rsid w:val="00C83C9F"/>
    <w:rsid w:val="00C84F2F"/>
    <w:rsid w:val="00C85AEC"/>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C06"/>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875"/>
    <w:rsid w:val="00CD6E6B"/>
    <w:rsid w:val="00CE05E7"/>
    <w:rsid w:val="00CE09B9"/>
    <w:rsid w:val="00CE0CF3"/>
    <w:rsid w:val="00CE1391"/>
    <w:rsid w:val="00CE16CB"/>
    <w:rsid w:val="00CE1F2E"/>
    <w:rsid w:val="00CE2CFA"/>
    <w:rsid w:val="00CE3282"/>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3A32"/>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930"/>
    <w:rsid w:val="00D92B52"/>
    <w:rsid w:val="00D933A0"/>
    <w:rsid w:val="00D93D9F"/>
    <w:rsid w:val="00D9417B"/>
    <w:rsid w:val="00D9514A"/>
    <w:rsid w:val="00D95237"/>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2A"/>
    <w:rsid w:val="00DB39E7"/>
    <w:rsid w:val="00DB3C8B"/>
    <w:rsid w:val="00DB3DED"/>
    <w:rsid w:val="00DB4339"/>
    <w:rsid w:val="00DB4403"/>
    <w:rsid w:val="00DB46F3"/>
    <w:rsid w:val="00DB4771"/>
    <w:rsid w:val="00DB5454"/>
    <w:rsid w:val="00DB56F0"/>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66A"/>
    <w:rsid w:val="00E20C40"/>
    <w:rsid w:val="00E20FCA"/>
    <w:rsid w:val="00E210A9"/>
    <w:rsid w:val="00E210BF"/>
    <w:rsid w:val="00E212A6"/>
    <w:rsid w:val="00E212B3"/>
    <w:rsid w:val="00E21F2E"/>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BC7"/>
    <w:rsid w:val="00E33BFF"/>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67C7"/>
    <w:rsid w:val="00E576D5"/>
    <w:rsid w:val="00E578AD"/>
    <w:rsid w:val="00E57EEE"/>
    <w:rsid w:val="00E60A23"/>
    <w:rsid w:val="00E60E7B"/>
    <w:rsid w:val="00E614C0"/>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07F"/>
    <w:rsid w:val="00E8120E"/>
    <w:rsid w:val="00E81324"/>
    <w:rsid w:val="00E8135A"/>
    <w:rsid w:val="00E81929"/>
    <w:rsid w:val="00E819A6"/>
    <w:rsid w:val="00E82980"/>
    <w:rsid w:val="00E82D8D"/>
    <w:rsid w:val="00E83808"/>
    <w:rsid w:val="00E8399A"/>
    <w:rsid w:val="00E84326"/>
    <w:rsid w:val="00E84EF6"/>
    <w:rsid w:val="00E86766"/>
    <w:rsid w:val="00E86AB6"/>
    <w:rsid w:val="00E86C55"/>
    <w:rsid w:val="00E876DA"/>
    <w:rsid w:val="00E87F51"/>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3F72"/>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0601"/>
    <w:rsid w:val="00F010BE"/>
    <w:rsid w:val="00F01153"/>
    <w:rsid w:val="00F01782"/>
    <w:rsid w:val="00F02377"/>
    <w:rsid w:val="00F03005"/>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3F30"/>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1AA7"/>
    <w:rsid w:val="00F323BA"/>
    <w:rsid w:val="00F32A9F"/>
    <w:rsid w:val="00F32E91"/>
    <w:rsid w:val="00F32F8E"/>
    <w:rsid w:val="00F334B3"/>
    <w:rsid w:val="00F3396F"/>
    <w:rsid w:val="00F34180"/>
    <w:rsid w:val="00F3485A"/>
    <w:rsid w:val="00F354D2"/>
    <w:rsid w:val="00F35CFA"/>
    <w:rsid w:val="00F35DDE"/>
    <w:rsid w:val="00F37225"/>
    <w:rsid w:val="00F37507"/>
    <w:rsid w:val="00F375C1"/>
    <w:rsid w:val="00F377D2"/>
    <w:rsid w:val="00F40D35"/>
    <w:rsid w:val="00F40DF0"/>
    <w:rsid w:val="00F416DB"/>
    <w:rsid w:val="00F4294B"/>
    <w:rsid w:val="00F42AC7"/>
    <w:rsid w:val="00F43A1D"/>
    <w:rsid w:val="00F43FDE"/>
    <w:rsid w:val="00F44464"/>
    <w:rsid w:val="00F44D7F"/>
    <w:rsid w:val="00F45366"/>
    <w:rsid w:val="00F45957"/>
    <w:rsid w:val="00F46254"/>
    <w:rsid w:val="00F463F2"/>
    <w:rsid w:val="00F46E85"/>
    <w:rsid w:val="00F46FE8"/>
    <w:rsid w:val="00F472AD"/>
    <w:rsid w:val="00F50CB8"/>
    <w:rsid w:val="00F51438"/>
    <w:rsid w:val="00F520F2"/>
    <w:rsid w:val="00F529AC"/>
    <w:rsid w:val="00F52E24"/>
    <w:rsid w:val="00F5349F"/>
    <w:rsid w:val="00F545A5"/>
    <w:rsid w:val="00F5491A"/>
    <w:rsid w:val="00F54E80"/>
    <w:rsid w:val="00F54FE5"/>
    <w:rsid w:val="00F55192"/>
    <w:rsid w:val="00F5548D"/>
    <w:rsid w:val="00F55B92"/>
    <w:rsid w:val="00F55F2B"/>
    <w:rsid w:val="00F5602F"/>
    <w:rsid w:val="00F5618F"/>
    <w:rsid w:val="00F56467"/>
    <w:rsid w:val="00F56617"/>
    <w:rsid w:val="00F567E9"/>
    <w:rsid w:val="00F56D9C"/>
    <w:rsid w:val="00F573CE"/>
    <w:rsid w:val="00F5795C"/>
    <w:rsid w:val="00F57DD5"/>
    <w:rsid w:val="00F600A7"/>
    <w:rsid w:val="00F60102"/>
    <w:rsid w:val="00F61663"/>
    <w:rsid w:val="00F617CE"/>
    <w:rsid w:val="00F62482"/>
    <w:rsid w:val="00F62D9E"/>
    <w:rsid w:val="00F6324B"/>
    <w:rsid w:val="00F63CA9"/>
    <w:rsid w:val="00F64D94"/>
    <w:rsid w:val="00F65044"/>
    <w:rsid w:val="00F6537E"/>
    <w:rsid w:val="00F67028"/>
    <w:rsid w:val="00F670A3"/>
    <w:rsid w:val="00F67AA8"/>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DA4"/>
    <w:rsid w:val="00FA0FC8"/>
    <w:rsid w:val="00FA1D2B"/>
    <w:rsid w:val="00FA2A35"/>
    <w:rsid w:val="00FA355E"/>
    <w:rsid w:val="00FA467C"/>
    <w:rsid w:val="00FA5436"/>
    <w:rsid w:val="00FA54AB"/>
    <w:rsid w:val="00FA583E"/>
    <w:rsid w:val="00FA5869"/>
    <w:rsid w:val="00FA6818"/>
    <w:rsid w:val="00FA77B6"/>
    <w:rsid w:val="00FB03C5"/>
    <w:rsid w:val="00FB06E5"/>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594"/>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CB6"/>
    <w:rsid w:val="00FE3D8C"/>
    <w:rsid w:val="00FE430E"/>
    <w:rsid w:val="00FE4642"/>
    <w:rsid w:val="00FE65BC"/>
    <w:rsid w:val="00FE6FDE"/>
    <w:rsid w:val="00FE7DC9"/>
    <w:rsid w:val="00FF0198"/>
    <w:rsid w:val="00FF0C52"/>
    <w:rsid w:val="00FF0DED"/>
    <w:rsid w:val="00FF1926"/>
    <w:rsid w:val="00FF330C"/>
    <w:rsid w:val="00FF5DBA"/>
    <w:rsid w:val="00FF6696"/>
    <w:rsid w:val="00FF7ADC"/>
    <w:rsid w:val="00FF7B2C"/>
    <w:rsid w:val="0120424E"/>
    <w:rsid w:val="01230692"/>
    <w:rsid w:val="016247FA"/>
    <w:rsid w:val="01745EE6"/>
    <w:rsid w:val="018326A3"/>
    <w:rsid w:val="01A06A8F"/>
    <w:rsid w:val="01C6622B"/>
    <w:rsid w:val="01E07CD8"/>
    <w:rsid w:val="01EA671C"/>
    <w:rsid w:val="021673DB"/>
    <w:rsid w:val="022353B4"/>
    <w:rsid w:val="022A3557"/>
    <w:rsid w:val="024A56F5"/>
    <w:rsid w:val="026E0F2B"/>
    <w:rsid w:val="027A2F04"/>
    <w:rsid w:val="02845B9C"/>
    <w:rsid w:val="02AE7397"/>
    <w:rsid w:val="02B1196D"/>
    <w:rsid w:val="02DD55DA"/>
    <w:rsid w:val="032A676A"/>
    <w:rsid w:val="032D7D27"/>
    <w:rsid w:val="03415224"/>
    <w:rsid w:val="03994C2D"/>
    <w:rsid w:val="03E32C2B"/>
    <w:rsid w:val="03E45FEA"/>
    <w:rsid w:val="03F375BC"/>
    <w:rsid w:val="04202CFA"/>
    <w:rsid w:val="044C3505"/>
    <w:rsid w:val="04551879"/>
    <w:rsid w:val="04704D33"/>
    <w:rsid w:val="047713FB"/>
    <w:rsid w:val="04C65B16"/>
    <w:rsid w:val="05184748"/>
    <w:rsid w:val="053A77BB"/>
    <w:rsid w:val="055B55D2"/>
    <w:rsid w:val="05D92DD6"/>
    <w:rsid w:val="05DD7507"/>
    <w:rsid w:val="05FE680E"/>
    <w:rsid w:val="060824FF"/>
    <w:rsid w:val="060C0138"/>
    <w:rsid w:val="063F11B9"/>
    <w:rsid w:val="06A4617C"/>
    <w:rsid w:val="06B12657"/>
    <w:rsid w:val="070C0CAE"/>
    <w:rsid w:val="072C420B"/>
    <w:rsid w:val="07725961"/>
    <w:rsid w:val="079E28EB"/>
    <w:rsid w:val="07E04069"/>
    <w:rsid w:val="08101121"/>
    <w:rsid w:val="08291916"/>
    <w:rsid w:val="083945D9"/>
    <w:rsid w:val="08A11559"/>
    <w:rsid w:val="08A14F57"/>
    <w:rsid w:val="08B07E10"/>
    <w:rsid w:val="08EE742E"/>
    <w:rsid w:val="09275B42"/>
    <w:rsid w:val="093007D2"/>
    <w:rsid w:val="09547520"/>
    <w:rsid w:val="09697C1D"/>
    <w:rsid w:val="09CA6EA6"/>
    <w:rsid w:val="09CD119C"/>
    <w:rsid w:val="09D9119E"/>
    <w:rsid w:val="0A2B7D2A"/>
    <w:rsid w:val="0A57260B"/>
    <w:rsid w:val="0ACC1410"/>
    <w:rsid w:val="0B083D6B"/>
    <w:rsid w:val="0B141F1A"/>
    <w:rsid w:val="0B6573F2"/>
    <w:rsid w:val="0BB958B8"/>
    <w:rsid w:val="0BC663BC"/>
    <w:rsid w:val="0BD537C3"/>
    <w:rsid w:val="0BD92474"/>
    <w:rsid w:val="0C2347E8"/>
    <w:rsid w:val="0C600AAB"/>
    <w:rsid w:val="0C650670"/>
    <w:rsid w:val="0D5A60C0"/>
    <w:rsid w:val="0DCA115E"/>
    <w:rsid w:val="0DEA0E63"/>
    <w:rsid w:val="0E115C8A"/>
    <w:rsid w:val="0E9360EE"/>
    <w:rsid w:val="0EA30700"/>
    <w:rsid w:val="0EB31142"/>
    <w:rsid w:val="0EB57671"/>
    <w:rsid w:val="0F095504"/>
    <w:rsid w:val="0F3B2473"/>
    <w:rsid w:val="0FAD378C"/>
    <w:rsid w:val="0FBA74F6"/>
    <w:rsid w:val="0FC3085C"/>
    <w:rsid w:val="0FE20946"/>
    <w:rsid w:val="10111F7C"/>
    <w:rsid w:val="1023263D"/>
    <w:rsid w:val="104F1744"/>
    <w:rsid w:val="105B0B5E"/>
    <w:rsid w:val="106016F3"/>
    <w:rsid w:val="10861BA8"/>
    <w:rsid w:val="108C7DAF"/>
    <w:rsid w:val="1094132B"/>
    <w:rsid w:val="10A52D12"/>
    <w:rsid w:val="10A56E7C"/>
    <w:rsid w:val="10C539C9"/>
    <w:rsid w:val="10FA108C"/>
    <w:rsid w:val="10FF1B4C"/>
    <w:rsid w:val="11203590"/>
    <w:rsid w:val="11402F73"/>
    <w:rsid w:val="11454713"/>
    <w:rsid w:val="114F5A4E"/>
    <w:rsid w:val="11612A9E"/>
    <w:rsid w:val="119A3B84"/>
    <w:rsid w:val="12671F77"/>
    <w:rsid w:val="127A0FCA"/>
    <w:rsid w:val="127E4ECB"/>
    <w:rsid w:val="127E7FC7"/>
    <w:rsid w:val="12AC792A"/>
    <w:rsid w:val="12BD152A"/>
    <w:rsid w:val="12ED1E9A"/>
    <w:rsid w:val="12EF1953"/>
    <w:rsid w:val="12F67447"/>
    <w:rsid w:val="13177D05"/>
    <w:rsid w:val="131A0221"/>
    <w:rsid w:val="1335429C"/>
    <w:rsid w:val="13540009"/>
    <w:rsid w:val="13BF21F2"/>
    <w:rsid w:val="13C47A9B"/>
    <w:rsid w:val="13ED2BC3"/>
    <w:rsid w:val="141D2C0B"/>
    <w:rsid w:val="14957781"/>
    <w:rsid w:val="14E05FB1"/>
    <w:rsid w:val="15657783"/>
    <w:rsid w:val="1593631A"/>
    <w:rsid w:val="15A51DBF"/>
    <w:rsid w:val="16103820"/>
    <w:rsid w:val="161B6B1A"/>
    <w:rsid w:val="16263110"/>
    <w:rsid w:val="162F4960"/>
    <w:rsid w:val="16691AFB"/>
    <w:rsid w:val="16B761A1"/>
    <w:rsid w:val="1711684A"/>
    <w:rsid w:val="173516EA"/>
    <w:rsid w:val="173D7D0F"/>
    <w:rsid w:val="176E5DFB"/>
    <w:rsid w:val="17965F21"/>
    <w:rsid w:val="17D404BB"/>
    <w:rsid w:val="17EC4251"/>
    <w:rsid w:val="17EC57B1"/>
    <w:rsid w:val="17F13463"/>
    <w:rsid w:val="187E553C"/>
    <w:rsid w:val="18C748B7"/>
    <w:rsid w:val="18E427C8"/>
    <w:rsid w:val="18E52B69"/>
    <w:rsid w:val="192223EF"/>
    <w:rsid w:val="19523A78"/>
    <w:rsid w:val="196654F1"/>
    <w:rsid w:val="196F2052"/>
    <w:rsid w:val="19706189"/>
    <w:rsid w:val="197449B0"/>
    <w:rsid w:val="19AE7F28"/>
    <w:rsid w:val="19B6113F"/>
    <w:rsid w:val="19CA0989"/>
    <w:rsid w:val="19F40797"/>
    <w:rsid w:val="1A213ABD"/>
    <w:rsid w:val="1A247B8D"/>
    <w:rsid w:val="1A617FFD"/>
    <w:rsid w:val="1AA51664"/>
    <w:rsid w:val="1AF413C8"/>
    <w:rsid w:val="1AF71523"/>
    <w:rsid w:val="1B1A4A1C"/>
    <w:rsid w:val="1B38030C"/>
    <w:rsid w:val="1B3C1C8E"/>
    <w:rsid w:val="1B674AC7"/>
    <w:rsid w:val="1B695F6C"/>
    <w:rsid w:val="1B746B39"/>
    <w:rsid w:val="1B80541E"/>
    <w:rsid w:val="1BC50187"/>
    <w:rsid w:val="1BCA7842"/>
    <w:rsid w:val="1C42696B"/>
    <w:rsid w:val="1C427144"/>
    <w:rsid w:val="1C4409AC"/>
    <w:rsid w:val="1C530BD0"/>
    <w:rsid w:val="1C8F133C"/>
    <w:rsid w:val="1CC90CBC"/>
    <w:rsid w:val="1CE75528"/>
    <w:rsid w:val="1CED7E4D"/>
    <w:rsid w:val="1D094F9C"/>
    <w:rsid w:val="1D0E23E7"/>
    <w:rsid w:val="1D491EF1"/>
    <w:rsid w:val="1D8C2345"/>
    <w:rsid w:val="1D8D7A52"/>
    <w:rsid w:val="1DAE65F0"/>
    <w:rsid w:val="1DEF5D9F"/>
    <w:rsid w:val="1E111767"/>
    <w:rsid w:val="1E117A37"/>
    <w:rsid w:val="1E720322"/>
    <w:rsid w:val="1E8B4AEE"/>
    <w:rsid w:val="1EB142DF"/>
    <w:rsid w:val="1F035E51"/>
    <w:rsid w:val="1F656BFD"/>
    <w:rsid w:val="1F9E565E"/>
    <w:rsid w:val="1FA2333B"/>
    <w:rsid w:val="2023550C"/>
    <w:rsid w:val="203B4DB3"/>
    <w:rsid w:val="208E77B9"/>
    <w:rsid w:val="20F64BEA"/>
    <w:rsid w:val="20F75FD5"/>
    <w:rsid w:val="20FB6AEC"/>
    <w:rsid w:val="2105481C"/>
    <w:rsid w:val="210E4642"/>
    <w:rsid w:val="213011D5"/>
    <w:rsid w:val="21B45DF5"/>
    <w:rsid w:val="21E15853"/>
    <w:rsid w:val="22105473"/>
    <w:rsid w:val="22211C9D"/>
    <w:rsid w:val="224332AE"/>
    <w:rsid w:val="22581B32"/>
    <w:rsid w:val="22605689"/>
    <w:rsid w:val="2265761B"/>
    <w:rsid w:val="228377FC"/>
    <w:rsid w:val="229C0B63"/>
    <w:rsid w:val="22AD589A"/>
    <w:rsid w:val="22B743A5"/>
    <w:rsid w:val="22FB72D8"/>
    <w:rsid w:val="23245B22"/>
    <w:rsid w:val="23314333"/>
    <w:rsid w:val="23360FD0"/>
    <w:rsid w:val="23A915EB"/>
    <w:rsid w:val="23C2673F"/>
    <w:rsid w:val="23CC6C6C"/>
    <w:rsid w:val="23DF6B20"/>
    <w:rsid w:val="24105B34"/>
    <w:rsid w:val="24777F0B"/>
    <w:rsid w:val="24975E97"/>
    <w:rsid w:val="24D17B32"/>
    <w:rsid w:val="24DF3D48"/>
    <w:rsid w:val="24FD13D3"/>
    <w:rsid w:val="253C2765"/>
    <w:rsid w:val="256652B4"/>
    <w:rsid w:val="256D377B"/>
    <w:rsid w:val="256F5ACC"/>
    <w:rsid w:val="2581184D"/>
    <w:rsid w:val="25965F7C"/>
    <w:rsid w:val="259E4894"/>
    <w:rsid w:val="25A0434E"/>
    <w:rsid w:val="25A33C5F"/>
    <w:rsid w:val="25A517EF"/>
    <w:rsid w:val="25AE084C"/>
    <w:rsid w:val="26713644"/>
    <w:rsid w:val="2674362D"/>
    <w:rsid w:val="267D0E56"/>
    <w:rsid w:val="268F20C6"/>
    <w:rsid w:val="26C72B6F"/>
    <w:rsid w:val="26DA605D"/>
    <w:rsid w:val="26EC6985"/>
    <w:rsid w:val="273A63A3"/>
    <w:rsid w:val="2749444C"/>
    <w:rsid w:val="27DD6975"/>
    <w:rsid w:val="281352B7"/>
    <w:rsid w:val="28197154"/>
    <w:rsid w:val="28B65382"/>
    <w:rsid w:val="28DE02D2"/>
    <w:rsid w:val="28F84B93"/>
    <w:rsid w:val="29077D29"/>
    <w:rsid w:val="2918419C"/>
    <w:rsid w:val="294616FD"/>
    <w:rsid w:val="299171C6"/>
    <w:rsid w:val="29AB330F"/>
    <w:rsid w:val="29AC5FBF"/>
    <w:rsid w:val="29DD4EE5"/>
    <w:rsid w:val="29F8157A"/>
    <w:rsid w:val="2A0C65CE"/>
    <w:rsid w:val="2A1E335D"/>
    <w:rsid w:val="2A524FDF"/>
    <w:rsid w:val="2A753158"/>
    <w:rsid w:val="2A965B0A"/>
    <w:rsid w:val="2AAC37FB"/>
    <w:rsid w:val="2ADB2BD5"/>
    <w:rsid w:val="2B4324C3"/>
    <w:rsid w:val="2B674940"/>
    <w:rsid w:val="2B8C7FFD"/>
    <w:rsid w:val="2BA519D8"/>
    <w:rsid w:val="2BD71534"/>
    <w:rsid w:val="2C250B14"/>
    <w:rsid w:val="2C3B5405"/>
    <w:rsid w:val="2C4955E3"/>
    <w:rsid w:val="2C4B2FA5"/>
    <w:rsid w:val="2C504BF0"/>
    <w:rsid w:val="2C59031C"/>
    <w:rsid w:val="2C5907E9"/>
    <w:rsid w:val="2C650E64"/>
    <w:rsid w:val="2C6579B8"/>
    <w:rsid w:val="2CD56F5D"/>
    <w:rsid w:val="2CF00EAC"/>
    <w:rsid w:val="2D850B71"/>
    <w:rsid w:val="2DAC19F5"/>
    <w:rsid w:val="2DE03CE6"/>
    <w:rsid w:val="2E0470F3"/>
    <w:rsid w:val="2E0A1185"/>
    <w:rsid w:val="2E0D253C"/>
    <w:rsid w:val="2E486DD2"/>
    <w:rsid w:val="2E57306B"/>
    <w:rsid w:val="2F1B7500"/>
    <w:rsid w:val="2F1E1ED4"/>
    <w:rsid w:val="2F4C544D"/>
    <w:rsid w:val="2F57653D"/>
    <w:rsid w:val="2F5B5117"/>
    <w:rsid w:val="2F7067E6"/>
    <w:rsid w:val="2F757199"/>
    <w:rsid w:val="2F885A73"/>
    <w:rsid w:val="2F8922A1"/>
    <w:rsid w:val="2FDF791C"/>
    <w:rsid w:val="2FE34720"/>
    <w:rsid w:val="2FE9521D"/>
    <w:rsid w:val="2FEA60CD"/>
    <w:rsid w:val="30341FA2"/>
    <w:rsid w:val="303E25B2"/>
    <w:rsid w:val="307E7C38"/>
    <w:rsid w:val="3106378E"/>
    <w:rsid w:val="312E2219"/>
    <w:rsid w:val="31EF1640"/>
    <w:rsid w:val="321C5403"/>
    <w:rsid w:val="321D2420"/>
    <w:rsid w:val="321F5EE6"/>
    <w:rsid w:val="32E22E40"/>
    <w:rsid w:val="33280090"/>
    <w:rsid w:val="332B7152"/>
    <w:rsid w:val="334249CD"/>
    <w:rsid w:val="33982369"/>
    <w:rsid w:val="33A201DA"/>
    <w:rsid w:val="33A32A64"/>
    <w:rsid w:val="33D1015A"/>
    <w:rsid w:val="33D25DFC"/>
    <w:rsid w:val="33D66FBA"/>
    <w:rsid w:val="342B3CB6"/>
    <w:rsid w:val="346B5F4A"/>
    <w:rsid w:val="346D28AC"/>
    <w:rsid w:val="34986757"/>
    <w:rsid w:val="34C834CB"/>
    <w:rsid w:val="34DB5BEE"/>
    <w:rsid w:val="34DF211F"/>
    <w:rsid w:val="35154E98"/>
    <w:rsid w:val="35186016"/>
    <w:rsid w:val="35245E9E"/>
    <w:rsid w:val="35B01E4A"/>
    <w:rsid w:val="35DF103A"/>
    <w:rsid w:val="361E2AC3"/>
    <w:rsid w:val="36496066"/>
    <w:rsid w:val="367F45F6"/>
    <w:rsid w:val="36C2714B"/>
    <w:rsid w:val="36EA2872"/>
    <w:rsid w:val="37021DBA"/>
    <w:rsid w:val="37023232"/>
    <w:rsid w:val="37905BEB"/>
    <w:rsid w:val="37B55A13"/>
    <w:rsid w:val="37C95891"/>
    <w:rsid w:val="37D44F73"/>
    <w:rsid w:val="38556DEE"/>
    <w:rsid w:val="388E70B3"/>
    <w:rsid w:val="38CF612C"/>
    <w:rsid w:val="38E5008F"/>
    <w:rsid w:val="39353873"/>
    <w:rsid w:val="39CB511C"/>
    <w:rsid w:val="3A0F09FF"/>
    <w:rsid w:val="3A2D21AE"/>
    <w:rsid w:val="3A40219C"/>
    <w:rsid w:val="3A41153E"/>
    <w:rsid w:val="3A476958"/>
    <w:rsid w:val="3A5E004A"/>
    <w:rsid w:val="3A6409FF"/>
    <w:rsid w:val="3A9D283C"/>
    <w:rsid w:val="3AA24F6A"/>
    <w:rsid w:val="3AB23EC2"/>
    <w:rsid w:val="3AB6680E"/>
    <w:rsid w:val="3AED0349"/>
    <w:rsid w:val="3B027B15"/>
    <w:rsid w:val="3B146EA0"/>
    <w:rsid w:val="3B1C7208"/>
    <w:rsid w:val="3B26064F"/>
    <w:rsid w:val="3B3B31B7"/>
    <w:rsid w:val="3BB47D76"/>
    <w:rsid w:val="3BCA3D2B"/>
    <w:rsid w:val="3BDD3D31"/>
    <w:rsid w:val="3C0C24D0"/>
    <w:rsid w:val="3C2329DE"/>
    <w:rsid w:val="3C387C13"/>
    <w:rsid w:val="3C3C148C"/>
    <w:rsid w:val="3C3C2D43"/>
    <w:rsid w:val="3C566D4D"/>
    <w:rsid w:val="3CF51FB8"/>
    <w:rsid w:val="3D1F45F0"/>
    <w:rsid w:val="3D5931A3"/>
    <w:rsid w:val="3D676C4F"/>
    <w:rsid w:val="3D6D42D8"/>
    <w:rsid w:val="3D82706F"/>
    <w:rsid w:val="3D9764AF"/>
    <w:rsid w:val="3DCD5673"/>
    <w:rsid w:val="3DDC6D05"/>
    <w:rsid w:val="3DEB3817"/>
    <w:rsid w:val="3E01510C"/>
    <w:rsid w:val="3E6E6B8D"/>
    <w:rsid w:val="3E7F3962"/>
    <w:rsid w:val="3E9430E0"/>
    <w:rsid w:val="3EBD2EEA"/>
    <w:rsid w:val="3ECD1262"/>
    <w:rsid w:val="3F216D3E"/>
    <w:rsid w:val="3F590A83"/>
    <w:rsid w:val="3F69603F"/>
    <w:rsid w:val="3FD95300"/>
    <w:rsid w:val="3FE8458F"/>
    <w:rsid w:val="3FE93DFA"/>
    <w:rsid w:val="40621EEF"/>
    <w:rsid w:val="406A7E41"/>
    <w:rsid w:val="40716E26"/>
    <w:rsid w:val="407767B1"/>
    <w:rsid w:val="40B47677"/>
    <w:rsid w:val="40DC1DD0"/>
    <w:rsid w:val="40EB305C"/>
    <w:rsid w:val="40FA2DBD"/>
    <w:rsid w:val="4137798B"/>
    <w:rsid w:val="413C07FF"/>
    <w:rsid w:val="414423C4"/>
    <w:rsid w:val="41755597"/>
    <w:rsid w:val="418878EA"/>
    <w:rsid w:val="41A30C6B"/>
    <w:rsid w:val="41BF5814"/>
    <w:rsid w:val="42247208"/>
    <w:rsid w:val="42290BBA"/>
    <w:rsid w:val="425B616B"/>
    <w:rsid w:val="42815EC9"/>
    <w:rsid w:val="42B34FB0"/>
    <w:rsid w:val="42B52A5A"/>
    <w:rsid w:val="42F44377"/>
    <w:rsid w:val="42F47F65"/>
    <w:rsid w:val="43256988"/>
    <w:rsid w:val="433444B4"/>
    <w:rsid w:val="433E181F"/>
    <w:rsid w:val="434B0725"/>
    <w:rsid w:val="434F194C"/>
    <w:rsid w:val="437D5F38"/>
    <w:rsid w:val="43EB3BF8"/>
    <w:rsid w:val="43F63A9A"/>
    <w:rsid w:val="440D168C"/>
    <w:rsid w:val="44191BBB"/>
    <w:rsid w:val="441A5719"/>
    <w:rsid w:val="44454911"/>
    <w:rsid w:val="444570D7"/>
    <w:rsid w:val="44553840"/>
    <w:rsid w:val="44687A88"/>
    <w:rsid w:val="44693328"/>
    <w:rsid w:val="44B741BA"/>
    <w:rsid w:val="451106FD"/>
    <w:rsid w:val="454F554E"/>
    <w:rsid w:val="455F1B3C"/>
    <w:rsid w:val="45765019"/>
    <w:rsid w:val="45966907"/>
    <w:rsid w:val="459906E4"/>
    <w:rsid w:val="45A76D4B"/>
    <w:rsid w:val="45BA501A"/>
    <w:rsid w:val="45F22775"/>
    <w:rsid w:val="462D281F"/>
    <w:rsid w:val="46386346"/>
    <w:rsid w:val="46857774"/>
    <w:rsid w:val="469C6F9D"/>
    <w:rsid w:val="46A61E2C"/>
    <w:rsid w:val="46C45A77"/>
    <w:rsid w:val="46D840D0"/>
    <w:rsid w:val="46E20A9A"/>
    <w:rsid w:val="473258A5"/>
    <w:rsid w:val="47993A99"/>
    <w:rsid w:val="47A130F5"/>
    <w:rsid w:val="47A42777"/>
    <w:rsid w:val="47AA6410"/>
    <w:rsid w:val="47C62ED9"/>
    <w:rsid w:val="47E8192D"/>
    <w:rsid w:val="47F05DD2"/>
    <w:rsid w:val="47FA1031"/>
    <w:rsid w:val="481E0C0D"/>
    <w:rsid w:val="48403B96"/>
    <w:rsid w:val="485754EA"/>
    <w:rsid w:val="48645AFB"/>
    <w:rsid w:val="487C3FC9"/>
    <w:rsid w:val="487F367A"/>
    <w:rsid w:val="48BB4C17"/>
    <w:rsid w:val="48DD7E3B"/>
    <w:rsid w:val="492C319F"/>
    <w:rsid w:val="494D48CF"/>
    <w:rsid w:val="496F4763"/>
    <w:rsid w:val="49963007"/>
    <w:rsid w:val="49B10DCB"/>
    <w:rsid w:val="49F112D9"/>
    <w:rsid w:val="4A431964"/>
    <w:rsid w:val="4A55211B"/>
    <w:rsid w:val="4A7C384F"/>
    <w:rsid w:val="4A8A29A7"/>
    <w:rsid w:val="4ACB1123"/>
    <w:rsid w:val="4AE43E3C"/>
    <w:rsid w:val="4AEF475E"/>
    <w:rsid w:val="4AFB2874"/>
    <w:rsid w:val="4B24099A"/>
    <w:rsid w:val="4B2D7D1E"/>
    <w:rsid w:val="4B323E0F"/>
    <w:rsid w:val="4B383780"/>
    <w:rsid w:val="4B64236F"/>
    <w:rsid w:val="4B977869"/>
    <w:rsid w:val="4BA86EA2"/>
    <w:rsid w:val="4BB369F5"/>
    <w:rsid w:val="4BBA244A"/>
    <w:rsid w:val="4BC87E09"/>
    <w:rsid w:val="4BED7415"/>
    <w:rsid w:val="4C28492A"/>
    <w:rsid w:val="4C56200A"/>
    <w:rsid w:val="4C8D360A"/>
    <w:rsid w:val="4CA14229"/>
    <w:rsid w:val="4CB132D9"/>
    <w:rsid w:val="4CC35913"/>
    <w:rsid w:val="4CD16286"/>
    <w:rsid w:val="4CD4205B"/>
    <w:rsid w:val="4CEA78A8"/>
    <w:rsid w:val="4D0C3224"/>
    <w:rsid w:val="4D221CD7"/>
    <w:rsid w:val="4D6C41D0"/>
    <w:rsid w:val="4D6F32C7"/>
    <w:rsid w:val="4D8656DA"/>
    <w:rsid w:val="4DA40E96"/>
    <w:rsid w:val="4DAF0F0C"/>
    <w:rsid w:val="4DDC7AE7"/>
    <w:rsid w:val="4DED05FC"/>
    <w:rsid w:val="4DF36CCF"/>
    <w:rsid w:val="4E1079A7"/>
    <w:rsid w:val="4E1A38B1"/>
    <w:rsid w:val="4E221B7D"/>
    <w:rsid w:val="4E2E3B8F"/>
    <w:rsid w:val="4E3852C6"/>
    <w:rsid w:val="4EBC7A0C"/>
    <w:rsid w:val="4F236AC7"/>
    <w:rsid w:val="4F2D6FE8"/>
    <w:rsid w:val="4F3E446C"/>
    <w:rsid w:val="4F5370C0"/>
    <w:rsid w:val="4F5438DD"/>
    <w:rsid w:val="4F581010"/>
    <w:rsid w:val="4F5B3392"/>
    <w:rsid w:val="4F646AAD"/>
    <w:rsid w:val="4F726AC9"/>
    <w:rsid w:val="4FDE0680"/>
    <w:rsid w:val="50045AC3"/>
    <w:rsid w:val="501C4F0D"/>
    <w:rsid w:val="50240DF1"/>
    <w:rsid w:val="50244C57"/>
    <w:rsid w:val="50AB3096"/>
    <w:rsid w:val="50AD2C9D"/>
    <w:rsid w:val="50CA41EF"/>
    <w:rsid w:val="50F02B8B"/>
    <w:rsid w:val="512B791C"/>
    <w:rsid w:val="513A7953"/>
    <w:rsid w:val="517717CD"/>
    <w:rsid w:val="51AC1406"/>
    <w:rsid w:val="52030F03"/>
    <w:rsid w:val="52091678"/>
    <w:rsid w:val="5212572E"/>
    <w:rsid w:val="521469DC"/>
    <w:rsid w:val="522C74B0"/>
    <w:rsid w:val="527B7A70"/>
    <w:rsid w:val="528662F8"/>
    <w:rsid w:val="52FA6F7C"/>
    <w:rsid w:val="53130BF7"/>
    <w:rsid w:val="531B1423"/>
    <w:rsid w:val="5322600D"/>
    <w:rsid w:val="533E1D0F"/>
    <w:rsid w:val="534479FE"/>
    <w:rsid w:val="5363180D"/>
    <w:rsid w:val="53B35F17"/>
    <w:rsid w:val="540D783D"/>
    <w:rsid w:val="541B65F4"/>
    <w:rsid w:val="549D73AB"/>
    <w:rsid w:val="54A02E19"/>
    <w:rsid w:val="54A414C7"/>
    <w:rsid w:val="54A746AA"/>
    <w:rsid w:val="54CD2C7A"/>
    <w:rsid w:val="54D0545F"/>
    <w:rsid w:val="5552691D"/>
    <w:rsid w:val="55566A4B"/>
    <w:rsid w:val="55911EF9"/>
    <w:rsid w:val="55A44BCF"/>
    <w:rsid w:val="55A60A43"/>
    <w:rsid w:val="55E23B6E"/>
    <w:rsid w:val="55E8379E"/>
    <w:rsid w:val="55FC278C"/>
    <w:rsid w:val="56011DF0"/>
    <w:rsid w:val="56180A5E"/>
    <w:rsid w:val="569842C2"/>
    <w:rsid w:val="56E6151A"/>
    <w:rsid w:val="570941B6"/>
    <w:rsid w:val="57551807"/>
    <w:rsid w:val="575F25C1"/>
    <w:rsid w:val="57A03881"/>
    <w:rsid w:val="57B66DF8"/>
    <w:rsid w:val="57E2605D"/>
    <w:rsid w:val="57FD1792"/>
    <w:rsid w:val="5822386F"/>
    <w:rsid w:val="583B339B"/>
    <w:rsid w:val="58415193"/>
    <w:rsid w:val="58481CE4"/>
    <w:rsid w:val="5898636D"/>
    <w:rsid w:val="58B73B3C"/>
    <w:rsid w:val="58BA34DE"/>
    <w:rsid w:val="58BC5859"/>
    <w:rsid w:val="58C953BB"/>
    <w:rsid w:val="5926651D"/>
    <w:rsid w:val="593D497F"/>
    <w:rsid w:val="59830BF8"/>
    <w:rsid w:val="59845459"/>
    <w:rsid w:val="59D5057A"/>
    <w:rsid w:val="59F635FD"/>
    <w:rsid w:val="5A024091"/>
    <w:rsid w:val="5A8A6DE2"/>
    <w:rsid w:val="5AFC5479"/>
    <w:rsid w:val="5B3A4EE7"/>
    <w:rsid w:val="5B40336D"/>
    <w:rsid w:val="5B4E4486"/>
    <w:rsid w:val="5B8C5D73"/>
    <w:rsid w:val="5B9F1E05"/>
    <w:rsid w:val="5BEE65FC"/>
    <w:rsid w:val="5BFA36D3"/>
    <w:rsid w:val="5BFD58A1"/>
    <w:rsid w:val="5C084732"/>
    <w:rsid w:val="5C125816"/>
    <w:rsid w:val="5C13465C"/>
    <w:rsid w:val="5C2115FE"/>
    <w:rsid w:val="5C566B5C"/>
    <w:rsid w:val="5CE16196"/>
    <w:rsid w:val="5D720F98"/>
    <w:rsid w:val="5D883BE2"/>
    <w:rsid w:val="5DCE0AA9"/>
    <w:rsid w:val="5DD07523"/>
    <w:rsid w:val="5DDA0FE2"/>
    <w:rsid w:val="5DE73D28"/>
    <w:rsid w:val="5E19305A"/>
    <w:rsid w:val="5E527C50"/>
    <w:rsid w:val="5EC50516"/>
    <w:rsid w:val="5EC703E6"/>
    <w:rsid w:val="5ECB0068"/>
    <w:rsid w:val="5ECE1A19"/>
    <w:rsid w:val="5EDB4F20"/>
    <w:rsid w:val="5F284E40"/>
    <w:rsid w:val="5F5641FA"/>
    <w:rsid w:val="5F754BEE"/>
    <w:rsid w:val="5F89287F"/>
    <w:rsid w:val="5FDE1EE4"/>
    <w:rsid w:val="5FE67956"/>
    <w:rsid w:val="5FF72611"/>
    <w:rsid w:val="60031C46"/>
    <w:rsid w:val="602148BA"/>
    <w:rsid w:val="606317CC"/>
    <w:rsid w:val="607625F6"/>
    <w:rsid w:val="60A832D2"/>
    <w:rsid w:val="60EA14E8"/>
    <w:rsid w:val="60F021CA"/>
    <w:rsid w:val="61145E0F"/>
    <w:rsid w:val="61624FEF"/>
    <w:rsid w:val="617F70AA"/>
    <w:rsid w:val="61997B21"/>
    <w:rsid w:val="61BB2F63"/>
    <w:rsid w:val="61E25761"/>
    <w:rsid w:val="62030D09"/>
    <w:rsid w:val="62167C29"/>
    <w:rsid w:val="622D4EEC"/>
    <w:rsid w:val="623D546B"/>
    <w:rsid w:val="626271F8"/>
    <w:rsid w:val="62746729"/>
    <w:rsid w:val="629275AC"/>
    <w:rsid w:val="62B46A9A"/>
    <w:rsid w:val="62B603BE"/>
    <w:rsid w:val="62B836E7"/>
    <w:rsid w:val="62CD3163"/>
    <w:rsid w:val="62F55F13"/>
    <w:rsid w:val="636E3A96"/>
    <w:rsid w:val="63951267"/>
    <w:rsid w:val="63BE1A11"/>
    <w:rsid w:val="63F535AC"/>
    <w:rsid w:val="64224B50"/>
    <w:rsid w:val="642E62DB"/>
    <w:rsid w:val="646F4906"/>
    <w:rsid w:val="64EA6F7B"/>
    <w:rsid w:val="64EF1EE4"/>
    <w:rsid w:val="654A3F98"/>
    <w:rsid w:val="655167DB"/>
    <w:rsid w:val="65552091"/>
    <w:rsid w:val="65611DD3"/>
    <w:rsid w:val="658F1C8B"/>
    <w:rsid w:val="659A53D5"/>
    <w:rsid w:val="65BE60FC"/>
    <w:rsid w:val="661C031E"/>
    <w:rsid w:val="665D1497"/>
    <w:rsid w:val="66EC609B"/>
    <w:rsid w:val="67054BC5"/>
    <w:rsid w:val="67072FFE"/>
    <w:rsid w:val="671477D7"/>
    <w:rsid w:val="672958C3"/>
    <w:rsid w:val="674928AC"/>
    <w:rsid w:val="67DF2416"/>
    <w:rsid w:val="67F61CED"/>
    <w:rsid w:val="683449CB"/>
    <w:rsid w:val="68797C98"/>
    <w:rsid w:val="687A5CD7"/>
    <w:rsid w:val="6887014C"/>
    <w:rsid w:val="688A62C1"/>
    <w:rsid w:val="68911DBD"/>
    <w:rsid w:val="68A7765D"/>
    <w:rsid w:val="68B61ACB"/>
    <w:rsid w:val="68D61FD5"/>
    <w:rsid w:val="68F22857"/>
    <w:rsid w:val="690F3D82"/>
    <w:rsid w:val="694834FE"/>
    <w:rsid w:val="695745BC"/>
    <w:rsid w:val="69652243"/>
    <w:rsid w:val="69AB4CF2"/>
    <w:rsid w:val="69C94CCC"/>
    <w:rsid w:val="69D96939"/>
    <w:rsid w:val="69F53BBD"/>
    <w:rsid w:val="69F86402"/>
    <w:rsid w:val="6A476AE4"/>
    <w:rsid w:val="6A517BC2"/>
    <w:rsid w:val="6A65224D"/>
    <w:rsid w:val="6AD03CA4"/>
    <w:rsid w:val="6AF503DD"/>
    <w:rsid w:val="6B015F03"/>
    <w:rsid w:val="6B147332"/>
    <w:rsid w:val="6B730D8D"/>
    <w:rsid w:val="6B7A5E67"/>
    <w:rsid w:val="6BC45011"/>
    <w:rsid w:val="6C06754D"/>
    <w:rsid w:val="6C3D65B0"/>
    <w:rsid w:val="6C4F0A89"/>
    <w:rsid w:val="6C7039F3"/>
    <w:rsid w:val="6C9735EF"/>
    <w:rsid w:val="6C9B33DD"/>
    <w:rsid w:val="6CA2084A"/>
    <w:rsid w:val="6CC1445E"/>
    <w:rsid w:val="6CF90689"/>
    <w:rsid w:val="6CFB6AE7"/>
    <w:rsid w:val="6D3C62EF"/>
    <w:rsid w:val="6D3E020C"/>
    <w:rsid w:val="6D5B7C22"/>
    <w:rsid w:val="6D6D47E3"/>
    <w:rsid w:val="6D7F34AE"/>
    <w:rsid w:val="6D96073B"/>
    <w:rsid w:val="6D9C3D3B"/>
    <w:rsid w:val="6D9F6F97"/>
    <w:rsid w:val="6DD803C3"/>
    <w:rsid w:val="6E2A03E1"/>
    <w:rsid w:val="6E3217E2"/>
    <w:rsid w:val="6E46523A"/>
    <w:rsid w:val="6E4E02CB"/>
    <w:rsid w:val="6F0F37DA"/>
    <w:rsid w:val="6F345DED"/>
    <w:rsid w:val="6F4A4CF9"/>
    <w:rsid w:val="6F4E6D96"/>
    <w:rsid w:val="6F647671"/>
    <w:rsid w:val="6F713328"/>
    <w:rsid w:val="6FD553A6"/>
    <w:rsid w:val="702173D8"/>
    <w:rsid w:val="705F6AE0"/>
    <w:rsid w:val="70C31947"/>
    <w:rsid w:val="70DA5CBA"/>
    <w:rsid w:val="71211CA2"/>
    <w:rsid w:val="719A6974"/>
    <w:rsid w:val="71A1709E"/>
    <w:rsid w:val="71B04CB7"/>
    <w:rsid w:val="71E6401D"/>
    <w:rsid w:val="71EC6C57"/>
    <w:rsid w:val="720A1AEC"/>
    <w:rsid w:val="72377A68"/>
    <w:rsid w:val="724F6160"/>
    <w:rsid w:val="72530578"/>
    <w:rsid w:val="72AA2522"/>
    <w:rsid w:val="72C23555"/>
    <w:rsid w:val="72D0311E"/>
    <w:rsid w:val="72E15C27"/>
    <w:rsid w:val="733D3771"/>
    <w:rsid w:val="733E4AA5"/>
    <w:rsid w:val="73470CFE"/>
    <w:rsid w:val="73D3670A"/>
    <w:rsid w:val="73EC4408"/>
    <w:rsid w:val="74006B47"/>
    <w:rsid w:val="741E7F6E"/>
    <w:rsid w:val="744C66E2"/>
    <w:rsid w:val="74613231"/>
    <w:rsid w:val="74B21F34"/>
    <w:rsid w:val="74C81B3F"/>
    <w:rsid w:val="74EC3944"/>
    <w:rsid w:val="75076AED"/>
    <w:rsid w:val="751E2B9B"/>
    <w:rsid w:val="752D39CB"/>
    <w:rsid w:val="759B20C5"/>
    <w:rsid w:val="75C62F7B"/>
    <w:rsid w:val="76565CF8"/>
    <w:rsid w:val="765D6AD9"/>
    <w:rsid w:val="768C18A5"/>
    <w:rsid w:val="771C2B72"/>
    <w:rsid w:val="773D399C"/>
    <w:rsid w:val="776E2CBE"/>
    <w:rsid w:val="778B4C48"/>
    <w:rsid w:val="77AE64E8"/>
    <w:rsid w:val="77B072BC"/>
    <w:rsid w:val="77F80F61"/>
    <w:rsid w:val="78031D58"/>
    <w:rsid w:val="78207259"/>
    <w:rsid w:val="7832110C"/>
    <w:rsid w:val="78546EFA"/>
    <w:rsid w:val="78627FD0"/>
    <w:rsid w:val="78E32DDE"/>
    <w:rsid w:val="78EF05F9"/>
    <w:rsid w:val="792A77D2"/>
    <w:rsid w:val="793F27C8"/>
    <w:rsid w:val="79645141"/>
    <w:rsid w:val="79661EFB"/>
    <w:rsid w:val="796A7017"/>
    <w:rsid w:val="796C2017"/>
    <w:rsid w:val="797125E2"/>
    <w:rsid w:val="799D2830"/>
    <w:rsid w:val="79A37060"/>
    <w:rsid w:val="79DF25E2"/>
    <w:rsid w:val="7A591AD6"/>
    <w:rsid w:val="7A5E1396"/>
    <w:rsid w:val="7A990D85"/>
    <w:rsid w:val="7AEB20F3"/>
    <w:rsid w:val="7B097CF6"/>
    <w:rsid w:val="7B1D7B50"/>
    <w:rsid w:val="7B2A639A"/>
    <w:rsid w:val="7B8D25BC"/>
    <w:rsid w:val="7BBF0C53"/>
    <w:rsid w:val="7C344213"/>
    <w:rsid w:val="7C374710"/>
    <w:rsid w:val="7C6712B6"/>
    <w:rsid w:val="7C754C18"/>
    <w:rsid w:val="7C7C2FA8"/>
    <w:rsid w:val="7CC806D1"/>
    <w:rsid w:val="7CFA0158"/>
    <w:rsid w:val="7CFF1633"/>
    <w:rsid w:val="7D1F2AE3"/>
    <w:rsid w:val="7D2E4F75"/>
    <w:rsid w:val="7D322D1E"/>
    <w:rsid w:val="7D362C5F"/>
    <w:rsid w:val="7D4C467F"/>
    <w:rsid w:val="7D667CBF"/>
    <w:rsid w:val="7DAD5DDA"/>
    <w:rsid w:val="7DB55ED6"/>
    <w:rsid w:val="7DDD367E"/>
    <w:rsid w:val="7DE63809"/>
    <w:rsid w:val="7E0D390E"/>
    <w:rsid w:val="7E1E37BE"/>
    <w:rsid w:val="7E723B52"/>
    <w:rsid w:val="7E782E0A"/>
    <w:rsid w:val="7EBB7B93"/>
    <w:rsid w:val="7EE80CA9"/>
    <w:rsid w:val="7F3B0A52"/>
    <w:rsid w:val="7FE51643"/>
    <w:rsid w:val="7FFF13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37"/>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438"/>
    <w:qFormat/>
    <w:uiPriority w:val="0"/>
    <w:pPr>
      <w:keepNext/>
      <w:keepLines/>
      <w:spacing w:before="260" w:after="260" w:line="416" w:lineRule="auto"/>
      <w:outlineLvl w:val="2"/>
    </w:pPr>
    <w:rPr>
      <w:b/>
      <w:bCs/>
      <w:sz w:val="32"/>
      <w:szCs w:val="32"/>
    </w:rPr>
  </w:style>
  <w:style w:type="paragraph" w:styleId="6">
    <w:name w:val="heading 4"/>
    <w:basedOn w:val="1"/>
    <w:next w:val="1"/>
    <w:link w:val="43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440"/>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441"/>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79"/>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30"/>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82"/>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unhideWhenUsed/>
    <w:qFormat/>
    <w:uiPriority w:val="1"/>
  </w:style>
  <w:style w:type="table" w:default="1" w:styleId="48">
    <w:name w:val="Normal Table"/>
    <w:unhideWhenUsed/>
    <w:qFormat/>
    <w:uiPriority w:val="99"/>
    <w:tblPr>
      <w:tblCellMar>
        <w:top w:w="0" w:type="dxa"/>
        <w:left w:w="108" w:type="dxa"/>
        <w:bottom w:w="0" w:type="dxa"/>
        <w:right w:w="108" w:type="dxa"/>
      </w:tblCellMar>
    </w:tblPr>
  </w:style>
  <w:style w:type="paragraph" w:styleId="2">
    <w:name w:val="macro"/>
    <w:link w:val="19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73"/>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link w:val="100"/>
    <w:qFormat/>
    <w:uiPriority w:val="0"/>
    <w:pPr>
      <w:spacing w:before="152" w:after="160"/>
    </w:pPr>
    <w:rPr>
      <w:rFonts w:ascii="Arial" w:hAnsi="Arial" w:eastAsia="黑体"/>
      <w:sz w:val="20"/>
      <w:szCs w:val="20"/>
    </w:rPr>
  </w:style>
  <w:style w:type="paragraph" w:styleId="16">
    <w:name w:val="Document Map"/>
    <w:basedOn w:val="1"/>
    <w:link w:val="118"/>
    <w:qFormat/>
    <w:uiPriority w:val="0"/>
    <w:pPr>
      <w:shd w:val="clear" w:color="auto" w:fill="000080"/>
    </w:pPr>
  </w:style>
  <w:style w:type="paragraph" w:styleId="17">
    <w:name w:val="annotation text"/>
    <w:basedOn w:val="1"/>
    <w:link w:val="228"/>
    <w:unhideWhenUsed/>
    <w:qFormat/>
    <w:uiPriority w:val="99"/>
    <w:pPr>
      <w:jc w:val="left"/>
    </w:pPr>
  </w:style>
  <w:style w:type="paragraph" w:styleId="18">
    <w:name w:val="Body Text 3"/>
    <w:basedOn w:val="1"/>
    <w:link w:val="166"/>
    <w:qFormat/>
    <w:uiPriority w:val="0"/>
    <w:pPr>
      <w:spacing w:line="500" w:lineRule="exact"/>
    </w:pPr>
    <w:rPr>
      <w:b/>
      <w:bCs/>
      <w:kern w:val="0"/>
      <w:sz w:val="24"/>
    </w:rPr>
  </w:style>
  <w:style w:type="paragraph" w:styleId="19">
    <w:name w:val="Body Text"/>
    <w:basedOn w:val="1"/>
    <w:link w:val="69"/>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22"/>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198"/>
    <w:qFormat/>
    <w:uiPriority w:val="0"/>
    <w:pPr>
      <w:ind w:left="100" w:leftChars="2500"/>
    </w:pPr>
    <w:rPr>
      <w:sz w:val="24"/>
    </w:rPr>
  </w:style>
  <w:style w:type="paragraph" w:styleId="29">
    <w:name w:val="Body Text Indent 2"/>
    <w:basedOn w:val="1"/>
    <w:link w:val="145"/>
    <w:qFormat/>
    <w:uiPriority w:val="0"/>
    <w:pPr>
      <w:spacing w:after="120" w:line="480" w:lineRule="auto"/>
      <w:ind w:left="420" w:leftChars="200"/>
    </w:pPr>
  </w:style>
  <w:style w:type="paragraph" w:styleId="30">
    <w:name w:val="Balloon Text"/>
    <w:basedOn w:val="1"/>
    <w:link w:val="151"/>
    <w:qFormat/>
    <w:uiPriority w:val="0"/>
    <w:rPr>
      <w:sz w:val="18"/>
      <w:szCs w:val="18"/>
    </w:rPr>
  </w:style>
  <w:style w:type="paragraph" w:styleId="31">
    <w:name w:val="footer"/>
    <w:basedOn w:val="1"/>
    <w:link w:val="126"/>
    <w:qFormat/>
    <w:uiPriority w:val="99"/>
    <w:pPr>
      <w:tabs>
        <w:tab w:val="center" w:pos="4153"/>
        <w:tab w:val="right" w:pos="8306"/>
      </w:tabs>
      <w:snapToGrid w:val="0"/>
      <w:jc w:val="left"/>
    </w:pPr>
    <w:rPr>
      <w:sz w:val="18"/>
      <w:szCs w:val="18"/>
    </w:rPr>
  </w:style>
  <w:style w:type="paragraph" w:styleId="32">
    <w:name w:val="header"/>
    <w:basedOn w:val="1"/>
    <w:link w:val="105"/>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22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209"/>
    <w:qFormat/>
    <w:uiPriority w:val="0"/>
    <w:pPr>
      <w:spacing w:after="120" w:line="480" w:lineRule="auto"/>
    </w:pPr>
    <w:rPr>
      <w:kern w:val="0"/>
      <w:sz w:val="20"/>
    </w:rPr>
  </w:style>
  <w:style w:type="paragraph" w:styleId="42">
    <w:name w:val="HTML Preformatted"/>
    <w:basedOn w:val="1"/>
    <w:link w:val="7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7"/>
    <w:next w:val="17"/>
    <w:link w:val="62"/>
    <w:unhideWhenUsed/>
    <w:qFormat/>
    <w:uiPriority w:val="0"/>
    <w:rPr>
      <w:b/>
      <w:bCs/>
    </w:rPr>
  </w:style>
  <w:style w:type="paragraph" w:styleId="47">
    <w:name w:val="Body Text First Indent 2"/>
    <w:basedOn w:val="20"/>
    <w:link w:val="107"/>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99"/>
    <w:rPr>
      <w:sz w:val="21"/>
      <w:szCs w:val="21"/>
    </w:rPr>
  </w:style>
  <w:style w:type="character" w:customStyle="1" w:styleId="57">
    <w:name w:val="样式2"/>
    <w:qFormat/>
    <w:uiPriority w:val="0"/>
    <w:rPr>
      <w:rFonts w:ascii="宋体" w:hAnsi="宋体"/>
      <w:b/>
      <w:szCs w:val="21"/>
    </w:rPr>
  </w:style>
  <w:style w:type="character" w:customStyle="1" w:styleId="58">
    <w:name w:val="FollowedHyperlink_file_508"/>
    <w:basedOn w:val="59"/>
    <w:unhideWhenUsed/>
    <w:qFormat/>
    <w:uiPriority w:val="99"/>
    <w:rPr>
      <w:color w:val="0782C1"/>
      <w:u w:val="single"/>
    </w:rPr>
  </w:style>
  <w:style w:type="character" w:customStyle="1" w:styleId="59">
    <w:name w:val="Default Paragraph Font_file_508"/>
    <w:unhideWhenUsed/>
    <w:qFormat/>
    <w:uiPriority w:val="1"/>
  </w:style>
  <w:style w:type="character" w:customStyle="1" w:styleId="60">
    <w:name w:val="FollowedHyperlink_file_504"/>
    <w:basedOn w:val="61"/>
    <w:unhideWhenUsed/>
    <w:qFormat/>
    <w:uiPriority w:val="99"/>
    <w:rPr>
      <w:color w:val="0782C1"/>
      <w:u w:val="single"/>
    </w:rPr>
  </w:style>
  <w:style w:type="character" w:customStyle="1" w:styleId="61">
    <w:name w:val="Default Paragraph Font_file_504"/>
    <w:unhideWhenUsed/>
    <w:qFormat/>
    <w:uiPriority w:val="1"/>
  </w:style>
  <w:style w:type="character" w:customStyle="1" w:styleId="62">
    <w:name w:val="批注主题 字符"/>
    <w:link w:val="46"/>
    <w:qFormat/>
    <w:uiPriority w:val="0"/>
    <w:rPr>
      <w:b/>
      <w:bCs/>
      <w:kern w:val="2"/>
      <w:sz w:val="21"/>
      <w:szCs w:val="24"/>
    </w:rPr>
  </w:style>
  <w:style w:type="character" w:customStyle="1" w:styleId="63">
    <w:name w:val="Default Paragraph Font_file_496"/>
    <w:semiHidden/>
    <w:qFormat/>
    <w:uiPriority w:val="0"/>
  </w:style>
  <w:style w:type="character" w:customStyle="1" w:styleId="64">
    <w:name w:val="标题 5 Char_file_497"/>
    <w:basedOn w:val="65"/>
    <w:link w:val="7"/>
    <w:semiHidden/>
    <w:qFormat/>
    <w:uiPriority w:val="9"/>
    <w:rPr>
      <w:rFonts w:ascii="宋体" w:hAnsi="宋体" w:eastAsia="宋体" w:cs="宋体"/>
      <w:b/>
      <w:bCs/>
      <w:sz w:val="28"/>
      <w:szCs w:val="28"/>
    </w:rPr>
  </w:style>
  <w:style w:type="character" w:customStyle="1" w:styleId="65">
    <w:name w:val="Default Paragraph Font_file_497"/>
    <w:unhideWhenUsed/>
    <w:qFormat/>
    <w:uiPriority w:val="1"/>
  </w:style>
  <w:style w:type="character" w:customStyle="1" w:styleId="66">
    <w:name w:val="日期 Char2"/>
    <w:semiHidden/>
    <w:qFormat/>
    <w:uiPriority w:val="99"/>
    <w:rPr>
      <w:kern w:val="2"/>
      <w:sz w:val="21"/>
      <w:szCs w:val="24"/>
    </w:rPr>
  </w:style>
  <w:style w:type="character" w:customStyle="1" w:styleId="67">
    <w:name w:val="宏文本 Char1"/>
    <w:qFormat/>
    <w:uiPriority w:val="99"/>
    <w:rPr>
      <w:rFonts w:ascii="Courier New" w:hAnsi="Courier New" w:cs="Courier New"/>
      <w:kern w:val="2"/>
      <w:sz w:val="24"/>
      <w:szCs w:val="24"/>
    </w:rPr>
  </w:style>
  <w:style w:type="character" w:customStyle="1" w:styleId="68">
    <w:name w:val="标题 2 Char_file_508"/>
    <w:basedOn w:val="59"/>
    <w:link w:val="4"/>
    <w:semiHidden/>
    <w:qFormat/>
    <w:uiPriority w:val="9"/>
    <w:rPr>
      <w:rFonts w:ascii="等线 Light" w:hAnsi="等线 Light" w:eastAsia="等线 Light" w:cs="Times New Roman"/>
      <w:b/>
      <w:bCs/>
      <w:sz w:val="32"/>
      <w:szCs w:val="32"/>
    </w:rPr>
  </w:style>
  <w:style w:type="character" w:customStyle="1" w:styleId="69">
    <w:name w:val="正文文本 字符"/>
    <w:link w:val="19"/>
    <w:qFormat/>
    <w:uiPriority w:val="0"/>
    <w:rPr>
      <w:kern w:val="2"/>
      <w:sz w:val="24"/>
      <w:szCs w:val="24"/>
    </w:rPr>
  </w:style>
  <w:style w:type="character" w:customStyle="1" w:styleId="70">
    <w:name w:val="标题 3 Char_file_497"/>
    <w:basedOn w:val="65"/>
    <w:link w:val="5"/>
    <w:semiHidden/>
    <w:qFormat/>
    <w:uiPriority w:val="9"/>
    <w:rPr>
      <w:rFonts w:ascii="宋体" w:hAnsi="宋体" w:eastAsia="宋体" w:cs="宋体"/>
      <w:b/>
      <w:bCs/>
      <w:sz w:val="32"/>
      <w:szCs w:val="32"/>
    </w:rPr>
  </w:style>
  <w:style w:type="character" w:customStyle="1" w:styleId="71">
    <w:name w:val="HTML 预设格式 字符"/>
    <w:link w:val="42"/>
    <w:qFormat/>
    <w:uiPriority w:val="99"/>
    <w:rPr>
      <w:rFonts w:ascii="宋体" w:hAnsi="宋体" w:cs="宋体"/>
      <w:sz w:val="24"/>
      <w:szCs w:val="24"/>
    </w:rPr>
  </w:style>
  <w:style w:type="character" w:customStyle="1" w:styleId="72">
    <w:name w:val="标题 4 Char_file_504"/>
    <w:basedOn w:val="61"/>
    <w:link w:val="6"/>
    <w:semiHidden/>
    <w:qFormat/>
    <w:uiPriority w:val="9"/>
    <w:rPr>
      <w:rFonts w:ascii="等线 Light" w:hAnsi="等线 Light" w:eastAsia="等线 Light" w:cs="Times New Roman"/>
      <w:b/>
      <w:bCs/>
      <w:sz w:val="28"/>
      <w:szCs w:val="28"/>
    </w:rPr>
  </w:style>
  <w:style w:type="character" w:customStyle="1" w:styleId="73">
    <w:name w:val="标题 5 字符"/>
    <w:link w:val="7"/>
    <w:qFormat/>
    <w:uiPriority w:val="0"/>
    <w:rPr>
      <w:b/>
      <w:kern w:val="2"/>
      <w:sz w:val="28"/>
      <w:szCs w:val="24"/>
    </w:rPr>
  </w:style>
  <w:style w:type="character" w:customStyle="1" w:styleId="74">
    <w:name w:val="FollowedHyperlink_file_501"/>
    <w:basedOn w:val="75"/>
    <w:unhideWhenUsed/>
    <w:qFormat/>
    <w:uiPriority w:val="99"/>
    <w:rPr>
      <w:color w:val="0782C1"/>
      <w:u w:val="single"/>
    </w:rPr>
  </w:style>
  <w:style w:type="character" w:customStyle="1" w:styleId="75">
    <w:name w:val="Default Paragraph Font_file_501"/>
    <w:unhideWhenUsed/>
    <w:qFormat/>
    <w:uiPriority w:val="1"/>
  </w:style>
  <w:style w:type="character" w:customStyle="1" w:styleId="76">
    <w:name w:val="正文文本 Char1"/>
    <w:semiHidden/>
    <w:qFormat/>
    <w:uiPriority w:val="99"/>
    <w:rPr>
      <w:rFonts w:ascii="Times New Roman" w:hAnsi="Times New Roman" w:eastAsia="宋体" w:cs="Times New Roman"/>
      <w:szCs w:val="24"/>
    </w:rPr>
  </w:style>
  <w:style w:type="character" w:customStyle="1" w:styleId="77">
    <w:name w:val="font51"/>
    <w:qFormat/>
    <w:uiPriority w:val="0"/>
    <w:rPr>
      <w:rFonts w:hint="eastAsia" w:ascii="宋体" w:hAnsi="宋体" w:eastAsia="宋体" w:cs="宋体"/>
      <w:color w:val="000000"/>
      <w:sz w:val="20"/>
      <w:szCs w:val="20"/>
      <w:u w:val="none"/>
    </w:rPr>
  </w:style>
  <w:style w:type="character" w:customStyle="1" w:styleId="78">
    <w:name w:val="标题 4 Char_file_508"/>
    <w:basedOn w:val="59"/>
    <w:link w:val="6"/>
    <w:semiHidden/>
    <w:qFormat/>
    <w:uiPriority w:val="9"/>
    <w:rPr>
      <w:rFonts w:ascii="等线 Light" w:hAnsi="等线 Light" w:eastAsia="等线 Light" w:cs="Times New Roman"/>
      <w:b/>
      <w:bCs/>
      <w:sz w:val="28"/>
      <w:szCs w:val="28"/>
    </w:rPr>
  </w:style>
  <w:style w:type="character" w:customStyle="1" w:styleId="79">
    <w:name w:val="正文缩进 Char1"/>
    <w:qFormat/>
    <w:uiPriority w:val="0"/>
    <w:rPr>
      <w:rFonts w:ascii="Times New Roman" w:hAnsi="Times New Roman"/>
      <w:kern w:val="2"/>
      <w:sz w:val="21"/>
    </w:rPr>
  </w:style>
  <w:style w:type="character" w:customStyle="1" w:styleId="80">
    <w:name w:val="标题 2 Char_file_504"/>
    <w:basedOn w:val="61"/>
    <w:link w:val="4"/>
    <w:semiHidden/>
    <w:qFormat/>
    <w:uiPriority w:val="9"/>
    <w:rPr>
      <w:rFonts w:ascii="等线 Light" w:hAnsi="等线 Light" w:eastAsia="等线 Light" w:cs="Times New Roman"/>
      <w:b/>
      <w:bCs/>
      <w:sz w:val="32"/>
      <w:szCs w:val="32"/>
    </w:rPr>
  </w:style>
  <w:style w:type="character" w:customStyle="1" w:styleId="81">
    <w:name w:val="标题 6 字符"/>
    <w:link w:val="9"/>
    <w:qFormat/>
    <w:uiPriority w:val="0"/>
    <w:rPr>
      <w:rFonts w:ascii="Arial" w:hAnsi="Arial" w:eastAsia="黑体"/>
      <w:b/>
      <w:kern w:val="2"/>
      <w:sz w:val="24"/>
      <w:szCs w:val="24"/>
    </w:rPr>
  </w:style>
  <w:style w:type="character" w:customStyle="1" w:styleId="82">
    <w:name w:val="标题 9 字符"/>
    <w:link w:val="12"/>
    <w:qFormat/>
    <w:uiPriority w:val="0"/>
    <w:rPr>
      <w:rFonts w:ascii="Arial" w:hAnsi="Arial" w:eastAsia="黑体"/>
      <w:kern w:val="2"/>
      <w:sz w:val="21"/>
      <w:szCs w:val="24"/>
    </w:rPr>
  </w:style>
  <w:style w:type="character" w:customStyle="1" w:styleId="83">
    <w:name w:val="标题 6 Char_file_508"/>
    <w:basedOn w:val="59"/>
    <w:link w:val="9"/>
    <w:semiHidden/>
    <w:qFormat/>
    <w:uiPriority w:val="9"/>
    <w:rPr>
      <w:rFonts w:ascii="等线 Light" w:hAnsi="等线 Light" w:eastAsia="等线 Light" w:cs="Times New Roman"/>
      <w:b/>
      <w:bCs/>
      <w:sz w:val="24"/>
      <w:szCs w:val="24"/>
    </w:rPr>
  </w:style>
  <w:style w:type="character" w:customStyle="1" w:styleId="84">
    <w:name w:val="Hyperlink_file_504"/>
    <w:basedOn w:val="61"/>
    <w:unhideWhenUsed/>
    <w:qFormat/>
    <w:uiPriority w:val="99"/>
    <w:rPr>
      <w:color w:val="0782C1"/>
      <w:u w:val="single"/>
    </w:rPr>
  </w:style>
  <w:style w:type="character" w:customStyle="1" w:styleId="85">
    <w:name w:val="标题 1 字符"/>
    <w:link w:val="3"/>
    <w:qFormat/>
    <w:uiPriority w:val="0"/>
    <w:rPr>
      <w:b/>
      <w:bCs/>
      <w:kern w:val="44"/>
      <w:sz w:val="44"/>
      <w:szCs w:val="44"/>
    </w:rPr>
  </w:style>
  <w:style w:type="character" w:customStyle="1" w:styleId="86">
    <w:name w:val="正文文本缩进 2 Char2"/>
    <w:semiHidden/>
    <w:qFormat/>
    <w:uiPriority w:val="99"/>
    <w:rPr>
      <w:kern w:val="2"/>
      <w:sz w:val="21"/>
      <w:szCs w:val="24"/>
    </w:rPr>
  </w:style>
  <w:style w:type="character" w:customStyle="1" w:styleId="87">
    <w:name w:val="标题 3 Char_file_508"/>
    <w:basedOn w:val="59"/>
    <w:link w:val="5"/>
    <w:semiHidden/>
    <w:qFormat/>
    <w:uiPriority w:val="9"/>
    <w:rPr>
      <w:rFonts w:ascii="宋体" w:hAnsi="宋体" w:eastAsia="宋体" w:cs="宋体"/>
      <w:b/>
      <w:bCs/>
      <w:sz w:val="32"/>
      <w:szCs w:val="32"/>
    </w:rPr>
  </w:style>
  <w:style w:type="character" w:customStyle="1" w:styleId="88">
    <w:name w:val="Default Paragraph Font_file_506"/>
    <w:unhideWhenUsed/>
    <w:qFormat/>
    <w:uiPriority w:val="1"/>
  </w:style>
  <w:style w:type="character" w:customStyle="1" w:styleId="89">
    <w:name w:val="标题 2 Char_file_500"/>
    <w:basedOn w:val="90"/>
    <w:link w:val="4"/>
    <w:semiHidden/>
    <w:qFormat/>
    <w:uiPriority w:val="9"/>
    <w:rPr>
      <w:rFonts w:ascii="等线 Light" w:hAnsi="等线 Light" w:eastAsia="等线 Light" w:cs="Times New Roman"/>
      <w:b/>
      <w:bCs/>
      <w:sz w:val="32"/>
      <w:szCs w:val="32"/>
    </w:rPr>
  </w:style>
  <w:style w:type="character" w:customStyle="1" w:styleId="90">
    <w:name w:val="Default Paragraph Font_file_500"/>
    <w:unhideWhenUsed/>
    <w:qFormat/>
    <w:uiPriority w:val="1"/>
  </w:style>
  <w:style w:type="character" w:customStyle="1" w:styleId="91">
    <w:name w:val="font12-blue-bold1"/>
    <w:qFormat/>
    <w:uiPriority w:val="0"/>
    <w:rPr>
      <w:b/>
      <w:bCs/>
      <w:color w:val="0249A5"/>
      <w:sz w:val="14"/>
      <w:szCs w:val="14"/>
      <w:u w:val="none"/>
    </w:rPr>
  </w:style>
  <w:style w:type="character" w:customStyle="1" w:styleId="92">
    <w:name w:val="标题 1 Char_file_504"/>
    <w:basedOn w:val="61"/>
    <w:link w:val="3"/>
    <w:qFormat/>
    <w:uiPriority w:val="9"/>
    <w:rPr>
      <w:rFonts w:ascii="宋体" w:hAnsi="宋体" w:eastAsia="宋体" w:cs="宋体"/>
      <w:b/>
      <w:bCs/>
      <w:kern w:val="44"/>
      <w:sz w:val="44"/>
      <w:szCs w:val="44"/>
    </w:rPr>
  </w:style>
  <w:style w:type="character" w:customStyle="1" w:styleId="93">
    <w:name w:val="Body Text Indent 3 Char"/>
    <w:qFormat/>
    <w:locked/>
    <w:uiPriority w:val="99"/>
    <w:rPr>
      <w:rFonts w:eastAsia="宋体"/>
      <w:sz w:val="16"/>
    </w:rPr>
  </w:style>
  <w:style w:type="character" w:customStyle="1" w:styleId="94">
    <w:name w:val="标题 2 Char_file_510"/>
    <w:basedOn w:val="95"/>
    <w:link w:val="4"/>
    <w:semiHidden/>
    <w:qFormat/>
    <w:uiPriority w:val="9"/>
    <w:rPr>
      <w:rFonts w:ascii="等线 Light" w:hAnsi="等线 Light" w:eastAsia="等线 Light" w:cs="Times New Roman"/>
      <w:b/>
      <w:bCs/>
      <w:sz w:val="32"/>
      <w:szCs w:val="32"/>
    </w:rPr>
  </w:style>
  <w:style w:type="character" w:customStyle="1" w:styleId="95">
    <w:name w:val="Default Paragraph Font_file_510"/>
    <w:unhideWhenUsed/>
    <w:qFormat/>
    <w:uiPriority w:val="1"/>
  </w:style>
  <w:style w:type="character" w:customStyle="1" w:styleId="96">
    <w:name w:val="正文文本缩进 2 Char1"/>
    <w:semiHidden/>
    <w:qFormat/>
    <w:uiPriority w:val="99"/>
    <w:rPr>
      <w:rFonts w:ascii="Times New Roman" w:hAnsi="Times New Roman" w:eastAsia="宋体" w:cs="Times New Roman"/>
      <w:szCs w:val="24"/>
    </w:rPr>
  </w:style>
  <w:style w:type="character" w:customStyle="1" w:styleId="97">
    <w:name w:val="bold1"/>
    <w:qFormat/>
    <w:uiPriority w:val="0"/>
    <w:rPr>
      <w:rFonts w:hint="default"/>
      <w:b/>
      <w:bCs/>
      <w:color w:val="000000"/>
      <w:sz w:val="18"/>
      <w:szCs w:val="18"/>
    </w:rPr>
  </w:style>
  <w:style w:type="character" w:customStyle="1" w:styleId="98">
    <w:name w:val="apple-converted-space"/>
    <w:basedOn w:val="50"/>
    <w:qFormat/>
    <w:uiPriority w:val="0"/>
  </w:style>
  <w:style w:type="character" w:customStyle="1" w:styleId="99">
    <w:name w:val="标题 3 Char_file_504"/>
    <w:basedOn w:val="61"/>
    <w:link w:val="5"/>
    <w:semiHidden/>
    <w:qFormat/>
    <w:uiPriority w:val="9"/>
    <w:rPr>
      <w:rFonts w:ascii="宋体" w:hAnsi="宋体" w:eastAsia="宋体" w:cs="宋体"/>
      <w:b/>
      <w:bCs/>
      <w:sz w:val="32"/>
      <w:szCs w:val="32"/>
    </w:rPr>
  </w:style>
  <w:style w:type="character" w:customStyle="1" w:styleId="100">
    <w:name w:val="题注 字符"/>
    <w:link w:val="15"/>
    <w:qFormat/>
    <w:uiPriority w:val="0"/>
    <w:rPr>
      <w:rFonts w:ascii="Arial" w:hAnsi="Arial" w:eastAsia="黑体" w:cs="Arial"/>
      <w:kern w:val="2"/>
    </w:rPr>
  </w:style>
  <w:style w:type="character" w:customStyle="1" w:styleId="101">
    <w:name w:val="标题 1 Char_file_501"/>
    <w:basedOn w:val="75"/>
    <w:link w:val="3"/>
    <w:qFormat/>
    <w:uiPriority w:val="9"/>
    <w:rPr>
      <w:rFonts w:ascii="宋体" w:hAnsi="宋体" w:eastAsia="宋体" w:cs="宋体"/>
      <w:b/>
      <w:bCs/>
      <w:kern w:val="44"/>
      <w:sz w:val="44"/>
      <w:szCs w:val="44"/>
    </w:rPr>
  </w:style>
  <w:style w:type="character" w:customStyle="1" w:styleId="102">
    <w:name w:val="FollowedHyperlink_file_500"/>
    <w:basedOn w:val="90"/>
    <w:unhideWhenUsed/>
    <w:qFormat/>
    <w:uiPriority w:val="99"/>
    <w:rPr>
      <w:color w:val="0782C1"/>
      <w:u w:val="single"/>
    </w:rPr>
  </w:style>
  <w:style w:type="character" w:customStyle="1" w:styleId="103">
    <w:name w:val="文档结构图 Char1"/>
    <w:qFormat/>
    <w:uiPriority w:val="99"/>
    <w:rPr>
      <w:rFonts w:ascii="宋体"/>
      <w:kern w:val="2"/>
      <w:sz w:val="18"/>
      <w:szCs w:val="18"/>
    </w:rPr>
  </w:style>
  <w:style w:type="character" w:customStyle="1" w:styleId="104">
    <w:name w:val="标题 5 Char_file_504"/>
    <w:basedOn w:val="61"/>
    <w:link w:val="7"/>
    <w:semiHidden/>
    <w:qFormat/>
    <w:uiPriority w:val="9"/>
    <w:rPr>
      <w:rFonts w:ascii="宋体" w:hAnsi="宋体" w:eastAsia="宋体" w:cs="宋体"/>
      <w:b/>
      <w:bCs/>
      <w:sz w:val="28"/>
      <w:szCs w:val="28"/>
    </w:rPr>
  </w:style>
  <w:style w:type="character" w:customStyle="1" w:styleId="105">
    <w:name w:val="页眉 字符"/>
    <w:link w:val="32"/>
    <w:qFormat/>
    <w:uiPriority w:val="0"/>
    <w:rPr>
      <w:kern w:val="2"/>
      <w:sz w:val="18"/>
      <w:szCs w:val="18"/>
    </w:rPr>
  </w:style>
  <w:style w:type="character" w:customStyle="1" w:styleId="106">
    <w:name w:val="正文文本 3 Char1"/>
    <w:qFormat/>
    <w:uiPriority w:val="99"/>
    <w:rPr>
      <w:kern w:val="2"/>
      <w:sz w:val="16"/>
      <w:szCs w:val="16"/>
    </w:rPr>
  </w:style>
  <w:style w:type="character" w:customStyle="1" w:styleId="107">
    <w:name w:val="正文文本首行缩进 2 字符"/>
    <w:basedOn w:val="108"/>
    <w:link w:val="47"/>
    <w:semiHidden/>
    <w:qFormat/>
    <w:uiPriority w:val="0"/>
    <w:rPr>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6 Char_file_504"/>
    <w:basedOn w:val="61"/>
    <w:link w:val="9"/>
    <w:semiHidden/>
    <w:qFormat/>
    <w:uiPriority w:val="9"/>
    <w:rPr>
      <w:rFonts w:ascii="等线 Light" w:hAnsi="等线 Light" w:eastAsia="等线 Light" w:cs="Times New Roman"/>
      <w:b/>
      <w:bCs/>
      <w:sz w:val="24"/>
      <w:szCs w:val="24"/>
    </w:rPr>
  </w:style>
  <w:style w:type="character" w:customStyle="1" w:styleId="110">
    <w:name w:val="标题 3 字符"/>
    <w:link w:val="5"/>
    <w:qFormat/>
    <w:uiPriority w:val="0"/>
    <w:rPr>
      <w:b/>
      <w:bCs/>
      <w:kern w:val="2"/>
      <w:sz w:val="32"/>
      <w:szCs w:val="32"/>
    </w:rPr>
  </w:style>
  <w:style w:type="character" w:customStyle="1" w:styleId="111">
    <w:name w:val="标题 2 Char_file_501"/>
    <w:basedOn w:val="75"/>
    <w:link w:val="4"/>
    <w:semiHidden/>
    <w:qFormat/>
    <w:uiPriority w:val="9"/>
    <w:rPr>
      <w:rFonts w:ascii="等线 Light" w:hAnsi="等线 Light" w:eastAsia="等线 Light" w:cs="Times New Roman"/>
      <w:b/>
      <w:bCs/>
      <w:sz w:val="32"/>
      <w:szCs w:val="32"/>
    </w:rPr>
  </w:style>
  <w:style w:type="character" w:customStyle="1" w:styleId="112">
    <w:name w:val="标题 1 Char_file_500"/>
    <w:basedOn w:val="90"/>
    <w:link w:val="3"/>
    <w:qFormat/>
    <w:uiPriority w:val="9"/>
    <w:rPr>
      <w:rFonts w:ascii="宋体" w:hAnsi="宋体" w:eastAsia="宋体" w:cs="宋体"/>
      <w:b/>
      <w:bCs/>
      <w:kern w:val="44"/>
      <w:sz w:val="44"/>
      <w:szCs w:val="44"/>
    </w:rPr>
  </w:style>
  <w:style w:type="character" w:customStyle="1" w:styleId="113">
    <w:name w:val="正文文本缩进 Char1"/>
    <w:semiHidden/>
    <w:qFormat/>
    <w:uiPriority w:val="99"/>
    <w:rPr>
      <w:kern w:val="2"/>
      <w:sz w:val="21"/>
      <w:szCs w:val="24"/>
    </w:rPr>
  </w:style>
  <w:style w:type="character" w:customStyle="1" w:styleId="114">
    <w:name w:val="样式1"/>
    <w:qFormat/>
    <w:uiPriority w:val="0"/>
    <w:rPr>
      <w:rFonts w:ascii="宋体" w:hAnsi="宋体"/>
      <w:szCs w:val="21"/>
    </w:rPr>
  </w:style>
  <w:style w:type="character" w:customStyle="1" w:styleId="115">
    <w:name w:val="标题 3 Char_file_501"/>
    <w:basedOn w:val="75"/>
    <w:link w:val="5"/>
    <w:semiHidden/>
    <w:qFormat/>
    <w:uiPriority w:val="9"/>
    <w:rPr>
      <w:rFonts w:ascii="宋体" w:hAnsi="宋体" w:eastAsia="宋体" w:cs="宋体"/>
      <w:b/>
      <w:bCs/>
      <w:sz w:val="32"/>
      <w:szCs w:val="32"/>
    </w:rPr>
  </w:style>
  <w:style w:type="character" w:customStyle="1" w:styleId="116">
    <w:name w:val="正文文本 2 Char1"/>
    <w:semiHidden/>
    <w:qFormat/>
    <w:uiPriority w:val="99"/>
    <w:rPr>
      <w:rFonts w:ascii="Times New Roman" w:hAnsi="Times New Roman" w:eastAsia="宋体" w:cs="Times New Roman"/>
      <w:szCs w:val="24"/>
    </w:rPr>
  </w:style>
  <w:style w:type="character" w:customStyle="1" w:styleId="117">
    <w:name w:val="标题 1 Char_file_508"/>
    <w:basedOn w:val="59"/>
    <w:link w:val="3"/>
    <w:qFormat/>
    <w:uiPriority w:val="9"/>
    <w:rPr>
      <w:rFonts w:ascii="宋体" w:hAnsi="宋体" w:eastAsia="宋体" w:cs="宋体"/>
      <w:b/>
      <w:bCs/>
      <w:kern w:val="44"/>
      <w:sz w:val="44"/>
      <w:szCs w:val="44"/>
    </w:rPr>
  </w:style>
  <w:style w:type="character" w:customStyle="1" w:styleId="118">
    <w:name w:val="文档结构图 字符"/>
    <w:link w:val="16"/>
    <w:qFormat/>
    <w:uiPriority w:val="0"/>
    <w:rPr>
      <w:kern w:val="2"/>
      <w:sz w:val="21"/>
      <w:szCs w:val="24"/>
      <w:shd w:val="clear" w:color="auto" w:fill="000080"/>
    </w:rPr>
  </w:style>
  <w:style w:type="character" w:customStyle="1" w:styleId="119">
    <w:name w:val="标题 2 字符"/>
    <w:link w:val="4"/>
    <w:qFormat/>
    <w:uiPriority w:val="0"/>
    <w:rPr>
      <w:rFonts w:eastAsia="隶书"/>
      <w:b/>
      <w:sz w:val="44"/>
    </w:rPr>
  </w:style>
  <w:style w:type="character" w:customStyle="1" w:styleId="120">
    <w:name w:val="标题 4 Char_file_501"/>
    <w:basedOn w:val="75"/>
    <w:link w:val="6"/>
    <w:semiHidden/>
    <w:qFormat/>
    <w:uiPriority w:val="9"/>
    <w:rPr>
      <w:rFonts w:ascii="等线 Light" w:hAnsi="等线 Light" w:eastAsia="等线 Light" w:cs="Times New Roman"/>
      <w:b/>
      <w:bCs/>
      <w:sz w:val="28"/>
      <w:szCs w:val="28"/>
    </w:rPr>
  </w:style>
  <w:style w:type="character" w:customStyle="1" w:styleId="121">
    <w:name w:val="标题 5 Char_file_501"/>
    <w:basedOn w:val="75"/>
    <w:link w:val="7"/>
    <w:semiHidden/>
    <w:qFormat/>
    <w:uiPriority w:val="9"/>
    <w:rPr>
      <w:rFonts w:ascii="宋体" w:hAnsi="宋体" w:eastAsia="宋体" w:cs="宋体"/>
      <w:b/>
      <w:bCs/>
      <w:sz w:val="28"/>
      <w:szCs w:val="28"/>
    </w:rPr>
  </w:style>
  <w:style w:type="character" w:customStyle="1" w:styleId="122">
    <w:name w:val="纯文本 字符"/>
    <w:link w:val="26"/>
    <w:qFormat/>
    <w:uiPriority w:val="0"/>
    <w:rPr>
      <w:rFonts w:ascii="宋体" w:hAnsi="Courier New" w:eastAsia="宋体" w:cs="Courier New"/>
      <w:kern w:val="2"/>
      <w:sz w:val="21"/>
      <w:szCs w:val="21"/>
      <w:lang w:val="en-US" w:eastAsia="zh-CN" w:bidi="ar-SA"/>
    </w:rPr>
  </w:style>
  <w:style w:type="character" w:customStyle="1" w:styleId="123">
    <w:name w:val="页脚 Char2"/>
    <w:semiHidden/>
    <w:qFormat/>
    <w:uiPriority w:val="99"/>
    <w:rPr>
      <w:kern w:val="2"/>
      <w:sz w:val="18"/>
      <w:szCs w:val="18"/>
    </w:rPr>
  </w:style>
  <w:style w:type="character" w:customStyle="1" w:styleId="124">
    <w:name w:val="标题 6 Char_file_501"/>
    <w:basedOn w:val="75"/>
    <w:link w:val="9"/>
    <w:semiHidden/>
    <w:qFormat/>
    <w:uiPriority w:val="9"/>
    <w:rPr>
      <w:rFonts w:ascii="等线 Light" w:hAnsi="等线 Light" w:eastAsia="等线 Light" w:cs="Times New Roman"/>
      <w:b/>
      <w:bCs/>
      <w:sz w:val="24"/>
      <w:szCs w:val="24"/>
    </w:rPr>
  </w:style>
  <w:style w:type="character" w:customStyle="1" w:styleId="125">
    <w:name w:val="apple-style-span"/>
    <w:qFormat/>
    <w:uiPriority w:val="0"/>
  </w:style>
  <w:style w:type="character" w:customStyle="1" w:styleId="126">
    <w:name w:val="页脚 字符"/>
    <w:link w:val="31"/>
    <w:qFormat/>
    <w:uiPriority w:val="99"/>
    <w:rPr>
      <w:kern w:val="2"/>
      <w:sz w:val="18"/>
      <w:szCs w:val="18"/>
    </w:rPr>
  </w:style>
  <w:style w:type="character" w:customStyle="1" w:styleId="127">
    <w:name w:val="列表段落 字符"/>
    <w:link w:val="128"/>
    <w:qFormat/>
    <w:locked/>
    <w:uiPriority w:val="34"/>
    <w:rPr>
      <w:rFonts w:ascii="Calibri" w:hAnsi="Calibri"/>
      <w:kern w:val="2"/>
      <w:sz w:val="21"/>
      <w:szCs w:val="22"/>
    </w:rPr>
  </w:style>
  <w:style w:type="paragraph" w:styleId="128">
    <w:name w:val="List Paragraph"/>
    <w:basedOn w:val="1"/>
    <w:link w:val="127"/>
    <w:qFormat/>
    <w:uiPriority w:val="34"/>
    <w:pPr>
      <w:ind w:firstLine="420" w:firstLineChars="200"/>
    </w:pPr>
    <w:rPr>
      <w:rFonts w:ascii="Calibri" w:hAnsi="Calibri"/>
      <w:szCs w:val="22"/>
    </w:rPr>
  </w:style>
  <w:style w:type="character" w:customStyle="1" w:styleId="129">
    <w:name w:val="Default Paragraph Font_file_494_file_506"/>
    <w:unhideWhenUsed/>
    <w:qFormat/>
    <w:uiPriority w:val="1"/>
  </w:style>
  <w:style w:type="character" w:customStyle="1" w:styleId="130">
    <w:name w:val="标题 8 字符"/>
    <w:link w:val="11"/>
    <w:qFormat/>
    <w:uiPriority w:val="0"/>
    <w:rPr>
      <w:rFonts w:ascii="Arial" w:hAnsi="Arial" w:eastAsia="黑体"/>
      <w:kern w:val="2"/>
      <w:sz w:val="24"/>
      <w:szCs w:val="24"/>
    </w:rPr>
  </w:style>
  <w:style w:type="character" w:customStyle="1" w:styleId="131">
    <w:name w:val="Hyperlink_file_494_file_506"/>
    <w:basedOn w:val="129"/>
    <w:unhideWhenUsed/>
    <w:qFormat/>
    <w:uiPriority w:val="99"/>
    <w:rPr>
      <w:color w:val="0782C1"/>
      <w:u w:val="single"/>
    </w:rPr>
  </w:style>
  <w:style w:type="character" w:customStyle="1" w:styleId="132">
    <w:name w:val="Plain Text Char"/>
    <w:qFormat/>
    <w:locked/>
    <w:uiPriority w:val="0"/>
    <w:rPr>
      <w:rFonts w:ascii="宋体" w:hAnsi="Courier New" w:eastAsia="宋体"/>
    </w:rPr>
  </w:style>
  <w:style w:type="character" w:customStyle="1" w:styleId="133">
    <w:name w:val="gray"/>
    <w:qFormat/>
    <w:uiPriority w:val="0"/>
    <w:rPr>
      <w:rFonts w:ascii="Tahoma" w:hAnsi="Tahoma" w:eastAsia="宋体"/>
      <w:kern w:val="2"/>
      <w:sz w:val="24"/>
      <w:szCs w:val="24"/>
      <w:lang w:val="en-US" w:eastAsia="zh-CN" w:bidi="ar-SA"/>
    </w:rPr>
  </w:style>
  <w:style w:type="character" w:customStyle="1" w:styleId="134">
    <w:name w:val="ca-41"/>
    <w:qFormat/>
    <w:uiPriority w:val="0"/>
    <w:rPr>
      <w:rFonts w:hint="eastAsia" w:ascii="宋体" w:hAnsi="宋体" w:eastAsia="宋体"/>
      <w:color w:val="FF0000"/>
      <w:sz w:val="21"/>
      <w:szCs w:val="21"/>
    </w:rPr>
  </w:style>
  <w:style w:type="character" w:customStyle="1" w:styleId="135">
    <w:name w:val="HTML 预设格式 Char1"/>
    <w:qFormat/>
    <w:uiPriority w:val="99"/>
    <w:rPr>
      <w:rFonts w:ascii="Courier New" w:hAnsi="Courier New" w:cs="Courier New"/>
      <w:kern w:val="2"/>
    </w:rPr>
  </w:style>
  <w:style w:type="character" w:customStyle="1" w:styleId="136">
    <w:name w:val="无间隔 字符"/>
    <w:link w:val="137"/>
    <w:qFormat/>
    <w:uiPriority w:val="1"/>
    <w:rPr>
      <w:rFonts w:hAnsi="Courier New"/>
      <w:kern w:val="2"/>
      <w:sz w:val="21"/>
      <w:lang w:val="en-US" w:eastAsia="zh-CN" w:bidi="ar-SA"/>
    </w:rPr>
  </w:style>
  <w:style w:type="paragraph" w:styleId="137">
    <w:name w:val="No Spacing"/>
    <w:link w:val="136"/>
    <w:qFormat/>
    <w:uiPriority w:val="1"/>
    <w:pPr>
      <w:widowControl w:val="0"/>
      <w:jc w:val="both"/>
    </w:pPr>
    <w:rPr>
      <w:rFonts w:ascii="Times New Roman" w:hAnsi="Courier New" w:eastAsia="宋体" w:cs="Times New Roman"/>
      <w:kern w:val="2"/>
      <w:sz w:val="21"/>
      <w:lang w:val="en-US" w:eastAsia="zh-CN" w:bidi="ar-SA"/>
    </w:rPr>
  </w:style>
  <w:style w:type="character" w:customStyle="1" w:styleId="138">
    <w:name w:val="mark"/>
    <w:basedOn w:val="50"/>
    <w:qFormat/>
    <w:uiPriority w:val="0"/>
  </w:style>
  <w:style w:type="character" w:customStyle="1" w:styleId="139">
    <w:name w:val="标题 1 Char_file_494_file_506"/>
    <w:basedOn w:val="129"/>
    <w:link w:val="3"/>
    <w:qFormat/>
    <w:uiPriority w:val="9"/>
    <w:rPr>
      <w:rFonts w:ascii="宋体" w:hAnsi="宋体" w:eastAsia="宋体" w:cs="宋体"/>
      <w:b/>
      <w:bCs/>
      <w:kern w:val="44"/>
      <w:sz w:val="44"/>
      <w:szCs w:val="44"/>
    </w:rPr>
  </w:style>
  <w:style w:type="character" w:customStyle="1" w:styleId="140">
    <w:name w:val="Hyperlink_file_503"/>
    <w:basedOn w:val="141"/>
    <w:unhideWhenUsed/>
    <w:qFormat/>
    <w:uiPriority w:val="99"/>
    <w:rPr>
      <w:color w:val="0782C1"/>
      <w:u w:val="single"/>
    </w:rPr>
  </w:style>
  <w:style w:type="character" w:customStyle="1" w:styleId="141">
    <w:name w:val="Default Paragraph Font_file_503"/>
    <w:unhideWhenUsed/>
    <w:qFormat/>
    <w:uiPriority w:val="1"/>
  </w:style>
  <w:style w:type="character" w:customStyle="1" w:styleId="142">
    <w:name w:val="A15"/>
    <w:qFormat/>
    <w:uiPriority w:val="0"/>
    <w:rPr>
      <w:rFonts w:ascii="Times New Roman" w:hAnsi="Times New Roman"/>
      <w:color w:val="000000"/>
      <w:sz w:val="14"/>
      <w:szCs w:val="14"/>
    </w:rPr>
  </w:style>
  <w:style w:type="character" w:customStyle="1" w:styleId="143">
    <w:name w:val="Hyperlink_file_508"/>
    <w:basedOn w:val="59"/>
    <w:unhideWhenUsed/>
    <w:qFormat/>
    <w:uiPriority w:val="99"/>
    <w:rPr>
      <w:color w:val="0782C1"/>
      <w:u w:val="single"/>
    </w:rPr>
  </w:style>
  <w:style w:type="character" w:customStyle="1" w:styleId="144">
    <w:name w:val="日期 Char1"/>
    <w:semiHidden/>
    <w:qFormat/>
    <w:uiPriority w:val="99"/>
    <w:rPr>
      <w:rFonts w:ascii="Times New Roman" w:hAnsi="Times New Roman" w:eastAsia="宋体" w:cs="Times New Roman"/>
      <w:szCs w:val="24"/>
    </w:rPr>
  </w:style>
  <w:style w:type="character" w:customStyle="1" w:styleId="145">
    <w:name w:val="正文文本缩进 2 字符"/>
    <w:link w:val="29"/>
    <w:qFormat/>
    <w:uiPriority w:val="0"/>
    <w:rPr>
      <w:kern w:val="2"/>
      <w:sz w:val="21"/>
      <w:szCs w:val="24"/>
    </w:rPr>
  </w:style>
  <w:style w:type="character" w:customStyle="1" w:styleId="146">
    <w:name w:val="标题 6 Char_file_507"/>
    <w:basedOn w:val="147"/>
    <w:link w:val="9"/>
    <w:semiHidden/>
    <w:qFormat/>
    <w:uiPriority w:val="9"/>
    <w:rPr>
      <w:rFonts w:ascii="等线 Light" w:hAnsi="等线 Light" w:eastAsia="等线 Light" w:cs="Times New Roman"/>
      <w:b/>
      <w:bCs/>
      <w:sz w:val="24"/>
      <w:szCs w:val="24"/>
    </w:rPr>
  </w:style>
  <w:style w:type="character" w:customStyle="1" w:styleId="147">
    <w:name w:val="Default Paragraph Font_file_507"/>
    <w:unhideWhenUsed/>
    <w:qFormat/>
    <w:uiPriority w:val="1"/>
  </w:style>
  <w:style w:type="character" w:customStyle="1" w:styleId="148">
    <w:name w:val="标题 2 Char_file_494_file_506"/>
    <w:basedOn w:val="129"/>
    <w:link w:val="4"/>
    <w:semiHidden/>
    <w:qFormat/>
    <w:uiPriority w:val="9"/>
    <w:rPr>
      <w:rFonts w:ascii="等线 Light" w:hAnsi="等线 Light" w:eastAsia="等线 Light" w:cs="Times New Roman"/>
      <w:b/>
      <w:bCs/>
      <w:sz w:val="32"/>
      <w:szCs w:val="32"/>
    </w:rPr>
  </w:style>
  <w:style w:type="character" w:customStyle="1" w:styleId="149">
    <w:name w:val="引用 字符"/>
    <w:link w:val="150"/>
    <w:qFormat/>
    <w:uiPriority w:val="29"/>
    <w:rPr>
      <w:i/>
      <w:iCs/>
      <w:color w:val="404040"/>
      <w:kern w:val="2"/>
      <w:sz w:val="21"/>
      <w:szCs w:val="24"/>
    </w:rPr>
  </w:style>
  <w:style w:type="paragraph" w:styleId="150">
    <w:name w:val="Quote"/>
    <w:basedOn w:val="1"/>
    <w:next w:val="1"/>
    <w:link w:val="149"/>
    <w:qFormat/>
    <w:uiPriority w:val="29"/>
    <w:pPr>
      <w:spacing w:before="200" w:after="160"/>
      <w:ind w:left="864" w:right="864"/>
      <w:jc w:val="center"/>
    </w:pPr>
    <w:rPr>
      <w:i/>
      <w:iCs/>
      <w:color w:val="404040"/>
    </w:rPr>
  </w:style>
  <w:style w:type="character" w:customStyle="1" w:styleId="151">
    <w:name w:val="批注框文本 字符"/>
    <w:link w:val="30"/>
    <w:qFormat/>
    <w:uiPriority w:val="0"/>
    <w:rPr>
      <w:kern w:val="2"/>
      <w:sz w:val="18"/>
      <w:szCs w:val="18"/>
    </w:rPr>
  </w:style>
  <w:style w:type="character" w:customStyle="1" w:styleId="152">
    <w:name w:val="标题 1 Char_file_503"/>
    <w:basedOn w:val="141"/>
    <w:link w:val="3"/>
    <w:qFormat/>
    <w:uiPriority w:val="9"/>
    <w:rPr>
      <w:rFonts w:ascii="宋体" w:hAnsi="宋体" w:eastAsia="宋体" w:cs="宋体"/>
      <w:b/>
      <w:bCs/>
      <w:kern w:val="44"/>
      <w:sz w:val="44"/>
      <w:szCs w:val="44"/>
    </w:rPr>
  </w:style>
  <w:style w:type="character" w:customStyle="1" w:styleId="153">
    <w:name w:val="超链接2"/>
    <w:qFormat/>
    <w:uiPriority w:val="0"/>
    <w:rPr>
      <w:rFonts w:hint="eastAsia" w:ascii="宋体" w:hAnsi="宋体" w:eastAsia="宋体"/>
      <w:color w:val="FFFFFF"/>
      <w:sz w:val="18"/>
      <w:szCs w:val="18"/>
      <w:u w:val="none"/>
    </w:rPr>
  </w:style>
  <w:style w:type="character" w:customStyle="1" w:styleId="154">
    <w:name w:val="Hyperlink_file_498"/>
    <w:basedOn w:val="155"/>
    <w:unhideWhenUsed/>
    <w:qFormat/>
    <w:uiPriority w:val="99"/>
    <w:rPr>
      <w:color w:val="0782C1"/>
      <w:u w:val="single"/>
    </w:rPr>
  </w:style>
  <w:style w:type="character" w:customStyle="1" w:styleId="155">
    <w:name w:val="Default Paragraph Font_file_498"/>
    <w:unhideWhenUsed/>
    <w:qFormat/>
    <w:uiPriority w:val="1"/>
  </w:style>
  <w:style w:type="character" w:customStyle="1" w:styleId="156">
    <w:name w:val="Default Paragraph Font_file_495"/>
    <w:semiHidden/>
    <w:qFormat/>
    <w:uiPriority w:val="0"/>
  </w:style>
  <w:style w:type="character" w:customStyle="1" w:styleId="157">
    <w:name w:val="标题 4 Char_file_494_file_506"/>
    <w:basedOn w:val="129"/>
    <w:link w:val="6"/>
    <w:semiHidden/>
    <w:qFormat/>
    <w:uiPriority w:val="9"/>
    <w:rPr>
      <w:rFonts w:ascii="等线 Light" w:hAnsi="等线 Light" w:eastAsia="等线 Light" w:cs="Times New Roman"/>
      <w:b/>
      <w:bCs/>
      <w:sz w:val="28"/>
      <w:szCs w:val="28"/>
    </w:rPr>
  </w:style>
  <w:style w:type="character" w:customStyle="1" w:styleId="158">
    <w:name w:val="FollowedHyperlink_file_503"/>
    <w:basedOn w:val="141"/>
    <w:unhideWhenUsed/>
    <w:qFormat/>
    <w:uiPriority w:val="99"/>
    <w:rPr>
      <w:color w:val="0782C1"/>
      <w:u w:val="single"/>
    </w:rPr>
  </w:style>
  <w:style w:type="character" w:customStyle="1" w:styleId="159">
    <w:name w:val="ca-2"/>
    <w:basedOn w:val="50"/>
    <w:qFormat/>
    <w:uiPriority w:val="0"/>
  </w:style>
  <w:style w:type="character" w:customStyle="1" w:styleId="160">
    <w:name w:val="页脚 Char1"/>
    <w:semiHidden/>
    <w:qFormat/>
    <w:uiPriority w:val="99"/>
    <w:rPr>
      <w:rFonts w:ascii="Times New Roman" w:hAnsi="Times New Roman" w:eastAsia="宋体" w:cs="Times New Roman"/>
      <w:sz w:val="18"/>
      <w:szCs w:val="18"/>
    </w:rPr>
  </w:style>
  <w:style w:type="character" w:customStyle="1" w:styleId="161">
    <w:name w:val="纯文本 Char2"/>
    <w:qFormat/>
    <w:uiPriority w:val="0"/>
    <w:rPr>
      <w:rFonts w:ascii="宋体" w:hAnsi="Courier New" w:eastAsia="宋体" w:cs="Courier New"/>
      <w:kern w:val="2"/>
      <w:sz w:val="21"/>
      <w:szCs w:val="21"/>
      <w:lang w:val="en-US" w:eastAsia="zh-CN" w:bidi="ar-SA"/>
    </w:rPr>
  </w:style>
  <w:style w:type="character" w:customStyle="1" w:styleId="162">
    <w:name w:val="Default Paragraph Font_file_509"/>
    <w:unhideWhenUsed/>
    <w:qFormat/>
    <w:uiPriority w:val="1"/>
  </w:style>
  <w:style w:type="character" w:customStyle="1" w:styleId="163">
    <w:name w:val="标题 5 Char_file_494_file_506"/>
    <w:basedOn w:val="129"/>
    <w:link w:val="7"/>
    <w:semiHidden/>
    <w:qFormat/>
    <w:uiPriority w:val="9"/>
    <w:rPr>
      <w:rFonts w:ascii="宋体" w:hAnsi="宋体" w:eastAsia="宋体" w:cs="宋体"/>
      <w:b/>
      <w:bCs/>
      <w:sz w:val="28"/>
      <w:szCs w:val="28"/>
    </w:rPr>
  </w:style>
  <w:style w:type="character" w:customStyle="1" w:styleId="164">
    <w:name w:val="font91"/>
    <w:qFormat/>
    <w:uiPriority w:val="0"/>
    <w:rPr>
      <w:rFonts w:hint="default" w:ascii="Times New Roman" w:hAnsi="Times New Roman" w:cs="Times New Roman"/>
      <w:color w:val="000000"/>
      <w:sz w:val="20"/>
      <w:szCs w:val="20"/>
      <w:u w:val="none"/>
    </w:rPr>
  </w:style>
  <w:style w:type="character" w:customStyle="1" w:styleId="165">
    <w:name w:val="标题 2 Char_file_503"/>
    <w:basedOn w:val="141"/>
    <w:link w:val="4"/>
    <w:semiHidden/>
    <w:qFormat/>
    <w:uiPriority w:val="9"/>
    <w:rPr>
      <w:rFonts w:ascii="等线 Light" w:hAnsi="等线 Light" w:eastAsia="等线 Light" w:cs="Times New Roman"/>
      <w:b/>
      <w:bCs/>
      <w:sz w:val="32"/>
      <w:szCs w:val="32"/>
    </w:rPr>
  </w:style>
  <w:style w:type="character" w:customStyle="1" w:styleId="166">
    <w:name w:val="正文文本 3 字符"/>
    <w:link w:val="18"/>
    <w:qFormat/>
    <w:uiPriority w:val="0"/>
    <w:rPr>
      <w:b/>
      <w:bCs/>
      <w:sz w:val="24"/>
      <w:szCs w:val="24"/>
    </w:rPr>
  </w:style>
  <w:style w:type="character" w:customStyle="1" w:styleId="167">
    <w:name w:val="062"/>
    <w:qFormat/>
    <w:uiPriority w:val="0"/>
    <w:rPr>
      <w:rFonts w:ascii="宋体" w:hAnsi="宋体"/>
      <w:b/>
      <w:bCs/>
      <w:sz w:val="32"/>
    </w:rPr>
  </w:style>
  <w:style w:type="character" w:customStyle="1" w:styleId="168">
    <w:name w:val="标题 3 Char_file_503"/>
    <w:basedOn w:val="141"/>
    <w:link w:val="5"/>
    <w:semiHidden/>
    <w:qFormat/>
    <w:uiPriority w:val="9"/>
    <w:rPr>
      <w:rFonts w:ascii="宋体" w:hAnsi="宋体" w:eastAsia="宋体" w:cs="宋体"/>
      <w:b/>
      <w:bCs/>
      <w:sz w:val="32"/>
      <w:szCs w:val="32"/>
    </w:rPr>
  </w:style>
  <w:style w:type="character" w:customStyle="1" w:styleId="169">
    <w:name w:val="引用 Char1"/>
    <w:qFormat/>
    <w:uiPriority w:val="99"/>
    <w:rPr>
      <w:rFonts w:ascii="Times New Roman" w:hAnsi="Times New Roman"/>
      <w:i/>
      <w:iCs/>
      <w:color w:val="000000"/>
      <w:kern w:val="2"/>
      <w:sz w:val="21"/>
      <w:szCs w:val="24"/>
    </w:rPr>
  </w:style>
  <w:style w:type="character" w:customStyle="1" w:styleId="170">
    <w:name w:val="标题 6 Char_file_494_file_506"/>
    <w:basedOn w:val="129"/>
    <w:link w:val="9"/>
    <w:semiHidden/>
    <w:qFormat/>
    <w:uiPriority w:val="9"/>
    <w:rPr>
      <w:rFonts w:ascii="等线 Light" w:hAnsi="等线 Light" w:eastAsia="等线 Light" w:cs="Times New Roman"/>
      <w:b/>
      <w:bCs/>
      <w:sz w:val="24"/>
      <w:szCs w:val="24"/>
    </w:rPr>
  </w:style>
  <w:style w:type="character" w:customStyle="1" w:styleId="171">
    <w:name w:val="纯文本 Char3"/>
    <w:qFormat/>
    <w:uiPriority w:val="0"/>
    <w:rPr>
      <w:rFonts w:ascii="宋体" w:hAnsi="Courier New" w:eastAsia="宋体" w:cs="Courier New"/>
      <w:szCs w:val="21"/>
    </w:rPr>
  </w:style>
  <w:style w:type="character" w:customStyle="1" w:styleId="172">
    <w:name w:val="标题 4 Char_file_503"/>
    <w:basedOn w:val="141"/>
    <w:link w:val="6"/>
    <w:semiHidden/>
    <w:qFormat/>
    <w:uiPriority w:val="9"/>
    <w:rPr>
      <w:rFonts w:ascii="等线 Light" w:hAnsi="等线 Light" w:eastAsia="等线 Light" w:cs="Times New Roman"/>
      <w:b/>
      <w:bCs/>
      <w:sz w:val="28"/>
      <w:szCs w:val="28"/>
    </w:rPr>
  </w:style>
  <w:style w:type="character" w:customStyle="1" w:styleId="173">
    <w:name w:val="正文缩进 字符"/>
    <w:link w:val="8"/>
    <w:qFormat/>
    <w:uiPriority w:val="0"/>
    <w:rPr>
      <w:rFonts w:ascii="宋体"/>
      <w:snapToGrid w:val="0"/>
    </w:rPr>
  </w:style>
  <w:style w:type="character" w:customStyle="1" w:styleId="174">
    <w:name w:val="标题 1 Char_file_498"/>
    <w:basedOn w:val="155"/>
    <w:link w:val="3"/>
    <w:qFormat/>
    <w:uiPriority w:val="9"/>
    <w:rPr>
      <w:rFonts w:ascii="宋体" w:hAnsi="宋体" w:eastAsia="宋体" w:cs="宋体"/>
      <w:b/>
      <w:bCs/>
      <w:kern w:val="44"/>
      <w:sz w:val="44"/>
      <w:szCs w:val="44"/>
    </w:rPr>
  </w:style>
  <w:style w:type="character" w:customStyle="1" w:styleId="175">
    <w:name w:val="正文文本 Char2"/>
    <w:semiHidden/>
    <w:qFormat/>
    <w:uiPriority w:val="99"/>
    <w:rPr>
      <w:kern w:val="2"/>
      <w:sz w:val="21"/>
      <w:szCs w:val="24"/>
    </w:rPr>
  </w:style>
  <w:style w:type="character" w:customStyle="1" w:styleId="176">
    <w:name w:val="标题 5 Char_file_503"/>
    <w:basedOn w:val="141"/>
    <w:link w:val="7"/>
    <w:semiHidden/>
    <w:qFormat/>
    <w:uiPriority w:val="9"/>
    <w:rPr>
      <w:rFonts w:ascii="宋体" w:hAnsi="宋体" w:eastAsia="宋体" w:cs="宋体"/>
      <w:b/>
      <w:bCs/>
      <w:sz w:val="28"/>
      <w:szCs w:val="28"/>
    </w:rPr>
  </w:style>
  <w:style w:type="character" w:customStyle="1" w:styleId="177">
    <w:name w:val="FollowedHyperlink_file_498"/>
    <w:basedOn w:val="155"/>
    <w:unhideWhenUsed/>
    <w:qFormat/>
    <w:uiPriority w:val="99"/>
    <w:rPr>
      <w:color w:val="0782C1"/>
      <w:u w:val="single"/>
    </w:rPr>
  </w:style>
  <w:style w:type="character" w:customStyle="1" w:styleId="178">
    <w:name w:val="标题 6 Char_file_510"/>
    <w:basedOn w:val="95"/>
    <w:link w:val="9"/>
    <w:semiHidden/>
    <w:qFormat/>
    <w:uiPriority w:val="9"/>
    <w:rPr>
      <w:rFonts w:ascii="等线 Light" w:hAnsi="等线 Light" w:eastAsia="等线 Light" w:cs="Times New Roman"/>
      <w:b/>
      <w:bCs/>
      <w:sz w:val="24"/>
      <w:szCs w:val="24"/>
    </w:rPr>
  </w:style>
  <w:style w:type="character" w:customStyle="1" w:styleId="179">
    <w:name w:val="标题 7 字符"/>
    <w:link w:val="10"/>
    <w:qFormat/>
    <w:uiPriority w:val="0"/>
    <w:rPr>
      <w:b/>
      <w:kern w:val="2"/>
      <w:sz w:val="24"/>
      <w:szCs w:val="24"/>
    </w:rPr>
  </w:style>
  <w:style w:type="character" w:customStyle="1" w:styleId="180">
    <w:name w:val="style21"/>
    <w:qFormat/>
    <w:uiPriority w:val="0"/>
    <w:rPr>
      <w:sz w:val="22"/>
      <w:szCs w:val="22"/>
    </w:rPr>
  </w:style>
  <w:style w:type="character" w:customStyle="1" w:styleId="181">
    <w:name w:val="纯文本 Char1"/>
    <w:qFormat/>
    <w:uiPriority w:val="0"/>
    <w:rPr>
      <w:rFonts w:ascii="宋体" w:hAnsi="Courier New" w:eastAsia="宋体" w:cs="Courier New"/>
      <w:szCs w:val="21"/>
    </w:rPr>
  </w:style>
  <w:style w:type="character" w:customStyle="1" w:styleId="182">
    <w:name w:val="标题 6 Char_file_503"/>
    <w:basedOn w:val="141"/>
    <w:link w:val="9"/>
    <w:semiHidden/>
    <w:qFormat/>
    <w:uiPriority w:val="9"/>
    <w:rPr>
      <w:rFonts w:ascii="等线 Light" w:hAnsi="等线 Light" w:eastAsia="等线 Light" w:cs="Times New Roman"/>
      <w:b/>
      <w:bCs/>
      <w:sz w:val="24"/>
      <w:szCs w:val="24"/>
    </w:rPr>
  </w:style>
  <w:style w:type="character" w:customStyle="1" w:styleId="183">
    <w:name w:val="Char Char1"/>
    <w:qFormat/>
    <w:uiPriority w:val="0"/>
    <w:rPr>
      <w:rFonts w:eastAsia="宋体"/>
      <w:kern w:val="2"/>
      <w:sz w:val="21"/>
      <w:szCs w:val="24"/>
      <w:lang w:bidi="ar-SA"/>
    </w:rPr>
  </w:style>
  <w:style w:type="character" w:customStyle="1" w:styleId="184">
    <w:name w:val="A4"/>
    <w:qFormat/>
    <w:uiPriority w:val="0"/>
    <w:rPr>
      <w:rFonts w:ascii="新宋体" w:eastAsia="新宋体" w:cs="新宋体"/>
      <w:color w:val="000000"/>
      <w:lang w:bidi="ar-SA"/>
    </w:rPr>
  </w:style>
  <w:style w:type="character" w:customStyle="1" w:styleId="185">
    <w:name w:val="标题 2 Char_file_498"/>
    <w:basedOn w:val="155"/>
    <w:link w:val="4"/>
    <w:semiHidden/>
    <w:qFormat/>
    <w:uiPriority w:val="9"/>
    <w:rPr>
      <w:rFonts w:ascii="等线 Light" w:hAnsi="等线 Light" w:eastAsia="等线 Light" w:cs="Times New Roman"/>
      <w:b/>
      <w:bCs/>
      <w:sz w:val="32"/>
      <w:szCs w:val="32"/>
    </w:rPr>
  </w:style>
  <w:style w:type="character" w:customStyle="1" w:styleId="186">
    <w:name w:val="1ji Char"/>
    <w:link w:val="187"/>
    <w:qFormat/>
    <w:uiPriority w:val="0"/>
    <w:rPr>
      <w:rFonts w:ascii="宋体" w:hAnsi="宋体"/>
      <w:b/>
      <w:bCs/>
      <w:kern w:val="44"/>
      <w:sz w:val="36"/>
      <w:szCs w:val="44"/>
    </w:rPr>
  </w:style>
  <w:style w:type="paragraph" w:customStyle="1" w:styleId="187">
    <w:name w:val="1ji"/>
    <w:basedOn w:val="3"/>
    <w:link w:val="186"/>
    <w:qFormat/>
    <w:uiPriority w:val="0"/>
    <w:pPr>
      <w:keepLines w:val="0"/>
      <w:widowControl/>
      <w:spacing w:before="0" w:after="0" w:line="240" w:lineRule="auto"/>
      <w:jc w:val="center"/>
    </w:pPr>
    <w:rPr>
      <w:rFonts w:ascii="宋体" w:hAnsi="宋体"/>
      <w:sz w:val="36"/>
    </w:rPr>
  </w:style>
  <w:style w:type="character" w:customStyle="1" w:styleId="188">
    <w:name w:val="标题 3 Char_file_498"/>
    <w:basedOn w:val="155"/>
    <w:link w:val="5"/>
    <w:semiHidden/>
    <w:qFormat/>
    <w:uiPriority w:val="9"/>
    <w:rPr>
      <w:rFonts w:ascii="宋体" w:hAnsi="宋体" w:eastAsia="宋体" w:cs="宋体"/>
      <w:b/>
      <w:bCs/>
      <w:sz w:val="32"/>
      <w:szCs w:val="32"/>
    </w:rPr>
  </w:style>
  <w:style w:type="character" w:customStyle="1" w:styleId="189">
    <w:name w:val="纯文本 字符1"/>
    <w:qFormat/>
    <w:uiPriority w:val="0"/>
    <w:rPr>
      <w:rFonts w:ascii="宋体" w:hAnsi="Courier New" w:eastAsia="宋体" w:cs="Courier New"/>
      <w:szCs w:val="21"/>
    </w:rPr>
  </w:style>
  <w:style w:type="character" w:customStyle="1" w:styleId="190">
    <w:name w:val="标题 4 Char_file_498"/>
    <w:basedOn w:val="155"/>
    <w:link w:val="6"/>
    <w:semiHidden/>
    <w:qFormat/>
    <w:uiPriority w:val="9"/>
    <w:rPr>
      <w:rFonts w:ascii="等线 Light" w:hAnsi="等线 Light" w:eastAsia="等线 Light" w:cs="Times New Roman"/>
      <w:b/>
      <w:bCs/>
      <w:sz w:val="28"/>
      <w:szCs w:val="28"/>
    </w:rPr>
  </w:style>
  <w:style w:type="character" w:customStyle="1" w:styleId="191">
    <w:name w:val="Subtle Emphasis"/>
    <w:qFormat/>
    <w:uiPriority w:val="19"/>
    <w:rPr>
      <w:i/>
      <w:iCs/>
      <w:color w:val="808080"/>
    </w:rPr>
  </w:style>
  <w:style w:type="character" w:customStyle="1" w:styleId="192">
    <w:name w:val="标题 5 Char_file_507"/>
    <w:basedOn w:val="147"/>
    <w:link w:val="7"/>
    <w:semiHidden/>
    <w:qFormat/>
    <w:uiPriority w:val="9"/>
    <w:rPr>
      <w:rFonts w:ascii="宋体" w:hAnsi="宋体" w:eastAsia="宋体" w:cs="宋体"/>
      <w:b/>
      <w:bCs/>
      <w:sz w:val="28"/>
      <w:szCs w:val="28"/>
    </w:rPr>
  </w:style>
  <w:style w:type="character" w:customStyle="1" w:styleId="193">
    <w:name w:val="宏文本 字符"/>
    <w:link w:val="2"/>
    <w:qFormat/>
    <w:uiPriority w:val="99"/>
    <w:rPr>
      <w:rFonts w:ascii="Courier New" w:hAnsi="Courier New"/>
      <w:kern w:val="2"/>
      <w:sz w:val="24"/>
      <w:szCs w:val="24"/>
      <w:lang w:val="en-US" w:eastAsia="zh-CN" w:bidi="ar-SA"/>
    </w:rPr>
  </w:style>
  <w:style w:type="character" w:customStyle="1" w:styleId="194">
    <w:name w:val="标题 5 Char_file_498"/>
    <w:basedOn w:val="155"/>
    <w:link w:val="7"/>
    <w:semiHidden/>
    <w:qFormat/>
    <w:uiPriority w:val="9"/>
    <w:rPr>
      <w:rFonts w:ascii="宋体" w:hAnsi="宋体" w:eastAsia="宋体" w:cs="宋体"/>
      <w:b/>
      <w:bCs/>
      <w:sz w:val="28"/>
      <w:szCs w:val="28"/>
    </w:rPr>
  </w:style>
  <w:style w:type="character" w:customStyle="1" w:styleId="195">
    <w:name w:val="标题 6 Char_file_498"/>
    <w:basedOn w:val="155"/>
    <w:link w:val="9"/>
    <w:semiHidden/>
    <w:qFormat/>
    <w:uiPriority w:val="9"/>
    <w:rPr>
      <w:rFonts w:ascii="等线 Light" w:hAnsi="等线 Light" w:eastAsia="等线 Light" w:cs="Times New Roman"/>
      <w:b/>
      <w:bCs/>
      <w:sz w:val="24"/>
      <w:szCs w:val="24"/>
    </w:rPr>
  </w:style>
  <w:style w:type="character" w:customStyle="1" w:styleId="196">
    <w:name w:val="批注主题 Char1"/>
    <w:qFormat/>
    <w:uiPriority w:val="99"/>
    <w:rPr>
      <w:b/>
      <w:bCs/>
      <w:kern w:val="2"/>
      <w:sz w:val="21"/>
      <w:szCs w:val="24"/>
    </w:rPr>
  </w:style>
  <w:style w:type="character" w:customStyle="1" w:styleId="197">
    <w:name w:val="正文文本缩进 3 Char2"/>
    <w:semiHidden/>
    <w:qFormat/>
    <w:uiPriority w:val="99"/>
    <w:rPr>
      <w:kern w:val="2"/>
      <w:sz w:val="16"/>
      <w:szCs w:val="16"/>
    </w:rPr>
  </w:style>
  <w:style w:type="character" w:customStyle="1" w:styleId="198">
    <w:name w:val="日期 字符"/>
    <w:link w:val="28"/>
    <w:qFormat/>
    <w:uiPriority w:val="0"/>
    <w:rPr>
      <w:kern w:val="2"/>
      <w:sz w:val="24"/>
      <w:szCs w:val="24"/>
    </w:rPr>
  </w:style>
  <w:style w:type="character" w:customStyle="1" w:styleId="199">
    <w:name w:val="Hyperlink_file_505"/>
    <w:basedOn w:val="200"/>
    <w:unhideWhenUsed/>
    <w:qFormat/>
    <w:uiPriority w:val="99"/>
    <w:rPr>
      <w:color w:val="0782C1"/>
      <w:u w:val="single"/>
    </w:rPr>
  </w:style>
  <w:style w:type="character" w:customStyle="1" w:styleId="200">
    <w:name w:val="Default Paragraph Font_file_505"/>
    <w:unhideWhenUsed/>
    <w:qFormat/>
    <w:uiPriority w:val="1"/>
  </w:style>
  <w:style w:type="character" w:customStyle="1" w:styleId="201">
    <w:name w:val="标题3 Char Char"/>
    <w:link w:val="202"/>
    <w:qFormat/>
    <w:uiPriority w:val="0"/>
    <w:rPr>
      <w:rFonts w:eastAsia="仿宋_GB2312"/>
      <w:bCs/>
      <w:kern w:val="2"/>
      <w:sz w:val="30"/>
      <w:szCs w:val="32"/>
    </w:rPr>
  </w:style>
  <w:style w:type="paragraph" w:customStyle="1" w:styleId="202">
    <w:name w:val="标题3"/>
    <w:basedOn w:val="5"/>
    <w:link w:val="201"/>
    <w:qFormat/>
    <w:uiPriority w:val="0"/>
    <w:pPr>
      <w:keepNext w:val="0"/>
      <w:keepLines w:val="0"/>
      <w:spacing w:before="0" w:after="0" w:line="360" w:lineRule="auto"/>
    </w:pPr>
    <w:rPr>
      <w:rFonts w:eastAsia="仿宋_GB2312"/>
      <w:b w:val="0"/>
      <w:sz w:val="30"/>
    </w:rPr>
  </w:style>
  <w:style w:type="character" w:customStyle="1" w:styleId="203">
    <w:name w:val="标题 4 Char_file_507"/>
    <w:basedOn w:val="147"/>
    <w:link w:val="6"/>
    <w:semiHidden/>
    <w:qFormat/>
    <w:uiPriority w:val="9"/>
    <w:rPr>
      <w:rFonts w:ascii="等线 Light" w:hAnsi="等线 Light" w:eastAsia="等线 Light" w:cs="Times New Roman"/>
      <w:b/>
      <w:bCs/>
      <w:sz w:val="28"/>
      <w:szCs w:val="28"/>
    </w:rPr>
  </w:style>
  <w:style w:type="character" w:customStyle="1" w:styleId="204">
    <w:name w:val="正文文本缩进 3 Char1"/>
    <w:semiHidden/>
    <w:qFormat/>
    <w:uiPriority w:val="99"/>
    <w:rPr>
      <w:rFonts w:ascii="Times New Roman" w:hAnsi="Times New Roman" w:eastAsia="宋体" w:cs="Times New Roman"/>
      <w:sz w:val="16"/>
      <w:szCs w:val="16"/>
    </w:rPr>
  </w:style>
  <w:style w:type="character" w:customStyle="1" w:styleId="205">
    <w:name w:val="普通文字 Char Char4"/>
    <w:qFormat/>
    <w:uiPriority w:val="0"/>
    <w:rPr>
      <w:rFonts w:ascii="宋体" w:hAnsi="Courier New" w:eastAsia="宋体" w:cs="Courier New"/>
      <w:szCs w:val="21"/>
    </w:rPr>
  </w:style>
  <w:style w:type="character" w:customStyle="1" w:styleId="206">
    <w:name w:val="标题 6 Char_file_500"/>
    <w:basedOn w:val="90"/>
    <w:link w:val="9"/>
    <w:semiHidden/>
    <w:qFormat/>
    <w:uiPriority w:val="9"/>
    <w:rPr>
      <w:rFonts w:ascii="等线 Light" w:hAnsi="等线 Light" w:eastAsia="等线 Light" w:cs="Times New Roman"/>
      <w:b/>
      <w:bCs/>
      <w:sz w:val="24"/>
      <w:szCs w:val="24"/>
    </w:rPr>
  </w:style>
  <w:style w:type="character" w:customStyle="1" w:styleId="207">
    <w:name w:val="批注框文本 Char1"/>
    <w:semiHidden/>
    <w:qFormat/>
    <w:uiPriority w:val="99"/>
    <w:rPr>
      <w:kern w:val="2"/>
      <w:sz w:val="18"/>
      <w:szCs w:val="18"/>
    </w:rPr>
  </w:style>
  <w:style w:type="character" w:customStyle="1" w:styleId="208">
    <w:name w:val="text1"/>
    <w:basedOn w:val="50"/>
    <w:qFormat/>
    <w:uiPriority w:val="0"/>
  </w:style>
  <w:style w:type="character" w:customStyle="1" w:styleId="209">
    <w:name w:val="正文文本 2 字符"/>
    <w:link w:val="41"/>
    <w:qFormat/>
    <w:uiPriority w:val="0"/>
    <w:rPr>
      <w:szCs w:val="24"/>
    </w:rPr>
  </w:style>
  <w:style w:type="character" w:customStyle="1" w:styleId="210">
    <w:name w:val="标题 3 Char_file_507"/>
    <w:basedOn w:val="147"/>
    <w:link w:val="5"/>
    <w:semiHidden/>
    <w:qFormat/>
    <w:uiPriority w:val="9"/>
    <w:rPr>
      <w:rFonts w:ascii="宋体" w:hAnsi="宋体" w:eastAsia="宋体" w:cs="宋体"/>
      <w:b/>
      <w:bCs/>
      <w:sz w:val="32"/>
      <w:szCs w:val="32"/>
    </w:rPr>
  </w:style>
  <w:style w:type="character" w:customStyle="1" w:styleId="211">
    <w:name w:val="表正文 Char2"/>
    <w:qFormat/>
    <w:uiPriority w:val="0"/>
    <w:rPr>
      <w:rFonts w:ascii="Times New Roman" w:hAnsi="Times New Roman"/>
      <w:kern w:val="2"/>
      <w:sz w:val="21"/>
    </w:rPr>
  </w:style>
  <w:style w:type="character" w:customStyle="1" w:styleId="212">
    <w:name w:val="Hyperlink_file_502"/>
    <w:basedOn w:val="213"/>
    <w:unhideWhenUsed/>
    <w:qFormat/>
    <w:uiPriority w:val="99"/>
    <w:rPr>
      <w:color w:val="0782C1"/>
      <w:u w:val="single"/>
    </w:rPr>
  </w:style>
  <w:style w:type="character" w:customStyle="1" w:styleId="213">
    <w:name w:val="Default Paragraph Font_file_502"/>
    <w:unhideWhenUsed/>
    <w:qFormat/>
    <w:uiPriority w:val="1"/>
  </w:style>
  <w:style w:type="character" w:customStyle="1" w:styleId="214">
    <w:name w:val="标题 1 Char_file_505"/>
    <w:basedOn w:val="200"/>
    <w:link w:val="3"/>
    <w:qFormat/>
    <w:uiPriority w:val="9"/>
    <w:rPr>
      <w:rFonts w:ascii="宋体" w:hAnsi="宋体" w:eastAsia="宋体" w:cs="宋体"/>
      <w:b/>
      <w:bCs/>
      <w:kern w:val="44"/>
      <w:sz w:val="44"/>
      <w:szCs w:val="44"/>
    </w:rPr>
  </w:style>
  <w:style w:type="character" w:customStyle="1" w:styleId="215">
    <w:name w:val="引用 Char2"/>
    <w:qFormat/>
    <w:uiPriority w:val="29"/>
    <w:rPr>
      <w:i/>
      <w:iCs/>
      <w:color w:val="000000"/>
      <w:kern w:val="2"/>
      <w:sz w:val="21"/>
      <w:szCs w:val="24"/>
    </w:rPr>
  </w:style>
  <w:style w:type="character" w:customStyle="1" w:styleId="216">
    <w:name w:val="项目排列 Char Char"/>
    <w:link w:val="217"/>
    <w:qFormat/>
    <w:uiPriority w:val="0"/>
    <w:rPr>
      <w:kern w:val="2"/>
      <w:sz w:val="24"/>
      <w:szCs w:val="24"/>
    </w:rPr>
  </w:style>
  <w:style w:type="paragraph" w:customStyle="1" w:styleId="217">
    <w:name w:val="项目排列"/>
    <w:basedOn w:val="1"/>
    <w:link w:val="216"/>
    <w:qFormat/>
    <w:uiPriority w:val="0"/>
    <w:pPr>
      <w:numPr>
        <w:ilvl w:val="0"/>
        <w:numId w:val="1"/>
      </w:numPr>
      <w:tabs>
        <w:tab w:val="left" w:pos="1200"/>
      </w:tabs>
      <w:spacing w:before="156" w:beforeLines="50" w:after="156" w:afterLines="50" w:line="300" w:lineRule="auto"/>
    </w:pPr>
    <w:rPr>
      <w:sz w:val="24"/>
    </w:rPr>
  </w:style>
  <w:style w:type="character" w:customStyle="1" w:styleId="218">
    <w:name w:val="FollowedHyperlink_file_505"/>
    <w:basedOn w:val="200"/>
    <w:unhideWhenUsed/>
    <w:qFormat/>
    <w:uiPriority w:val="99"/>
    <w:rPr>
      <w:color w:val="0782C1"/>
      <w:u w:val="single"/>
    </w:rPr>
  </w:style>
  <w:style w:type="character" w:customStyle="1" w:styleId="219">
    <w:name w:val="标题 5 Char_file_500"/>
    <w:basedOn w:val="90"/>
    <w:link w:val="7"/>
    <w:semiHidden/>
    <w:qFormat/>
    <w:uiPriority w:val="9"/>
    <w:rPr>
      <w:rFonts w:ascii="宋体" w:hAnsi="宋体" w:eastAsia="宋体" w:cs="宋体"/>
      <w:b/>
      <w:bCs/>
      <w:sz w:val="28"/>
      <w:szCs w:val="28"/>
    </w:rPr>
  </w:style>
  <w:style w:type="character" w:customStyle="1" w:styleId="220">
    <w:name w:val="标题 2 Char_file_505"/>
    <w:basedOn w:val="200"/>
    <w:link w:val="4"/>
    <w:semiHidden/>
    <w:qFormat/>
    <w:uiPriority w:val="9"/>
    <w:rPr>
      <w:rFonts w:ascii="等线 Light" w:hAnsi="等线 Light" w:eastAsia="等线 Light" w:cs="Times New Roman"/>
      <w:b/>
      <w:bCs/>
      <w:sz w:val="32"/>
      <w:szCs w:val="32"/>
    </w:rPr>
  </w:style>
  <w:style w:type="character" w:customStyle="1" w:styleId="221">
    <w:name w:val="正文文本缩进 3 字符"/>
    <w:link w:val="38"/>
    <w:qFormat/>
    <w:uiPriority w:val="0"/>
    <w:rPr>
      <w:kern w:val="2"/>
      <w:sz w:val="16"/>
      <w:szCs w:val="16"/>
    </w:rPr>
  </w:style>
  <w:style w:type="character" w:customStyle="1" w:styleId="222">
    <w:name w:val="标题 6 Char_file_502"/>
    <w:basedOn w:val="213"/>
    <w:link w:val="9"/>
    <w:semiHidden/>
    <w:qFormat/>
    <w:uiPriority w:val="9"/>
    <w:rPr>
      <w:rFonts w:ascii="等线 Light" w:hAnsi="等线 Light" w:eastAsia="等线 Light" w:cs="Times New Roman"/>
      <w:b/>
      <w:bCs/>
      <w:sz w:val="24"/>
      <w:szCs w:val="24"/>
    </w:rPr>
  </w:style>
  <w:style w:type="character" w:customStyle="1" w:styleId="223">
    <w:name w:val="标题 3 Char_file_505"/>
    <w:basedOn w:val="200"/>
    <w:link w:val="5"/>
    <w:semiHidden/>
    <w:qFormat/>
    <w:uiPriority w:val="9"/>
    <w:rPr>
      <w:rFonts w:ascii="宋体" w:hAnsi="宋体" w:eastAsia="宋体" w:cs="宋体"/>
      <w:b/>
      <w:bCs/>
      <w:sz w:val="32"/>
      <w:szCs w:val="32"/>
    </w:rPr>
  </w:style>
  <w:style w:type="character" w:customStyle="1" w:styleId="224">
    <w:name w:val="text11"/>
    <w:qFormat/>
    <w:uiPriority w:val="0"/>
    <w:rPr>
      <w:rFonts w:hint="default" w:ascii="Verdana" w:hAnsi="Verdana"/>
      <w:color w:val="4E4E4E"/>
      <w:sz w:val="18"/>
      <w:szCs w:val="18"/>
    </w:rPr>
  </w:style>
  <w:style w:type="character" w:customStyle="1" w:styleId="225">
    <w:name w:val="标题 1 Char_file_502"/>
    <w:basedOn w:val="213"/>
    <w:link w:val="3"/>
    <w:qFormat/>
    <w:uiPriority w:val="9"/>
    <w:rPr>
      <w:rFonts w:ascii="宋体" w:hAnsi="宋体" w:eastAsia="宋体" w:cs="宋体"/>
      <w:b/>
      <w:bCs/>
      <w:kern w:val="44"/>
      <w:sz w:val="44"/>
      <w:szCs w:val="44"/>
    </w:rPr>
  </w:style>
  <w:style w:type="character" w:customStyle="1" w:styleId="226">
    <w:name w:val="标题 4 Char_file_500"/>
    <w:basedOn w:val="90"/>
    <w:link w:val="6"/>
    <w:semiHidden/>
    <w:qFormat/>
    <w:uiPriority w:val="9"/>
    <w:rPr>
      <w:rFonts w:ascii="等线 Light" w:hAnsi="等线 Light" w:eastAsia="等线 Light" w:cs="Times New Roman"/>
      <w:b/>
      <w:bCs/>
      <w:sz w:val="28"/>
      <w:szCs w:val="28"/>
    </w:rPr>
  </w:style>
  <w:style w:type="character" w:customStyle="1" w:styleId="227">
    <w:name w:val="标题 4 Char_file_505"/>
    <w:basedOn w:val="200"/>
    <w:link w:val="6"/>
    <w:semiHidden/>
    <w:qFormat/>
    <w:uiPriority w:val="9"/>
    <w:rPr>
      <w:rFonts w:ascii="等线 Light" w:hAnsi="等线 Light" w:eastAsia="等线 Light" w:cs="Times New Roman"/>
      <w:b/>
      <w:bCs/>
      <w:sz w:val="28"/>
      <w:szCs w:val="28"/>
    </w:rPr>
  </w:style>
  <w:style w:type="character" w:customStyle="1" w:styleId="228">
    <w:name w:val="批注文字 字符"/>
    <w:link w:val="17"/>
    <w:qFormat/>
    <w:uiPriority w:val="99"/>
    <w:rPr>
      <w:kern w:val="2"/>
      <w:sz w:val="21"/>
      <w:szCs w:val="24"/>
    </w:rPr>
  </w:style>
  <w:style w:type="character" w:customStyle="1" w:styleId="229">
    <w:name w:val="FollowedHyperlink_file_502"/>
    <w:basedOn w:val="213"/>
    <w:unhideWhenUsed/>
    <w:qFormat/>
    <w:uiPriority w:val="99"/>
    <w:rPr>
      <w:color w:val="0782C1"/>
      <w:u w:val="single"/>
    </w:rPr>
  </w:style>
  <w:style w:type="character" w:customStyle="1" w:styleId="230">
    <w:name w:val="Hyperlink_file_497"/>
    <w:basedOn w:val="65"/>
    <w:unhideWhenUsed/>
    <w:qFormat/>
    <w:uiPriority w:val="99"/>
    <w:rPr>
      <w:color w:val="0782C1"/>
      <w:u w:val="single"/>
    </w:rPr>
  </w:style>
  <w:style w:type="character" w:customStyle="1" w:styleId="231">
    <w:name w:val="标题 4 Char_file_510"/>
    <w:basedOn w:val="95"/>
    <w:link w:val="6"/>
    <w:semiHidden/>
    <w:qFormat/>
    <w:uiPriority w:val="9"/>
    <w:rPr>
      <w:rFonts w:ascii="等线 Light" w:hAnsi="等线 Light" w:eastAsia="等线 Light" w:cs="Times New Roman"/>
      <w:b/>
      <w:bCs/>
      <w:sz w:val="28"/>
      <w:szCs w:val="28"/>
    </w:rPr>
  </w:style>
  <w:style w:type="character" w:customStyle="1" w:styleId="232">
    <w:name w:val="标题 5 Char_file_505"/>
    <w:basedOn w:val="200"/>
    <w:link w:val="7"/>
    <w:semiHidden/>
    <w:qFormat/>
    <w:uiPriority w:val="9"/>
    <w:rPr>
      <w:rFonts w:ascii="宋体" w:hAnsi="宋体" w:eastAsia="宋体" w:cs="宋体"/>
      <w:b/>
      <w:bCs/>
      <w:sz w:val="28"/>
      <w:szCs w:val="28"/>
    </w:rPr>
  </w:style>
  <w:style w:type="character" w:customStyle="1" w:styleId="233">
    <w:name w:val="lmain1"/>
    <w:qFormat/>
    <w:uiPriority w:val="0"/>
    <w:rPr>
      <w:color w:val="407AAB"/>
      <w:sz w:val="30"/>
      <w:szCs w:val="30"/>
    </w:rPr>
  </w:style>
  <w:style w:type="character" w:customStyle="1" w:styleId="234">
    <w:name w:val="标题 5 Char_file_502"/>
    <w:basedOn w:val="213"/>
    <w:link w:val="7"/>
    <w:semiHidden/>
    <w:qFormat/>
    <w:uiPriority w:val="9"/>
    <w:rPr>
      <w:rFonts w:ascii="宋体" w:hAnsi="宋体" w:eastAsia="宋体" w:cs="宋体"/>
      <w:b/>
      <w:bCs/>
      <w:sz w:val="28"/>
      <w:szCs w:val="28"/>
    </w:rPr>
  </w:style>
  <w:style w:type="character" w:customStyle="1" w:styleId="235">
    <w:name w:val="标题 6 Char_file_505"/>
    <w:basedOn w:val="200"/>
    <w:link w:val="9"/>
    <w:semiHidden/>
    <w:qFormat/>
    <w:uiPriority w:val="9"/>
    <w:rPr>
      <w:rFonts w:ascii="等线 Light" w:hAnsi="等线 Light" w:eastAsia="等线 Light" w:cs="Times New Roman"/>
      <w:b/>
      <w:bCs/>
      <w:sz w:val="24"/>
      <w:szCs w:val="24"/>
    </w:rPr>
  </w:style>
  <w:style w:type="character" w:customStyle="1" w:styleId="236">
    <w:name w:val="case31"/>
    <w:qFormat/>
    <w:uiPriority w:val="0"/>
    <w:rPr>
      <w:rFonts w:hint="default"/>
      <w:sz w:val="21"/>
      <w:szCs w:val="21"/>
    </w:rPr>
  </w:style>
  <w:style w:type="character" w:customStyle="1" w:styleId="237">
    <w:name w:val="标题 2 Char_file_502"/>
    <w:basedOn w:val="213"/>
    <w:link w:val="4"/>
    <w:semiHidden/>
    <w:qFormat/>
    <w:uiPriority w:val="9"/>
    <w:rPr>
      <w:rFonts w:ascii="等线 Light" w:hAnsi="等线 Light" w:eastAsia="等线 Light" w:cs="Times New Roman"/>
      <w:b/>
      <w:bCs/>
      <w:sz w:val="32"/>
      <w:szCs w:val="32"/>
    </w:rPr>
  </w:style>
  <w:style w:type="character" w:customStyle="1" w:styleId="238">
    <w:name w:val="标题 3 Char_file_500"/>
    <w:basedOn w:val="90"/>
    <w:link w:val="5"/>
    <w:semiHidden/>
    <w:qFormat/>
    <w:uiPriority w:val="9"/>
    <w:rPr>
      <w:rFonts w:ascii="宋体" w:hAnsi="宋体" w:eastAsia="宋体" w:cs="宋体"/>
      <w:b/>
      <w:bCs/>
      <w:sz w:val="32"/>
      <w:szCs w:val="32"/>
    </w:rPr>
  </w:style>
  <w:style w:type="character" w:customStyle="1" w:styleId="239">
    <w:name w:val="FollowedHyperlink_file_507"/>
    <w:basedOn w:val="147"/>
    <w:unhideWhenUsed/>
    <w:qFormat/>
    <w:uiPriority w:val="99"/>
    <w:rPr>
      <w:color w:val="0782C1"/>
      <w:u w:val="single"/>
    </w:rPr>
  </w:style>
  <w:style w:type="character" w:customStyle="1" w:styleId="240">
    <w:name w:val="ca-11"/>
    <w:qFormat/>
    <w:uiPriority w:val="0"/>
    <w:rPr>
      <w:rFonts w:hint="eastAsia" w:ascii="宋体" w:hAnsi="宋体" w:eastAsia="宋体"/>
      <w:b/>
      <w:bCs/>
      <w:spacing w:val="-20"/>
      <w:sz w:val="21"/>
      <w:szCs w:val="21"/>
    </w:rPr>
  </w:style>
  <w:style w:type="character" w:customStyle="1" w:styleId="241">
    <w:name w:val="标题 3 Char_file_502"/>
    <w:basedOn w:val="213"/>
    <w:link w:val="5"/>
    <w:semiHidden/>
    <w:qFormat/>
    <w:uiPriority w:val="9"/>
    <w:rPr>
      <w:rFonts w:ascii="宋体" w:hAnsi="宋体" w:eastAsia="宋体" w:cs="宋体"/>
      <w:b/>
      <w:bCs/>
      <w:sz w:val="32"/>
      <w:szCs w:val="32"/>
    </w:rPr>
  </w:style>
  <w:style w:type="character" w:customStyle="1" w:styleId="242">
    <w:name w:val="Hyperlink_file_501"/>
    <w:basedOn w:val="75"/>
    <w:unhideWhenUsed/>
    <w:qFormat/>
    <w:uiPriority w:val="99"/>
    <w:rPr>
      <w:color w:val="0782C1"/>
      <w:u w:val="single"/>
    </w:rPr>
  </w:style>
  <w:style w:type="character" w:customStyle="1" w:styleId="243">
    <w:name w:val="f161"/>
    <w:qFormat/>
    <w:uiPriority w:val="0"/>
    <w:rPr>
      <w:b/>
      <w:bCs/>
      <w:sz w:val="24"/>
      <w:szCs w:val="24"/>
    </w:rPr>
  </w:style>
  <w:style w:type="character" w:customStyle="1" w:styleId="244">
    <w:name w:val="标题 4 Char_file_502"/>
    <w:basedOn w:val="213"/>
    <w:link w:val="6"/>
    <w:semiHidden/>
    <w:qFormat/>
    <w:uiPriority w:val="9"/>
    <w:rPr>
      <w:rFonts w:ascii="等线 Light" w:hAnsi="等线 Light" w:eastAsia="等线 Light" w:cs="Times New Roman"/>
      <w:b/>
      <w:bCs/>
      <w:sz w:val="28"/>
      <w:szCs w:val="28"/>
    </w:rPr>
  </w:style>
  <w:style w:type="character" w:customStyle="1" w:styleId="245">
    <w:name w:val="Strong_file_508"/>
    <w:basedOn w:val="59"/>
    <w:qFormat/>
    <w:uiPriority w:val="22"/>
    <w:rPr>
      <w:b/>
      <w:bCs/>
    </w:rPr>
  </w:style>
  <w:style w:type="character" w:customStyle="1" w:styleId="246">
    <w:name w:val="标题 1 Char_file_497"/>
    <w:basedOn w:val="65"/>
    <w:link w:val="3"/>
    <w:qFormat/>
    <w:uiPriority w:val="9"/>
    <w:rPr>
      <w:rFonts w:ascii="宋体" w:hAnsi="宋体" w:eastAsia="宋体" w:cs="宋体"/>
      <w:b/>
      <w:bCs/>
      <w:kern w:val="44"/>
      <w:sz w:val="44"/>
      <w:szCs w:val="44"/>
    </w:rPr>
  </w:style>
  <w:style w:type="character" w:customStyle="1" w:styleId="247">
    <w:name w:val="标题 4 字符"/>
    <w:link w:val="6"/>
    <w:qFormat/>
    <w:uiPriority w:val="0"/>
    <w:rPr>
      <w:rFonts w:ascii="Arial" w:hAnsi="Arial" w:eastAsia="黑体"/>
      <w:b/>
      <w:bCs/>
      <w:kern w:val="2"/>
      <w:sz w:val="28"/>
      <w:szCs w:val="28"/>
    </w:rPr>
  </w:style>
  <w:style w:type="character" w:customStyle="1" w:styleId="248">
    <w:name w:val="标题 1 Char_file_507"/>
    <w:basedOn w:val="147"/>
    <w:link w:val="3"/>
    <w:qFormat/>
    <w:uiPriority w:val="9"/>
    <w:rPr>
      <w:rFonts w:ascii="宋体" w:hAnsi="宋体" w:eastAsia="宋体" w:cs="宋体"/>
      <w:b/>
      <w:bCs/>
      <w:kern w:val="44"/>
      <w:sz w:val="44"/>
      <w:szCs w:val="44"/>
    </w:rPr>
  </w:style>
  <w:style w:type="character" w:customStyle="1" w:styleId="249">
    <w:name w:val="Default Paragraph Font_file_499"/>
    <w:semiHidden/>
    <w:qFormat/>
    <w:uiPriority w:val="0"/>
  </w:style>
  <w:style w:type="character" w:customStyle="1" w:styleId="250">
    <w:name w:val="FollowedHyperlink_file_497"/>
    <w:basedOn w:val="65"/>
    <w:unhideWhenUsed/>
    <w:qFormat/>
    <w:uiPriority w:val="99"/>
    <w:rPr>
      <w:color w:val="0782C1"/>
      <w:u w:val="single"/>
    </w:rPr>
  </w:style>
  <w:style w:type="character" w:customStyle="1" w:styleId="251">
    <w:name w:val="正文文本 2 Char2"/>
    <w:qFormat/>
    <w:uiPriority w:val="99"/>
    <w:rPr>
      <w:kern w:val="2"/>
      <w:sz w:val="21"/>
      <w:szCs w:val="24"/>
    </w:rPr>
  </w:style>
  <w:style w:type="character" w:customStyle="1" w:styleId="252">
    <w:name w:val="Emphasis_file_502"/>
    <w:basedOn w:val="213"/>
    <w:qFormat/>
    <w:uiPriority w:val="20"/>
    <w:rPr>
      <w:i/>
      <w:iCs/>
    </w:rPr>
  </w:style>
  <w:style w:type="character" w:customStyle="1" w:styleId="253">
    <w:name w:val="style1"/>
    <w:basedOn w:val="50"/>
    <w:qFormat/>
    <w:uiPriority w:val="0"/>
  </w:style>
  <w:style w:type="character" w:customStyle="1" w:styleId="254">
    <w:name w:val="标题 2 Char_file_497"/>
    <w:basedOn w:val="65"/>
    <w:link w:val="4"/>
    <w:semiHidden/>
    <w:qFormat/>
    <w:uiPriority w:val="9"/>
    <w:rPr>
      <w:rFonts w:ascii="等线 Light" w:hAnsi="等线 Light" w:eastAsia="等线 Light" w:cs="Times New Roman"/>
      <w:b/>
      <w:bCs/>
      <w:sz w:val="32"/>
      <w:szCs w:val="32"/>
    </w:rPr>
  </w:style>
  <w:style w:type="character" w:customStyle="1" w:styleId="255">
    <w:name w:val="ca-21"/>
    <w:qFormat/>
    <w:uiPriority w:val="0"/>
    <w:rPr>
      <w:rFonts w:hint="eastAsia" w:ascii="宋体" w:hAnsi="宋体" w:eastAsia="宋体"/>
      <w:sz w:val="21"/>
      <w:szCs w:val="21"/>
    </w:rPr>
  </w:style>
  <w:style w:type="character" w:customStyle="1" w:styleId="256">
    <w:name w:val="标题 4 Char_file_497"/>
    <w:basedOn w:val="65"/>
    <w:link w:val="6"/>
    <w:semiHidden/>
    <w:qFormat/>
    <w:uiPriority w:val="9"/>
    <w:rPr>
      <w:rFonts w:ascii="等线 Light" w:hAnsi="等线 Light" w:eastAsia="等线 Light" w:cs="Times New Roman"/>
      <w:b/>
      <w:bCs/>
      <w:sz w:val="28"/>
      <w:szCs w:val="28"/>
    </w:rPr>
  </w:style>
  <w:style w:type="character" w:customStyle="1" w:styleId="257">
    <w:name w:val="Char Char11"/>
    <w:qFormat/>
    <w:uiPriority w:val="0"/>
    <w:rPr>
      <w:rFonts w:ascii="宋体" w:hAnsi="Courier New" w:eastAsia="宋体" w:cs="Courier New"/>
      <w:szCs w:val="21"/>
    </w:rPr>
  </w:style>
  <w:style w:type="character" w:customStyle="1" w:styleId="258">
    <w:name w:val="标题 6 Char_file_497"/>
    <w:basedOn w:val="65"/>
    <w:link w:val="9"/>
    <w:semiHidden/>
    <w:qFormat/>
    <w:uiPriority w:val="9"/>
    <w:rPr>
      <w:rFonts w:ascii="等线 Light" w:hAnsi="等线 Light" w:eastAsia="等线 Light" w:cs="Times New Roman"/>
      <w:b/>
      <w:bCs/>
      <w:sz w:val="24"/>
      <w:szCs w:val="24"/>
    </w:rPr>
  </w:style>
  <w:style w:type="character" w:customStyle="1" w:styleId="259">
    <w:name w:val="hei16b"/>
    <w:basedOn w:val="50"/>
    <w:qFormat/>
    <w:uiPriority w:val="0"/>
  </w:style>
  <w:style w:type="character" w:customStyle="1" w:styleId="260">
    <w:name w:val="标题 5 Char_file_508"/>
    <w:basedOn w:val="59"/>
    <w:link w:val="7"/>
    <w:semiHidden/>
    <w:qFormat/>
    <w:uiPriority w:val="9"/>
    <w:rPr>
      <w:rFonts w:ascii="宋体" w:hAnsi="宋体" w:eastAsia="宋体" w:cs="宋体"/>
      <w:b/>
      <w:bCs/>
      <w:sz w:val="28"/>
      <w:szCs w:val="28"/>
    </w:rPr>
  </w:style>
  <w:style w:type="character" w:customStyle="1" w:styleId="261">
    <w:name w:val="页眉 Char1"/>
    <w:semiHidden/>
    <w:qFormat/>
    <w:uiPriority w:val="99"/>
    <w:rPr>
      <w:kern w:val="2"/>
      <w:sz w:val="18"/>
      <w:szCs w:val="18"/>
    </w:rPr>
  </w:style>
  <w:style w:type="character" w:customStyle="1" w:styleId="262">
    <w:name w:val="Char Char4"/>
    <w:semiHidden/>
    <w:qFormat/>
    <w:uiPriority w:val="0"/>
    <w:rPr>
      <w:rFonts w:ascii="Times New Roman" w:hAnsi="Times New Roman" w:eastAsia="宋体" w:cs="Times New Roman"/>
      <w:sz w:val="16"/>
      <w:szCs w:val="16"/>
    </w:rPr>
  </w:style>
  <w:style w:type="character" w:customStyle="1" w:styleId="263">
    <w:name w:val="Hyperlink_file_507"/>
    <w:basedOn w:val="147"/>
    <w:unhideWhenUsed/>
    <w:qFormat/>
    <w:uiPriority w:val="99"/>
    <w:rPr>
      <w:color w:val="0782C1"/>
      <w:u w:val="single"/>
    </w:rPr>
  </w:style>
  <w:style w:type="character" w:customStyle="1" w:styleId="264">
    <w:name w:val="FollowedHyperlink_file_494_file_506"/>
    <w:basedOn w:val="129"/>
    <w:unhideWhenUsed/>
    <w:qFormat/>
    <w:uiPriority w:val="99"/>
    <w:rPr>
      <w:color w:val="0782C1"/>
      <w:u w:val="single"/>
    </w:rPr>
  </w:style>
  <w:style w:type="character" w:customStyle="1" w:styleId="265">
    <w:name w:val="标题 3 Char_file_494_file_506"/>
    <w:basedOn w:val="129"/>
    <w:link w:val="5"/>
    <w:semiHidden/>
    <w:qFormat/>
    <w:uiPriority w:val="9"/>
    <w:rPr>
      <w:rFonts w:ascii="宋体" w:hAnsi="宋体" w:eastAsia="宋体" w:cs="宋体"/>
      <w:b/>
      <w:bCs/>
      <w:sz w:val="32"/>
      <w:szCs w:val="32"/>
    </w:rPr>
  </w:style>
  <w:style w:type="character" w:customStyle="1" w:styleId="266">
    <w:name w:val="Hyperlink_file_500"/>
    <w:basedOn w:val="90"/>
    <w:unhideWhenUsed/>
    <w:qFormat/>
    <w:uiPriority w:val="99"/>
    <w:rPr>
      <w:color w:val="0782C1"/>
      <w:u w:val="single"/>
    </w:rPr>
  </w:style>
  <w:style w:type="character" w:customStyle="1" w:styleId="267">
    <w:name w:val="文档正文 Char Char"/>
    <w:link w:val="268"/>
    <w:qFormat/>
    <w:locked/>
    <w:uiPriority w:val="0"/>
    <w:rPr>
      <w:rFonts w:ascii="华文细黑" w:hAnsi="华文细黑" w:eastAsia="华文细黑"/>
      <w:color w:val="000000"/>
      <w:sz w:val="24"/>
    </w:rPr>
  </w:style>
  <w:style w:type="paragraph" w:customStyle="1" w:styleId="268">
    <w:name w:val="文档正文"/>
    <w:basedOn w:val="1"/>
    <w:link w:val="267"/>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269">
    <w:name w:val="标题 2 Char_file_507"/>
    <w:basedOn w:val="147"/>
    <w:link w:val="4"/>
    <w:semiHidden/>
    <w:qFormat/>
    <w:uiPriority w:val="9"/>
    <w:rPr>
      <w:rFonts w:ascii="等线 Light" w:hAnsi="等线 Light" w:eastAsia="等线 Light" w:cs="Times New Roman"/>
      <w:b/>
      <w:bCs/>
      <w:sz w:val="32"/>
      <w:szCs w:val="32"/>
    </w:rPr>
  </w:style>
  <w:style w:type="character" w:customStyle="1" w:styleId="270">
    <w:name w:val="标题 6 Char_file_519"/>
    <w:basedOn w:val="271"/>
    <w:link w:val="9"/>
    <w:semiHidden/>
    <w:qFormat/>
    <w:uiPriority w:val="9"/>
    <w:rPr>
      <w:rFonts w:ascii="等线 Light" w:hAnsi="等线 Light" w:eastAsia="等线 Light" w:cs="Times New Roman"/>
      <w:b/>
      <w:bCs/>
      <w:sz w:val="24"/>
      <w:szCs w:val="24"/>
    </w:rPr>
  </w:style>
  <w:style w:type="character" w:customStyle="1" w:styleId="271">
    <w:name w:val="Default Paragraph Font_file_519"/>
    <w:unhideWhenUsed/>
    <w:qFormat/>
    <w:uiPriority w:val="1"/>
  </w:style>
  <w:style w:type="character" w:customStyle="1" w:styleId="272">
    <w:name w:val="标题 4 Char_file_519"/>
    <w:basedOn w:val="271"/>
    <w:link w:val="6"/>
    <w:semiHidden/>
    <w:qFormat/>
    <w:uiPriority w:val="9"/>
    <w:rPr>
      <w:rFonts w:ascii="等线 Light" w:hAnsi="等线 Light" w:eastAsia="等线 Light" w:cs="Times New Roman"/>
      <w:b/>
      <w:bCs/>
      <w:sz w:val="28"/>
      <w:szCs w:val="28"/>
    </w:rPr>
  </w:style>
  <w:style w:type="character" w:customStyle="1" w:styleId="273">
    <w:name w:val="标题 2 Char_file_519"/>
    <w:basedOn w:val="271"/>
    <w:link w:val="4"/>
    <w:semiHidden/>
    <w:qFormat/>
    <w:uiPriority w:val="9"/>
    <w:rPr>
      <w:rFonts w:ascii="等线 Light" w:hAnsi="等线 Light" w:eastAsia="等线 Light" w:cs="Times New Roman"/>
      <w:b/>
      <w:bCs/>
      <w:sz w:val="32"/>
      <w:szCs w:val="32"/>
    </w:rPr>
  </w:style>
  <w:style w:type="character" w:customStyle="1" w:styleId="274">
    <w:name w:val="标题 3 Char_file_522"/>
    <w:basedOn w:val="275"/>
    <w:link w:val="5"/>
    <w:semiHidden/>
    <w:qFormat/>
    <w:uiPriority w:val="9"/>
    <w:rPr>
      <w:rFonts w:ascii="宋体" w:hAnsi="宋体" w:eastAsia="宋体" w:cs="宋体"/>
      <w:b/>
      <w:bCs/>
      <w:sz w:val="32"/>
      <w:szCs w:val="32"/>
    </w:rPr>
  </w:style>
  <w:style w:type="character" w:customStyle="1" w:styleId="275">
    <w:name w:val="Default Paragraph Font_file_522"/>
    <w:unhideWhenUsed/>
    <w:qFormat/>
    <w:uiPriority w:val="1"/>
  </w:style>
  <w:style w:type="character" w:customStyle="1" w:styleId="276">
    <w:name w:val="Hyperlink_file_519"/>
    <w:basedOn w:val="271"/>
    <w:unhideWhenUsed/>
    <w:qFormat/>
    <w:uiPriority w:val="99"/>
    <w:rPr>
      <w:color w:val="0782C1"/>
      <w:u w:val="single"/>
    </w:rPr>
  </w:style>
  <w:style w:type="character" w:customStyle="1" w:styleId="277">
    <w:name w:val="FollowedHyperlink_file_519"/>
    <w:basedOn w:val="271"/>
    <w:unhideWhenUsed/>
    <w:qFormat/>
    <w:uiPriority w:val="99"/>
    <w:rPr>
      <w:color w:val="0782C1"/>
      <w:u w:val="single"/>
    </w:rPr>
  </w:style>
  <w:style w:type="character" w:customStyle="1" w:styleId="278">
    <w:name w:val="标题 1 Char_file_522"/>
    <w:basedOn w:val="275"/>
    <w:link w:val="3"/>
    <w:qFormat/>
    <w:uiPriority w:val="9"/>
    <w:rPr>
      <w:rFonts w:ascii="宋体" w:hAnsi="宋体" w:eastAsia="宋体" w:cs="宋体"/>
      <w:b/>
      <w:bCs/>
      <w:kern w:val="44"/>
      <w:sz w:val="44"/>
      <w:szCs w:val="44"/>
    </w:rPr>
  </w:style>
  <w:style w:type="character" w:customStyle="1" w:styleId="279">
    <w:name w:val="Default Paragraph Font_file_511"/>
    <w:unhideWhenUsed/>
    <w:qFormat/>
    <w:uiPriority w:val="1"/>
  </w:style>
  <w:style w:type="character" w:customStyle="1" w:styleId="280">
    <w:name w:val="标题 1 Char_file_511"/>
    <w:basedOn w:val="279"/>
    <w:link w:val="3"/>
    <w:qFormat/>
    <w:uiPriority w:val="9"/>
    <w:rPr>
      <w:rFonts w:ascii="宋体" w:hAnsi="宋体" w:eastAsia="宋体" w:cs="宋体"/>
      <w:b/>
      <w:bCs/>
      <w:kern w:val="44"/>
      <w:sz w:val="44"/>
      <w:szCs w:val="44"/>
    </w:rPr>
  </w:style>
  <w:style w:type="character" w:customStyle="1" w:styleId="281">
    <w:name w:val="标题 3 Char_file_511"/>
    <w:basedOn w:val="279"/>
    <w:link w:val="5"/>
    <w:semiHidden/>
    <w:qFormat/>
    <w:uiPriority w:val="9"/>
    <w:rPr>
      <w:rFonts w:ascii="宋体" w:hAnsi="宋体" w:eastAsia="宋体" w:cs="宋体"/>
      <w:b/>
      <w:bCs/>
      <w:sz w:val="32"/>
      <w:szCs w:val="32"/>
    </w:rPr>
  </w:style>
  <w:style w:type="character" w:customStyle="1" w:styleId="282">
    <w:name w:val="Hyperlink_file_509"/>
    <w:basedOn w:val="162"/>
    <w:unhideWhenUsed/>
    <w:qFormat/>
    <w:uiPriority w:val="99"/>
    <w:rPr>
      <w:color w:val="0782C1"/>
      <w:u w:val="single"/>
    </w:rPr>
  </w:style>
  <w:style w:type="character" w:customStyle="1" w:styleId="283">
    <w:name w:val="FollowedHyperlink_file_509"/>
    <w:basedOn w:val="162"/>
    <w:unhideWhenUsed/>
    <w:qFormat/>
    <w:uiPriority w:val="99"/>
    <w:rPr>
      <w:color w:val="0782C1"/>
      <w:u w:val="single"/>
    </w:rPr>
  </w:style>
  <w:style w:type="character" w:customStyle="1" w:styleId="284">
    <w:name w:val="标题 1 Char_file_509"/>
    <w:basedOn w:val="162"/>
    <w:link w:val="3"/>
    <w:qFormat/>
    <w:uiPriority w:val="9"/>
    <w:rPr>
      <w:rFonts w:ascii="宋体" w:hAnsi="宋体" w:eastAsia="宋体" w:cs="宋体"/>
      <w:b/>
      <w:bCs/>
      <w:kern w:val="44"/>
      <w:sz w:val="44"/>
      <w:szCs w:val="44"/>
    </w:rPr>
  </w:style>
  <w:style w:type="character" w:customStyle="1" w:styleId="285">
    <w:name w:val="标题 2 Char_file_509"/>
    <w:basedOn w:val="162"/>
    <w:link w:val="4"/>
    <w:semiHidden/>
    <w:qFormat/>
    <w:uiPriority w:val="9"/>
    <w:rPr>
      <w:rFonts w:ascii="等线 Light" w:hAnsi="等线 Light" w:eastAsia="等线 Light" w:cs="Times New Roman"/>
      <w:b/>
      <w:bCs/>
      <w:sz w:val="32"/>
      <w:szCs w:val="32"/>
    </w:rPr>
  </w:style>
  <w:style w:type="character" w:customStyle="1" w:styleId="286">
    <w:name w:val="标题 3 Char_file_509"/>
    <w:basedOn w:val="162"/>
    <w:link w:val="5"/>
    <w:semiHidden/>
    <w:qFormat/>
    <w:uiPriority w:val="9"/>
    <w:rPr>
      <w:rFonts w:ascii="宋体" w:hAnsi="宋体" w:eastAsia="宋体" w:cs="宋体"/>
      <w:b/>
      <w:bCs/>
      <w:sz w:val="32"/>
      <w:szCs w:val="32"/>
    </w:rPr>
  </w:style>
  <w:style w:type="character" w:customStyle="1" w:styleId="287">
    <w:name w:val="标题 4 Char_file_509"/>
    <w:basedOn w:val="162"/>
    <w:link w:val="6"/>
    <w:semiHidden/>
    <w:qFormat/>
    <w:uiPriority w:val="9"/>
    <w:rPr>
      <w:rFonts w:ascii="等线 Light" w:hAnsi="等线 Light" w:eastAsia="等线 Light" w:cs="Times New Roman"/>
      <w:b/>
      <w:bCs/>
      <w:sz w:val="28"/>
      <w:szCs w:val="28"/>
    </w:rPr>
  </w:style>
  <w:style w:type="character" w:customStyle="1" w:styleId="288">
    <w:name w:val="标题 5 Char_file_509"/>
    <w:basedOn w:val="162"/>
    <w:link w:val="7"/>
    <w:semiHidden/>
    <w:qFormat/>
    <w:uiPriority w:val="9"/>
    <w:rPr>
      <w:rFonts w:ascii="宋体" w:hAnsi="宋体" w:eastAsia="宋体" w:cs="宋体"/>
      <w:b/>
      <w:bCs/>
      <w:sz w:val="28"/>
      <w:szCs w:val="28"/>
    </w:rPr>
  </w:style>
  <w:style w:type="character" w:customStyle="1" w:styleId="289">
    <w:name w:val="标题 6 Char_file_509"/>
    <w:basedOn w:val="162"/>
    <w:link w:val="9"/>
    <w:semiHidden/>
    <w:qFormat/>
    <w:uiPriority w:val="9"/>
    <w:rPr>
      <w:rFonts w:ascii="等线 Light" w:hAnsi="等线 Light" w:eastAsia="等线 Light" w:cs="Times New Roman"/>
      <w:b/>
      <w:bCs/>
      <w:sz w:val="24"/>
      <w:szCs w:val="24"/>
    </w:rPr>
  </w:style>
  <w:style w:type="character" w:customStyle="1" w:styleId="290">
    <w:name w:val="标题 5 Char_file_511"/>
    <w:basedOn w:val="279"/>
    <w:link w:val="7"/>
    <w:semiHidden/>
    <w:qFormat/>
    <w:uiPriority w:val="9"/>
    <w:rPr>
      <w:rFonts w:ascii="宋体" w:hAnsi="宋体" w:eastAsia="宋体" w:cs="宋体"/>
      <w:b/>
      <w:bCs/>
      <w:sz w:val="28"/>
      <w:szCs w:val="28"/>
    </w:rPr>
  </w:style>
  <w:style w:type="character" w:customStyle="1" w:styleId="291">
    <w:name w:val="Hyperlink_file_510"/>
    <w:basedOn w:val="95"/>
    <w:unhideWhenUsed/>
    <w:qFormat/>
    <w:uiPriority w:val="99"/>
    <w:rPr>
      <w:color w:val="0782C1"/>
      <w:u w:val="single"/>
    </w:rPr>
  </w:style>
  <w:style w:type="character" w:customStyle="1" w:styleId="292">
    <w:name w:val="FollowedHyperlink_file_510"/>
    <w:basedOn w:val="95"/>
    <w:unhideWhenUsed/>
    <w:qFormat/>
    <w:uiPriority w:val="99"/>
    <w:rPr>
      <w:color w:val="0782C1"/>
      <w:u w:val="single"/>
    </w:rPr>
  </w:style>
  <w:style w:type="character" w:customStyle="1" w:styleId="293">
    <w:name w:val="标题 1 Char_file_510"/>
    <w:basedOn w:val="95"/>
    <w:link w:val="3"/>
    <w:qFormat/>
    <w:uiPriority w:val="9"/>
    <w:rPr>
      <w:rFonts w:ascii="宋体" w:hAnsi="宋体" w:eastAsia="宋体" w:cs="宋体"/>
      <w:b/>
      <w:bCs/>
      <w:kern w:val="44"/>
      <w:sz w:val="44"/>
      <w:szCs w:val="44"/>
    </w:rPr>
  </w:style>
  <w:style w:type="character" w:customStyle="1" w:styleId="294">
    <w:name w:val="标题 3 Char_file_510"/>
    <w:basedOn w:val="95"/>
    <w:link w:val="5"/>
    <w:semiHidden/>
    <w:qFormat/>
    <w:uiPriority w:val="9"/>
    <w:rPr>
      <w:rFonts w:ascii="宋体" w:hAnsi="宋体" w:eastAsia="宋体" w:cs="宋体"/>
      <w:b/>
      <w:bCs/>
      <w:sz w:val="32"/>
      <w:szCs w:val="32"/>
    </w:rPr>
  </w:style>
  <w:style w:type="character" w:customStyle="1" w:styleId="295">
    <w:name w:val="标题 5 Char_file_510"/>
    <w:basedOn w:val="95"/>
    <w:link w:val="7"/>
    <w:semiHidden/>
    <w:qFormat/>
    <w:uiPriority w:val="9"/>
    <w:rPr>
      <w:rFonts w:ascii="宋体" w:hAnsi="宋体" w:eastAsia="宋体" w:cs="宋体"/>
      <w:b/>
      <w:bCs/>
      <w:sz w:val="28"/>
      <w:szCs w:val="28"/>
    </w:rPr>
  </w:style>
  <w:style w:type="character" w:customStyle="1" w:styleId="296">
    <w:name w:val="Hyperlink_file_511"/>
    <w:basedOn w:val="279"/>
    <w:unhideWhenUsed/>
    <w:qFormat/>
    <w:uiPriority w:val="99"/>
    <w:rPr>
      <w:color w:val="0782C1"/>
      <w:u w:val="single"/>
    </w:rPr>
  </w:style>
  <w:style w:type="character" w:customStyle="1" w:styleId="297">
    <w:name w:val="FollowedHyperlink_file_511"/>
    <w:basedOn w:val="279"/>
    <w:unhideWhenUsed/>
    <w:qFormat/>
    <w:uiPriority w:val="99"/>
    <w:rPr>
      <w:color w:val="0782C1"/>
      <w:u w:val="single"/>
    </w:rPr>
  </w:style>
  <w:style w:type="character" w:customStyle="1" w:styleId="298">
    <w:name w:val="标题 2 Char_file_511"/>
    <w:basedOn w:val="279"/>
    <w:link w:val="4"/>
    <w:semiHidden/>
    <w:qFormat/>
    <w:uiPriority w:val="9"/>
    <w:rPr>
      <w:rFonts w:ascii="等线 Light" w:hAnsi="等线 Light" w:eastAsia="等线 Light" w:cs="Times New Roman"/>
      <w:b/>
      <w:bCs/>
      <w:sz w:val="32"/>
      <w:szCs w:val="32"/>
    </w:rPr>
  </w:style>
  <w:style w:type="character" w:customStyle="1" w:styleId="299">
    <w:name w:val="标题 4 Char_file_511"/>
    <w:basedOn w:val="279"/>
    <w:link w:val="6"/>
    <w:semiHidden/>
    <w:qFormat/>
    <w:uiPriority w:val="9"/>
    <w:rPr>
      <w:rFonts w:ascii="等线 Light" w:hAnsi="等线 Light" w:eastAsia="等线 Light" w:cs="Times New Roman"/>
      <w:b/>
      <w:bCs/>
      <w:sz w:val="28"/>
      <w:szCs w:val="28"/>
    </w:rPr>
  </w:style>
  <w:style w:type="character" w:customStyle="1" w:styleId="300">
    <w:name w:val="标题 6 Char_file_511"/>
    <w:basedOn w:val="279"/>
    <w:link w:val="9"/>
    <w:semiHidden/>
    <w:qFormat/>
    <w:uiPriority w:val="9"/>
    <w:rPr>
      <w:rFonts w:ascii="等线 Light" w:hAnsi="等线 Light" w:eastAsia="等线 Light" w:cs="Times New Roman"/>
      <w:b/>
      <w:bCs/>
      <w:sz w:val="24"/>
      <w:szCs w:val="24"/>
    </w:rPr>
  </w:style>
  <w:style w:type="character" w:customStyle="1" w:styleId="301">
    <w:name w:val="Hyperlink_file_520"/>
    <w:basedOn w:val="302"/>
    <w:unhideWhenUsed/>
    <w:qFormat/>
    <w:uiPriority w:val="99"/>
    <w:rPr>
      <w:color w:val="0782C1"/>
      <w:u w:val="single"/>
    </w:rPr>
  </w:style>
  <w:style w:type="character" w:customStyle="1" w:styleId="302">
    <w:name w:val="Default Paragraph Font_file_520"/>
    <w:unhideWhenUsed/>
    <w:qFormat/>
    <w:uiPriority w:val="1"/>
  </w:style>
  <w:style w:type="character" w:customStyle="1" w:styleId="303">
    <w:name w:val="Strong_file_511"/>
    <w:basedOn w:val="279"/>
    <w:qFormat/>
    <w:uiPriority w:val="22"/>
    <w:rPr>
      <w:b/>
      <w:bCs/>
    </w:rPr>
  </w:style>
  <w:style w:type="character" w:customStyle="1" w:styleId="304">
    <w:name w:val="标题 1 Char_file_520"/>
    <w:basedOn w:val="302"/>
    <w:link w:val="3"/>
    <w:qFormat/>
    <w:uiPriority w:val="9"/>
    <w:rPr>
      <w:rFonts w:ascii="宋体" w:hAnsi="宋体" w:eastAsia="宋体" w:cs="宋体"/>
      <w:b/>
      <w:bCs/>
      <w:kern w:val="44"/>
      <w:sz w:val="44"/>
      <w:szCs w:val="44"/>
    </w:rPr>
  </w:style>
  <w:style w:type="character" w:customStyle="1" w:styleId="305">
    <w:name w:val="标题 5 Char_file_521"/>
    <w:basedOn w:val="306"/>
    <w:link w:val="7"/>
    <w:semiHidden/>
    <w:qFormat/>
    <w:uiPriority w:val="9"/>
    <w:rPr>
      <w:rFonts w:ascii="宋体" w:hAnsi="宋体" w:eastAsia="宋体" w:cs="宋体"/>
      <w:b/>
      <w:bCs/>
      <w:sz w:val="28"/>
      <w:szCs w:val="28"/>
    </w:rPr>
  </w:style>
  <w:style w:type="character" w:customStyle="1" w:styleId="306">
    <w:name w:val="Default Paragraph Font_file_521"/>
    <w:unhideWhenUsed/>
    <w:qFormat/>
    <w:uiPriority w:val="1"/>
  </w:style>
  <w:style w:type="character" w:customStyle="1" w:styleId="307">
    <w:name w:val="标题 3 Char_file_520"/>
    <w:basedOn w:val="302"/>
    <w:link w:val="5"/>
    <w:semiHidden/>
    <w:qFormat/>
    <w:uiPriority w:val="9"/>
    <w:rPr>
      <w:rFonts w:ascii="宋体" w:hAnsi="宋体" w:eastAsia="宋体" w:cs="宋体"/>
      <w:b/>
      <w:bCs/>
      <w:sz w:val="32"/>
      <w:szCs w:val="32"/>
    </w:rPr>
  </w:style>
  <w:style w:type="character" w:customStyle="1" w:styleId="308">
    <w:name w:val="标题 6 Char_file_520"/>
    <w:basedOn w:val="302"/>
    <w:link w:val="9"/>
    <w:semiHidden/>
    <w:qFormat/>
    <w:uiPriority w:val="9"/>
    <w:rPr>
      <w:rFonts w:ascii="等线 Light" w:hAnsi="等线 Light" w:eastAsia="等线 Light" w:cs="Times New Roman"/>
      <w:b/>
      <w:bCs/>
      <w:sz w:val="24"/>
      <w:szCs w:val="24"/>
    </w:rPr>
  </w:style>
  <w:style w:type="character" w:customStyle="1" w:styleId="309">
    <w:name w:val="Default Paragraph Font_file_512"/>
    <w:unhideWhenUsed/>
    <w:qFormat/>
    <w:uiPriority w:val="1"/>
  </w:style>
  <w:style w:type="character" w:customStyle="1" w:styleId="310">
    <w:name w:val="Hyperlink_file_512"/>
    <w:basedOn w:val="309"/>
    <w:unhideWhenUsed/>
    <w:qFormat/>
    <w:uiPriority w:val="99"/>
    <w:rPr>
      <w:color w:val="0782C1"/>
      <w:u w:val="single"/>
    </w:rPr>
  </w:style>
  <w:style w:type="character" w:customStyle="1" w:styleId="311">
    <w:name w:val="FollowedHyperlink_file_512"/>
    <w:basedOn w:val="309"/>
    <w:unhideWhenUsed/>
    <w:qFormat/>
    <w:uiPriority w:val="99"/>
    <w:rPr>
      <w:color w:val="0782C1"/>
      <w:u w:val="single"/>
    </w:rPr>
  </w:style>
  <w:style w:type="character" w:customStyle="1" w:styleId="312">
    <w:name w:val="标题 1 Char_file_512"/>
    <w:basedOn w:val="309"/>
    <w:link w:val="3"/>
    <w:qFormat/>
    <w:uiPriority w:val="9"/>
    <w:rPr>
      <w:rFonts w:ascii="宋体" w:hAnsi="宋体" w:eastAsia="宋体" w:cs="宋体"/>
      <w:b/>
      <w:bCs/>
      <w:kern w:val="44"/>
      <w:sz w:val="44"/>
      <w:szCs w:val="44"/>
    </w:rPr>
  </w:style>
  <w:style w:type="character" w:customStyle="1" w:styleId="313">
    <w:name w:val="标题 2 Char_file_512"/>
    <w:basedOn w:val="309"/>
    <w:link w:val="4"/>
    <w:semiHidden/>
    <w:qFormat/>
    <w:uiPriority w:val="9"/>
    <w:rPr>
      <w:rFonts w:ascii="等线 Light" w:hAnsi="等线 Light" w:eastAsia="等线 Light" w:cs="Times New Roman"/>
      <w:b/>
      <w:bCs/>
      <w:sz w:val="32"/>
      <w:szCs w:val="32"/>
    </w:rPr>
  </w:style>
  <w:style w:type="character" w:customStyle="1" w:styleId="314">
    <w:name w:val="标题 3 Char_file_512"/>
    <w:basedOn w:val="309"/>
    <w:link w:val="5"/>
    <w:semiHidden/>
    <w:qFormat/>
    <w:uiPriority w:val="9"/>
    <w:rPr>
      <w:rFonts w:ascii="宋体" w:hAnsi="宋体" w:eastAsia="宋体" w:cs="宋体"/>
      <w:b/>
      <w:bCs/>
      <w:sz w:val="32"/>
      <w:szCs w:val="32"/>
    </w:rPr>
  </w:style>
  <w:style w:type="character" w:customStyle="1" w:styleId="315">
    <w:name w:val="标题 4 Char_file_512"/>
    <w:basedOn w:val="309"/>
    <w:link w:val="6"/>
    <w:semiHidden/>
    <w:qFormat/>
    <w:uiPriority w:val="9"/>
    <w:rPr>
      <w:rFonts w:ascii="等线 Light" w:hAnsi="等线 Light" w:eastAsia="等线 Light" w:cs="Times New Roman"/>
      <w:b/>
      <w:bCs/>
      <w:sz w:val="28"/>
      <w:szCs w:val="28"/>
    </w:rPr>
  </w:style>
  <w:style w:type="character" w:customStyle="1" w:styleId="316">
    <w:name w:val="标题 5 Char_file_512"/>
    <w:basedOn w:val="309"/>
    <w:link w:val="7"/>
    <w:semiHidden/>
    <w:qFormat/>
    <w:uiPriority w:val="9"/>
    <w:rPr>
      <w:rFonts w:ascii="宋体" w:hAnsi="宋体" w:eastAsia="宋体" w:cs="宋体"/>
      <w:b/>
      <w:bCs/>
      <w:sz w:val="28"/>
      <w:szCs w:val="28"/>
    </w:rPr>
  </w:style>
  <w:style w:type="character" w:customStyle="1" w:styleId="317">
    <w:name w:val="标题 6 Char_file_512"/>
    <w:basedOn w:val="309"/>
    <w:link w:val="9"/>
    <w:semiHidden/>
    <w:qFormat/>
    <w:uiPriority w:val="9"/>
    <w:rPr>
      <w:rFonts w:ascii="等线 Light" w:hAnsi="等线 Light" w:eastAsia="等线 Light" w:cs="Times New Roman"/>
      <w:b/>
      <w:bCs/>
      <w:sz w:val="24"/>
      <w:szCs w:val="24"/>
    </w:rPr>
  </w:style>
  <w:style w:type="character" w:customStyle="1" w:styleId="318">
    <w:name w:val="标题 3 Char_file_521"/>
    <w:basedOn w:val="306"/>
    <w:link w:val="5"/>
    <w:semiHidden/>
    <w:qFormat/>
    <w:uiPriority w:val="9"/>
    <w:rPr>
      <w:rFonts w:ascii="宋体" w:hAnsi="宋体" w:eastAsia="宋体" w:cs="宋体"/>
      <w:b/>
      <w:bCs/>
      <w:sz w:val="32"/>
      <w:szCs w:val="32"/>
    </w:rPr>
  </w:style>
  <w:style w:type="character" w:customStyle="1" w:styleId="319">
    <w:name w:val="Default Paragraph Font_file_513"/>
    <w:unhideWhenUsed/>
    <w:qFormat/>
    <w:uiPriority w:val="1"/>
  </w:style>
  <w:style w:type="character" w:customStyle="1" w:styleId="320">
    <w:name w:val="Hyperlink_file_513"/>
    <w:basedOn w:val="319"/>
    <w:unhideWhenUsed/>
    <w:qFormat/>
    <w:uiPriority w:val="99"/>
    <w:rPr>
      <w:color w:val="0782C1"/>
      <w:u w:val="single"/>
    </w:rPr>
  </w:style>
  <w:style w:type="character" w:customStyle="1" w:styleId="321">
    <w:name w:val="FollowedHyperlink_file_513"/>
    <w:basedOn w:val="319"/>
    <w:unhideWhenUsed/>
    <w:qFormat/>
    <w:uiPriority w:val="99"/>
    <w:rPr>
      <w:color w:val="0782C1"/>
      <w:u w:val="single"/>
    </w:rPr>
  </w:style>
  <w:style w:type="character" w:customStyle="1" w:styleId="322">
    <w:name w:val="标题 1 Char_file_513"/>
    <w:basedOn w:val="319"/>
    <w:link w:val="3"/>
    <w:qFormat/>
    <w:uiPriority w:val="9"/>
    <w:rPr>
      <w:rFonts w:ascii="宋体" w:hAnsi="宋体" w:eastAsia="宋体" w:cs="宋体"/>
      <w:b/>
      <w:bCs/>
      <w:kern w:val="44"/>
      <w:sz w:val="44"/>
      <w:szCs w:val="44"/>
    </w:rPr>
  </w:style>
  <w:style w:type="character" w:customStyle="1" w:styleId="323">
    <w:name w:val="标题 2 Char_file_513"/>
    <w:basedOn w:val="319"/>
    <w:link w:val="4"/>
    <w:semiHidden/>
    <w:qFormat/>
    <w:uiPriority w:val="9"/>
    <w:rPr>
      <w:rFonts w:ascii="等线 Light" w:hAnsi="等线 Light" w:eastAsia="等线 Light" w:cs="Times New Roman"/>
      <w:b/>
      <w:bCs/>
      <w:sz w:val="32"/>
      <w:szCs w:val="32"/>
    </w:rPr>
  </w:style>
  <w:style w:type="character" w:customStyle="1" w:styleId="324">
    <w:name w:val="标题 3 Char_file_513"/>
    <w:basedOn w:val="319"/>
    <w:link w:val="5"/>
    <w:semiHidden/>
    <w:qFormat/>
    <w:uiPriority w:val="9"/>
    <w:rPr>
      <w:rFonts w:ascii="宋体" w:hAnsi="宋体" w:eastAsia="宋体" w:cs="宋体"/>
      <w:b/>
      <w:bCs/>
      <w:sz w:val="32"/>
      <w:szCs w:val="32"/>
    </w:rPr>
  </w:style>
  <w:style w:type="character" w:customStyle="1" w:styleId="325">
    <w:name w:val="标题 4 Char_file_513"/>
    <w:basedOn w:val="319"/>
    <w:link w:val="6"/>
    <w:semiHidden/>
    <w:qFormat/>
    <w:uiPriority w:val="9"/>
    <w:rPr>
      <w:rFonts w:ascii="等线 Light" w:hAnsi="等线 Light" w:eastAsia="等线 Light" w:cs="Times New Roman"/>
      <w:b/>
      <w:bCs/>
      <w:sz w:val="28"/>
      <w:szCs w:val="28"/>
    </w:rPr>
  </w:style>
  <w:style w:type="character" w:customStyle="1" w:styleId="326">
    <w:name w:val="标题 5 Char_file_513"/>
    <w:basedOn w:val="319"/>
    <w:link w:val="7"/>
    <w:semiHidden/>
    <w:qFormat/>
    <w:uiPriority w:val="9"/>
    <w:rPr>
      <w:rFonts w:ascii="宋体" w:hAnsi="宋体" w:eastAsia="宋体" w:cs="宋体"/>
      <w:b/>
      <w:bCs/>
      <w:sz w:val="28"/>
      <w:szCs w:val="28"/>
    </w:rPr>
  </w:style>
  <w:style w:type="character" w:customStyle="1" w:styleId="327">
    <w:name w:val="标题 6 Char_file_513"/>
    <w:basedOn w:val="319"/>
    <w:link w:val="9"/>
    <w:semiHidden/>
    <w:qFormat/>
    <w:uiPriority w:val="9"/>
    <w:rPr>
      <w:rFonts w:ascii="等线 Light" w:hAnsi="等线 Light" w:eastAsia="等线 Light" w:cs="Times New Roman"/>
      <w:b/>
      <w:bCs/>
      <w:sz w:val="24"/>
      <w:szCs w:val="24"/>
    </w:rPr>
  </w:style>
  <w:style w:type="character" w:customStyle="1" w:styleId="328">
    <w:name w:val="标题 6 Char_file_522"/>
    <w:basedOn w:val="275"/>
    <w:link w:val="9"/>
    <w:semiHidden/>
    <w:qFormat/>
    <w:uiPriority w:val="9"/>
    <w:rPr>
      <w:rFonts w:ascii="等线 Light" w:hAnsi="等线 Light" w:eastAsia="等线 Light" w:cs="Times New Roman"/>
      <w:b/>
      <w:bCs/>
      <w:sz w:val="24"/>
      <w:szCs w:val="24"/>
    </w:rPr>
  </w:style>
  <w:style w:type="character" w:customStyle="1" w:styleId="329">
    <w:name w:val="Default Paragraph Font_file_514"/>
    <w:unhideWhenUsed/>
    <w:qFormat/>
    <w:uiPriority w:val="1"/>
  </w:style>
  <w:style w:type="character" w:customStyle="1" w:styleId="330">
    <w:name w:val="Hyperlink_file_514"/>
    <w:basedOn w:val="329"/>
    <w:unhideWhenUsed/>
    <w:qFormat/>
    <w:uiPriority w:val="99"/>
    <w:rPr>
      <w:color w:val="0782C1"/>
      <w:u w:val="single"/>
    </w:rPr>
  </w:style>
  <w:style w:type="character" w:customStyle="1" w:styleId="331">
    <w:name w:val="FollowedHyperlink_file_514"/>
    <w:basedOn w:val="329"/>
    <w:unhideWhenUsed/>
    <w:qFormat/>
    <w:uiPriority w:val="99"/>
    <w:rPr>
      <w:color w:val="0782C1"/>
      <w:u w:val="single"/>
    </w:rPr>
  </w:style>
  <w:style w:type="character" w:customStyle="1" w:styleId="332">
    <w:name w:val="标题 1 Char_file_514"/>
    <w:basedOn w:val="329"/>
    <w:link w:val="3"/>
    <w:qFormat/>
    <w:uiPriority w:val="9"/>
    <w:rPr>
      <w:rFonts w:ascii="宋体" w:hAnsi="宋体" w:eastAsia="宋体" w:cs="宋体"/>
      <w:b/>
      <w:bCs/>
      <w:kern w:val="44"/>
      <w:sz w:val="44"/>
      <w:szCs w:val="44"/>
    </w:rPr>
  </w:style>
  <w:style w:type="character" w:customStyle="1" w:styleId="333">
    <w:name w:val="标题 2 Char_file_514"/>
    <w:basedOn w:val="329"/>
    <w:link w:val="4"/>
    <w:semiHidden/>
    <w:qFormat/>
    <w:uiPriority w:val="9"/>
    <w:rPr>
      <w:rFonts w:ascii="等线 Light" w:hAnsi="等线 Light" w:eastAsia="等线 Light" w:cs="Times New Roman"/>
      <w:b/>
      <w:bCs/>
      <w:sz w:val="32"/>
      <w:szCs w:val="32"/>
    </w:rPr>
  </w:style>
  <w:style w:type="character" w:customStyle="1" w:styleId="334">
    <w:name w:val="标题 3 Char_file_514"/>
    <w:basedOn w:val="329"/>
    <w:link w:val="5"/>
    <w:semiHidden/>
    <w:qFormat/>
    <w:uiPriority w:val="9"/>
    <w:rPr>
      <w:rFonts w:ascii="宋体" w:hAnsi="宋体" w:eastAsia="宋体" w:cs="宋体"/>
      <w:b/>
      <w:bCs/>
      <w:sz w:val="32"/>
      <w:szCs w:val="32"/>
    </w:rPr>
  </w:style>
  <w:style w:type="character" w:customStyle="1" w:styleId="335">
    <w:name w:val="标题 4 Char_file_514"/>
    <w:basedOn w:val="329"/>
    <w:link w:val="6"/>
    <w:semiHidden/>
    <w:qFormat/>
    <w:uiPriority w:val="9"/>
    <w:rPr>
      <w:rFonts w:ascii="等线 Light" w:hAnsi="等线 Light" w:eastAsia="等线 Light" w:cs="Times New Roman"/>
      <w:b/>
      <w:bCs/>
      <w:sz w:val="28"/>
      <w:szCs w:val="28"/>
    </w:rPr>
  </w:style>
  <w:style w:type="character" w:customStyle="1" w:styleId="336">
    <w:name w:val="Strong_file_522"/>
    <w:basedOn w:val="275"/>
    <w:qFormat/>
    <w:uiPriority w:val="22"/>
    <w:rPr>
      <w:b/>
      <w:bCs/>
    </w:rPr>
  </w:style>
  <w:style w:type="character" w:customStyle="1" w:styleId="337">
    <w:name w:val="标题 5 Char_file_514"/>
    <w:basedOn w:val="329"/>
    <w:link w:val="7"/>
    <w:semiHidden/>
    <w:qFormat/>
    <w:uiPriority w:val="9"/>
    <w:rPr>
      <w:rFonts w:ascii="宋体" w:hAnsi="宋体" w:eastAsia="宋体" w:cs="宋体"/>
      <w:b/>
      <w:bCs/>
      <w:sz w:val="28"/>
      <w:szCs w:val="28"/>
    </w:rPr>
  </w:style>
  <w:style w:type="character" w:customStyle="1" w:styleId="338">
    <w:name w:val="标题 6 Char_file_514"/>
    <w:basedOn w:val="329"/>
    <w:link w:val="9"/>
    <w:semiHidden/>
    <w:qFormat/>
    <w:uiPriority w:val="9"/>
    <w:rPr>
      <w:rFonts w:ascii="等线 Light" w:hAnsi="等线 Light" w:eastAsia="等线 Light" w:cs="Times New Roman"/>
      <w:b/>
      <w:bCs/>
      <w:sz w:val="24"/>
      <w:szCs w:val="24"/>
    </w:rPr>
  </w:style>
  <w:style w:type="character" w:customStyle="1" w:styleId="339">
    <w:name w:val="Strong_file_514"/>
    <w:basedOn w:val="329"/>
    <w:qFormat/>
    <w:uiPriority w:val="22"/>
    <w:rPr>
      <w:b/>
      <w:bCs/>
    </w:rPr>
  </w:style>
  <w:style w:type="character" w:customStyle="1" w:styleId="340">
    <w:name w:val="Hyperlink_file_523"/>
    <w:basedOn w:val="341"/>
    <w:unhideWhenUsed/>
    <w:qFormat/>
    <w:uiPriority w:val="99"/>
    <w:rPr>
      <w:color w:val="0782C1"/>
      <w:u w:val="single"/>
    </w:rPr>
  </w:style>
  <w:style w:type="character" w:customStyle="1" w:styleId="341">
    <w:name w:val="Default Paragraph Font_file_523"/>
    <w:unhideWhenUsed/>
    <w:qFormat/>
    <w:uiPriority w:val="1"/>
  </w:style>
  <w:style w:type="character" w:customStyle="1" w:styleId="342">
    <w:name w:val="FollowedHyperlink_file_523"/>
    <w:basedOn w:val="341"/>
    <w:unhideWhenUsed/>
    <w:qFormat/>
    <w:uiPriority w:val="99"/>
    <w:rPr>
      <w:color w:val="0782C1"/>
      <w:u w:val="single"/>
    </w:rPr>
  </w:style>
  <w:style w:type="character" w:customStyle="1" w:styleId="343">
    <w:name w:val="标题 6 Char_file_523"/>
    <w:basedOn w:val="341"/>
    <w:link w:val="9"/>
    <w:semiHidden/>
    <w:qFormat/>
    <w:uiPriority w:val="9"/>
    <w:rPr>
      <w:rFonts w:ascii="等线 Light" w:hAnsi="等线 Light" w:eastAsia="等线 Light" w:cs="Times New Roman"/>
      <w:b/>
      <w:bCs/>
      <w:sz w:val="24"/>
      <w:szCs w:val="24"/>
    </w:rPr>
  </w:style>
  <w:style w:type="character" w:customStyle="1" w:styleId="344">
    <w:name w:val="Default Paragraph Font_file_515"/>
    <w:unhideWhenUsed/>
    <w:qFormat/>
    <w:uiPriority w:val="1"/>
  </w:style>
  <w:style w:type="character" w:customStyle="1" w:styleId="345">
    <w:name w:val="标题 3 Char_file_523"/>
    <w:basedOn w:val="341"/>
    <w:link w:val="5"/>
    <w:semiHidden/>
    <w:qFormat/>
    <w:uiPriority w:val="9"/>
    <w:rPr>
      <w:rFonts w:ascii="宋体" w:hAnsi="宋体" w:eastAsia="宋体" w:cs="宋体"/>
      <w:b/>
      <w:bCs/>
      <w:sz w:val="32"/>
      <w:szCs w:val="32"/>
    </w:rPr>
  </w:style>
  <w:style w:type="character" w:customStyle="1" w:styleId="346">
    <w:name w:val="Hyperlink_file_515"/>
    <w:basedOn w:val="344"/>
    <w:unhideWhenUsed/>
    <w:qFormat/>
    <w:uiPriority w:val="99"/>
    <w:rPr>
      <w:color w:val="0782C1"/>
      <w:u w:val="single"/>
    </w:rPr>
  </w:style>
  <w:style w:type="character" w:customStyle="1" w:styleId="347">
    <w:name w:val="FollowedHyperlink_file_515"/>
    <w:basedOn w:val="344"/>
    <w:unhideWhenUsed/>
    <w:qFormat/>
    <w:uiPriority w:val="99"/>
    <w:rPr>
      <w:color w:val="0782C1"/>
      <w:u w:val="single"/>
    </w:rPr>
  </w:style>
  <w:style w:type="character" w:customStyle="1" w:styleId="348">
    <w:name w:val="标题 1 Char_file_515"/>
    <w:basedOn w:val="344"/>
    <w:link w:val="3"/>
    <w:qFormat/>
    <w:uiPriority w:val="9"/>
    <w:rPr>
      <w:rFonts w:ascii="宋体" w:hAnsi="宋体" w:eastAsia="宋体" w:cs="宋体"/>
      <w:b/>
      <w:bCs/>
      <w:kern w:val="44"/>
      <w:sz w:val="44"/>
      <w:szCs w:val="44"/>
    </w:rPr>
  </w:style>
  <w:style w:type="character" w:customStyle="1" w:styleId="349">
    <w:name w:val="标题 2 Char_file_515"/>
    <w:basedOn w:val="344"/>
    <w:link w:val="4"/>
    <w:semiHidden/>
    <w:qFormat/>
    <w:uiPriority w:val="9"/>
    <w:rPr>
      <w:rFonts w:ascii="等线 Light" w:hAnsi="等线 Light" w:eastAsia="等线 Light" w:cs="Times New Roman"/>
      <w:b/>
      <w:bCs/>
      <w:sz w:val="32"/>
      <w:szCs w:val="32"/>
    </w:rPr>
  </w:style>
  <w:style w:type="character" w:customStyle="1" w:styleId="350">
    <w:name w:val="标题 3 Char_file_515"/>
    <w:basedOn w:val="344"/>
    <w:link w:val="5"/>
    <w:semiHidden/>
    <w:qFormat/>
    <w:uiPriority w:val="9"/>
    <w:rPr>
      <w:rFonts w:ascii="宋体" w:hAnsi="宋体" w:eastAsia="宋体" w:cs="宋体"/>
      <w:b/>
      <w:bCs/>
      <w:sz w:val="32"/>
      <w:szCs w:val="32"/>
    </w:rPr>
  </w:style>
  <w:style w:type="character" w:customStyle="1" w:styleId="351">
    <w:name w:val="标题 4 Char_file_515"/>
    <w:basedOn w:val="344"/>
    <w:link w:val="6"/>
    <w:semiHidden/>
    <w:qFormat/>
    <w:uiPriority w:val="9"/>
    <w:rPr>
      <w:rFonts w:ascii="等线 Light" w:hAnsi="等线 Light" w:eastAsia="等线 Light" w:cs="Times New Roman"/>
      <w:b/>
      <w:bCs/>
      <w:sz w:val="28"/>
      <w:szCs w:val="28"/>
    </w:rPr>
  </w:style>
  <w:style w:type="character" w:customStyle="1" w:styleId="352">
    <w:name w:val="Strong_file_523"/>
    <w:basedOn w:val="341"/>
    <w:qFormat/>
    <w:uiPriority w:val="22"/>
    <w:rPr>
      <w:b/>
      <w:bCs/>
    </w:rPr>
  </w:style>
  <w:style w:type="character" w:customStyle="1" w:styleId="353">
    <w:name w:val="标题 5 Char_file_515"/>
    <w:basedOn w:val="344"/>
    <w:link w:val="7"/>
    <w:semiHidden/>
    <w:qFormat/>
    <w:uiPriority w:val="9"/>
    <w:rPr>
      <w:rFonts w:ascii="宋体" w:hAnsi="宋体" w:eastAsia="宋体" w:cs="宋体"/>
      <w:b/>
      <w:bCs/>
      <w:sz w:val="28"/>
      <w:szCs w:val="28"/>
    </w:rPr>
  </w:style>
  <w:style w:type="character" w:customStyle="1" w:styleId="354">
    <w:name w:val="标题 6 Char_file_515"/>
    <w:basedOn w:val="344"/>
    <w:link w:val="9"/>
    <w:semiHidden/>
    <w:qFormat/>
    <w:uiPriority w:val="9"/>
    <w:rPr>
      <w:rFonts w:ascii="等线 Light" w:hAnsi="等线 Light" w:eastAsia="等线 Light" w:cs="Times New Roman"/>
      <w:b/>
      <w:bCs/>
      <w:sz w:val="24"/>
      <w:szCs w:val="24"/>
    </w:rPr>
  </w:style>
  <w:style w:type="character" w:customStyle="1" w:styleId="355">
    <w:name w:val="Strong_file_515"/>
    <w:basedOn w:val="344"/>
    <w:qFormat/>
    <w:uiPriority w:val="22"/>
    <w:rPr>
      <w:b/>
      <w:bCs/>
    </w:rPr>
  </w:style>
  <w:style w:type="character" w:customStyle="1" w:styleId="356">
    <w:name w:val="Hyperlink_file_524"/>
    <w:basedOn w:val="357"/>
    <w:unhideWhenUsed/>
    <w:qFormat/>
    <w:uiPriority w:val="99"/>
    <w:rPr>
      <w:color w:val="0782C1"/>
      <w:u w:val="single"/>
    </w:rPr>
  </w:style>
  <w:style w:type="character" w:customStyle="1" w:styleId="357">
    <w:name w:val="Default Paragraph Font_file_524"/>
    <w:unhideWhenUsed/>
    <w:qFormat/>
    <w:uiPriority w:val="1"/>
  </w:style>
  <w:style w:type="character" w:customStyle="1" w:styleId="358">
    <w:name w:val="FollowedHyperlink_file_524"/>
    <w:basedOn w:val="357"/>
    <w:unhideWhenUsed/>
    <w:qFormat/>
    <w:uiPriority w:val="99"/>
    <w:rPr>
      <w:color w:val="0782C1"/>
      <w:u w:val="single"/>
    </w:rPr>
  </w:style>
  <w:style w:type="character" w:customStyle="1" w:styleId="359">
    <w:name w:val="标题 6 Char_file_524"/>
    <w:basedOn w:val="357"/>
    <w:link w:val="9"/>
    <w:semiHidden/>
    <w:qFormat/>
    <w:uiPriority w:val="9"/>
    <w:rPr>
      <w:rFonts w:ascii="等线 Light" w:hAnsi="等线 Light" w:eastAsia="等线 Light" w:cs="Times New Roman"/>
      <w:b/>
      <w:bCs/>
      <w:sz w:val="24"/>
      <w:szCs w:val="24"/>
    </w:rPr>
  </w:style>
  <w:style w:type="character" w:customStyle="1" w:styleId="360">
    <w:name w:val="Default Paragraph Font_file_516"/>
    <w:unhideWhenUsed/>
    <w:qFormat/>
    <w:uiPriority w:val="1"/>
  </w:style>
  <w:style w:type="character" w:customStyle="1" w:styleId="361">
    <w:name w:val="标题 3 Char_file_524"/>
    <w:basedOn w:val="357"/>
    <w:link w:val="5"/>
    <w:semiHidden/>
    <w:qFormat/>
    <w:uiPriority w:val="9"/>
    <w:rPr>
      <w:rFonts w:ascii="宋体" w:hAnsi="宋体" w:eastAsia="宋体" w:cs="宋体"/>
      <w:b/>
      <w:bCs/>
      <w:sz w:val="32"/>
      <w:szCs w:val="32"/>
    </w:rPr>
  </w:style>
  <w:style w:type="character" w:customStyle="1" w:styleId="362">
    <w:name w:val="Hyperlink_file_516"/>
    <w:basedOn w:val="360"/>
    <w:unhideWhenUsed/>
    <w:qFormat/>
    <w:uiPriority w:val="99"/>
    <w:rPr>
      <w:color w:val="0782C1"/>
      <w:u w:val="single"/>
    </w:rPr>
  </w:style>
  <w:style w:type="character" w:customStyle="1" w:styleId="363">
    <w:name w:val="FollowedHyperlink_file_516"/>
    <w:basedOn w:val="360"/>
    <w:unhideWhenUsed/>
    <w:qFormat/>
    <w:uiPriority w:val="99"/>
    <w:rPr>
      <w:color w:val="0782C1"/>
      <w:u w:val="single"/>
    </w:rPr>
  </w:style>
  <w:style w:type="character" w:customStyle="1" w:styleId="364">
    <w:name w:val="标题 1 Char_file_516"/>
    <w:basedOn w:val="360"/>
    <w:link w:val="3"/>
    <w:qFormat/>
    <w:uiPriority w:val="9"/>
    <w:rPr>
      <w:rFonts w:ascii="宋体" w:hAnsi="宋体" w:eastAsia="宋体" w:cs="宋体"/>
      <w:b/>
      <w:bCs/>
      <w:kern w:val="44"/>
      <w:sz w:val="44"/>
      <w:szCs w:val="44"/>
    </w:rPr>
  </w:style>
  <w:style w:type="character" w:customStyle="1" w:styleId="365">
    <w:name w:val="标题 2 Char_file_516"/>
    <w:basedOn w:val="360"/>
    <w:link w:val="4"/>
    <w:semiHidden/>
    <w:qFormat/>
    <w:uiPriority w:val="9"/>
    <w:rPr>
      <w:rFonts w:ascii="等线 Light" w:hAnsi="等线 Light" w:eastAsia="等线 Light" w:cs="Times New Roman"/>
      <w:b/>
      <w:bCs/>
      <w:sz w:val="32"/>
      <w:szCs w:val="32"/>
    </w:rPr>
  </w:style>
  <w:style w:type="character" w:customStyle="1" w:styleId="366">
    <w:name w:val="标题 3 Char_file_516"/>
    <w:basedOn w:val="360"/>
    <w:link w:val="5"/>
    <w:semiHidden/>
    <w:qFormat/>
    <w:uiPriority w:val="9"/>
    <w:rPr>
      <w:rFonts w:ascii="宋体" w:hAnsi="宋体" w:eastAsia="宋体" w:cs="宋体"/>
      <w:b/>
      <w:bCs/>
      <w:sz w:val="32"/>
      <w:szCs w:val="32"/>
    </w:rPr>
  </w:style>
  <w:style w:type="character" w:customStyle="1" w:styleId="367">
    <w:name w:val="标题 4 Char_file_516"/>
    <w:basedOn w:val="360"/>
    <w:link w:val="6"/>
    <w:semiHidden/>
    <w:qFormat/>
    <w:uiPriority w:val="9"/>
    <w:rPr>
      <w:rFonts w:ascii="等线 Light" w:hAnsi="等线 Light" w:eastAsia="等线 Light" w:cs="Times New Roman"/>
      <w:b/>
      <w:bCs/>
      <w:sz w:val="28"/>
      <w:szCs w:val="28"/>
    </w:rPr>
  </w:style>
  <w:style w:type="character" w:customStyle="1" w:styleId="368">
    <w:name w:val="标题 5 Char_file_516"/>
    <w:basedOn w:val="360"/>
    <w:link w:val="7"/>
    <w:semiHidden/>
    <w:qFormat/>
    <w:uiPriority w:val="9"/>
    <w:rPr>
      <w:rFonts w:ascii="宋体" w:hAnsi="宋体" w:eastAsia="宋体" w:cs="宋体"/>
      <w:b/>
      <w:bCs/>
      <w:sz w:val="28"/>
      <w:szCs w:val="28"/>
    </w:rPr>
  </w:style>
  <w:style w:type="character" w:customStyle="1" w:styleId="369">
    <w:name w:val="标题 6 Char_file_516"/>
    <w:basedOn w:val="360"/>
    <w:link w:val="9"/>
    <w:semiHidden/>
    <w:qFormat/>
    <w:uiPriority w:val="9"/>
    <w:rPr>
      <w:rFonts w:ascii="等线 Light" w:hAnsi="等线 Light" w:eastAsia="等线 Light" w:cs="Times New Roman"/>
      <w:b/>
      <w:bCs/>
      <w:sz w:val="24"/>
      <w:szCs w:val="24"/>
    </w:rPr>
  </w:style>
  <w:style w:type="character" w:customStyle="1" w:styleId="370">
    <w:name w:val="Hyperlink_file_525"/>
    <w:basedOn w:val="371"/>
    <w:unhideWhenUsed/>
    <w:qFormat/>
    <w:uiPriority w:val="99"/>
    <w:rPr>
      <w:color w:val="0782C1"/>
      <w:u w:val="single"/>
    </w:rPr>
  </w:style>
  <w:style w:type="character" w:customStyle="1" w:styleId="371">
    <w:name w:val="Default Paragraph Font_file_525"/>
    <w:unhideWhenUsed/>
    <w:qFormat/>
    <w:uiPriority w:val="1"/>
  </w:style>
  <w:style w:type="character" w:customStyle="1" w:styleId="372">
    <w:name w:val="FollowedHyperlink_file_525"/>
    <w:basedOn w:val="371"/>
    <w:unhideWhenUsed/>
    <w:qFormat/>
    <w:uiPriority w:val="99"/>
    <w:rPr>
      <w:color w:val="0782C1"/>
      <w:u w:val="single"/>
    </w:rPr>
  </w:style>
  <w:style w:type="character" w:customStyle="1" w:styleId="373">
    <w:name w:val="标题 1 Char_file_525"/>
    <w:basedOn w:val="371"/>
    <w:link w:val="3"/>
    <w:qFormat/>
    <w:uiPriority w:val="9"/>
    <w:rPr>
      <w:rFonts w:ascii="宋体" w:hAnsi="宋体" w:eastAsia="宋体" w:cs="宋体"/>
      <w:b/>
      <w:bCs/>
      <w:kern w:val="44"/>
      <w:sz w:val="44"/>
      <w:szCs w:val="44"/>
    </w:rPr>
  </w:style>
  <w:style w:type="character" w:customStyle="1" w:styleId="374">
    <w:name w:val="Default Paragraph Font_file_517"/>
    <w:unhideWhenUsed/>
    <w:qFormat/>
    <w:uiPriority w:val="1"/>
  </w:style>
  <w:style w:type="character" w:customStyle="1" w:styleId="375">
    <w:name w:val="标题 3 Char_file_525"/>
    <w:basedOn w:val="371"/>
    <w:link w:val="5"/>
    <w:semiHidden/>
    <w:qFormat/>
    <w:uiPriority w:val="9"/>
    <w:rPr>
      <w:rFonts w:ascii="宋体" w:hAnsi="宋体" w:eastAsia="宋体" w:cs="宋体"/>
      <w:b/>
      <w:bCs/>
      <w:sz w:val="32"/>
      <w:szCs w:val="32"/>
    </w:rPr>
  </w:style>
  <w:style w:type="character" w:customStyle="1" w:styleId="376">
    <w:name w:val="Hyperlink_file_517"/>
    <w:basedOn w:val="374"/>
    <w:unhideWhenUsed/>
    <w:qFormat/>
    <w:uiPriority w:val="99"/>
    <w:rPr>
      <w:color w:val="0782C1"/>
      <w:u w:val="single"/>
    </w:rPr>
  </w:style>
  <w:style w:type="character" w:customStyle="1" w:styleId="377">
    <w:name w:val="FollowedHyperlink_file_517"/>
    <w:basedOn w:val="374"/>
    <w:unhideWhenUsed/>
    <w:qFormat/>
    <w:uiPriority w:val="99"/>
    <w:rPr>
      <w:color w:val="0782C1"/>
      <w:u w:val="single"/>
    </w:rPr>
  </w:style>
  <w:style w:type="character" w:customStyle="1" w:styleId="378">
    <w:name w:val="标题 1 Char_file_517"/>
    <w:basedOn w:val="374"/>
    <w:link w:val="3"/>
    <w:qFormat/>
    <w:uiPriority w:val="9"/>
    <w:rPr>
      <w:rFonts w:ascii="宋体" w:hAnsi="宋体" w:eastAsia="宋体" w:cs="宋体"/>
      <w:b/>
      <w:bCs/>
      <w:kern w:val="44"/>
      <w:sz w:val="44"/>
      <w:szCs w:val="44"/>
    </w:rPr>
  </w:style>
  <w:style w:type="character" w:customStyle="1" w:styleId="379">
    <w:name w:val="标题 2 Char_file_517"/>
    <w:basedOn w:val="374"/>
    <w:link w:val="4"/>
    <w:semiHidden/>
    <w:qFormat/>
    <w:uiPriority w:val="9"/>
    <w:rPr>
      <w:rFonts w:ascii="等线 Light" w:hAnsi="等线 Light" w:eastAsia="等线 Light" w:cs="Times New Roman"/>
      <w:b/>
      <w:bCs/>
      <w:sz w:val="32"/>
      <w:szCs w:val="32"/>
    </w:rPr>
  </w:style>
  <w:style w:type="character" w:customStyle="1" w:styleId="380">
    <w:name w:val="标题 3 Char_file_517"/>
    <w:basedOn w:val="374"/>
    <w:link w:val="5"/>
    <w:semiHidden/>
    <w:qFormat/>
    <w:uiPriority w:val="9"/>
    <w:rPr>
      <w:rFonts w:ascii="宋体" w:hAnsi="宋体" w:eastAsia="宋体" w:cs="宋体"/>
      <w:b/>
      <w:bCs/>
      <w:sz w:val="32"/>
      <w:szCs w:val="32"/>
    </w:rPr>
  </w:style>
  <w:style w:type="character" w:customStyle="1" w:styleId="381">
    <w:name w:val="标题 4 Char_file_517"/>
    <w:basedOn w:val="374"/>
    <w:link w:val="6"/>
    <w:semiHidden/>
    <w:qFormat/>
    <w:uiPriority w:val="9"/>
    <w:rPr>
      <w:rFonts w:ascii="等线 Light" w:hAnsi="等线 Light" w:eastAsia="等线 Light" w:cs="Times New Roman"/>
      <w:b/>
      <w:bCs/>
      <w:sz w:val="28"/>
      <w:szCs w:val="28"/>
    </w:rPr>
  </w:style>
  <w:style w:type="character" w:customStyle="1" w:styleId="382">
    <w:name w:val="标题 5 Char_file_524"/>
    <w:basedOn w:val="357"/>
    <w:link w:val="7"/>
    <w:semiHidden/>
    <w:qFormat/>
    <w:uiPriority w:val="9"/>
    <w:rPr>
      <w:rFonts w:ascii="宋体" w:hAnsi="宋体" w:eastAsia="宋体" w:cs="宋体"/>
      <w:b/>
      <w:bCs/>
      <w:sz w:val="28"/>
      <w:szCs w:val="28"/>
    </w:rPr>
  </w:style>
  <w:style w:type="character" w:customStyle="1" w:styleId="383">
    <w:name w:val="标题 5 Char_file_517"/>
    <w:basedOn w:val="374"/>
    <w:link w:val="7"/>
    <w:semiHidden/>
    <w:qFormat/>
    <w:uiPriority w:val="9"/>
    <w:rPr>
      <w:rFonts w:ascii="宋体" w:hAnsi="宋体" w:eastAsia="宋体" w:cs="宋体"/>
      <w:b/>
      <w:bCs/>
      <w:sz w:val="28"/>
      <w:szCs w:val="28"/>
    </w:rPr>
  </w:style>
  <w:style w:type="character" w:customStyle="1" w:styleId="384">
    <w:name w:val="标题 2 Char_file_524"/>
    <w:basedOn w:val="357"/>
    <w:link w:val="4"/>
    <w:semiHidden/>
    <w:qFormat/>
    <w:uiPriority w:val="9"/>
    <w:rPr>
      <w:rFonts w:ascii="等线 Light" w:hAnsi="等线 Light" w:eastAsia="等线 Light" w:cs="Times New Roman"/>
      <w:b/>
      <w:bCs/>
      <w:sz w:val="32"/>
      <w:szCs w:val="32"/>
    </w:rPr>
  </w:style>
  <w:style w:type="character" w:customStyle="1" w:styleId="385">
    <w:name w:val="标题 6 Char_file_517"/>
    <w:basedOn w:val="374"/>
    <w:link w:val="9"/>
    <w:semiHidden/>
    <w:qFormat/>
    <w:uiPriority w:val="9"/>
    <w:rPr>
      <w:rFonts w:ascii="等线 Light" w:hAnsi="等线 Light" w:eastAsia="等线 Light" w:cs="Times New Roman"/>
      <w:b/>
      <w:bCs/>
      <w:sz w:val="24"/>
      <w:szCs w:val="24"/>
    </w:rPr>
  </w:style>
  <w:style w:type="character" w:customStyle="1" w:styleId="386">
    <w:name w:val="标题 1 Char_file_524"/>
    <w:basedOn w:val="357"/>
    <w:link w:val="3"/>
    <w:qFormat/>
    <w:uiPriority w:val="9"/>
    <w:rPr>
      <w:rFonts w:ascii="宋体" w:hAnsi="宋体" w:eastAsia="宋体" w:cs="宋体"/>
      <w:b/>
      <w:bCs/>
      <w:kern w:val="44"/>
      <w:sz w:val="44"/>
      <w:szCs w:val="44"/>
    </w:rPr>
  </w:style>
  <w:style w:type="character" w:customStyle="1" w:styleId="387">
    <w:name w:val="Default Paragraph Font_file_518"/>
    <w:unhideWhenUsed/>
    <w:qFormat/>
    <w:uiPriority w:val="1"/>
  </w:style>
  <w:style w:type="character" w:customStyle="1" w:styleId="388">
    <w:name w:val="Hyperlink_file_518"/>
    <w:basedOn w:val="387"/>
    <w:unhideWhenUsed/>
    <w:qFormat/>
    <w:uiPriority w:val="99"/>
    <w:rPr>
      <w:color w:val="0782C1"/>
      <w:u w:val="single"/>
    </w:rPr>
  </w:style>
  <w:style w:type="character" w:customStyle="1" w:styleId="389">
    <w:name w:val="标题 2 Char_file_521"/>
    <w:basedOn w:val="306"/>
    <w:link w:val="4"/>
    <w:semiHidden/>
    <w:qFormat/>
    <w:uiPriority w:val="9"/>
    <w:rPr>
      <w:rFonts w:ascii="等线 Light" w:hAnsi="等线 Light" w:eastAsia="等线 Light" w:cs="Times New Roman"/>
      <w:b/>
      <w:bCs/>
      <w:sz w:val="32"/>
      <w:szCs w:val="32"/>
    </w:rPr>
  </w:style>
  <w:style w:type="character" w:customStyle="1" w:styleId="390">
    <w:name w:val="FollowedHyperlink_file_518"/>
    <w:basedOn w:val="387"/>
    <w:unhideWhenUsed/>
    <w:qFormat/>
    <w:uiPriority w:val="99"/>
    <w:rPr>
      <w:color w:val="0782C1"/>
      <w:u w:val="single"/>
    </w:rPr>
  </w:style>
  <w:style w:type="character" w:customStyle="1" w:styleId="391">
    <w:name w:val="标题 1 Char_file_518"/>
    <w:basedOn w:val="387"/>
    <w:link w:val="3"/>
    <w:qFormat/>
    <w:uiPriority w:val="9"/>
    <w:rPr>
      <w:rFonts w:ascii="宋体" w:hAnsi="宋体" w:eastAsia="宋体" w:cs="宋体"/>
      <w:b/>
      <w:bCs/>
      <w:kern w:val="44"/>
      <w:sz w:val="44"/>
      <w:szCs w:val="44"/>
    </w:rPr>
  </w:style>
  <w:style w:type="character" w:customStyle="1" w:styleId="392">
    <w:name w:val="标题 2 Char_file_518"/>
    <w:basedOn w:val="387"/>
    <w:link w:val="4"/>
    <w:semiHidden/>
    <w:qFormat/>
    <w:uiPriority w:val="9"/>
    <w:rPr>
      <w:rFonts w:ascii="等线 Light" w:hAnsi="等线 Light" w:eastAsia="等线 Light" w:cs="Times New Roman"/>
      <w:b/>
      <w:bCs/>
      <w:sz w:val="32"/>
      <w:szCs w:val="32"/>
    </w:rPr>
  </w:style>
  <w:style w:type="character" w:customStyle="1" w:styleId="393">
    <w:name w:val="标题 3 Char_file_518"/>
    <w:basedOn w:val="387"/>
    <w:link w:val="5"/>
    <w:semiHidden/>
    <w:qFormat/>
    <w:uiPriority w:val="9"/>
    <w:rPr>
      <w:rFonts w:ascii="宋体" w:hAnsi="宋体" w:eastAsia="宋体" w:cs="宋体"/>
      <w:b/>
      <w:bCs/>
      <w:sz w:val="32"/>
      <w:szCs w:val="32"/>
    </w:rPr>
  </w:style>
  <w:style w:type="character" w:customStyle="1" w:styleId="394">
    <w:name w:val="标题 4 Char_file_518"/>
    <w:basedOn w:val="387"/>
    <w:link w:val="6"/>
    <w:semiHidden/>
    <w:qFormat/>
    <w:uiPriority w:val="9"/>
    <w:rPr>
      <w:rFonts w:ascii="等线 Light" w:hAnsi="等线 Light" w:eastAsia="等线 Light" w:cs="Times New Roman"/>
      <w:b/>
      <w:bCs/>
      <w:sz w:val="28"/>
      <w:szCs w:val="28"/>
    </w:rPr>
  </w:style>
  <w:style w:type="character" w:customStyle="1" w:styleId="395">
    <w:name w:val="标题 5 Char_file_518"/>
    <w:basedOn w:val="387"/>
    <w:link w:val="7"/>
    <w:semiHidden/>
    <w:qFormat/>
    <w:uiPriority w:val="9"/>
    <w:rPr>
      <w:rFonts w:ascii="宋体" w:hAnsi="宋体" w:eastAsia="宋体" w:cs="宋体"/>
      <w:b/>
      <w:bCs/>
      <w:sz w:val="28"/>
      <w:szCs w:val="28"/>
    </w:rPr>
  </w:style>
  <w:style w:type="character" w:customStyle="1" w:styleId="396">
    <w:name w:val="标题 6 Char_file_518"/>
    <w:basedOn w:val="387"/>
    <w:link w:val="9"/>
    <w:semiHidden/>
    <w:qFormat/>
    <w:uiPriority w:val="9"/>
    <w:rPr>
      <w:rFonts w:ascii="等线 Light" w:hAnsi="等线 Light" w:eastAsia="等线 Light" w:cs="Times New Roman"/>
      <w:b/>
      <w:bCs/>
      <w:sz w:val="24"/>
      <w:szCs w:val="24"/>
    </w:rPr>
  </w:style>
  <w:style w:type="character" w:customStyle="1" w:styleId="397">
    <w:name w:val="FollowedHyperlink_file_522"/>
    <w:basedOn w:val="275"/>
    <w:unhideWhenUsed/>
    <w:qFormat/>
    <w:uiPriority w:val="99"/>
    <w:rPr>
      <w:color w:val="0782C1"/>
      <w:u w:val="single"/>
    </w:rPr>
  </w:style>
  <w:style w:type="character" w:customStyle="1" w:styleId="398">
    <w:name w:val="标题 1 Char_file_519"/>
    <w:basedOn w:val="271"/>
    <w:link w:val="3"/>
    <w:qFormat/>
    <w:uiPriority w:val="9"/>
    <w:rPr>
      <w:rFonts w:ascii="宋体" w:hAnsi="宋体" w:eastAsia="宋体" w:cs="宋体"/>
      <w:b/>
      <w:bCs/>
      <w:kern w:val="44"/>
      <w:sz w:val="44"/>
      <w:szCs w:val="44"/>
    </w:rPr>
  </w:style>
  <w:style w:type="character" w:customStyle="1" w:styleId="399">
    <w:name w:val="Hyperlink_file_522"/>
    <w:basedOn w:val="275"/>
    <w:unhideWhenUsed/>
    <w:qFormat/>
    <w:uiPriority w:val="99"/>
    <w:rPr>
      <w:color w:val="0782C1"/>
      <w:u w:val="single"/>
    </w:rPr>
  </w:style>
  <w:style w:type="character" w:customStyle="1" w:styleId="400">
    <w:name w:val="标题 3 Char_file_519"/>
    <w:basedOn w:val="271"/>
    <w:link w:val="5"/>
    <w:semiHidden/>
    <w:qFormat/>
    <w:uiPriority w:val="9"/>
    <w:rPr>
      <w:rFonts w:ascii="宋体" w:hAnsi="宋体" w:eastAsia="宋体" w:cs="宋体"/>
      <w:b/>
      <w:bCs/>
      <w:sz w:val="32"/>
      <w:szCs w:val="32"/>
    </w:rPr>
  </w:style>
  <w:style w:type="character" w:customStyle="1" w:styleId="401">
    <w:name w:val="标题 5 Char_file_519"/>
    <w:basedOn w:val="271"/>
    <w:link w:val="7"/>
    <w:semiHidden/>
    <w:qFormat/>
    <w:uiPriority w:val="9"/>
    <w:rPr>
      <w:rFonts w:ascii="宋体" w:hAnsi="宋体" w:eastAsia="宋体" w:cs="宋体"/>
      <w:b/>
      <w:bCs/>
      <w:sz w:val="28"/>
      <w:szCs w:val="28"/>
    </w:rPr>
  </w:style>
  <w:style w:type="character" w:customStyle="1" w:styleId="402">
    <w:name w:val="FollowedHyperlink_file_520"/>
    <w:basedOn w:val="302"/>
    <w:unhideWhenUsed/>
    <w:qFormat/>
    <w:uiPriority w:val="99"/>
    <w:rPr>
      <w:color w:val="0782C1"/>
      <w:u w:val="single"/>
    </w:rPr>
  </w:style>
  <w:style w:type="character" w:customStyle="1" w:styleId="403">
    <w:name w:val="标题 2 Char_file_520"/>
    <w:basedOn w:val="302"/>
    <w:link w:val="4"/>
    <w:semiHidden/>
    <w:qFormat/>
    <w:uiPriority w:val="9"/>
    <w:rPr>
      <w:rFonts w:ascii="等线 Light" w:hAnsi="等线 Light" w:eastAsia="等线 Light" w:cs="Times New Roman"/>
      <w:b/>
      <w:bCs/>
      <w:sz w:val="32"/>
      <w:szCs w:val="32"/>
    </w:rPr>
  </w:style>
  <w:style w:type="character" w:customStyle="1" w:styleId="404">
    <w:name w:val="标题 4 Char_file_520"/>
    <w:basedOn w:val="302"/>
    <w:link w:val="6"/>
    <w:semiHidden/>
    <w:qFormat/>
    <w:uiPriority w:val="9"/>
    <w:rPr>
      <w:rFonts w:ascii="等线 Light" w:hAnsi="等线 Light" w:eastAsia="等线 Light" w:cs="Times New Roman"/>
      <w:b/>
      <w:bCs/>
      <w:sz w:val="28"/>
      <w:szCs w:val="28"/>
    </w:rPr>
  </w:style>
  <w:style w:type="character" w:customStyle="1" w:styleId="405">
    <w:name w:val="标题 5 Char_file_520"/>
    <w:basedOn w:val="302"/>
    <w:link w:val="7"/>
    <w:semiHidden/>
    <w:qFormat/>
    <w:uiPriority w:val="9"/>
    <w:rPr>
      <w:rFonts w:ascii="宋体" w:hAnsi="宋体" w:eastAsia="宋体" w:cs="宋体"/>
      <w:b/>
      <w:bCs/>
      <w:sz w:val="28"/>
      <w:szCs w:val="28"/>
    </w:rPr>
  </w:style>
  <w:style w:type="character" w:customStyle="1" w:styleId="406">
    <w:name w:val="Hyperlink_file_521"/>
    <w:basedOn w:val="306"/>
    <w:unhideWhenUsed/>
    <w:qFormat/>
    <w:uiPriority w:val="99"/>
    <w:rPr>
      <w:color w:val="0782C1"/>
      <w:u w:val="single"/>
    </w:rPr>
  </w:style>
  <w:style w:type="character" w:customStyle="1" w:styleId="407">
    <w:name w:val="FollowedHyperlink_file_521"/>
    <w:basedOn w:val="306"/>
    <w:unhideWhenUsed/>
    <w:qFormat/>
    <w:uiPriority w:val="99"/>
    <w:rPr>
      <w:color w:val="0782C1"/>
      <w:u w:val="single"/>
    </w:rPr>
  </w:style>
  <w:style w:type="character" w:customStyle="1" w:styleId="408">
    <w:name w:val="标题 1 Char_file_521"/>
    <w:basedOn w:val="306"/>
    <w:link w:val="3"/>
    <w:qFormat/>
    <w:uiPriority w:val="9"/>
    <w:rPr>
      <w:rFonts w:ascii="宋体" w:hAnsi="宋体" w:eastAsia="宋体" w:cs="宋体"/>
      <w:b/>
      <w:bCs/>
      <w:kern w:val="44"/>
      <w:sz w:val="44"/>
      <w:szCs w:val="44"/>
    </w:rPr>
  </w:style>
  <w:style w:type="character" w:customStyle="1" w:styleId="409">
    <w:name w:val="标题 4 Char_file_521"/>
    <w:basedOn w:val="306"/>
    <w:link w:val="6"/>
    <w:semiHidden/>
    <w:qFormat/>
    <w:uiPriority w:val="9"/>
    <w:rPr>
      <w:rFonts w:ascii="等线 Light" w:hAnsi="等线 Light" w:eastAsia="等线 Light" w:cs="Times New Roman"/>
      <w:b/>
      <w:bCs/>
      <w:sz w:val="28"/>
      <w:szCs w:val="28"/>
    </w:rPr>
  </w:style>
  <w:style w:type="character" w:customStyle="1" w:styleId="410">
    <w:name w:val="标题 6 Char_file_521"/>
    <w:basedOn w:val="306"/>
    <w:link w:val="9"/>
    <w:semiHidden/>
    <w:qFormat/>
    <w:uiPriority w:val="9"/>
    <w:rPr>
      <w:rFonts w:ascii="等线 Light" w:hAnsi="等线 Light" w:eastAsia="等线 Light" w:cs="Times New Roman"/>
      <w:b/>
      <w:bCs/>
      <w:sz w:val="24"/>
      <w:szCs w:val="24"/>
    </w:rPr>
  </w:style>
  <w:style w:type="character" w:customStyle="1" w:styleId="411">
    <w:name w:val="Strong_file_521"/>
    <w:basedOn w:val="306"/>
    <w:qFormat/>
    <w:uiPriority w:val="22"/>
    <w:rPr>
      <w:b/>
      <w:bCs/>
    </w:rPr>
  </w:style>
  <w:style w:type="character" w:customStyle="1" w:styleId="412">
    <w:name w:val="标题 2 Char_file_522"/>
    <w:basedOn w:val="275"/>
    <w:link w:val="4"/>
    <w:semiHidden/>
    <w:qFormat/>
    <w:uiPriority w:val="9"/>
    <w:rPr>
      <w:rFonts w:ascii="等线 Light" w:hAnsi="等线 Light" w:eastAsia="等线 Light" w:cs="Times New Roman"/>
      <w:b/>
      <w:bCs/>
      <w:sz w:val="32"/>
      <w:szCs w:val="32"/>
    </w:rPr>
  </w:style>
  <w:style w:type="character" w:customStyle="1" w:styleId="413">
    <w:name w:val="标题 4 Char_file_522"/>
    <w:basedOn w:val="275"/>
    <w:link w:val="6"/>
    <w:semiHidden/>
    <w:qFormat/>
    <w:uiPriority w:val="9"/>
    <w:rPr>
      <w:rFonts w:ascii="等线 Light" w:hAnsi="等线 Light" w:eastAsia="等线 Light" w:cs="Times New Roman"/>
      <w:b/>
      <w:bCs/>
      <w:sz w:val="28"/>
      <w:szCs w:val="28"/>
    </w:rPr>
  </w:style>
  <w:style w:type="character" w:customStyle="1" w:styleId="414">
    <w:name w:val="标题 5 Char_file_522"/>
    <w:basedOn w:val="275"/>
    <w:link w:val="7"/>
    <w:semiHidden/>
    <w:qFormat/>
    <w:uiPriority w:val="9"/>
    <w:rPr>
      <w:rFonts w:ascii="宋体" w:hAnsi="宋体" w:eastAsia="宋体" w:cs="宋体"/>
      <w:b/>
      <w:bCs/>
      <w:sz w:val="28"/>
      <w:szCs w:val="28"/>
    </w:rPr>
  </w:style>
  <w:style w:type="character" w:customStyle="1" w:styleId="415">
    <w:name w:val="标题 1 Char_file_523"/>
    <w:basedOn w:val="341"/>
    <w:link w:val="3"/>
    <w:qFormat/>
    <w:uiPriority w:val="9"/>
    <w:rPr>
      <w:rFonts w:ascii="宋体" w:hAnsi="宋体" w:eastAsia="宋体" w:cs="宋体"/>
      <w:b/>
      <w:bCs/>
      <w:kern w:val="44"/>
      <w:sz w:val="44"/>
      <w:szCs w:val="44"/>
    </w:rPr>
  </w:style>
  <w:style w:type="character" w:customStyle="1" w:styleId="416">
    <w:name w:val="标题 2 Char_file_523"/>
    <w:basedOn w:val="341"/>
    <w:link w:val="4"/>
    <w:semiHidden/>
    <w:qFormat/>
    <w:uiPriority w:val="9"/>
    <w:rPr>
      <w:rFonts w:ascii="等线 Light" w:hAnsi="等线 Light" w:eastAsia="等线 Light" w:cs="Times New Roman"/>
      <w:b/>
      <w:bCs/>
      <w:sz w:val="32"/>
      <w:szCs w:val="32"/>
    </w:rPr>
  </w:style>
  <w:style w:type="character" w:customStyle="1" w:styleId="417">
    <w:name w:val="标题 4 Char_file_523"/>
    <w:basedOn w:val="341"/>
    <w:link w:val="6"/>
    <w:semiHidden/>
    <w:qFormat/>
    <w:uiPriority w:val="9"/>
    <w:rPr>
      <w:rFonts w:ascii="等线 Light" w:hAnsi="等线 Light" w:eastAsia="等线 Light" w:cs="Times New Roman"/>
      <w:b/>
      <w:bCs/>
      <w:sz w:val="28"/>
      <w:szCs w:val="28"/>
    </w:rPr>
  </w:style>
  <w:style w:type="character" w:customStyle="1" w:styleId="418">
    <w:name w:val="标题 5 Char_file_523"/>
    <w:basedOn w:val="341"/>
    <w:link w:val="7"/>
    <w:semiHidden/>
    <w:qFormat/>
    <w:uiPriority w:val="9"/>
    <w:rPr>
      <w:rFonts w:ascii="宋体" w:hAnsi="宋体" w:eastAsia="宋体" w:cs="宋体"/>
      <w:b/>
      <w:bCs/>
      <w:sz w:val="28"/>
      <w:szCs w:val="28"/>
    </w:rPr>
  </w:style>
  <w:style w:type="character" w:customStyle="1" w:styleId="419">
    <w:name w:val="标题 4 Char_file_524"/>
    <w:basedOn w:val="357"/>
    <w:link w:val="6"/>
    <w:semiHidden/>
    <w:qFormat/>
    <w:uiPriority w:val="9"/>
    <w:rPr>
      <w:rFonts w:ascii="等线 Light" w:hAnsi="等线 Light" w:eastAsia="等线 Light" w:cs="Times New Roman"/>
      <w:b/>
      <w:bCs/>
      <w:sz w:val="28"/>
      <w:szCs w:val="28"/>
    </w:rPr>
  </w:style>
  <w:style w:type="character" w:customStyle="1" w:styleId="420">
    <w:name w:val="标题 2 Char_file_525"/>
    <w:basedOn w:val="371"/>
    <w:link w:val="4"/>
    <w:semiHidden/>
    <w:qFormat/>
    <w:uiPriority w:val="9"/>
    <w:rPr>
      <w:rFonts w:ascii="等线 Light" w:hAnsi="等线 Light" w:eastAsia="等线 Light" w:cs="Times New Roman"/>
      <w:b/>
      <w:bCs/>
      <w:sz w:val="32"/>
      <w:szCs w:val="32"/>
    </w:rPr>
  </w:style>
  <w:style w:type="character" w:customStyle="1" w:styleId="421">
    <w:name w:val="标题 4 Char_file_525"/>
    <w:basedOn w:val="371"/>
    <w:link w:val="6"/>
    <w:semiHidden/>
    <w:qFormat/>
    <w:uiPriority w:val="9"/>
    <w:rPr>
      <w:rFonts w:ascii="等线 Light" w:hAnsi="等线 Light" w:eastAsia="等线 Light" w:cs="Times New Roman"/>
      <w:b/>
      <w:bCs/>
      <w:sz w:val="28"/>
      <w:szCs w:val="28"/>
    </w:rPr>
  </w:style>
  <w:style w:type="character" w:customStyle="1" w:styleId="422">
    <w:name w:val="标题 5 Char_file_525"/>
    <w:basedOn w:val="371"/>
    <w:link w:val="7"/>
    <w:semiHidden/>
    <w:qFormat/>
    <w:uiPriority w:val="9"/>
    <w:rPr>
      <w:rFonts w:ascii="宋体" w:hAnsi="宋体" w:eastAsia="宋体" w:cs="宋体"/>
      <w:b/>
      <w:bCs/>
      <w:sz w:val="28"/>
      <w:szCs w:val="28"/>
    </w:rPr>
  </w:style>
  <w:style w:type="character" w:customStyle="1" w:styleId="423">
    <w:name w:val="标题 6 Char_file_525"/>
    <w:basedOn w:val="371"/>
    <w:link w:val="9"/>
    <w:semiHidden/>
    <w:qFormat/>
    <w:uiPriority w:val="9"/>
    <w:rPr>
      <w:rFonts w:ascii="等线 Light" w:hAnsi="等线 Light" w:eastAsia="等线 Light" w:cs="Times New Roman"/>
      <w:b/>
      <w:bCs/>
      <w:sz w:val="24"/>
      <w:szCs w:val="24"/>
    </w:rPr>
  </w:style>
  <w:style w:type="character" w:customStyle="1" w:styleId="424">
    <w:name w:val="Default Paragraph Font_file_526"/>
    <w:unhideWhenUsed/>
    <w:qFormat/>
    <w:uiPriority w:val="1"/>
  </w:style>
  <w:style w:type="character" w:customStyle="1" w:styleId="425">
    <w:name w:val="Hyperlink_file_526"/>
    <w:basedOn w:val="424"/>
    <w:unhideWhenUsed/>
    <w:qFormat/>
    <w:uiPriority w:val="99"/>
    <w:rPr>
      <w:color w:val="0782C1"/>
      <w:u w:val="single"/>
    </w:rPr>
  </w:style>
  <w:style w:type="character" w:customStyle="1" w:styleId="426">
    <w:name w:val="FollowedHyperlink_file_526"/>
    <w:basedOn w:val="424"/>
    <w:unhideWhenUsed/>
    <w:qFormat/>
    <w:uiPriority w:val="99"/>
    <w:rPr>
      <w:color w:val="0782C1"/>
      <w:u w:val="single"/>
    </w:rPr>
  </w:style>
  <w:style w:type="character" w:customStyle="1" w:styleId="427">
    <w:name w:val="标题 1 Char_file_526"/>
    <w:basedOn w:val="424"/>
    <w:link w:val="3"/>
    <w:qFormat/>
    <w:uiPriority w:val="9"/>
    <w:rPr>
      <w:rFonts w:ascii="宋体" w:hAnsi="宋体" w:eastAsia="宋体" w:cs="宋体"/>
      <w:b/>
      <w:bCs/>
      <w:kern w:val="44"/>
      <w:sz w:val="44"/>
      <w:szCs w:val="44"/>
    </w:rPr>
  </w:style>
  <w:style w:type="character" w:customStyle="1" w:styleId="428">
    <w:name w:val="标题 2 Char_file_526"/>
    <w:basedOn w:val="424"/>
    <w:link w:val="4"/>
    <w:semiHidden/>
    <w:qFormat/>
    <w:uiPriority w:val="9"/>
    <w:rPr>
      <w:rFonts w:ascii="等线 Light" w:hAnsi="等线 Light" w:eastAsia="等线 Light" w:cs="Times New Roman"/>
      <w:b/>
      <w:bCs/>
      <w:sz w:val="32"/>
      <w:szCs w:val="32"/>
    </w:rPr>
  </w:style>
  <w:style w:type="character" w:customStyle="1" w:styleId="429">
    <w:name w:val="标题 3 Char_file_526"/>
    <w:basedOn w:val="424"/>
    <w:link w:val="5"/>
    <w:semiHidden/>
    <w:qFormat/>
    <w:uiPriority w:val="9"/>
    <w:rPr>
      <w:rFonts w:ascii="宋体" w:hAnsi="宋体" w:eastAsia="宋体" w:cs="宋体"/>
      <w:b/>
      <w:bCs/>
      <w:sz w:val="32"/>
      <w:szCs w:val="32"/>
    </w:rPr>
  </w:style>
  <w:style w:type="character" w:customStyle="1" w:styleId="430">
    <w:name w:val="标题 4 Char_file_526"/>
    <w:basedOn w:val="424"/>
    <w:link w:val="6"/>
    <w:semiHidden/>
    <w:qFormat/>
    <w:uiPriority w:val="9"/>
    <w:rPr>
      <w:rFonts w:ascii="等线 Light" w:hAnsi="等线 Light" w:eastAsia="等线 Light" w:cs="Times New Roman"/>
      <w:b/>
      <w:bCs/>
      <w:sz w:val="28"/>
      <w:szCs w:val="28"/>
    </w:rPr>
  </w:style>
  <w:style w:type="character" w:customStyle="1" w:styleId="431">
    <w:name w:val="标题 5 Char_file_526"/>
    <w:basedOn w:val="424"/>
    <w:link w:val="7"/>
    <w:semiHidden/>
    <w:qFormat/>
    <w:uiPriority w:val="9"/>
    <w:rPr>
      <w:rFonts w:ascii="宋体" w:hAnsi="宋体" w:eastAsia="宋体" w:cs="宋体"/>
      <w:b/>
      <w:bCs/>
      <w:sz w:val="28"/>
      <w:szCs w:val="28"/>
    </w:rPr>
  </w:style>
  <w:style w:type="character" w:customStyle="1" w:styleId="432">
    <w:name w:val="标题 6 Char_file_526"/>
    <w:basedOn w:val="424"/>
    <w:link w:val="9"/>
    <w:semiHidden/>
    <w:qFormat/>
    <w:uiPriority w:val="9"/>
    <w:rPr>
      <w:rFonts w:ascii="等线 Light" w:hAnsi="等线 Light" w:eastAsia="等线 Light" w:cs="Times New Roman"/>
      <w:b/>
      <w:bCs/>
      <w:sz w:val="24"/>
      <w:szCs w:val="24"/>
    </w:rPr>
  </w:style>
  <w:style w:type="character" w:customStyle="1" w:styleId="433">
    <w:name w:val="Default Paragraph Font_file_527"/>
    <w:unhideWhenUsed/>
    <w:qFormat/>
    <w:uiPriority w:val="1"/>
  </w:style>
  <w:style w:type="character" w:customStyle="1" w:styleId="434">
    <w:name w:val="Hyperlink_file_527"/>
    <w:basedOn w:val="433"/>
    <w:unhideWhenUsed/>
    <w:qFormat/>
    <w:uiPriority w:val="99"/>
    <w:rPr>
      <w:color w:val="0782C1"/>
      <w:u w:val="single"/>
    </w:rPr>
  </w:style>
  <w:style w:type="character" w:customStyle="1" w:styleId="435">
    <w:name w:val="FollowedHyperlink_file_527"/>
    <w:basedOn w:val="433"/>
    <w:unhideWhenUsed/>
    <w:qFormat/>
    <w:uiPriority w:val="99"/>
    <w:rPr>
      <w:color w:val="0782C1"/>
      <w:u w:val="single"/>
    </w:rPr>
  </w:style>
  <w:style w:type="character" w:customStyle="1" w:styleId="436">
    <w:name w:val="标题 1 Char_file_527"/>
    <w:basedOn w:val="433"/>
    <w:link w:val="3"/>
    <w:qFormat/>
    <w:uiPriority w:val="9"/>
    <w:rPr>
      <w:rFonts w:ascii="宋体" w:hAnsi="宋体" w:eastAsia="宋体" w:cs="宋体"/>
      <w:b/>
      <w:bCs/>
      <w:kern w:val="44"/>
      <w:sz w:val="44"/>
      <w:szCs w:val="44"/>
    </w:rPr>
  </w:style>
  <w:style w:type="character" w:customStyle="1" w:styleId="437">
    <w:name w:val="标题 2 Char_file_527"/>
    <w:basedOn w:val="433"/>
    <w:link w:val="4"/>
    <w:semiHidden/>
    <w:qFormat/>
    <w:uiPriority w:val="9"/>
    <w:rPr>
      <w:rFonts w:ascii="等线 Light" w:hAnsi="等线 Light" w:eastAsia="等线 Light" w:cs="Times New Roman"/>
      <w:b/>
      <w:bCs/>
      <w:sz w:val="32"/>
      <w:szCs w:val="32"/>
    </w:rPr>
  </w:style>
  <w:style w:type="character" w:customStyle="1" w:styleId="438">
    <w:name w:val="标题 3 Char_file_527"/>
    <w:basedOn w:val="433"/>
    <w:link w:val="5"/>
    <w:semiHidden/>
    <w:qFormat/>
    <w:uiPriority w:val="9"/>
    <w:rPr>
      <w:rFonts w:ascii="宋体" w:hAnsi="宋体" w:eastAsia="宋体" w:cs="宋体"/>
      <w:b/>
      <w:bCs/>
      <w:sz w:val="32"/>
      <w:szCs w:val="32"/>
    </w:rPr>
  </w:style>
  <w:style w:type="character" w:customStyle="1" w:styleId="439">
    <w:name w:val="标题 4 Char_file_527"/>
    <w:basedOn w:val="433"/>
    <w:link w:val="6"/>
    <w:semiHidden/>
    <w:qFormat/>
    <w:uiPriority w:val="9"/>
    <w:rPr>
      <w:rFonts w:ascii="等线 Light" w:hAnsi="等线 Light" w:eastAsia="等线 Light" w:cs="Times New Roman"/>
      <w:b/>
      <w:bCs/>
      <w:sz w:val="28"/>
      <w:szCs w:val="28"/>
    </w:rPr>
  </w:style>
  <w:style w:type="character" w:customStyle="1" w:styleId="440">
    <w:name w:val="标题 5 Char_file_527"/>
    <w:basedOn w:val="433"/>
    <w:link w:val="7"/>
    <w:semiHidden/>
    <w:qFormat/>
    <w:uiPriority w:val="9"/>
    <w:rPr>
      <w:rFonts w:ascii="宋体" w:hAnsi="宋体" w:eastAsia="宋体" w:cs="宋体"/>
      <w:b/>
      <w:bCs/>
      <w:sz w:val="28"/>
      <w:szCs w:val="28"/>
    </w:rPr>
  </w:style>
  <w:style w:type="character" w:customStyle="1" w:styleId="441">
    <w:name w:val="标题 6 Char_file_527"/>
    <w:basedOn w:val="433"/>
    <w:link w:val="9"/>
    <w:semiHidden/>
    <w:qFormat/>
    <w:uiPriority w:val="9"/>
    <w:rPr>
      <w:rFonts w:ascii="等线 Light" w:hAnsi="等线 Light" w:eastAsia="等线 Light" w:cs="Times New Roman"/>
      <w:b/>
      <w:bCs/>
      <w:sz w:val="24"/>
      <w:szCs w:val="24"/>
    </w:rPr>
  </w:style>
  <w:style w:type="character" w:customStyle="1" w:styleId="442">
    <w:name w:val="Strong_file_128"/>
    <w:basedOn w:val="443"/>
    <w:qFormat/>
    <w:uiPriority w:val="22"/>
    <w:rPr>
      <w:b/>
      <w:bCs/>
    </w:rPr>
  </w:style>
  <w:style w:type="character" w:customStyle="1" w:styleId="443">
    <w:name w:val="Default Paragraph Font_file_128"/>
    <w:unhideWhenUsed/>
    <w:qFormat/>
    <w:uiPriority w:val="1"/>
  </w:style>
  <w:style w:type="paragraph" w:customStyle="1" w:styleId="444">
    <w:name w:val="heading 1_file_503"/>
    <w:basedOn w:val="445"/>
    <w:qFormat/>
    <w:uiPriority w:val="9"/>
    <w:pPr>
      <w:outlineLvl w:val="0"/>
    </w:pPr>
    <w:rPr>
      <w:kern w:val="36"/>
      <w:sz w:val="48"/>
      <w:szCs w:val="48"/>
    </w:rPr>
  </w:style>
  <w:style w:type="paragraph" w:customStyle="1" w:styleId="445">
    <w:name w:val="Normal_file_5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6">
    <w:name w:val="marker_file_508"/>
    <w:basedOn w:val="447"/>
    <w:qFormat/>
    <w:uiPriority w:val="0"/>
    <w:pPr>
      <w:shd w:val="clear" w:color="auto" w:fill="FFFF00"/>
    </w:pPr>
  </w:style>
  <w:style w:type="paragraph" w:customStyle="1" w:styleId="447">
    <w:name w:val="Normal_file_5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8">
    <w:name w:val="_Style 2"/>
    <w:basedOn w:val="1"/>
    <w:qFormat/>
    <w:uiPriority w:val="0"/>
    <w:pPr>
      <w:ind w:firstLine="420" w:firstLineChars="200"/>
    </w:pPr>
  </w:style>
  <w:style w:type="paragraph" w:customStyle="1" w:styleId="449">
    <w:name w:val="heading 4_file_511"/>
    <w:basedOn w:val="450"/>
    <w:qFormat/>
    <w:uiPriority w:val="9"/>
    <w:pPr>
      <w:outlineLvl w:val="3"/>
    </w:pPr>
  </w:style>
  <w:style w:type="paragraph" w:customStyle="1" w:styleId="450">
    <w:name w:val="Normal_file_5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1">
    <w:name w:val="heading 2_file_511"/>
    <w:basedOn w:val="450"/>
    <w:qFormat/>
    <w:uiPriority w:val="9"/>
    <w:pPr>
      <w:outlineLvl w:val="1"/>
    </w:pPr>
    <w:rPr>
      <w:sz w:val="36"/>
      <w:szCs w:val="36"/>
    </w:rPr>
  </w:style>
  <w:style w:type="paragraph" w:customStyle="1" w:styleId="452">
    <w:name w:val="heading 5_file_501"/>
    <w:basedOn w:val="453"/>
    <w:qFormat/>
    <w:uiPriority w:val="9"/>
    <w:pPr>
      <w:outlineLvl w:val="4"/>
    </w:pPr>
    <w:rPr>
      <w:sz w:val="20"/>
      <w:szCs w:val="20"/>
    </w:rPr>
  </w:style>
  <w:style w:type="paragraph" w:customStyle="1" w:styleId="453">
    <w:name w:val="Normal_file_5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4">
    <w:name w:val="1."/>
    <w:basedOn w:val="1"/>
    <w:qFormat/>
    <w:uiPriority w:val="0"/>
    <w:pPr>
      <w:spacing w:line="360" w:lineRule="auto"/>
      <w:ind w:firstLine="480" w:firstLineChars="200"/>
    </w:pPr>
    <w:rPr>
      <w:rFonts w:ascii="宋体" w:hAnsi="宋体"/>
      <w:sz w:val="24"/>
    </w:rPr>
  </w:style>
  <w:style w:type="paragraph" w:customStyle="1" w:styleId="455">
    <w:name w:val="heading 1_file_500"/>
    <w:basedOn w:val="456"/>
    <w:qFormat/>
    <w:uiPriority w:val="9"/>
    <w:pPr>
      <w:outlineLvl w:val="0"/>
    </w:pPr>
    <w:rPr>
      <w:kern w:val="36"/>
      <w:sz w:val="48"/>
      <w:szCs w:val="48"/>
    </w:rPr>
  </w:style>
  <w:style w:type="paragraph" w:customStyle="1" w:styleId="456">
    <w:name w:val="Normal_file_5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7">
    <w:name w:val="Normal (Web)_file_872_file_882"/>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458">
    <w:name w:val="Char"/>
    <w:basedOn w:val="1"/>
    <w:qFormat/>
    <w:uiPriority w:val="0"/>
  </w:style>
  <w:style w:type="paragraph" w:customStyle="1" w:styleId="459">
    <w:name w:val="heading 3_file_507"/>
    <w:basedOn w:val="460"/>
    <w:qFormat/>
    <w:uiPriority w:val="9"/>
    <w:pPr>
      <w:outlineLvl w:val="2"/>
    </w:pPr>
    <w:rPr>
      <w:sz w:val="27"/>
      <w:szCs w:val="27"/>
    </w:rPr>
  </w:style>
  <w:style w:type="paragraph" w:customStyle="1" w:styleId="460">
    <w:name w:val="Normal_file_5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1">
    <w:name w:val="heading 3_file_501"/>
    <w:basedOn w:val="453"/>
    <w:qFormat/>
    <w:uiPriority w:val="9"/>
    <w:pPr>
      <w:outlineLvl w:val="2"/>
    </w:pPr>
    <w:rPr>
      <w:sz w:val="27"/>
      <w:szCs w:val="27"/>
    </w:rPr>
  </w:style>
  <w:style w:type="paragraph" w:customStyle="1" w:styleId="462">
    <w:name w:val="heading 2_file_503"/>
    <w:basedOn w:val="445"/>
    <w:qFormat/>
    <w:uiPriority w:val="9"/>
    <w:pPr>
      <w:outlineLvl w:val="1"/>
    </w:pPr>
    <w:rPr>
      <w:sz w:val="36"/>
      <w:szCs w:val="36"/>
    </w:rPr>
  </w:style>
  <w:style w:type="paragraph" w:customStyle="1" w:styleId="463">
    <w:name w:val="marker_file_502"/>
    <w:basedOn w:val="464"/>
    <w:qFormat/>
    <w:uiPriority w:val="0"/>
    <w:pPr>
      <w:shd w:val="clear" w:color="auto" w:fill="FFFF00"/>
    </w:pPr>
  </w:style>
  <w:style w:type="paragraph" w:customStyle="1" w:styleId="464">
    <w:name w:val="Normal_file_5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5">
    <w:name w:val="Normal Indent_file_496"/>
    <w:basedOn w:val="466"/>
    <w:qFormat/>
    <w:uiPriority w:val="0"/>
    <w:pPr>
      <w:spacing w:line="240" w:lineRule="atLeast"/>
      <w:ind w:left="900" w:hanging="900"/>
      <w:jc w:val="left"/>
    </w:pPr>
    <w:rPr>
      <w:rFonts w:ascii="宋体"/>
      <w:snapToGrid w:val="0"/>
      <w:kern w:val="0"/>
      <w:sz w:val="20"/>
      <w:szCs w:val="20"/>
    </w:rPr>
  </w:style>
  <w:style w:type="paragraph" w:customStyle="1" w:styleId="466">
    <w:name w:val="Normal_file_496"/>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二级条标题"/>
    <w:basedOn w:val="1"/>
    <w:next w:val="1"/>
    <w:qFormat/>
    <w:uiPriority w:val="0"/>
    <w:pPr>
      <w:widowControl/>
      <w:jc w:val="left"/>
      <w:outlineLvl w:val="3"/>
    </w:pPr>
    <w:rPr>
      <w:rFonts w:ascii="宋体" w:hAnsi="宋体"/>
      <w:color w:val="000000"/>
      <w:kern w:val="0"/>
      <w:szCs w:val="20"/>
    </w:rPr>
  </w:style>
  <w:style w:type="paragraph" w:customStyle="1" w:styleId="468">
    <w:name w:val="cke_editable_file_497"/>
    <w:basedOn w:val="469"/>
    <w:qFormat/>
    <w:uiPriority w:val="0"/>
    <w:rPr>
      <w:rFonts w:ascii="仿宋_GB2312" w:eastAsia="仿宋_GB2312"/>
    </w:rPr>
  </w:style>
  <w:style w:type="paragraph" w:customStyle="1" w:styleId="469">
    <w:name w:val="Normal_file_4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71">
    <w:name w:val="正文段"/>
    <w:basedOn w:val="1"/>
    <w:qFormat/>
    <w:uiPriority w:val="0"/>
    <w:pPr>
      <w:widowControl/>
      <w:snapToGrid w:val="0"/>
      <w:spacing w:after="156" w:afterLines="50"/>
      <w:ind w:firstLine="200" w:firstLineChars="200"/>
    </w:pPr>
    <w:rPr>
      <w:kern w:val="0"/>
      <w:sz w:val="24"/>
      <w:szCs w:val="20"/>
    </w:rPr>
  </w:style>
  <w:style w:type="paragraph" w:customStyle="1" w:styleId="472">
    <w:name w:val="默认段落字体 Para Char Char Char Char Char Char Char Char Char1 Char Char Char Char"/>
    <w:basedOn w:val="1"/>
    <w:qFormat/>
    <w:uiPriority w:val="0"/>
    <w:rPr>
      <w:rFonts w:ascii="Tahoma" w:hAnsi="Tahoma"/>
      <w:sz w:val="24"/>
      <w:szCs w:val="20"/>
    </w:rPr>
  </w:style>
  <w:style w:type="paragraph" w:customStyle="1" w:styleId="473">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474">
    <w:name w:val="Normal_file_494_file_5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5">
    <w:name w:val="五级条标题"/>
    <w:basedOn w:val="476"/>
    <w:next w:val="478"/>
    <w:qFormat/>
    <w:uiPriority w:val="0"/>
    <w:pPr>
      <w:outlineLvl w:val="6"/>
    </w:pPr>
  </w:style>
  <w:style w:type="paragraph" w:customStyle="1" w:styleId="476">
    <w:name w:val="四级条标题"/>
    <w:basedOn w:val="477"/>
    <w:next w:val="478"/>
    <w:qFormat/>
    <w:uiPriority w:val="0"/>
    <w:pPr>
      <w:outlineLvl w:val="5"/>
    </w:pPr>
  </w:style>
  <w:style w:type="paragraph" w:customStyle="1" w:styleId="477">
    <w:name w:val="三级条标题"/>
    <w:basedOn w:val="467"/>
    <w:next w:val="478"/>
    <w:qFormat/>
    <w:uiPriority w:val="0"/>
    <w:pPr>
      <w:outlineLvl w:val="4"/>
    </w:pPr>
  </w:style>
  <w:style w:type="paragraph" w:customStyle="1" w:styleId="478">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479">
    <w:name w:val="heading 2_file_501"/>
    <w:basedOn w:val="453"/>
    <w:qFormat/>
    <w:uiPriority w:val="9"/>
    <w:pPr>
      <w:outlineLvl w:val="1"/>
    </w:pPr>
    <w:rPr>
      <w:sz w:val="36"/>
      <w:szCs w:val="36"/>
    </w:rPr>
  </w:style>
  <w:style w:type="paragraph" w:customStyle="1" w:styleId="480">
    <w:name w:val="Normal_file_239_file_49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1">
    <w:name w:val="Normal (Web)_file_497"/>
    <w:basedOn w:val="469"/>
    <w:unhideWhenUsed/>
    <w:qFormat/>
    <w:uiPriority w:val="99"/>
  </w:style>
  <w:style w:type="paragraph" w:customStyle="1" w:styleId="482">
    <w:name w:val="2-2ji"/>
    <w:basedOn w:val="4"/>
    <w:qFormat/>
    <w:uiPriority w:val="0"/>
    <w:pPr>
      <w:keepLines/>
      <w:spacing w:before="0"/>
      <w:textAlignment w:val="baseline"/>
    </w:pPr>
    <w:rPr>
      <w:rFonts w:ascii="宋体" w:hAnsi="宋体" w:eastAsia="宋体"/>
      <w:sz w:val="36"/>
      <w:szCs w:val="32"/>
    </w:rPr>
  </w:style>
  <w:style w:type="paragraph" w:customStyle="1" w:styleId="483">
    <w:name w:val="Normal (Web)_file_507"/>
    <w:basedOn w:val="460"/>
    <w:unhideWhenUsed/>
    <w:qFormat/>
    <w:uiPriority w:val="99"/>
  </w:style>
  <w:style w:type="paragraph" w:customStyle="1" w:styleId="484">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5">
    <w:name w:val="heading 1_file_494_file_506"/>
    <w:basedOn w:val="474"/>
    <w:qFormat/>
    <w:uiPriority w:val="9"/>
    <w:pPr>
      <w:outlineLvl w:val="0"/>
    </w:pPr>
    <w:rPr>
      <w:kern w:val="36"/>
      <w:sz w:val="48"/>
      <w:szCs w:val="48"/>
    </w:rPr>
  </w:style>
  <w:style w:type="paragraph" w:customStyle="1" w:styleId="486">
    <w:name w:val="Plain Text_file_239_file_499"/>
    <w:basedOn w:val="480"/>
    <w:qFormat/>
    <w:uiPriority w:val="0"/>
    <w:rPr>
      <w:rFonts w:ascii="宋体" w:hAnsi="Courier New" w:cs="Courier New"/>
      <w:szCs w:val="21"/>
    </w:rPr>
  </w:style>
  <w:style w:type="paragraph" w:customStyle="1" w:styleId="487">
    <w:name w:val="Normal_file_4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8">
    <w:name w:val="表格文字"/>
    <w:basedOn w:val="1"/>
    <w:qFormat/>
    <w:uiPriority w:val="99"/>
    <w:pPr>
      <w:spacing w:before="25" w:after="25"/>
      <w:jc w:val="left"/>
    </w:pPr>
    <w:rPr>
      <w:bCs/>
      <w:spacing w:val="10"/>
      <w:kern w:val="0"/>
      <w:sz w:val="24"/>
    </w:rPr>
  </w:style>
  <w:style w:type="paragraph" w:customStyle="1" w:styleId="489">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90">
    <w:name w:val="heading 2_file_494_file_506"/>
    <w:basedOn w:val="474"/>
    <w:qFormat/>
    <w:uiPriority w:val="9"/>
    <w:pPr>
      <w:outlineLvl w:val="1"/>
    </w:pPr>
    <w:rPr>
      <w:sz w:val="36"/>
      <w:szCs w:val="36"/>
    </w:rPr>
  </w:style>
  <w:style w:type="paragraph" w:customStyle="1" w:styleId="491">
    <w:name w:val="Char Char Char Char"/>
    <w:basedOn w:val="1"/>
    <w:qFormat/>
    <w:uiPriority w:val="0"/>
  </w:style>
  <w:style w:type="paragraph" w:customStyle="1" w:styleId="492">
    <w:name w:val="heading 3_file_494_file_506"/>
    <w:basedOn w:val="474"/>
    <w:qFormat/>
    <w:uiPriority w:val="9"/>
    <w:pPr>
      <w:outlineLvl w:val="2"/>
    </w:pPr>
    <w:rPr>
      <w:sz w:val="27"/>
      <w:szCs w:val="27"/>
    </w:rPr>
  </w:style>
  <w:style w:type="paragraph" w:customStyle="1" w:styleId="493">
    <w:name w:val="heading 3_file_503"/>
    <w:basedOn w:val="445"/>
    <w:qFormat/>
    <w:uiPriority w:val="9"/>
    <w:pPr>
      <w:outlineLvl w:val="2"/>
    </w:pPr>
    <w:rPr>
      <w:sz w:val="27"/>
      <w:szCs w:val="27"/>
    </w:rPr>
  </w:style>
  <w:style w:type="paragraph" w:customStyle="1" w:styleId="494">
    <w:name w:val="cke_editable_file_502"/>
    <w:basedOn w:val="464"/>
    <w:qFormat/>
    <w:uiPriority w:val="0"/>
    <w:rPr>
      <w:rFonts w:ascii="仿宋_GB2312" w:eastAsia="仿宋_GB2312"/>
    </w:rPr>
  </w:style>
  <w:style w:type="paragraph" w:customStyle="1" w:styleId="495">
    <w:name w:val="heading 4_file_500"/>
    <w:basedOn w:val="456"/>
    <w:qFormat/>
    <w:uiPriority w:val="9"/>
    <w:pPr>
      <w:outlineLvl w:val="3"/>
    </w:pPr>
  </w:style>
  <w:style w:type="paragraph" w:customStyle="1" w:styleId="496">
    <w:name w:val="heading 1_file_498"/>
    <w:basedOn w:val="487"/>
    <w:qFormat/>
    <w:uiPriority w:val="9"/>
    <w:pPr>
      <w:outlineLvl w:val="0"/>
    </w:pPr>
    <w:rPr>
      <w:kern w:val="36"/>
      <w:sz w:val="48"/>
      <w:szCs w:val="48"/>
    </w:rPr>
  </w:style>
  <w:style w:type="paragraph" w:customStyle="1" w:styleId="49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8">
    <w:name w:val="heading 2_file_500"/>
    <w:basedOn w:val="456"/>
    <w:qFormat/>
    <w:uiPriority w:val="9"/>
    <w:pPr>
      <w:outlineLvl w:val="1"/>
    </w:pPr>
    <w:rPr>
      <w:sz w:val="36"/>
      <w:szCs w:val="36"/>
    </w:rPr>
  </w:style>
  <w:style w:type="paragraph" w:customStyle="1" w:styleId="499">
    <w:name w:val="Normal_file_495"/>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0">
    <w:name w:val="1"/>
    <w:basedOn w:val="1"/>
    <w:next w:val="26"/>
    <w:qFormat/>
    <w:uiPriority w:val="0"/>
    <w:rPr>
      <w:rFonts w:ascii="宋体" w:hAnsi="Courier New"/>
      <w:szCs w:val="20"/>
    </w:rPr>
  </w:style>
  <w:style w:type="paragraph" w:customStyle="1" w:styleId="501">
    <w:name w:val="heading 4_file_494_file_506"/>
    <w:basedOn w:val="474"/>
    <w:qFormat/>
    <w:uiPriority w:val="9"/>
    <w:pPr>
      <w:outlineLvl w:val="3"/>
    </w:pPr>
  </w:style>
  <w:style w:type="paragraph" w:customStyle="1" w:styleId="502">
    <w:name w:val="cke_editable_file_504"/>
    <w:basedOn w:val="503"/>
    <w:qFormat/>
    <w:uiPriority w:val="0"/>
    <w:rPr>
      <w:rFonts w:ascii="仿宋_GB2312" w:eastAsia="仿宋_GB2312"/>
    </w:rPr>
  </w:style>
  <w:style w:type="paragraph" w:customStyle="1" w:styleId="503">
    <w:name w:val="Normal_file_5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4">
    <w:name w:val="heading 2_file_498"/>
    <w:basedOn w:val="487"/>
    <w:qFormat/>
    <w:uiPriority w:val="9"/>
    <w:pPr>
      <w:outlineLvl w:val="1"/>
    </w:pPr>
    <w:rPr>
      <w:sz w:val="36"/>
      <w:szCs w:val="36"/>
    </w:rPr>
  </w:style>
  <w:style w:type="paragraph" w:customStyle="1" w:styleId="505">
    <w:name w:val="marker_file_504"/>
    <w:basedOn w:val="503"/>
    <w:qFormat/>
    <w:uiPriority w:val="0"/>
    <w:pPr>
      <w:shd w:val="clear" w:color="auto" w:fill="FFFF00"/>
    </w:pPr>
  </w:style>
  <w:style w:type="paragraph" w:customStyle="1" w:styleId="506">
    <w:name w:val="heading 4_file_503"/>
    <w:basedOn w:val="445"/>
    <w:qFormat/>
    <w:uiPriority w:val="9"/>
    <w:pPr>
      <w:outlineLvl w:val="3"/>
    </w:pPr>
  </w:style>
  <w:style w:type="paragraph" w:customStyle="1" w:styleId="507">
    <w:name w:val="annotation text_file_496"/>
    <w:basedOn w:val="466"/>
    <w:qFormat/>
    <w:uiPriority w:val="0"/>
    <w:pPr>
      <w:jc w:val="left"/>
    </w:pPr>
  </w:style>
  <w:style w:type="paragraph" w:customStyle="1" w:styleId="508">
    <w:name w:val="heading 1_file_495"/>
    <w:basedOn w:val="499"/>
    <w:next w:val="3"/>
    <w:qFormat/>
    <w:uiPriority w:val="0"/>
    <w:pPr>
      <w:keepNext/>
      <w:keepLines/>
      <w:spacing w:before="340" w:beforeLines="0" w:beforeAutospacing="0" w:after="330" w:afterLines="0" w:afterAutospacing="0" w:line="320" w:lineRule="exact"/>
      <w:jc w:val="center"/>
      <w:outlineLvl w:val="0"/>
    </w:pPr>
    <w:rPr>
      <w:rFonts w:ascii="Times New Roman" w:hAnsi="Times New Roman" w:eastAsia="宋体" w:cs="Times New Roman"/>
      <w:b/>
      <w:kern w:val="44"/>
      <w:sz w:val="32"/>
    </w:rPr>
  </w:style>
  <w:style w:type="paragraph" w:customStyle="1" w:styleId="509">
    <w:name w:val="一级条标题"/>
    <w:next w:val="478"/>
    <w:qFormat/>
    <w:uiPriority w:val="0"/>
    <w:pPr>
      <w:ind w:left="284"/>
      <w:outlineLvl w:val="2"/>
    </w:pPr>
    <w:rPr>
      <w:rFonts w:ascii="Times New Roman" w:hAnsi="Times New Roman" w:eastAsia="黑体" w:cs="Times New Roman"/>
      <w:sz w:val="21"/>
      <w:lang w:val="en-US" w:eastAsia="zh-CN" w:bidi="ar-SA"/>
    </w:rPr>
  </w:style>
  <w:style w:type="paragraph" w:customStyle="1" w:styleId="510">
    <w:name w:val="heading 5_file_494_file_506"/>
    <w:basedOn w:val="474"/>
    <w:qFormat/>
    <w:uiPriority w:val="9"/>
    <w:pPr>
      <w:outlineLvl w:val="4"/>
    </w:pPr>
    <w:rPr>
      <w:sz w:val="20"/>
      <w:szCs w:val="20"/>
    </w:rPr>
  </w:style>
  <w:style w:type="paragraph" w:customStyle="1" w:styleId="511">
    <w:name w:val="heading 3_file_500"/>
    <w:basedOn w:val="456"/>
    <w:qFormat/>
    <w:uiPriority w:val="9"/>
    <w:pPr>
      <w:outlineLvl w:val="2"/>
    </w:pPr>
    <w:rPr>
      <w:sz w:val="27"/>
      <w:szCs w:val="27"/>
    </w:rPr>
  </w:style>
  <w:style w:type="paragraph" w:customStyle="1" w:styleId="512">
    <w:name w:val="Body Text_file_496"/>
    <w:basedOn w:val="466"/>
    <w:next w:val="3"/>
    <w:qFormat/>
    <w:uiPriority w:val="0"/>
    <w:pPr>
      <w:spacing w:after="120" w:afterLines="0" w:afterAutospacing="0"/>
      <w:jc w:val="left"/>
    </w:pPr>
    <w:rPr>
      <w:rFonts w:ascii="Arial" w:hAnsi="Arial" w:eastAsia="宋体" w:cs="Times New Roman"/>
      <w:sz w:val="24"/>
    </w:rPr>
  </w:style>
  <w:style w:type="paragraph" w:customStyle="1" w:styleId="513">
    <w:name w:val="heading 5_file_496"/>
    <w:basedOn w:val="466"/>
    <w:next w:val="9"/>
    <w:qFormat/>
    <w:uiPriority w:val="0"/>
    <w:pPr>
      <w:keepNext/>
      <w:keepLines/>
      <w:numPr>
        <w:ilvl w:val="4"/>
        <w:numId w:val="1"/>
      </w:numPr>
      <w:spacing w:before="280" w:after="290" w:line="376" w:lineRule="auto"/>
      <w:outlineLvl w:val="4"/>
    </w:pPr>
    <w:rPr>
      <w:b/>
      <w:sz w:val="28"/>
    </w:rPr>
  </w:style>
  <w:style w:type="paragraph" w:customStyle="1" w:styleId="514">
    <w:name w:val="表格"/>
    <w:basedOn w:val="1"/>
    <w:qFormat/>
    <w:uiPriority w:val="0"/>
    <w:pPr>
      <w:spacing w:line="400" w:lineRule="exact"/>
    </w:pPr>
    <w:rPr>
      <w:sz w:val="24"/>
    </w:rPr>
  </w:style>
  <w:style w:type="paragraph" w:customStyle="1" w:styleId="515">
    <w:name w:val="heading 3_file_498"/>
    <w:basedOn w:val="487"/>
    <w:qFormat/>
    <w:uiPriority w:val="9"/>
    <w:pPr>
      <w:outlineLvl w:val="2"/>
    </w:pPr>
    <w:rPr>
      <w:sz w:val="27"/>
      <w:szCs w:val="27"/>
    </w:rPr>
  </w:style>
  <w:style w:type="paragraph" w:customStyle="1" w:styleId="516">
    <w:name w:val="footer_file_496"/>
    <w:basedOn w:val="466"/>
    <w:qFormat/>
    <w:uiPriority w:val="0"/>
    <w:pPr>
      <w:tabs>
        <w:tab w:val="center" w:pos="4153"/>
        <w:tab w:val="right" w:pos="8306"/>
      </w:tabs>
      <w:snapToGrid w:val="0"/>
      <w:jc w:val="left"/>
    </w:pPr>
    <w:rPr>
      <w:sz w:val="18"/>
    </w:rPr>
  </w:style>
  <w:style w:type="paragraph" w:customStyle="1" w:styleId="517">
    <w:name w:val="heading 2_file_495"/>
    <w:basedOn w:val="499"/>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518">
    <w:name w:val="Char Char Char Char1"/>
    <w:basedOn w:val="1"/>
    <w:qFormat/>
    <w:uiPriority w:val="0"/>
  </w:style>
  <w:style w:type="paragraph" w:customStyle="1" w:styleId="519">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520">
    <w:name w:val="heading 6_file_494_file_506"/>
    <w:basedOn w:val="474"/>
    <w:qFormat/>
    <w:uiPriority w:val="9"/>
    <w:pPr>
      <w:outlineLvl w:val="5"/>
    </w:pPr>
    <w:rPr>
      <w:sz w:val="15"/>
      <w:szCs w:val="15"/>
    </w:rPr>
  </w:style>
  <w:style w:type="paragraph" w:customStyle="1" w:styleId="521">
    <w:name w:val="heading 5_file_503"/>
    <w:basedOn w:val="445"/>
    <w:qFormat/>
    <w:uiPriority w:val="9"/>
    <w:pPr>
      <w:outlineLvl w:val="4"/>
    </w:pPr>
    <w:rPr>
      <w:sz w:val="20"/>
      <w:szCs w:val="20"/>
    </w:rPr>
  </w:style>
  <w:style w:type="paragraph" w:customStyle="1" w:styleId="522">
    <w:name w:val="cke_editable_file_501"/>
    <w:basedOn w:val="453"/>
    <w:qFormat/>
    <w:uiPriority w:val="0"/>
    <w:rPr>
      <w:rFonts w:ascii="仿宋_GB2312" w:eastAsia="仿宋_GB2312"/>
    </w:rPr>
  </w:style>
  <w:style w:type="paragraph" w:customStyle="1" w:styleId="523">
    <w:name w:val="列表段落1"/>
    <w:basedOn w:val="1"/>
    <w:qFormat/>
    <w:uiPriority w:val="0"/>
    <w:pPr>
      <w:ind w:firstLine="420" w:firstLineChars="200"/>
    </w:pPr>
    <w:rPr>
      <w:rFonts w:ascii="Calibri" w:hAnsi="Calibri"/>
      <w:szCs w:val="22"/>
    </w:rPr>
  </w:style>
  <w:style w:type="paragraph" w:customStyle="1" w:styleId="524">
    <w:name w:val="Normal (Web)_file_504"/>
    <w:basedOn w:val="503"/>
    <w:unhideWhenUsed/>
    <w:qFormat/>
    <w:uiPriority w:val="99"/>
  </w:style>
  <w:style w:type="paragraph" w:customStyle="1" w:styleId="525">
    <w:name w:val="marker_file_501"/>
    <w:basedOn w:val="453"/>
    <w:qFormat/>
    <w:uiPriority w:val="0"/>
    <w:pPr>
      <w:shd w:val="clear" w:color="auto" w:fill="FFFF00"/>
    </w:pPr>
  </w:style>
  <w:style w:type="paragraph" w:customStyle="1" w:styleId="526">
    <w:name w:val="heading 1_file_501"/>
    <w:basedOn w:val="453"/>
    <w:qFormat/>
    <w:uiPriority w:val="9"/>
    <w:pPr>
      <w:outlineLvl w:val="0"/>
    </w:pPr>
    <w:rPr>
      <w:kern w:val="36"/>
      <w:sz w:val="48"/>
      <w:szCs w:val="48"/>
    </w:rPr>
  </w:style>
  <w:style w:type="paragraph" w:customStyle="1" w:styleId="527">
    <w:name w:val="Normal (Web)_file_500"/>
    <w:basedOn w:val="456"/>
    <w:unhideWhenUsed/>
    <w:qFormat/>
    <w:uiPriority w:val="99"/>
  </w:style>
  <w:style w:type="paragraph" w:customStyle="1" w:styleId="52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9">
    <w:name w:val="Normal_file_5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0">
    <w:name w:val="heading 6_file_503"/>
    <w:basedOn w:val="445"/>
    <w:qFormat/>
    <w:uiPriority w:val="9"/>
    <w:pPr>
      <w:outlineLvl w:val="5"/>
    </w:pPr>
    <w:rPr>
      <w:sz w:val="15"/>
      <w:szCs w:val="15"/>
    </w:rPr>
  </w:style>
  <w:style w:type="paragraph" w:customStyle="1" w:styleId="531">
    <w:name w:val="header_file_496"/>
    <w:basedOn w:val="46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32">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3">
    <w:name w:val="cke_editable_file_507"/>
    <w:basedOn w:val="460"/>
    <w:qFormat/>
    <w:uiPriority w:val="0"/>
    <w:rPr>
      <w:rFonts w:ascii="仿宋_GB2312" w:eastAsia="仿宋_GB2312"/>
    </w:rPr>
  </w:style>
  <w:style w:type="paragraph" w:customStyle="1" w:styleId="534">
    <w:name w:val="Normal (Web)_file_501"/>
    <w:basedOn w:val="453"/>
    <w:unhideWhenUsed/>
    <w:qFormat/>
    <w:uiPriority w:val="99"/>
  </w:style>
  <w:style w:type="paragraph" w:customStyle="1" w:styleId="535">
    <w:name w:val="heading 5_file_498"/>
    <w:basedOn w:val="487"/>
    <w:qFormat/>
    <w:uiPriority w:val="9"/>
    <w:pPr>
      <w:outlineLvl w:val="4"/>
    </w:pPr>
    <w:rPr>
      <w:sz w:val="20"/>
      <w:szCs w:val="20"/>
    </w:rPr>
  </w:style>
  <w:style w:type="paragraph" w:customStyle="1" w:styleId="536">
    <w:name w:val="heading 6_file_495"/>
    <w:basedOn w:val="499"/>
    <w:next w:val="3"/>
    <w:qFormat/>
    <w:uiPriority w:val="0"/>
    <w:pPr>
      <w:keepNext/>
      <w:keepLines/>
      <w:numPr>
        <w:ilvl w:val="5"/>
        <w:numId w:val="2"/>
      </w:numPr>
      <w:tabs>
        <w:tab w:val="left" w:pos="312"/>
      </w:tabs>
      <w:spacing w:before="240" w:after="64" w:line="320" w:lineRule="auto"/>
      <w:outlineLvl w:val="5"/>
    </w:pPr>
    <w:rPr>
      <w:rFonts w:ascii="Arial" w:hAnsi="Arial" w:eastAsia="黑体"/>
      <w:b/>
      <w:sz w:val="24"/>
    </w:rPr>
  </w:style>
  <w:style w:type="paragraph" w:customStyle="1" w:styleId="537">
    <w:name w:val="正文首行缩进两字符"/>
    <w:basedOn w:val="1"/>
    <w:qFormat/>
    <w:uiPriority w:val="0"/>
    <w:pPr>
      <w:spacing w:line="360" w:lineRule="auto"/>
      <w:ind w:firstLine="200" w:firstLineChars="200"/>
    </w:pPr>
  </w:style>
  <w:style w:type="paragraph" w:customStyle="1" w:styleId="538">
    <w:name w:val="Body Text First Indent 2_file_108_file_496"/>
    <w:basedOn w:val="539"/>
    <w:qFormat/>
    <w:uiPriority w:val="0"/>
    <w:pPr>
      <w:ind w:firstLine="420"/>
    </w:pPr>
  </w:style>
  <w:style w:type="paragraph" w:customStyle="1" w:styleId="539">
    <w:name w:val="Body Text Indent_file_108_file_496"/>
    <w:basedOn w:val="540"/>
    <w:next w:val="7"/>
    <w:qFormat/>
    <w:uiPriority w:val="0"/>
    <w:pPr>
      <w:ind w:firstLine="630"/>
    </w:pPr>
    <w:rPr>
      <w:sz w:val="32"/>
      <w:szCs w:val="20"/>
    </w:rPr>
  </w:style>
  <w:style w:type="paragraph" w:customStyle="1" w:styleId="540">
    <w:name w:val="Normal_file_108_file_496"/>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1">
    <w:name w:val="p0"/>
    <w:basedOn w:val="1"/>
    <w:qFormat/>
    <w:uiPriority w:val="0"/>
    <w:pPr>
      <w:widowControl/>
    </w:pPr>
    <w:rPr>
      <w:kern w:val="0"/>
      <w:szCs w:val="21"/>
    </w:rPr>
  </w:style>
  <w:style w:type="paragraph" w:customStyle="1" w:styleId="542">
    <w:name w:val="heading 1_file_505"/>
    <w:basedOn w:val="529"/>
    <w:qFormat/>
    <w:uiPriority w:val="9"/>
    <w:pPr>
      <w:outlineLvl w:val="0"/>
    </w:pPr>
    <w:rPr>
      <w:kern w:val="36"/>
      <w:sz w:val="48"/>
      <w:szCs w:val="48"/>
    </w:rPr>
  </w:style>
  <w:style w:type="paragraph" w:customStyle="1" w:styleId="543">
    <w:name w:val="heading 2_file_496"/>
    <w:basedOn w:val="466"/>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544">
    <w:name w:val="pa-3"/>
    <w:basedOn w:val="1"/>
    <w:qFormat/>
    <w:uiPriority w:val="0"/>
    <w:pPr>
      <w:widowControl/>
      <w:spacing w:line="240" w:lineRule="atLeast"/>
    </w:pPr>
    <w:rPr>
      <w:rFonts w:ascii="宋体" w:hAnsi="宋体" w:cs="宋体"/>
      <w:kern w:val="0"/>
      <w:sz w:val="24"/>
    </w:rPr>
  </w:style>
  <w:style w:type="paragraph" w:customStyle="1" w:styleId="545">
    <w:name w:val="heading 6_file_498"/>
    <w:basedOn w:val="487"/>
    <w:qFormat/>
    <w:uiPriority w:val="9"/>
    <w:pPr>
      <w:outlineLvl w:val="5"/>
    </w:pPr>
    <w:rPr>
      <w:sz w:val="15"/>
      <w:szCs w:val="15"/>
    </w:rPr>
  </w:style>
  <w:style w:type="paragraph" w:customStyle="1" w:styleId="546">
    <w:name w:val="_Style 3_file_495"/>
    <w:basedOn w:val="508"/>
    <w:next w:val="3"/>
    <w:qFormat/>
    <w:uiPriority w:val="39"/>
    <w:pPr>
      <w:tabs>
        <w:tab w:val="left" w:pos="1440"/>
      </w:tabs>
      <w:spacing w:before="480" w:after="0" w:line="276" w:lineRule="auto"/>
      <w:outlineLvl w:val="9"/>
    </w:pPr>
    <w:rPr>
      <w:rFonts w:ascii="仿宋" w:hAnsi="仿宋" w:eastAsia="仿宋"/>
      <w:color w:val="000000"/>
      <w:kern w:val="0"/>
      <w:sz w:val="32"/>
      <w:szCs w:val="32"/>
    </w:rPr>
  </w:style>
  <w:style w:type="paragraph" w:customStyle="1" w:styleId="547">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548">
    <w:name w:val="heading 3_file_508"/>
    <w:basedOn w:val="447"/>
    <w:qFormat/>
    <w:uiPriority w:val="9"/>
    <w:pPr>
      <w:outlineLvl w:val="2"/>
    </w:pPr>
    <w:rPr>
      <w:sz w:val="27"/>
      <w:szCs w:val="27"/>
    </w:rPr>
  </w:style>
  <w:style w:type="paragraph" w:customStyle="1" w:styleId="549">
    <w:name w:val="heading 2_file_505"/>
    <w:basedOn w:val="529"/>
    <w:qFormat/>
    <w:uiPriority w:val="9"/>
    <w:pPr>
      <w:outlineLvl w:val="1"/>
    </w:pPr>
    <w:rPr>
      <w:sz w:val="36"/>
      <w:szCs w:val="36"/>
    </w:rPr>
  </w:style>
  <w:style w:type="paragraph" w:customStyle="1" w:styleId="550">
    <w:name w:val="规范正文"/>
    <w:basedOn w:val="1"/>
    <w:qFormat/>
    <w:uiPriority w:val="0"/>
    <w:pPr>
      <w:adjustRightInd w:val="0"/>
      <w:spacing w:line="360" w:lineRule="auto"/>
      <w:ind w:left="480"/>
      <w:textAlignment w:val="baseline"/>
    </w:pPr>
    <w:rPr>
      <w:kern w:val="0"/>
      <w:sz w:val="24"/>
      <w:szCs w:val="20"/>
    </w:rPr>
  </w:style>
  <w:style w:type="paragraph" w:customStyle="1" w:styleId="551">
    <w:name w:val="heading 6_file_507"/>
    <w:basedOn w:val="460"/>
    <w:qFormat/>
    <w:uiPriority w:val="9"/>
    <w:pPr>
      <w:outlineLvl w:val="5"/>
    </w:pPr>
    <w:rPr>
      <w:sz w:val="15"/>
      <w:szCs w:val="15"/>
    </w:rPr>
  </w:style>
  <w:style w:type="paragraph" w:customStyle="1" w:styleId="552">
    <w:name w:val="heading 1_file_502"/>
    <w:basedOn w:val="464"/>
    <w:qFormat/>
    <w:uiPriority w:val="9"/>
    <w:pPr>
      <w:outlineLvl w:val="0"/>
    </w:pPr>
    <w:rPr>
      <w:kern w:val="36"/>
      <w:sz w:val="48"/>
      <w:szCs w:val="48"/>
    </w:rPr>
  </w:style>
  <w:style w:type="paragraph" w:customStyle="1" w:styleId="553">
    <w:name w:val="about_main1"/>
    <w:basedOn w:val="1"/>
    <w:qFormat/>
    <w:uiPriority w:val="0"/>
    <w:pPr>
      <w:widowControl/>
      <w:spacing w:before="30" w:after="100" w:afterAutospacing="1"/>
      <w:jc w:val="left"/>
    </w:pPr>
    <w:rPr>
      <w:rFonts w:ascii="宋体" w:hAnsi="宋体" w:cs="宋体"/>
      <w:kern w:val="0"/>
      <w:sz w:val="24"/>
    </w:rPr>
  </w:style>
  <w:style w:type="paragraph" w:customStyle="1" w:styleId="554">
    <w:name w:val="列出段落1"/>
    <w:basedOn w:val="1"/>
    <w:qFormat/>
    <w:uiPriority w:val="0"/>
    <w:pPr>
      <w:ind w:firstLine="420" w:firstLineChars="200"/>
    </w:pPr>
    <w:rPr>
      <w:rFonts w:ascii="Calibri" w:hAnsi="Calibri"/>
      <w:szCs w:val="22"/>
    </w:rPr>
  </w:style>
  <w:style w:type="paragraph" w:customStyle="1" w:styleId="555">
    <w:name w:val="heading 3_file_505"/>
    <w:basedOn w:val="529"/>
    <w:qFormat/>
    <w:uiPriority w:val="9"/>
    <w:pPr>
      <w:outlineLvl w:val="2"/>
    </w:pPr>
    <w:rPr>
      <w:sz w:val="27"/>
      <w:szCs w:val="27"/>
    </w:rPr>
  </w:style>
  <w:style w:type="paragraph" w:customStyle="1" w:styleId="556">
    <w:name w:val="heading 2_file_502"/>
    <w:basedOn w:val="464"/>
    <w:qFormat/>
    <w:uiPriority w:val="9"/>
    <w:pPr>
      <w:outlineLvl w:val="1"/>
    </w:pPr>
    <w:rPr>
      <w:sz w:val="36"/>
      <w:szCs w:val="36"/>
    </w:rPr>
  </w:style>
  <w:style w:type="paragraph" w:customStyle="1" w:styleId="557">
    <w:name w:val="Normal Indent_file_495"/>
    <w:basedOn w:val="499"/>
    <w:qFormat/>
    <w:uiPriority w:val="0"/>
    <w:pPr>
      <w:spacing w:line="240" w:lineRule="atLeast"/>
      <w:ind w:left="900" w:hanging="900"/>
      <w:jc w:val="left"/>
    </w:pPr>
    <w:rPr>
      <w:rFonts w:ascii="宋体"/>
      <w:snapToGrid w:val="0"/>
      <w:kern w:val="0"/>
      <w:sz w:val="20"/>
      <w:szCs w:val="20"/>
    </w:rPr>
  </w:style>
  <w:style w:type="paragraph" w:customStyle="1" w:styleId="558">
    <w:name w:val="marker_file_510"/>
    <w:basedOn w:val="559"/>
    <w:qFormat/>
    <w:uiPriority w:val="0"/>
    <w:pPr>
      <w:shd w:val="clear" w:color="auto" w:fill="FFFF00"/>
    </w:pPr>
  </w:style>
  <w:style w:type="paragraph" w:customStyle="1" w:styleId="559">
    <w:name w:val="Normal_file_5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0">
    <w:name w:val="pa-2"/>
    <w:basedOn w:val="1"/>
    <w:qFormat/>
    <w:uiPriority w:val="0"/>
    <w:pPr>
      <w:widowControl/>
      <w:spacing w:line="280" w:lineRule="atLeast"/>
      <w:ind w:firstLine="420"/>
    </w:pPr>
    <w:rPr>
      <w:rFonts w:ascii="宋体" w:hAnsi="宋体" w:cs="宋体"/>
      <w:kern w:val="0"/>
      <w:sz w:val="24"/>
    </w:rPr>
  </w:style>
  <w:style w:type="paragraph" w:customStyle="1" w:styleId="561">
    <w:name w:val="heading 1_file_511"/>
    <w:basedOn w:val="450"/>
    <w:qFormat/>
    <w:uiPriority w:val="9"/>
    <w:pPr>
      <w:outlineLvl w:val="0"/>
    </w:pPr>
    <w:rPr>
      <w:kern w:val="36"/>
      <w:sz w:val="48"/>
      <w:szCs w:val="48"/>
    </w:rPr>
  </w:style>
  <w:style w:type="paragraph" w:customStyle="1" w:styleId="562">
    <w:name w:val="footer_file_108_file_496"/>
    <w:basedOn w:val="540"/>
    <w:qFormat/>
    <w:uiPriority w:val="99"/>
    <w:pPr>
      <w:tabs>
        <w:tab w:val="center" w:pos="4153"/>
        <w:tab w:val="right" w:pos="8306"/>
      </w:tabs>
      <w:snapToGrid w:val="0"/>
      <w:jc w:val="left"/>
    </w:pPr>
    <w:rPr>
      <w:sz w:val="18"/>
      <w:szCs w:val="18"/>
    </w:rPr>
  </w:style>
  <w:style w:type="paragraph" w:customStyle="1" w:styleId="563">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564">
    <w:name w:val="heading 4_file_505"/>
    <w:basedOn w:val="529"/>
    <w:qFormat/>
    <w:uiPriority w:val="9"/>
    <w:pPr>
      <w:outlineLvl w:val="3"/>
    </w:pPr>
  </w:style>
  <w:style w:type="paragraph" w:customStyle="1" w:styleId="565">
    <w:name w:val="heading 1_file_496"/>
    <w:basedOn w:val="466"/>
    <w:next w:val="3"/>
    <w:qFormat/>
    <w:uiPriority w:val="0"/>
    <w:pPr>
      <w:keepNext/>
      <w:keepLines/>
      <w:spacing w:before="340" w:beforeLines="0" w:beforeAutospacing="0" w:after="330" w:afterLines="0" w:afterAutospacing="0" w:line="320" w:lineRule="exact"/>
      <w:jc w:val="center"/>
      <w:outlineLvl w:val="0"/>
    </w:pPr>
    <w:rPr>
      <w:rFonts w:ascii="Times New Roman" w:hAnsi="Times New Roman" w:eastAsia="宋体" w:cs="Times New Roman"/>
      <w:b/>
      <w:kern w:val="44"/>
      <w:sz w:val="32"/>
    </w:rPr>
  </w:style>
  <w:style w:type="paragraph" w:customStyle="1" w:styleId="566">
    <w:name w:val="cke_editable_file_510"/>
    <w:basedOn w:val="559"/>
    <w:qFormat/>
    <w:uiPriority w:val="0"/>
    <w:rPr>
      <w:rFonts w:ascii="仿宋_GB2312" w:eastAsia="仿宋_GB2312"/>
    </w:rPr>
  </w:style>
  <w:style w:type="paragraph" w:customStyle="1" w:styleId="567">
    <w:name w:val="Char1"/>
    <w:basedOn w:val="16"/>
    <w:qFormat/>
    <w:uiPriority w:val="0"/>
    <w:pPr>
      <w:widowControl/>
      <w:ind w:firstLine="454"/>
      <w:jc w:val="left"/>
    </w:pPr>
    <w:rPr>
      <w:rFonts w:ascii="Tahoma" w:hAnsi="Tahoma" w:cs="宋体"/>
      <w:kern w:val="0"/>
      <w:sz w:val="24"/>
      <w:szCs w:val="20"/>
    </w:rPr>
  </w:style>
  <w:style w:type="paragraph" w:customStyle="1" w:styleId="568">
    <w:name w:val="heading 3_file_502"/>
    <w:basedOn w:val="464"/>
    <w:qFormat/>
    <w:uiPriority w:val="9"/>
    <w:pPr>
      <w:outlineLvl w:val="2"/>
    </w:pPr>
    <w:rPr>
      <w:sz w:val="27"/>
      <w:szCs w:val="27"/>
    </w:rPr>
  </w:style>
  <w:style w:type="paragraph" w:customStyle="1" w:styleId="569">
    <w:name w:val="pa-5"/>
    <w:basedOn w:val="1"/>
    <w:qFormat/>
    <w:uiPriority w:val="0"/>
    <w:pPr>
      <w:widowControl/>
      <w:spacing w:line="240" w:lineRule="atLeast"/>
      <w:ind w:firstLine="420"/>
    </w:pPr>
    <w:rPr>
      <w:rFonts w:ascii="宋体" w:hAnsi="宋体" w:cs="宋体"/>
      <w:kern w:val="0"/>
      <w:sz w:val="24"/>
    </w:rPr>
  </w:style>
  <w:style w:type="paragraph" w:customStyle="1" w:styleId="570">
    <w:name w:val="heading 1_file_497"/>
    <w:basedOn w:val="469"/>
    <w:qFormat/>
    <w:uiPriority w:val="9"/>
    <w:pPr>
      <w:outlineLvl w:val="0"/>
    </w:pPr>
    <w:rPr>
      <w:kern w:val="36"/>
      <w:sz w:val="48"/>
      <w:szCs w:val="48"/>
    </w:rPr>
  </w:style>
  <w:style w:type="paragraph" w:customStyle="1" w:styleId="571">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572">
    <w:name w:val="heading 2_file_508"/>
    <w:basedOn w:val="447"/>
    <w:qFormat/>
    <w:uiPriority w:val="9"/>
    <w:pPr>
      <w:outlineLvl w:val="1"/>
    </w:pPr>
    <w:rPr>
      <w:sz w:val="36"/>
      <w:szCs w:val="36"/>
    </w:rPr>
  </w:style>
  <w:style w:type="paragraph" w:customStyle="1" w:styleId="573">
    <w:name w:val="cke_editable_file_494_file_506"/>
    <w:basedOn w:val="474"/>
    <w:qFormat/>
    <w:uiPriority w:val="0"/>
    <w:rPr>
      <w:rFonts w:ascii="仿宋_GB2312" w:eastAsia="仿宋_GB2312"/>
    </w:rPr>
  </w:style>
  <w:style w:type="paragraph" w:customStyle="1" w:styleId="574">
    <w:name w:val="默认段落字体 Para Char Char Char1 Char"/>
    <w:basedOn w:val="1"/>
    <w:qFormat/>
    <w:uiPriority w:val="0"/>
    <w:rPr>
      <w:rFonts w:ascii="Tahoma" w:hAnsi="Tahoma"/>
      <w:sz w:val="24"/>
      <w:szCs w:val="20"/>
    </w:rPr>
  </w:style>
  <w:style w:type="paragraph" w:customStyle="1" w:styleId="575">
    <w:name w:val="heading 5_file_505"/>
    <w:basedOn w:val="529"/>
    <w:qFormat/>
    <w:uiPriority w:val="9"/>
    <w:pPr>
      <w:outlineLvl w:val="4"/>
    </w:pPr>
    <w:rPr>
      <w:sz w:val="20"/>
      <w:szCs w:val="20"/>
    </w:rPr>
  </w:style>
  <w:style w:type="paragraph" w:customStyle="1" w:styleId="576">
    <w:name w:val="Normal (Web)_file_502"/>
    <w:basedOn w:val="464"/>
    <w:unhideWhenUsed/>
    <w:qFormat/>
    <w:uiPriority w:val="99"/>
  </w:style>
  <w:style w:type="paragraph" w:customStyle="1" w:styleId="577">
    <w:name w:val="cke_editable_file_503"/>
    <w:basedOn w:val="445"/>
    <w:qFormat/>
    <w:uiPriority w:val="0"/>
    <w:rPr>
      <w:rFonts w:ascii="仿宋_GB2312" w:eastAsia="仿宋_GB2312"/>
    </w:rPr>
  </w:style>
  <w:style w:type="paragraph" w:customStyle="1" w:styleId="578">
    <w:name w:val="heading 4_file_502"/>
    <w:basedOn w:val="464"/>
    <w:qFormat/>
    <w:uiPriority w:val="9"/>
    <w:pPr>
      <w:outlineLvl w:val="3"/>
    </w:pPr>
  </w:style>
  <w:style w:type="paragraph" w:customStyle="1" w:styleId="579">
    <w:name w:val="heading 2_file_497"/>
    <w:basedOn w:val="469"/>
    <w:qFormat/>
    <w:uiPriority w:val="9"/>
    <w:pPr>
      <w:outlineLvl w:val="1"/>
    </w:pPr>
    <w:rPr>
      <w:sz w:val="36"/>
      <w:szCs w:val="36"/>
    </w:rPr>
  </w:style>
  <w:style w:type="paragraph" w:customStyle="1" w:styleId="580">
    <w:name w:val="annotation text_file_495"/>
    <w:basedOn w:val="499"/>
    <w:qFormat/>
    <w:uiPriority w:val="0"/>
    <w:pPr>
      <w:jc w:val="left"/>
    </w:pPr>
  </w:style>
  <w:style w:type="paragraph" w:customStyle="1" w:styleId="581">
    <w:name w:val="正文1"/>
    <w:basedOn w:val="1"/>
    <w:qFormat/>
    <w:uiPriority w:val="0"/>
    <w:pPr>
      <w:widowControl/>
      <w:overflowPunct w:val="0"/>
      <w:autoSpaceDE w:val="0"/>
      <w:autoSpaceDN w:val="0"/>
      <w:adjustRightInd w:val="0"/>
    </w:pPr>
    <w:rPr>
      <w:rFonts w:ascii="宋体"/>
      <w:kern w:val="0"/>
      <w:szCs w:val="20"/>
    </w:rPr>
  </w:style>
  <w:style w:type="paragraph" w:customStyle="1" w:styleId="582">
    <w:name w:val="heading 6_file_509"/>
    <w:basedOn w:val="583"/>
    <w:qFormat/>
    <w:uiPriority w:val="9"/>
    <w:pPr>
      <w:outlineLvl w:val="5"/>
    </w:pPr>
    <w:rPr>
      <w:sz w:val="15"/>
      <w:szCs w:val="15"/>
    </w:rPr>
  </w:style>
  <w:style w:type="paragraph" w:customStyle="1" w:styleId="583">
    <w:name w:val="Normal_file_5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4">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585">
    <w:name w:val="heading 5_file_507"/>
    <w:basedOn w:val="460"/>
    <w:qFormat/>
    <w:uiPriority w:val="9"/>
    <w:pPr>
      <w:outlineLvl w:val="4"/>
    </w:pPr>
    <w:rPr>
      <w:sz w:val="20"/>
      <w:szCs w:val="20"/>
    </w:rPr>
  </w:style>
  <w:style w:type="paragraph" w:customStyle="1" w:styleId="586">
    <w:name w:val="marker_file_494_file_506"/>
    <w:basedOn w:val="474"/>
    <w:qFormat/>
    <w:uiPriority w:val="0"/>
    <w:pPr>
      <w:shd w:val="clear" w:color="auto" w:fill="FFFF00"/>
    </w:pPr>
  </w:style>
  <w:style w:type="paragraph" w:customStyle="1" w:styleId="587">
    <w:name w:val="marker_file_503"/>
    <w:basedOn w:val="445"/>
    <w:qFormat/>
    <w:uiPriority w:val="0"/>
    <w:pPr>
      <w:shd w:val="clear" w:color="auto" w:fill="FFFF00"/>
    </w:pPr>
  </w:style>
  <w:style w:type="paragraph" w:customStyle="1" w:styleId="588">
    <w:name w:val="Body Text_file_495"/>
    <w:basedOn w:val="499"/>
    <w:next w:val="3"/>
    <w:qFormat/>
    <w:uiPriority w:val="0"/>
    <w:pPr>
      <w:spacing w:after="120" w:afterLines="0" w:afterAutospacing="0"/>
      <w:jc w:val="left"/>
    </w:pPr>
    <w:rPr>
      <w:rFonts w:ascii="Arial" w:hAnsi="Arial" w:eastAsia="宋体" w:cs="Times New Roman"/>
      <w:sz w:val="24"/>
    </w:rPr>
  </w:style>
  <w:style w:type="paragraph" w:customStyle="1" w:styleId="589">
    <w:name w:val="heading 6_file_505"/>
    <w:basedOn w:val="529"/>
    <w:qFormat/>
    <w:uiPriority w:val="9"/>
    <w:pPr>
      <w:outlineLvl w:val="5"/>
    </w:pPr>
    <w:rPr>
      <w:sz w:val="15"/>
      <w:szCs w:val="15"/>
    </w:rPr>
  </w:style>
  <w:style w:type="paragraph" w:customStyle="1" w:styleId="590">
    <w:name w:val="marker_file_500"/>
    <w:basedOn w:val="456"/>
    <w:qFormat/>
    <w:uiPriority w:val="0"/>
    <w:pPr>
      <w:shd w:val="clear" w:color="auto" w:fill="FFFF00"/>
    </w:pPr>
  </w:style>
  <w:style w:type="paragraph" w:customStyle="1" w:styleId="591">
    <w:name w:val="footer_file_495"/>
    <w:basedOn w:val="499"/>
    <w:qFormat/>
    <w:uiPriority w:val="0"/>
    <w:pPr>
      <w:tabs>
        <w:tab w:val="center" w:pos="4153"/>
        <w:tab w:val="right" w:pos="8306"/>
      </w:tabs>
      <w:snapToGrid w:val="0"/>
      <w:jc w:val="left"/>
    </w:pPr>
    <w:rPr>
      <w:sz w:val="18"/>
    </w:rPr>
  </w:style>
  <w:style w:type="paragraph" w:customStyle="1" w:styleId="592">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593">
    <w:name w:val="Normal (Web)_file_494_file_506"/>
    <w:basedOn w:val="474"/>
    <w:unhideWhenUsed/>
    <w:qFormat/>
    <w:uiPriority w:val="99"/>
  </w:style>
  <w:style w:type="paragraph" w:customStyle="1" w:styleId="594">
    <w:name w:val="heading 5_file_502"/>
    <w:basedOn w:val="464"/>
    <w:qFormat/>
    <w:uiPriority w:val="9"/>
    <w:pPr>
      <w:outlineLvl w:val="4"/>
    </w:pPr>
    <w:rPr>
      <w:sz w:val="20"/>
      <w:szCs w:val="20"/>
    </w:rPr>
  </w:style>
  <w:style w:type="paragraph" w:customStyle="1" w:styleId="595">
    <w:name w:val="heading 3_file_497"/>
    <w:basedOn w:val="469"/>
    <w:qFormat/>
    <w:uiPriority w:val="9"/>
    <w:pPr>
      <w:outlineLvl w:val="2"/>
    </w:pPr>
    <w:rPr>
      <w:sz w:val="27"/>
      <w:szCs w:val="27"/>
    </w:rPr>
  </w:style>
  <w:style w:type="paragraph" w:customStyle="1" w:styleId="59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7">
    <w:name w:val="heading 5_file_509"/>
    <w:basedOn w:val="583"/>
    <w:qFormat/>
    <w:uiPriority w:val="9"/>
    <w:pPr>
      <w:outlineLvl w:val="4"/>
    </w:pPr>
    <w:rPr>
      <w:sz w:val="20"/>
      <w:szCs w:val="20"/>
    </w:rPr>
  </w:style>
  <w:style w:type="paragraph" w:customStyle="1" w:styleId="598">
    <w:name w:val="heading 1_file_508"/>
    <w:basedOn w:val="447"/>
    <w:qFormat/>
    <w:uiPriority w:val="9"/>
    <w:pPr>
      <w:outlineLvl w:val="0"/>
    </w:pPr>
    <w:rPr>
      <w:kern w:val="36"/>
      <w:sz w:val="48"/>
      <w:szCs w:val="48"/>
    </w:rPr>
  </w:style>
  <w:style w:type="paragraph" w:customStyle="1" w:styleId="599">
    <w:name w:val="444"/>
    <w:basedOn w:val="1"/>
    <w:qFormat/>
    <w:uiPriority w:val="0"/>
    <w:pPr>
      <w:adjustRightInd w:val="0"/>
      <w:spacing w:line="312" w:lineRule="atLeast"/>
      <w:jc w:val="center"/>
      <w:textAlignment w:val="baseline"/>
    </w:pPr>
    <w:rPr>
      <w:b/>
      <w:kern w:val="0"/>
      <w:sz w:val="36"/>
      <w:szCs w:val="36"/>
    </w:rPr>
  </w:style>
  <w:style w:type="paragraph" w:customStyle="1" w:styleId="600">
    <w:name w:val="Normal (Web)_file_503"/>
    <w:basedOn w:val="445"/>
    <w:unhideWhenUsed/>
    <w:qFormat/>
    <w:uiPriority w:val="99"/>
  </w:style>
  <w:style w:type="paragraph" w:customStyle="1" w:styleId="601">
    <w:name w:val="cke_editable_file_500"/>
    <w:basedOn w:val="456"/>
    <w:qFormat/>
    <w:uiPriority w:val="0"/>
    <w:rPr>
      <w:rFonts w:ascii="仿宋_GB2312" w:eastAsia="仿宋_GB2312"/>
    </w:rPr>
  </w:style>
  <w:style w:type="paragraph" w:customStyle="1" w:styleId="602">
    <w:name w:val="cke_editable_file_498"/>
    <w:basedOn w:val="487"/>
    <w:qFormat/>
    <w:uiPriority w:val="0"/>
    <w:rPr>
      <w:rFonts w:ascii="仿宋_GB2312" w:eastAsia="仿宋_GB2312"/>
    </w:rPr>
  </w:style>
  <w:style w:type="paragraph" w:customStyle="1" w:styleId="603">
    <w:name w:val="_Style 3_file_496"/>
    <w:basedOn w:val="565"/>
    <w:next w:val="3"/>
    <w:qFormat/>
    <w:uiPriority w:val="39"/>
    <w:pPr>
      <w:tabs>
        <w:tab w:val="left" w:pos="1440"/>
      </w:tabs>
      <w:spacing w:before="480" w:after="0" w:line="276" w:lineRule="auto"/>
      <w:outlineLvl w:val="9"/>
    </w:pPr>
    <w:rPr>
      <w:rFonts w:ascii="仿宋" w:hAnsi="仿宋" w:eastAsia="仿宋"/>
      <w:color w:val="000000"/>
      <w:kern w:val="0"/>
      <w:sz w:val="32"/>
      <w:szCs w:val="32"/>
    </w:rPr>
  </w:style>
  <w:style w:type="paragraph" w:customStyle="1" w:styleId="604">
    <w:name w:val="heading 1_file_507"/>
    <w:basedOn w:val="460"/>
    <w:qFormat/>
    <w:uiPriority w:val="9"/>
    <w:pPr>
      <w:outlineLvl w:val="0"/>
    </w:pPr>
    <w:rPr>
      <w:kern w:val="36"/>
      <w:sz w:val="48"/>
      <w:szCs w:val="48"/>
    </w:rPr>
  </w:style>
  <w:style w:type="paragraph" w:customStyle="1" w:styleId="605">
    <w:name w:val="heading 6_file_502"/>
    <w:basedOn w:val="464"/>
    <w:qFormat/>
    <w:uiPriority w:val="9"/>
    <w:pPr>
      <w:outlineLvl w:val="5"/>
    </w:pPr>
    <w:rPr>
      <w:sz w:val="15"/>
      <w:szCs w:val="15"/>
    </w:rPr>
  </w:style>
  <w:style w:type="paragraph" w:customStyle="1" w:styleId="606">
    <w:name w:val="marker_file_498"/>
    <w:basedOn w:val="487"/>
    <w:qFormat/>
    <w:uiPriority w:val="0"/>
    <w:pPr>
      <w:shd w:val="clear" w:color="auto" w:fill="FFFF00"/>
    </w:pPr>
  </w:style>
  <w:style w:type="paragraph" w:customStyle="1" w:styleId="607">
    <w:name w:val="heading 4_file_497"/>
    <w:basedOn w:val="469"/>
    <w:qFormat/>
    <w:uiPriority w:val="9"/>
    <w:pPr>
      <w:outlineLvl w:val="3"/>
    </w:pPr>
  </w:style>
  <w:style w:type="paragraph" w:customStyle="1" w:styleId="608">
    <w:name w:val="header_file_495"/>
    <w:basedOn w:val="49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09">
    <w:name w:val="heading 4_file_509"/>
    <w:basedOn w:val="583"/>
    <w:qFormat/>
    <w:uiPriority w:val="9"/>
    <w:pPr>
      <w:outlineLvl w:val="3"/>
    </w:pPr>
  </w:style>
  <w:style w:type="paragraph" w:customStyle="1" w:styleId="610">
    <w:name w:val="footer_file_108_file_495"/>
    <w:basedOn w:val="611"/>
    <w:qFormat/>
    <w:uiPriority w:val="99"/>
    <w:pPr>
      <w:tabs>
        <w:tab w:val="center" w:pos="4153"/>
        <w:tab w:val="right" w:pos="8306"/>
      </w:tabs>
      <w:snapToGrid w:val="0"/>
      <w:jc w:val="left"/>
    </w:pPr>
    <w:rPr>
      <w:sz w:val="18"/>
      <w:szCs w:val="18"/>
    </w:rPr>
  </w:style>
  <w:style w:type="paragraph" w:customStyle="1" w:styleId="611">
    <w:name w:val="Normal_file_108_file_495"/>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2">
    <w:name w:val="列表1"/>
    <w:basedOn w:val="613"/>
    <w:qFormat/>
    <w:uiPriority w:val="0"/>
    <w:pPr>
      <w:tabs>
        <w:tab w:val="left" w:pos="900"/>
      </w:tabs>
      <w:ind w:left="900" w:hanging="420"/>
    </w:pPr>
    <w:rPr>
      <w:rFonts w:ascii="Times New Roman" w:hAnsi="Times New Roman"/>
      <w:szCs w:val="20"/>
    </w:rPr>
  </w:style>
  <w:style w:type="paragraph" w:customStyle="1" w:styleId="613">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614">
    <w:name w:val="heading 2_file_507"/>
    <w:basedOn w:val="460"/>
    <w:qFormat/>
    <w:uiPriority w:val="9"/>
    <w:pPr>
      <w:outlineLvl w:val="1"/>
    </w:pPr>
    <w:rPr>
      <w:sz w:val="36"/>
      <w:szCs w:val="36"/>
    </w:rPr>
  </w:style>
  <w:style w:type="paragraph" w:customStyle="1" w:styleId="615">
    <w:name w:val="heading 5_file_497"/>
    <w:basedOn w:val="469"/>
    <w:qFormat/>
    <w:uiPriority w:val="9"/>
    <w:pPr>
      <w:outlineLvl w:val="4"/>
    </w:pPr>
    <w:rPr>
      <w:sz w:val="20"/>
      <w:szCs w:val="20"/>
    </w:rPr>
  </w:style>
  <w:style w:type="paragraph" w:customStyle="1" w:styleId="616">
    <w:name w:val="heading 6_file_496"/>
    <w:basedOn w:val="466"/>
    <w:next w:val="3"/>
    <w:qFormat/>
    <w:uiPriority w:val="0"/>
    <w:pPr>
      <w:keepNext/>
      <w:keepLines/>
      <w:numPr>
        <w:ilvl w:val="5"/>
        <w:numId w:val="2"/>
      </w:numPr>
      <w:tabs>
        <w:tab w:val="left" w:pos="312"/>
      </w:tabs>
      <w:spacing w:before="240" w:after="64" w:line="320" w:lineRule="auto"/>
      <w:outlineLvl w:val="5"/>
    </w:pPr>
    <w:rPr>
      <w:rFonts w:ascii="Arial" w:hAnsi="Arial" w:eastAsia="黑体"/>
      <w:b/>
      <w:sz w:val="24"/>
    </w:rPr>
  </w:style>
  <w:style w:type="paragraph" w:customStyle="1" w:styleId="617">
    <w:name w:val="Body Text First Indent 2_file_108_file_495"/>
    <w:basedOn w:val="618"/>
    <w:qFormat/>
    <w:uiPriority w:val="0"/>
    <w:pPr>
      <w:ind w:firstLine="420"/>
    </w:pPr>
  </w:style>
  <w:style w:type="paragraph" w:customStyle="1" w:styleId="618">
    <w:name w:val="Body Text Indent_file_108_file_495"/>
    <w:basedOn w:val="611"/>
    <w:next w:val="7"/>
    <w:qFormat/>
    <w:uiPriority w:val="0"/>
    <w:pPr>
      <w:ind w:firstLine="630"/>
    </w:pPr>
    <w:rPr>
      <w:sz w:val="32"/>
      <w:szCs w:val="20"/>
    </w:rPr>
  </w:style>
  <w:style w:type="paragraph" w:customStyle="1" w:styleId="619">
    <w:name w:val="heading 3_file_509"/>
    <w:basedOn w:val="583"/>
    <w:qFormat/>
    <w:uiPriority w:val="9"/>
    <w:pPr>
      <w:outlineLvl w:val="2"/>
    </w:pPr>
    <w:rPr>
      <w:sz w:val="27"/>
      <w:szCs w:val="27"/>
    </w:rPr>
  </w:style>
  <w:style w:type="paragraph" w:customStyle="1" w:styleId="620">
    <w:name w:val="Normal (Web)_file_498"/>
    <w:basedOn w:val="487"/>
    <w:unhideWhenUsed/>
    <w:qFormat/>
    <w:uiPriority w:val="99"/>
  </w:style>
  <w:style w:type="paragraph" w:customStyle="1" w:styleId="62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622">
    <w:name w:val="Char Char Char"/>
    <w:basedOn w:val="1"/>
    <w:qFormat/>
    <w:uiPriority w:val="0"/>
    <w:rPr>
      <w:rFonts w:ascii="Tahoma" w:hAnsi="Tahoma"/>
      <w:sz w:val="24"/>
      <w:szCs w:val="20"/>
    </w:rPr>
  </w:style>
  <w:style w:type="paragraph" w:customStyle="1" w:styleId="623">
    <w:name w:val="heading 1_file_504"/>
    <w:basedOn w:val="503"/>
    <w:qFormat/>
    <w:uiPriority w:val="9"/>
    <w:pPr>
      <w:outlineLvl w:val="0"/>
    </w:pPr>
    <w:rPr>
      <w:kern w:val="36"/>
      <w:sz w:val="48"/>
      <w:szCs w:val="48"/>
    </w:rPr>
  </w:style>
  <w:style w:type="paragraph" w:customStyle="1" w:styleId="624">
    <w:name w:val="heading 6_file_500"/>
    <w:basedOn w:val="456"/>
    <w:qFormat/>
    <w:uiPriority w:val="9"/>
    <w:pPr>
      <w:outlineLvl w:val="5"/>
    </w:pPr>
    <w:rPr>
      <w:sz w:val="15"/>
      <w:szCs w:val="15"/>
    </w:rPr>
  </w:style>
  <w:style w:type="paragraph" w:customStyle="1" w:styleId="625">
    <w:name w:val="heading 2_file_509"/>
    <w:basedOn w:val="583"/>
    <w:qFormat/>
    <w:uiPriority w:val="9"/>
    <w:pPr>
      <w:outlineLvl w:val="1"/>
    </w:pPr>
    <w:rPr>
      <w:sz w:val="36"/>
      <w:szCs w:val="36"/>
    </w:rPr>
  </w:style>
  <w:style w:type="paragraph" w:customStyle="1" w:styleId="626">
    <w:name w:val="Char11"/>
    <w:basedOn w:val="1"/>
    <w:qFormat/>
    <w:uiPriority w:val="0"/>
    <w:rPr>
      <w:szCs w:val="21"/>
    </w:rPr>
  </w:style>
  <w:style w:type="paragraph" w:customStyle="1" w:styleId="627">
    <w:name w:val="heading 2_file_504"/>
    <w:basedOn w:val="503"/>
    <w:qFormat/>
    <w:uiPriority w:val="9"/>
    <w:pPr>
      <w:outlineLvl w:val="1"/>
    </w:pPr>
    <w:rPr>
      <w:sz w:val="36"/>
      <w:szCs w:val="36"/>
    </w:rPr>
  </w:style>
  <w:style w:type="paragraph" w:customStyle="1" w:styleId="628">
    <w:name w:val="Char12"/>
    <w:basedOn w:val="1"/>
    <w:qFormat/>
    <w:uiPriority w:val="0"/>
    <w:rPr>
      <w:szCs w:val="21"/>
    </w:rPr>
  </w:style>
  <w:style w:type="paragraph" w:customStyle="1" w:styleId="629">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630">
    <w:name w:val="heading 1_file_509"/>
    <w:basedOn w:val="583"/>
    <w:qFormat/>
    <w:uiPriority w:val="9"/>
    <w:pPr>
      <w:outlineLvl w:val="0"/>
    </w:pPr>
    <w:rPr>
      <w:kern w:val="36"/>
      <w:sz w:val="48"/>
      <w:szCs w:val="48"/>
    </w:rPr>
  </w:style>
  <w:style w:type="paragraph" w:customStyle="1" w:styleId="63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632">
    <w:name w:val="heading 4_file_508"/>
    <w:basedOn w:val="447"/>
    <w:qFormat/>
    <w:uiPriority w:val="9"/>
    <w:pPr>
      <w:outlineLvl w:val="3"/>
    </w:pPr>
  </w:style>
  <w:style w:type="paragraph" w:customStyle="1" w:styleId="63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634">
    <w:name w:val="heading 3_file_504"/>
    <w:basedOn w:val="503"/>
    <w:qFormat/>
    <w:uiPriority w:val="9"/>
    <w:pPr>
      <w:outlineLvl w:val="2"/>
    </w:pPr>
    <w:rPr>
      <w:sz w:val="27"/>
      <w:szCs w:val="27"/>
    </w:rPr>
  </w:style>
  <w:style w:type="paragraph" w:customStyle="1" w:styleId="635">
    <w:name w:val="heading 6_file_499"/>
    <w:basedOn w:val="636"/>
    <w:next w:val="5"/>
    <w:qFormat/>
    <w:uiPriority w:val="0"/>
    <w:pPr>
      <w:keepNext/>
      <w:keepLines/>
      <w:numPr>
        <w:ilvl w:val="5"/>
        <w:numId w:val="1"/>
      </w:numPr>
      <w:spacing w:before="240" w:after="64" w:line="320" w:lineRule="auto"/>
      <w:outlineLvl w:val="5"/>
    </w:pPr>
    <w:rPr>
      <w:rFonts w:ascii="Arial" w:hAnsi="Arial" w:eastAsia="黑体"/>
      <w:b/>
      <w:sz w:val="24"/>
    </w:rPr>
  </w:style>
  <w:style w:type="paragraph" w:customStyle="1" w:styleId="636">
    <w:name w:val="Normal_file_49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7">
    <w:name w:val="F2"/>
    <w:basedOn w:val="1"/>
    <w:qFormat/>
    <w:uiPriority w:val="0"/>
    <w:pPr>
      <w:autoSpaceDE w:val="0"/>
      <w:autoSpaceDN w:val="0"/>
      <w:adjustRightInd w:val="0"/>
      <w:ind w:firstLine="601"/>
      <w:textAlignment w:val="baseline"/>
    </w:pPr>
    <w:rPr>
      <w:kern w:val="0"/>
      <w:sz w:val="24"/>
      <w:szCs w:val="20"/>
    </w:rPr>
  </w:style>
  <w:style w:type="paragraph" w:customStyle="1" w:styleId="638">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639">
    <w:name w:val="cke_editable_file_505"/>
    <w:basedOn w:val="529"/>
    <w:qFormat/>
    <w:uiPriority w:val="0"/>
    <w:rPr>
      <w:rFonts w:ascii="仿宋_GB2312" w:eastAsia="仿宋_GB2312"/>
    </w:rPr>
  </w:style>
  <w:style w:type="paragraph" w:customStyle="1" w:styleId="640">
    <w:name w:val="Normal Indent_file_499"/>
    <w:basedOn w:val="636"/>
    <w:qFormat/>
    <w:uiPriority w:val="0"/>
    <w:pPr>
      <w:spacing w:line="240" w:lineRule="atLeast"/>
      <w:ind w:left="900" w:hanging="900"/>
      <w:jc w:val="left"/>
    </w:pPr>
    <w:rPr>
      <w:rFonts w:ascii="宋体"/>
      <w:snapToGrid w:val="0"/>
      <w:kern w:val="0"/>
      <w:sz w:val="20"/>
      <w:szCs w:val="20"/>
    </w:rPr>
  </w:style>
  <w:style w:type="paragraph" w:customStyle="1" w:styleId="641">
    <w:name w:val="样式 Verdana 首行缩进:  0.74 厘米"/>
    <w:basedOn w:val="1"/>
    <w:qFormat/>
    <w:uiPriority w:val="0"/>
    <w:pPr>
      <w:spacing w:line="360" w:lineRule="auto"/>
      <w:ind w:firstLine="420"/>
    </w:pPr>
    <w:rPr>
      <w:rFonts w:ascii="Verdana" w:hAnsi="Verdana"/>
      <w:sz w:val="24"/>
      <w:szCs w:val="20"/>
    </w:rPr>
  </w:style>
  <w:style w:type="paragraph" w:customStyle="1" w:styleId="642">
    <w:name w:val="marker_file_505"/>
    <w:basedOn w:val="529"/>
    <w:qFormat/>
    <w:uiPriority w:val="0"/>
    <w:pPr>
      <w:shd w:val="clear" w:color="auto" w:fill="FFFF00"/>
    </w:pPr>
  </w:style>
  <w:style w:type="paragraph" w:customStyle="1" w:styleId="64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644">
    <w:name w:val="heading 4_file_504"/>
    <w:basedOn w:val="503"/>
    <w:qFormat/>
    <w:uiPriority w:val="9"/>
    <w:pPr>
      <w:outlineLvl w:val="3"/>
    </w:pPr>
  </w:style>
  <w:style w:type="paragraph" w:customStyle="1" w:styleId="645">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646">
    <w:name w:val="heading 5_file_500"/>
    <w:basedOn w:val="456"/>
    <w:qFormat/>
    <w:uiPriority w:val="9"/>
    <w:pPr>
      <w:outlineLvl w:val="4"/>
    </w:pPr>
    <w:rPr>
      <w:sz w:val="20"/>
      <w:szCs w:val="20"/>
    </w:rPr>
  </w:style>
  <w:style w:type="paragraph" w:customStyle="1" w:styleId="64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648">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49">
    <w:name w:val="heading 6_file_511"/>
    <w:basedOn w:val="450"/>
    <w:qFormat/>
    <w:uiPriority w:val="9"/>
    <w:pPr>
      <w:outlineLvl w:val="5"/>
    </w:pPr>
    <w:rPr>
      <w:sz w:val="15"/>
      <w:szCs w:val="15"/>
    </w:rPr>
  </w:style>
  <w:style w:type="paragraph" w:customStyle="1" w:styleId="650">
    <w:name w:val="heading 4_file_507"/>
    <w:basedOn w:val="460"/>
    <w:qFormat/>
    <w:uiPriority w:val="9"/>
    <w:pPr>
      <w:outlineLvl w:val="3"/>
    </w:pPr>
  </w:style>
  <w:style w:type="paragraph" w:customStyle="1" w:styleId="651">
    <w:name w:val="heading 6_file_501"/>
    <w:basedOn w:val="453"/>
    <w:qFormat/>
    <w:uiPriority w:val="9"/>
    <w:pPr>
      <w:outlineLvl w:val="5"/>
    </w:pPr>
    <w:rPr>
      <w:sz w:val="15"/>
      <w:szCs w:val="15"/>
    </w:rPr>
  </w:style>
  <w:style w:type="paragraph" w:customStyle="1" w:styleId="652">
    <w:name w:val="样式6"/>
    <w:basedOn w:val="7"/>
    <w:qFormat/>
    <w:uiPriority w:val="0"/>
    <w:pPr>
      <w:numPr>
        <w:ilvl w:val="0"/>
        <w:numId w:val="0"/>
      </w:numPr>
      <w:spacing w:line="360" w:lineRule="auto"/>
      <w:ind w:left="210" w:leftChars="100"/>
    </w:pPr>
    <w:rPr>
      <w:rFonts w:ascii="宋体" w:hAnsi="宋体" w:cs="Arial"/>
      <w:bCs/>
      <w:sz w:val="24"/>
    </w:rPr>
  </w:style>
  <w:style w:type="paragraph" w:customStyle="1" w:styleId="653">
    <w:name w:val="Normal (Web)_file_508"/>
    <w:basedOn w:val="447"/>
    <w:unhideWhenUsed/>
    <w:qFormat/>
    <w:uiPriority w:val="99"/>
  </w:style>
  <w:style w:type="paragraph" w:customStyle="1" w:styleId="654">
    <w:name w:val="heading 5_file_504"/>
    <w:basedOn w:val="503"/>
    <w:qFormat/>
    <w:uiPriority w:val="9"/>
    <w:pPr>
      <w:outlineLvl w:val="4"/>
    </w:pPr>
    <w:rPr>
      <w:sz w:val="20"/>
      <w:szCs w:val="20"/>
    </w:rPr>
  </w:style>
  <w:style w:type="paragraph" w:customStyle="1" w:styleId="655">
    <w:name w:val="样式 首行缩进:  2 字符"/>
    <w:basedOn w:val="1"/>
    <w:qFormat/>
    <w:uiPriority w:val="0"/>
    <w:pPr>
      <w:spacing w:line="400" w:lineRule="exact"/>
      <w:ind w:firstLine="200" w:firstLineChars="200"/>
    </w:pPr>
    <w:rPr>
      <w:rFonts w:cs="宋体"/>
      <w:sz w:val="24"/>
    </w:rPr>
  </w:style>
  <w:style w:type="paragraph" w:customStyle="1" w:styleId="656">
    <w:name w:val="Normal (Web)_file_505"/>
    <w:basedOn w:val="529"/>
    <w:unhideWhenUsed/>
    <w:qFormat/>
    <w:uiPriority w:val="99"/>
  </w:style>
  <w:style w:type="paragraph" w:customStyle="1" w:styleId="657">
    <w:name w:val="footer_file_454_file_239_file_499"/>
    <w:basedOn w:val="658"/>
    <w:qFormat/>
    <w:uiPriority w:val="99"/>
    <w:pPr>
      <w:tabs>
        <w:tab w:val="center" w:pos="4153"/>
        <w:tab w:val="right" w:pos="8306"/>
      </w:tabs>
      <w:snapToGrid w:val="0"/>
      <w:jc w:val="left"/>
    </w:pPr>
    <w:rPr>
      <w:sz w:val="18"/>
      <w:szCs w:val="18"/>
    </w:rPr>
  </w:style>
  <w:style w:type="paragraph" w:customStyle="1" w:styleId="658">
    <w:name w:val="Normal_file_454_file_239_file_499"/>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9">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660">
    <w:name w:val="2ji"/>
    <w:basedOn w:val="4"/>
    <w:qFormat/>
    <w:uiPriority w:val="0"/>
    <w:pPr>
      <w:keepLines/>
      <w:spacing w:before="0"/>
      <w:jc w:val="both"/>
      <w:textAlignment w:val="baseline"/>
    </w:pPr>
    <w:rPr>
      <w:rFonts w:ascii="宋体" w:hAnsi="宋体" w:eastAsia="宋体"/>
      <w:bCs/>
      <w:sz w:val="21"/>
      <w:szCs w:val="21"/>
    </w:rPr>
  </w:style>
  <w:style w:type="paragraph" w:customStyle="1" w:styleId="661">
    <w:name w:val="heading 5_file_511"/>
    <w:basedOn w:val="450"/>
    <w:qFormat/>
    <w:uiPriority w:val="9"/>
    <w:pPr>
      <w:outlineLvl w:val="4"/>
    </w:pPr>
    <w:rPr>
      <w:sz w:val="20"/>
      <w:szCs w:val="20"/>
    </w:rPr>
  </w:style>
  <w:style w:type="paragraph" w:customStyle="1" w:styleId="662">
    <w:name w:val="heading 5_file_508"/>
    <w:basedOn w:val="447"/>
    <w:qFormat/>
    <w:uiPriority w:val="9"/>
    <w:pPr>
      <w:outlineLvl w:val="4"/>
    </w:pPr>
    <w:rPr>
      <w:sz w:val="20"/>
      <w:szCs w:val="20"/>
    </w:rPr>
  </w:style>
  <w:style w:type="paragraph" w:customStyle="1" w:styleId="663">
    <w:name w:val="Normal_file_506"/>
    <w:qFormat/>
    <w:uiPriority w:val="0"/>
    <w:pPr>
      <w:widowControl w:val="0"/>
      <w:jc w:val="both"/>
    </w:pPr>
    <w:rPr>
      <w:rFonts w:ascii="Times New Roman" w:hAnsi="Times New Roman" w:eastAsia="宋体" w:cs="Times New Roman"/>
      <w:szCs w:val="24"/>
      <w:lang w:val="en-US" w:eastAsia="zh-CN" w:bidi="ar-SA"/>
    </w:rPr>
  </w:style>
  <w:style w:type="paragraph" w:customStyle="1" w:styleId="664">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665">
    <w:name w:val="heading 6_file_504"/>
    <w:basedOn w:val="503"/>
    <w:qFormat/>
    <w:uiPriority w:val="9"/>
    <w:pPr>
      <w:outlineLvl w:val="5"/>
    </w:pPr>
    <w:rPr>
      <w:sz w:val="15"/>
      <w:szCs w:val="15"/>
    </w:rPr>
  </w:style>
  <w:style w:type="paragraph" w:customStyle="1" w:styleId="666">
    <w:name w:val="Tabletext"/>
    <w:basedOn w:val="1"/>
    <w:qFormat/>
    <w:uiPriority w:val="0"/>
    <w:pPr>
      <w:keepLines/>
      <w:spacing w:after="120" w:line="240" w:lineRule="atLeast"/>
      <w:jc w:val="left"/>
    </w:pPr>
    <w:rPr>
      <w:rFonts w:ascii="宋体"/>
      <w:snapToGrid w:val="0"/>
      <w:kern w:val="0"/>
      <w:sz w:val="20"/>
      <w:szCs w:val="20"/>
    </w:rPr>
  </w:style>
  <w:style w:type="paragraph" w:customStyle="1" w:styleId="667">
    <w:name w:val="cke_editable_file_508"/>
    <w:basedOn w:val="447"/>
    <w:qFormat/>
    <w:uiPriority w:val="0"/>
    <w:rPr>
      <w:rFonts w:ascii="仿宋_GB2312" w:eastAsia="仿宋_GB2312"/>
    </w:rPr>
  </w:style>
  <w:style w:type="paragraph" w:customStyle="1" w:styleId="668">
    <w:name w:val="heading 4_file_501"/>
    <w:basedOn w:val="453"/>
    <w:qFormat/>
    <w:uiPriority w:val="9"/>
    <w:pPr>
      <w:outlineLvl w:val="3"/>
    </w:pPr>
  </w:style>
  <w:style w:type="paragraph" w:customStyle="1" w:styleId="669">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670">
    <w:name w:val="p15_file_239_file_499"/>
    <w:basedOn w:val="480"/>
    <w:qFormat/>
    <w:uiPriority w:val="0"/>
    <w:pPr>
      <w:widowControl/>
    </w:pPr>
    <w:rPr>
      <w:rFonts w:ascii="宋体" w:hAnsi="宋体" w:cs="宋体"/>
      <w:kern w:val="0"/>
      <w:szCs w:val="21"/>
    </w:rPr>
  </w:style>
  <w:style w:type="paragraph" w:customStyle="1" w:styleId="671">
    <w:name w:val="marker_file_497"/>
    <w:basedOn w:val="469"/>
    <w:qFormat/>
    <w:uiPriority w:val="0"/>
    <w:pPr>
      <w:shd w:val="clear" w:color="auto" w:fill="FFFF00"/>
    </w:pPr>
  </w:style>
  <w:style w:type="paragraph" w:customStyle="1" w:styleId="672">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673">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674">
    <w:name w:val="heading 3_file_511"/>
    <w:basedOn w:val="450"/>
    <w:qFormat/>
    <w:uiPriority w:val="9"/>
    <w:pPr>
      <w:outlineLvl w:val="2"/>
    </w:pPr>
    <w:rPr>
      <w:sz w:val="27"/>
      <w:szCs w:val="27"/>
    </w:rPr>
  </w:style>
  <w:style w:type="paragraph" w:customStyle="1" w:styleId="675">
    <w:name w:val="marker_file_507"/>
    <w:basedOn w:val="460"/>
    <w:qFormat/>
    <w:uiPriority w:val="0"/>
    <w:pPr>
      <w:shd w:val="clear" w:color="auto" w:fill="FFFF00"/>
    </w:pPr>
  </w:style>
  <w:style w:type="paragraph" w:customStyle="1" w:styleId="676">
    <w:name w:val="Char1 Char Char Char Char Char Char Char Char Char Char Char Char"/>
    <w:basedOn w:val="1"/>
    <w:qFormat/>
    <w:uiPriority w:val="0"/>
    <w:rPr>
      <w:rFonts w:ascii="Tahoma" w:hAnsi="Tahoma"/>
      <w:sz w:val="24"/>
      <w:szCs w:val="20"/>
    </w:rPr>
  </w:style>
  <w:style w:type="paragraph" w:customStyle="1" w:styleId="677">
    <w:name w:val="heading 4_file_498"/>
    <w:basedOn w:val="487"/>
    <w:qFormat/>
    <w:uiPriority w:val="9"/>
    <w:pPr>
      <w:outlineLvl w:val="3"/>
    </w:pPr>
  </w:style>
  <w:style w:type="paragraph" w:customStyle="1" w:styleId="678">
    <w:name w:val="heading 5_file_495"/>
    <w:basedOn w:val="499"/>
    <w:next w:val="9"/>
    <w:qFormat/>
    <w:uiPriority w:val="0"/>
    <w:pPr>
      <w:keepNext/>
      <w:keepLines/>
      <w:numPr>
        <w:ilvl w:val="4"/>
        <w:numId w:val="1"/>
      </w:numPr>
      <w:spacing w:before="280" w:after="290" w:line="376" w:lineRule="auto"/>
      <w:outlineLvl w:val="4"/>
    </w:pPr>
    <w:rPr>
      <w:b/>
      <w:sz w:val="28"/>
    </w:rPr>
  </w:style>
  <w:style w:type="paragraph" w:customStyle="1" w:styleId="679">
    <w:name w:val="heading 6_file_508"/>
    <w:basedOn w:val="447"/>
    <w:qFormat/>
    <w:uiPriority w:val="9"/>
    <w:pPr>
      <w:outlineLvl w:val="5"/>
    </w:pPr>
    <w:rPr>
      <w:sz w:val="15"/>
      <w:szCs w:val="15"/>
    </w:rPr>
  </w:style>
  <w:style w:type="paragraph" w:customStyle="1" w:styleId="6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81">
    <w:name w:val="heading 6_file_497"/>
    <w:basedOn w:val="469"/>
    <w:qFormat/>
    <w:uiPriority w:val="9"/>
    <w:pPr>
      <w:outlineLvl w:val="5"/>
    </w:pPr>
    <w:rPr>
      <w:sz w:val="15"/>
      <w:szCs w:val="15"/>
    </w:rPr>
  </w:style>
  <w:style w:type="paragraph" w:customStyle="1" w:styleId="682">
    <w:name w:val="Char Char3 Char Char"/>
    <w:basedOn w:val="1"/>
    <w:qFormat/>
    <w:uiPriority w:val="0"/>
  </w:style>
  <w:style w:type="paragraph" w:customStyle="1" w:styleId="683">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684">
    <w:name w:val="heading 6_file_522"/>
    <w:basedOn w:val="685"/>
    <w:qFormat/>
    <w:uiPriority w:val="9"/>
    <w:pPr>
      <w:outlineLvl w:val="5"/>
    </w:pPr>
    <w:rPr>
      <w:sz w:val="15"/>
      <w:szCs w:val="15"/>
    </w:rPr>
  </w:style>
  <w:style w:type="paragraph" w:customStyle="1" w:styleId="685">
    <w:name w:val="Normal_file_5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6">
    <w:name w:val="marker_file_519"/>
    <w:basedOn w:val="687"/>
    <w:qFormat/>
    <w:uiPriority w:val="0"/>
    <w:pPr>
      <w:shd w:val="clear" w:color="auto" w:fill="FFFF00"/>
    </w:pPr>
  </w:style>
  <w:style w:type="paragraph" w:customStyle="1" w:styleId="687">
    <w:name w:val="Normal_file_5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8">
    <w:name w:val="marker_file_521"/>
    <w:basedOn w:val="689"/>
    <w:qFormat/>
    <w:uiPriority w:val="0"/>
    <w:pPr>
      <w:shd w:val="clear" w:color="auto" w:fill="FFFF00"/>
    </w:pPr>
  </w:style>
  <w:style w:type="paragraph" w:customStyle="1" w:styleId="689">
    <w:name w:val="Normal_file_5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0">
    <w:name w:val="Normal_file_5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1">
    <w:name w:val="heading 4_file_522"/>
    <w:basedOn w:val="685"/>
    <w:qFormat/>
    <w:uiPriority w:val="9"/>
    <w:pPr>
      <w:outlineLvl w:val="3"/>
    </w:pPr>
  </w:style>
  <w:style w:type="paragraph" w:customStyle="1" w:styleId="692">
    <w:name w:val="Normal (Web)_file_519"/>
    <w:basedOn w:val="687"/>
    <w:unhideWhenUsed/>
    <w:qFormat/>
    <w:uiPriority w:val="99"/>
  </w:style>
  <w:style w:type="paragraph" w:customStyle="1" w:styleId="693">
    <w:name w:val="heading 1_file_520"/>
    <w:basedOn w:val="690"/>
    <w:qFormat/>
    <w:uiPriority w:val="9"/>
    <w:pPr>
      <w:outlineLvl w:val="0"/>
    </w:pPr>
    <w:rPr>
      <w:kern w:val="36"/>
      <w:sz w:val="48"/>
      <w:szCs w:val="48"/>
    </w:rPr>
  </w:style>
  <w:style w:type="paragraph" w:customStyle="1" w:styleId="694">
    <w:name w:val="heading 2_file_520"/>
    <w:basedOn w:val="690"/>
    <w:qFormat/>
    <w:uiPriority w:val="9"/>
    <w:pPr>
      <w:outlineLvl w:val="1"/>
    </w:pPr>
    <w:rPr>
      <w:sz w:val="36"/>
      <w:szCs w:val="36"/>
    </w:rPr>
  </w:style>
  <w:style w:type="paragraph" w:customStyle="1" w:styleId="695">
    <w:name w:val="heading 4_file_520"/>
    <w:basedOn w:val="690"/>
    <w:qFormat/>
    <w:uiPriority w:val="9"/>
    <w:pPr>
      <w:outlineLvl w:val="3"/>
    </w:pPr>
  </w:style>
  <w:style w:type="paragraph" w:customStyle="1" w:styleId="696">
    <w:name w:val="cke_editable_file_509"/>
    <w:basedOn w:val="583"/>
    <w:qFormat/>
    <w:uiPriority w:val="0"/>
    <w:rPr>
      <w:rFonts w:ascii="仿宋_GB2312" w:eastAsia="仿宋_GB2312"/>
    </w:rPr>
  </w:style>
  <w:style w:type="paragraph" w:customStyle="1" w:styleId="697">
    <w:name w:val="marker_file_509"/>
    <w:basedOn w:val="583"/>
    <w:qFormat/>
    <w:uiPriority w:val="0"/>
    <w:pPr>
      <w:shd w:val="clear" w:color="auto" w:fill="FFFF00"/>
    </w:pPr>
  </w:style>
  <w:style w:type="paragraph" w:customStyle="1" w:styleId="698">
    <w:name w:val="Normal (Web)_file_509"/>
    <w:basedOn w:val="583"/>
    <w:unhideWhenUsed/>
    <w:qFormat/>
    <w:uiPriority w:val="99"/>
  </w:style>
  <w:style w:type="paragraph" w:customStyle="1" w:styleId="699">
    <w:name w:val="heading 1_file_510"/>
    <w:basedOn w:val="559"/>
    <w:qFormat/>
    <w:uiPriority w:val="9"/>
    <w:pPr>
      <w:outlineLvl w:val="0"/>
    </w:pPr>
    <w:rPr>
      <w:kern w:val="36"/>
      <w:sz w:val="48"/>
      <w:szCs w:val="48"/>
    </w:rPr>
  </w:style>
  <w:style w:type="paragraph" w:customStyle="1" w:styleId="700">
    <w:name w:val="heading 2_file_510"/>
    <w:basedOn w:val="559"/>
    <w:qFormat/>
    <w:uiPriority w:val="9"/>
    <w:pPr>
      <w:outlineLvl w:val="1"/>
    </w:pPr>
    <w:rPr>
      <w:sz w:val="36"/>
      <w:szCs w:val="36"/>
    </w:rPr>
  </w:style>
  <w:style w:type="paragraph" w:customStyle="1" w:styleId="701">
    <w:name w:val="heading 3_file_510"/>
    <w:basedOn w:val="559"/>
    <w:qFormat/>
    <w:uiPriority w:val="9"/>
    <w:pPr>
      <w:outlineLvl w:val="2"/>
    </w:pPr>
    <w:rPr>
      <w:sz w:val="27"/>
      <w:szCs w:val="27"/>
    </w:rPr>
  </w:style>
  <w:style w:type="paragraph" w:customStyle="1" w:styleId="702">
    <w:name w:val="heading 4_file_510"/>
    <w:basedOn w:val="559"/>
    <w:qFormat/>
    <w:uiPriority w:val="9"/>
    <w:pPr>
      <w:outlineLvl w:val="3"/>
    </w:pPr>
  </w:style>
  <w:style w:type="paragraph" w:customStyle="1" w:styleId="703">
    <w:name w:val="heading 5_file_510"/>
    <w:basedOn w:val="559"/>
    <w:qFormat/>
    <w:uiPriority w:val="9"/>
    <w:pPr>
      <w:outlineLvl w:val="4"/>
    </w:pPr>
    <w:rPr>
      <w:sz w:val="20"/>
      <w:szCs w:val="20"/>
    </w:rPr>
  </w:style>
  <w:style w:type="paragraph" w:customStyle="1" w:styleId="704">
    <w:name w:val="heading 6_file_510"/>
    <w:basedOn w:val="559"/>
    <w:qFormat/>
    <w:uiPriority w:val="9"/>
    <w:pPr>
      <w:outlineLvl w:val="5"/>
    </w:pPr>
    <w:rPr>
      <w:sz w:val="15"/>
      <w:szCs w:val="15"/>
    </w:rPr>
  </w:style>
  <w:style w:type="paragraph" w:customStyle="1" w:styleId="705">
    <w:name w:val="Normal (Web)_file_510"/>
    <w:basedOn w:val="559"/>
    <w:unhideWhenUsed/>
    <w:qFormat/>
    <w:uiPriority w:val="99"/>
  </w:style>
  <w:style w:type="paragraph" w:customStyle="1" w:styleId="706">
    <w:name w:val="cke_editable_file_511"/>
    <w:basedOn w:val="450"/>
    <w:qFormat/>
    <w:uiPriority w:val="0"/>
    <w:rPr>
      <w:rFonts w:ascii="仿宋_GB2312" w:eastAsia="仿宋_GB2312"/>
    </w:rPr>
  </w:style>
  <w:style w:type="paragraph" w:customStyle="1" w:styleId="707">
    <w:name w:val="heading 3_file_520"/>
    <w:basedOn w:val="690"/>
    <w:qFormat/>
    <w:uiPriority w:val="9"/>
    <w:pPr>
      <w:outlineLvl w:val="2"/>
    </w:pPr>
    <w:rPr>
      <w:sz w:val="27"/>
      <w:szCs w:val="27"/>
    </w:rPr>
  </w:style>
  <w:style w:type="paragraph" w:customStyle="1" w:styleId="708">
    <w:name w:val="heading 5_file_520"/>
    <w:basedOn w:val="690"/>
    <w:qFormat/>
    <w:uiPriority w:val="9"/>
    <w:pPr>
      <w:outlineLvl w:val="4"/>
    </w:pPr>
    <w:rPr>
      <w:sz w:val="20"/>
      <w:szCs w:val="20"/>
    </w:rPr>
  </w:style>
  <w:style w:type="paragraph" w:customStyle="1" w:styleId="709">
    <w:name w:val="marker_file_511"/>
    <w:basedOn w:val="450"/>
    <w:qFormat/>
    <w:uiPriority w:val="0"/>
    <w:pPr>
      <w:shd w:val="clear" w:color="auto" w:fill="FFFF00"/>
    </w:pPr>
  </w:style>
  <w:style w:type="paragraph" w:customStyle="1" w:styleId="710">
    <w:name w:val="Normal (Web)_file_511"/>
    <w:basedOn w:val="450"/>
    <w:unhideWhenUsed/>
    <w:qFormat/>
    <w:uiPriority w:val="99"/>
  </w:style>
  <w:style w:type="paragraph" w:customStyle="1" w:styleId="711">
    <w:name w:val="Normal_file_5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2">
    <w:name w:val="heading 1_file_512"/>
    <w:basedOn w:val="711"/>
    <w:qFormat/>
    <w:uiPriority w:val="9"/>
    <w:pPr>
      <w:outlineLvl w:val="0"/>
    </w:pPr>
    <w:rPr>
      <w:kern w:val="36"/>
      <w:sz w:val="48"/>
      <w:szCs w:val="48"/>
    </w:rPr>
  </w:style>
  <w:style w:type="paragraph" w:customStyle="1" w:styleId="713">
    <w:name w:val="heading 2_file_512"/>
    <w:basedOn w:val="711"/>
    <w:qFormat/>
    <w:uiPriority w:val="9"/>
    <w:pPr>
      <w:outlineLvl w:val="1"/>
    </w:pPr>
    <w:rPr>
      <w:sz w:val="36"/>
      <w:szCs w:val="36"/>
    </w:rPr>
  </w:style>
  <w:style w:type="paragraph" w:customStyle="1" w:styleId="714">
    <w:name w:val="heading 3_file_512"/>
    <w:basedOn w:val="711"/>
    <w:qFormat/>
    <w:uiPriority w:val="9"/>
    <w:pPr>
      <w:outlineLvl w:val="2"/>
    </w:pPr>
    <w:rPr>
      <w:sz w:val="27"/>
      <w:szCs w:val="27"/>
    </w:rPr>
  </w:style>
  <w:style w:type="paragraph" w:customStyle="1" w:styleId="715">
    <w:name w:val="heading 4_file_512"/>
    <w:basedOn w:val="711"/>
    <w:qFormat/>
    <w:uiPriority w:val="9"/>
    <w:pPr>
      <w:outlineLvl w:val="3"/>
    </w:pPr>
  </w:style>
  <w:style w:type="paragraph" w:customStyle="1" w:styleId="716">
    <w:name w:val="Normal (Web)_file_520"/>
    <w:basedOn w:val="690"/>
    <w:unhideWhenUsed/>
    <w:qFormat/>
    <w:uiPriority w:val="99"/>
  </w:style>
  <w:style w:type="paragraph" w:customStyle="1" w:styleId="717">
    <w:name w:val="heading 5_file_512"/>
    <w:basedOn w:val="711"/>
    <w:qFormat/>
    <w:uiPriority w:val="9"/>
    <w:pPr>
      <w:outlineLvl w:val="4"/>
    </w:pPr>
    <w:rPr>
      <w:sz w:val="20"/>
      <w:szCs w:val="20"/>
    </w:rPr>
  </w:style>
  <w:style w:type="paragraph" w:customStyle="1" w:styleId="718">
    <w:name w:val="heading 6_file_512"/>
    <w:basedOn w:val="711"/>
    <w:qFormat/>
    <w:uiPriority w:val="9"/>
    <w:pPr>
      <w:outlineLvl w:val="5"/>
    </w:pPr>
    <w:rPr>
      <w:sz w:val="15"/>
      <w:szCs w:val="15"/>
    </w:rPr>
  </w:style>
  <w:style w:type="paragraph" w:customStyle="1" w:styleId="719">
    <w:name w:val="heading 6_file_520"/>
    <w:basedOn w:val="690"/>
    <w:qFormat/>
    <w:uiPriority w:val="9"/>
    <w:pPr>
      <w:outlineLvl w:val="5"/>
    </w:pPr>
    <w:rPr>
      <w:sz w:val="15"/>
      <w:szCs w:val="15"/>
    </w:rPr>
  </w:style>
  <w:style w:type="paragraph" w:customStyle="1" w:styleId="720">
    <w:name w:val="heading 1_file_521"/>
    <w:basedOn w:val="689"/>
    <w:qFormat/>
    <w:uiPriority w:val="9"/>
    <w:pPr>
      <w:outlineLvl w:val="0"/>
    </w:pPr>
    <w:rPr>
      <w:kern w:val="36"/>
      <w:sz w:val="48"/>
      <w:szCs w:val="48"/>
    </w:rPr>
  </w:style>
  <w:style w:type="paragraph" w:customStyle="1" w:styleId="721">
    <w:name w:val="heading 3_file_521"/>
    <w:basedOn w:val="689"/>
    <w:qFormat/>
    <w:uiPriority w:val="9"/>
    <w:pPr>
      <w:outlineLvl w:val="2"/>
    </w:pPr>
    <w:rPr>
      <w:sz w:val="27"/>
      <w:szCs w:val="27"/>
    </w:rPr>
  </w:style>
  <w:style w:type="paragraph" w:customStyle="1" w:styleId="722">
    <w:name w:val="heading 4_file_521"/>
    <w:basedOn w:val="689"/>
    <w:qFormat/>
    <w:uiPriority w:val="9"/>
    <w:pPr>
      <w:outlineLvl w:val="3"/>
    </w:pPr>
  </w:style>
  <w:style w:type="paragraph" w:customStyle="1" w:styleId="723">
    <w:name w:val="heading 5_file_521"/>
    <w:basedOn w:val="689"/>
    <w:qFormat/>
    <w:uiPriority w:val="9"/>
    <w:pPr>
      <w:outlineLvl w:val="4"/>
    </w:pPr>
    <w:rPr>
      <w:sz w:val="20"/>
      <w:szCs w:val="20"/>
    </w:rPr>
  </w:style>
  <w:style w:type="paragraph" w:customStyle="1" w:styleId="724">
    <w:name w:val="cke_editable_file_512"/>
    <w:basedOn w:val="711"/>
    <w:qFormat/>
    <w:uiPriority w:val="0"/>
    <w:rPr>
      <w:rFonts w:ascii="仿宋_GB2312" w:eastAsia="仿宋_GB2312"/>
    </w:rPr>
  </w:style>
  <w:style w:type="paragraph" w:customStyle="1" w:styleId="725">
    <w:name w:val="heading 6_file_521"/>
    <w:basedOn w:val="689"/>
    <w:qFormat/>
    <w:uiPriority w:val="9"/>
    <w:pPr>
      <w:outlineLvl w:val="5"/>
    </w:pPr>
    <w:rPr>
      <w:sz w:val="15"/>
      <w:szCs w:val="15"/>
    </w:rPr>
  </w:style>
  <w:style w:type="paragraph" w:customStyle="1" w:styleId="726">
    <w:name w:val="marker_file_512"/>
    <w:basedOn w:val="711"/>
    <w:qFormat/>
    <w:uiPriority w:val="0"/>
    <w:pPr>
      <w:shd w:val="clear" w:color="auto" w:fill="FFFF00"/>
    </w:pPr>
  </w:style>
  <w:style w:type="paragraph" w:customStyle="1" w:styleId="727">
    <w:name w:val="Normal (Web)_file_512"/>
    <w:basedOn w:val="711"/>
    <w:unhideWhenUsed/>
    <w:qFormat/>
    <w:uiPriority w:val="99"/>
  </w:style>
  <w:style w:type="paragraph" w:customStyle="1" w:styleId="728">
    <w:name w:val="Normal_file_5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9">
    <w:name w:val="heading 1_file_513"/>
    <w:basedOn w:val="728"/>
    <w:qFormat/>
    <w:uiPriority w:val="9"/>
    <w:pPr>
      <w:outlineLvl w:val="0"/>
    </w:pPr>
    <w:rPr>
      <w:kern w:val="36"/>
      <w:sz w:val="48"/>
      <w:szCs w:val="48"/>
    </w:rPr>
  </w:style>
  <w:style w:type="paragraph" w:customStyle="1" w:styleId="730">
    <w:name w:val="heading 2_file_513"/>
    <w:basedOn w:val="728"/>
    <w:qFormat/>
    <w:uiPriority w:val="9"/>
    <w:pPr>
      <w:outlineLvl w:val="1"/>
    </w:pPr>
    <w:rPr>
      <w:sz w:val="36"/>
      <w:szCs w:val="36"/>
    </w:rPr>
  </w:style>
  <w:style w:type="paragraph" w:customStyle="1" w:styleId="731">
    <w:name w:val="heading 3_file_513"/>
    <w:basedOn w:val="728"/>
    <w:qFormat/>
    <w:uiPriority w:val="9"/>
    <w:pPr>
      <w:outlineLvl w:val="2"/>
    </w:pPr>
    <w:rPr>
      <w:sz w:val="27"/>
      <w:szCs w:val="27"/>
    </w:rPr>
  </w:style>
  <w:style w:type="paragraph" w:customStyle="1" w:styleId="732">
    <w:name w:val="heading 4_file_513"/>
    <w:basedOn w:val="728"/>
    <w:qFormat/>
    <w:uiPriority w:val="9"/>
    <w:pPr>
      <w:outlineLvl w:val="3"/>
    </w:pPr>
  </w:style>
  <w:style w:type="paragraph" w:customStyle="1" w:styleId="733">
    <w:name w:val="heading 5_file_513"/>
    <w:basedOn w:val="728"/>
    <w:qFormat/>
    <w:uiPriority w:val="9"/>
    <w:pPr>
      <w:outlineLvl w:val="4"/>
    </w:pPr>
    <w:rPr>
      <w:sz w:val="20"/>
      <w:szCs w:val="20"/>
    </w:rPr>
  </w:style>
  <w:style w:type="paragraph" w:customStyle="1" w:styleId="734">
    <w:name w:val="heading 6_file_513"/>
    <w:basedOn w:val="728"/>
    <w:qFormat/>
    <w:uiPriority w:val="9"/>
    <w:pPr>
      <w:outlineLvl w:val="5"/>
    </w:pPr>
    <w:rPr>
      <w:sz w:val="15"/>
      <w:szCs w:val="15"/>
    </w:rPr>
  </w:style>
  <w:style w:type="paragraph" w:customStyle="1" w:styleId="735">
    <w:name w:val="cke_editable_file_513"/>
    <w:basedOn w:val="728"/>
    <w:qFormat/>
    <w:uiPriority w:val="0"/>
    <w:rPr>
      <w:rFonts w:ascii="仿宋_GB2312" w:eastAsia="仿宋_GB2312"/>
    </w:rPr>
  </w:style>
  <w:style w:type="paragraph" w:customStyle="1" w:styleId="736">
    <w:name w:val="marker_file_513"/>
    <w:basedOn w:val="728"/>
    <w:qFormat/>
    <w:uiPriority w:val="0"/>
    <w:pPr>
      <w:shd w:val="clear" w:color="auto" w:fill="FFFF00"/>
    </w:pPr>
  </w:style>
  <w:style w:type="paragraph" w:customStyle="1" w:styleId="737">
    <w:name w:val="Normal (Web)_file_513"/>
    <w:basedOn w:val="728"/>
    <w:unhideWhenUsed/>
    <w:qFormat/>
    <w:uiPriority w:val="99"/>
  </w:style>
  <w:style w:type="paragraph" w:customStyle="1" w:styleId="738">
    <w:name w:val="Normal_file_5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9">
    <w:name w:val="heading 1_file_514"/>
    <w:basedOn w:val="738"/>
    <w:qFormat/>
    <w:uiPriority w:val="9"/>
    <w:pPr>
      <w:outlineLvl w:val="0"/>
    </w:pPr>
    <w:rPr>
      <w:kern w:val="36"/>
      <w:sz w:val="48"/>
      <w:szCs w:val="48"/>
    </w:rPr>
  </w:style>
  <w:style w:type="paragraph" w:customStyle="1" w:styleId="740">
    <w:name w:val="heading 2_file_514"/>
    <w:basedOn w:val="738"/>
    <w:qFormat/>
    <w:uiPriority w:val="9"/>
    <w:pPr>
      <w:outlineLvl w:val="1"/>
    </w:pPr>
    <w:rPr>
      <w:sz w:val="36"/>
      <w:szCs w:val="36"/>
    </w:rPr>
  </w:style>
  <w:style w:type="paragraph" w:customStyle="1" w:styleId="741">
    <w:name w:val="heading 3_file_514"/>
    <w:basedOn w:val="738"/>
    <w:qFormat/>
    <w:uiPriority w:val="9"/>
    <w:pPr>
      <w:outlineLvl w:val="2"/>
    </w:pPr>
    <w:rPr>
      <w:sz w:val="27"/>
      <w:szCs w:val="27"/>
    </w:rPr>
  </w:style>
  <w:style w:type="paragraph" w:customStyle="1" w:styleId="742">
    <w:name w:val="heading 4_file_514"/>
    <w:basedOn w:val="738"/>
    <w:qFormat/>
    <w:uiPriority w:val="9"/>
    <w:pPr>
      <w:outlineLvl w:val="3"/>
    </w:pPr>
  </w:style>
  <w:style w:type="paragraph" w:customStyle="1" w:styleId="743">
    <w:name w:val="heading 5_file_514"/>
    <w:basedOn w:val="738"/>
    <w:qFormat/>
    <w:uiPriority w:val="9"/>
    <w:pPr>
      <w:outlineLvl w:val="4"/>
    </w:pPr>
    <w:rPr>
      <w:sz w:val="20"/>
      <w:szCs w:val="20"/>
    </w:rPr>
  </w:style>
  <w:style w:type="paragraph" w:customStyle="1" w:styleId="744">
    <w:name w:val="heading 6_file_514"/>
    <w:basedOn w:val="738"/>
    <w:qFormat/>
    <w:uiPriority w:val="9"/>
    <w:pPr>
      <w:outlineLvl w:val="5"/>
    </w:pPr>
    <w:rPr>
      <w:sz w:val="15"/>
      <w:szCs w:val="15"/>
    </w:rPr>
  </w:style>
  <w:style w:type="paragraph" w:customStyle="1" w:styleId="745">
    <w:name w:val="Normal (Web)_file_518"/>
    <w:basedOn w:val="746"/>
    <w:unhideWhenUsed/>
    <w:qFormat/>
    <w:uiPriority w:val="99"/>
  </w:style>
  <w:style w:type="paragraph" w:customStyle="1" w:styleId="746">
    <w:name w:val="Normal_file_5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7">
    <w:name w:val="marker_file_522"/>
    <w:basedOn w:val="685"/>
    <w:qFormat/>
    <w:uiPriority w:val="0"/>
    <w:pPr>
      <w:shd w:val="clear" w:color="auto" w:fill="FFFF00"/>
    </w:pPr>
  </w:style>
  <w:style w:type="paragraph" w:customStyle="1" w:styleId="748">
    <w:name w:val="Normal (Web)_file_522"/>
    <w:basedOn w:val="685"/>
    <w:unhideWhenUsed/>
    <w:qFormat/>
    <w:uiPriority w:val="99"/>
  </w:style>
  <w:style w:type="paragraph" w:customStyle="1" w:styleId="749">
    <w:name w:val="cke_editable_file_514"/>
    <w:basedOn w:val="738"/>
    <w:qFormat/>
    <w:uiPriority w:val="0"/>
    <w:rPr>
      <w:rFonts w:ascii="仿宋_GB2312" w:eastAsia="仿宋_GB2312"/>
    </w:rPr>
  </w:style>
  <w:style w:type="paragraph" w:customStyle="1" w:styleId="750">
    <w:name w:val="Normal_file_5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1">
    <w:name w:val="marker_file_514"/>
    <w:basedOn w:val="738"/>
    <w:qFormat/>
    <w:uiPriority w:val="0"/>
    <w:pPr>
      <w:shd w:val="clear" w:color="auto" w:fill="FFFF00"/>
    </w:pPr>
  </w:style>
  <w:style w:type="paragraph" w:customStyle="1" w:styleId="752">
    <w:name w:val="heading 2_file_523"/>
    <w:basedOn w:val="750"/>
    <w:qFormat/>
    <w:uiPriority w:val="9"/>
    <w:pPr>
      <w:outlineLvl w:val="1"/>
    </w:pPr>
    <w:rPr>
      <w:sz w:val="36"/>
      <w:szCs w:val="36"/>
    </w:rPr>
  </w:style>
  <w:style w:type="paragraph" w:customStyle="1" w:styleId="753">
    <w:name w:val="Normal (Web)_file_514"/>
    <w:basedOn w:val="738"/>
    <w:unhideWhenUsed/>
    <w:qFormat/>
    <w:uiPriority w:val="99"/>
  </w:style>
  <w:style w:type="paragraph" w:customStyle="1" w:styleId="754">
    <w:name w:val="Normal_file_5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5">
    <w:name w:val="heading 1_file_515"/>
    <w:basedOn w:val="754"/>
    <w:qFormat/>
    <w:uiPriority w:val="9"/>
    <w:pPr>
      <w:outlineLvl w:val="0"/>
    </w:pPr>
    <w:rPr>
      <w:kern w:val="36"/>
      <w:sz w:val="48"/>
      <w:szCs w:val="48"/>
    </w:rPr>
  </w:style>
  <w:style w:type="paragraph" w:customStyle="1" w:styleId="756">
    <w:name w:val="heading 5_file_523"/>
    <w:basedOn w:val="750"/>
    <w:qFormat/>
    <w:uiPriority w:val="9"/>
    <w:pPr>
      <w:outlineLvl w:val="4"/>
    </w:pPr>
    <w:rPr>
      <w:sz w:val="20"/>
      <w:szCs w:val="20"/>
    </w:rPr>
  </w:style>
  <w:style w:type="paragraph" w:customStyle="1" w:styleId="757">
    <w:name w:val="heading 2_file_515"/>
    <w:basedOn w:val="754"/>
    <w:qFormat/>
    <w:uiPriority w:val="9"/>
    <w:pPr>
      <w:outlineLvl w:val="1"/>
    </w:pPr>
    <w:rPr>
      <w:sz w:val="36"/>
      <w:szCs w:val="36"/>
    </w:rPr>
  </w:style>
  <w:style w:type="paragraph" w:customStyle="1" w:styleId="758">
    <w:name w:val="heading 6_file_523"/>
    <w:basedOn w:val="750"/>
    <w:qFormat/>
    <w:uiPriority w:val="9"/>
    <w:pPr>
      <w:outlineLvl w:val="5"/>
    </w:pPr>
    <w:rPr>
      <w:sz w:val="15"/>
      <w:szCs w:val="15"/>
    </w:rPr>
  </w:style>
  <w:style w:type="paragraph" w:customStyle="1" w:styleId="759">
    <w:name w:val="heading 3_file_515"/>
    <w:basedOn w:val="754"/>
    <w:qFormat/>
    <w:uiPriority w:val="9"/>
    <w:pPr>
      <w:outlineLvl w:val="2"/>
    </w:pPr>
    <w:rPr>
      <w:sz w:val="27"/>
      <w:szCs w:val="27"/>
    </w:rPr>
  </w:style>
  <w:style w:type="paragraph" w:customStyle="1" w:styleId="760">
    <w:name w:val="heading 4_file_515"/>
    <w:basedOn w:val="754"/>
    <w:qFormat/>
    <w:uiPriority w:val="9"/>
    <w:pPr>
      <w:outlineLvl w:val="3"/>
    </w:pPr>
  </w:style>
  <w:style w:type="paragraph" w:customStyle="1" w:styleId="761">
    <w:name w:val="heading 5_file_515"/>
    <w:basedOn w:val="754"/>
    <w:qFormat/>
    <w:uiPriority w:val="9"/>
    <w:pPr>
      <w:outlineLvl w:val="4"/>
    </w:pPr>
    <w:rPr>
      <w:sz w:val="20"/>
      <w:szCs w:val="20"/>
    </w:rPr>
  </w:style>
  <w:style w:type="paragraph" w:customStyle="1" w:styleId="762">
    <w:name w:val="heading 6_file_515"/>
    <w:basedOn w:val="754"/>
    <w:qFormat/>
    <w:uiPriority w:val="9"/>
    <w:pPr>
      <w:outlineLvl w:val="5"/>
    </w:pPr>
    <w:rPr>
      <w:sz w:val="15"/>
      <w:szCs w:val="15"/>
    </w:rPr>
  </w:style>
  <w:style w:type="paragraph" w:customStyle="1" w:styleId="763">
    <w:name w:val="marker_file_523"/>
    <w:basedOn w:val="750"/>
    <w:qFormat/>
    <w:uiPriority w:val="0"/>
    <w:pPr>
      <w:shd w:val="clear" w:color="auto" w:fill="FFFF00"/>
    </w:pPr>
  </w:style>
  <w:style w:type="paragraph" w:customStyle="1" w:styleId="764">
    <w:name w:val="Normal (Web)_file_523"/>
    <w:basedOn w:val="750"/>
    <w:unhideWhenUsed/>
    <w:qFormat/>
    <w:uiPriority w:val="99"/>
  </w:style>
  <w:style w:type="paragraph" w:customStyle="1" w:styleId="765">
    <w:name w:val="cke_editable_file_515"/>
    <w:basedOn w:val="754"/>
    <w:qFormat/>
    <w:uiPriority w:val="0"/>
    <w:rPr>
      <w:rFonts w:ascii="仿宋_GB2312" w:eastAsia="仿宋_GB2312"/>
    </w:rPr>
  </w:style>
  <w:style w:type="paragraph" w:customStyle="1" w:styleId="766">
    <w:name w:val="Normal_file_5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7">
    <w:name w:val="marker_file_515"/>
    <w:basedOn w:val="754"/>
    <w:qFormat/>
    <w:uiPriority w:val="0"/>
    <w:pPr>
      <w:shd w:val="clear" w:color="auto" w:fill="FFFF00"/>
    </w:pPr>
  </w:style>
  <w:style w:type="paragraph" w:customStyle="1" w:styleId="768">
    <w:name w:val="heading 2_file_524"/>
    <w:basedOn w:val="766"/>
    <w:qFormat/>
    <w:uiPriority w:val="9"/>
    <w:pPr>
      <w:outlineLvl w:val="1"/>
    </w:pPr>
    <w:rPr>
      <w:sz w:val="36"/>
      <w:szCs w:val="36"/>
    </w:rPr>
  </w:style>
  <w:style w:type="paragraph" w:customStyle="1" w:styleId="769">
    <w:name w:val="Normal (Web)_file_515"/>
    <w:basedOn w:val="754"/>
    <w:unhideWhenUsed/>
    <w:qFormat/>
    <w:uiPriority w:val="99"/>
  </w:style>
  <w:style w:type="paragraph" w:customStyle="1" w:styleId="770">
    <w:name w:val="Normal_file_5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1">
    <w:name w:val="heading 1_file_516"/>
    <w:basedOn w:val="770"/>
    <w:qFormat/>
    <w:uiPriority w:val="9"/>
    <w:pPr>
      <w:outlineLvl w:val="0"/>
    </w:pPr>
    <w:rPr>
      <w:kern w:val="36"/>
      <w:sz w:val="48"/>
      <w:szCs w:val="48"/>
    </w:rPr>
  </w:style>
  <w:style w:type="paragraph" w:customStyle="1" w:styleId="772">
    <w:name w:val="heading 5_file_524"/>
    <w:basedOn w:val="766"/>
    <w:qFormat/>
    <w:uiPriority w:val="9"/>
    <w:pPr>
      <w:outlineLvl w:val="4"/>
    </w:pPr>
    <w:rPr>
      <w:sz w:val="20"/>
      <w:szCs w:val="20"/>
    </w:rPr>
  </w:style>
  <w:style w:type="paragraph" w:customStyle="1" w:styleId="773">
    <w:name w:val="heading 2_file_516"/>
    <w:basedOn w:val="770"/>
    <w:qFormat/>
    <w:uiPriority w:val="9"/>
    <w:pPr>
      <w:outlineLvl w:val="1"/>
    </w:pPr>
    <w:rPr>
      <w:sz w:val="36"/>
      <w:szCs w:val="36"/>
    </w:rPr>
  </w:style>
  <w:style w:type="paragraph" w:customStyle="1" w:styleId="774">
    <w:name w:val="heading 6_file_524"/>
    <w:basedOn w:val="766"/>
    <w:qFormat/>
    <w:uiPriority w:val="9"/>
    <w:pPr>
      <w:outlineLvl w:val="5"/>
    </w:pPr>
    <w:rPr>
      <w:sz w:val="15"/>
      <w:szCs w:val="15"/>
    </w:rPr>
  </w:style>
  <w:style w:type="paragraph" w:customStyle="1" w:styleId="775">
    <w:name w:val="heading 3_file_516"/>
    <w:basedOn w:val="770"/>
    <w:qFormat/>
    <w:uiPriority w:val="9"/>
    <w:pPr>
      <w:outlineLvl w:val="2"/>
    </w:pPr>
    <w:rPr>
      <w:sz w:val="27"/>
      <w:szCs w:val="27"/>
    </w:rPr>
  </w:style>
  <w:style w:type="paragraph" w:customStyle="1" w:styleId="776">
    <w:name w:val="heading 4_file_516"/>
    <w:basedOn w:val="770"/>
    <w:qFormat/>
    <w:uiPriority w:val="9"/>
    <w:pPr>
      <w:outlineLvl w:val="3"/>
    </w:pPr>
  </w:style>
  <w:style w:type="paragraph" w:customStyle="1" w:styleId="777">
    <w:name w:val="heading 5_file_516"/>
    <w:basedOn w:val="770"/>
    <w:qFormat/>
    <w:uiPriority w:val="9"/>
    <w:pPr>
      <w:outlineLvl w:val="4"/>
    </w:pPr>
    <w:rPr>
      <w:sz w:val="20"/>
      <w:szCs w:val="20"/>
    </w:rPr>
  </w:style>
  <w:style w:type="paragraph" w:customStyle="1" w:styleId="778">
    <w:name w:val="heading 6_file_516"/>
    <w:basedOn w:val="770"/>
    <w:qFormat/>
    <w:uiPriority w:val="9"/>
    <w:pPr>
      <w:outlineLvl w:val="5"/>
    </w:pPr>
    <w:rPr>
      <w:sz w:val="15"/>
      <w:szCs w:val="15"/>
    </w:rPr>
  </w:style>
  <w:style w:type="paragraph" w:customStyle="1" w:styleId="779">
    <w:name w:val="marker_file_524"/>
    <w:basedOn w:val="766"/>
    <w:qFormat/>
    <w:uiPriority w:val="0"/>
    <w:pPr>
      <w:shd w:val="clear" w:color="auto" w:fill="FFFF00"/>
    </w:pPr>
  </w:style>
  <w:style w:type="paragraph" w:customStyle="1" w:styleId="780">
    <w:name w:val="Normal (Web)_file_524"/>
    <w:basedOn w:val="766"/>
    <w:unhideWhenUsed/>
    <w:qFormat/>
    <w:uiPriority w:val="99"/>
  </w:style>
  <w:style w:type="paragraph" w:customStyle="1" w:styleId="781">
    <w:name w:val="Normal_file_5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2">
    <w:name w:val="cke_editable_file_516"/>
    <w:basedOn w:val="770"/>
    <w:qFormat/>
    <w:uiPriority w:val="0"/>
    <w:rPr>
      <w:rFonts w:ascii="仿宋_GB2312" w:eastAsia="仿宋_GB2312"/>
    </w:rPr>
  </w:style>
  <w:style w:type="paragraph" w:customStyle="1" w:styleId="783">
    <w:name w:val="marker_file_516"/>
    <w:basedOn w:val="770"/>
    <w:qFormat/>
    <w:uiPriority w:val="0"/>
    <w:pPr>
      <w:shd w:val="clear" w:color="auto" w:fill="FFFF00"/>
    </w:pPr>
  </w:style>
  <w:style w:type="paragraph" w:customStyle="1" w:styleId="784">
    <w:name w:val="Normal (Web)_file_516"/>
    <w:basedOn w:val="770"/>
    <w:unhideWhenUsed/>
    <w:qFormat/>
    <w:uiPriority w:val="99"/>
  </w:style>
  <w:style w:type="paragraph" w:customStyle="1" w:styleId="785">
    <w:name w:val="heading 3_file_525"/>
    <w:basedOn w:val="781"/>
    <w:qFormat/>
    <w:uiPriority w:val="9"/>
    <w:pPr>
      <w:outlineLvl w:val="2"/>
    </w:pPr>
    <w:rPr>
      <w:sz w:val="27"/>
      <w:szCs w:val="27"/>
    </w:rPr>
  </w:style>
  <w:style w:type="paragraph" w:customStyle="1" w:styleId="786">
    <w:name w:val="Normal_file_5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7">
    <w:name w:val="heading 1_file_517"/>
    <w:basedOn w:val="786"/>
    <w:qFormat/>
    <w:uiPriority w:val="9"/>
    <w:pPr>
      <w:outlineLvl w:val="0"/>
    </w:pPr>
    <w:rPr>
      <w:kern w:val="36"/>
      <w:sz w:val="48"/>
      <w:szCs w:val="48"/>
    </w:rPr>
  </w:style>
  <w:style w:type="paragraph" w:customStyle="1" w:styleId="788">
    <w:name w:val="heading 5_file_525"/>
    <w:basedOn w:val="781"/>
    <w:qFormat/>
    <w:uiPriority w:val="9"/>
    <w:pPr>
      <w:outlineLvl w:val="4"/>
    </w:pPr>
    <w:rPr>
      <w:sz w:val="20"/>
      <w:szCs w:val="20"/>
    </w:rPr>
  </w:style>
  <w:style w:type="paragraph" w:customStyle="1" w:styleId="789">
    <w:name w:val="heading 2_file_517"/>
    <w:basedOn w:val="786"/>
    <w:qFormat/>
    <w:uiPriority w:val="9"/>
    <w:pPr>
      <w:outlineLvl w:val="1"/>
    </w:pPr>
    <w:rPr>
      <w:sz w:val="36"/>
      <w:szCs w:val="36"/>
    </w:rPr>
  </w:style>
  <w:style w:type="paragraph" w:customStyle="1" w:styleId="790">
    <w:name w:val="heading 6_file_525"/>
    <w:basedOn w:val="781"/>
    <w:qFormat/>
    <w:uiPriority w:val="9"/>
    <w:pPr>
      <w:outlineLvl w:val="5"/>
    </w:pPr>
    <w:rPr>
      <w:sz w:val="15"/>
      <w:szCs w:val="15"/>
    </w:rPr>
  </w:style>
  <w:style w:type="paragraph" w:customStyle="1" w:styleId="791">
    <w:name w:val="heading 3_file_517"/>
    <w:basedOn w:val="786"/>
    <w:qFormat/>
    <w:uiPriority w:val="9"/>
    <w:pPr>
      <w:outlineLvl w:val="2"/>
    </w:pPr>
    <w:rPr>
      <w:sz w:val="27"/>
      <w:szCs w:val="27"/>
    </w:rPr>
  </w:style>
  <w:style w:type="paragraph" w:customStyle="1" w:styleId="792">
    <w:name w:val="heading 4_file_517"/>
    <w:basedOn w:val="786"/>
    <w:qFormat/>
    <w:uiPriority w:val="9"/>
    <w:pPr>
      <w:outlineLvl w:val="3"/>
    </w:pPr>
  </w:style>
  <w:style w:type="paragraph" w:customStyle="1" w:styleId="793">
    <w:name w:val="heading 5_file_517"/>
    <w:basedOn w:val="786"/>
    <w:qFormat/>
    <w:uiPriority w:val="9"/>
    <w:pPr>
      <w:outlineLvl w:val="4"/>
    </w:pPr>
    <w:rPr>
      <w:sz w:val="20"/>
      <w:szCs w:val="20"/>
    </w:rPr>
  </w:style>
  <w:style w:type="paragraph" w:customStyle="1" w:styleId="794">
    <w:name w:val="heading 6_file_517"/>
    <w:basedOn w:val="786"/>
    <w:qFormat/>
    <w:uiPriority w:val="9"/>
    <w:pPr>
      <w:outlineLvl w:val="5"/>
    </w:pPr>
    <w:rPr>
      <w:sz w:val="15"/>
      <w:szCs w:val="15"/>
    </w:rPr>
  </w:style>
  <w:style w:type="paragraph" w:customStyle="1" w:styleId="795">
    <w:name w:val="cke_editable_file_517"/>
    <w:basedOn w:val="786"/>
    <w:qFormat/>
    <w:uiPriority w:val="0"/>
    <w:rPr>
      <w:rFonts w:ascii="仿宋_GB2312" w:eastAsia="仿宋_GB2312"/>
    </w:rPr>
  </w:style>
  <w:style w:type="paragraph" w:customStyle="1" w:styleId="796">
    <w:name w:val="marker_file_517"/>
    <w:basedOn w:val="786"/>
    <w:qFormat/>
    <w:uiPriority w:val="0"/>
    <w:pPr>
      <w:shd w:val="clear" w:color="auto" w:fill="FFFF00"/>
    </w:pPr>
  </w:style>
  <w:style w:type="paragraph" w:customStyle="1" w:styleId="797">
    <w:name w:val="Normal (Web)_file_517"/>
    <w:basedOn w:val="786"/>
    <w:unhideWhenUsed/>
    <w:qFormat/>
    <w:uiPriority w:val="99"/>
  </w:style>
  <w:style w:type="paragraph" w:customStyle="1" w:styleId="798">
    <w:name w:val="heading 1_file_524"/>
    <w:basedOn w:val="766"/>
    <w:qFormat/>
    <w:uiPriority w:val="9"/>
    <w:pPr>
      <w:outlineLvl w:val="0"/>
    </w:pPr>
    <w:rPr>
      <w:kern w:val="36"/>
      <w:sz w:val="48"/>
      <w:szCs w:val="48"/>
    </w:rPr>
  </w:style>
  <w:style w:type="paragraph" w:customStyle="1" w:styleId="799">
    <w:name w:val="heading 1_file_518"/>
    <w:basedOn w:val="746"/>
    <w:qFormat/>
    <w:uiPriority w:val="9"/>
    <w:pPr>
      <w:outlineLvl w:val="0"/>
    </w:pPr>
    <w:rPr>
      <w:kern w:val="36"/>
      <w:sz w:val="48"/>
      <w:szCs w:val="48"/>
    </w:rPr>
  </w:style>
  <w:style w:type="paragraph" w:customStyle="1" w:styleId="800">
    <w:name w:val="heading 2_file_518"/>
    <w:basedOn w:val="746"/>
    <w:qFormat/>
    <w:uiPriority w:val="9"/>
    <w:pPr>
      <w:outlineLvl w:val="1"/>
    </w:pPr>
    <w:rPr>
      <w:sz w:val="36"/>
      <w:szCs w:val="36"/>
    </w:rPr>
  </w:style>
  <w:style w:type="paragraph" w:customStyle="1" w:styleId="801">
    <w:name w:val="heading 3_file_518"/>
    <w:basedOn w:val="746"/>
    <w:qFormat/>
    <w:uiPriority w:val="9"/>
    <w:pPr>
      <w:outlineLvl w:val="2"/>
    </w:pPr>
    <w:rPr>
      <w:sz w:val="27"/>
      <w:szCs w:val="27"/>
    </w:rPr>
  </w:style>
  <w:style w:type="paragraph" w:customStyle="1" w:styleId="802">
    <w:name w:val="heading 4_file_518"/>
    <w:basedOn w:val="746"/>
    <w:qFormat/>
    <w:uiPriority w:val="9"/>
    <w:pPr>
      <w:outlineLvl w:val="3"/>
    </w:pPr>
  </w:style>
  <w:style w:type="paragraph" w:customStyle="1" w:styleId="803">
    <w:name w:val="heading 5_file_518"/>
    <w:basedOn w:val="746"/>
    <w:qFormat/>
    <w:uiPriority w:val="9"/>
    <w:pPr>
      <w:outlineLvl w:val="4"/>
    </w:pPr>
    <w:rPr>
      <w:sz w:val="20"/>
      <w:szCs w:val="20"/>
    </w:rPr>
  </w:style>
  <w:style w:type="paragraph" w:customStyle="1" w:styleId="804">
    <w:name w:val="heading 6_file_518"/>
    <w:basedOn w:val="746"/>
    <w:qFormat/>
    <w:uiPriority w:val="9"/>
    <w:pPr>
      <w:outlineLvl w:val="5"/>
    </w:pPr>
    <w:rPr>
      <w:sz w:val="15"/>
      <w:szCs w:val="15"/>
    </w:rPr>
  </w:style>
  <w:style w:type="paragraph" w:customStyle="1" w:styleId="805">
    <w:name w:val="heading 2_file_521"/>
    <w:basedOn w:val="689"/>
    <w:qFormat/>
    <w:uiPriority w:val="9"/>
    <w:pPr>
      <w:outlineLvl w:val="1"/>
    </w:pPr>
    <w:rPr>
      <w:sz w:val="36"/>
      <w:szCs w:val="36"/>
    </w:rPr>
  </w:style>
  <w:style w:type="paragraph" w:customStyle="1" w:styleId="806">
    <w:name w:val="cke_editable_file_518"/>
    <w:basedOn w:val="746"/>
    <w:qFormat/>
    <w:uiPriority w:val="0"/>
    <w:rPr>
      <w:rFonts w:ascii="仿宋_GB2312" w:eastAsia="仿宋_GB2312"/>
    </w:rPr>
  </w:style>
  <w:style w:type="paragraph" w:customStyle="1" w:styleId="807">
    <w:name w:val="marker_file_520"/>
    <w:basedOn w:val="690"/>
    <w:qFormat/>
    <w:uiPriority w:val="0"/>
    <w:pPr>
      <w:shd w:val="clear" w:color="auto" w:fill="FFFF00"/>
    </w:pPr>
  </w:style>
  <w:style w:type="paragraph" w:customStyle="1" w:styleId="808">
    <w:name w:val="marker_file_518"/>
    <w:basedOn w:val="746"/>
    <w:qFormat/>
    <w:uiPriority w:val="0"/>
    <w:pPr>
      <w:shd w:val="clear" w:color="auto" w:fill="FFFF00"/>
    </w:pPr>
  </w:style>
  <w:style w:type="paragraph" w:customStyle="1" w:styleId="809">
    <w:name w:val="heading 1_file_519"/>
    <w:basedOn w:val="687"/>
    <w:qFormat/>
    <w:uiPriority w:val="9"/>
    <w:pPr>
      <w:outlineLvl w:val="0"/>
    </w:pPr>
    <w:rPr>
      <w:kern w:val="36"/>
      <w:sz w:val="48"/>
      <w:szCs w:val="48"/>
    </w:rPr>
  </w:style>
  <w:style w:type="paragraph" w:customStyle="1" w:styleId="810">
    <w:name w:val="heading 2_file_519"/>
    <w:basedOn w:val="687"/>
    <w:qFormat/>
    <w:uiPriority w:val="9"/>
    <w:pPr>
      <w:outlineLvl w:val="1"/>
    </w:pPr>
    <w:rPr>
      <w:sz w:val="36"/>
      <w:szCs w:val="36"/>
    </w:rPr>
  </w:style>
  <w:style w:type="paragraph" w:customStyle="1" w:styleId="811">
    <w:name w:val="heading 3_file_519"/>
    <w:basedOn w:val="687"/>
    <w:qFormat/>
    <w:uiPriority w:val="9"/>
    <w:pPr>
      <w:outlineLvl w:val="2"/>
    </w:pPr>
    <w:rPr>
      <w:sz w:val="27"/>
      <w:szCs w:val="27"/>
    </w:rPr>
  </w:style>
  <w:style w:type="paragraph" w:customStyle="1" w:styleId="812">
    <w:name w:val="heading 4_file_519"/>
    <w:basedOn w:val="687"/>
    <w:qFormat/>
    <w:uiPriority w:val="9"/>
    <w:pPr>
      <w:outlineLvl w:val="3"/>
    </w:pPr>
  </w:style>
  <w:style w:type="paragraph" w:customStyle="1" w:styleId="813">
    <w:name w:val="heading 5_file_519"/>
    <w:basedOn w:val="687"/>
    <w:qFormat/>
    <w:uiPriority w:val="9"/>
    <w:pPr>
      <w:outlineLvl w:val="4"/>
    </w:pPr>
    <w:rPr>
      <w:sz w:val="20"/>
      <w:szCs w:val="20"/>
    </w:rPr>
  </w:style>
  <w:style w:type="paragraph" w:customStyle="1" w:styleId="814">
    <w:name w:val="heading 6_file_519"/>
    <w:basedOn w:val="687"/>
    <w:qFormat/>
    <w:uiPriority w:val="9"/>
    <w:pPr>
      <w:outlineLvl w:val="5"/>
    </w:pPr>
    <w:rPr>
      <w:sz w:val="15"/>
      <w:szCs w:val="15"/>
    </w:rPr>
  </w:style>
  <w:style w:type="paragraph" w:customStyle="1" w:styleId="815">
    <w:name w:val="cke_editable_file_519"/>
    <w:basedOn w:val="687"/>
    <w:qFormat/>
    <w:uiPriority w:val="0"/>
    <w:rPr>
      <w:rFonts w:ascii="仿宋_GB2312" w:eastAsia="仿宋_GB2312"/>
    </w:rPr>
  </w:style>
  <w:style w:type="paragraph" w:customStyle="1" w:styleId="816">
    <w:name w:val="cke_editable_file_520"/>
    <w:basedOn w:val="690"/>
    <w:qFormat/>
    <w:uiPriority w:val="0"/>
    <w:rPr>
      <w:rFonts w:ascii="仿宋_GB2312" w:eastAsia="仿宋_GB2312"/>
    </w:rPr>
  </w:style>
  <w:style w:type="paragraph" w:customStyle="1" w:styleId="817">
    <w:name w:val="cke_editable_file_521"/>
    <w:basedOn w:val="689"/>
    <w:qFormat/>
    <w:uiPriority w:val="0"/>
    <w:rPr>
      <w:rFonts w:ascii="仿宋_GB2312" w:eastAsia="仿宋_GB2312"/>
    </w:rPr>
  </w:style>
  <w:style w:type="paragraph" w:customStyle="1" w:styleId="818">
    <w:name w:val="Normal (Web)_file_521"/>
    <w:basedOn w:val="689"/>
    <w:unhideWhenUsed/>
    <w:qFormat/>
    <w:uiPriority w:val="99"/>
  </w:style>
  <w:style w:type="paragraph" w:customStyle="1" w:styleId="819">
    <w:name w:val="cke_editable_file_524"/>
    <w:basedOn w:val="766"/>
    <w:qFormat/>
    <w:uiPriority w:val="0"/>
    <w:rPr>
      <w:rFonts w:ascii="仿宋_GB2312" w:eastAsia="仿宋_GB2312"/>
    </w:rPr>
  </w:style>
  <w:style w:type="paragraph" w:customStyle="1" w:styleId="820">
    <w:name w:val="heading 1_file_522"/>
    <w:basedOn w:val="685"/>
    <w:qFormat/>
    <w:uiPriority w:val="9"/>
    <w:pPr>
      <w:outlineLvl w:val="0"/>
    </w:pPr>
    <w:rPr>
      <w:kern w:val="36"/>
      <w:sz w:val="48"/>
      <w:szCs w:val="48"/>
    </w:rPr>
  </w:style>
  <w:style w:type="paragraph" w:customStyle="1" w:styleId="821">
    <w:name w:val="heading 2_file_522"/>
    <w:basedOn w:val="685"/>
    <w:qFormat/>
    <w:uiPriority w:val="9"/>
    <w:pPr>
      <w:outlineLvl w:val="1"/>
    </w:pPr>
    <w:rPr>
      <w:sz w:val="36"/>
      <w:szCs w:val="36"/>
    </w:rPr>
  </w:style>
  <w:style w:type="paragraph" w:customStyle="1" w:styleId="822">
    <w:name w:val="heading 3_file_522"/>
    <w:basedOn w:val="685"/>
    <w:qFormat/>
    <w:uiPriority w:val="9"/>
    <w:pPr>
      <w:outlineLvl w:val="2"/>
    </w:pPr>
    <w:rPr>
      <w:sz w:val="27"/>
      <w:szCs w:val="27"/>
    </w:rPr>
  </w:style>
  <w:style w:type="paragraph" w:customStyle="1" w:styleId="823">
    <w:name w:val="heading 5_file_522"/>
    <w:basedOn w:val="685"/>
    <w:qFormat/>
    <w:uiPriority w:val="9"/>
    <w:pPr>
      <w:outlineLvl w:val="4"/>
    </w:pPr>
    <w:rPr>
      <w:sz w:val="20"/>
      <w:szCs w:val="20"/>
    </w:rPr>
  </w:style>
  <w:style w:type="paragraph" w:customStyle="1" w:styleId="824">
    <w:name w:val="cke_editable_file_522"/>
    <w:basedOn w:val="685"/>
    <w:qFormat/>
    <w:uiPriority w:val="0"/>
    <w:rPr>
      <w:rFonts w:ascii="仿宋_GB2312" w:eastAsia="仿宋_GB2312"/>
    </w:rPr>
  </w:style>
  <w:style w:type="paragraph" w:customStyle="1" w:styleId="825">
    <w:name w:val="heading 1_file_523"/>
    <w:basedOn w:val="750"/>
    <w:qFormat/>
    <w:uiPriority w:val="9"/>
    <w:pPr>
      <w:outlineLvl w:val="0"/>
    </w:pPr>
    <w:rPr>
      <w:kern w:val="36"/>
      <w:sz w:val="48"/>
      <w:szCs w:val="48"/>
    </w:rPr>
  </w:style>
  <w:style w:type="paragraph" w:customStyle="1" w:styleId="826">
    <w:name w:val="heading 3_file_523"/>
    <w:basedOn w:val="750"/>
    <w:qFormat/>
    <w:uiPriority w:val="9"/>
    <w:pPr>
      <w:outlineLvl w:val="2"/>
    </w:pPr>
    <w:rPr>
      <w:sz w:val="27"/>
      <w:szCs w:val="27"/>
    </w:rPr>
  </w:style>
  <w:style w:type="paragraph" w:customStyle="1" w:styleId="827">
    <w:name w:val="heading 4_file_523"/>
    <w:basedOn w:val="750"/>
    <w:qFormat/>
    <w:uiPriority w:val="9"/>
    <w:pPr>
      <w:outlineLvl w:val="3"/>
    </w:pPr>
  </w:style>
  <w:style w:type="paragraph" w:customStyle="1" w:styleId="828">
    <w:name w:val="cke_editable_file_523"/>
    <w:basedOn w:val="750"/>
    <w:qFormat/>
    <w:uiPriority w:val="0"/>
    <w:rPr>
      <w:rFonts w:ascii="仿宋_GB2312" w:eastAsia="仿宋_GB2312"/>
    </w:rPr>
  </w:style>
  <w:style w:type="paragraph" w:customStyle="1" w:styleId="829">
    <w:name w:val="heading 3_file_524"/>
    <w:basedOn w:val="766"/>
    <w:qFormat/>
    <w:uiPriority w:val="9"/>
    <w:pPr>
      <w:outlineLvl w:val="2"/>
    </w:pPr>
    <w:rPr>
      <w:sz w:val="27"/>
      <w:szCs w:val="27"/>
    </w:rPr>
  </w:style>
  <w:style w:type="paragraph" w:customStyle="1" w:styleId="830">
    <w:name w:val="heading 4_file_524"/>
    <w:basedOn w:val="766"/>
    <w:qFormat/>
    <w:uiPriority w:val="9"/>
    <w:pPr>
      <w:outlineLvl w:val="3"/>
    </w:pPr>
  </w:style>
  <w:style w:type="paragraph" w:customStyle="1" w:styleId="831">
    <w:name w:val="heading 1_file_525"/>
    <w:basedOn w:val="781"/>
    <w:qFormat/>
    <w:uiPriority w:val="9"/>
    <w:pPr>
      <w:outlineLvl w:val="0"/>
    </w:pPr>
    <w:rPr>
      <w:kern w:val="36"/>
      <w:sz w:val="48"/>
      <w:szCs w:val="48"/>
    </w:rPr>
  </w:style>
  <w:style w:type="paragraph" w:customStyle="1" w:styleId="832">
    <w:name w:val="heading 2_file_525"/>
    <w:basedOn w:val="781"/>
    <w:qFormat/>
    <w:uiPriority w:val="9"/>
    <w:pPr>
      <w:outlineLvl w:val="1"/>
    </w:pPr>
    <w:rPr>
      <w:sz w:val="36"/>
      <w:szCs w:val="36"/>
    </w:rPr>
  </w:style>
  <w:style w:type="paragraph" w:customStyle="1" w:styleId="833">
    <w:name w:val="heading 4_file_525"/>
    <w:basedOn w:val="781"/>
    <w:qFormat/>
    <w:uiPriority w:val="9"/>
    <w:pPr>
      <w:outlineLvl w:val="3"/>
    </w:pPr>
  </w:style>
  <w:style w:type="paragraph" w:customStyle="1" w:styleId="834">
    <w:name w:val="cke_editable_file_525"/>
    <w:basedOn w:val="781"/>
    <w:qFormat/>
    <w:uiPriority w:val="0"/>
    <w:rPr>
      <w:rFonts w:ascii="仿宋_GB2312" w:eastAsia="仿宋_GB2312"/>
    </w:rPr>
  </w:style>
  <w:style w:type="paragraph" w:customStyle="1" w:styleId="835">
    <w:name w:val="marker_file_525"/>
    <w:basedOn w:val="781"/>
    <w:qFormat/>
    <w:uiPriority w:val="0"/>
    <w:pPr>
      <w:shd w:val="clear" w:color="auto" w:fill="FFFF00"/>
    </w:pPr>
  </w:style>
  <w:style w:type="paragraph" w:customStyle="1" w:styleId="836">
    <w:name w:val="Normal (Web)_file_525"/>
    <w:basedOn w:val="781"/>
    <w:unhideWhenUsed/>
    <w:qFormat/>
    <w:uiPriority w:val="99"/>
  </w:style>
  <w:style w:type="paragraph" w:customStyle="1" w:styleId="837">
    <w:name w:val="Normal_file_5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38">
    <w:name w:val="heading 1_file_526"/>
    <w:basedOn w:val="837"/>
    <w:qFormat/>
    <w:uiPriority w:val="9"/>
    <w:pPr>
      <w:outlineLvl w:val="0"/>
    </w:pPr>
    <w:rPr>
      <w:kern w:val="36"/>
      <w:sz w:val="48"/>
      <w:szCs w:val="48"/>
    </w:rPr>
  </w:style>
  <w:style w:type="paragraph" w:customStyle="1" w:styleId="839">
    <w:name w:val="heading 2_file_526"/>
    <w:basedOn w:val="837"/>
    <w:qFormat/>
    <w:uiPriority w:val="9"/>
    <w:pPr>
      <w:outlineLvl w:val="1"/>
    </w:pPr>
    <w:rPr>
      <w:sz w:val="36"/>
      <w:szCs w:val="36"/>
    </w:rPr>
  </w:style>
  <w:style w:type="paragraph" w:customStyle="1" w:styleId="840">
    <w:name w:val="heading 3_file_526"/>
    <w:basedOn w:val="837"/>
    <w:qFormat/>
    <w:uiPriority w:val="9"/>
    <w:pPr>
      <w:outlineLvl w:val="2"/>
    </w:pPr>
    <w:rPr>
      <w:sz w:val="27"/>
      <w:szCs w:val="27"/>
    </w:rPr>
  </w:style>
  <w:style w:type="paragraph" w:customStyle="1" w:styleId="841">
    <w:name w:val="heading 4_file_526"/>
    <w:basedOn w:val="837"/>
    <w:qFormat/>
    <w:uiPriority w:val="9"/>
    <w:pPr>
      <w:outlineLvl w:val="3"/>
    </w:pPr>
  </w:style>
  <w:style w:type="paragraph" w:customStyle="1" w:styleId="842">
    <w:name w:val="heading 5_file_526"/>
    <w:basedOn w:val="837"/>
    <w:qFormat/>
    <w:uiPriority w:val="9"/>
    <w:pPr>
      <w:outlineLvl w:val="4"/>
    </w:pPr>
    <w:rPr>
      <w:sz w:val="20"/>
      <w:szCs w:val="20"/>
    </w:rPr>
  </w:style>
  <w:style w:type="paragraph" w:customStyle="1" w:styleId="843">
    <w:name w:val="heading 6_file_526"/>
    <w:basedOn w:val="837"/>
    <w:qFormat/>
    <w:uiPriority w:val="9"/>
    <w:pPr>
      <w:outlineLvl w:val="5"/>
    </w:pPr>
    <w:rPr>
      <w:sz w:val="15"/>
      <w:szCs w:val="15"/>
    </w:rPr>
  </w:style>
  <w:style w:type="paragraph" w:customStyle="1" w:styleId="844">
    <w:name w:val="cke_editable_file_526"/>
    <w:basedOn w:val="837"/>
    <w:qFormat/>
    <w:uiPriority w:val="0"/>
    <w:rPr>
      <w:rFonts w:ascii="仿宋_GB2312" w:eastAsia="仿宋_GB2312"/>
    </w:rPr>
  </w:style>
  <w:style w:type="paragraph" w:customStyle="1" w:styleId="845">
    <w:name w:val="marker_file_526"/>
    <w:basedOn w:val="837"/>
    <w:qFormat/>
    <w:uiPriority w:val="0"/>
    <w:pPr>
      <w:shd w:val="clear" w:color="auto" w:fill="FFFF00"/>
    </w:pPr>
  </w:style>
  <w:style w:type="paragraph" w:customStyle="1" w:styleId="846">
    <w:name w:val="Normal (Web)_file_526"/>
    <w:basedOn w:val="837"/>
    <w:unhideWhenUsed/>
    <w:qFormat/>
    <w:uiPriority w:val="99"/>
  </w:style>
  <w:style w:type="paragraph" w:customStyle="1" w:styleId="847">
    <w:name w:val="Normal_file_5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48">
    <w:name w:val="heading 1_file_527"/>
    <w:basedOn w:val="847"/>
    <w:qFormat/>
    <w:uiPriority w:val="9"/>
    <w:pPr>
      <w:outlineLvl w:val="0"/>
    </w:pPr>
    <w:rPr>
      <w:kern w:val="36"/>
      <w:sz w:val="48"/>
      <w:szCs w:val="48"/>
    </w:rPr>
  </w:style>
  <w:style w:type="paragraph" w:customStyle="1" w:styleId="849">
    <w:name w:val="heading 2_file_527"/>
    <w:basedOn w:val="847"/>
    <w:qFormat/>
    <w:uiPriority w:val="9"/>
    <w:pPr>
      <w:outlineLvl w:val="1"/>
    </w:pPr>
    <w:rPr>
      <w:sz w:val="36"/>
      <w:szCs w:val="36"/>
    </w:rPr>
  </w:style>
  <w:style w:type="paragraph" w:customStyle="1" w:styleId="850">
    <w:name w:val="heading 3_file_527"/>
    <w:basedOn w:val="847"/>
    <w:qFormat/>
    <w:uiPriority w:val="9"/>
    <w:pPr>
      <w:outlineLvl w:val="2"/>
    </w:pPr>
    <w:rPr>
      <w:sz w:val="27"/>
      <w:szCs w:val="27"/>
    </w:rPr>
  </w:style>
  <w:style w:type="paragraph" w:customStyle="1" w:styleId="851">
    <w:name w:val="heading 4_file_527"/>
    <w:basedOn w:val="847"/>
    <w:qFormat/>
    <w:uiPriority w:val="9"/>
    <w:pPr>
      <w:outlineLvl w:val="3"/>
    </w:pPr>
  </w:style>
  <w:style w:type="paragraph" w:customStyle="1" w:styleId="852">
    <w:name w:val="heading 5_file_527"/>
    <w:basedOn w:val="847"/>
    <w:qFormat/>
    <w:uiPriority w:val="9"/>
    <w:pPr>
      <w:outlineLvl w:val="4"/>
    </w:pPr>
    <w:rPr>
      <w:sz w:val="20"/>
      <w:szCs w:val="20"/>
    </w:rPr>
  </w:style>
  <w:style w:type="paragraph" w:customStyle="1" w:styleId="853">
    <w:name w:val="heading 6_file_527"/>
    <w:basedOn w:val="847"/>
    <w:qFormat/>
    <w:uiPriority w:val="9"/>
    <w:pPr>
      <w:outlineLvl w:val="5"/>
    </w:pPr>
    <w:rPr>
      <w:sz w:val="15"/>
      <w:szCs w:val="15"/>
    </w:rPr>
  </w:style>
  <w:style w:type="paragraph" w:customStyle="1" w:styleId="854">
    <w:name w:val="cke_editable_file_527"/>
    <w:basedOn w:val="847"/>
    <w:qFormat/>
    <w:uiPriority w:val="0"/>
    <w:rPr>
      <w:rFonts w:ascii="仿宋_GB2312" w:eastAsia="仿宋_GB2312"/>
    </w:rPr>
  </w:style>
  <w:style w:type="paragraph" w:customStyle="1" w:styleId="855">
    <w:name w:val="marker_file_527"/>
    <w:basedOn w:val="847"/>
    <w:qFormat/>
    <w:uiPriority w:val="0"/>
    <w:pPr>
      <w:shd w:val="clear" w:color="auto" w:fill="FFFF00"/>
    </w:pPr>
  </w:style>
  <w:style w:type="paragraph" w:customStyle="1" w:styleId="856">
    <w:name w:val="Normal (Web)_file_527"/>
    <w:basedOn w:val="847"/>
    <w:unhideWhenUsed/>
    <w:qFormat/>
    <w:uiPriority w:val="99"/>
  </w:style>
  <w:style w:type="paragraph" w:customStyle="1" w:styleId="857">
    <w:name w:val="footer_file_454_file_239"/>
    <w:basedOn w:val="858"/>
    <w:qFormat/>
    <w:uiPriority w:val="99"/>
    <w:pPr>
      <w:tabs>
        <w:tab w:val="center" w:pos="4153"/>
        <w:tab w:val="right" w:pos="8306"/>
      </w:tabs>
      <w:snapToGrid w:val="0"/>
      <w:jc w:val="left"/>
    </w:pPr>
    <w:rPr>
      <w:sz w:val="18"/>
      <w:szCs w:val="18"/>
    </w:rPr>
  </w:style>
  <w:style w:type="paragraph" w:customStyle="1" w:styleId="858">
    <w:name w:val="Normal_file_454_file_239"/>
    <w:next w:val="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9">
    <w:name w:val="p15_file_239"/>
    <w:basedOn w:val="860"/>
    <w:qFormat/>
    <w:uiPriority w:val="0"/>
    <w:pPr>
      <w:widowControl/>
    </w:pPr>
    <w:rPr>
      <w:rFonts w:ascii="宋体" w:hAnsi="宋体" w:cs="宋体"/>
      <w:kern w:val="0"/>
      <w:szCs w:val="21"/>
    </w:rPr>
  </w:style>
  <w:style w:type="paragraph" w:customStyle="1" w:styleId="860">
    <w:name w:val="Normal_file_23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1">
    <w:name w:val="Plain Text_file_239"/>
    <w:basedOn w:val="860"/>
    <w:qFormat/>
    <w:uiPriority w:val="0"/>
    <w:rPr>
      <w:rFonts w:ascii="宋体" w:hAnsi="Courier New" w:cs="Courier New"/>
      <w:szCs w:val="21"/>
    </w:rPr>
  </w:style>
  <w:style w:type="paragraph" w:customStyle="1" w:styleId="862">
    <w:name w:val="Normal (Web)_file_440"/>
    <w:basedOn w:val="863"/>
    <w:unhideWhenUsed/>
    <w:qFormat/>
    <w:uiPriority w:val="99"/>
  </w:style>
  <w:style w:type="paragraph" w:customStyle="1" w:styleId="863">
    <w:name w:val="Normal_file_4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64">
    <w:name w:val="_Style 3"/>
    <w:basedOn w:val="3"/>
    <w:next w:val="1"/>
    <w:qFormat/>
    <w:uiPriority w:val="39"/>
    <w:pPr>
      <w:tabs>
        <w:tab w:val="left" w:pos="1440"/>
      </w:tabs>
      <w:spacing w:before="480" w:after="0" w:line="276" w:lineRule="auto"/>
      <w:outlineLvl w:val="9"/>
    </w:pPr>
    <w:rPr>
      <w:rFonts w:ascii="仿宋" w:hAnsi="仿宋" w:eastAsia="仿宋"/>
      <w:color w:val="000000"/>
      <w:kern w:val="0"/>
      <w:sz w:val="32"/>
      <w:szCs w:val="32"/>
    </w:rPr>
  </w:style>
  <w:style w:type="paragraph" w:customStyle="1" w:styleId="865">
    <w:name w:val="Body Text First Indent 2_file_108"/>
    <w:basedOn w:val="866"/>
    <w:qFormat/>
    <w:uiPriority w:val="0"/>
    <w:pPr>
      <w:ind w:firstLine="420"/>
    </w:pPr>
  </w:style>
  <w:style w:type="paragraph" w:customStyle="1" w:styleId="866">
    <w:name w:val="Body Text Indent_file_108"/>
    <w:basedOn w:val="867"/>
    <w:next w:val="7"/>
    <w:qFormat/>
    <w:uiPriority w:val="0"/>
    <w:pPr>
      <w:ind w:firstLine="630"/>
    </w:pPr>
    <w:rPr>
      <w:sz w:val="32"/>
      <w:szCs w:val="20"/>
    </w:rPr>
  </w:style>
  <w:style w:type="paragraph" w:customStyle="1" w:styleId="867">
    <w:name w:val="Normal_file_108"/>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8">
    <w:name w:val="footer_file_108"/>
    <w:basedOn w:val="867"/>
    <w:qFormat/>
    <w:uiPriority w:val="99"/>
    <w:pPr>
      <w:tabs>
        <w:tab w:val="center" w:pos="4153"/>
        <w:tab w:val="right" w:pos="8306"/>
      </w:tabs>
      <w:snapToGrid w:val="0"/>
      <w:jc w:val="left"/>
    </w:pPr>
    <w:rPr>
      <w:sz w:val="18"/>
      <w:szCs w:val="18"/>
    </w:rPr>
  </w:style>
  <w:style w:type="paragraph" w:customStyle="1" w:styleId="869">
    <w:name w:val="Body Text_file_235"/>
    <w:basedOn w:val="870"/>
    <w:unhideWhenUsed/>
    <w:qFormat/>
    <w:uiPriority w:val="99"/>
    <w:pPr>
      <w:spacing w:after="120"/>
    </w:pPr>
  </w:style>
  <w:style w:type="paragraph" w:customStyle="1" w:styleId="870">
    <w:name w:val="Normal_file_23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1">
    <w:name w:val="Table Text"/>
    <w:basedOn w:val="1"/>
    <w:semiHidden/>
    <w:qFormat/>
    <w:uiPriority w:val="0"/>
    <w:rPr>
      <w:rFonts w:ascii="宋体" w:hAnsi="宋体" w:cs="宋体"/>
      <w:sz w:val="19"/>
      <w:szCs w:val="19"/>
      <w:lang w:eastAsia="en-US"/>
    </w:rPr>
  </w:style>
  <w:style w:type="table" w:customStyle="1" w:styleId="872">
    <w:name w:val="Normal Table_file_521"/>
    <w:unhideWhenUsed/>
    <w:qFormat/>
    <w:uiPriority w:val="99"/>
    <w:tblPr>
      <w:tblCellMar>
        <w:top w:w="0" w:type="dxa"/>
        <w:left w:w="108" w:type="dxa"/>
        <w:bottom w:w="0" w:type="dxa"/>
        <w:right w:w="108" w:type="dxa"/>
      </w:tblCellMar>
    </w:tblPr>
  </w:style>
  <w:style w:type="table" w:customStyle="1" w:styleId="873">
    <w:name w:val="Normal Table_file_495"/>
    <w:semiHidden/>
    <w:qFormat/>
    <w:uiPriority w:val="0"/>
    <w:tblPr>
      <w:tblCellMar>
        <w:top w:w="0" w:type="dxa"/>
        <w:left w:w="108" w:type="dxa"/>
        <w:bottom w:w="0" w:type="dxa"/>
        <w:right w:w="108" w:type="dxa"/>
      </w:tblCellMar>
    </w:tblPr>
  </w:style>
  <w:style w:type="table" w:customStyle="1" w:styleId="874">
    <w:name w:val="Normal Table_file_520"/>
    <w:unhideWhenUsed/>
    <w:qFormat/>
    <w:uiPriority w:val="99"/>
    <w:tblPr>
      <w:tblCellMar>
        <w:top w:w="0" w:type="dxa"/>
        <w:left w:w="108" w:type="dxa"/>
        <w:bottom w:w="0" w:type="dxa"/>
        <w:right w:w="108" w:type="dxa"/>
      </w:tblCellMar>
    </w:tblPr>
  </w:style>
  <w:style w:type="table" w:customStyle="1" w:styleId="875">
    <w:name w:val="Normal Table_file_108_file_495"/>
    <w:semiHidden/>
    <w:qFormat/>
    <w:uiPriority w:val="0"/>
    <w:tblPr>
      <w:tblCellMar>
        <w:top w:w="0" w:type="dxa"/>
        <w:left w:w="108" w:type="dxa"/>
        <w:bottom w:w="0" w:type="dxa"/>
        <w:right w:w="108" w:type="dxa"/>
      </w:tblCellMar>
    </w:tblPr>
  </w:style>
  <w:style w:type="table" w:customStyle="1" w:styleId="876">
    <w:name w:val="Normal Table_file_522"/>
    <w:unhideWhenUsed/>
    <w:qFormat/>
    <w:uiPriority w:val="99"/>
    <w:tblPr>
      <w:tblCellMar>
        <w:top w:w="0" w:type="dxa"/>
        <w:left w:w="108" w:type="dxa"/>
        <w:bottom w:w="0" w:type="dxa"/>
        <w:right w:w="108" w:type="dxa"/>
      </w:tblCellMar>
    </w:tblPr>
  </w:style>
  <w:style w:type="table" w:customStyle="1" w:styleId="877">
    <w:name w:val="Normal Table_file_496"/>
    <w:semiHidden/>
    <w:qFormat/>
    <w:uiPriority w:val="0"/>
    <w:tblPr>
      <w:tblCellMar>
        <w:top w:w="0" w:type="dxa"/>
        <w:left w:w="108" w:type="dxa"/>
        <w:bottom w:w="0" w:type="dxa"/>
        <w:right w:w="108" w:type="dxa"/>
      </w:tblCellMar>
    </w:tblPr>
  </w:style>
  <w:style w:type="table" w:customStyle="1" w:styleId="878">
    <w:name w:val="Normal Table_file_519"/>
    <w:unhideWhenUsed/>
    <w:qFormat/>
    <w:uiPriority w:val="99"/>
    <w:tblPr>
      <w:tblCellMar>
        <w:top w:w="0" w:type="dxa"/>
        <w:left w:w="108" w:type="dxa"/>
        <w:bottom w:w="0" w:type="dxa"/>
        <w:right w:w="108" w:type="dxa"/>
      </w:tblCellMar>
    </w:tblPr>
  </w:style>
  <w:style w:type="table" w:customStyle="1" w:styleId="879">
    <w:name w:val="Normal Table_file_108_file_496"/>
    <w:semiHidden/>
    <w:qFormat/>
    <w:uiPriority w:val="0"/>
    <w:tblPr>
      <w:tblCellMar>
        <w:top w:w="0" w:type="dxa"/>
        <w:left w:w="108" w:type="dxa"/>
        <w:bottom w:w="0" w:type="dxa"/>
        <w:right w:w="108" w:type="dxa"/>
      </w:tblCellMar>
    </w:tblPr>
  </w:style>
  <w:style w:type="table" w:customStyle="1" w:styleId="880">
    <w:name w:val="Normal Table_file_523"/>
    <w:unhideWhenUsed/>
    <w:qFormat/>
    <w:uiPriority w:val="99"/>
    <w:tblPr>
      <w:tblCellMar>
        <w:top w:w="0" w:type="dxa"/>
        <w:left w:w="108" w:type="dxa"/>
        <w:bottom w:w="0" w:type="dxa"/>
        <w:right w:w="108" w:type="dxa"/>
      </w:tblCellMar>
    </w:tblPr>
  </w:style>
  <w:style w:type="table" w:customStyle="1" w:styleId="881">
    <w:name w:val="Normal Table_file_497"/>
    <w:unhideWhenUsed/>
    <w:qFormat/>
    <w:uiPriority w:val="99"/>
    <w:tblPr>
      <w:tblCellMar>
        <w:top w:w="0" w:type="dxa"/>
        <w:left w:w="108" w:type="dxa"/>
        <w:bottom w:w="0" w:type="dxa"/>
        <w:right w:w="108" w:type="dxa"/>
      </w:tblCellMar>
    </w:tblPr>
  </w:style>
  <w:style w:type="table" w:customStyle="1" w:styleId="882">
    <w:name w:val="Normal Table_file_516"/>
    <w:unhideWhenUsed/>
    <w:qFormat/>
    <w:uiPriority w:val="99"/>
    <w:tblPr>
      <w:tblCellMar>
        <w:top w:w="0" w:type="dxa"/>
        <w:left w:w="108" w:type="dxa"/>
        <w:bottom w:w="0" w:type="dxa"/>
        <w:right w:w="108" w:type="dxa"/>
      </w:tblCellMar>
    </w:tblPr>
  </w:style>
  <w:style w:type="table" w:customStyle="1" w:styleId="883">
    <w:name w:val="Normal Table_file_498"/>
    <w:unhideWhenUsed/>
    <w:qFormat/>
    <w:uiPriority w:val="99"/>
    <w:tblPr>
      <w:tblCellMar>
        <w:top w:w="0" w:type="dxa"/>
        <w:left w:w="108" w:type="dxa"/>
        <w:bottom w:w="0" w:type="dxa"/>
        <w:right w:w="108" w:type="dxa"/>
      </w:tblCellMar>
    </w:tblPr>
  </w:style>
  <w:style w:type="table" w:customStyle="1" w:styleId="884">
    <w:name w:val="Normal Table_file_515"/>
    <w:unhideWhenUsed/>
    <w:qFormat/>
    <w:uiPriority w:val="99"/>
    <w:tblPr>
      <w:tblCellMar>
        <w:top w:w="0" w:type="dxa"/>
        <w:left w:w="108" w:type="dxa"/>
        <w:bottom w:w="0" w:type="dxa"/>
        <w:right w:w="108" w:type="dxa"/>
      </w:tblCellMar>
    </w:tblPr>
  </w:style>
  <w:style w:type="table" w:customStyle="1" w:styleId="885">
    <w:name w:val="Normal Table_file_499"/>
    <w:semiHidden/>
    <w:qFormat/>
    <w:uiPriority w:val="0"/>
    <w:tblPr>
      <w:tblCellMar>
        <w:top w:w="0" w:type="dxa"/>
        <w:left w:w="108" w:type="dxa"/>
        <w:bottom w:w="0" w:type="dxa"/>
        <w:right w:w="108" w:type="dxa"/>
      </w:tblCellMar>
    </w:tblPr>
  </w:style>
  <w:style w:type="table" w:customStyle="1" w:styleId="886">
    <w:name w:val="Normal Table_file_518"/>
    <w:unhideWhenUsed/>
    <w:qFormat/>
    <w:uiPriority w:val="99"/>
    <w:tblPr>
      <w:tblCellMar>
        <w:top w:w="0" w:type="dxa"/>
        <w:left w:w="108" w:type="dxa"/>
        <w:bottom w:w="0" w:type="dxa"/>
        <w:right w:w="108" w:type="dxa"/>
      </w:tblCellMar>
    </w:tblPr>
  </w:style>
  <w:style w:type="table" w:customStyle="1" w:styleId="887">
    <w:name w:val="Normal Table_file_500"/>
    <w:unhideWhenUsed/>
    <w:qFormat/>
    <w:uiPriority w:val="99"/>
    <w:tblPr>
      <w:tblCellMar>
        <w:top w:w="0" w:type="dxa"/>
        <w:left w:w="108" w:type="dxa"/>
        <w:bottom w:w="0" w:type="dxa"/>
        <w:right w:w="108" w:type="dxa"/>
      </w:tblCellMar>
    </w:tblPr>
  </w:style>
  <w:style w:type="table" w:customStyle="1" w:styleId="888">
    <w:name w:val="Normal Table_file_517"/>
    <w:unhideWhenUsed/>
    <w:qFormat/>
    <w:uiPriority w:val="99"/>
    <w:tblPr>
      <w:tblCellMar>
        <w:top w:w="0" w:type="dxa"/>
        <w:left w:w="108" w:type="dxa"/>
        <w:bottom w:w="0" w:type="dxa"/>
        <w:right w:w="108" w:type="dxa"/>
      </w:tblCellMar>
    </w:tblPr>
  </w:style>
  <w:style w:type="table" w:customStyle="1" w:styleId="889">
    <w:name w:val="Normal Table_file_501"/>
    <w:unhideWhenUsed/>
    <w:qFormat/>
    <w:uiPriority w:val="99"/>
    <w:tblPr>
      <w:tblCellMar>
        <w:top w:w="0" w:type="dxa"/>
        <w:left w:w="108" w:type="dxa"/>
        <w:bottom w:w="0" w:type="dxa"/>
        <w:right w:w="108" w:type="dxa"/>
      </w:tblCellMar>
    </w:tblPr>
  </w:style>
  <w:style w:type="table" w:customStyle="1" w:styleId="890">
    <w:name w:val="Normal Table_file_502"/>
    <w:unhideWhenUsed/>
    <w:qFormat/>
    <w:uiPriority w:val="99"/>
    <w:tblPr>
      <w:tblCellMar>
        <w:top w:w="0" w:type="dxa"/>
        <w:left w:w="108" w:type="dxa"/>
        <w:bottom w:w="0" w:type="dxa"/>
        <w:right w:w="108" w:type="dxa"/>
      </w:tblCellMar>
    </w:tblPr>
  </w:style>
  <w:style w:type="table" w:customStyle="1" w:styleId="891">
    <w:name w:val="Normal Table_file_525"/>
    <w:unhideWhenUsed/>
    <w:qFormat/>
    <w:uiPriority w:val="99"/>
    <w:tblPr>
      <w:tblCellMar>
        <w:top w:w="0" w:type="dxa"/>
        <w:left w:w="108" w:type="dxa"/>
        <w:bottom w:w="0" w:type="dxa"/>
        <w:right w:w="108" w:type="dxa"/>
      </w:tblCellMar>
    </w:tblPr>
  </w:style>
  <w:style w:type="table" w:customStyle="1" w:styleId="892">
    <w:name w:val="Normal Table_file_503"/>
    <w:unhideWhenUsed/>
    <w:qFormat/>
    <w:uiPriority w:val="99"/>
    <w:tblPr>
      <w:tblCellMar>
        <w:top w:w="0" w:type="dxa"/>
        <w:left w:w="108" w:type="dxa"/>
        <w:bottom w:w="0" w:type="dxa"/>
        <w:right w:w="108" w:type="dxa"/>
      </w:tblCellMar>
    </w:tblPr>
  </w:style>
  <w:style w:type="table" w:customStyle="1" w:styleId="893">
    <w:name w:val="Normal Table_file_524"/>
    <w:unhideWhenUsed/>
    <w:qFormat/>
    <w:uiPriority w:val="99"/>
    <w:tblPr>
      <w:tblCellMar>
        <w:top w:w="0" w:type="dxa"/>
        <w:left w:w="108" w:type="dxa"/>
        <w:bottom w:w="0" w:type="dxa"/>
        <w:right w:w="108" w:type="dxa"/>
      </w:tblCellMar>
    </w:tblPr>
  </w:style>
  <w:style w:type="table" w:customStyle="1" w:styleId="894">
    <w:name w:val="Normal Table_file_504"/>
    <w:unhideWhenUsed/>
    <w:qFormat/>
    <w:uiPriority w:val="99"/>
    <w:tblPr>
      <w:tblCellMar>
        <w:top w:w="0" w:type="dxa"/>
        <w:left w:w="108" w:type="dxa"/>
        <w:bottom w:w="0" w:type="dxa"/>
        <w:right w:w="108" w:type="dxa"/>
      </w:tblCellMar>
    </w:tblPr>
  </w:style>
  <w:style w:type="table" w:customStyle="1" w:styleId="895">
    <w:name w:val="Normal Table_file_526"/>
    <w:unhideWhenUsed/>
    <w:qFormat/>
    <w:uiPriority w:val="99"/>
    <w:tblPr>
      <w:tblCellMar>
        <w:top w:w="0" w:type="dxa"/>
        <w:left w:w="108" w:type="dxa"/>
        <w:bottom w:w="0" w:type="dxa"/>
        <w:right w:w="108" w:type="dxa"/>
      </w:tblCellMar>
    </w:tblPr>
  </w:style>
  <w:style w:type="table" w:customStyle="1" w:styleId="896">
    <w:name w:val="Normal Table_file_505"/>
    <w:unhideWhenUsed/>
    <w:qFormat/>
    <w:uiPriority w:val="99"/>
    <w:tblPr>
      <w:tblCellMar>
        <w:top w:w="0" w:type="dxa"/>
        <w:left w:w="108" w:type="dxa"/>
        <w:bottom w:w="0" w:type="dxa"/>
        <w:right w:w="108" w:type="dxa"/>
      </w:tblCellMar>
    </w:tblPr>
  </w:style>
  <w:style w:type="table" w:customStyle="1" w:styleId="897">
    <w:name w:val="Normal Table_file_527"/>
    <w:unhideWhenUsed/>
    <w:qFormat/>
    <w:uiPriority w:val="99"/>
    <w:tblPr>
      <w:tblCellMar>
        <w:top w:w="0" w:type="dxa"/>
        <w:left w:w="108" w:type="dxa"/>
        <w:bottom w:w="0" w:type="dxa"/>
        <w:right w:w="108" w:type="dxa"/>
      </w:tblCellMar>
    </w:tblPr>
  </w:style>
  <w:style w:type="table" w:customStyle="1" w:styleId="898">
    <w:name w:val="Normal Table_file_506"/>
    <w:unhideWhenUsed/>
    <w:qFormat/>
    <w:uiPriority w:val="99"/>
    <w:tblPr>
      <w:tblCellMar>
        <w:top w:w="0" w:type="dxa"/>
        <w:left w:w="108" w:type="dxa"/>
        <w:bottom w:w="0" w:type="dxa"/>
        <w:right w:w="108" w:type="dxa"/>
      </w:tblCellMar>
    </w:tblPr>
  </w:style>
  <w:style w:type="table" w:customStyle="1" w:styleId="899">
    <w:name w:val="Table Normal"/>
    <w:unhideWhenUsed/>
    <w:qFormat/>
    <w:uiPriority w:val="0"/>
    <w:tblPr>
      <w:tblCellMar>
        <w:top w:w="0" w:type="dxa"/>
        <w:left w:w="0" w:type="dxa"/>
        <w:bottom w:w="0" w:type="dxa"/>
        <w:right w:w="0" w:type="dxa"/>
      </w:tblCellMar>
    </w:tblPr>
  </w:style>
  <w:style w:type="table" w:customStyle="1" w:styleId="900">
    <w:name w:val="Normal Table_file_494_file_506"/>
    <w:unhideWhenUsed/>
    <w:qFormat/>
    <w:uiPriority w:val="99"/>
    <w:tblPr>
      <w:tblCellMar>
        <w:top w:w="0" w:type="dxa"/>
        <w:left w:w="108" w:type="dxa"/>
        <w:bottom w:w="0" w:type="dxa"/>
        <w:right w:w="108" w:type="dxa"/>
      </w:tblCellMar>
    </w:tblPr>
  </w:style>
  <w:style w:type="table" w:customStyle="1" w:styleId="901">
    <w:name w:val="Normal Table_file_507"/>
    <w:unhideWhenUsed/>
    <w:qFormat/>
    <w:uiPriority w:val="99"/>
    <w:tblPr>
      <w:tblCellMar>
        <w:top w:w="0" w:type="dxa"/>
        <w:left w:w="108" w:type="dxa"/>
        <w:bottom w:w="0" w:type="dxa"/>
        <w:right w:w="108" w:type="dxa"/>
      </w:tblCellMar>
    </w:tblPr>
  </w:style>
  <w:style w:type="table" w:customStyle="1" w:styleId="902">
    <w:name w:val="Normal Table_file_508"/>
    <w:unhideWhenUsed/>
    <w:qFormat/>
    <w:uiPriority w:val="99"/>
    <w:tblPr>
      <w:tblCellMar>
        <w:top w:w="0" w:type="dxa"/>
        <w:left w:w="108" w:type="dxa"/>
        <w:bottom w:w="0" w:type="dxa"/>
        <w:right w:w="108" w:type="dxa"/>
      </w:tblCellMar>
    </w:tblPr>
  </w:style>
  <w:style w:type="table" w:customStyle="1" w:styleId="903">
    <w:name w:val="Normal Table_file_509"/>
    <w:unhideWhenUsed/>
    <w:qFormat/>
    <w:uiPriority w:val="99"/>
    <w:tblPr>
      <w:tblCellMar>
        <w:top w:w="0" w:type="dxa"/>
        <w:left w:w="108" w:type="dxa"/>
        <w:bottom w:w="0" w:type="dxa"/>
        <w:right w:w="108" w:type="dxa"/>
      </w:tblCellMar>
    </w:tblPr>
  </w:style>
  <w:style w:type="table" w:customStyle="1" w:styleId="904">
    <w:name w:val="Normal Table_file_510"/>
    <w:unhideWhenUsed/>
    <w:qFormat/>
    <w:uiPriority w:val="99"/>
    <w:tblPr>
      <w:tblCellMar>
        <w:top w:w="0" w:type="dxa"/>
        <w:left w:w="108" w:type="dxa"/>
        <w:bottom w:w="0" w:type="dxa"/>
        <w:right w:w="108" w:type="dxa"/>
      </w:tblCellMar>
    </w:tblPr>
  </w:style>
  <w:style w:type="table" w:customStyle="1" w:styleId="905">
    <w:name w:val="Normal Table_file_511"/>
    <w:unhideWhenUsed/>
    <w:qFormat/>
    <w:uiPriority w:val="99"/>
    <w:tblPr>
      <w:tblCellMar>
        <w:top w:w="0" w:type="dxa"/>
        <w:left w:w="108" w:type="dxa"/>
        <w:bottom w:w="0" w:type="dxa"/>
        <w:right w:w="108" w:type="dxa"/>
      </w:tblCellMar>
    </w:tblPr>
  </w:style>
  <w:style w:type="table" w:customStyle="1" w:styleId="906">
    <w:name w:val="Normal Table_file_512"/>
    <w:unhideWhenUsed/>
    <w:qFormat/>
    <w:uiPriority w:val="99"/>
    <w:tblPr>
      <w:tblCellMar>
        <w:top w:w="0" w:type="dxa"/>
        <w:left w:w="108" w:type="dxa"/>
        <w:bottom w:w="0" w:type="dxa"/>
        <w:right w:w="108" w:type="dxa"/>
      </w:tblCellMar>
    </w:tblPr>
  </w:style>
  <w:style w:type="table" w:customStyle="1" w:styleId="907">
    <w:name w:val="Normal Table_file_513"/>
    <w:unhideWhenUsed/>
    <w:qFormat/>
    <w:uiPriority w:val="99"/>
    <w:tblPr>
      <w:tblCellMar>
        <w:top w:w="0" w:type="dxa"/>
        <w:left w:w="108" w:type="dxa"/>
        <w:bottom w:w="0" w:type="dxa"/>
        <w:right w:w="108" w:type="dxa"/>
      </w:tblCellMar>
    </w:tblPr>
  </w:style>
  <w:style w:type="table" w:customStyle="1" w:styleId="908">
    <w:name w:val="Normal Table_file_514"/>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5&#24180;\2025&#24180;&#38750;&#22522;&#24314;&#31532;&#19968;&#25209;\&#38050;&#26408;&#21046;&#21697;&#37319;&#36141;\&#37319;&#36141;&#28165;&#21333;\2025.3.19\&#39033;&#30446;2%20%20&#35838;&#26700;&#26885;&#37319;&#36141;\&#65288;&#36820;&#22238;&#20462;&#25913;&#65289;&#35838;&#26700;&#26885;&#35774;&#22791;&#37319;&#36141;5.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（返回修改）课桌椅设备采购5.15.dot</Template>
  <Pages>101</Pages>
  <Words>23882</Words>
  <Characters>31993</Characters>
  <Lines>175</Lines>
  <Paragraphs>49</Paragraphs>
  <TotalTime>57</TotalTime>
  <ScaleCrop>false</ScaleCrop>
  <LinksUpToDate>false</LinksUpToDate>
  <CharactersWithSpaces>32481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2025-05-15T06:09:00Z</dcterms:created>
  <dc:creator>mgl</dc:creator>
  <cp:lastModifiedBy>余茜</cp:lastModifiedBy>
  <cp:lastPrinted>2025-05-16T08:29:00Z</cp:lastPrinted>
  <dcterms:modified xsi:type="dcterms:W3CDTF">2025-06-03T03:08:12Z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81F45FCFE8234F289435384C90AC60B8_13</vt:lpwstr>
  </property>
  <property fmtid="{D5CDD505-2E9C-101B-9397-08002B2CF9AE}" pid="4" name="KSOTemplateDocerSaveRecord">
    <vt:lpwstr>eyJoZGlkIjoiZmVkZmMxNThkOWQzZDUwNDJkZmRiMmM5YjA5Y2NiZTIiLCJ1c2VySWQiOiI5NDEyMTY3NjkifQ==</vt:lpwstr>
  </property>
</Properties>
</file>