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8D86F">
      <w:pPr>
        <w:spacing w:before="120" w:beforeLines="50"/>
        <w:jc w:val="center"/>
        <w:rPr>
          <w:rFonts w:hint="eastAsia" w:ascii="宋体" w:hAnsi="宋体" w:cs="宋体"/>
          <w:b/>
          <w:color w:val="auto"/>
          <w:sz w:val="48"/>
          <w:szCs w:val="48"/>
          <w:highlight w:val="none"/>
        </w:rPr>
      </w:pPr>
      <w:bookmarkStart w:id="115" w:name="_GoBack"/>
      <w:bookmarkEnd w:id="115"/>
      <w:r>
        <w:rPr>
          <w:rFonts w:hint="eastAsia" w:ascii="宋体" w:hAnsi="宋体" w:cs="宋体"/>
          <w:b/>
          <w:bCs/>
          <w:color w:val="auto"/>
          <w:sz w:val="44"/>
          <w:szCs w:val="44"/>
          <w:highlight w:val="none"/>
        </w:rPr>
        <w:drawing>
          <wp:inline distT="0" distB="0" distL="114300" distR="114300">
            <wp:extent cx="5007610" cy="1808480"/>
            <wp:effectExtent l="0" t="0" r="2540" b="1270"/>
            <wp:docPr id="1" name="图片 1" descr="信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和11"/>
                    <pic:cNvPicPr>
                      <a:picLocks noChangeAspect="1"/>
                    </pic:cNvPicPr>
                  </pic:nvPicPr>
                  <pic:blipFill>
                    <a:blip r:embed="rId14"/>
                    <a:stretch>
                      <a:fillRect/>
                    </a:stretch>
                  </pic:blipFill>
                  <pic:spPr>
                    <a:xfrm>
                      <a:off x="0" y="0"/>
                      <a:ext cx="5007610" cy="1808480"/>
                    </a:xfrm>
                    <a:prstGeom prst="rect">
                      <a:avLst/>
                    </a:prstGeom>
                    <a:noFill/>
                    <a:ln>
                      <a:noFill/>
                    </a:ln>
                  </pic:spPr>
                </pic:pic>
              </a:graphicData>
            </a:graphic>
          </wp:inline>
        </w:drawing>
      </w:r>
    </w:p>
    <w:p w14:paraId="7D4F0259">
      <w:pPr>
        <w:spacing w:before="120" w:beforeLines="50"/>
        <w:jc w:val="center"/>
        <w:rPr>
          <w:rFonts w:hint="eastAsia" w:ascii="宋体" w:hAnsi="宋体" w:cs="宋体"/>
          <w:b/>
          <w:color w:val="auto"/>
          <w:sz w:val="128"/>
          <w:szCs w:val="128"/>
          <w:highlight w:val="none"/>
        </w:rPr>
      </w:pPr>
    </w:p>
    <w:p w14:paraId="478F3E04">
      <w:pPr>
        <w:spacing w:before="120" w:beforeLines="50"/>
        <w:jc w:val="center"/>
        <w:rPr>
          <w:rFonts w:hint="eastAsia" w:ascii="宋体" w:hAnsi="宋体" w:cs="宋体"/>
          <w:b/>
          <w:color w:val="auto"/>
          <w:sz w:val="96"/>
          <w:szCs w:val="96"/>
          <w:highlight w:val="none"/>
        </w:rPr>
      </w:pPr>
      <w:r>
        <w:rPr>
          <w:rFonts w:hint="eastAsia" w:ascii="宋体" w:hAnsi="宋体" w:cs="宋体"/>
          <w:b/>
          <w:color w:val="auto"/>
          <w:sz w:val="96"/>
          <w:szCs w:val="96"/>
          <w:highlight w:val="none"/>
        </w:rPr>
        <w:t>公开招标文件</w:t>
      </w:r>
    </w:p>
    <w:p w14:paraId="57B68D83">
      <w:pPr>
        <w:snapToGrid w:val="0"/>
        <w:spacing w:before="120" w:beforeLines="50" w:line="360" w:lineRule="auto"/>
        <w:rPr>
          <w:rFonts w:hint="eastAsia" w:ascii="宋体" w:hAnsi="宋体" w:cs="宋体"/>
          <w:color w:val="auto"/>
          <w:sz w:val="30"/>
          <w:szCs w:val="72"/>
          <w:highlight w:val="none"/>
        </w:rPr>
      </w:pPr>
    </w:p>
    <w:p w14:paraId="4AD39660">
      <w:pPr>
        <w:snapToGrid w:val="0"/>
        <w:spacing w:before="120" w:beforeLines="50" w:line="360" w:lineRule="auto"/>
        <w:rPr>
          <w:rFonts w:hint="eastAsia" w:ascii="宋体" w:hAnsi="宋体" w:cs="宋体"/>
          <w:color w:val="auto"/>
          <w:sz w:val="30"/>
          <w:szCs w:val="72"/>
          <w:highlight w:val="none"/>
        </w:rPr>
      </w:pPr>
    </w:p>
    <w:p w14:paraId="1B337F0F">
      <w:pPr>
        <w:snapToGrid w:val="0"/>
        <w:spacing w:before="120" w:beforeLines="50" w:line="360" w:lineRule="auto"/>
        <w:rPr>
          <w:rFonts w:hint="eastAsia" w:ascii="宋体" w:hAnsi="宋体" w:cs="宋体"/>
          <w:color w:val="auto"/>
          <w:sz w:val="30"/>
          <w:szCs w:val="72"/>
          <w:highlight w:val="none"/>
        </w:rPr>
      </w:pPr>
    </w:p>
    <w:p w14:paraId="06542202">
      <w:pPr>
        <w:snapToGrid w:val="0"/>
        <w:spacing w:before="120" w:beforeLines="50" w:line="360" w:lineRule="auto"/>
        <w:rPr>
          <w:rFonts w:hint="eastAsia" w:ascii="宋体" w:hAnsi="宋体" w:cs="宋体"/>
          <w:color w:val="auto"/>
          <w:sz w:val="30"/>
          <w:szCs w:val="72"/>
          <w:highlight w:val="none"/>
        </w:rPr>
      </w:pPr>
    </w:p>
    <w:p w14:paraId="77AE0EC8">
      <w:pPr>
        <w:pStyle w:val="13"/>
        <w:spacing w:line="360" w:lineRule="auto"/>
        <w:ind w:left="-2"/>
        <w:jc w:val="center"/>
        <w:rPr>
          <w:rFonts w:hint="eastAsia" w:hAnsi="宋体" w:cs="宋体"/>
          <w:b/>
          <w:bCs/>
          <w:color w:val="auto"/>
          <w:sz w:val="32"/>
          <w:highlight w:val="none"/>
          <w:lang w:eastAsia="zh-CN"/>
        </w:rPr>
      </w:pPr>
      <w:r>
        <w:rPr>
          <w:rFonts w:hint="eastAsia" w:hAnsi="宋体" w:cs="宋体"/>
          <w:b/>
          <w:bCs/>
          <w:color w:val="auto"/>
          <w:sz w:val="32"/>
          <w:highlight w:val="none"/>
        </w:rPr>
        <w:t>项目名称：</w:t>
      </w:r>
      <w:r>
        <w:rPr>
          <w:rFonts w:hint="eastAsia" w:hAnsi="宋体" w:cs="宋体"/>
          <w:b/>
          <w:bCs/>
          <w:color w:val="auto"/>
          <w:sz w:val="32"/>
          <w:highlight w:val="none"/>
          <w:lang w:val="en-US" w:eastAsia="zh-CN"/>
        </w:rPr>
        <w:t>县城学校教学多媒体设备采购</w:t>
      </w:r>
    </w:p>
    <w:p w14:paraId="39F8A6AD">
      <w:pPr>
        <w:pStyle w:val="13"/>
        <w:spacing w:line="360" w:lineRule="auto"/>
        <w:ind w:left="-2"/>
        <w:jc w:val="center"/>
        <w:rPr>
          <w:rFonts w:hint="eastAsia" w:hAnsi="宋体" w:cs="宋体"/>
          <w:b/>
          <w:bCs/>
          <w:color w:val="auto"/>
          <w:sz w:val="32"/>
          <w:highlight w:val="none"/>
        </w:rPr>
      </w:pPr>
      <w:r>
        <w:rPr>
          <w:rFonts w:hint="eastAsia" w:hAnsi="宋体" w:cs="宋体"/>
          <w:b/>
          <w:bCs/>
          <w:color w:val="auto"/>
          <w:sz w:val="32"/>
          <w:highlight w:val="none"/>
        </w:rPr>
        <w:t>项目编号：</w:t>
      </w:r>
      <w:r>
        <w:rPr>
          <w:rFonts w:hint="eastAsia" w:hAnsi="宋体" w:cs="宋体"/>
          <w:b/>
          <w:bCs/>
          <w:color w:val="auto"/>
          <w:w w:val="95"/>
          <w:sz w:val="32"/>
          <w:szCs w:val="32"/>
          <w:highlight w:val="none"/>
          <w:lang w:eastAsia="zh-CN"/>
        </w:rPr>
        <w:t>LZZC2025-G1-230036-GXXH</w:t>
      </w:r>
    </w:p>
    <w:p w14:paraId="0DA3D645">
      <w:pPr>
        <w:pStyle w:val="13"/>
        <w:rPr>
          <w:rFonts w:hint="eastAsia" w:hAnsi="宋体" w:cs="宋体"/>
          <w:b/>
          <w:color w:val="auto"/>
          <w:highlight w:val="none"/>
        </w:rPr>
      </w:pPr>
      <w:r>
        <w:rPr>
          <w:rFonts w:hint="eastAsia" w:hAnsi="宋体" w:cs="宋体"/>
          <w:b/>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571500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450pt;z-index:251665408;mso-width-relative:page;mso-height-relative:page;" filled="f" stroked="t" coordsize="21600,21600" o:gfxdata="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Y48VdQAAAAGAQAADwAAAAAAAAABACAAAAAiAAAAZHJzL2Rvd25yZXYueG1sUEsBAhQAFAAA&#10;AAgAh07iQHVEC/vzAQAA5QMAAA4AAAAAAAAAAQAgAAAAIwEAAGRycy9lMm9Eb2MueG1sUEsFBgAA&#10;AAAGAAYAWQEAAIgFAAAAAA==&#10;">
                <v:fill on="f" focussize="0,0"/>
                <v:stroke weight="1pt" color="#000000" joinstyle="round"/>
                <v:imagedata o:title=""/>
                <o:lock v:ext="edit" aspectratio="f"/>
              </v:line>
            </w:pict>
          </mc:Fallback>
        </mc:AlternateContent>
      </w:r>
    </w:p>
    <w:p w14:paraId="774EC514">
      <w:pPr>
        <w:spacing w:line="560" w:lineRule="exact"/>
        <w:jc w:val="center"/>
        <w:rPr>
          <w:rFonts w:hint="eastAsia" w:ascii="宋体" w:hAnsi="宋体" w:eastAsia="宋体" w:cs="宋体"/>
          <w:b/>
          <w:snapToGrid w:val="0"/>
          <w:color w:val="auto"/>
          <w:kern w:val="0"/>
          <w:sz w:val="32"/>
          <w:szCs w:val="32"/>
          <w:highlight w:val="none"/>
          <w:lang w:eastAsia="zh-CN"/>
        </w:rPr>
      </w:pPr>
      <w:r>
        <w:rPr>
          <w:rFonts w:hint="eastAsia" w:ascii="宋体" w:hAnsi="宋体" w:cs="宋体"/>
          <w:b/>
          <w:snapToGrid w:val="0"/>
          <w:color w:val="auto"/>
          <w:kern w:val="0"/>
          <w:sz w:val="32"/>
          <w:szCs w:val="32"/>
          <w:highlight w:val="none"/>
        </w:rPr>
        <w:t>采购人：</w:t>
      </w:r>
      <w:r>
        <w:rPr>
          <w:rFonts w:hint="eastAsia" w:ascii="宋体" w:hAnsi="宋体" w:cs="宋体"/>
          <w:b/>
          <w:snapToGrid w:val="0"/>
          <w:color w:val="auto"/>
          <w:kern w:val="0"/>
          <w:sz w:val="32"/>
          <w:szCs w:val="32"/>
          <w:highlight w:val="none"/>
          <w:lang w:eastAsia="zh-CN"/>
        </w:rPr>
        <w:t>鹿寨县教育局</w:t>
      </w:r>
    </w:p>
    <w:p w14:paraId="0FE04FEA">
      <w:pPr>
        <w:spacing w:line="5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采购代理机构：广西信和招标代理有限公司</w:t>
      </w:r>
    </w:p>
    <w:p w14:paraId="4F7A66F7">
      <w:pPr>
        <w:pStyle w:val="13"/>
        <w:snapToGrid w:val="0"/>
        <w:spacing w:before="120" w:after="120" w:line="360" w:lineRule="auto"/>
        <w:jc w:val="center"/>
        <w:rPr>
          <w:rFonts w:hint="eastAsia" w:hAnsi="宋体" w:cs="宋体"/>
          <w:b/>
          <w:color w:val="auto"/>
          <w:sz w:val="32"/>
          <w:szCs w:val="32"/>
          <w:highlight w:val="none"/>
          <w:lang w:eastAsia="zh-CN"/>
        </w:rPr>
      </w:pPr>
    </w:p>
    <w:p w14:paraId="61D37D45">
      <w:pPr>
        <w:pStyle w:val="13"/>
        <w:snapToGrid w:val="0"/>
        <w:spacing w:before="120" w:after="120" w:line="360" w:lineRule="auto"/>
        <w:jc w:val="center"/>
        <w:rPr>
          <w:rFonts w:hint="eastAsia" w:hAnsi="宋体" w:cs="宋体"/>
          <w:b/>
          <w:bCs/>
          <w:color w:val="auto"/>
          <w:w w:val="95"/>
          <w:sz w:val="32"/>
          <w:szCs w:val="32"/>
          <w:highlight w:val="none"/>
        </w:rPr>
      </w:pPr>
      <w:r>
        <w:rPr>
          <w:rFonts w:hint="eastAsia" w:hAnsi="宋体" w:cs="宋体"/>
          <w:b/>
          <w:color w:val="auto"/>
          <w:sz w:val="32"/>
          <w:szCs w:val="32"/>
          <w:highlight w:val="none"/>
          <w:lang w:eastAsia="zh-CN"/>
        </w:rPr>
        <w:t>202</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月</w:t>
      </w:r>
    </w:p>
    <w:p w14:paraId="728177FE">
      <w:pPr>
        <w:pStyle w:val="13"/>
        <w:spacing w:before="120" w:after="120" w:line="360" w:lineRule="auto"/>
        <w:rPr>
          <w:rFonts w:hint="eastAsia" w:hAnsi="宋体" w:cs="宋体"/>
          <w:color w:val="auto"/>
          <w:highlight w:val="none"/>
        </w:rPr>
        <w:sectPr>
          <w:footerReference r:id="rId6" w:type="first"/>
          <w:headerReference r:id="rId3" w:type="default"/>
          <w:footerReference r:id="rId4" w:type="default"/>
          <w:footerReference r:id="rId5" w:type="even"/>
          <w:pgSz w:w="11906" w:h="16838"/>
          <w:pgMar w:top="1134" w:right="1134" w:bottom="1134" w:left="1247" w:header="851" w:footer="992" w:gutter="0"/>
          <w:pgNumType w:fmt="numberInDash" w:start="0"/>
          <w:cols w:space="720" w:num="1"/>
          <w:titlePg/>
          <w:docGrid w:linePitch="312" w:charSpace="0"/>
        </w:sectPr>
      </w:pPr>
    </w:p>
    <w:p w14:paraId="291FC888">
      <w:pPr>
        <w:rPr>
          <w:rFonts w:hint="eastAsia"/>
          <w:color w:val="auto"/>
          <w:highlight w:val="none"/>
        </w:rPr>
      </w:pPr>
    </w:p>
    <w:p w14:paraId="3BF0D14B">
      <w:pPr>
        <w:pStyle w:val="13"/>
        <w:spacing w:before="120" w:after="120" w:line="360" w:lineRule="auto"/>
        <w:jc w:val="center"/>
        <w:rPr>
          <w:rFonts w:hint="eastAsia" w:hAnsi="宋体" w:cs="宋体"/>
          <w:b/>
          <w:bCs/>
          <w:color w:val="auto"/>
          <w:sz w:val="32"/>
          <w:szCs w:val="32"/>
          <w:highlight w:val="none"/>
        </w:rPr>
      </w:pPr>
    </w:p>
    <w:p w14:paraId="1C4AF251">
      <w:pPr>
        <w:pStyle w:val="13"/>
        <w:spacing w:before="120" w:after="120" w:line="360" w:lineRule="auto"/>
        <w:jc w:val="center"/>
        <w:rPr>
          <w:rFonts w:hint="eastAsia" w:hAnsi="宋体" w:cs="宋体"/>
          <w:b/>
          <w:bCs/>
          <w:color w:val="auto"/>
          <w:sz w:val="32"/>
          <w:szCs w:val="32"/>
          <w:highlight w:val="none"/>
        </w:rPr>
      </w:pPr>
      <w:r>
        <w:rPr>
          <w:rFonts w:hint="eastAsia" w:hAnsi="宋体" w:cs="宋体"/>
          <w:b/>
          <w:bCs/>
          <w:color w:val="auto"/>
          <w:sz w:val="32"/>
          <w:szCs w:val="32"/>
          <w:highlight w:val="none"/>
        </w:rPr>
        <w:t>目  录</w:t>
      </w:r>
    </w:p>
    <w:p w14:paraId="49FC8E3F">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TOC \o "1-3" \h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_Toc8038 </w:instrText>
      </w:r>
      <w:r>
        <w:rPr>
          <w:rFonts w:hint="eastAsia" w:cs="宋体"/>
          <w:color w:val="auto"/>
          <w:sz w:val="28"/>
          <w:szCs w:val="28"/>
          <w:highlight w:val="none"/>
        </w:rPr>
        <w:fldChar w:fldCharType="separate"/>
      </w:r>
      <w:r>
        <w:rPr>
          <w:rFonts w:hint="eastAsia" w:cs="宋体"/>
          <w:color w:val="auto"/>
          <w:sz w:val="28"/>
          <w:szCs w:val="28"/>
          <w:highlight w:val="none"/>
        </w:rPr>
        <w:t>第一章  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hint="eastAsia" w:cs="宋体"/>
          <w:color w:val="auto"/>
          <w:sz w:val="28"/>
          <w:szCs w:val="28"/>
          <w:highlight w:val="none"/>
        </w:rPr>
        <w:fldChar w:fldCharType="end"/>
      </w:r>
    </w:p>
    <w:p w14:paraId="5D949342">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_Toc11679 </w:instrText>
      </w:r>
      <w:r>
        <w:rPr>
          <w:rFonts w:hint="eastAsia" w:cs="宋体"/>
          <w:color w:val="auto"/>
          <w:sz w:val="28"/>
          <w:szCs w:val="28"/>
          <w:highlight w:val="none"/>
        </w:rPr>
        <w:fldChar w:fldCharType="separate"/>
      </w:r>
      <w:r>
        <w:rPr>
          <w:rFonts w:hint="eastAsia" w:cs="宋体"/>
          <w:color w:val="auto"/>
          <w:sz w:val="28"/>
          <w:szCs w:val="28"/>
          <w:highlight w:val="none"/>
        </w:rPr>
        <w:t>第二章</w:t>
      </w:r>
      <w:r>
        <w:rPr>
          <w:rFonts w:hint="eastAsia" w:cs="宋体"/>
          <w:color w:val="auto"/>
          <w:sz w:val="28"/>
          <w:szCs w:val="28"/>
          <w:highlight w:val="none"/>
          <w:lang w:val="en-US" w:eastAsia="zh-CN"/>
        </w:rPr>
        <w:t xml:space="preserve">  招标</w:t>
      </w:r>
      <w:r>
        <w:rPr>
          <w:rFonts w:hint="eastAsia" w:cs="宋体"/>
          <w:color w:val="auto"/>
          <w:sz w:val="28"/>
          <w:szCs w:val="28"/>
          <w:highlight w:val="none"/>
        </w:rPr>
        <w:t>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_Toc11679 \h </w:instrText>
      </w:r>
      <w:r>
        <w:rPr>
          <w:color w:val="auto"/>
          <w:sz w:val="28"/>
          <w:szCs w:val="28"/>
          <w:highlight w:val="none"/>
        </w:rPr>
        <w:fldChar w:fldCharType="separate"/>
      </w:r>
      <w:r>
        <w:rPr>
          <w:color w:val="auto"/>
          <w:sz w:val="28"/>
          <w:szCs w:val="28"/>
          <w:highlight w:val="none"/>
        </w:rPr>
        <w:t>- 5 -</w:t>
      </w:r>
      <w:r>
        <w:rPr>
          <w:color w:val="auto"/>
          <w:sz w:val="28"/>
          <w:szCs w:val="28"/>
          <w:highlight w:val="none"/>
        </w:rPr>
        <w:fldChar w:fldCharType="end"/>
      </w:r>
      <w:r>
        <w:rPr>
          <w:rFonts w:hint="eastAsia" w:cs="宋体"/>
          <w:color w:val="auto"/>
          <w:sz w:val="28"/>
          <w:szCs w:val="28"/>
          <w:highlight w:val="none"/>
        </w:rPr>
        <w:fldChar w:fldCharType="end"/>
      </w:r>
    </w:p>
    <w:p w14:paraId="7A903D55">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_Toc4735 </w:instrText>
      </w:r>
      <w:r>
        <w:rPr>
          <w:rFonts w:hint="eastAsia" w:cs="宋体"/>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- 28 -</w:t>
      </w:r>
      <w:r>
        <w:rPr>
          <w:color w:val="auto"/>
          <w:sz w:val="28"/>
          <w:szCs w:val="28"/>
          <w:highlight w:val="none"/>
        </w:rPr>
        <w:fldChar w:fldCharType="end"/>
      </w:r>
      <w:r>
        <w:rPr>
          <w:rFonts w:hint="eastAsia" w:cs="宋体"/>
          <w:color w:val="auto"/>
          <w:sz w:val="28"/>
          <w:szCs w:val="28"/>
          <w:highlight w:val="none"/>
        </w:rPr>
        <w:fldChar w:fldCharType="end"/>
      </w:r>
    </w:p>
    <w:p w14:paraId="170DCDFA">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_Toc22040 </w:instrText>
      </w:r>
      <w:r>
        <w:rPr>
          <w:rFonts w:hint="eastAsia" w:cs="宋体"/>
          <w:color w:val="auto"/>
          <w:sz w:val="28"/>
          <w:szCs w:val="28"/>
          <w:highlight w:val="none"/>
        </w:rPr>
        <w:fldChar w:fldCharType="separate"/>
      </w:r>
      <w:r>
        <w:rPr>
          <w:rFonts w:hint="eastAsia" w:cs="宋体"/>
          <w:color w:val="auto"/>
          <w:sz w:val="28"/>
          <w:szCs w:val="28"/>
          <w:highlight w:val="none"/>
        </w:rPr>
        <w:t>第四章  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- 47 -</w:t>
      </w:r>
      <w:r>
        <w:rPr>
          <w:color w:val="auto"/>
          <w:sz w:val="28"/>
          <w:szCs w:val="28"/>
          <w:highlight w:val="none"/>
        </w:rPr>
        <w:fldChar w:fldCharType="end"/>
      </w:r>
      <w:r>
        <w:rPr>
          <w:rFonts w:hint="eastAsia" w:cs="宋体"/>
          <w:color w:val="auto"/>
          <w:sz w:val="28"/>
          <w:szCs w:val="28"/>
          <w:highlight w:val="none"/>
        </w:rPr>
        <w:fldChar w:fldCharType="end"/>
      </w:r>
    </w:p>
    <w:p w14:paraId="0B9A651C">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_Toc4765 </w:instrText>
      </w:r>
      <w:r>
        <w:rPr>
          <w:rFonts w:hint="eastAsia" w:cs="宋体"/>
          <w:color w:val="auto"/>
          <w:sz w:val="28"/>
          <w:szCs w:val="28"/>
          <w:highlight w:val="none"/>
        </w:rPr>
        <w:fldChar w:fldCharType="separate"/>
      </w:r>
      <w:r>
        <w:rPr>
          <w:rFonts w:hint="eastAsia" w:cs="宋体"/>
          <w:color w:val="auto"/>
          <w:kern w:val="44"/>
          <w:sz w:val="28"/>
          <w:szCs w:val="28"/>
          <w:highlight w:val="none"/>
          <w:lang w:val="en-US" w:eastAsia="zh-CN"/>
        </w:rPr>
        <w:t>第五章  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- 53 -</w:t>
      </w:r>
      <w:r>
        <w:rPr>
          <w:color w:val="auto"/>
          <w:sz w:val="28"/>
          <w:szCs w:val="28"/>
          <w:highlight w:val="none"/>
        </w:rPr>
        <w:fldChar w:fldCharType="end"/>
      </w:r>
      <w:r>
        <w:rPr>
          <w:rFonts w:hint="eastAsia" w:cs="宋体"/>
          <w:color w:val="auto"/>
          <w:sz w:val="28"/>
          <w:szCs w:val="28"/>
          <w:highlight w:val="none"/>
        </w:rPr>
        <w:fldChar w:fldCharType="end"/>
      </w:r>
    </w:p>
    <w:p w14:paraId="64F74A08">
      <w:pPr>
        <w:pStyle w:val="17"/>
        <w:tabs>
          <w:tab w:val="right" w:leader="dot" w:pos="9525"/>
          <w:tab w:val="clear" w:pos="1260"/>
          <w:tab w:val="clear" w:pos="9000"/>
        </w:tabs>
        <w:ind w:firstLine="422" w:firstLineChars="150"/>
        <w:rPr>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_Toc4800 </w:instrText>
      </w:r>
      <w:r>
        <w:rPr>
          <w:rFonts w:hint="eastAsia" w:cs="宋体"/>
          <w:color w:val="auto"/>
          <w:sz w:val="28"/>
          <w:szCs w:val="28"/>
          <w:highlight w:val="none"/>
        </w:rPr>
        <w:fldChar w:fldCharType="separate"/>
      </w:r>
      <w:r>
        <w:rPr>
          <w:rFonts w:hint="eastAsia" w:cs="宋体"/>
          <w:color w:val="auto"/>
          <w:sz w:val="28"/>
          <w:szCs w:val="28"/>
          <w:highlight w:val="none"/>
          <w:lang w:eastAsia="zh-CN"/>
        </w:rPr>
        <w:t>第六章</w:t>
      </w:r>
      <w:r>
        <w:rPr>
          <w:rFonts w:hint="eastAsia" w:cs="宋体"/>
          <w:color w:val="auto"/>
          <w:sz w:val="28"/>
          <w:szCs w:val="28"/>
          <w:highlight w:val="none"/>
          <w:lang w:val="en-US" w:eastAsia="zh-CN"/>
        </w:rPr>
        <w:t xml:space="preserve">  </w:t>
      </w:r>
      <w:r>
        <w:rPr>
          <w:rFonts w:hint="eastAsia" w:cs="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- 60 -</w:t>
      </w:r>
      <w:r>
        <w:rPr>
          <w:color w:val="auto"/>
          <w:sz w:val="28"/>
          <w:szCs w:val="28"/>
          <w:highlight w:val="none"/>
        </w:rPr>
        <w:fldChar w:fldCharType="end"/>
      </w:r>
      <w:r>
        <w:rPr>
          <w:rFonts w:hint="eastAsia" w:cs="宋体"/>
          <w:color w:val="auto"/>
          <w:sz w:val="28"/>
          <w:szCs w:val="28"/>
          <w:highlight w:val="none"/>
        </w:rPr>
        <w:fldChar w:fldCharType="end"/>
      </w:r>
    </w:p>
    <w:p w14:paraId="74B5B058">
      <w:pPr>
        <w:spacing w:before="120" w:beforeLines="50" w:line="480" w:lineRule="exact"/>
        <w:ind w:firstLine="420" w:firstLineChars="150"/>
        <w:rPr>
          <w:rFonts w:hint="eastAsia" w:ascii="宋体" w:hAnsi="宋体" w:cs="宋体"/>
          <w:color w:val="auto"/>
          <w:sz w:val="30"/>
          <w:highlight w:val="none"/>
        </w:rPr>
      </w:pPr>
      <w:r>
        <w:rPr>
          <w:rFonts w:hint="eastAsia" w:ascii="宋体" w:hAnsi="宋体" w:cs="宋体"/>
          <w:color w:val="auto"/>
          <w:sz w:val="28"/>
          <w:szCs w:val="28"/>
          <w:highlight w:val="none"/>
        </w:rPr>
        <w:fldChar w:fldCharType="end"/>
      </w:r>
    </w:p>
    <w:p w14:paraId="66619CEB">
      <w:pPr>
        <w:spacing w:before="120" w:beforeLines="50" w:line="480" w:lineRule="exact"/>
        <w:rPr>
          <w:rStyle w:val="23"/>
          <w:rFonts w:hint="eastAsia" w:ascii="宋体" w:hAnsi="宋体" w:cs="宋体"/>
          <w:color w:val="auto"/>
          <w:highlight w:val="none"/>
        </w:rPr>
      </w:pPr>
    </w:p>
    <w:p w14:paraId="22602A5B">
      <w:pPr>
        <w:spacing w:before="120" w:beforeLines="50" w:line="480" w:lineRule="exact"/>
        <w:rPr>
          <w:rFonts w:hint="eastAsia" w:ascii="宋体" w:hAnsi="宋体" w:cs="宋体"/>
          <w:color w:val="auto"/>
          <w:sz w:val="30"/>
          <w:highlight w:val="none"/>
        </w:rPr>
      </w:pPr>
    </w:p>
    <w:p w14:paraId="50AE5977">
      <w:pPr>
        <w:spacing w:before="120" w:beforeLines="50" w:line="480" w:lineRule="exact"/>
        <w:rPr>
          <w:rFonts w:hint="eastAsia" w:ascii="宋体" w:hAnsi="宋体" w:cs="宋体"/>
          <w:color w:val="auto"/>
          <w:sz w:val="30"/>
          <w:highlight w:val="none"/>
        </w:rPr>
      </w:pPr>
    </w:p>
    <w:p w14:paraId="389D2AC7">
      <w:pPr>
        <w:spacing w:before="120" w:beforeLines="50" w:line="480" w:lineRule="exact"/>
        <w:rPr>
          <w:rFonts w:hint="eastAsia" w:ascii="宋体" w:hAnsi="宋体" w:cs="宋体"/>
          <w:color w:val="auto"/>
          <w:sz w:val="30"/>
          <w:highlight w:val="none"/>
        </w:rPr>
      </w:pPr>
    </w:p>
    <w:p w14:paraId="41684564">
      <w:pPr>
        <w:spacing w:before="120" w:beforeLines="50" w:line="480" w:lineRule="exact"/>
        <w:rPr>
          <w:rFonts w:hint="eastAsia" w:ascii="宋体" w:hAnsi="宋体" w:cs="宋体"/>
          <w:color w:val="auto"/>
          <w:sz w:val="30"/>
          <w:highlight w:val="none"/>
        </w:rPr>
      </w:pPr>
    </w:p>
    <w:p w14:paraId="2B590F18">
      <w:pPr>
        <w:spacing w:before="120" w:beforeLines="50" w:line="480" w:lineRule="exact"/>
        <w:rPr>
          <w:rFonts w:hint="eastAsia" w:ascii="宋体" w:hAnsi="宋体" w:cs="宋体"/>
          <w:color w:val="auto"/>
          <w:sz w:val="30"/>
          <w:highlight w:val="none"/>
        </w:rPr>
      </w:pPr>
    </w:p>
    <w:p w14:paraId="496F27EB">
      <w:pPr>
        <w:spacing w:before="120" w:beforeLines="50" w:line="480" w:lineRule="exact"/>
        <w:rPr>
          <w:rFonts w:hint="eastAsia" w:ascii="宋体" w:hAnsi="宋体" w:cs="宋体"/>
          <w:color w:val="auto"/>
          <w:sz w:val="30"/>
          <w:highlight w:val="none"/>
        </w:rPr>
      </w:pPr>
    </w:p>
    <w:p w14:paraId="3341C181">
      <w:pPr>
        <w:spacing w:before="120" w:beforeLines="50" w:line="480" w:lineRule="exact"/>
        <w:rPr>
          <w:rFonts w:hint="eastAsia" w:ascii="宋体" w:hAnsi="宋体" w:cs="宋体"/>
          <w:color w:val="auto"/>
          <w:sz w:val="30"/>
          <w:highlight w:val="none"/>
        </w:rPr>
      </w:pPr>
    </w:p>
    <w:p w14:paraId="39B556E7">
      <w:pPr>
        <w:spacing w:before="120" w:beforeLines="50" w:line="480" w:lineRule="exact"/>
        <w:rPr>
          <w:rFonts w:hint="eastAsia" w:ascii="宋体" w:hAnsi="宋体" w:cs="宋体"/>
          <w:color w:val="auto"/>
          <w:sz w:val="30"/>
          <w:highlight w:val="none"/>
        </w:rPr>
      </w:pPr>
    </w:p>
    <w:p w14:paraId="7A492FD3">
      <w:pPr>
        <w:spacing w:before="120" w:beforeLines="50" w:line="480" w:lineRule="exact"/>
        <w:rPr>
          <w:rFonts w:hint="eastAsia" w:ascii="宋体" w:hAnsi="宋体" w:cs="宋体"/>
          <w:color w:val="auto"/>
          <w:sz w:val="30"/>
          <w:highlight w:val="none"/>
        </w:rPr>
      </w:pPr>
    </w:p>
    <w:p w14:paraId="05C97CB0">
      <w:pPr>
        <w:pStyle w:val="3"/>
        <w:spacing w:line="400" w:lineRule="exact"/>
        <w:jc w:val="center"/>
        <w:rPr>
          <w:rFonts w:hint="eastAsia" w:ascii="宋体" w:hAnsi="宋体" w:cs="宋体"/>
          <w:color w:val="auto"/>
          <w:sz w:val="36"/>
          <w:szCs w:val="36"/>
          <w:highlight w:val="none"/>
        </w:rPr>
        <w:sectPr>
          <w:footerReference r:id="rId8" w:type="first"/>
          <w:footerReference r:id="rId7" w:type="default"/>
          <w:pgSz w:w="11906" w:h="16838"/>
          <w:pgMar w:top="1134" w:right="1134" w:bottom="1134" w:left="1247" w:header="851" w:footer="992" w:gutter="0"/>
          <w:pgNumType w:fmt="numberInDash" w:start="0"/>
          <w:cols w:space="720" w:num="1"/>
          <w:titlePg/>
          <w:docGrid w:linePitch="312" w:charSpace="0"/>
        </w:sectPr>
      </w:pPr>
      <w:bookmarkStart w:id="0" w:name="_Toc254970630"/>
      <w:bookmarkStart w:id="1" w:name="_Toc254970489"/>
    </w:p>
    <w:p w14:paraId="6CDB1509">
      <w:pPr>
        <w:pStyle w:val="3"/>
        <w:spacing w:line="400" w:lineRule="exact"/>
        <w:jc w:val="center"/>
        <w:rPr>
          <w:rFonts w:hint="eastAsia" w:ascii="宋体" w:hAnsi="宋体" w:cs="宋体"/>
          <w:color w:val="auto"/>
          <w:sz w:val="36"/>
          <w:szCs w:val="36"/>
          <w:highlight w:val="none"/>
        </w:rPr>
      </w:pPr>
      <w:bookmarkStart w:id="2" w:name="_Toc25578"/>
      <w:bookmarkStart w:id="3" w:name="_Toc8038"/>
      <w:r>
        <w:rPr>
          <w:rFonts w:hint="eastAsia" w:ascii="宋体" w:hAnsi="宋体" w:cs="宋体"/>
          <w:color w:val="auto"/>
          <w:sz w:val="36"/>
          <w:szCs w:val="36"/>
          <w:highlight w:val="none"/>
        </w:rPr>
        <w:t>第一章  公开招标公告</w:t>
      </w:r>
      <w:bookmarkEnd w:id="0"/>
      <w:bookmarkEnd w:id="1"/>
      <w:bookmarkEnd w:id="2"/>
      <w:bookmarkEnd w:id="3"/>
    </w:p>
    <w:p w14:paraId="1D361D10">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项目概况</w:t>
      </w:r>
    </w:p>
    <w:p w14:paraId="77AF579D">
      <w:pPr>
        <w:pBdr>
          <w:top w:val="single" w:color="auto" w:sz="4" w:space="1"/>
          <w:left w:val="single" w:color="auto" w:sz="4" w:space="4"/>
          <w:bottom w:val="single" w:color="auto" w:sz="4" w:space="5"/>
          <w:right w:val="single" w:color="auto" w:sz="4" w:space="4"/>
        </w:pBd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shd w:val="clear" w:color="auto" w:fill="FFFFFF"/>
          <w:lang w:eastAsia="zh-CN"/>
        </w:rPr>
        <w:t>县城学校教学多媒体设备采购</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广西政府采购云平台（https://www.gcy.zfcg.gxzf.gov.cn/）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日09时30分</w:t>
      </w:r>
      <w:r>
        <w:rPr>
          <w:rFonts w:hint="eastAsia" w:ascii="宋体" w:hAnsi="宋体" w:cs="宋体"/>
          <w:bCs/>
          <w:color w:val="auto"/>
          <w:sz w:val="24"/>
          <w:highlight w:val="none"/>
          <w:u w:val="single"/>
        </w:rPr>
        <w:t>（</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14:paraId="00ADBC32">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69C257F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LZZC2025-G1-230036-GXXH</w:t>
      </w:r>
    </w:p>
    <w:p w14:paraId="0327F39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shd w:val="clear" w:color="auto" w:fill="FFFFFF"/>
          <w:lang w:eastAsia="zh-CN"/>
        </w:rPr>
        <w:t>县城学校教学多媒体设备采购</w:t>
      </w:r>
    </w:p>
    <w:p w14:paraId="4A1B7E8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预算金额及最高限价：人民币</w:t>
      </w:r>
      <w:r>
        <w:rPr>
          <w:rFonts w:hint="eastAsia" w:ascii="宋体" w:hAnsi="宋体" w:cs="宋体"/>
          <w:color w:val="auto"/>
          <w:sz w:val="24"/>
          <w:highlight w:val="none"/>
          <w:lang w:eastAsia="zh-CN"/>
        </w:rPr>
        <w:t>壹佰柒拾肆万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1740000</w:t>
      </w:r>
      <w:r>
        <w:rPr>
          <w:rFonts w:hint="eastAsia" w:ascii="宋体" w:hAnsi="宋体" w:cs="宋体"/>
          <w:color w:val="auto"/>
          <w:sz w:val="24"/>
          <w:highlight w:val="none"/>
        </w:rPr>
        <w:t>.00）</w:t>
      </w:r>
    </w:p>
    <w:p w14:paraId="0C325A7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w:t>
      </w:r>
      <w:r>
        <w:rPr>
          <w:rFonts w:hint="eastAsia" w:ascii="宋体" w:hAnsi="宋体" w:cs="宋体"/>
          <w:color w:val="auto"/>
          <w:sz w:val="24"/>
          <w:highlight w:val="none"/>
        </w:rPr>
        <w:t>县城学校教学多媒体设备采购1</w:t>
      </w:r>
      <w:r>
        <w:rPr>
          <w:rFonts w:hint="eastAsia" w:ascii="宋体" w:hAnsi="宋体" w:cs="宋体"/>
          <w:color w:val="auto"/>
          <w:sz w:val="24"/>
          <w:highlight w:val="none"/>
          <w:lang w:eastAsia="zh-CN"/>
        </w:rPr>
        <w:t>批</w:t>
      </w:r>
      <w:r>
        <w:rPr>
          <w:rFonts w:hint="eastAsia" w:ascii="宋体" w:hAnsi="宋体" w:cs="宋体"/>
          <w:color w:val="auto"/>
          <w:sz w:val="24"/>
          <w:highlight w:val="none"/>
        </w:rPr>
        <w:t>；如需进一步了解详细内容，详见招标文件。</w:t>
      </w:r>
    </w:p>
    <w:p w14:paraId="4501F026">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合同履</w:t>
      </w:r>
      <w:r>
        <w:rPr>
          <w:rFonts w:hint="eastAsia" w:ascii="宋体" w:hAnsi="宋体" w:cs="宋体"/>
          <w:color w:val="auto"/>
          <w:sz w:val="24"/>
          <w:highlight w:val="none"/>
          <w:lang w:eastAsia="zh-CN"/>
        </w:rPr>
        <w:t>约</w:t>
      </w:r>
      <w:r>
        <w:rPr>
          <w:rFonts w:hint="eastAsia" w:ascii="宋体" w:hAnsi="宋体" w:cs="宋体"/>
          <w:color w:val="auto"/>
          <w:sz w:val="24"/>
          <w:highlight w:val="none"/>
        </w:rPr>
        <w:t>期限：签订合同之日起25日内交货安装调试完毕，通过验收并交付使用。</w:t>
      </w:r>
    </w:p>
    <w:p w14:paraId="704EBF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本项目（是/否）接受联合体投标：否。</w:t>
      </w:r>
    </w:p>
    <w:p w14:paraId="7D8101E7">
      <w:pPr>
        <w:spacing w:line="360" w:lineRule="auto"/>
        <w:ind w:firstLine="420" w:firstLineChars="175"/>
        <w:rPr>
          <w:rFonts w:hint="eastAsia" w:ascii="宋体" w:hAnsi="宋体" w:cs="宋体"/>
          <w:b/>
          <w:color w:val="auto"/>
          <w:sz w:val="24"/>
          <w:highlight w:val="none"/>
        </w:rPr>
      </w:pPr>
      <w:r>
        <w:rPr>
          <w:rFonts w:ascii="宋体" w:hAnsi="宋体" w:cs="宋体"/>
          <w:color w:val="auto"/>
          <w:kern w:val="0"/>
          <w:sz w:val="24"/>
          <w:highlight w:val="none"/>
        </w:rPr>
        <w:t>备注：</w:t>
      </w:r>
      <w:r>
        <w:rPr>
          <w:rFonts w:hint="eastAsia" w:ascii="宋体" w:hAnsi="宋体" w:cs="宋体"/>
          <w:color w:val="auto"/>
          <w:kern w:val="0"/>
          <w:sz w:val="24"/>
          <w:highlight w:val="none"/>
        </w:rPr>
        <w:t>本项目为线上电子招标项目，采用远程异地评标，有意向参与本项目的供应商应当做好参与全流程电子招投标交易的充分准备。</w:t>
      </w:r>
    </w:p>
    <w:p w14:paraId="3505BC6C">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3BD3B85">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31ED1F27">
      <w:pPr>
        <w:spacing w:line="360" w:lineRule="auto"/>
        <w:ind w:firstLine="420" w:firstLineChars="175"/>
        <w:jc w:val="both"/>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olor w:val="auto"/>
          <w:sz w:val="24"/>
          <w:highlight w:val="none"/>
          <w:lang w:eastAsia="zh-CN"/>
        </w:rPr>
        <w:t>无</w:t>
      </w:r>
      <w:r>
        <w:rPr>
          <w:rFonts w:hint="eastAsia" w:ascii="宋体" w:hAnsi="宋体" w:cs="宋体"/>
          <w:color w:val="auto"/>
          <w:sz w:val="24"/>
          <w:highlight w:val="none"/>
        </w:rPr>
        <w:t>；</w:t>
      </w:r>
    </w:p>
    <w:p w14:paraId="45B8B209">
      <w:pPr>
        <w:widowControl/>
        <w:spacing w:line="360" w:lineRule="auto"/>
        <w:ind w:firstLine="420" w:firstLineChars="175"/>
        <w:jc w:val="both"/>
        <w:rPr>
          <w:rFonts w:hint="eastAsia" w:ascii="宋体" w:hAnsi="宋体" w:cs="Arial"/>
          <w:b w:val="0"/>
          <w:bCs w:val="0"/>
          <w:color w:val="auto"/>
          <w:szCs w:val="21"/>
          <w:highlight w:val="none"/>
        </w:rPr>
      </w:pPr>
      <w:r>
        <w:rPr>
          <w:rFonts w:hint="eastAsia" w:ascii="宋体" w:hAnsi="宋体" w:cs="宋体"/>
          <w:color w:val="auto"/>
          <w:sz w:val="24"/>
          <w:highlight w:val="none"/>
        </w:rPr>
        <w:t>3.本项目的特定资格要求</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无</w:t>
      </w:r>
      <w:r>
        <w:rPr>
          <w:rFonts w:hint="eastAsia" w:ascii="宋体" w:hAnsi="宋体" w:cs="Arial"/>
          <w:b w:val="0"/>
          <w:bCs w:val="0"/>
          <w:color w:val="auto"/>
          <w:sz w:val="24"/>
          <w:highlight w:val="none"/>
        </w:rPr>
        <w:t>。</w:t>
      </w:r>
    </w:p>
    <w:p w14:paraId="73F0A6E9">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14:paraId="1BEDF6E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日至202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每天上午09:00至12:00 ，下午12:00至17:00（北京时间，法定节假日除外）。</w:t>
      </w:r>
    </w:p>
    <w:p w14:paraId="50E1319B">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地点：广西政府采购云平台（https://www.gcy.zfcg.gxzf.gov.cn/）</w:t>
      </w:r>
    </w:p>
    <w:p w14:paraId="04D7A66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方式：线上获取。登录广西政府采购云平台（https://www.gcy.zfcg.gxzf.gov.cn/），在“应用中心”—“项目采购”—“获取采购文件”选择本项目，点击“申请获取采购文件”进行申请提交后，在已申请栏中选择下载本项目招标文件。已获取招标文件的投标人不等于符合本项目的投标人资格。</w:t>
      </w:r>
    </w:p>
    <w:p w14:paraId="7A4471FB">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81EA4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日09时30分</w:t>
      </w:r>
      <w:r>
        <w:rPr>
          <w:rFonts w:hint="eastAsia" w:ascii="宋体" w:hAnsi="宋体" w:cs="宋体"/>
          <w:color w:val="auto"/>
          <w:sz w:val="24"/>
          <w:highlight w:val="none"/>
        </w:rPr>
        <w:t>止</w:t>
      </w:r>
    </w:p>
    <w:p w14:paraId="5C7ABCCF">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投标地点（网址）：</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拒收。）</w:t>
      </w:r>
    </w:p>
    <w:p w14:paraId="6C30634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100321C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开标地点：广西政府采购云平台（</w:t>
      </w:r>
      <w:r>
        <w:rPr>
          <w:rFonts w:hint="eastAsia" w:ascii="宋体" w:hAnsi="宋体" w:cs="宋体"/>
          <w:color w:val="auto"/>
          <w:sz w:val="24"/>
          <w:highlight w:val="none"/>
          <w:lang w:eastAsia="zh-CN"/>
        </w:rPr>
        <w:t>https://www.gcy.zfcg.gxzf.gov.cn/</w:t>
      </w:r>
      <w:r>
        <w:rPr>
          <w:rFonts w:hint="eastAsia" w:ascii="宋体" w:hAnsi="宋体" w:cs="宋体"/>
          <w:color w:val="auto"/>
          <w:sz w:val="24"/>
          <w:highlight w:val="none"/>
        </w:rPr>
        <w:t>）</w:t>
      </w:r>
    </w:p>
    <w:p w14:paraId="157C0FCA">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五、公告期限：</w:t>
      </w:r>
    </w:p>
    <w:p w14:paraId="6C482228">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5BDCEB6">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F138673">
      <w:pPr>
        <w:snapToGrid w:val="0"/>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bCs/>
          <w:color w:val="auto"/>
          <w:sz w:val="24"/>
          <w:highlight w:val="none"/>
        </w:rPr>
        <w:t>.投标保证金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本项目无需提交投标保证金</w:t>
      </w:r>
    </w:p>
    <w:p w14:paraId="3E9406E5">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2.本项目需要落实的政府采购政策：政府采购促进中小企业发展；政府采购支持采用本国产品的政策；强制采购、优先采购环境标志产品、节能产品；支持监狱企业发展；支持残疾人福利性单位发展政策。</w:t>
      </w:r>
    </w:p>
    <w:p w14:paraId="54D16C22">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3.网上查询地址：</w:t>
      </w:r>
    </w:p>
    <w:p w14:paraId="6B09513B">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www.ccgp.gov.cn（中国政府采购网）、zfcg.gxzf.gov.cn（广西壮族自治区政府采购网）、zfcg.lzscz.liuzhou.gov.cn（柳州市政府采购网）。</w:t>
      </w:r>
    </w:p>
    <w:p w14:paraId="7AFFEE07">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E6586B3">
      <w:pPr>
        <w:snapToGrid w:val="0"/>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42F8E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6.投标人参与电子投标特别说明</w:t>
      </w:r>
    </w:p>
    <w:p w14:paraId="66B580D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投标文件提交方式：本项目为全流程电子化政府采购项目，通过广西政府采购云平台（https://www.gcy.zfcg.gxzf.gov.cn/）实行在线电子投标，各供应商通过新平台参与政府采购项目投标需下载使用新版客户端，新版客户端下载路径：广西政府采购网（访问地址http://zfcg.gxzf.gov.cn/）—办事服务—下载专区。原在</w:t>
      </w:r>
      <w:r>
        <w:rPr>
          <w:rFonts w:hint="eastAsia" w:ascii="宋体" w:hAnsi="宋体" w:cs="宋体"/>
          <w:color w:val="auto"/>
          <w:sz w:val="24"/>
          <w:highlight w:val="none"/>
          <w:lang w:eastAsia="zh-CN"/>
        </w:rPr>
        <w:t>政采云</w:t>
      </w:r>
      <w:r>
        <w:rPr>
          <w:rFonts w:hint="eastAsia" w:ascii="宋体" w:hAnsi="宋体" w:cs="宋体"/>
          <w:color w:val="auto"/>
          <w:sz w:val="24"/>
          <w:highlight w:val="none"/>
        </w:rPr>
        <w:t>平台注册的临时供应商需在新平台启用后重新注册登记。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14:paraId="1254963F">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供应商应及时熟悉掌握电子标系统操作指南（见广西政府采购云平台电子卖场首页右上角—服务中心—帮助中心—项目采购）：https://helpcenter.zcygov.cn/document/#/document/dashboard?siteCode=gx；及时完成CA申领和绑定（见广西壮族自治区政府采购网—办事服务—下载专区- CA证书申请操作指南）。</w:t>
      </w:r>
    </w:p>
    <w:p w14:paraId="5FF3E18D">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36936F9B">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（4）为确保网上操作合法、有效和安全，请投标人确保在电子投标过程中能够对相关数据电文进行加密和使用电子签章，妥善保管CA数字证书并使用有效的CA数字证书参与整个采购活动。</w:t>
      </w:r>
    </w:p>
    <w:p w14:paraId="574DA84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218412A">
      <w:pPr>
        <w:spacing w:line="44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CA证书在线解密：供应商投标时，需携带制作投标文件时用来加密的有效数字证书（CA认证）登录广西政府采购云平台电子开标大厅现场按规定时间对加密的投标文件进行解密，否则后果自负。</w:t>
      </w:r>
    </w:p>
    <w:p w14:paraId="25A1BCE9">
      <w:pPr>
        <w:spacing w:line="44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若对项目采购电子交易系统操作有疑问，可登录广西政府采购云平台（https://login.gcy.zfcg.gxzf.gov.cn/user-login/#/login），点击右侧咨询小采，获取采小蜜智能服务管家帮助，或拨打广西政府采购云平台服务热线95763获取热线服务帮助。</w:t>
      </w:r>
    </w:p>
    <w:p w14:paraId="34389E7C">
      <w:pPr>
        <w:spacing w:line="360" w:lineRule="auto"/>
        <w:ind w:firstLine="420" w:firstLineChars="175"/>
        <w:rPr>
          <w:rFonts w:hint="eastAsia" w:ascii="宋体" w:hAnsi="宋体" w:cs="宋体"/>
          <w:b/>
          <w:color w:val="auto"/>
          <w:sz w:val="24"/>
          <w:highlight w:val="none"/>
        </w:rPr>
      </w:pPr>
      <w:r>
        <w:rPr>
          <w:rFonts w:hint="eastAsia" w:ascii="宋体" w:hAnsi="宋体" w:cs="宋体"/>
          <w:color w:val="auto"/>
          <w:sz w:val="24"/>
          <w:highlight w:val="none"/>
        </w:rPr>
        <w:t>7.政府采购监督管理部门信息   名称：鹿寨县财政局   联系方式：0772-6822756</w:t>
      </w:r>
    </w:p>
    <w:p w14:paraId="08D63B54">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七、对本次招标提出询问，请按以下方式联系。</w:t>
      </w:r>
    </w:p>
    <w:p w14:paraId="6FB1C35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1.采购人信息</w:t>
      </w:r>
    </w:p>
    <w:p w14:paraId="1EE819AD">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鹿寨县教育局</w:t>
      </w:r>
    </w:p>
    <w:p w14:paraId="11EEC7D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地址：鹿寨县城南新区桂园路汇一联商务楼</w:t>
      </w:r>
      <w:r>
        <w:rPr>
          <w:rFonts w:hint="eastAsia" w:ascii="宋体" w:hAnsi="宋体" w:cs="宋体"/>
          <w:color w:val="auto"/>
          <w:sz w:val="24"/>
          <w:highlight w:val="none"/>
          <w:lang w:eastAsia="zh-CN"/>
        </w:rPr>
        <w:t>五</w:t>
      </w:r>
      <w:r>
        <w:rPr>
          <w:rFonts w:hint="eastAsia" w:ascii="宋体" w:hAnsi="宋体" w:cs="宋体"/>
          <w:color w:val="auto"/>
          <w:sz w:val="24"/>
          <w:highlight w:val="none"/>
        </w:rPr>
        <w:t>楼</w:t>
      </w:r>
    </w:p>
    <w:p w14:paraId="00C4EB56">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戴股长</w:t>
      </w:r>
    </w:p>
    <w:p w14:paraId="4261A083">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w:t>
      </w:r>
      <w:r>
        <w:rPr>
          <w:rFonts w:hint="eastAsia" w:ascii="宋体" w:hAnsi="宋体" w:cs="宋体"/>
          <w:color w:val="auto"/>
          <w:sz w:val="24"/>
          <w:highlight w:val="none"/>
          <w:lang w:eastAsia="zh-CN"/>
        </w:rPr>
        <w:t>0772-6821561</w:t>
      </w:r>
    </w:p>
    <w:p w14:paraId="6B7AE8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55E6CA00">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名称：广西信和招标代理有限公司</w:t>
      </w:r>
    </w:p>
    <w:p w14:paraId="5901640F">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柳州市桂中大道南端2号阳光壹佰城市广场35栋12-7</w:t>
      </w:r>
    </w:p>
    <w:p w14:paraId="0462DDB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联系人：伍洁婷       电话/传真：0772-2128755</w:t>
      </w:r>
    </w:p>
    <w:p w14:paraId="194BC077">
      <w:pPr>
        <w:pStyle w:val="19"/>
        <w:spacing w:line="360" w:lineRule="auto"/>
        <w:ind w:firstLine="0" w:firstLineChars="0"/>
        <w:jc w:val="center"/>
        <w:outlineLvl w:val="0"/>
        <w:rPr>
          <w:rFonts w:hint="eastAsia" w:ascii="宋体" w:hAnsi="宋体" w:cs="宋体"/>
          <w:b/>
          <w:bCs/>
          <w:color w:val="auto"/>
          <w:sz w:val="24"/>
          <w:highlight w:val="none"/>
        </w:rPr>
      </w:pPr>
      <w:r>
        <w:rPr>
          <w:rFonts w:hint="eastAsia"/>
          <w:color w:val="auto"/>
          <w:highlight w:val="none"/>
        </w:rPr>
        <w:br w:type="page"/>
      </w:r>
      <w:bookmarkStart w:id="4" w:name="_Toc24922"/>
      <w:bookmarkStart w:id="5" w:name="_Toc11679"/>
      <w:r>
        <w:rPr>
          <w:rFonts w:hint="eastAsia" w:ascii="宋体" w:hAnsi="宋体" w:eastAsia="宋体" w:cs="宋体"/>
          <w:b/>
          <w:bCs/>
          <w:color w:val="auto"/>
          <w:sz w:val="36"/>
          <w:szCs w:val="36"/>
          <w:highlight w:val="none"/>
        </w:rPr>
        <w:t>第二章</w:t>
      </w:r>
      <w:r>
        <w:rPr>
          <w:rFonts w:hint="eastAsia" w:ascii="宋体" w:hAnsi="宋体" w:eastAsia="宋体" w:cs="宋体"/>
          <w:b/>
          <w:bCs/>
          <w:color w:val="auto"/>
          <w:sz w:val="36"/>
          <w:szCs w:val="36"/>
          <w:highlight w:val="none"/>
          <w:lang w:val="en-US" w:eastAsia="zh-CN"/>
        </w:rPr>
        <w:t xml:space="preserve">  招标</w:t>
      </w:r>
      <w:r>
        <w:rPr>
          <w:rFonts w:hint="eastAsia" w:ascii="宋体" w:hAnsi="宋体" w:eastAsia="宋体" w:cs="宋体"/>
          <w:b/>
          <w:bCs/>
          <w:color w:val="auto"/>
          <w:sz w:val="36"/>
          <w:szCs w:val="36"/>
          <w:highlight w:val="none"/>
        </w:rPr>
        <w:t>项目采购需求</w:t>
      </w:r>
      <w:bookmarkEnd w:id="4"/>
      <w:bookmarkEnd w:id="5"/>
    </w:p>
    <w:p w14:paraId="5F42698B">
      <w:pPr>
        <w:spacing w:line="420" w:lineRule="exact"/>
        <w:jc w:val="left"/>
        <w:rPr>
          <w:rFonts w:hint="eastAsia"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color w:val="auto"/>
          <w:sz w:val="24"/>
          <w:highlight w:val="none"/>
        </w:rPr>
        <w:t>：</w:t>
      </w:r>
    </w:p>
    <w:p w14:paraId="2B2132CD">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报价时须提供报价产品的相关证明材料。</w:t>
      </w:r>
    </w:p>
    <w:p w14:paraId="77F15DF9">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《节能产品政府采购品目清单》中：</w:t>
      </w:r>
    </w:p>
    <w:p w14:paraId="107771B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计算机设备（台式计算机、便携式计算机、平板式微型计算机）；</w:t>
      </w:r>
    </w:p>
    <w:p w14:paraId="3C95E335">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输入输出设备【打印设备（激光打印机、针式打印机）、显示设备（液晶显示器）】；</w:t>
      </w:r>
    </w:p>
    <w:p w14:paraId="533BE309">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制冷空调设备【制冷压缩机（冷水机组、水源热泵机组、溴化锂吸收式冷水机组）、空调机组（多联式空调（热泵）机组（制冷量＞14000W）、单元式空气调节机（制冷量＞14000W））、专用制冷、空调设备（机房空调）】；</w:t>
      </w:r>
    </w:p>
    <w:p w14:paraId="423714E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镇流器（管型荧光灯镇流器）；</w:t>
      </w:r>
    </w:p>
    <w:p w14:paraId="63E25E6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生活用电器｛空调机【房间空气调节器、多联式空调（热泵）机组（制冷量≤14000W）、单元式空气调节机（制冷量≤14000W）】、热水器（电热水器）｝；</w:t>
      </w:r>
    </w:p>
    <w:p w14:paraId="4234679F">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照明设备（普通照明用双端荧光灯）；</w:t>
      </w:r>
    </w:p>
    <w:p w14:paraId="28D18848">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电视设备【普通电视设备（电视机）】；</w:t>
      </w:r>
    </w:p>
    <w:p w14:paraId="601A1536">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视频设备【视频监控设备（监视器）】；</w:t>
      </w:r>
    </w:p>
    <w:p w14:paraId="3CD1C737">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便器（坐便器、蹲便器、小便器）；</w:t>
      </w:r>
    </w:p>
    <w:p w14:paraId="70ADB91D">
      <w:pPr>
        <w:numPr>
          <w:ilvl w:val="0"/>
          <w:numId w:val="2"/>
        </w:numPr>
        <w:adjustRightInd w:val="0"/>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水嘴。</w:t>
      </w:r>
    </w:p>
    <w:p w14:paraId="53E549A4">
      <w:pPr>
        <w:adjustRightIn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以上所罗列的设备为《节能产品政府采购品目清单》中政府强制采购节能产品，采购人拟采购的产品属于政府强制采购产品的，</w:t>
      </w:r>
      <w:r>
        <w:rPr>
          <w:rFonts w:hint="eastAsia" w:ascii="宋体" w:hAnsi="宋体" w:cs="宋体"/>
          <w:b/>
          <w:color w:val="auto"/>
          <w:szCs w:val="21"/>
          <w:highlight w:val="none"/>
          <w:lang w:eastAsia="zh-CN"/>
        </w:rPr>
        <w:t>投标人投标</w:t>
      </w:r>
      <w:r>
        <w:rPr>
          <w:rFonts w:hint="eastAsia" w:ascii="宋体" w:hAnsi="宋体" w:cs="宋体"/>
          <w:b/>
          <w:color w:val="auto"/>
          <w:szCs w:val="21"/>
          <w:highlight w:val="none"/>
        </w:rPr>
        <w:t>时必须针对该产品出具依据国家确定的认证机构出具的、处于有效期之内的节能产品认证证书复印件，并加盖</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CA签章，否则</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无效。</w:t>
      </w:r>
    </w:p>
    <w:p w14:paraId="501D958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应对</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内容所涉及的专利承担法律责任，并负责保护业主的利益不受任何损害。一切由于文字、商标、技术和软件专利授权引起的法律裁决、诉讼和赔偿费用均由成交供应商负责。同时，具有产品专利的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应在其报价文件中提供与其自有产品专利相关的有效证明材料，否则，不能就其产品的专利在本项目报价过程中被侵权问题而提出异议。</w:t>
      </w:r>
    </w:p>
    <w:p w14:paraId="46FD98D0">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必须在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提供由具备资格的机构出具的安全认证合格证书或者安全检测合格证书（加盖供应商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p w14:paraId="6C05669B">
      <w:pPr>
        <w:adjustRightIn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应注意下列内容：</w:t>
      </w:r>
    </w:p>
    <w:p w14:paraId="18BF07CB">
      <w:pPr>
        <w:adjustRightInd w:val="0"/>
        <w:spacing w:line="40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1）本需求一览表中带“▲”的技术参数为关键性参数或要求，投标人应当提供相当于或优于这些技术参数性能（配置），未加注（▲）号的其他技术参数发生负偏离达3项（含）以上的，将视为报价无效。</w:t>
      </w:r>
    </w:p>
    <w:p w14:paraId="77AC6AC3">
      <w:pPr>
        <w:widowControl/>
        <w:spacing w:line="400" w:lineRule="exact"/>
        <w:ind w:firstLine="422" w:firstLineChars="200"/>
        <w:jc w:val="left"/>
        <w:rPr>
          <w:rFonts w:hint="eastAsia" w:ascii="宋体" w:hAnsi="宋体" w:cs="宋体"/>
          <w:color w:val="auto"/>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须在</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文件中填写技术规格参数，当</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文件中技术参数与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中技术参数有偏离时，须在“偏离”栏内如实注明是“正偏离”或“负偏离”，“正偏离”指响应设备的技术参数优于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中要求，“负偏离”指</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设备的技术参数低于</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中要求。</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文件中的技术参数、功能或其它内容有“正偏离”的，</w:t>
      </w:r>
      <w:r>
        <w:rPr>
          <w:rFonts w:hint="eastAsia" w:ascii="宋体" w:hAnsi="宋体" w:cs="宋体"/>
          <w:b/>
          <w:color w:val="auto"/>
          <w:szCs w:val="21"/>
          <w:highlight w:val="none"/>
          <w:lang w:eastAsia="zh-CN"/>
        </w:rPr>
        <w:t>投标人</w:t>
      </w:r>
      <w:r>
        <w:rPr>
          <w:rFonts w:hint="eastAsia" w:ascii="宋体" w:hAnsi="宋体" w:cs="宋体"/>
          <w:b/>
          <w:color w:val="auto"/>
          <w:szCs w:val="21"/>
          <w:highlight w:val="none"/>
        </w:rPr>
        <w:t>须对“正偏离”的情况单独作出说明。</w:t>
      </w:r>
    </w:p>
    <w:p w14:paraId="5B793C0E">
      <w:pPr>
        <w:pStyle w:val="8"/>
        <w:rPr>
          <w:rFonts w:hint="eastAsia" w:ascii="宋体" w:hAnsi="宋体" w:cs="宋体"/>
          <w:b/>
          <w:color w:val="auto"/>
          <w:kern w:val="0"/>
          <w:sz w:val="28"/>
          <w:szCs w:val="28"/>
          <w:highlight w:val="none"/>
        </w:rPr>
      </w:pPr>
    </w:p>
    <w:p w14:paraId="45904A2E">
      <w:pPr>
        <w:pStyle w:val="8"/>
        <w:rPr>
          <w:rFonts w:hint="eastAsia" w:ascii="宋体" w:hAnsi="宋体" w:cs="宋体"/>
          <w:b/>
          <w:color w:val="auto"/>
          <w:kern w:val="0"/>
          <w:sz w:val="28"/>
          <w:szCs w:val="28"/>
          <w:highlight w:val="none"/>
        </w:rPr>
      </w:pPr>
    </w:p>
    <w:p w14:paraId="33825EA6">
      <w:pPr>
        <w:pStyle w:val="8"/>
        <w:rPr>
          <w:rFonts w:hint="eastAsia" w:ascii="宋体" w:hAnsi="宋体" w:cs="宋体"/>
          <w:b/>
          <w:color w:val="auto"/>
          <w:kern w:val="0"/>
          <w:sz w:val="28"/>
          <w:szCs w:val="28"/>
          <w:highlight w:val="none"/>
        </w:rPr>
      </w:pPr>
    </w:p>
    <w:p w14:paraId="35434F96">
      <w:pPr>
        <w:pStyle w:val="8"/>
        <w:rPr>
          <w:rFonts w:hint="eastAsia" w:ascii="宋体" w:hAnsi="宋体" w:cs="宋体"/>
          <w:b/>
          <w:color w:val="auto"/>
          <w:kern w:val="0"/>
          <w:sz w:val="28"/>
          <w:szCs w:val="28"/>
          <w:highlight w:val="none"/>
        </w:rPr>
      </w:pPr>
    </w:p>
    <w:p w14:paraId="73E87223">
      <w:pPr>
        <w:pStyle w:val="8"/>
        <w:rPr>
          <w:rFonts w:hint="eastAsia" w:ascii="宋体" w:hAnsi="宋体" w:cs="宋体"/>
          <w:b/>
          <w:color w:val="auto"/>
          <w:kern w:val="0"/>
          <w:sz w:val="28"/>
          <w:szCs w:val="28"/>
          <w:highlight w:val="none"/>
        </w:rPr>
      </w:pPr>
    </w:p>
    <w:p w14:paraId="3819EB4F">
      <w:pPr>
        <w:pStyle w:val="8"/>
        <w:rPr>
          <w:rFonts w:hint="eastAsia" w:ascii="宋体" w:hAnsi="宋体" w:cs="宋体"/>
          <w:b/>
          <w:color w:val="auto"/>
          <w:kern w:val="0"/>
          <w:sz w:val="28"/>
          <w:szCs w:val="28"/>
          <w:highlight w:val="none"/>
        </w:rPr>
      </w:pPr>
    </w:p>
    <w:p w14:paraId="555A2A37">
      <w:pPr>
        <w:pStyle w:val="8"/>
        <w:ind w:firstLine="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tbl>
      <w:tblPr>
        <w:tblStyle w:val="20"/>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54"/>
        <w:gridCol w:w="5446"/>
        <w:gridCol w:w="859"/>
        <w:gridCol w:w="757"/>
        <w:gridCol w:w="1150"/>
      </w:tblGrid>
      <w:tr w14:paraId="2C9A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tcMar>
              <w:top w:w="0" w:type="dxa"/>
              <w:left w:w="0" w:type="dxa"/>
              <w:bottom w:w="0" w:type="dxa"/>
              <w:right w:w="0" w:type="dxa"/>
            </w:tcMar>
            <w:vAlign w:val="center"/>
          </w:tcPr>
          <w:p w14:paraId="55AB4319">
            <w:pPr>
              <w:snapToGrid w:val="0"/>
              <w:spacing w:line="36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采购清单及技术参数需求一览表</w:t>
            </w:r>
          </w:p>
        </w:tc>
      </w:tr>
      <w:tr w14:paraId="2FC5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tcMar>
              <w:top w:w="0" w:type="dxa"/>
              <w:left w:w="0" w:type="dxa"/>
              <w:bottom w:w="0" w:type="dxa"/>
              <w:right w:w="0" w:type="dxa"/>
            </w:tcMar>
            <w:vAlign w:val="center"/>
          </w:tcPr>
          <w:p w14:paraId="71C52404">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54" w:type="dxa"/>
            <w:noWrap w:val="0"/>
            <w:vAlign w:val="center"/>
          </w:tcPr>
          <w:p w14:paraId="44D4AE66">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标的名称</w:t>
            </w:r>
          </w:p>
        </w:tc>
        <w:tc>
          <w:tcPr>
            <w:tcW w:w="5446" w:type="dxa"/>
            <w:noWrap w:val="0"/>
            <w:vAlign w:val="center"/>
          </w:tcPr>
          <w:p w14:paraId="1E723D82">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技术参数</w:t>
            </w:r>
          </w:p>
        </w:tc>
        <w:tc>
          <w:tcPr>
            <w:tcW w:w="859" w:type="dxa"/>
            <w:noWrap w:val="0"/>
            <w:vAlign w:val="center"/>
          </w:tcPr>
          <w:p w14:paraId="424F9EED">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数量</w:t>
            </w:r>
          </w:p>
        </w:tc>
        <w:tc>
          <w:tcPr>
            <w:tcW w:w="757" w:type="dxa"/>
            <w:noWrap w:val="0"/>
            <w:vAlign w:val="center"/>
          </w:tcPr>
          <w:p w14:paraId="63DEA0DB">
            <w:pPr>
              <w:snapToGrid w:val="0"/>
              <w:jc w:val="center"/>
              <w:rPr>
                <w:rFonts w:hint="eastAsia" w:ascii="宋体" w:hAnsi="宋体" w:cs="宋体"/>
                <w:b/>
                <w:bCs/>
                <w:color w:val="auto"/>
                <w:sz w:val="24"/>
                <w:szCs w:val="24"/>
                <w:highlight w:val="none"/>
              </w:rPr>
            </w:pPr>
            <w:r>
              <w:rPr>
                <w:rFonts w:hint="eastAsia" w:ascii="宋体" w:hAnsi="宋体" w:cs="宋体"/>
                <w:b/>
                <w:color w:val="auto"/>
                <w:sz w:val="24"/>
                <w:szCs w:val="24"/>
                <w:highlight w:val="none"/>
              </w:rPr>
              <w:t>单位</w:t>
            </w:r>
          </w:p>
        </w:tc>
        <w:tc>
          <w:tcPr>
            <w:tcW w:w="1150" w:type="dxa"/>
            <w:noWrap w:val="0"/>
            <w:vAlign w:val="center"/>
          </w:tcPr>
          <w:p w14:paraId="4E0C1DDD">
            <w:pPr>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中小企业划分标准所属行业名称（行业名称及划分见本章附件）</w:t>
            </w:r>
          </w:p>
        </w:tc>
      </w:tr>
      <w:tr w14:paraId="7E59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331B64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4" w:type="dxa"/>
            <w:noWrap w:val="0"/>
            <w:vAlign w:val="center"/>
          </w:tcPr>
          <w:p w14:paraId="319FCE82">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交互智能平板</w:t>
            </w:r>
          </w:p>
        </w:tc>
        <w:tc>
          <w:tcPr>
            <w:tcW w:w="5446" w:type="dxa"/>
            <w:noWrap w:val="0"/>
            <w:vAlign w:val="top"/>
          </w:tcPr>
          <w:p w14:paraId="219D08C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一、数字化教研管理：</w:t>
            </w:r>
          </w:p>
          <w:p w14:paraId="6F604E7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14:paraId="0997FA3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7A72952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14:paraId="61F72E2E">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4.听课评课数据详情：全校听评课数据统一汇总，数据包含全校本月评课节数，本月评课次数，累计评课节数和累计评课次数，了解听评课教研活动的开展情况。支持按评课人数/评课平均分查看全校排行详细数据。（投标时须提供国家认可的第三方检测机构出具的关于该功能检测报告复印件）。</w:t>
            </w:r>
          </w:p>
          <w:p w14:paraId="4D0CEF3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5.平台支持将信息化教学数据分五个维度进行评估，分别为资源建设、校本研修、校影响力、学情分析及班级氛围；支持通过多维度分析学校的信息化教学应用情况，综合评估出信息化指数，并与全省均值对比。</w:t>
            </w:r>
          </w:p>
          <w:p w14:paraId="6BDA847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6.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14:paraId="3CFDB85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二、嵌入式模块设计</w:t>
            </w:r>
          </w:p>
          <w:p w14:paraId="2B7F43B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1.电脑模块支持可热插拔插入整机。</w:t>
            </w:r>
          </w:p>
          <w:p w14:paraId="1910DBC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2.核心配置：</w:t>
            </w:r>
          </w:p>
          <w:p w14:paraId="25104E2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（1）处理器：intel i5或以上配置；</w:t>
            </w:r>
          </w:p>
          <w:p w14:paraId="3D1B1B5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（2）内存：≥8GB DDR4</w:t>
            </w:r>
          </w:p>
          <w:p w14:paraId="012EDDD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（3）硬盘：≥256GB固态硬盘</w:t>
            </w:r>
          </w:p>
          <w:p w14:paraId="00E39D7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3.电脑模块和整机的连接采用支持万兆级及以上接口，传输速率≥1Gbps；HDMI≥1路 ；USB接口：≥USB*3（USB2.0以上）。</w:t>
            </w:r>
          </w:p>
          <w:p w14:paraId="25492C8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4.电脑模块采用按压式卡扣，无需工具就可快速拆卸电脑模块。</w:t>
            </w:r>
          </w:p>
          <w:p w14:paraId="041AB56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三、整机屏幕及护眼设计</w:t>
            </w:r>
          </w:p>
          <w:p w14:paraId="70647C39">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1.整机采用超高清LED液晶显示屏，屏幕尺寸≥90英寸，钢化玻璃表面硬度≥9H，灰度等级≥256级，整机色域覆盖率（NTSC）≥72%，显示比例16:9，分辨率≥3840×2160。</w:t>
            </w:r>
          </w:p>
          <w:p w14:paraId="2E505868">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2．整机背光系统支持DC调光方式，多级亮度调节，支持白颜色背景下</w:t>
            </w:r>
            <w:r>
              <w:rPr>
                <w:rStyle w:val="28"/>
                <w:rFonts w:hint="eastAsia" w:ascii="宋体" w:hAnsi="宋体" w:eastAsia="宋体" w:cs="宋体"/>
                <w:color w:val="auto"/>
                <w:sz w:val="24"/>
                <w:szCs w:val="24"/>
                <w:highlight w:val="yellow"/>
                <w:u w:val="wave"/>
                <w:lang w:bidi="ar"/>
              </w:rPr>
              <w:t>最暗亮度≤120nit</w:t>
            </w:r>
            <w:r>
              <w:rPr>
                <w:rStyle w:val="28"/>
                <w:rFonts w:hint="eastAsia" w:ascii="宋体" w:hAnsi="宋体" w:eastAsia="宋体" w:cs="宋体"/>
                <w:color w:val="auto"/>
                <w:sz w:val="24"/>
                <w:szCs w:val="24"/>
                <w:lang w:bidi="ar"/>
              </w:rPr>
              <w:t>，用于提升显示对比度。</w:t>
            </w:r>
          </w:p>
          <w:p w14:paraId="1CFBC41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3．整机支持手势上滑调出人工智能画质调节模式（AI-PQ） ，在安卓通道下可根据屏幕内容自动调节画质参数，当屏幕出现人物、建筑、夜景等元素时，自动调整对比度、饱和度、锐利度、色调色相值、高光/阴影。</w:t>
            </w:r>
          </w:p>
          <w:p w14:paraId="76409ED9">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4.整机蓝光占比（有害蓝光415～455nm能量综合）/（整体蓝光400～500能量综合）＜50%。</w:t>
            </w:r>
          </w:p>
          <w:p w14:paraId="3D3EB2AC">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5.整机支持色彩空间可选，包含标准模式和sRGB模式，在sRGB模式下可做到高色准</w:t>
            </w:r>
            <w:r>
              <w:rPr>
                <w:rStyle w:val="28"/>
                <w:rFonts w:hint="eastAsia" w:ascii="宋体" w:hAnsi="宋体" w:eastAsia="宋体" w:cs="宋体"/>
                <w:color w:val="auto"/>
                <w:sz w:val="24"/>
                <w:szCs w:val="24"/>
                <w:highlight w:val="yellow"/>
                <w:u w:val="wave"/>
                <w:lang w:bidi="ar"/>
              </w:rPr>
              <w:t>△E≤1.2</w:t>
            </w:r>
            <w:r>
              <w:rPr>
                <w:rStyle w:val="28"/>
                <w:rFonts w:hint="eastAsia" w:ascii="宋体" w:hAnsi="宋体" w:eastAsia="宋体" w:cs="宋体"/>
                <w:color w:val="auto"/>
                <w:sz w:val="24"/>
                <w:szCs w:val="24"/>
                <w:lang w:bidi="ar"/>
              </w:rPr>
              <w:t>。（投标时须提供国家认可的第三方检测机构出具的关于该功能检测报告复印件）。</w:t>
            </w:r>
          </w:p>
          <w:p w14:paraId="0014279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四、音频接收及播放功能</w:t>
            </w:r>
          </w:p>
          <w:p w14:paraId="56788803">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1.整机内置2.2声道扬声器，位于设备上边框，顶置朝前发声，前朝向≥10W高音扬声器2个，上朝向≥20W中低音扬声器2个，额定总功率≥60W。（投标时须提供国家认可的第三方检测机构出具的关于该功能检测报告复印件）。</w:t>
            </w:r>
          </w:p>
          <w:p w14:paraId="60C42BE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2.整机内置扬声器采用缝隙发声技术，喇叭采用槽式开口设计，不大于6mm；整机可选择高级音效设置，支持在左右声道平衡显示范围中进行更改；中低频段显示调节范围125Hz～1kHz，高频段显示调节范围 2kHz～16kHz，分贝显示-12dB～12dB 调节范围。</w:t>
            </w:r>
          </w:p>
          <w:p w14:paraId="58A524BC">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3.整机内置非独立外扩展的8阵列麦克风，拾音角度≥180°，可用于对教室环境音频进行采集，拾音距离≥10m。</w:t>
            </w:r>
          </w:p>
          <w:p w14:paraId="3416896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4.整机扬声器在100%音量下，可做到1米处声压级≥80db，10米处声压级≥70dB。</w:t>
            </w:r>
          </w:p>
          <w:p w14:paraId="1D09FE8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五、画面采集及分析功能</w:t>
            </w:r>
          </w:p>
          <w:p w14:paraId="7D424841">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1.整机上边框内置非独立式摄像头，采用一体化集成设计，</w:t>
            </w:r>
            <w:r>
              <w:rPr>
                <w:rStyle w:val="28"/>
                <w:rFonts w:hint="eastAsia" w:ascii="宋体" w:hAnsi="宋体" w:eastAsia="宋体" w:cs="宋体"/>
                <w:color w:val="auto"/>
                <w:sz w:val="24"/>
                <w:szCs w:val="24"/>
                <w:highlight w:val="yellow"/>
                <w:u w:val="wave"/>
                <w:lang w:bidi="ar"/>
              </w:rPr>
              <w:t>摄像头数量≥2个；</w:t>
            </w:r>
            <w:r>
              <w:rPr>
                <w:rStyle w:val="28"/>
                <w:rFonts w:hint="eastAsia" w:ascii="宋体" w:hAnsi="宋体" w:eastAsia="宋体" w:cs="宋体"/>
                <w:color w:val="auto"/>
                <w:sz w:val="24"/>
                <w:szCs w:val="24"/>
                <w:lang w:bidi="ar"/>
              </w:rPr>
              <w:t>摄像头整体视场角≥130度且水平视场角≥135度，支持输出4:3、16:9比例的图片和视频。</w:t>
            </w:r>
          </w:p>
          <w:p w14:paraId="6460452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2.整机内置摄像头像素值≥800 万，支持3D 降噪算法和数字宽动态范围成像WDR 技术，支持输出 MJPG、H.264 视频格式。</w:t>
            </w:r>
          </w:p>
          <w:p w14:paraId="1A92CEDC">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3.整机摄像头支持≥10米距离时实现AI识别人像，整机摄像头支持人脸识别、快速点人数、随机抽人；识别所有学生，显示标记，然后随机抽选，同时显示标记</w:t>
            </w:r>
            <w:r>
              <w:rPr>
                <w:rStyle w:val="28"/>
                <w:rFonts w:hint="eastAsia" w:ascii="宋体" w:hAnsi="宋体" w:eastAsia="宋体" w:cs="宋体"/>
                <w:color w:val="auto"/>
                <w:sz w:val="24"/>
                <w:szCs w:val="24"/>
                <w:highlight w:val="yellow"/>
                <w:u w:val="wave"/>
                <w:lang w:bidi="ar"/>
              </w:rPr>
              <w:t>≥62人</w:t>
            </w:r>
            <w:r>
              <w:rPr>
                <w:rStyle w:val="28"/>
                <w:rFonts w:hint="eastAsia" w:ascii="宋体" w:hAnsi="宋体" w:eastAsia="宋体" w:cs="宋体"/>
                <w:color w:val="auto"/>
                <w:sz w:val="24"/>
                <w:szCs w:val="24"/>
                <w:lang w:bidi="ar"/>
              </w:rPr>
              <w:t>。（投标时须提供国家认可的第三方检测机构出具的关于该功能检测报告复印件）。</w:t>
            </w:r>
          </w:p>
          <w:p w14:paraId="151EAE39">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4.内置摄像头支持输出4:3、16:9比例的图片和视频；在清晰度为2592 x 1944分辨率下，支持30帧的视频输出；可拍摄</w:t>
            </w:r>
            <w:r>
              <w:rPr>
                <w:rStyle w:val="28"/>
                <w:rFonts w:hint="eastAsia" w:ascii="宋体" w:hAnsi="宋体" w:eastAsia="宋体" w:cs="宋体"/>
                <w:color w:val="auto"/>
                <w:sz w:val="24"/>
                <w:szCs w:val="24"/>
                <w:highlight w:val="yellow"/>
                <w:u w:val="wave"/>
                <w:lang w:bidi="ar"/>
              </w:rPr>
              <w:t>≥1600万像素</w:t>
            </w:r>
            <w:r>
              <w:rPr>
                <w:rStyle w:val="28"/>
                <w:rFonts w:hint="eastAsia" w:ascii="宋体" w:hAnsi="宋体" w:eastAsia="宋体" w:cs="宋体"/>
                <w:color w:val="auto"/>
                <w:sz w:val="24"/>
                <w:szCs w:val="24"/>
                <w:lang w:bidi="ar"/>
              </w:rPr>
              <w:t>的照片，支持输出8192×2048分辨率的照片和视频，支持画面畸变矫正功能。（投标时须提供国家认可的第三方检测机构出具的关于该功能检测报告复印件）。</w:t>
            </w:r>
          </w:p>
          <w:p w14:paraId="161EF8F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六、嵌入式系统设计</w:t>
            </w:r>
          </w:p>
          <w:p w14:paraId="4B44E3CF">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1．嵌入式系统:嵌入式系统版本不低于Android 13，内存≥2GB，存储空间≥8GB。（投标时须提供国家认可的第三方检测机构出具的关于该功能检测报告复印件）。</w:t>
            </w:r>
          </w:p>
          <w:p w14:paraId="3AA6AD4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2.嵌入式操作系统下，白板支持对已经书写的笔迹和形状的颜色进行更换。</w:t>
            </w:r>
          </w:p>
          <w:p w14:paraId="5FCCDB6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3.嵌入式操作系统下，互动白板支持不同背景颜色，同时可提供学科专用背景，如：五线谱、信纸、田字格、英文格、篮球和足球场地平面图。</w:t>
            </w:r>
          </w:p>
          <w:p w14:paraId="6ECF2DE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无PC状态下，嵌入式系统内置互动白板支持多笔画书写及手掌擦除（手掌擦除面积可根据手掌与屏幕的接触面大小自动调整），白板书写内容可导出PDF、IWB、SVG格式。支持10种及以上平面图形工具，支持8种及以上立体图形工具。</w:t>
            </w:r>
          </w:p>
          <w:p w14:paraId="4807F9B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5.在嵌入式操作系统下，能对TV多媒体USB所读取到的文件进行自动归类，可分类查找文档、板书、图片、音视频，检索后可直接在界面中打开。</w:t>
            </w:r>
          </w:p>
          <w:p w14:paraId="5A145E0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七、触控及交互设计</w:t>
            </w:r>
          </w:p>
          <w:p w14:paraId="3328CC8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1.触摸分辨率≥32768×32768；触摸响应时间≤4ms；触摸最小识别物≤3mm。</w:t>
            </w:r>
          </w:p>
          <w:p w14:paraId="1E514ED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 xml:space="preserve">2.整机屏幕触摸有效识别高度不超过2.5mm，即触摸物体距离玻璃外表面高度不超过2.5mm时，触摸屏识别为点击操作。 </w:t>
            </w:r>
          </w:p>
          <w:p w14:paraId="3B7D138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3.触摸屏具有防遮挡功能，触摸接收器在单点或多点遮挡后仍能正常书写。</w:t>
            </w:r>
          </w:p>
          <w:p w14:paraId="71CE2E3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4.整机系统支持书写触控延迟≤30ms。</w:t>
            </w:r>
          </w:p>
          <w:p w14:paraId="18616CFB">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5．采用红外触控方式，支持Windows系统中进行40点或以上触控，支持在Android系统中进行35点或以上触控。（投标时须提供国家认可的第三方检测机构出具的关于该功能检测报告复印件）。</w:t>
            </w:r>
          </w:p>
          <w:p w14:paraId="068533C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6.支持系统调试菜单锁定屏幕触摸和整机前置按键，可通过多种形式进行锁定/解锁。</w:t>
            </w:r>
          </w:p>
          <w:p w14:paraId="114D67D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7.具备智能手势识别功能，在任意信号源通道下可识别五指多方向手势滑动并调用响应功能，可支持将各手势滑动方向自定义设置为无操作、熄屏、批注、桌面、半屏模式。</w:t>
            </w:r>
          </w:p>
          <w:p w14:paraId="7CC4E994">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8.整机支持提笔书写，在Windows系统下可实现无需点击任意功能入口，当检测到红外笔笔尖接触屏幕时，自动进入书写模式，且支持手笔分离，通过提笔即写唤醒批注功能后，可进行手笔分离功能，使用笔正常书写，使用手指可以操作应用，进行点击操作。（投标时须提供国家认可的第三方检测机构出具的关于该功能检测报告复印件）。</w:t>
            </w:r>
          </w:p>
          <w:p w14:paraId="35F7251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9.整机触摸支持动态压力感应，支持无任何电子功能的普通书写笔在整机上书写或点压时，整机能感应压力变化，书写或点压过程笔迹呈现不同粗细</w:t>
            </w:r>
          </w:p>
          <w:p w14:paraId="4C9B4BD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八、传屏及连接功能</w:t>
            </w:r>
          </w:p>
          <w:p w14:paraId="2A63ECB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09995A9E">
            <w:pPr>
              <w:keepNext w:val="0"/>
              <w:keepLines w:val="0"/>
              <w:pageBreakBefore w:val="0"/>
              <w:widowControl/>
              <w:kinsoku/>
              <w:wordWrap/>
              <w:overflowPunct/>
              <w:topLinePunct w:val="0"/>
              <w:autoSpaceDE/>
              <w:autoSpaceDN/>
              <w:bidi w:val="0"/>
              <w:adjustRightInd/>
              <w:snapToGrid/>
              <w:ind w:firstLine="482" w:firstLineChars="200"/>
              <w:jc w:val="left"/>
              <w:textAlignment w:val="center"/>
              <w:rPr>
                <w:rStyle w:val="28"/>
                <w:rFonts w:hint="eastAsia" w:ascii="宋体" w:hAnsi="宋体" w:eastAsia="宋体" w:cs="宋体"/>
                <w:color w:val="auto"/>
                <w:sz w:val="24"/>
                <w:szCs w:val="24"/>
                <w:lang w:eastAsia="zh-CN" w:bidi="ar"/>
              </w:rPr>
            </w:pPr>
            <w:r>
              <w:rPr>
                <w:rFonts w:hint="eastAsia" w:ascii="宋体" w:hAnsi="宋体" w:cs="宋体"/>
                <w:b/>
                <w:color w:val="auto"/>
                <w:sz w:val="24"/>
                <w:szCs w:val="24"/>
                <w:highlight w:val="none"/>
              </w:rPr>
              <w:t>▲</w:t>
            </w:r>
            <w:r>
              <w:rPr>
                <w:rStyle w:val="28"/>
                <w:rFonts w:hint="eastAsia" w:ascii="宋体" w:hAnsi="宋体" w:eastAsia="宋体" w:cs="宋体"/>
                <w:color w:val="auto"/>
                <w:sz w:val="24"/>
                <w:szCs w:val="24"/>
                <w:lang w:bidi="ar"/>
              </w:rPr>
              <w:t>2.整机支持蓝牙</w:t>
            </w:r>
            <w:r>
              <w:rPr>
                <w:rStyle w:val="28"/>
                <w:rFonts w:hint="eastAsia" w:ascii="宋体" w:hAnsi="宋体" w:eastAsia="宋体" w:cs="宋体"/>
                <w:color w:val="auto"/>
                <w:sz w:val="24"/>
                <w:szCs w:val="24"/>
                <w:highlight w:val="yellow"/>
                <w:u w:val="wave"/>
                <w:lang w:bidi="ar"/>
              </w:rPr>
              <w:t>≥Bluetooth 5.2标准</w:t>
            </w:r>
            <w:r>
              <w:rPr>
                <w:rStyle w:val="28"/>
                <w:rFonts w:hint="eastAsia" w:ascii="宋体" w:hAnsi="宋体" w:eastAsia="宋体" w:cs="宋体"/>
                <w:color w:val="auto"/>
                <w:sz w:val="24"/>
                <w:szCs w:val="24"/>
                <w:lang w:bidi="ar"/>
              </w:rPr>
              <w:t>，支持主动发现蓝牙外设从而连接（无需整机进入发现模式），支持连接外部蓝牙音箱播放音频。</w:t>
            </w:r>
          </w:p>
          <w:p w14:paraId="7709461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3.整机支持Wi-Fi无线上网和AP无线热点发射,支持版本WI-FI6；Wi-Fi和AP无线热点工作距离≥10m。</w:t>
            </w:r>
          </w:p>
          <w:p w14:paraId="7787C10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4.外接电脑设备连接整机且触摸信号连通时，外接电脑设备可直接读取整机前置USB接口的移动存储设备数据，连接整机前置USB接口的翻页笔和无线键鼠可直接使用于外接电脑。</w:t>
            </w:r>
          </w:p>
          <w:p w14:paraId="24BD896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5.整机前置USB接口支持多系统读取外接移动存储设备。</w:t>
            </w:r>
          </w:p>
          <w:p w14:paraId="3D3D468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6.外接电脑设备经双头Type-C线连接至整机，可调用整机内置的摄像头、麦克风、扬声器，在外接电脑即可控制整机拍摄教室画面。</w:t>
            </w:r>
          </w:p>
          <w:p w14:paraId="1D89F25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7.支持通道自动跳转功能，如整机处于正常使用状态，HDMI信号接入时，能自动识别并切换到对应的HDMI信号源通道，且断开后能回到上一通道。</w:t>
            </w:r>
          </w:p>
          <w:p w14:paraId="7BA8375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8.支持外接信号输入时自动唤醒功能，整机处于关机通电状态，外接电脑显示信号通过HDMI传输线连接至整机时，整机可智能识别外接电脑设备信号输入并自动开机。</w:t>
            </w:r>
          </w:p>
          <w:p w14:paraId="1E5626F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9.外接电脑设备连接整机且触摸信号连通时，外接电脑设备可直接读取整机前置USB接口的移动存储设备数据，连接整机前置USB接口的翻页笔和无线键鼠可直接使用于外接电脑。</w:t>
            </w:r>
          </w:p>
          <w:p w14:paraId="5C02EDF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九、按键及接口设计</w:t>
            </w:r>
          </w:p>
          <w:p w14:paraId="23CEC02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1.三合一电源按键，同一电源物理按键完成Android系统和Windows系统的开机、节能熄屏、关机操作；关机状态下按按键开机；开机状态下按按键实现节能熄屏/唤醒，长按按键实现关机。</w:t>
            </w:r>
          </w:p>
          <w:p w14:paraId="79E411D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2.设备支持通过前置面板物理按键一键启动录屏功能，可将屏幕中显示的课件、音频内容与老师人声同时录制。</w:t>
            </w:r>
          </w:p>
          <w:p w14:paraId="7B91FE2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3.整机设备支持通过前置面板物理按键一键启动AI课堂数据分析及反馈功能，可将屏幕中显示的课件、音频内容与人声同时录制。</w:t>
            </w:r>
          </w:p>
          <w:p w14:paraId="21F145D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4.整机关机状态下，通过长按电源键进入设置界面后，可点击屏幕选择恢复整机系统及桌面式操作系统到出厂默认状态，无需额外工具辅助。</w:t>
            </w:r>
          </w:p>
          <w:p w14:paraId="5B12E33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5.整机侧置接口≥2路HDMI、≥1路RS232、≥1路USB接口，≥1路触控USB输出；≥1路HDMI out接口</w:t>
            </w:r>
          </w:p>
          <w:p w14:paraId="3258DAE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6.整机前置接口≥3路USB接口（包含1路Type-C、2路USB）。</w:t>
            </w:r>
          </w:p>
          <w:p w14:paraId="21D2C83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7.整机前置USB接口支持多系统读取外接移动存储设备。</w:t>
            </w:r>
          </w:p>
          <w:p w14:paraId="1A44BC0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8.外接电脑设备经双头Type-C线连接至整机，可调用整机内置的摄像头、麦克风、扬声器，在外接电脑即可控制整机拍摄教室画面。</w:t>
            </w:r>
          </w:p>
          <w:p w14:paraId="034DCE2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十、教学辅助功能</w:t>
            </w:r>
          </w:p>
          <w:p w14:paraId="622A7E7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（一）教学工具栏设计</w:t>
            </w:r>
          </w:p>
          <w:p w14:paraId="585D9E9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1.整机全通道侧边栏快捷菜单包含如下小工具：批注、降半屏、截屏、放大镜、倒计时、日历、聚光灯、秒表、冻屏、倒数日、答题、节拍器。</w:t>
            </w:r>
          </w:p>
          <w:p w14:paraId="1BAF061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2.支持分屏模式，将桌面式操作系统显示画面上半部分下拉到显示屏的下半部分显示，此时依然可以正常触控操作桌面式操作系统；点击非桌面式操作系统显示画面区域，即可退出该模式，无需其他设置。</w:t>
            </w:r>
          </w:p>
          <w:p w14:paraId="01DEC10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3.整机内置硬件自检维护工具，支持对多种模块进行检测和故障问题提示。</w:t>
            </w:r>
          </w:p>
          <w:p w14:paraId="5C96574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48DD0B0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4.整机全通道侧边栏快捷菜单中应用软件可以进行切换，无需在已经开启的应用软件全屏模式下退出当前应用再选择更换，支持windows 应用固定，可将应用固定后，在侧边栏进行快捷打开。</w:t>
            </w:r>
          </w:p>
          <w:p w14:paraId="1223BF3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5.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14:paraId="4D9CA1C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6.整机设备自带地震预警功能，支持在地震预警页面中获取位置，可以手动进行位置校准。支持在地震预警页面中选择提醒阈值。支持在地震预警界面中开启和关闭地震预警服务。</w:t>
            </w:r>
          </w:p>
          <w:p w14:paraId="0ACC3FF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（二）教学桌面设计</w:t>
            </w:r>
          </w:p>
          <w:p w14:paraId="50EF96A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1.整机设备开机启动后，自动进入教学桌面，支持支持通过账号登录、手机扫码登录，登录后可以自动获取并在桌面显示最近使用的教学课件，点击课件可直接进入授课模式。</w:t>
            </w:r>
          </w:p>
          <w:p w14:paraId="4C065EF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2.整机设备可将应用编辑到教学桌面首页，编辑方式支持从教学桌面首页进入编辑，支持在全部应用列表中进入编辑 2 种方式。教学桌面首页应用支持无需进入应用编辑页面，在首页指定应用上长按进行移除。</w:t>
            </w:r>
          </w:p>
          <w:p w14:paraId="352C5DF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3.整机设备教学桌面支持 U 盘、移动硬盘外接存储设备直接在桌面显示，无需打开文件浏览器即可查看文件列表，并且支持文件打开。支持查看全部文件列表以及按照文档、图片、音视频分类方式查看文件列表。</w:t>
            </w:r>
          </w:p>
          <w:p w14:paraId="74C9EEE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4.整机设备教学桌面支持进行通道切换、锁屏、重启、关机操作，且支持进行壁纸编辑，内置10张以上壁纸，支持自定义壁纸。</w:t>
            </w:r>
          </w:p>
          <w:p w14:paraId="7C89D7E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（三）文件传输功能</w:t>
            </w:r>
          </w:p>
          <w:p w14:paraId="1001B74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1.整机Windows通道支持文件传输应用，支持通过扫码、wifi直联等≥2种方式与手机进行连接，实现文件传输功能。</w:t>
            </w:r>
          </w:p>
          <w:p w14:paraId="73BC70A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文件传输应用支持多人同时将手机文件传输到整机上；当手机端登录账号与整机一致时，接收文件不需要二次确认，当手机端登录账号与整机不一致时，且距离连接成功或上次传输超过3分钟，则接收文件需要二次确认。</w:t>
            </w:r>
          </w:p>
          <w:p w14:paraId="5F23314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3.文件传输应用开启后，可自动打开整机热点，并在文件传输应用中显示热点信息，无需手动在设置中查看热点。</w:t>
            </w:r>
          </w:p>
          <w:p w14:paraId="5D34F8B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4.文件传输应用接收的文件支持单份删除；接收的文件支持手动全部清空，全部清空需要经过二次确认。</w:t>
            </w:r>
          </w:p>
          <w:p w14:paraId="3FC33B9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（四）备授课一体化教学软件</w:t>
            </w:r>
          </w:p>
          <w:p w14:paraId="03B65AD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1.备授课一体化，具有备课模式及授课模式，且内置的操作界面可根据备课和授课使用场景不同而选择。</w:t>
            </w:r>
          </w:p>
          <w:p w14:paraId="18C67AB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2.备课模式工具栏具备自动根据老师账号中关联的学科不同而提供相对应的教学工具。</w:t>
            </w:r>
          </w:p>
          <w:p w14:paraId="5114139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3.AI智能备课助手：在备课场景中支持搜索课件库课件资源， 具有</w:t>
            </w:r>
            <w:r>
              <w:rPr>
                <w:rStyle w:val="28"/>
                <w:rFonts w:hint="eastAsia" w:ascii="宋体" w:hAnsi="宋体" w:eastAsia="宋体" w:cs="宋体"/>
                <w:color w:val="auto"/>
                <w:sz w:val="24"/>
                <w:szCs w:val="24"/>
                <w:highlight w:val="yellow"/>
                <w:u w:val="wave"/>
                <w:lang w:bidi="ar"/>
              </w:rPr>
              <w:t>不少于 15 万份</w:t>
            </w:r>
            <w:r>
              <w:rPr>
                <w:rStyle w:val="28"/>
                <w:rFonts w:hint="eastAsia" w:ascii="宋体" w:hAnsi="宋体" w:eastAsia="宋体" w:cs="宋体"/>
                <w:color w:val="auto"/>
                <w:sz w:val="24"/>
                <w:szCs w:val="24"/>
                <w:lang w:bidi="ar"/>
              </w:rPr>
              <w:t>的课件资源， 支持整份课件或按照课件页插入课件 中。支持按照教学环节筛选对应课件页 一键插入课件中， 可导入新课、作者简介。支持按照元素类型思维导图、课堂 活动选取需要的部分补充课件缺失的部分。 支持在查看部分课件的同时查看对应整份课件， 了解作者整体教学思路。（投标时须提供国家认可的第三方检测机构出具的关于该功能检测报告复印件）。</w:t>
            </w:r>
          </w:p>
          <w:p w14:paraId="4413406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14:paraId="53E1A56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5.云教案功能：</w:t>
            </w:r>
          </w:p>
          <w:p w14:paraId="33F0863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（1）云教案分享：云教案内容可自动同步至云空间，支持以链接方式进行定向式分享和开放式分享。接收者可直接在桌面浏览器、微信内打开预览，可将运教案转存至个人云空间。</w:t>
            </w:r>
          </w:p>
          <w:p w14:paraId="56DA2D8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（2）云教案模板：提供教案模板以供老师撰写教案，预置表格式、提纲式、集备式、多课时式等不少于4个教案模板。</w:t>
            </w:r>
          </w:p>
          <w:p w14:paraId="2D2E9AA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（3）支持校本教案模板设计，管理员在教研管理后台设置校本模板后，老师可在云教案模板直接调用。</w:t>
            </w:r>
          </w:p>
          <w:p w14:paraId="271825F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（4）云教案与云课件可一对多关联绑定，产生绑定后，在课件页和教案页均支持在同一面板打开关联的云课件或云教案预览，便于老师备课时相互对照。</w:t>
            </w:r>
          </w:p>
          <w:p w14:paraId="23613E8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6.AI智能生成课堂活动：</w:t>
            </w:r>
            <w:r>
              <w:rPr>
                <w:rStyle w:val="28"/>
                <w:rFonts w:hint="eastAsia" w:ascii="宋体" w:hAnsi="宋体" w:eastAsia="宋体" w:cs="宋体"/>
                <w:color w:val="auto"/>
                <w:sz w:val="24"/>
                <w:szCs w:val="24"/>
                <w:highlight w:val="yellow"/>
                <w:u w:val="wave"/>
                <w:lang w:bidi="ar"/>
              </w:rPr>
              <w:t>具有课堂活动智能填写功能，支持选词填空、判断对错等≥2类</w:t>
            </w:r>
            <w:r>
              <w:rPr>
                <w:rStyle w:val="28"/>
                <w:rFonts w:hint="eastAsia" w:ascii="宋体" w:hAnsi="宋体" w:eastAsia="宋体" w:cs="宋体"/>
                <w:color w:val="auto"/>
                <w:sz w:val="24"/>
                <w:szCs w:val="24"/>
                <w:lang w:bidi="ar"/>
              </w:rPr>
              <w:t>课堂活动。输入文本后可以一键解析，自动将文本内容结构化填充至题干和正确选项，完成课堂活动的制作。（投标时须提供国家认可的第三方检测机构出具的关于该功能检测报告复印件）</w:t>
            </w:r>
          </w:p>
          <w:p w14:paraId="0F942D6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7.课堂互动游戏支持云储存功能：编辑完成的活动可一键存储至教师云空间，便于在不同课件中直接调用，无需反复编辑。</w:t>
            </w:r>
          </w:p>
          <w:p w14:paraId="1A02604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8、智能选词填空：支持创建智能选词填空游戏，填空选项支持并列选项，并列选项支持答案互换，教师可随意编辑填空题题干以及相应的答案选项，将选项拖到对应题干空白处，系统自动判断答案正误，系统需提供不少于9种游戏模板，且模板样式支持自定义修改。</w:t>
            </w:r>
          </w:p>
          <w:p w14:paraId="11A9DCD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9、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3422866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7CAC375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11.课件背景：提供≥12 种以上背景模板供用户选择，持自定义背景。</w:t>
            </w:r>
          </w:p>
          <w:p w14:paraId="0CB1FC6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12.AI智能英语工具：</w:t>
            </w:r>
          </w:p>
          <w:p w14:paraId="3977C5B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（1）软件内置的AI智能语义分析模块，可对输入的英文文本的拼写、句型、语法进行错误检查，并支持一键纠错。</w:t>
            </w:r>
          </w:p>
          <w:p w14:paraId="46C6AB8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w:t>
            </w:r>
            <w:r>
              <w:rPr>
                <w:rStyle w:val="28"/>
                <w:rFonts w:hint="eastAsia" w:ascii="宋体" w:hAnsi="宋体" w:eastAsia="宋体" w:cs="宋体"/>
                <w:color w:val="auto"/>
                <w:sz w:val="24"/>
                <w:szCs w:val="24"/>
                <w:highlight w:val="yellow"/>
                <w:u w:val="wave"/>
                <w:lang w:bidi="ar"/>
              </w:rPr>
              <w:t>不少于5种</w:t>
            </w:r>
            <w:r>
              <w:rPr>
                <w:rStyle w:val="28"/>
                <w:rFonts w:hint="eastAsia" w:ascii="宋体" w:hAnsi="宋体" w:eastAsia="宋体" w:cs="宋体"/>
                <w:color w:val="auto"/>
                <w:sz w:val="24"/>
                <w:szCs w:val="24"/>
                <w:lang w:bidi="ar"/>
              </w:rPr>
              <w:t>详解页背景模板供选择。</w:t>
            </w:r>
          </w:p>
          <w:p w14:paraId="120C094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（3）AI音标助手：支持浏览和插入国际音标表，可直接点击发音，支持已整表和单个音标卡片插入。支持智能将字母、单词、句子转写为音标，并可一键插入到备课课件中形成文本</w:t>
            </w:r>
          </w:p>
          <w:p w14:paraId="30796A3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13.快捷抠图：即可在白板软件中对导入的图片进行快捷抠图、去背景，处理后的图片主体边缘没有明显毛边，可导出保存成 PNG 格式。</w:t>
            </w:r>
          </w:p>
          <w:p w14:paraId="33D31DD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14.数学公式编辑器：支持复杂数学公式输入，提供≥ 20 个数学符号及和≥15种公式模板，输出的公式内容支持不同颜色标记及二次编辑。</w:t>
            </w:r>
          </w:p>
          <w:p w14:paraId="59200DF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p w14:paraId="36E2C7B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16.混合教学功能：</w:t>
            </w:r>
          </w:p>
          <w:p w14:paraId="73BC40D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（1）一键开课：教师可在教室一体机一键开课，开课将进入屏幕共享推流模式。</w:t>
            </w:r>
          </w:p>
          <w:p w14:paraId="7EBEC7D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（2）课程分发：支持生成课程海报，学生扫描课程海报微信二维码即可加入直播课堂。支持通过行政班级学生名单</w:t>
            </w:r>
          </w:p>
          <w:p w14:paraId="5BBF558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（3）提前预约：在个人电脑提前选择好行政班的学生，到教室后开始直播学生可在手机端远程听课</w:t>
            </w:r>
          </w:p>
          <w:p w14:paraId="04011EC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连麦互动：在直播课堂中，教师可指定授权学生远程连麦互动，学生视频连麦过程实时同步至班级其他学生，可支持不少于5位学生同时参与远程互动；支持学生端发起举手，教师端在同意后可自动进入连麦互动。</w:t>
            </w:r>
          </w:p>
          <w:p w14:paraId="3BD7C7D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17.课堂小测：提供≥40000道初中数学试题。</w:t>
            </w:r>
          </w:p>
          <w:p w14:paraId="52FA4D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（1）老师可根据所使用教材版本自由选择人教新版、苏科新版、北师大版、北京课改新版等不同版本试题。</w:t>
            </w:r>
          </w:p>
          <w:p w14:paraId="6AD6A9E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（2）试题按照教学进度分类，精确到每一章每一节，方便老师查找。</w:t>
            </w:r>
          </w:p>
          <w:p w14:paraId="393A0D0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（3）试题按照使用场景分类，分为课堂小测、课时练习、课后基础、课后提高等，方便老师在不同场景下选择。</w:t>
            </w:r>
          </w:p>
          <w:p w14:paraId="15B3A14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（4）题目已根据老师使用需要，组成套题，老师可一键批量选择；同时也支持老师自由组题，形成个性化套。</w:t>
            </w:r>
          </w:p>
          <w:p w14:paraId="417860B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eastAsia="zh-CN" w:bidi="ar"/>
              </w:rPr>
              <w:t>▲</w:t>
            </w:r>
            <w:r>
              <w:rPr>
                <w:rStyle w:val="28"/>
                <w:rFonts w:hint="eastAsia" w:ascii="宋体" w:hAnsi="宋体" w:eastAsia="宋体" w:cs="宋体"/>
                <w:color w:val="auto"/>
                <w:sz w:val="24"/>
                <w:szCs w:val="24"/>
                <w:lang w:bidi="ar"/>
              </w:rPr>
              <w:t>18.表格工具：</w:t>
            </w:r>
          </w:p>
          <w:p w14:paraId="742D1E4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（1）支持老师插入表格，并提供5种以上表格样式供老师选择。</w:t>
            </w:r>
          </w:p>
          <w:p w14:paraId="5FFEEE4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（2）支持表格自适应，可一键将表格的行.列调整到最合适的大小。</w:t>
            </w:r>
          </w:p>
          <w:p w14:paraId="0FEAB8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（3）支持表格遮罩功能，可对表格中任意一格添加遮罩，在授课模式下通过点击可消除遮罩，方便老师设置互动活动。</w:t>
            </w:r>
          </w:p>
          <w:p w14:paraId="6D579AA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（4）在授课模式下，支持表格克隆功能，可克隆出多个相同表格，方便老师请多位同学进行答题互动。</w:t>
            </w:r>
          </w:p>
          <w:p w14:paraId="786DAF4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十一、产品售后保障服务</w:t>
            </w:r>
          </w:p>
          <w:p w14:paraId="28EDF37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1、全国24小时免费400电话保修、二维码扫描保修、区域化驻地技术工程师专线保修。</w:t>
            </w:r>
          </w:p>
          <w:p w14:paraId="3E70CF9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Style w:val="28"/>
                <w:rFonts w:hint="eastAsia" w:ascii="宋体" w:hAnsi="宋体" w:eastAsia="宋体" w:cs="宋体"/>
                <w:color w:val="auto"/>
                <w:sz w:val="24"/>
                <w:szCs w:val="24"/>
                <w:lang w:eastAsia="zh-CN" w:bidi="ar"/>
              </w:rPr>
            </w:pPr>
            <w:r>
              <w:rPr>
                <w:rStyle w:val="28"/>
                <w:rFonts w:hint="eastAsia" w:ascii="宋体" w:hAnsi="宋体" w:eastAsia="宋体" w:cs="宋体"/>
                <w:color w:val="auto"/>
                <w:sz w:val="24"/>
                <w:szCs w:val="24"/>
                <w:lang w:bidi="ar"/>
              </w:rPr>
              <w:t>2、微信售后报修服务：快速输入相关问题及所在区域进行在线保修，贴心服务人员实时在线提供客服专线报修，更好更快的解决售后故障问题带来的使用不便。</w:t>
            </w:r>
          </w:p>
          <w:p w14:paraId="3C0A509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lang w:bidi="ar"/>
              </w:rPr>
              <w:t>3、微信问题查询服务：提供八大模块的问题查询及解决方案，现场完成简单故障的快速修复指导。</w:t>
            </w:r>
          </w:p>
        </w:tc>
        <w:tc>
          <w:tcPr>
            <w:tcW w:w="859" w:type="dxa"/>
            <w:noWrap w:val="0"/>
            <w:vAlign w:val="center"/>
          </w:tcPr>
          <w:p w14:paraId="20F11AA6">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757" w:type="dxa"/>
            <w:noWrap w:val="0"/>
            <w:vAlign w:val="center"/>
          </w:tcPr>
          <w:p w14:paraId="4C3055EE">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套</w:t>
            </w:r>
          </w:p>
        </w:tc>
        <w:tc>
          <w:tcPr>
            <w:tcW w:w="1150" w:type="dxa"/>
            <w:noWrap w:val="0"/>
            <w:vAlign w:val="center"/>
          </w:tcPr>
          <w:p w14:paraId="0B3FC0D5">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185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571011C">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254" w:type="dxa"/>
            <w:noWrap w:val="0"/>
            <w:vAlign w:val="center"/>
          </w:tcPr>
          <w:p w14:paraId="29C9B9A4">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变轨推拉黑板</w:t>
            </w:r>
          </w:p>
        </w:tc>
        <w:tc>
          <w:tcPr>
            <w:tcW w:w="5446" w:type="dxa"/>
            <w:noWrap w:val="0"/>
            <w:vAlign w:val="top"/>
          </w:tcPr>
          <w:p w14:paraId="0AB0EAD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14:paraId="732E6FE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2.基本尺寸：≥4300mm×1380mm，可根据所配电子产品适当调整，确保与电子产品的有效配套。</w:t>
            </w:r>
          </w:p>
          <w:p w14:paraId="012B979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3.书写板面：采用优质烤漆板面，墨绿色、亚光，厚度≥0.3mm，粗糙度为Ra1.6-3.2 um，没有因黑板本身原因产生的眩光，书写流畅字迹清晰、板面表面附有一层透明保护膜，符合GB/T 28231-2011《书写板安全卫生要求》。</w:t>
            </w:r>
          </w:p>
          <w:p w14:paraId="48C8E2B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4.内芯材料：高强度、吸音、聚苯乙烯泡沫板，采用国际适用工艺，书写无吱咔声，改善书写手感。</w:t>
            </w:r>
          </w:p>
          <w:p w14:paraId="2599527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5.背板：采用优质防锈热镀锌钢板，厚度≥0.25mm，流水线一次成型，间隔80mm压有20mm凹槽加强筋,确保均布承压不低于635N，凹槽造型美观、增加强度，更加耐用。</w:t>
            </w:r>
          </w:p>
          <w:p w14:paraId="472BD3C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6.覆板：采用环保型双组份聚氨酯胶水，自动化流水线覆板作业，牵引、滴胶、刷胶、压固、切割下料一次完成，确保粘接牢固板面平整，甲醛释放量≤0.3mg/L，符合GB/T 28231-2011《书写板安全卫生要求》。</w:t>
            </w:r>
          </w:p>
          <w:p w14:paraId="2FD3A22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边框：采用工业用高强度铝合金型材，电泳香槟色，模具挤压一次成型，上框规格57mm×78mm，左右框规格29mm×100mm。轨道上置隐藏式平滑轮滑道，结构性解决滑轮受粉尘影响的情况，配有宽度≥30mm的粉尘槽，粉尘槽与滑动系统分离，与边框一次模具成形，防止粉尘垂直落地。</w:t>
            </w:r>
          </w:p>
          <w:p w14:paraId="13ABB1B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8.包角材料：采用抗老化高强度ABS工程塑料注塑成型。规格：100mm×29mm×29mm，采用双壁成腔流线型设计，≥R25mm的圆角，正面带黑板品牌LOGO标识，无尖角毛刺，符合JY0001-2003《教学仪器设备产品一般质量要求》。</w:t>
            </w:r>
          </w:p>
          <w:p w14:paraId="071DAC2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14:paraId="39D7FD0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10.限位档：黑板边框内部两侧安装滑动板限位档，防止活动黑板开启时撞击立框。</w:t>
            </w:r>
          </w:p>
          <w:p w14:paraId="0BA9BC4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11.易维护性：一体机上下配同色同质书写板，上下可根据一体机尺寸进行微调，两侧用H型边框与固定板配合，可自由拆装。使一体机不用拆整个黑板即可直接拆装维护，减少麻烦，延长使用寿命。</w:t>
            </w:r>
          </w:p>
          <w:p w14:paraId="219D240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12.安全性：一把锁实现对滑动黑板的锁定，钥匙通用，方便实用。</w:t>
            </w:r>
          </w:p>
          <w:p w14:paraId="138810A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13.安装：配装自制钢制电镀安装件，规格95*50*60mm，隐形安装、没有外露的挂接件，符合GB 21027-2007《学生用品的安全通用要求》。</w:t>
            </w:r>
          </w:p>
          <w:p w14:paraId="75E43E6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14.包装：采用环保型材料，符合国家产品包装要求，单套或双套纸箱独立包装，箱体印有制造商名称、LOGO标识、地址、服务热线等信息。</w:t>
            </w:r>
          </w:p>
        </w:tc>
        <w:tc>
          <w:tcPr>
            <w:tcW w:w="859" w:type="dxa"/>
            <w:noWrap w:val="0"/>
            <w:vAlign w:val="center"/>
          </w:tcPr>
          <w:p w14:paraId="662D88DB">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217ED705">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套</w:t>
            </w:r>
          </w:p>
        </w:tc>
        <w:tc>
          <w:tcPr>
            <w:tcW w:w="1150" w:type="dxa"/>
            <w:noWrap w:val="0"/>
            <w:vAlign w:val="center"/>
          </w:tcPr>
          <w:p w14:paraId="52D42670">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5038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63D2EFF">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254" w:type="dxa"/>
            <w:noWrap w:val="0"/>
            <w:vAlign w:val="center"/>
          </w:tcPr>
          <w:p w14:paraId="6F0B40D3">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交互智能平板</w:t>
            </w:r>
          </w:p>
        </w:tc>
        <w:tc>
          <w:tcPr>
            <w:tcW w:w="5446" w:type="dxa"/>
            <w:noWrap w:val="0"/>
            <w:vAlign w:val="top"/>
          </w:tcPr>
          <w:p w14:paraId="6034429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一、文件传输设计</w:t>
            </w:r>
          </w:p>
          <w:p w14:paraId="789F0F0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1、整机Windows通道支持文件传输应用，支持通过扫码、wifi直联、超声三种方式与手机进行握手连接，实现文件传输功能。</w:t>
            </w:r>
          </w:p>
          <w:p w14:paraId="53DD7D2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 Windows 通道支持文件传输应用，传输方式支持公网传输、局域网传输、WiFi 直连传输。</w:t>
            </w:r>
          </w:p>
          <w:p w14:paraId="2594524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投标时须提供国家认可的第三方检测机构出具的关于该功能检测报告复印件）</w:t>
            </w:r>
          </w:p>
          <w:p w14:paraId="43D572A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4、整机Windows通道支持文件传输应用，支持打开文件所在文件夹。</w:t>
            </w:r>
          </w:p>
          <w:p w14:paraId="05B3292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5、整机Windows通道支持文件传输应用，开启该应用后，可自动打开整机热点，并在文件传输应用中显示热点信息，无需手动在设置中查看热点。</w:t>
            </w:r>
          </w:p>
          <w:p w14:paraId="5E2DFE9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二、屏幕显示设计</w:t>
            </w:r>
          </w:p>
          <w:p w14:paraId="0525A99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1、整机采用一体设计，外部无任何可见内部功能模块连接线。边角采用弧形设计，表面无尖锐边缘或凸起。</w:t>
            </w:r>
          </w:p>
          <w:p w14:paraId="4A65434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2、整机采用全金属外壳设计，屏幕边缘采用金属圆角包边防护，整机背板采用金属材质，有效屏蔽内部电路器件辐射；防潮耐盐雾蚀锈，适应多种教学环境。</w:t>
            </w:r>
          </w:p>
          <w:p w14:paraId="2BC604B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3、整机屏幕采用≥86英寸液晶显示器，显示比例≥16:9，分辨率≥3840×2160，整机色域覆盖率（NTSC）≥72%。</w:t>
            </w:r>
          </w:p>
          <w:p w14:paraId="361269C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4、整机背光系统支持DC调光方式，多级亮度调节，支持白颜色背景下最暗亮度≤100nit，用于提升显示对比度。</w:t>
            </w:r>
          </w:p>
          <w:p w14:paraId="21DA1EE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5、整机采用硬件低蓝光背光技术，在源头减少有害蓝光波段能量，蓝光占比（有害蓝光415～455nm能量综合）/（整体蓝光400～500能量综合）＜50%，低蓝光保护显示不偏色、不泛黄。</w:t>
            </w:r>
          </w:p>
          <w:p w14:paraId="5118E65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6、整机支持色彩空间可选，包含标准模式和sRGB模式，在sRGB模式下可做到高色准△E≤1.2。（投标时须提供国家认可的第三方检测机构出具的关于该功能检测报告复印件）</w:t>
            </w:r>
          </w:p>
          <w:p w14:paraId="2F658B8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整机系统支持手势上滑调出人工智能画质调节模式（AI-PQ），在安卓通道下可根据屏幕内容自动调节画质参数，当屏幕出现人物、建筑、夜景等元素时，自动调整对比度、饱和度、锐利度、色调色相值、高光/阴影。</w:t>
            </w:r>
          </w:p>
          <w:p w14:paraId="10E623A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三、内置电脑设计</w:t>
            </w:r>
          </w:p>
          <w:p w14:paraId="4F93AB8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1、CPU：搭载Intel  酷睿系列  i5CPU或以上配置。</w:t>
            </w:r>
          </w:p>
          <w:p w14:paraId="12AFA3C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2、内存：8GB DDR4笔记本内存或以上配置。</w:t>
            </w:r>
          </w:p>
          <w:p w14:paraId="45DC3D8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3、硬盘：256 GB或以上SSD固态硬盘。</w:t>
            </w:r>
          </w:p>
          <w:p w14:paraId="194BD0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4、PC模块可抽拉式插入整机，可实现无单独接线的插拔，和整机的连接采用万兆级接口，传输速率≥10Gbps。</w:t>
            </w:r>
          </w:p>
          <w:p w14:paraId="52A9F16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5、采用按压式卡扣，无需工具就可快速拆卸电脑模块。（投标时须提供国家认可的第三方检测机构出具的关于该功能检测报告复印件）</w:t>
            </w:r>
          </w:p>
          <w:p w14:paraId="79ECBE0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6、具有独立非外扩展的视频输出接口：≥1路HDMI 。</w:t>
            </w:r>
          </w:p>
          <w:p w14:paraId="4935B67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7、具有独立非外拓展的电脑 USB 接口：至少具备 3个USB3.0 接口。</w:t>
            </w:r>
          </w:p>
          <w:p w14:paraId="1A7D294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8、整机具备供电保护模块，能够检测内置电脑是否插好在位，在内置电脑未在位的情况下，内置电脑无法上电工作。</w:t>
            </w:r>
          </w:p>
          <w:p w14:paraId="5976DE8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四、触摸书写设计</w:t>
            </w:r>
          </w:p>
          <w:p w14:paraId="2D174D3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1、采用红外触控技术，支持Windows系统中进行40点或以上触控，支持在Android系统中进行40点或以上触控。（投标时须提供国家认可的第三方检测机构出具的关于该功能检测报告复印件）</w:t>
            </w:r>
          </w:p>
          <w:p w14:paraId="46C42D3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2、整机屏幕触摸有效识别高度不超过1.5mm，即触摸物体距离玻璃外表面高度不超过1.5mm时，触摸屏识别为点击操作。</w:t>
            </w:r>
          </w:p>
          <w:p w14:paraId="6500BD6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3、整机触控书写功能集成预测算法，在书写速度≥50cm/s，支持笔迹距离笔的距离小于20mm。</w:t>
            </w:r>
          </w:p>
          <w:p w14:paraId="5B22474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4、整机系统支持书写触控延迟≤25ms</w:t>
            </w:r>
          </w:p>
          <w:p w14:paraId="15A7534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5、整机支持提笔书写，在Windows系统下可实现无需点击任意功能入口，当检测到红外笔笔尖接触屏幕时，自动进入书写模式。</w:t>
            </w:r>
          </w:p>
          <w:p w14:paraId="73DEED7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6、支持智能板擦功能，系统可根据触控物体的形状自动识别出实物板擦，可擦除电子白板中的内容，无需依赖外部电子设备。</w:t>
            </w:r>
          </w:p>
          <w:p w14:paraId="2E2D694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7、触摸屏具有防遮挡功能，触摸接收器在单点或多点遮挡后仍能正常书写。</w:t>
            </w:r>
          </w:p>
          <w:p w14:paraId="5FE661B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8、支持Windows 7、Windows 8、Windows 10、Windows 11、Linux、Mac Os、UOS和麒麟系统外置电脑操作系统接入时，无需安装触摸驱动。</w:t>
            </w:r>
          </w:p>
          <w:p w14:paraId="22EAE94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9、整机触摸支持动态压力感应，支持无任何电子功能的普通书写笔在整机上书写或点压时，整机能感应压力变化，书写或点压过程笔迹呈现不同粗细。</w:t>
            </w:r>
          </w:p>
          <w:p w14:paraId="13D74DF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五、安全护眼设计</w:t>
            </w:r>
          </w:p>
          <w:p w14:paraId="7B339C9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1、整机采用全物理钢化玻璃，有效保护屏幕显示画面。</w:t>
            </w:r>
          </w:p>
          <w:p w14:paraId="2921B21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2、整机采用防眩光玻璃，屏幕支持防眩光功能，玻璃表面采用纳米材料镀膜环保工艺，书写更加顺滑，防眩光效果更加优异。</w:t>
            </w:r>
          </w:p>
          <w:p w14:paraId="5E17A3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3、机身具备防盐雾锈蚀特性，且满足GB4943.1-2011标准中的防火要求。</w:t>
            </w:r>
          </w:p>
          <w:p w14:paraId="5DC42FB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4、整机具备抗振动、防跌落特性，保证整机运输或使用过程中不易受损。</w:t>
            </w:r>
          </w:p>
          <w:p w14:paraId="5D2DB9C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5、整机书写面板采用防眩光全钢化防爆玻璃面板，面板的碎片状态、抗冲击性、霰弹袋冲击性能、耐热冲击性能均通过国家强制玻璃标准，表面应力≥100Mpa,适应学校复杂环境，保障教学安全。</w:t>
            </w:r>
          </w:p>
          <w:p w14:paraId="5F3C0AF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6、整机在0℃- 40℃环境下可正常工作，在-20℃—60℃的环境下可正常贮存且贮存后功能无损。</w:t>
            </w:r>
          </w:p>
          <w:p w14:paraId="3CBC877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7、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p>
          <w:p w14:paraId="0E5962A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8、纸质护眼模式下，显示画面各像素点灰度不规则，减少背景干扰。</w:t>
            </w:r>
          </w:p>
          <w:p w14:paraId="4A98798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六、教学桌面设计</w:t>
            </w:r>
          </w:p>
          <w:p w14:paraId="4F5887B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1、整机设备开机启动后，自动进入教学桌面，支持账号登录、退出，自动获取个人云端教学课件列表，并可进入全部课件列表。</w:t>
            </w:r>
          </w:p>
          <w:p w14:paraId="1F79412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2、整机设备支持统一互通的用户身份认证服务，账号登录后，打开教学白板软件教学应用工具时无需再次输入账号密码重复登录。</w:t>
            </w:r>
          </w:p>
          <w:p w14:paraId="389630B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3、整机设备教学桌面支持教学常用的教学白板软件和文件管理软件软件；教学桌面首页支持自定义桌面应用，支持展示8个应用入口。并提供进入本机所有应用的入口。</w:t>
            </w:r>
          </w:p>
          <w:p w14:paraId="5E7EF4F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4、整机设备教学桌面支持查看设备盘符，支持本地磁盘和外接 U 盘、移动硬盘，点击即可打开该磁盘查看磁盘文件。教学桌面支持显示存储空间状态，当存储空间即将满载时候进行红色标记明显提示。</w:t>
            </w:r>
          </w:p>
          <w:p w14:paraId="61D7636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5、整机设备教学桌面支持 U 盘、移动硬盘外接存储设备直接在桌面显示，无需打开文件浏览器即可查看文件列表，并且支持文件打开。支持查看全部文件列表以及按照文档、图片、音视频分类方式查看文件列表。（投标时须提供国家认可的第三方检测机构出具的关于该功能检测报告复印件）</w:t>
            </w:r>
          </w:p>
          <w:p w14:paraId="0B36DCA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6、整机设备教学桌面U盘文件查看窗口支持使用文件浏览器打开U盘。</w:t>
            </w:r>
          </w:p>
          <w:p w14:paraId="5AFB8BE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7、整机设备教学桌面支持进行通道切换，当设备有其他输入源时，可在桌面点击信号源进行输入源切换。</w:t>
            </w:r>
          </w:p>
          <w:p w14:paraId="1316C47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七、整机接口设计</w:t>
            </w:r>
          </w:p>
          <w:p w14:paraId="5957694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1、整机侧置输入接口具备≥2路HDMI、≥1路RS232、≥1路USB接口。</w:t>
            </w:r>
          </w:p>
          <w:p w14:paraId="33634C2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2、整机侧置输出接口具备≥1路音频输出、≥1路触控USB输出。</w:t>
            </w:r>
          </w:p>
          <w:p w14:paraId="7F1BE86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3、整机前置输入接口具备≥3路USB接口（包含≥1路Type-C、≥2路USB）。</w:t>
            </w:r>
          </w:p>
          <w:p w14:paraId="2524E83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4、整机前置USB接口支持Android系统、Windows系统读取外接移动存储设备。</w:t>
            </w:r>
          </w:p>
          <w:p w14:paraId="37DFAC7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5、整机具备前置Type-C接口，type-C 支持</w:t>
            </w:r>
            <w:r>
              <w:rPr>
                <w:rFonts w:hint="eastAsia" w:ascii="宋体" w:hAnsi="宋体" w:eastAsia="宋体" w:cs="宋体"/>
                <w:color w:val="auto"/>
                <w:kern w:val="0"/>
                <w:sz w:val="24"/>
                <w:szCs w:val="24"/>
                <w:highlight w:val="yellow"/>
                <w:u w:val="wave"/>
                <w:lang w:bidi="ar"/>
              </w:rPr>
              <w:t>最大充电功率≥12W，</w:t>
            </w:r>
            <w:r>
              <w:rPr>
                <w:rFonts w:hint="eastAsia" w:ascii="宋体" w:hAnsi="宋体" w:eastAsia="宋体" w:cs="宋体"/>
                <w:color w:val="auto"/>
                <w:kern w:val="0"/>
                <w:sz w:val="24"/>
                <w:szCs w:val="24"/>
                <w:lang w:bidi="ar"/>
              </w:rPr>
              <w:t>通过Type-C接口实现音视频输入，外接电脑设备经双头Type-C线连接至整机，即可把外接电脑设备画面投到整机上，同时在整机上操作画面，可实现触摸电脑的操作，无需再连接触控USB线。（投标时须提供国家认可的第三方检测机构出具的关于该功能检测报告复印件）</w:t>
            </w:r>
          </w:p>
          <w:p w14:paraId="39905BA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6、外接电脑设备经双头Type-C线连接至整机，可调用整机内置的摄像头、麦克风、扬声器，在外接电脑即可控制整机拍摄教室画面。</w:t>
            </w:r>
          </w:p>
          <w:p w14:paraId="0B3350B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7、前置USB接口具备防撞挡板设计，防撞挡板采用转轴式翻转。</w:t>
            </w:r>
          </w:p>
          <w:p w14:paraId="6C08BE6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八、整机功能设计</w:t>
            </w:r>
          </w:p>
          <w:p w14:paraId="28109C7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（一）教学巡课功能</w:t>
            </w:r>
          </w:p>
          <w:p w14:paraId="1F0BBA4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1、整机上边框内置非独立式摄像头，采用一体化集成设计，摄像头数量≥3个。</w:t>
            </w:r>
          </w:p>
          <w:p w14:paraId="29BE66D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2、上边框内置非独立式</w:t>
            </w:r>
            <w:r>
              <w:rPr>
                <w:rFonts w:hint="eastAsia" w:ascii="宋体" w:hAnsi="宋体" w:eastAsia="宋体" w:cs="宋体"/>
                <w:color w:val="auto"/>
                <w:kern w:val="0"/>
                <w:sz w:val="24"/>
                <w:szCs w:val="24"/>
                <w:highlight w:val="yellow"/>
                <w:u w:val="wave"/>
                <w:lang w:bidi="ar"/>
              </w:rPr>
              <w:t>≥2个智能拼接摄像头</w:t>
            </w:r>
            <w:r>
              <w:rPr>
                <w:rFonts w:hint="eastAsia" w:ascii="宋体" w:hAnsi="宋体" w:eastAsia="宋体" w:cs="宋体"/>
                <w:color w:val="auto"/>
                <w:kern w:val="0"/>
                <w:sz w:val="24"/>
                <w:szCs w:val="24"/>
                <w:lang w:bidi="ar"/>
              </w:rPr>
              <w:t>，视场角≥141度，水平视场角≥139度，支持输出≥8192×2048分辨率的照片和视频，支持画面畸变矫正功能 。（投标时须提供国家认可的第三方检测机构出具的关于该功能检测报告复印件）</w:t>
            </w:r>
          </w:p>
          <w:p w14:paraId="385A496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3、整机内置至少2个摄像头，像素值均大于800 万，同时输出</w:t>
            </w:r>
            <w:r>
              <w:rPr>
                <w:rFonts w:hint="eastAsia" w:ascii="宋体" w:hAnsi="宋体" w:eastAsia="宋体" w:cs="宋体"/>
                <w:color w:val="auto"/>
                <w:kern w:val="0"/>
                <w:sz w:val="24"/>
                <w:szCs w:val="24"/>
                <w:highlight w:val="yellow"/>
                <w:u w:val="wave"/>
                <w:lang w:bidi="ar"/>
              </w:rPr>
              <w:t>至少 3 路视频流</w:t>
            </w:r>
            <w:r>
              <w:rPr>
                <w:rFonts w:hint="eastAsia" w:ascii="宋体" w:hAnsi="宋体" w:eastAsia="宋体" w:cs="宋体"/>
                <w:color w:val="auto"/>
                <w:kern w:val="0"/>
                <w:sz w:val="24"/>
                <w:szCs w:val="24"/>
                <w:lang w:bidi="ar"/>
              </w:rPr>
              <w:t>，同时支持课堂远程巡课、课堂教学数据采集、本地画面预览（拍照或视频录制）。（投标时须提供国家认可的第三方检测机构出具的关于该功能检测报告复印件）</w:t>
            </w:r>
          </w:p>
          <w:p w14:paraId="7B3F492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4、具备摄像头工作指示灯，摄像头运行时，有指示灯提示。</w:t>
            </w:r>
          </w:p>
          <w:p w14:paraId="7B2CF4B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上边框内置非独立的广角高清摄像头，在距离整机1.7米情况下，且拍摄范围可以覆盖摄像头垂直法线左右距离大于等于4米，可以实现人脸识别。（投标时须提供国家认可的第三方检测机构出具的关于该功能检测报告复印件）</w:t>
            </w:r>
          </w:p>
          <w:p w14:paraId="2B9B312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6、整机上边框内置非独式广角摄像头和智能拼接摄像头， 均支持 3D 降噪算法和数字宽动态范围成像WDR 技术，支持输出 MJPG、 H.264 视频格式。</w:t>
            </w:r>
          </w:p>
          <w:p w14:paraId="781C481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7、整机摄像头支持人脸识别、清点人数、随机抽人；识别所有学生，显示标记，然后随机抽选，同时显示标记不少于60人。（投标时须提供国家认可的第三方检测机构出具的关于该功能检测报告复印件）</w:t>
            </w:r>
          </w:p>
          <w:p w14:paraId="3E957C8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（二）教学音频功能</w:t>
            </w:r>
          </w:p>
          <w:p w14:paraId="24672A5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1、支持标准、听力、观影和AI空间感知音效模式，AI空间感知音效模式可通过内置麦克风采集教室物理环境声音，自动生成符合当前教室物理环境的频段、音量、音效。</w:t>
            </w:r>
          </w:p>
          <w:p w14:paraId="5280C31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2、整机可选择高级音效设置，支持在左右声道平衡显示范围中进行更改；中低频段显示调节范围125Hz～1KHz，高频段显示调节范围 2KHz～16KHz，分贝显示-12dB～12dB 调节范围。</w:t>
            </w:r>
          </w:p>
          <w:p w14:paraId="29E1B20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3、整机内置2.2声道扬声器，位于设备上边框，顶置朝前发声，前朝向≥10W高音扬声器≥2个，上朝向≥20W中低音扬声器≥2个，额定总功率≥60W。采用缝隙发声技术，喇叭采用槽式开口设计，</w:t>
            </w:r>
            <w:r>
              <w:rPr>
                <w:rFonts w:hint="eastAsia" w:ascii="宋体" w:hAnsi="宋体" w:eastAsia="宋体" w:cs="宋体"/>
                <w:color w:val="auto"/>
                <w:kern w:val="0"/>
                <w:sz w:val="24"/>
                <w:szCs w:val="24"/>
                <w:highlight w:val="yellow"/>
                <w:u w:val="wave"/>
                <w:lang w:bidi="ar"/>
              </w:rPr>
              <w:t>不大于5.8mm</w:t>
            </w:r>
            <w:r>
              <w:rPr>
                <w:rFonts w:hint="eastAsia" w:ascii="宋体" w:hAnsi="宋体" w:eastAsia="宋体" w:cs="宋体"/>
                <w:color w:val="auto"/>
                <w:kern w:val="0"/>
                <w:sz w:val="24"/>
                <w:szCs w:val="24"/>
                <w:lang w:bidi="ar"/>
              </w:rPr>
              <w:t>。（投标时须提供国家认可的第三方检测机构出具的关于该功能检测报告复印件）</w:t>
            </w:r>
          </w:p>
          <w:p w14:paraId="54A48E8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4、整机扬声器在100%音量下，可做到1米处声压级≥88db，10米处声压级≥79dB。</w:t>
            </w:r>
          </w:p>
          <w:p w14:paraId="023533E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5、整机内置非独立外扩展的8阵列麦克风，拾音角度≥180°，可用于对教室环境音频进行采集，拾音距离≥12m。（投标时须提供国家认可的第三方检测机构出具的关于该功能检测报告复印件）</w:t>
            </w:r>
          </w:p>
          <w:p w14:paraId="15A5F7D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6、整机内置的阵列麦支持在无任何外部设备的情况下，实时录制用户朗读内容，识别用户声纹并进行统一身份登录操作，登录后自动获取个人云端教学课件列表，打开教学白板软件时可跳过软件自带登录步骤。（投标时须提供国家认可的第三方检测机构出具的关于该功能检测报告复印件）</w:t>
            </w:r>
          </w:p>
          <w:p w14:paraId="14D3D3C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7、整机侧边栏内置朗读工具，通过整机麦克风内置音频检测算法监测教室中学生的朗读情况，以游戏化界面反馈学生朗读音量大小。（投标时须提供国家认可的第三方检测机构出具的关于该功能检测报告复印件）</w:t>
            </w:r>
          </w:p>
          <w:p w14:paraId="318556B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（三）网络及蓝牙功能</w:t>
            </w:r>
          </w:p>
          <w:p w14:paraId="5B6F1BC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1、整机无需外接无线网卡，在Android和Windows系统下可实现Wi-Fi无线上网连接、AP无线热点发射和BT蓝牙连接功能。</w:t>
            </w:r>
          </w:p>
          <w:p w14:paraId="28D15A7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2、Wi-Fi和AP热点工作距离≥12m。</w:t>
            </w:r>
          </w:p>
          <w:p w14:paraId="5EE3B12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3、整机支持蓝牙Bluetooth 5.4标准，固件版本号HCI13.0/LMP13.0。</w:t>
            </w:r>
          </w:p>
          <w:p w14:paraId="1B9111D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4、</w:t>
            </w:r>
            <w:r>
              <w:rPr>
                <w:rFonts w:hint="eastAsia" w:ascii="宋体" w:hAnsi="宋体" w:eastAsia="宋体" w:cs="宋体"/>
                <w:color w:val="auto"/>
                <w:kern w:val="0"/>
                <w:sz w:val="24"/>
                <w:szCs w:val="24"/>
                <w:highlight w:val="yellow"/>
                <w:u w:val="wave"/>
                <w:lang w:bidi="ar"/>
              </w:rPr>
              <w:t>整机支持发出频率≥18kH超声波信号</w:t>
            </w:r>
            <w:r>
              <w:rPr>
                <w:rFonts w:hint="eastAsia" w:ascii="宋体" w:hAnsi="宋体" w:eastAsia="宋体" w:cs="宋体"/>
                <w:color w:val="auto"/>
                <w:kern w:val="0"/>
                <w:sz w:val="24"/>
                <w:szCs w:val="24"/>
                <w:lang w:bidi="ar"/>
              </w:rPr>
              <w:t>，智能手机通过麦克风接收后，智能手机与整机无需在同一局域网内，可实现配对，一键投屏，用户无需手动输入投屏码或扫码获取投屏码。（投标时须提供国家认可的第三方检测机构出具的关于该功能检测报告复印件）</w:t>
            </w:r>
          </w:p>
          <w:p w14:paraId="4814B58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5、整机PC端支持主动发现蓝牙外设从而连接（无需整机进入发现模式），支持连接外部蓝牙音箱播放音频。</w:t>
            </w:r>
          </w:p>
          <w:p w14:paraId="096B37E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6、整机内置双WiFi6无线网卡，在Android和Windows系统下，可实现Wi-Fi无线上网连接、AP无线热点发射。Wi-Fi制式支持IEEE 802.11 a/b/g/n/ac/ax；支持版本Wi-Fi6。Wi-Fi及AP热点支持频段2.4GHz/5GHz 。</w:t>
            </w:r>
          </w:p>
          <w:p w14:paraId="3E9150C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7、整机内置双WiFi6无线网卡，在Android下支持无线设备同时连接数量≥32个，在Windows系统下支持无线设备同时连接≥8个。</w:t>
            </w:r>
          </w:p>
          <w:p w14:paraId="341EBD5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（四）其他功能</w:t>
            </w:r>
          </w:p>
          <w:p w14:paraId="6A54A00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1、整机全通道侧边栏快捷菜单中应用软件可以进行切换，无需在已经开启的应用软件全屏模式下退出当前应用再选择更换。</w:t>
            </w:r>
          </w:p>
          <w:p w14:paraId="20921DE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2、整机支持在设备上通过摄像头获取教室内图像并自动识别图像内所有人员，并随机抽选1人。</w:t>
            </w:r>
          </w:p>
          <w:p w14:paraId="2317F82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3、整机安卓和全部外接通道（HDMI、Type-c）下侧边栏支持节拍器，支持设置节拍、轻重、节拍播放速度。全通道下可支持通过自定义按键调出该功能。</w:t>
            </w:r>
          </w:p>
          <w:p w14:paraId="3792C32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4、整机全通道侧边栏支持倒计时、正计时功能；倒计时，输入某特定时间值，可精确到秒，点击开始进入倒计时；正计时，点击开始计时便自动开始，并实时显示时间。</w:t>
            </w:r>
          </w:p>
          <w:p w14:paraId="79DA1DE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5、整机全通道侧边栏支持使用批注小工具进行批注讲解，可切换书写笔颜色、截屏保存批注内容、清屏，可根据手与屏幕的接触面积自动调整板擦工具的大小。</w:t>
            </w:r>
          </w:p>
          <w:p w14:paraId="0BEA051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6、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4A30D6B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7、整机设备自带地震预警软件。支持在地震预警页面中获取位置，可以手动进行位置校准。支持在地震预警页面中选择提醒阈值。支持在地震预警界面中开启和关闭地震预警服务。</w:t>
            </w:r>
          </w:p>
          <w:p w14:paraId="4450359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九、整机按键设计</w:t>
            </w:r>
          </w:p>
          <w:p w14:paraId="56AAB1F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1、三合一电源按键，同一电源物理按键完成Android系统和Windows系统的开机、节能熄屏、关机操作；关机状态下按按键开机；开机状态下按按键实现节能熄屏/唤醒，长按按键实现关机。</w:t>
            </w:r>
          </w:p>
          <w:p w14:paraId="517FB52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2、支持经典护眼模式，可通过前置面板物理功能按键一键启用经典护眼模式。</w:t>
            </w:r>
          </w:p>
          <w:p w14:paraId="136A3F7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3、设备支持通过前置面板物理按键一键启动录屏功能，可将屏幕中显示的课件、音频内容与人声同时录制。</w:t>
            </w:r>
          </w:p>
          <w:p w14:paraId="5469124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4、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5BCAB8E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5、整机支持自定义图像设置，可对对比度、屏幕色温、图像亮度、亮度范围、色彩空间调节设置。</w:t>
            </w:r>
          </w:p>
          <w:p w14:paraId="30C82C8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6、整机关机状态下，通过长按电源键进入设置界面后，可点击屏幕选择故障检测、系统还原功能，系统还原可单独还原PC系统，单独还原整机系统。</w:t>
            </w:r>
          </w:p>
          <w:p w14:paraId="5908842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7、具备电视遥控功能和电脑键盘常用的F1—F12功能键及Alt+F4、Alt+Tab、Space、Enter、windows快捷按键，可实现一键开启交互白板软件、PPT上下翻页、一键锁定/解锁触摸及整机实体按键、一键熄屏的功能。</w:t>
            </w:r>
          </w:p>
          <w:p w14:paraId="31F553E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十、嵌入式系统设计</w:t>
            </w:r>
          </w:p>
          <w:p w14:paraId="647048A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1、嵌入式系统版本</w:t>
            </w:r>
            <w:r>
              <w:rPr>
                <w:rFonts w:hint="eastAsia" w:ascii="宋体" w:hAnsi="宋体" w:eastAsia="宋体" w:cs="宋体"/>
                <w:color w:val="auto"/>
                <w:kern w:val="0"/>
                <w:sz w:val="24"/>
                <w:szCs w:val="24"/>
                <w:highlight w:val="yellow"/>
                <w:u w:val="wave"/>
                <w:lang w:bidi="ar"/>
              </w:rPr>
              <w:t>不低于Android 13</w:t>
            </w:r>
            <w:r>
              <w:rPr>
                <w:rFonts w:hint="eastAsia" w:ascii="宋体" w:hAnsi="宋体" w:eastAsia="宋体" w:cs="宋体"/>
                <w:color w:val="auto"/>
                <w:kern w:val="0"/>
                <w:sz w:val="24"/>
                <w:szCs w:val="24"/>
                <w:lang w:bidi="ar"/>
              </w:rPr>
              <w:t>，内存≥2GB，存储空间≥8GB。（投标时须提供国家认可的第三方检测机构出具的关于该功能检测报告复印件）</w:t>
            </w:r>
          </w:p>
          <w:p w14:paraId="3874410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2、嵌入式Android操作系统下，白板支持对已经书写的笔迹和形状的颜色进行更换。</w:t>
            </w:r>
          </w:p>
          <w:p w14:paraId="702B223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3、在嵌入式系统下使用白板软件时，整机可自行调节屏幕亮度</w:t>
            </w:r>
          </w:p>
          <w:p w14:paraId="30CD7A6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4、嵌入式Android操作系统下，互动白板支持不同背景颜色，同时提供学科背景，如：五线谱、信纸、田字格、英文格、篮球和足球场地平面图。</w:t>
            </w:r>
          </w:p>
          <w:p w14:paraId="2A64251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37346D9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6、无PC状态下，嵌入式系统内置互动白板支持全局漫游，并能在工具栏中对全局内容进行预览和移动。</w:t>
            </w:r>
          </w:p>
          <w:p w14:paraId="1F122F9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7、无PC状态下，嵌入式Android操作系统下可使用白板书写、WPS软件和网页浏览。</w:t>
            </w:r>
          </w:p>
          <w:p w14:paraId="0F114CB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8、在嵌入式Android操作系统下，能对TV多媒体USB所读取到的文件进行自动归类，可分类查找文档、板书、图片、音视频，检索后可直接在界面中打开。</w:t>
            </w:r>
          </w:p>
          <w:p w14:paraId="40EE741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十一、教学软件设计</w:t>
            </w:r>
          </w:p>
          <w:p w14:paraId="0EEC030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（一）整体设计</w:t>
            </w:r>
          </w:p>
          <w:p w14:paraId="40EB894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1、为教师提供可扩展，易于学校管理，安全可靠的云存储空间，根据每名教师使用时长与教学资料制作频率提供可扩展升级至不小于200G的个人云空间。</w:t>
            </w:r>
          </w:p>
          <w:p w14:paraId="68E3222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教学软件为使用方全体教师配备个人账号，形成一体的信息化教学账号体系；根据教师账号信息将教师云空间匹配至对应学校、学科校本资源库。支持通过数字账号、微信二维码、硬件密钥方式登录教师个人账号。</w:t>
            </w:r>
          </w:p>
          <w:p w14:paraId="4E08830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3、互动教学课件支持定向精准分享：分享者可将互动课件、课件组精准推送至指定接收方账号云空间，接收方可在云空间接收并打开分享课件。</w:t>
            </w:r>
          </w:p>
          <w:p w14:paraId="1CFE942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4、上传下载一体化云存储：备课时支持将云空间中存储图片、音频、视频、Flash等素材插入课件，同时支持将课件中的图片、音频、视频、Flash、PPT等素材右键上传至云空间。</w:t>
            </w:r>
          </w:p>
          <w:p w14:paraId="0526D32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5、互动教学课件支持开放式云分享：分享者可将互动课件、课件组以公开或加密的web链接和二维码形式进行分享，分享链接可设置访问有效期。</w:t>
            </w:r>
          </w:p>
          <w:p w14:paraId="01BAEDF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6、互动教学课件支持开放式云分享：分享者可将互动课件、课件组以公开或加密的web链接和二维码形式进行分享，分享链接可设置访问有效期。</w:t>
            </w:r>
          </w:p>
          <w:p w14:paraId="14DF659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7、互动教学课件支持分享至学校校本资源库，学段学科根据教师个人信息自动匹配，分享后课件全校教师可见，并可直接下载使用。校本资源库支持按学科、学段进行快速查找，同时支持关键词精准检索。</w:t>
            </w:r>
          </w:p>
          <w:p w14:paraId="2C36E35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8、胶囊式微课功能内置于交互式课件工具中，支持快速录制胶囊式微课，微课可录制保存音频和课件的互动操作</w:t>
            </w:r>
          </w:p>
          <w:p w14:paraId="26255A6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（1）录制功能：录制过程中可对课件中的元素进行拖动、克隆、删除等操作，支持在录制过程中进行书写和擦除</w:t>
            </w:r>
          </w:p>
          <w:p w14:paraId="441909F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（2）剪辑重录功能：支持按照课件页面片段剪辑和重录微课，支持一键上传至云端保存</w:t>
            </w:r>
          </w:p>
          <w:p w14:paraId="2FF007C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（3）无课件录制：支持教师在空白页面录制胶囊式微课，支持自主添加不低于100页电子草稿进行讲解</w:t>
            </w:r>
          </w:p>
          <w:p w14:paraId="5A84958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（4）听课方式：微课录制结束后自动生成分享海报，学生扫码在即可在微信观看，无需下载额外app使用</w:t>
            </w:r>
          </w:p>
          <w:p w14:paraId="09C46FC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（5）学生观看胶囊式微课时可进行多种互动，可在控制课件模式下移动、删除克隆课件内的元素，参与课堂活动互动练习</w:t>
            </w:r>
          </w:p>
          <w:p w14:paraId="016D7D5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（6）系统后台自动统计胶囊式微课的观看次数，便于教师做教研管理</w:t>
            </w:r>
          </w:p>
          <w:p w14:paraId="69F8166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9、云教案设计：可在备课平台直接边写教案，教案为云端存储，支持文本、图片、视频、公式的插入。可将教案关联至教师课件，支持课件同时关联多份教案，关联后教师可在备课界面调用查看教案，便于教研工作开展。</w:t>
            </w:r>
          </w:p>
          <w:p w14:paraId="4AC1678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10、支持移动授课，实现公网连接控制课件翻页、播放，支持手机拍照上传、投屏。手机端和电脑端登录同一账号后即可自动连接，拍照上传、控制课件支持公网。</w:t>
            </w:r>
          </w:p>
          <w:p w14:paraId="1499988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11、采用备授课一体化框架设计，教师可根据教学场景自由切换类PPT界面的备课模式与触控交互教学模式，适用于教室、办公室等不同教学环境，便于教师教学使用。</w:t>
            </w:r>
          </w:p>
          <w:p w14:paraId="0A4C18D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12、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p w14:paraId="0132588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（二）备课模式设计</w:t>
            </w:r>
          </w:p>
          <w:p w14:paraId="6257C5B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1、教学软件具备图形自由创作工具，教师可自由绘制复杂的任意多边图形及曲边图形；教师自主创作的图形可存储至个人云空间便于后续使用。</w:t>
            </w:r>
          </w:p>
          <w:p w14:paraId="1568034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2、教学软件内置图片处理功能，无需借助专业图片处理软件即可对课件内的图片进行快速抠图，图片主体处理后边缘无明显毛边，且处理后的图片可直接上传至教师云空间供后续复用。</w:t>
            </w:r>
          </w:p>
          <w:p w14:paraId="212B634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3、教学软件兼容传统课件制作工具的组合快捷按键，支持如加粗（Ctrl+B）、文字居中（Ctrl+E）等教师熟悉的组合按键，鼠标悬停至功能按键时自动提示组合快捷键，内置组合快捷键数量不少于50个。</w:t>
            </w:r>
          </w:p>
          <w:p w14:paraId="4DD2EEA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4、支持对任意课件元素自定义路径动画，可自由绘制动画移动轨迹使课件元素沿轨迹路径进行移动。</w:t>
            </w:r>
          </w:p>
          <w:p w14:paraId="015267F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5、支持对音频、视频文件进行关键帧标记，可在音、视频进度条任意位置自由设置关键帧播放节点，便于快速定位讲解关键教学内容。</w:t>
            </w:r>
          </w:p>
          <w:p w14:paraId="12FB04D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6、全文快速搜索：支持在课件中通过快捷键（Ctrl+F）调用搜索控件，输入文本即可查找课件内文本框、形状、表格中对应的文本匹配项。</w:t>
            </w:r>
          </w:p>
          <w:p w14:paraId="0A1B4A4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（三）授课模式设计</w:t>
            </w:r>
          </w:p>
          <w:p w14:paraId="583F2BD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1、课堂互动游戏支持云储存，编辑完成的活动可一键存储至教师云空间，便于在不同课件中直接调用，无需反复编辑。</w:t>
            </w:r>
          </w:p>
          <w:p w14:paraId="116F43A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15C3570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9种游戏模板，直接选择并输入相应内容即可轻松生成互动分类游戏，提升课堂趣味性。</w:t>
            </w:r>
          </w:p>
          <w:p w14:paraId="0806905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61C089B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智能配对游戏：支持创建配对游戏，教师可随意将知识点进行配对。当开始配对游戏时，拖动知识点进行配对，系统将自动判断是否正确。系统至少提供10种游戏模版，且模版样式支持自定义修改，同时支持设置干扰项。</w:t>
            </w:r>
          </w:p>
          <w:p w14:paraId="6A0E51E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6、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14:paraId="634B7D2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（四）学科工具设计</w:t>
            </w:r>
          </w:p>
          <w:p w14:paraId="3C8E84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1、英语学科：</w:t>
            </w:r>
          </w:p>
          <w:p w14:paraId="1B06EE1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（1）AI智能纠错：软件内置的AI智能语义分析模块，可对输入的英文文本的拼写、句型、语法进行错误检查，并支持一键纠错。</w:t>
            </w:r>
          </w:p>
          <w:p w14:paraId="77521EA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3DD4076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（3）四线三格：配置英语学科四线三格，可直接键入人教版英语辅助教材配套的手写字体。</w:t>
            </w:r>
          </w:p>
          <w:p w14:paraId="25E5751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（4）听写：配置英语学科听写工具，覆盖小初高不少于8000个英语单词，支持自定义选择单词。自定义听写频率和次数，一键生成听写卡；授课模式支持一键开启听写朗读。</w:t>
            </w:r>
          </w:p>
          <w:p w14:paraId="22BA557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2、语文学科：</w:t>
            </w:r>
          </w:p>
          <w:p w14:paraId="104B72D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（1）汉字生字卡：支持在田字格上手写输入汉字并自动识别为印刷体，可展示该汉字的部首、读音、笔画顺序、笔画数量等。</w:t>
            </w:r>
          </w:p>
          <w:p w14:paraId="4855513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提供覆盖小学、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并自动保存至云端供教学复用。备课时可对原文进行注释、标重点等操作；提供原文朗读音频，全部诗词、古文均配备专业朗读配音，朗读音频支持关键帧打点标记。</w:t>
            </w:r>
          </w:p>
          <w:p w14:paraId="30BAB12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（3）拼音工具：支持在拼音格中输入拼音字母，可展示该字母的标准四声读音以及笔画。</w:t>
            </w:r>
          </w:p>
          <w:p w14:paraId="06D0566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3、数学学科：</w:t>
            </w:r>
          </w:p>
          <w:p w14:paraId="13C49E1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（1）立体几何工具</w:t>
            </w:r>
          </w:p>
          <w:p w14:paraId="6731D05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①可自由绘制长方体、立方体、圆柱体、圆锥等立体几何图形，支持几何图形按比例放大缩小和通过单独调整长宽高（半径/高）改变几何体大小。</w:t>
            </w:r>
          </w:p>
          <w:p w14:paraId="74CF2B1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②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p w14:paraId="069B738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③具备几何体智能吸附功能：同类几何体相互靠近时，可智能识别吸附。</w:t>
            </w:r>
          </w:p>
          <w:p w14:paraId="23570E9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（2）数学画板工具</w:t>
            </w:r>
          </w:p>
          <w:p w14:paraId="6E5E57C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① 支持课件中插入在线数学画板，授课时一键打开使用。</w:t>
            </w:r>
          </w:p>
          <w:p w14:paraId="000FB5F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② 提供不少于500个数学画板资源，按照小学、初中、高中学段数学学科主要知识点分类，便于教师查找使用。</w:t>
            </w:r>
          </w:p>
          <w:p w14:paraId="7811660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③ 内置画板课件展示生动直观，可动态展示平面几何的变化：如小学几何四边形，可动态演示四边形的不同形态间的变化；中学函数的平方差公式讲解，可将平方差公式通过图形具象展示其计算原理。</w:t>
            </w:r>
          </w:p>
          <w:p w14:paraId="4AC4460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（3）公式：支持中英文、数学公式的编辑输入，可快速输入方程组、脱式运算，提供总数不少于30个数学符号及模板；预置</w:t>
            </w:r>
            <w:r>
              <w:rPr>
                <w:rFonts w:hint="eastAsia" w:ascii="宋体" w:hAnsi="宋体" w:eastAsia="宋体" w:cs="宋体"/>
                <w:color w:val="auto"/>
                <w:kern w:val="0"/>
                <w:sz w:val="24"/>
                <w:szCs w:val="24"/>
                <w:highlight w:val="yellow"/>
                <w:u w:val="wave"/>
                <w:lang w:bidi="ar"/>
              </w:rPr>
              <w:t>不少于20个常用数学公式</w:t>
            </w:r>
            <w:r>
              <w:rPr>
                <w:rFonts w:hint="eastAsia" w:ascii="宋体" w:hAnsi="宋体" w:eastAsia="宋体" w:cs="宋体"/>
                <w:color w:val="auto"/>
                <w:kern w:val="0"/>
                <w:sz w:val="24"/>
                <w:szCs w:val="24"/>
                <w:lang w:bidi="ar"/>
              </w:rPr>
              <w:t>，无需编辑一键插入，输入内容可用不同颜色标记及重复编辑。</w:t>
            </w:r>
          </w:p>
          <w:p w14:paraId="008BF65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1215D18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（5）尺规工具：提供直尺、三角板、量角器及圆规工具，尺工具支持旋转、伸缩，可实时显示绘制线条长度；圆规工具可更换笔触颜色，模拟真实圆规作图。</w:t>
            </w:r>
          </w:p>
          <w:p w14:paraId="2F15DE3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4、美术学科：内置专用美术画板工具，提供铅笔、毛笔、油画笔等笔触，具备符合绘画调色教学需求的模拟调色盘，可选择不同颜色混合调色，便于学生理解调色合成过程。</w:t>
            </w:r>
          </w:p>
          <w:p w14:paraId="6D29966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5、地理学科：</w:t>
            </w:r>
          </w:p>
          <w:p w14:paraId="3A9BC2D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（1）书写工具具备地图图示（如铁路、城墙、山峰、港口、机场等）笔迹，可直接进行图示标注</w:t>
            </w:r>
          </w:p>
          <w:p w14:paraId="0C38584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表层洋流、陆地自然带、海平面等压线等内容，方便教学。</w:t>
            </w:r>
          </w:p>
          <w:p w14:paraId="1A30CAD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6、其他工具:</w:t>
            </w:r>
          </w:p>
          <w:p w14:paraId="21BB666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板中板：支持授课过程中调用板中板辅助教学，可进行批注、加页及背景色切换；板中板支持插入图片、音视频素材进行独立讲解，不影响课件主画面。板中板支持小窗口化，窗口可以自由移动和调整大小，配合课件讲解内容。</w:t>
            </w:r>
          </w:p>
          <w:p w14:paraId="238F337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（2）书写：支持多人同时书写，可自由调整笔迹颜色及笔触粗细，书写颜色及粗细设置面板支持浮窗模式，可自由调整至白板界面任意位置，便于教师授课使用</w:t>
            </w:r>
          </w:p>
          <w:p w14:paraId="4EC87E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（3）图章笔：提供不少于15种图案样式。</w:t>
            </w:r>
          </w:p>
          <w:p w14:paraId="290A7CA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（4）放大镜：支持调用放大镜工具进行局部画面放大，可设置放大比例及聚光灯效果。</w:t>
            </w:r>
          </w:p>
          <w:p w14:paraId="55F368A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（5）撤销重做：支持白板操作撤销和重做，防止误操作影响教学。</w:t>
            </w:r>
          </w:p>
          <w:p w14:paraId="3096F28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（6）文件导入：授课时可将图片、音频、视频等多媒体文件导入授课界面，系统自动识别外接移动储存设备并优先显示其中的内容。</w:t>
            </w:r>
          </w:p>
          <w:p w14:paraId="7942A59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（7）文件导出：支持授课时导出课件导出为图片，课件支持多种格式导出。</w:t>
            </w:r>
          </w:p>
          <w:p w14:paraId="33B647D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（五）教学资源设计</w:t>
            </w:r>
          </w:p>
          <w:p w14:paraId="109CE67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同步教学资源设计：提供互动式教学课件资源，包含学科教育各学段教材版本全部教学章节、专题教育多个主题教育、特殊教育三大分类的不少于100000份的交互式课件。课件支持直接预览并下载，预览时支持拖动课堂活动、形状、几何、文本等元素；下载时课件可同步至教师个人云课件存储空间；课件支持教师在线评分。</w:t>
            </w:r>
          </w:p>
          <w:p w14:paraId="57F911C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14:paraId="1585C6A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3、课件库资源，涵盖10w+课件资源，支持整份课件页插入课件中；支持按照教学环节筛选对应课件页一键插入课件中，例如导入新课、作者简介等等按需所取，在查看部分课件的同时支持查看对应整份课件，了解作者整体教学思路，便于教师积木式补充课件缺失部分。</w:t>
            </w:r>
          </w:p>
          <w:p w14:paraId="709CC37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（六）其他功能设计</w:t>
            </w:r>
          </w:p>
          <w:p w14:paraId="5F569B7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1、提供柱状图、扇形图、折线图等互动图表，每类图表预置不少于5种样式，支持图表文字、背景、透明度设置；柱状图、折线图可一键转置互换坐标轴类别；图表支持三维模式旋转展示，生动形象。</w:t>
            </w:r>
          </w:p>
          <w:p w14:paraId="3D4B9C2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教学软件可自由插入表格，预置不少于4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5E42745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3、支持对图形样式设置：图形颜色、阴影、倒影、透明度、边框等样式设置；支持图形旋转中心调整，便于教学使用。</w:t>
            </w:r>
          </w:p>
          <w:p w14:paraId="0FC8EFC8">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4、教学软件内置图片裁切功能，无需调用截图工具即可直接对课件内的图片进行裁切，裁切面积可自由调整。</w:t>
            </w:r>
          </w:p>
          <w:p w14:paraId="7320D65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5、空中课堂设计：空中课堂功能内置于交互式备授课软件中，无需额外安装部署直播软件，可实现语音直播、课件同步、互动工具等远程教学功能</w:t>
            </w:r>
          </w:p>
          <w:p w14:paraId="1A7918E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（1）一键开课：教师可一键开课生成课程海报；学生扫描课程海报微信二维码即可加入直播课堂，无需额外安装APP。</w:t>
            </w:r>
          </w:p>
          <w:p w14:paraId="26DDBD9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（2）文本聊天工具：学生可在直播课堂打字提问、互动，学生提问内容实时传递至教师；</w:t>
            </w:r>
          </w:p>
          <w:p w14:paraId="21ABCCA2">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（3）互动答题工具：教师根据讲解内容发布答题板供学生选择作答，学生提交答案后系统自动统计正确率和答题详情。</w:t>
            </w:r>
          </w:p>
          <w:p w14:paraId="247A29F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远程互动工具：在直播课堂中，教师可指定授权学生远程互动，学生可在直播的课件画面进行书写、移动、擦除、参与互动活动等，学生操作过程实时同步至班级其他学生，可支持不少于5位学生同时参与远程互动；</w:t>
            </w:r>
          </w:p>
          <w:p w14:paraId="52B9966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（5）课堂奖励工具：直播过程中可向学生发放奖杯，学生在线学习获得的奖杯数量累积统计。</w:t>
            </w:r>
          </w:p>
          <w:p w14:paraId="7BF0BD2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（6）远程考勤管理：直播课程结束后，后台自动统计报名学生名单和学生学习清单。</w:t>
            </w:r>
          </w:p>
          <w:p w14:paraId="5787287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（7）课程回放：课程结束后自动生成直播回放，报名课程的学生可反复学习；回放课程自动保存在云端，支持人工删除。</w:t>
            </w:r>
          </w:p>
          <w:p w14:paraId="0994D43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十二、产品售后保障服务</w:t>
            </w:r>
          </w:p>
          <w:p w14:paraId="4F01FBA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1、全国24小时免费400电话保修、二维码扫描保修、区域化驻地技术工程师专线保修。</w:t>
            </w:r>
          </w:p>
          <w:p w14:paraId="48C1521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2、微信售后报修服务：快速输入相关问题及所在区域进行在线保修，贴心服务人员实时在线提供客服专线报修，更好更快的解决售后故障问题带来的使用不便。</w:t>
            </w:r>
          </w:p>
          <w:p w14:paraId="5A37AE4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3、微信问题查询服务：提供八大模块的问题查询及解决方案，现场完成简单故障的快速修复指导。</w:t>
            </w:r>
          </w:p>
        </w:tc>
        <w:tc>
          <w:tcPr>
            <w:tcW w:w="859" w:type="dxa"/>
            <w:noWrap w:val="0"/>
            <w:vAlign w:val="center"/>
          </w:tcPr>
          <w:p w14:paraId="0EC58DFF">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757" w:type="dxa"/>
            <w:noWrap w:val="0"/>
            <w:vAlign w:val="center"/>
          </w:tcPr>
          <w:p w14:paraId="269DA98C">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套</w:t>
            </w:r>
          </w:p>
        </w:tc>
        <w:tc>
          <w:tcPr>
            <w:tcW w:w="1150" w:type="dxa"/>
            <w:noWrap w:val="0"/>
            <w:vAlign w:val="center"/>
          </w:tcPr>
          <w:p w14:paraId="77C31B0D">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5AF9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2B18FC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254" w:type="dxa"/>
            <w:noWrap w:val="0"/>
            <w:vAlign w:val="center"/>
          </w:tcPr>
          <w:p w14:paraId="08A4750B">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视频展台</w:t>
            </w:r>
          </w:p>
        </w:tc>
        <w:tc>
          <w:tcPr>
            <w:tcW w:w="5446" w:type="dxa"/>
            <w:noWrap w:val="0"/>
            <w:vAlign w:val="top"/>
          </w:tcPr>
          <w:p w14:paraId="17ACFFD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一、展台硬件</w:t>
            </w:r>
          </w:p>
          <w:p w14:paraId="31B5B69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1.采用≥800万像素摄像头；采用 USB电源直接供电，无需额外配置电源适配器；箱内USB连线采用隐藏式设计，箱内无可见连线且USB口下出。</w:t>
            </w:r>
          </w:p>
          <w:p w14:paraId="34AC68D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2.A4大小拍摄幅面，1080P动态视频预览达到30帧/秒。</w:t>
            </w:r>
          </w:p>
          <w:p w14:paraId="24CAC97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3.整机采用圆弧式设计，无锐角；托板可承重3kg，同时托板采用磁吸吸附式机构。</w:t>
            </w:r>
          </w:p>
          <w:p w14:paraId="392D4ACD">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4.展示托板正上方具备LED补光灯补光灯开关采用触摸按键设计，同时可通过视频展台软件直接控制开关；</w:t>
            </w:r>
          </w:p>
          <w:p w14:paraId="563FFE2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5.摄像头支持自动对焦；摄像头部分进行外壳防护等级试验，防护等级达到IP4X级别。</w:t>
            </w:r>
          </w:p>
          <w:p w14:paraId="298E89E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二、展台软件</w:t>
            </w:r>
          </w:p>
          <w:p w14:paraId="4782F87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1.支持对展台画面进行放大、缩小、旋转、自适应、冻结画面等操作。</w:t>
            </w:r>
          </w:p>
          <w:p w14:paraId="3E5FB2B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2.支持展台画面实时批注，预设多种笔划粗细及颜色供选择，且支持对展台画面联同批注内容进行同步缩放、移动。</w:t>
            </w:r>
          </w:p>
          <w:p w14:paraId="04B3A8C0">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3.支持展台画面拍照截图并进行多图预览，可对任一图片进行全屏显示。</w:t>
            </w:r>
          </w:p>
          <w:p w14:paraId="70E8F37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4.老师可在一体机或电脑上选择延时拍照功能，支持5秒或10秒延时模式，可调整拍摄内容。</w:t>
            </w:r>
          </w:p>
          <w:p w14:paraId="1964EFF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5.具备图像增强功能，可自动裁剪背景并增强文字显示，使文档画面更清晰。</w:t>
            </w:r>
          </w:p>
          <w:p w14:paraId="2D27339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6.可选择图像、文本或动态等多种情景模式，适应不同展示内容。</w:t>
            </w:r>
          </w:p>
          <w:p w14:paraId="50EE706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7.二维码扫码：打开扫一扫功能后，将书本上的二维码放入扫描框内即可自动扫描，并进入系统浏览器获取二维码的链接内容，可获取电子教学资源。</w:t>
            </w:r>
          </w:p>
          <w:p w14:paraId="7DF3734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8.支持故障自动检测，在软件无法出现展台拍摄画面时，自动出现检测链接，检测“无画面”的原因，并给出引导性解决方案。可判断硬件连接、显卡驱动、摄像头占用、软件版本等问题。</w:t>
            </w:r>
          </w:p>
        </w:tc>
        <w:tc>
          <w:tcPr>
            <w:tcW w:w="859" w:type="dxa"/>
            <w:noWrap w:val="0"/>
            <w:vAlign w:val="center"/>
          </w:tcPr>
          <w:p w14:paraId="2B431B45">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6B12273A">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台</w:t>
            </w:r>
          </w:p>
        </w:tc>
        <w:tc>
          <w:tcPr>
            <w:tcW w:w="1150" w:type="dxa"/>
            <w:noWrap w:val="0"/>
            <w:vAlign w:val="center"/>
          </w:tcPr>
          <w:p w14:paraId="3A8606D5">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工业</w:t>
            </w:r>
          </w:p>
        </w:tc>
      </w:tr>
      <w:tr w14:paraId="3994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689299B7">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54" w:type="dxa"/>
            <w:noWrap w:val="0"/>
            <w:vAlign w:val="center"/>
          </w:tcPr>
          <w:p w14:paraId="2551B7B5">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智能笔</w:t>
            </w:r>
          </w:p>
        </w:tc>
        <w:tc>
          <w:tcPr>
            <w:tcW w:w="5446" w:type="dxa"/>
            <w:noWrap w:val="0"/>
            <w:vAlign w:val="top"/>
          </w:tcPr>
          <w:p w14:paraId="15147FE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1.采用笔型设计，具有三个遥控按键（上下翻页和功能键），既可用于触摸书写，也可用于远程操控。</w:t>
            </w:r>
          </w:p>
          <w:p w14:paraId="36EBBD1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2.采用2.4G蓝牙无线连接技术，无线接收距离最大可达15米。</w:t>
            </w:r>
          </w:p>
          <w:p w14:paraId="2E76E39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3.无线接收器采用微型nano设计，整洁美观。</w:t>
            </w:r>
          </w:p>
          <w:p w14:paraId="087412C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4.笔尖采用PE材质，经久耐磨，书写精度≤3mm。</w:t>
            </w:r>
          </w:p>
          <w:p w14:paraId="381C0A7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5.使用单节7号电池驱动，并带自动休眠节电设计。</w:t>
            </w:r>
          </w:p>
          <w:p w14:paraId="59EE5DB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6.具备单接收器，支持Android、windows双系统响应智能笔的操作指令。</w:t>
            </w:r>
          </w:p>
          <w:p w14:paraId="1B79843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7.支持白板课件、PPT、WPS、PDF等多种格式的课件进行远程无线翻页。</w:t>
            </w:r>
          </w:p>
          <w:p w14:paraId="5904285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8.功能按键可通过长按/短按实现两种快捷功能。</w:t>
            </w:r>
          </w:p>
          <w:p w14:paraId="0869CDF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9.支持自定义按键功能，可选功能包括：一键启动任意通道批注、一键启动/退出PPT播放、一键启动其他应用软件等。</w:t>
            </w:r>
          </w:p>
        </w:tc>
        <w:tc>
          <w:tcPr>
            <w:tcW w:w="859" w:type="dxa"/>
            <w:noWrap w:val="0"/>
            <w:vAlign w:val="center"/>
          </w:tcPr>
          <w:p w14:paraId="5ABCC539">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0F622A81">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支</w:t>
            </w:r>
          </w:p>
        </w:tc>
        <w:tc>
          <w:tcPr>
            <w:tcW w:w="1150" w:type="dxa"/>
            <w:noWrap w:val="0"/>
            <w:vAlign w:val="center"/>
          </w:tcPr>
          <w:p w14:paraId="27F9FAE2">
            <w:pPr>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工业</w:t>
            </w:r>
          </w:p>
        </w:tc>
      </w:tr>
      <w:tr w14:paraId="4712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08D91B2C">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54" w:type="dxa"/>
            <w:noWrap w:val="0"/>
            <w:vAlign w:val="center"/>
          </w:tcPr>
          <w:p w14:paraId="48FEC898">
            <w:pPr>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教学有源音箱</w:t>
            </w:r>
          </w:p>
        </w:tc>
        <w:tc>
          <w:tcPr>
            <w:tcW w:w="5446" w:type="dxa"/>
            <w:noWrap w:val="0"/>
            <w:vAlign w:val="top"/>
          </w:tcPr>
          <w:p w14:paraId="13EBE2A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1.采用功放与有源音箱一体化设计，内置麦克风无线接收模块，帮助教师实现多媒体扩音以及本地扩声功能。</w:t>
            </w:r>
          </w:p>
          <w:p w14:paraId="11A70D7E">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2.输出额定功率≥ 2x15W。</w:t>
            </w:r>
          </w:p>
          <w:p w14:paraId="202201C9">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3.音箱灵敏度≥85dB，1W/1M。</w:t>
            </w:r>
          </w:p>
          <w:p w14:paraId="0C40053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4.信噪比≥80dB@额定功率、A计权。</w:t>
            </w:r>
          </w:p>
          <w:p w14:paraId="33B962C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5.全频喇叭单元尺寸≥5英寸。</w:t>
            </w:r>
          </w:p>
          <w:p w14:paraId="37FB15F1">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6.THD+N≤1%。</w:t>
            </w:r>
          </w:p>
          <w:p w14:paraId="1680021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7.声频响110Hz-16kHz。</w:t>
            </w:r>
          </w:p>
          <w:p w14:paraId="1E9080E7">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8.距离音箱10米处声压级≥75dB。</w:t>
            </w:r>
          </w:p>
          <w:p w14:paraId="0CCD010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9.具备≥1路电源开关、1路LINE IN、1路USB 接口。USB接口可外接U盘设备对音箱固件进行升级。</w:t>
            </w:r>
          </w:p>
          <w:p w14:paraId="68E4470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10.支持无线麦克风扩音接收，采用Wi-Fi射频2.4GHz与 5GHz双频段传输，有效避免环境中运营商U段（700MHz）的信号干扰。</w:t>
            </w:r>
          </w:p>
          <w:p w14:paraId="51BEAD66">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11.采用红外对码方式，避免连接到其他教室音箱。可快速完成与教学扩声麦克风对码，无需繁琐操作。</w:t>
            </w:r>
          </w:p>
          <w:p w14:paraId="0C5DDF2F">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12.配置独立音频数字信号处理芯片，支持啸叫抑制功能。</w:t>
            </w:r>
          </w:p>
          <w:p w14:paraId="1C09B27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13.支持蓝牙无线接收，可分享移动设备上的音频。支持密码模式，防止学生连接。</w:t>
            </w:r>
          </w:p>
          <w:p w14:paraId="4063989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14.支持安卓手机通过蓝牙无线连接音箱，实现控制有源音箱的音量、设置蓝牙名称、设置蓝牙密码等功能，方便教师对音箱的管控。</w:t>
            </w:r>
          </w:p>
          <w:p w14:paraId="5A87E86A">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15.支持交互智能平板显示设备通过蓝牙无线连接音箱，实现控制有源音箱的音量的功能（需要交互智能平板及有源音箱为同一品牌）。</w:t>
            </w:r>
          </w:p>
        </w:tc>
        <w:tc>
          <w:tcPr>
            <w:tcW w:w="859" w:type="dxa"/>
            <w:noWrap w:val="0"/>
            <w:vAlign w:val="center"/>
          </w:tcPr>
          <w:p w14:paraId="33ECD54B">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15AC995C">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套</w:t>
            </w:r>
          </w:p>
        </w:tc>
        <w:tc>
          <w:tcPr>
            <w:tcW w:w="1150" w:type="dxa"/>
            <w:noWrap w:val="0"/>
            <w:vAlign w:val="center"/>
          </w:tcPr>
          <w:p w14:paraId="7903F490">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工业</w:t>
            </w:r>
          </w:p>
        </w:tc>
      </w:tr>
      <w:tr w14:paraId="4C88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71BEFF98">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54" w:type="dxa"/>
            <w:noWrap w:val="0"/>
            <w:vAlign w:val="center"/>
          </w:tcPr>
          <w:p w14:paraId="165C3EC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无线麦克风</w:t>
            </w:r>
          </w:p>
        </w:tc>
        <w:tc>
          <w:tcPr>
            <w:tcW w:w="5446" w:type="dxa"/>
            <w:noWrap w:val="0"/>
            <w:vAlign w:val="top"/>
          </w:tcPr>
          <w:p w14:paraId="67428E9C">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1.无线麦克风集音频发射处理器、天线、电池、拾音麦克风于一体，配合一体化有源音箱，无需任何外接辅助设备即可实现本地扩声功能。</w:t>
            </w:r>
          </w:p>
          <w:p w14:paraId="1F75E663">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2.麦克风和功放音箱之间采用数字U段传输技3术，有效避免环境中2.4G信号干扰，例如蓝牙及WIFI设备。</w:t>
            </w:r>
          </w:p>
          <w:p w14:paraId="76C3728B">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3.支持智能红外对码及UHF对码，可在2s内快速完成与教学扩声音箱对码，无需繁琐操作。可与移动音箱或录播主机对码连接。</w:t>
            </w:r>
          </w:p>
          <w:p w14:paraId="14BC0B6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4.采用触点磁吸式充电方式，支持快速充电与超低功耗工作模式，课间充电10分钟，实现80分钟续航。</w:t>
            </w:r>
          </w:p>
          <w:p w14:paraId="6578A954">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5.麦克风距离音箱最大有效工作距离≥10米，保证全教室覆盖。</w:t>
            </w:r>
          </w:p>
        </w:tc>
        <w:tc>
          <w:tcPr>
            <w:tcW w:w="859" w:type="dxa"/>
            <w:noWrap w:val="0"/>
            <w:vAlign w:val="center"/>
          </w:tcPr>
          <w:p w14:paraId="7C1BA414">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670D9012">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套</w:t>
            </w:r>
          </w:p>
        </w:tc>
        <w:tc>
          <w:tcPr>
            <w:tcW w:w="1150" w:type="dxa"/>
            <w:noWrap w:val="0"/>
            <w:vAlign w:val="center"/>
          </w:tcPr>
          <w:p w14:paraId="133D439C">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工业</w:t>
            </w:r>
          </w:p>
        </w:tc>
      </w:tr>
      <w:tr w14:paraId="2522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dxa"/>
            <w:noWrap w:val="0"/>
            <w:vAlign w:val="center"/>
          </w:tcPr>
          <w:p w14:paraId="12411CC5">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254" w:type="dxa"/>
            <w:noWrap w:val="0"/>
            <w:vAlign w:val="center"/>
          </w:tcPr>
          <w:p w14:paraId="380F4B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辅材和施工</w:t>
            </w:r>
          </w:p>
        </w:tc>
        <w:tc>
          <w:tcPr>
            <w:tcW w:w="5446" w:type="dxa"/>
            <w:noWrap w:val="0"/>
            <w:vAlign w:val="top"/>
          </w:tcPr>
          <w:p w14:paraId="01E05C25">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含高品质的电源线、高品质网线、电源排插、双位空开、弧形钢质或工程PVC走线槽等配件，施工安装、培训。讲台位置布线必须沿边缘走向安装线槽。按工程施工规范要求实施。</w:t>
            </w:r>
          </w:p>
        </w:tc>
        <w:tc>
          <w:tcPr>
            <w:tcW w:w="859" w:type="dxa"/>
            <w:noWrap w:val="0"/>
            <w:vAlign w:val="center"/>
          </w:tcPr>
          <w:p w14:paraId="3AB96963">
            <w:pPr>
              <w:snapToGrid w:val="0"/>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58</w:t>
            </w:r>
          </w:p>
        </w:tc>
        <w:tc>
          <w:tcPr>
            <w:tcW w:w="757" w:type="dxa"/>
            <w:noWrap w:val="0"/>
            <w:vAlign w:val="center"/>
          </w:tcPr>
          <w:p w14:paraId="03E8CD7A">
            <w:pPr>
              <w:snapToGrid w:val="0"/>
              <w:spacing w:line="36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项</w:t>
            </w:r>
          </w:p>
        </w:tc>
        <w:tc>
          <w:tcPr>
            <w:tcW w:w="1150" w:type="dxa"/>
            <w:noWrap w:val="0"/>
            <w:vAlign w:val="center"/>
          </w:tcPr>
          <w:p w14:paraId="7B62F57C">
            <w:pPr>
              <w:snapToGrid w:val="0"/>
              <w:spacing w:line="3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工业</w:t>
            </w:r>
          </w:p>
        </w:tc>
      </w:tr>
      <w:tr w14:paraId="724A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0" w:type="dxa"/>
            <w:gridSpan w:val="6"/>
            <w:noWrap w:val="0"/>
            <w:vAlign w:val="center"/>
          </w:tcPr>
          <w:p w14:paraId="01BED19E">
            <w:pPr>
              <w:snapToGrid w:val="0"/>
              <w:spacing w:line="360" w:lineRule="exact"/>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▲商务要求</w:t>
            </w:r>
          </w:p>
        </w:tc>
      </w:tr>
      <w:tr w14:paraId="1B70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ED5720F">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质保期</w:t>
            </w:r>
          </w:p>
        </w:tc>
        <w:tc>
          <w:tcPr>
            <w:tcW w:w="8212" w:type="dxa"/>
            <w:gridSpan w:val="4"/>
            <w:noWrap w:val="0"/>
            <w:vAlign w:val="center"/>
          </w:tcPr>
          <w:p w14:paraId="19E67438">
            <w:pPr>
              <w:widowControl/>
              <w:snapToGrid w:val="0"/>
              <w:spacing w:line="420" w:lineRule="exact"/>
              <w:ind w:firstLine="420" w:firstLineChars="175"/>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保期不少于三年（均为自交付使用并验收合格之日起计，如项目有特殊要求的，按要求质保），质保期内免费上门维修，免费更换配件（人为损坏除外的）：如设备发生大故障（指主要部件出现质量问题）时，供货方应负责免费更换相同品牌、型号的新设备。设备维修或更换后其保质期相应顺延。所有非故意性损坏以及在要求质量标准范围内的正常使用造成的损坏均要免费维修。对因采购方人员的不正当使用所造成的设备损坏不归供货方负责保修，但供货方也要积极帮助采购方修理设备，并保证提供优惠价格的配件和服务。</w:t>
            </w:r>
          </w:p>
          <w:p w14:paraId="59B3A512">
            <w:pPr>
              <w:snapToGrid w:val="0"/>
              <w:spacing w:line="440" w:lineRule="exact"/>
              <w:ind w:firstLine="420" w:firstLineChars="17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货物验收合格后，质保期内免费服务（含部件、人力、上门等），质保期满后，乙方仍应提供维修服务，按维修件成本收费。</w:t>
            </w:r>
          </w:p>
        </w:tc>
      </w:tr>
      <w:tr w14:paraId="180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07A4055">
            <w:pPr>
              <w:widowControl/>
              <w:snapToGri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基本要求</w:t>
            </w:r>
          </w:p>
        </w:tc>
        <w:tc>
          <w:tcPr>
            <w:tcW w:w="8212" w:type="dxa"/>
            <w:gridSpan w:val="4"/>
            <w:noWrap w:val="0"/>
            <w:vAlign w:val="center"/>
          </w:tcPr>
          <w:p w14:paraId="7DEA095B">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1408796F">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2.投标人应列明详细的设备名称、型号规格、产地和生产厂家；</w:t>
            </w:r>
          </w:p>
          <w:p w14:paraId="4383CC38">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所有产品必须是具备厂家合法销售渠道的全新合格正品，所有设备必须完全满足采购文件所述性能配置要求，若产品在运输过程中损坏或擦伤须无偿调换相同产品。</w:t>
            </w:r>
          </w:p>
          <w:p w14:paraId="444D2253">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为防止虚假应标，在中标公示期，采购人有权要求中标人提供本项目中设备按照招标文件参数及要求进行测试，如发现中标人提供的产品性能不满足招标文件要求或存在虚假应答情况的或不提供本项目中设备按照招标文件参数及要求进行测试的，采购人将不予签订合同，造成损失由中标人承担，并追究其相关法律责任。</w:t>
            </w:r>
          </w:p>
          <w:p w14:paraId="5E0A8AED">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、采购需求中要求投标时、签订成交合同前及签订合同后须提供的所有相关证明材料，投标人必须按要求提供。如不提供，则视为提供虚假材料， 中标（投标）无效，按政府采购相关法规处罚，并追究其相应的法律责任。</w:t>
            </w:r>
          </w:p>
          <w:p w14:paraId="51522E4B">
            <w:pPr>
              <w:pStyle w:val="12"/>
              <w:widowControl/>
              <w:autoSpaceDE/>
              <w:autoSpaceDN/>
              <w:adjustRightInd/>
              <w:snapToGrid w:val="0"/>
              <w:spacing w:line="44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、所投产品交互智能平板需要进行产品强制性认证，投标文件中需提供class b级别的3C认证证书，以确保设备能够匹配民用级设备的认证标准</w:t>
            </w:r>
            <w:r>
              <w:rPr>
                <w:rFonts w:hint="eastAsia" w:ascii="宋体" w:hAnsi="宋体" w:eastAsia="宋体" w:cs="宋体"/>
                <w:color w:val="auto"/>
                <w:sz w:val="24"/>
                <w:szCs w:val="24"/>
                <w:highlight w:val="none"/>
                <w:lang w:eastAsia="zh-CN"/>
              </w:rPr>
              <w:t>。</w:t>
            </w:r>
          </w:p>
        </w:tc>
      </w:tr>
      <w:tr w14:paraId="071A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C5C142A">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8212" w:type="dxa"/>
            <w:gridSpan w:val="4"/>
            <w:noWrap w:val="0"/>
            <w:vAlign w:val="center"/>
          </w:tcPr>
          <w:p w14:paraId="19C05BB0">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本项目以合同总价形式报价，超过最高限价：人民币</w:t>
            </w:r>
            <w:r>
              <w:rPr>
                <w:rFonts w:hint="eastAsia" w:ascii="宋体" w:hAnsi="宋体" w:cs="宋体"/>
                <w:color w:val="auto"/>
                <w:sz w:val="24"/>
                <w:szCs w:val="24"/>
                <w:highlight w:val="none"/>
                <w:lang w:eastAsia="zh-CN"/>
              </w:rPr>
              <w:t>壹佰柒拾肆万</w:t>
            </w:r>
            <w:r>
              <w:rPr>
                <w:rFonts w:hint="eastAsia" w:ascii="宋体" w:hAnsi="宋体" w:cs="宋体"/>
                <w:color w:val="auto"/>
                <w:sz w:val="24"/>
                <w:szCs w:val="24"/>
                <w:highlight w:val="none"/>
              </w:rPr>
              <w:t>元整（￥</w:t>
            </w:r>
            <w:r>
              <w:rPr>
                <w:rFonts w:hint="eastAsia" w:ascii="宋体" w:hAnsi="宋体" w:cs="宋体"/>
                <w:color w:val="auto"/>
                <w:sz w:val="24"/>
                <w:szCs w:val="24"/>
                <w:highlight w:val="none"/>
                <w:lang w:val="en-US" w:eastAsia="zh-CN"/>
              </w:rPr>
              <w:t>1740000</w:t>
            </w:r>
            <w:r>
              <w:rPr>
                <w:rFonts w:hint="eastAsia" w:ascii="宋体" w:hAnsi="宋体" w:cs="宋体"/>
                <w:color w:val="auto"/>
                <w:sz w:val="24"/>
                <w:szCs w:val="24"/>
                <w:highlight w:val="none"/>
              </w:rPr>
              <w:t>.00）的竞标报价无效。</w:t>
            </w:r>
          </w:p>
          <w:p w14:paraId="7619DC68">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报价是履行合同的最终价格，供应商应充分考虑对竞标报价中的货物和服务的报价应包括完成本项工作所需的人工、材料、器材、管理、维护、保险、利润、税金、通讯器材、办公设备、政策性文件规定及合同包含的所有风险、责任等各项应有费用。竞标报价除非因特殊原因并经买卖双方协商同意，供应商不得再要求追加任何费用。同时，除非合同条款中另有规定，否则，投标单位所报价格在合同实施期间不因市场变化因素而变动。</w:t>
            </w:r>
          </w:p>
        </w:tc>
      </w:tr>
      <w:tr w14:paraId="568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7A197009">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售后服务要求</w:t>
            </w:r>
          </w:p>
        </w:tc>
        <w:tc>
          <w:tcPr>
            <w:tcW w:w="8212" w:type="dxa"/>
            <w:gridSpan w:val="4"/>
            <w:noWrap w:val="0"/>
            <w:vAlign w:val="center"/>
          </w:tcPr>
          <w:p w14:paraId="5D78CE61">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1）产品保质、保修责任：产品质保期内，货物在正常使用情况下出现质量问题（非人为损坏）免费修理维护，免费更换零部件；如在使用过程中发生故障问题（除不可抗拒因素以及由采购人原因造成故障外），中标人在接到采购人通知后10分钟内响应，一般故障修复时间不超过1小时。重大故障12小时内解决，并提交故障报告说明。中标人承担设备故障处理产生的所有费用。因所供货物质量问题导致安全事故的，采购人有权终止合同，损失由中标人负全部责任。</w:t>
            </w:r>
          </w:p>
          <w:p w14:paraId="460A5E68">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（2）中标人须提供完整的设备安装、调试、操作、使用、控制和维护手册等详细技术资料及图纸。</w:t>
            </w:r>
          </w:p>
          <w:p w14:paraId="2C1870ED">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（3）技术支持：提供7×24小时技术支持；且对采购人在日后的维护或网络扩展应用中，给予及时的支持。</w:t>
            </w:r>
          </w:p>
          <w:p w14:paraId="280BC698">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（4）售后服务承诺书应包含：保修期限、接质量问题通知达到现场时间、保修期内和保修期外保修维修养护具体措施、安全保障措施、售后服务机构等方面内容。</w:t>
            </w:r>
          </w:p>
          <w:p w14:paraId="607AB5FD">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（5）产品质保期满后零配件若损坏，提供零配件优惠服务方案。</w:t>
            </w:r>
          </w:p>
          <w:p w14:paraId="2B4ED5C9">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（6）免费对设备使用人员进行集中培训。确保参与培训人员能够熟练掌握硬件设备使用与维护等。</w:t>
            </w:r>
          </w:p>
          <w:p w14:paraId="2A1F309D">
            <w:pPr>
              <w:pStyle w:val="8"/>
              <w:widowControl/>
              <w:snapToGrid w:val="0"/>
              <w:spacing w:line="440" w:lineRule="exact"/>
              <w:ind w:firstLine="638" w:firstLineChars="266"/>
              <w:rPr>
                <w:rFonts w:hint="eastAsia" w:ascii="宋体" w:hAnsi="宋体" w:cs="宋体"/>
                <w:color w:val="auto"/>
                <w:sz w:val="24"/>
                <w:szCs w:val="24"/>
                <w:highlight w:val="none"/>
              </w:rPr>
            </w:pPr>
            <w:r>
              <w:rPr>
                <w:rFonts w:hint="eastAsia" w:ascii="宋体" w:hAnsi="宋体" w:cs="宋体"/>
                <w:color w:val="auto"/>
                <w:sz w:val="24"/>
                <w:szCs w:val="24"/>
                <w:highlight w:val="none"/>
              </w:rPr>
              <w:t>（7）质保期内，中标人负责对产品进行免费定期巡检、维护保养，每年至少2次，保修期外也应提供定期巡检、维护保养服务；</w:t>
            </w:r>
          </w:p>
        </w:tc>
      </w:tr>
      <w:tr w14:paraId="203E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E723BBE">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交货时间及地点</w:t>
            </w:r>
          </w:p>
        </w:tc>
        <w:tc>
          <w:tcPr>
            <w:tcW w:w="8212" w:type="dxa"/>
            <w:gridSpan w:val="4"/>
            <w:noWrap w:val="0"/>
            <w:vAlign w:val="center"/>
          </w:tcPr>
          <w:p w14:paraId="69CA00CF">
            <w:pPr>
              <w:pStyle w:val="13"/>
              <w:widowControl/>
              <w:snapToGrid w:val="0"/>
              <w:spacing w:line="440" w:lineRule="exact"/>
              <w:ind w:firstLine="420" w:firstLineChars="175"/>
              <w:outlineLvl w:val="0"/>
              <w:rPr>
                <w:rFonts w:hint="eastAsia" w:hAnsi="宋体" w:cs="宋体"/>
                <w:color w:val="auto"/>
                <w:sz w:val="24"/>
                <w:szCs w:val="24"/>
                <w:highlight w:val="none"/>
              </w:rPr>
            </w:pPr>
            <w:r>
              <w:rPr>
                <w:rFonts w:hint="eastAsia" w:hAnsi="宋体" w:cs="宋体"/>
                <w:color w:val="auto"/>
                <w:sz w:val="24"/>
                <w:szCs w:val="24"/>
                <w:highlight w:val="none"/>
              </w:rPr>
              <w:t>（1）交货时间：</w:t>
            </w:r>
            <w:r>
              <w:rPr>
                <w:rFonts w:hint="eastAsia" w:hAnsi="宋体" w:cs="宋体"/>
                <w:color w:val="auto"/>
                <w:sz w:val="24"/>
                <w:szCs w:val="24"/>
                <w:highlight w:val="none"/>
                <w:u w:val="single"/>
              </w:rPr>
              <w:t>签订合同之日起25日内交货安装调试完毕，通过验收并交付使用。</w:t>
            </w:r>
          </w:p>
          <w:p w14:paraId="4429DF17">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（2）交货地点：</w:t>
            </w:r>
            <w:r>
              <w:rPr>
                <w:rFonts w:hint="eastAsia" w:ascii="宋体" w:hAnsi="宋体" w:cs="宋体"/>
                <w:color w:val="auto"/>
                <w:kern w:val="0"/>
                <w:sz w:val="24"/>
                <w:szCs w:val="24"/>
                <w:highlight w:val="none"/>
                <w:u w:val="single"/>
              </w:rPr>
              <w:t>广西柳州市鹿寨县采购单位指定地点</w:t>
            </w:r>
            <w:r>
              <w:rPr>
                <w:rFonts w:hint="eastAsia" w:ascii="宋体" w:hAnsi="宋体" w:cs="宋体"/>
                <w:color w:val="auto"/>
                <w:kern w:val="0"/>
                <w:sz w:val="24"/>
                <w:szCs w:val="24"/>
                <w:highlight w:val="none"/>
              </w:rPr>
              <w:t>。</w:t>
            </w:r>
          </w:p>
        </w:tc>
      </w:tr>
      <w:tr w14:paraId="13F0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5D6D1725">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8212" w:type="dxa"/>
            <w:gridSpan w:val="4"/>
            <w:noWrap w:val="0"/>
            <w:vAlign w:val="center"/>
          </w:tcPr>
          <w:p w14:paraId="102AF78E">
            <w:pPr>
              <w:snapToGrid w:val="0"/>
              <w:spacing w:line="44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本项目无预付款，合同签订货物到达指定地点安装调试完成并验收后30个工作日内支付（或办理支付）合同款的100%。</w:t>
            </w:r>
          </w:p>
        </w:tc>
      </w:tr>
      <w:tr w14:paraId="5526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19676A1D">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验收条件及标准</w:t>
            </w:r>
          </w:p>
        </w:tc>
        <w:tc>
          <w:tcPr>
            <w:tcW w:w="8212" w:type="dxa"/>
            <w:gridSpan w:val="4"/>
            <w:noWrap w:val="0"/>
            <w:vAlign w:val="center"/>
          </w:tcPr>
          <w:p w14:paraId="02B83F6C">
            <w:pPr>
              <w:tabs>
                <w:tab w:val="left" w:pos="0"/>
                <w:tab w:val="left" w:pos="1620"/>
              </w:tabs>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交付验收时，采购人根据《广西壮族自治区政府采购项目履约验收管理办法》及国家有关强制性标准的规定，由采购人及中标供应商等共同进行验收，采购人可委托采购代理机构、国家认可的质量检测机构开展采购项目履约验收工作；</w:t>
            </w:r>
          </w:p>
          <w:p w14:paraId="333C4B97">
            <w:pPr>
              <w:tabs>
                <w:tab w:val="left" w:pos="0"/>
                <w:tab w:val="left" w:pos="1620"/>
              </w:tabs>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rPr>
              <w:t>人</w:t>
            </w:r>
            <w:r>
              <w:rPr>
                <w:rFonts w:hint="eastAsia" w:ascii="宋体" w:hAnsi="宋体" w:cs="宋体"/>
                <w:color w:val="auto"/>
                <w:sz w:val="24"/>
                <w:szCs w:val="24"/>
                <w:highlight w:val="none"/>
              </w:rPr>
              <w:t>提供的所有货物必须是具备厂家合法渠道的全新正品，合同签订时若采购方对所供产品有疑问的，则有权要求</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rPr>
              <w:t>人</w:t>
            </w:r>
            <w:r>
              <w:rPr>
                <w:rFonts w:hint="eastAsia" w:ascii="宋体" w:hAnsi="宋体" w:cs="宋体"/>
                <w:color w:val="auto"/>
                <w:sz w:val="24"/>
                <w:szCs w:val="24"/>
                <w:highlight w:val="none"/>
              </w:rPr>
              <w:t>提供制造商针对本项目投标产品的参数真实性证明材料、授权书原件、供货证明函及售后服务承诺函，以上材料不全者，视为产品验收不合格，采购单位有权不予验收。</w:t>
            </w:r>
          </w:p>
          <w:p w14:paraId="525F3CC2">
            <w:pPr>
              <w:widowControl/>
              <w:snapToGrid w:val="0"/>
              <w:spacing w:line="42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3.验收合格的，由采购人及</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rPr>
              <w:t>人</w:t>
            </w:r>
            <w:r>
              <w:rPr>
                <w:rFonts w:hint="eastAsia" w:ascii="宋体" w:hAnsi="宋体" w:cs="宋体"/>
                <w:color w:val="auto"/>
                <w:sz w:val="24"/>
                <w:szCs w:val="24"/>
                <w:highlight w:val="none"/>
              </w:rPr>
              <w:t>在服务开通确认书确认，视为验收通过，对不符合要求的，采购人有权拒绝验收，由此产生的一切后果，均由</w:t>
            </w:r>
            <w:r>
              <w:rPr>
                <w:rFonts w:hint="eastAsia" w:ascii="宋体" w:hAnsi="宋体" w:cs="宋体"/>
                <w:bCs/>
                <w:color w:val="auto"/>
                <w:sz w:val="24"/>
                <w:szCs w:val="24"/>
                <w:highlight w:val="none"/>
                <w:lang w:eastAsia="zh-CN"/>
              </w:rPr>
              <w:t>中标</w:t>
            </w:r>
            <w:r>
              <w:rPr>
                <w:rFonts w:hint="eastAsia" w:ascii="宋体" w:hAnsi="宋体" w:cs="宋体"/>
                <w:bCs/>
                <w:color w:val="auto"/>
                <w:sz w:val="24"/>
                <w:szCs w:val="24"/>
                <w:highlight w:val="none"/>
              </w:rPr>
              <w:t>人</w:t>
            </w:r>
            <w:r>
              <w:rPr>
                <w:rFonts w:hint="eastAsia" w:ascii="宋体" w:hAnsi="宋体" w:cs="宋体"/>
                <w:color w:val="auto"/>
                <w:sz w:val="24"/>
                <w:szCs w:val="24"/>
                <w:highlight w:val="none"/>
              </w:rPr>
              <w:t>承担。由此造成的不能按时、按质、按量完成项目要求的，将按照政府采购相关法规、合同相关条款进行处理。</w:t>
            </w:r>
          </w:p>
        </w:tc>
      </w:tr>
      <w:tr w14:paraId="2AC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05B67236">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验收方法及方案</w:t>
            </w:r>
          </w:p>
        </w:tc>
        <w:tc>
          <w:tcPr>
            <w:tcW w:w="8212" w:type="dxa"/>
            <w:gridSpan w:val="4"/>
            <w:noWrap w:val="0"/>
            <w:vAlign w:val="center"/>
          </w:tcPr>
          <w:p w14:paraId="77FE6B94">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1.验收小组的组成：</w:t>
            </w:r>
            <w:r>
              <w:rPr>
                <w:rFonts w:hint="eastAsia" w:ascii="宋体" w:hAnsi="宋体" w:cs="宋体"/>
                <w:color w:val="auto"/>
                <w:sz w:val="24"/>
                <w:szCs w:val="24"/>
                <w:highlight w:val="none"/>
              </w:rPr>
              <w:t>本项目验收小组由采购人组织成立。验收小组成员组成由熟悉掌握该项目采购的技术人员（专家）、采购人相关管理人员、使用部门或单位专业人员、采购人采购项目的有关人员或受托采购的代理机构人员组成，明确验收小组的负责人，负责组织整个采购项目的验收工作。</w:t>
            </w:r>
          </w:p>
          <w:p w14:paraId="1F469FE1">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2.验收费用：</w:t>
            </w:r>
            <w:r>
              <w:rPr>
                <w:rFonts w:hint="eastAsia" w:ascii="宋体" w:hAnsi="宋体" w:cs="宋体"/>
                <w:color w:val="auto"/>
                <w:sz w:val="24"/>
                <w:szCs w:val="24"/>
                <w:highlight w:val="none"/>
              </w:rPr>
              <w:t>验收小组成员所产生的的劳务费、检验费及相关发生的费用均由中标人承担。</w:t>
            </w:r>
          </w:p>
          <w:p w14:paraId="56B43961">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3.验收方式：</w:t>
            </w:r>
            <w:r>
              <w:rPr>
                <w:rFonts w:hint="eastAsia" w:ascii="宋体" w:hAnsi="宋体" w:cs="宋体"/>
                <w:color w:val="auto"/>
                <w:sz w:val="24"/>
                <w:szCs w:val="24"/>
                <w:highlight w:val="none"/>
              </w:rPr>
              <w:t>提供货品清单。表样内容包括：项目名称、实施年月、所有设备的名称、品牌和型号、各设备厂家售后服务电话、</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售后服务联系方式、监督（采购人）电话等内容。</w:t>
            </w:r>
          </w:p>
          <w:p w14:paraId="4018FD1A">
            <w:pPr>
              <w:widowControl/>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在供货前，</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须向验收小组提前提交【验收申请报告】，由验收小组安排验收时间，验收小组到指定供货地点进行验收。必要时采购单位也可根据需要，将产品送检测机构检验，切实保证产品符合国家现行有关部门标准及采购文件对项目的技术规定要求和供应商的响应承诺等情况以及合同明确约定的要求，送检费用由</w:t>
            </w:r>
            <w:r>
              <w:rPr>
                <w:rFonts w:hint="eastAsia" w:ascii="宋体" w:hAnsi="宋体" w:cs="宋体"/>
                <w:bCs/>
                <w:color w:val="auto"/>
                <w:sz w:val="24"/>
                <w:szCs w:val="24"/>
                <w:highlight w:val="none"/>
                <w:lang w:eastAsia="zh-CN"/>
              </w:rPr>
              <w:t>中标人</w:t>
            </w:r>
            <w:r>
              <w:rPr>
                <w:rFonts w:hint="eastAsia" w:ascii="宋体" w:hAnsi="宋体" w:cs="宋体"/>
                <w:color w:val="auto"/>
                <w:sz w:val="24"/>
                <w:szCs w:val="24"/>
                <w:highlight w:val="none"/>
              </w:rPr>
              <w:t>承担。</w:t>
            </w:r>
          </w:p>
          <w:p w14:paraId="5C8A5FCB">
            <w:pPr>
              <w:widowControl/>
              <w:snapToGrid w:val="0"/>
              <w:spacing w:line="42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4.验收公告：</w:t>
            </w:r>
            <w:r>
              <w:rPr>
                <w:rFonts w:hint="eastAsia" w:ascii="宋体" w:hAnsi="宋体" w:cs="宋体"/>
                <w:color w:val="auto"/>
                <w:sz w:val="24"/>
                <w:szCs w:val="24"/>
                <w:highlight w:val="none"/>
              </w:rPr>
              <w:t>所有货物全部验收合格后，验收小组出具验收书。同时采购人将验收结果在广西政府采购云平台进行公告。</w:t>
            </w:r>
          </w:p>
          <w:p w14:paraId="3F925465">
            <w:pPr>
              <w:widowControl/>
              <w:snapToGrid w:val="0"/>
              <w:spacing w:line="42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5.保密要求：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在项目实施过程中，需要了解或知悉采购人的相关业务信息，为确保采购人业务信息的安全，</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必须对本项目所有项目信息予以保密，未经采购单位书面许可，</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不得以任何形式向第三方透露本项目的任何内容，并与采购人签订相关的《保密协议书》。</w:t>
            </w:r>
          </w:p>
          <w:p w14:paraId="24D24559">
            <w:pPr>
              <w:widowControl/>
              <w:snapToGrid w:val="0"/>
              <w:spacing w:line="420" w:lineRule="exact"/>
              <w:ind w:firstLine="422" w:firstLineChars="175"/>
              <w:rPr>
                <w:rFonts w:hint="eastAsia" w:ascii="宋体" w:hAnsi="宋体" w:cs="宋体"/>
                <w:bCs/>
                <w:color w:val="auto"/>
                <w:sz w:val="24"/>
                <w:szCs w:val="24"/>
                <w:highlight w:val="none"/>
              </w:rPr>
            </w:pPr>
            <w:r>
              <w:rPr>
                <w:rFonts w:hint="eastAsia" w:ascii="宋体" w:hAnsi="宋体" w:cs="宋体"/>
                <w:b/>
                <w:color w:val="auto"/>
                <w:sz w:val="24"/>
                <w:szCs w:val="24"/>
                <w:highlight w:val="none"/>
              </w:rPr>
              <w:t>6.其他服务要求：</w:t>
            </w:r>
            <w:r>
              <w:rPr>
                <w:rFonts w:hint="eastAsia" w:ascii="宋体" w:hAnsi="宋体" w:cs="宋体"/>
                <w:bCs/>
                <w:color w:val="auto"/>
                <w:sz w:val="24"/>
                <w:szCs w:val="24"/>
                <w:highlight w:val="none"/>
                <w:lang w:eastAsia="zh-CN"/>
              </w:rPr>
              <w:t>中标人</w:t>
            </w:r>
            <w:r>
              <w:rPr>
                <w:rFonts w:hint="eastAsia" w:ascii="宋体" w:hAnsi="宋体" w:cs="宋体"/>
                <w:bCs/>
                <w:color w:val="auto"/>
                <w:sz w:val="24"/>
                <w:szCs w:val="24"/>
                <w:highlight w:val="none"/>
              </w:rPr>
              <w:t>在项目实施撤场前，供应商负责设备的完好性。由双方共同确定所有设备可以正常稳定运行时，方可进行交付。</w:t>
            </w:r>
          </w:p>
          <w:p w14:paraId="5567B453">
            <w:pPr>
              <w:widowControl/>
              <w:snapToGrid w:val="0"/>
              <w:spacing w:line="420" w:lineRule="exact"/>
              <w:ind w:firstLine="422" w:firstLineChars="175"/>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rPr>
              <w:t>7.</w:t>
            </w:r>
            <w:r>
              <w:rPr>
                <w:rFonts w:hint="eastAsia" w:ascii="宋体" w:hAnsi="宋体" w:cs="宋体"/>
                <w:bCs/>
                <w:color w:val="auto"/>
                <w:kern w:val="0"/>
                <w:sz w:val="24"/>
                <w:szCs w:val="24"/>
                <w:highlight w:val="none"/>
              </w:rPr>
              <w:t>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14:paraId="258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gridSpan w:val="2"/>
            <w:noWrap w:val="0"/>
            <w:vAlign w:val="center"/>
          </w:tcPr>
          <w:p w14:paraId="4B8F5F91">
            <w:pPr>
              <w:widowControl/>
              <w:snapToGrid w:val="0"/>
              <w:spacing w:line="440" w:lineRule="exac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其他要求</w:t>
            </w:r>
          </w:p>
        </w:tc>
        <w:tc>
          <w:tcPr>
            <w:tcW w:w="8212" w:type="dxa"/>
            <w:gridSpan w:val="4"/>
            <w:noWrap w:val="0"/>
            <w:vAlign w:val="center"/>
          </w:tcPr>
          <w:p w14:paraId="454A9857">
            <w:pPr>
              <w:pStyle w:val="12"/>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竞标人所投竞标货物的技术参数、配置和性能指标必须真实有效。如遇成交结果公示期间有质疑情形或采购人对成交供应商所投竞标货物存在异议的，采购人有权要求成交供应商在正式供货前提供所投竞标货物的实物样品及检测报告原件进行核实，如发现检测报告不一致或提供的实物样品无法达到其响应文件承诺的技术参数要求的，视为提供虚假材料谋取中标，采购人将上报财政监督主管部门，对其按政府采购相关法规处罚，并追究相应的法律责任。</w:t>
            </w:r>
          </w:p>
          <w:p w14:paraId="22AF03E9">
            <w:pPr>
              <w:pStyle w:val="12"/>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2.为了保障项目完整性，竞标人可选择自行踏勘，并自行承担现场考察的责任和风险、考察及现场设备测试的所有费用。</w:t>
            </w:r>
          </w:p>
          <w:p w14:paraId="2E2346D3">
            <w:pPr>
              <w:pStyle w:val="12"/>
              <w:widowControl/>
              <w:autoSpaceDE/>
              <w:autoSpaceDN/>
              <w:adjustRightInd/>
              <w:snapToGrid w:val="0"/>
              <w:spacing w:line="420" w:lineRule="exact"/>
              <w:ind w:firstLine="420" w:firstLineChars="17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3.“采购清单及技术参数”表中的核心产品为</w:t>
            </w:r>
            <w:r>
              <w:rPr>
                <w:rFonts w:hint="eastAsia" w:ascii="宋体" w:hAnsi="宋体" w:eastAsia="宋体" w:cs="宋体"/>
                <w:b/>
                <w:bCs/>
                <w:color w:val="auto"/>
                <w:kern w:val="2"/>
                <w:sz w:val="24"/>
                <w:szCs w:val="24"/>
                <w:highlight w:val="none"/>
                <w:u w:val="single"/>
              </w:rPr>
              <w:t>“交互智能平板”</w:t>
            </w:r>
            <w:r>
              <w:rPr>
                <w:rFonts w:hint="eastAsia" w:ascii="宋体" w:hAnsi="宋体" w:eastAsia="宋体" w:cs="宋体"/>
                <w:color w:val="auto"/>
                <w:kern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竞标人获得</w:t>
            </w:r>
            <w:r>
              <w:rPr>
                <w:rFonts w:hint="eastAsia" w:ascii="宋体" w:hAnsi="宋体" w:eastAsia="宋体" w:cs="宋体"/>
                <w:color w:val="auto"/>
                <w:kern w:val="2"/>
                <w:sz w:val="24"/>
                <w:szCs w:val="24"/>
                <w:highlight w:val="none"/>
                <w:lang w:eastAsia="zh-CN"/>
              </w:rPr>
              <w:t>中标人</w:t>
            </w:r>
            <w:r>
              <w:rPr>
                <w:rFonts w:hint="eastAsia" w:ascii="宋体" w:hAnsi="宋体" w:eastAsia="宋体" w:cs="宋体"/>
                <w:color w:val="auto"/>
                <w:kern w:val="2"/>
                <w:sz w:val="24"/>
                <w:szCs w:val="24"/>
                <w:highlight w:val="none"/>
              </w:rPr>
              <w:t>推荐资格，招标文件未规定的采取随机抽取方式确定，其他同品牌竞标人不作为成交候选人。</w:t>
            </w:r>
          </w:p>
          <w:p w14:paraId="2A25694C">
            <w:pPr>
              <w:widowControl/>
              <w:snapToGrid w:val="0"/>
              <w:spacing w:line="44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4.本项目货物所涉及的货物不接受进口产品（即通过中国海关报关验放进入中国境内且产自关境外的产品）参与投标，如有进口产品参与竞标的作无效竞标处理。</w:t>
            </w:r>
          </w:p>
        </w:tc>
      </w:tr>
    </w:tbl>
    <w:p w14:paraId="549A5E66">
      <w:pPr>
        <w:pStyle w:val="8"/>
        <w:ind w:firstLine="0"/>
        <w:rPr>
          <w:rFonts w:hint="eastAsia" w:ascii="宋体" w:hAnsi="宋体" w:cs="宋体"/>
          <w:b/>
          <w:color w:val="auto"/>
          <w:kern w:val="0"/>
          <w:sz w:val="28"/>
          <w:szCs w:val="28"/>
          <w:highlight w:val="none"/>
        </w:rPr>
      </w:pPr>
    </w:p>
    <w:p w14:paraId="7092135B">
      <w:pPr>
        <w:tabs>
          <w:tab w:val="center" w:pos="4410"/>
          <w:tab w:val="left" w:pos="6735"/>
        </w:tabs>
        <w:spacing w:line="360" w:lineRule="auto"/>
        <w:outlineLvl w:val="0"/>
        <w:rPr>
          <w:rFonts w:hint="eastAsia" w:ascii="宋体" w:hAnsi="宋体" w:cs="宋体"/>
          <w:b/>
          <w:bCs/>
          <w:color w:val="auto"/>
          <w:kern w:val="44"/>
          <w:sz w:val="24"/>
          <w:highlight w:val="none"/>
        </w:rPr>
      </w:pPr>
      <w:bookmarkStart w:id="6" w:name="_Toc28281"/>
      <w:bookmarkStart w:id="7" w:name="_Toc28382"/>
      <w:bookmarkStart w:id="8" w:name="_Toc26625"/>
      <w:bookmarkStart w:id="9" w:name="_Toc23322"/>
      <w:bookmarkStart w:id="10" w:name="_Toc3993"/>
      <w:bookmarkStart w:id="11" w:name="_Toc19171"/>
      <w:bookmarkStart w:id="12" w:name="_Toc13210"/>
      <w:bookmarkStart w:id="13" w:name="_Toc6198"/>
      <w:bookmarkStart w:id="14" w:name="_Toc19571"/>
      <w:bookmarkStart w:id="15" w:name="_Toc7510"/>
      <w:bookmarkStart w:id="16" w:name="_Toc11152"/>
      <w:bookmarkStart w:id="17" w:name="_Toc4770"/>
      <w:bookmarkStart w:id="18" w:name="_Toc7360"/>
      <w:r>
        <w:rPr>
          <w:rFonts w:hint="eastAsia" w:ascii="宋体" w:hAnsi="宋体" w:cs="宋体"/>
          <w:b/>
          <w:bCs/>
          <w:color w:val="auto"/>
          <w:kern w:val="44"/>
          <w:sz w:val="24"/>
          <w:highlight w:val="none"/>
        </w:rPr>
        <w:br w:type="page"/>
      </w:r>
      <w:r>
        <w:rPr>
          <w:rFonts w:hint="eastAsia" w:ascii="宋体" w:hAnsi="宋体" w:cs="宋体"/>
          <w:b/>
          <w:bCs/>
          <w:color w:val="auto"/>
          <w:kern w:val="44"/>
          <w:sz w:val="24"/>
          <w:highlight w:val="none"/>
        </w:rPr>
        <w:t>附件：</w:t>
      </w:r>
      <w:bookmarkEnd w:id="6"/>
      <w:bookmarkEnd w:id="7"/>
      <w:bookmarkEnd w:id="8"/>
      <w:bookmarkEnd w:id="9"/>
      <w:bookmarkEnd w:id="10"/>
      <w:bookmarkEnd w:id="11"/>
      <w:bookmarkEnd w:id="12"/>
      <w:bookmarkEnd w:id="13"/>
      <w:bookmarkEnd w:id="14"/>
      <w:bookmarkEnd w:id="15"/>
      <w:bookmarkEnd w:id="16"/>
      <w:bookmarkEnd w:id="17"/>
      <w:bookmarkEnd w:id="18"/>
    </w:p>
    <w:p w14:paraId="1BBC1D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政府采购活动中，投标人提供的货物、工程或者服务符合下列情形的，享受中小企业扶持政策： </w:t>
      </w:r>
    </w:p>
    <w:p w14:paraId="268050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1209BF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5E4A88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（三）在服务采购项目中，服务由中小企业承接，即提供服务的人员为中小企业依照《中华人民共和国民法典》订立劳动合同的从业人员。</w:t>
      </w:r>
    </w:p>
    <w:p w14:paraId="277EC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在货物采购项目中，投标人提供的货物既有中小企业制造货物，也有大型企业制造货物的，不享受本办法规定的中小企业扶持政策。</w:t>
      </w:r>
    </w:p>
    <w:p w14:paraId="4694CD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74BF1D1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01125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A00C6A9">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投标人应当按照《政府采购促进中小企业发展管理办法》规定和《统计上大中小微型企业划分办法（2017）》的划分标准，如实填写并提交《中小企业声明函》（声明函格式见第六章“投标文件格式”）</w:t>
      </w:r>
    </w:p>
    <w:p w14:paraId="6DC65698">
      <w:pPr>
        <w:widowControl/>
        <w:spacing w:after="120" w:afterLines="50" w:line="360" w:lineRule="auto"/>
        <w:jc w:val="center"/>
        <w:rPr>
          <w:rFonts w:hint="eastAsia" w:ascii="宋体" w:hAnsi="宋体" w:cs="宋体"/>
          <w:b/>
          <w:bCs/>
          <w:color w:val="auto"/>
          <w:kern w:val="0"/>
          <w:sz w:val="24"/>
          <w:highlight w:val="none"/>
        </w:rPr>
      </w:pPr>
    </w:p>
    <w:p w14:paraId="62729A0E">
      <w:pPr>
        <w:widowControl/>
        <w:spacing w:after="120" w:afterLines="50"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r>
        <w:rPr>
          <w:rFonts w:hint="eastAsia" w:ascii="宋体" w:hAnsi="宋体" w:cs="宋体"/>
          <w:b/>
          <w:bCs/>
          <w:color w:val="auto"/>
          <w:kern w:val="0"/>
          <w:sz w:val="24"/>
          <w:highlight w:val="none"/>
        </w:rPr>
        <w:t>统计上大中小微型企业划分标准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08"/>
        <w:gridCol w:w="711"/>
        <w:gridCol w:w="1129"/>
        <w:gridCol w:w="1706"/>
        <w:gridCol w:w="1431"/>
        <w:gridCol w:w="995"/>
      </w:tblGrid>
      <w:tr w14:paraId="6C7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5" w:type="dxa"/>
            <w:noWrap w:val="0"/>
            <w:vAlign w:val="center"/>
          </w:tcPr>
          <w:p w14:paraId="5ABA485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行业名称</w:t>
            </w:r>
          </w:p>
        </w:tc>
        <w:tc>
          <w:tcPr>
            <w:tcW w:w="1508" w:type="dxa"/>
            <w:noWrap w:val="0"/>
            <w:vAlign w:val="center"/>
          </w:tcPr>
          <w:p w14:paraId="4273E32C">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指标名称</w:t>
            </w:r>
          </w:p>
        </w:tc>
        <w:tc>
          <w:tcPr>
            <w:tcW w:w="711" w:type="dxa"/>
            <w:noWrap w:val="0"/>
            <w:vAlign w:val="center"/>
          </w:tcPr>
          <w:p w14:paraId="6F332541">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计量</w:t>
            </w:r>
          </w:p>
          <w:p w14:paraId="72AF1514">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单位</w:t>
            </w:r>
          </w:p>
        </w:tc>
        <w:tc>
          <w:tcPr>
            <w:tcW w:w="1129" w:type="dxa"/>
            <w:noWrap w:val="0"/>
            <w:vAlign w:val="center"/>
          </w:tcPr>
          <w:p w14:paraId="08F10E1E">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大型</w:t>
            </w:r>
          </w:p>
        </w:tc>
        <w:tc>
          <w:tcPr>
            <w:tcW w:w="1706" w:type="dxa"/>
            <w:noWrap w:val="0"/>
            <w:vAlign w:val="center"/>
          </w:tcPr>
          <w:p w14:paraId="4FE52840">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中型</w:t>
            </w:r>
          </w:p>
        </w:tc>
        <w:tc>
          <w:tcPr>
            <w:tcW w:w="1431" w:type="dxa"/>
            <w:noWrap w:val="0"/>
            <w:vAlign w:val="center"/>
          </w:tcPr>
          <w:p w14:paraId="440E8E7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小型</w:t>
            </w:r>
          </w:p>
        </w:tc>
        <w:tc>
          <w:tcPr>
            <w:tcW w:w="995" w:type="dxa"/>
            <w:noWrap w:val="0"/>
            <w:vAlign w:val="center"/>
          </w:tcPr>
          <w:p w14:paraId="429BAFE8">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微型</w:t>
            </w:r>
          </w:p>
        </w:tc>
      </w:tr>
      <w:tr w14:paraId="4497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31480C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农、林、牧、渔业</w:t>
            </w:r>
          </w:p>
        </w:tc>
        <w:tc>
          <w:tcPr>
            <w:tcW w:w="1508" w:type="dxa"/>
            <w:noWrap w:val="0"/>
            <w:vAlign w:val="center"/>
          </w:tcPr>
          <w:p w14:paraId="342D518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096C7BB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08A025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45F7FF2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01E5D9E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50≤Y＜500</w:t>
            </w:r>
          </w:p>
        </w:tc>
        <w:tc>
          <w:tcPr>
            <w:tcW w:w="995" w:type="dxa"/>
            <w:noWrap w:val="0"/>
            <w:vAlign w:val="center"/>
          </w:tcPr>
          <w:p w14:paraId="78663B8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3D6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4ED1DF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工业 *</w:t>
            </w:r>
          </w:p>
        </w:tc>
        <w:tc>
          <w:tcPr>
            <w:tcW w:w="1508" w:type="dxa"/>
            <w:noWrap w:val="0"/>
            <w:vAlign w:val="center"/>
          </w:tcPr>
          <w:p w14:paraId="1DF4F6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A4D12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6F99DA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4F547D8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05F2BD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15FB98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223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85" w:type="dxa"/>
            <w:vMerge w:val="continue"/>
            <w:noWrap w:val="0"/>
            <w:vAlign w:val="center"/>
          </w:tcPr>
          <w:p w14:paraId="5F790A84">
            <w:pPr>
              <w:widowControl/>
              <w:jc w:val="left"/>
              <w:rPr>
                <w:rFonts w:hint="eastAsia" w:ascii="宋体" w:hAnsi="宋体" w:cs="宋体"/>
                <w:color w:val="auto"/>
                <w:kern w:val="0"/>
                <w:sz w:val="22"/>
                <w:szCs w:val="22"/>
                <w:highlight w:val="none"/>
              </w:rPr>
            </w:pPr>
          </w:p>
        </w:tc>
        <w:tc>
          <w:tcPr>
            <w:tcW w:w="1508" w:type="dxa"/>
            <w:noWrap w:val="0"/>
            <w:vAlign w:val="center"/>
          </w:tcPr>
          <w:p w14:paraId="12F96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08406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356B3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6AB8B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2000≤Y＜40000</w:t>
            </w:r>
          </w:p>
        </w:tc>
        <w:tc>
          <w:tcPr>
            <w:tcW w:w="1431" w:type="dxa"/>
            <w:noWrap w:val="0"/>
            <w:vAlign w:val="center"/>
          </w:tcPr>
          <w:p w14:paraId="38C1A58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300≤Y＜2000</w:t>
            </w:r>
          </w:p>
        </w:tc>
        <w:tc>
          <w:tcPr>
            <w:tcW w:w="995" w:type="dxa"/>
            <w:noWrap w:val="0"/>
            <w:vAlign w:val="center"/>
          </w:tcPr>
          <w:p w14:paraId="227F7C1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72CE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85" w:type="dxa"/>
            <w:vMerge w:val="restart"/>
            <w:noWrap w:val="0"/>
            <w:vAlign w:val="center"/>
          </w:tcPr>
          <w:p w14:paraId="02ABF08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建筑业</w:t>
            </w:r>
          </w:p>
        </w:tc>
        <w:tc>
          <w:tcPr>
            <w:tcW w:w="1508" w:type="dxa"/>
            <w:noWrap w:val="0"/>
            <w:vAlign w:val="center"/>
          </w:tcPr>
          <w:p w14:paraId="435BC44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2C514E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82E326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Y≥80000</w:t>
            </w:r>
          </w:p>
        </w:tc>
        <w:tc>
          <w:tcPr>
            <w:tcW w:w="1706" w:type="dxa"/>
            <w:noWrap w:val="0"/>
            <w:vAlign w:val="center"/>
          </w:tcPr>
          <w:p w14:paraId="45936AF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6000≤Y＜80000</w:t>
            </w:r>
          </w:p>
        </w:tc>
        <w:tc>
          <w:tcPr>
            <w:tcW w:w="1431" w:type="dxa"/>
            <w:noWrap w:val="0"/>
            <w:vAlign w:val="center"/>
          </w:tcPr>
          <w:p w14:paraId="5746D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300≤Y＜6000</w:t>
            </w:r>
          </w:p>
        </w:tc>
        <w:tc>
          <w:tcPr>
            <w:tcW w:w="995" w:type="dxa"/>
            <w:noWrap w:val="0"/>
            <w:vAlign w:val="center"/>
          </w:tcPr>
          <w:p w14:paraId="164B9A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w:t>
            </w:r>
          </w:p>
        </w:tc>
      </w:tr>
      <w:tr w14:paraId="019F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85" w:type="dxa"/>
            <w:vMerge w:val="continue"/>
            <w:noWrap w:val="0"/>
            <w:vAlign w:val="center"/>
          </w:tcPr>
          <w:p w14:paraId="113ED18A">
            <w:pPr>
              <w:widowControl/>
              <w:jc w:val="left"/>
              <w:rPr>
                <w:rFonts w:hint="eastAsia" w:ascii="宋体" w:hAnsi="宋体" w:cs="宋体"/>
                <w:color w:val="auto"/>
                <w:kern w:val="0"/>
                <w:sz w:val="22"/>
                <w:szCs w:val="22"/>
                <w:highlight w:val="none"/>
              </w:rPr>
            </w:pPr>
          </w:p>
        </w:tc>
        <w:tc>
          <w:tcPr>
            <w:tcW w:w="1508" w:type="dxa"/>
            <w:noWrap w:val="0"/>
            <w:vAlign w:val="center"/>
          </w:tcPr>
          <w:p w14:paraId="210F5B7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1EBB67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26EE0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Z≥80000</w:t>
            </w:r>
          </w:p>
        </w:tc>
        <w:tc>
          <w:tcPr>
            <w:tcW w:w="1706" w:type="dxa"/>
            <w:noWrap w:val="0"/>
            <w:vAlign w:val="center"/>
          </w:tcPr>
          <w:p w14:paraId="3AA12E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5000≤Z＜80000</w:t>
            </w:r>
          </w:p>
        </w:tc>
        <w:tc>
          <w:tcPr>
            <w:tcW w:w="1431" w:type="dxa"/>
            <w:noWrap w:val="0"/>
            <w:vAlign w:val="center"/>
          </w:tcPr>
          <w:p w14:paraId="6158FB0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300≤Z＜5000</w:t>
            </w:r>
          </w:p>
        </w:tc>
        <w:tc>
          <w:tcPr>
            <w:tcW w:w="995" w:type="dxa"/>
            <w:noWrap w:val="0"/>
            <w:vAlign w:val="center"/>
          </w:tcPr>
          <w:p w14:paraId="7A863D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Z＜300</w:t>
            </w:r>
          </w:p>
        </w:tc>
      </w:tr>
      <w:tr w14:paraId="645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F4D0E8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批发业</w:t>
            </w:r>
          </w:p>
        </w:tc>
        <w:tc>
          <w:tcPr>
            <w:tcW w:w="1508" w:type="dxa"/>
            <w:noWrap w:val="0"/>
            <w:vAlign w:val="center"/>
          </w:tcPr>
          <w:p w14:paraId="0E3C06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7A7266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348F7B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2D1D25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20≤X＜200</w:t>
            </w:r>
          </w:p>
        </w:tc>
        <w:tc>
          <w:tcPr>
            <w:tcW w:w="1431" w:type="dxa"/>
            <w:noWrap w:val="0"/>
            <w:vAlign w:val="center"/>
          </w:tcPr>
          <w:p w14:paraId="099228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5≤X＜20</w:t>
            </w:r>
          </w:p>
        </w:tc>
        <w:tc>
          <w:tcPr>
            <w:tcW w:w="995" w:type="dxa"/>
            <w:noWrap w:val="0"/>
            <w:vAlign w:val="center"/>
          </w:tcPr>
          <w:p w14:paraId="1004AE6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X＜5</w:t>
            </w:r>
          </w:p>
        </w:tc>
      </w:tr>
      <w:tr w14:paraId="25AC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vMerge w:val="continue"/>
            <w:noWrap w:val="0"/>
            <w:vAlign w:val="center"/>
          </w:tcPr>
          <w:p w14:paraId="2AAAFF66">
            <w:pPr>
              <w:widowControl/>
              <w:jc w:val="left"/>
              <w:rPr>
                <w:rFonts w:hint="eastAsia" w:ascii="宋体" w:hAnsi="宋体" w:cs="宋体"/>
                <w:color w:val="auto"/>
                <w:kern w:val="0"/>
                <w:sz w:val="22"/>
                <w:szCs w:val="22"/>
                <w:highlight w:val="none"/>
              </w:rPr>
            </w:pPr>
          </w:p>
        </w:tc>
        <w:tc>
          <w:tcPr>
            <w:tcW w:w="1508" w:type="dxa"/>
            <w:noWrap w:val="0"/>
            <w:vAlign w:val="center"/>
          </w:tcPr>
          <w:p w14:paraId="6CDFFFA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46B78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61083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Y≥40000</w:t>
            </w:r>
          </w:p>
        </w:tc>
        <w:tc>
          <w:tcPr>
            <w:tcW w:w="1706" w:type="dxa"/>
            <w:noWrap w:val="0"/>
            <w:vAlign w:val="center"/>
          </w:tcPr>
          <w:p w14:paraId="4C506E6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5000≤Y＜40000</w:t>
            </w:r>
          </w:p>
        </w:tc>
        <w:tc>
          <w:tcPr>
            <w:tcW w:w="1431" w:type="dxa"/>
            <w:noWrap w:val="0"/>
            <w:vAlign w:val="center"/>
          </w:tcPr>
          <w:p w14:paraId="2652BA9E">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1000≤Y＜5000</w:t>
            </w:r>
          </w:p>
        </w:tc>
        <w:tc>
          <w:tcPr>
            <w:tcW w:w="995" w:type="dxa"/>
            <w:noWrap w:val="0"/>
            <w:vAlign w:val="center"/>
          </w:tcPr>
          <w:p w14:paraId="371918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w:t>
            </w:r>
          </w:p>
        </w:tc>
      </w:tr>
      <w:tr w14:paraId="61CC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1EA470">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零售业</w:t>
            </w:r>
          </w:p>
        </w:tc>
        <w:tc>
          <w:tcPr>
            <w:tcW w:w="1508" w:type="dxa"/>
            <w:noWrap w:val="0"/>
            <w:vAlign w:val="center"/>
          </w:tcPr>
          <w:p w14:paraId="017B07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C9018F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B0AE2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7406FB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50≤X＜300</w:t>
            </w:r>
          </w:p>
        </w:tc>
        <w:tc>
          <w:tcPr>
            <w:tcW w:w="1431" w:type="dxa"/>
            <w:noWrap w:val="0"/>
            <w:vAlign w:val="center"/>
          </w:tcPr>
          <w:p w14:paraId="501620F1">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10≤X＜50 </w:t>
            </w:r>
          </w:p>
        </w:tc>
        <w:tc>
          <w:tcPr>
            <w:tcW w:w="995" w:type="dxa"/>
            <w:noWrap w:val="0"/>
            <w:vAlign w:val="center"/>
          </w:tcPr>
          <w:p w14:paraId="3E9788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6D7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continue"/>
            <w:noWrap w:val="0"/>
            <w:vAlign w:val="center"/>
          </w:tcPr>
          <w:p w14:paraId="01864651">
            <w:pPr>
              <w:widowControl/>
              <w:jc w:val="left"/>
              <w:rPr>
                <w:rFonts w:hint="eastAsia" w:ascii="宋体" w:hAnsi="宋体" w:cs="宋体"/>
                <w:color w:val="auto"/>
                <w:kern w:val="0"/>
                <w:sz w:val="22"/>
                <w:szCs w:val="22"/>
                <w:highlight w:val="none"/>
              </w:rPr>
            </w:pPr>
          </w:p>
        </w:tc>
        <w:tc>
          <w:tcPr>
            <w:tcW w:w="1508" w:type="dxa"/>
            <w:noWrap w:val="0"/>
            <w:vAlign w:val="center"/>
          </w:tcPr>
          <w:p w14:paraId="091FB6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702C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7B2174F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Y≥20000</w:t>
            </w:r>
          </w:p>
        </w:tc>
        <w:tc>
          <w:tcPr>
            <w:tcW w:w="1706" w:type="dxa"/>
            <w:noWrap w:val="0"/>
            <w:vAlign w:val="center"/>
          </w:tcPr>
          <w:p w14:paraId="1A2F14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500≤Y＜20000</w:t>
            </w:r>
          </w:p>
        </w:tc>
        <w:tc>
          <w:tcPr>
            <w:tcW w:w="1431" w:type="dxa"/>
            <w:noWrap w:val="0"/>
            <w:vAlign w:val="center"/>
          </w:tcPr>
          <w:p w14:paraId="31C8C059">
            <w:pPr>
              <w:widowControl/>
              <w:spacing w:line="360" w:lineRule="auto"/>
              <w:ind w:left="-1" w:leftChars="-1" w:hanging="1"/>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100≤Y＜500 </w:t>
            </w:r>
          </w:p>
        </w:tc>
        <w:tc>
          <w:tcPr>
            <w:tcW w:w="995" w:type="dxa"/>
            <w:noWrap w:val="0"/>
            <w:vAlign w:val="center"/>
          </w:tcPr>
          <w:p w14:paraId="6042C34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2748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28681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交通运输业 *</w:t>
            </w:r>
          </w:p>
        </w:tc>
        <w:tc>
          <w:tcPr>
            <w:tcW w:w="1508" w:type="dxa"/>
            <w:noWrap w:val="0"/>
            <w:vAlign w:val="center"/>
          </w:tcPr>
          <w:p w14:paraId="5F57D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A8BD23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1D721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B03BBB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605FD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2D6C0EC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776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85" w:type="dxa"/>
            <w:vMerge w:val="continue"/>
            <w:noWrap w:val="0"/>
            <w:vAlign w:val="center"/>
          </w:tcPr>
          <w:p w14:paraId="38FE9B3E">
            <w:pPr>
              <w:widowControl/>
              <w:jc w:val="left"/>
              <w:rPr>
                <w:rFonts w:hint="eastAsia" w:ascii="宋体" w:hAnsi="宋体" w:cs="宋体"/>
                <w:color w:val="auto"/>
                <w:kern w:val="0"/>
                <w:sz w:val="22"/>
                <w:szCs w:val="22"/>
                <w:highlight w:val="none"/>
              </w:rPr>
            </w:pPr>
          </w:p>
        </w:tc>
        <w:tc>
          <w:tcPr>
            <w:tcW w:w="1508" w:type="dxa"/>
            <w:noWrap w:val="0"/>
            <w:vAlign w:val="center"/>
          </w:tcPr>
          <w:p w14:paraId="1D2F6DE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2784C66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6FE98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35BED37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3000≤Y＜30000</w:t>
            </w:r>
          </w:p>
        </w:tc>
        <w:tc>
          <w:tcPr>
            <w:tcW w:w="1431" w:type="dxa"/>
            <w:noWrap w:val="0"/>
            <w:vAlign w:val="center"/>
          </w:tcPr>
          <w:p w14:paraId="4E0FA7D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200≤Y＜3000</w:t>
            </w:r>
          </w:p>
        </w:tc>
        <w:tc>
          <w:tcPr>
            <w:tcW w:w="995" w:type="dxa"/>
            <w:noWrap w:val="0"/>
            <w:vAlign w:val="center"/>
          </w:tcPr>
          <w:p w14:paraId="0E3EF5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Y＜200</w:t>
            </w:r>
          </w:p>
        </w:tc>
      </w:tr>
      <w:tr w14:paraId="6D6F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09C18F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仓储业</w:t>
            </w:r>
          </w:p>
        </w:tc>
        <w:tc>
          <w:tcPr>
            <w:tcW w:w="1508" w:type="dxa"/>
            <w:noWrap w:val="0"/>
            <w:vAlign w:val="center"/>
          </w:tcPr>
          <w:p w14:paraId="4C9EEE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693D31D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7D4FCA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w:t>
            </w:r>
          </w:p>
        </w:tc>
        <w:tc>
          <w:tcPr>
            <w:tcW w:w="1706" w:type="dxa"/>
            <w:noWrap w:val="0"/>
            <w:vAlign w:val="center"/>
          </w:tcPr>
          <w:p w14:paraId="1A07F79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w:t>
            </w:r>
          </w:p>
        </w:tc>
        <w:tc>
          <w:tcPr>
            <w:tcW w:w="1431" w:type="dxa"/>
            <w:noWrap w:val="0"/>
            <w:vAlign w:val="center"/>
          </w:tcPr>
          <w:p w14:paraId="4841ED3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20≤X＜100</w:t>
            </w:r>
          </w:p>
        </w:tc>
        <w:tc>
          <w:tcPr>
            <w:tcW w:w="995" w:type="dxa"/>
            <w:noWrap w:val="0"/>
            <w:vAlign w:val="center"/>
          </w:tcPr>
          <w:p w14:paraId="36FD5C3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4E5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4E70DE7C">
            <w:pPr>
              <w:widowControl/>
              <w:jc w:val="left"/>
              <w:rPr>
                <w:rFonts w:hint="eastAsia" w:ascii="宋体" w:hAnsi="宋体" w:cs="宋体"/>
                <w:color w:val="auto"/>
                <w:kern w:val="0"/>
                <w:sz w:val="22"/>
                <w:szCs w:val="22"/>
                <w:highlight w:val="none"/>
              </w:rPr>
            </w:pPr>
          </w:p>
        </w:tc>
        <w:tc>
          <w:tcPr>
            <w:tcW w:w="1508" w:type="dxa"/>
            <w:noWrap w:val="0"/>
            <w:vAlign w:val="center"/>
          </w:tcPr>
          <w:p w14:paraId="2A32C3F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331129C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4D79A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2AA7413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1000≤Y＜30000</w:t>
            </w:r>
          </w:p>
        </w:tc>
        <w:tc>
          <w:tcPr>
            <w:tcW w:w="1431" w:type="dxa"/>
            <w:noWrap w:val="0"/>
            <w:vAlign w:val="center"/>
          </w:tcPr>
          <w:p w14:paraId="5B3785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542798C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B64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96F78DA">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邮政业</w:t>
            </w:r>
          </w:p>
        </w:tc>
        <w:tc>
          <w:tcPr>
            <w:tcW w:w="1508" w:type="dxa"/>
            <w:noWrap w:val="0"/>
            <w:vAlign w:val="center"/>
          </w:tcPr>
          <w:p w14:paraId="668626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21C8AC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3A1CCF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66738A2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0828F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20≤X＜300</w:t>
            </w:r>
          </w:p>
        </w:tc>
        <w:tc>
          <w:tcPr>
            <w:tcW w:w="995" w:type="dxa"/>
            <w:noWrap w:val="0"/>
            <w:vAlign w:val="center"/>
          </w:tcPr>
          <w:p w14:paraId="3FA472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w:t>
            </w:r>
          </w:p>
        </w:tc>
      </w:tr>
      <w:tr w14:paraId="517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5" w:type="dxa"/>
            <w:vMerge w:val="continue"/>
            <w:noWrap w:val="0"/>
            <w:vAlign w:val="center"/>
          </w:tcPr>
          <w:p w14:paraId="66E64BE8">
            <w:pPr>
              <w:widowControl/>
              <w:jc w:val="left"/>
              <w:rPr>
                <w:rFonts w:hint="eastAsia" w:ascii="宋体" w:hAnsi="宋体" w:cs="宋体"/>
                <w:color w:val="auto"/>
                <w:kern w:val="0"/>
                <w:sz w:val="22"/>
                <w:szCs w:val="22"/>
                <w:highlight w:val="none"/>
              </w:rPr>
            </w:pPr>
          </w:p>
        </w:tc>
        <w:tc>
          <w:tcPr>
            <w:tcW w:w="1508" w:type="dxa"/>
            <w:noWrap w:val="0"/>
            <w:vAlign w:val="center"/>
          </w:tcPr>
          <w:p w14:paraId="40E02AB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7891A4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C44238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Y≥30000</w:t>
            </w:r>
          </w:p>
        </w:tc>
        <w:tc>
          <w:tcPr>
            <w:tcW w:w="1706" w:type="dxa"/>
            <w:noWrap w:val="0"/>
            <w:vAlign w:val="center"/>
          </w:tcPr>
          <w:p w14:paraId="4BC2715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2000≤Y＜30000</w:t>
            </w:r>
          </w:p>
        </w:tc>
        <w:tc>
          <w:tcPr>
            <w:tcW w:w="1431" w:type="dxa"/>
            <w:noWrap w:val="0"/>
            <w:vAlign w:val="center"/>
          </w:tcPr>
          <w:p w14:paraId="4C972F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74451F4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86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4688D324">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住宿业</w:t>
            </w:r>
          </w:p>
        </w:tc>
        <w:tc>
          <w:tcPr>
            <w:tcW w:w="1508" w:type="dxa"/>
            <w:noWrap w:val="0"/>
            <w:vAlign w:val="center"/>
          </w:tcPr>
          <w:p w14:paraId="680F038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BF468C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4B890C1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682D1EBD">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019EB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8DFF80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37CF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985" w:type="dxa"/>
            <w:vMerge w:val="continue"/>
            <w:noWrap w:val="0"/>
            <w:vAlign w:val="center"/>
          </w:tcPr>
          <w:p w14:paraId="753C8175">
            <w:pPr>
              <w:widowControl/>
              <w:jc w:val="left"/>
              <w:rPr>
                <w:rFonts w:hint="eastAsia" w:ascii="宋体" w:hAnsi="宋体" w:cs="宋体"/>
                <w:color w:val="auto"/>
                <w:kern w:val="0"/>
                <w:sz w:val="22"/>
                <w:szCs w:val="22"/>
                <w:highlight w:val="none"/>
              </w:rPr>
            </w:pPr>
          </w:p>
        </w:tc>
        <w:tc>
          <w:tcPr>
            <w:tcW w:w="1508" w:type="dxa"/>
            <w:noWrap w:val="0"/>
            <w:vAlign w:val="center"/>
          </w:tcPr>
          <w:p w14:paraId="31A597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5EA7D4F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282DC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1872EB2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1DFE41A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424D157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5EAF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2605295">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餐饮业</w:t>
            </w:r>
          </w:p>
        </w:tc>
        <w:tc>
          <w:tcPr>
            <w:tcW w:w="1508" w:type="dxa"/>
            <w:noWrap w:val="0"/>
            <w:vAlign w:val="center"/>
          </w:tcPr>
          <w:p w14:paraId="095DF1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376564C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2D79B3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038B0767">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49EB6B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640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40C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vMerge w:val="continue"/>
            <w:noWrap w:val="0"/>
            <w:vAlign w:val="center"/>
          </w:tcPr>
          <w:p w14:paraId="7C04BAEF">
            <w:pPr>
              <w:widowControl/>
              <w:jc w:val="left"/>
              <w:rPr>
                <w:rFonts w:hint="eastAsia" w:ascii="宋体" w:hAnsi="宋体" w:cs="宋体"/>
                <w:color w:val="auto"/>
                <w:kern w:val="0"/>
                <w:sz w:val="22"/>
                <w:szCs w:val="22"/>
                <w:highlight w:val="none"/>
              </w:rPr>
            </w:pPr>
          </w:p>
        </w:tc>
        <w:tc>
          <w:tcPr>
            <w:tcW w:w="1508" w:type="dxa"/>
            <w:noWrap w:val="0"/>
            <w:vAlign w:val="center"/>
          </w:tcPr>
          <w:p w14:paraId="16C4778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34BF81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52745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4DFACF3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2000≤Y＜10000</w:t>
            </w:r>
          </w:p>
        </w:tc>
        <w:tc>
          <w:tcPr>
            <w:tcW w:w="1431" w:type="dxa"/>
            <w:noWrap w:val="0"/>
            <w:vAlign w:val="center"/>
          </w:tcPr>
          <w:p w14:paraId="21DB0F3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100≤Y＜2000</w:t>
            </w:r>
          </w:p>
        </w:tc>
        <w:tc>
          <w:tcPr>
            <w:tcW w:w="995" w:type="dxa"/>
            <w:noWrap w:val="0"/>
            <w:vAlign w:val="center"/>
          </w:tcPr>
          <w:p w14:paraId="5C6A122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7C51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0E19222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信息传输业 *</w:t>
            </w:r>
          </w:p>
        </w:tc>
        <w:tc>
          <w:tcPr>
            <w:tcW w:w="1508" w:type="dxa"/>
            <w:noWrap w:val="0"/>
            <w:vAlign w:val="center"/>
          </w:tcPr>
          <w:p w14:paraId="4B557E5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0E1F1CC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118466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X≥2000</w:t>
            </w:r>
          </w:p>
        </w:tc>
        <w:tc>
          <w:tcPr>
            <w:tcW w:w="1706" w:type="dxa"/>
            <w:noWrap w:val="0"/>
            <w:vAlign w:val="center"/>
          </w:tcPr>
          <w:p w14:paraId="7A9269E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100≤X＜2000</w:t>
            </w:r>
          </w:p>
        </w:tc>
        <w:tc>
          <w:tcPr>
            <w:tcW w:w="1431" w:type="dxa"/>
            <w:noWrap w:val="0"/>
            <w:vAlign w:val="center"/>
          </w:tcPr>
          <w:p w14:paraId="60599FF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03419E4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67A1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85" w:type="dxa"/>
            <w:vMerge w:val="continue"/>
            <w:noWrap w:val="0"/>
            <w:vAlign w:val="center"/>
          </w:tcPr>
          <w:p w14:paraId="0894E0F7">
            <w:pPr>
              <w:widowControl/>
              <w:jc w:val="left"/>
              <w:rPr>
                <w:rFonts w:hint="eastAsia" w:ascii="宋体" w:hAnsi="宋体" w:cs="宋体"/>
                <w:color w:val="auto"/>
                <w:kern w:val="0"/>
                <w:sz w:val="22"/>
                <w:szCs w:val="22"/>
                <w:highlight w:val="none"/>
              </w:rPr>
            </w:pPr>
          </w:p>
        </w:tc>
        <w:tc>
          <w:tcPr>
            <w:tcW w:w="1508" w:type="dxa"/>
            <w:noWrap w:val="0"/>
            <w:vAlign w:val="center"/>
          </w:tcPr>
          <w:p w14:paraId="40B4DE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939059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B9FB2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Y≥1研和【2021】第90号</w:t>
            </w:r>
          </w:p>
        </w:tc>
        <w:tc>
          <w:tcPr>
            <w:tcW w:w="1706" w:type="dxa"/>
            <w:noWrap w:val="0"/>
            <w:vAlign w:val="center"/>
          </w:tcPr>
          <w:p w14:paraId="76EC843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1000≤Y＜1研和【2021】第90号</w:t>
            </w:r>
          </w:p>
        </w:tc>
        <w:tc>
          <w:tcPr>
            <w:tcW w:w="1431" w:type="dxa"/>
            <w:noWrap w:val="0"/>
            <w:vAlign w:val="center"/>
          </w:tcPr>
          <w:p w14:paraId="78A68C4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47D7AC5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4997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16F32B8D">
            <w:pPr>
              <w:widowControl/>
              <w:spacing w:line="360" w:lineRule="auto"/>
              <w:contextualSpacing/>
              <w:jc w:val="left"/>
              <w:rPr>
                <w:rFonts w:hint="eastAsia" w:ascii="宋体" w:hAnsi="宋体" w:cs="宋体"/>
                <w:color w:val="auto"/>
                <w:spacing w:val="-12"/>
                <w:kern w:val="0"/>
                <w:sz w:val="22"/>
                <w:szCs w:val="22"/>
                <w:highlight w:val="none"/>
              </w:rPr>
            </w:pPr>
            <w:r>
              <w:rPr>
                <w:rFonts w:hint="eastAsia" w:ascii="宋体" w:hAnsi="宋体" w:cs="宋体"/>
                <w:color w:val="auto"/>
                <w:spacing w:val="-12"/>
                <w:kern w:val="0"/>
                <w:sz w:val="22"/>
                <w:szCs w:val="22"/>
                <w:highlight w:val="none"/>
              </w:rPr>
              <w:t>软件和信息技术服</w:t>
            </w:r>
            <w:r>
              <w:rPr>
                <w:rFonts w:hint="eastAsia" w:ascii="宋体" w:hAnsi="宋体" w:cs="宋体"/>
                <w:color w:val="auto"/>
                <w:kern w:val="0"/>
                <w:sz w:val="22"/>
                <w:szCs w:val="22"/>
                <w:highlight w:val="none"/>
              </w:rPr>
              <w:t>务业</w:t>
            </w:r>
          </w:p>
        </w:tc>
        <w:tc>
          <w:tcPr>
            <w:tcW w:w="1508" w:type="dxa"/>
            <w:noWrap w:val="0"/>
            <w:vAlign w:val="center"/>
          </w:tcPr>
          <w:p w14:paraId="4ABB5B2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10E8416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10DC7A0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22AE58C9">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2657899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3C4AECC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7781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85" w:type="dxa"/>
            <w:vMerge w:val="continue"/>
            <w:noWrap w:val="0"/>
            <w:vAlign w:val="center"/>
          </w:tcPr>
          <w:p w14:paraId="4D5CFE39">
            <w:pPr>
              <w:widowControl/>
              <w:jc w:val="left"/>
              <w:rPr>
                <w:rFonts w:hint="eastAsia" w:ascii="宋体" w:hAnsi="宋体" w:cs="宋体"/>
                <w:color w:val="auto"/>
                <w:spacing w:val="-12"/>
                <w:kern w:val="0"/>
                <w:sz w:val="22"/>
                <w:szCs w:val="22"/>
                <w:highlight w:val="none"/>
              </w:rPr>
            </w:pPr>
          </w:p>
        </w:tc>
        <w:tc>
          <w:tcPr>
            <w:tcW w:w="1508" w:type="dxa"/>
            <w:noWrap w:val="0"/>
            <w:vAlign w:val="center"/>
          </w:tcPr>
          <w:p w14:paraId="736FE71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1CF9395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5F4A2B5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Y≥10000</w:t>
            </w:r>
          </w:p>
        </w:tc>
        <w:tc>
          <w:tcPr>
            <w:tcW w:w="1706" w:type="dxa"/>
            <w:noWrap w:val="0"/>
            <w:vAlign w:val="center"/>
          </w:tcPr>
          <w:p w14:paraId="0F1A1C7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1000≤Y＜10000</w:t>
            </w:r>
          </w:p>
        </w:tc>
        <w:tc>
          <w:tcPr>
            <w:tcW w:w="1431" w:type="dxa"/>
            <w:noWrap w:val="0"/>
            <w:vAlign w:val="center"/>
          </w:tcPr>
          <w:p w14:paraId="0599E49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50≤Y＜1000</w:t>
            </w:r>
          </w:p>
        </w:tc>
        <w:tc>
          <w:tcPr>
            <w:tcW w:w="995" w:type="dxa"/>
            <w:noWrap w:val="0"/>
            <w:vAlign w:val="center"/>
          </w:tcPr>
          <w:p w14:paraId="1694F56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w:t>
            </w:r>
          </w:p>
        </w:tc>
      </w:tr>
      <w:tr w14:paraId="582C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67690D4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房地产开发经营</w:t>
            </w:r>
          </w:p>
        </w:tc>
        <w:tc>
          <w:tcPr>
            <w:tcW w:w="1508" w:type="dxa"/>
            <w:noWrap w:val="0"/>
            <w:vAlign w:val="center"/>
          </w:tcPr>
          <w:p w14:paraId="5E8069E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4A9E8D4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133E517E">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Y≥2研和【2021】第90号</w:t>
            </w:r>
          </w:p>
        </w:tc>
        <w:tc>
          <w:tcPr>
            <w:tcW w:w="1706" w:type="dxa"/>
            <w:noWrap w:val="0"/>
            <w:vAlign w:val="center"/>
          </w:tcPr>
          <w:p w14:paraId="030D43E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1000≤Y＜2研和【2021】第90号</w:t>
            </w:r>
          </w:p>
        </w:tc>
        <w:tc>
          <w:tcPr>
            <w:tcW w:w="1431" w:type="dxa"/>
            <w:noWrap w:val="0"/>
            <w:vAlign w:val="center"/>
          </w:tcPr>
          <w:p w14:paraId="46948E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100≤Y＜1000</w:t>
            </w:r>
          </w:p>
        </w:tc>
        <w:tc>
          <w:tcPr>
            <w:tcW w:w="995" w:type="dxa"/>
            <w:noWrap w:val="0"/>
            <w:vAlign w:val="center"/>
          </w:tcPr>
          <w:p w14:paraId="3B37370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Y＜100</w:t>
            </w:r>
          </w:p>
        </w:tc>
      </w:tr>
      <w:tr w14:paraId="686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85" w:type="dxa"/>
            <w:vMerge w:val="continue"/>
            <w:noWrap w:val="0"/>
            <w:vAlign w:val="center"/>
          </w:tcPr>
          <w:p w14:paraId="7FF5E4CF">
            <w:pPr>
              <w:widowControl/>
              <w:jc w:val="left"/>
              <w:rPr>
                <w:rFonts w:hint="eastAsia" w:ascii="宋体" w:hAnsi="宋体" w:cs="宋体"/>
                <w:color w:val="auto"/>
                <w:kern w:val="0"/>
                <w:sz w:val="22"/>
                <w:szCs w:val="22"/>
                <w:highlight w:val="none"/>
              </w:rPr>
            </w:pPr>
          </w:p>
        </w:tc>
        <w:tc>
          <w:tcPr>
            <w:tcW w:w="1508" w:type="dxa"/>
            <w:noWrap w:val="0"/>
            <w:vAlign w:val="center"/>
          </w:tcPr>
          <w:p w14:paraId="0C0CC51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0B8339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0E079CD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Z≥10000</w:t>
            </w:r>
          </w:p>
        </w:tc>
        <w:tc>
          <w:tcPr>
            <w:tcW w:w="1706" w:type="dxa"/>
            <w:noWrap w:val="0"/>
            <w:vAlign w:val="center"/>
          </w:tcPr>
          <w:p w14:paraId="4AA534A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5000≤Z＜10000</w:t>
            </w:r>
          </w:p>
        </w:tc>
        <w:tc>
          <w:tcPr>
            <w:tcW w:w="1431" w:type="dxa"/>
            <w:noWrap w:val="0"/>
            <w:vAlign w:val="center"/>
          </w:tcPr>
          <w:p w14:paraId="5CB03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2000≤Z＜5000   </w:t>
            </w:r>
          </w:p>
        </w:tc>
        <w:tc>
          <w:tcPr>
            <w:tcW w:w="995" w:type="dxa"/>
            <w:noWrap w:val="0"/>
            <w:vAlign w:val="center"/>
          </w:tcPr>
          <w:p w14:paraId="5C8391F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Z＜2000</w:t>
            </w:r>
          </w:p>
        </w:tc>
      </w:tr>
      <w:tr w14:paraId="1A18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20D6C2F3">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物业管理</w:t>
            </w:r>
          </w:p>
        </w:tc>
        <w:tc>
          <w:tcPr>
            <w:tcW w:w="1508" w:type="dxa"/>
            <w:noWrap w:val="0"/>
            <w:vAlign w:val="center"/>
          </w:tcPr>
          <w:p w14:paraId="7B314E30">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56730B8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2779C91E">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X≥1000</w:t>
            </w:r>
          </w:p>
        </w:tc>
        <w:tc>
          <w:tcPr>
            <w:tcW w:w="1706" w:type="dxa"/>
            <w:noWrap w:val="0"/>
            <w:vAlign w:val="center"/>
          </w:tcPr>
          <w:p w14:paraId="203558A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300≤X＜1000</w:t>
            </w:r>
          </w:p>
        </w:tc>
        <w:tc>
          <w:tcPr>
            <w:tcW w:w="1431" w:type="dxa"/>
            <w:noWrap w:val="0"/>
            <w:vAlign w:val="center"/>
          </w:tcPr>
          <w:p w14:paraId="1D5C495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995" w:type="dxa"/>
            <w:noWrap w:val="0"/>
            <w:vAlign w:val="center"/>
          </w:tcPr>
          <w:p w14:paraId="62349B7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X＜100</w:t>
            </w:r>
          </w:p>
        </w:tc>
      </w:tr>
      <w:tr w14:paraId="2C5A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85" w:type="dxa"/>
            <w:vMerge w:val="continue"/>
            <w:noWrap w:val="0"/>
            <w:vAlign w:val="center"/>
          </w:tcPr>
          <w:p w14:paraId="3F83E52C">
            <w:pPr>
              <w:widowControl/>
              <w:jc w:val="left"/>
              <w:rPr>
                <w:rFonts w:hint="eastAsia" w:ascii="宋体" w:hAnsi="宋体" w:cs="宋体"/>
                <w:color w:val="auto"/>
                <w:kern w:val="0"/>
                <w:sz w:val="22"/>
                <w:szCs w:val="22"/>
                <w:highlight w:val="none"/>
              </w:rPr>
            </w:pPr>
          </w:p>
        </w:tc>
        <w:tc>
          <w:tcPr>
            <w:tcW w:w="1508" w:type="dxa"/>
            <w:noWrap w:val="0"/>
            <w:vAlign w:val="center"/>
          </w:tcPr>
          <w:p w14:paraId="60F0581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营业收入(Y)</w:t>
            </w:r>
          </w:p>
        </w:tc>
        <w:tc>
          <w:tcPr>
            <w:tcW w:w="711" w:type="dxa"/>
            <w:noWrap w:val="0"/>
            <w:vAlign w:val="center"/>
          </w:tcPr>
          <w:p w14:paraId="6C988D72">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3CC84FE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Y≥5000</w:t>
            </w:r>
          </w:p>
        </w:tc>
        <w:tc>
          <w:tcPr>
            <w:tcW w:w="1706" w:type="dxa"/>
            <w:noWrap w:val="0"/>
            <w:vAlign w:val="center"/>
          </w:tcPr>
          <w:p w14:paraId="17F0F440">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1000≤Y＜5000 </w:t>
            </w:r>
          </w:p>
        </w:tc>
        <w:tc>
          <w:tcPr>
            <w:tcW w:w="1431" w:type="dxa"/>
            <w:noWrap w:val="0"/>
            <w:vAlign w:val="center"/>
          </w:tcPr>
          <w:p w14:paraId="33880BA1">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500≤Y＜1000</w:t>
            </w:r>
          </w:p>
        </w:tc>
        <w:tc>
          <w:tcPr>
            <w:tcW w:w="995" w:type="dxa"/>
            <w:noWrap w:val="0"/>
            <w:vAlign w:val="center"/>
          </w:tcPr>
          <w:p w14:paraId="3B549614">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Y＜500</w:t>
            </w:r>
          </w:p>
        </w:tc>
      </w:tr>
      <w:tr w14:paraId="6812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vMerge w:val="restart"/>
            <w:noWrap w:val="0"/>
            <w:vAlign w:val="center"/>
          </w:tcPr>
          <w:p w14:paraId="3B2D02FB">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租赁和商务服务业</w:t>
            </w:r>
          </w:p>
        </w:tc>
        <w:tc>
          <w:tcPr>
            <w:tcW w:w="1508" w:type="dxa"/>
            <w:noWrap w:val="0"/>
            <w:vAlign w:val="center"/>
          </w:tcPr>
          <w:p w14:paraId="3149C84B">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7F9C7B29">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59F958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10A35FBE">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3733A7D8">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7CB2AAC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r w14:paraId="0BE4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85" w:type="dxa"/>
            <w:vMerge w:val="continue"/>
            <w:noWrap w:val="0"/>
            <w:vAlign w:val="center"/>
          </w:tcPr>
          <w:p w14:paraId="6AC1AA1B">
            <w:pPr>
              <w:widowControl/>
              <w:jc w:val="left"/>
              <w:rPr>
                <w:rFonts w:hint="eastAsia" w:ascii="宋体" w:hAnsi="宋体" w:cs="宋体"/>
                <w:color w:val="auto"/>
                <w:kern w:val="0"/>
                <w:sz w:val="22"/>
                <w:szCs w:val="22"/>
                <w:highlight w:val="none"/>
              </w:rPr>
            </w:pPr>
          </w:p>
        </w:tc>
        <w:tc>
          <w:tcPr>
            <w:tcW w:w="1508" w:type="dxa"/>
            <w:noWrap w:val="0"/>
            <w:vAlign w:val="center"/>
          </w:tcPr>
          <w:p w14:paraId="69A5368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资产总额(Z)</w:t>
            </w:r>
          </w:p>
        </w:tc>
        <w:tc>
          <w:tcPr>
            <w:tcW w:w="711" w:type="dxa"/>
            <w:noWrap w:val="0"/>
            <w:vAlign w:val="center"/>
          </w:tcPr>
          <w:p w14:paraId="2DEA89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万元</w:t>
            </w:r>
          </w:p>
        </w:tc>
        <w:tc>
          <w:tcPr>
            <w:tcW w:w="1129" w:type="dxa"/>
            <w:noWrap w:val="0"/>
            <w:vAlign w:val="center"/>
          </w:tcPr>
          <w:p w14:paraId="6ADBC273">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Z≥120000</w:t>
            </w:r>
          </w:p>
        </w:tc>
        <w:tc>
          <w:tcPr>
            <w:tcW w:w="1706" w:type="dxa"/>
            <w:noWrap w:val="0"/>
            <w:vAlign w:val="center"/>
          </w:tcPr>
          <w:p w14:paraId="6F62C29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8000≤Z＜120000</w:t>
            </w:r>
          </w:p>
        </w:tc>
        <w:tc>
          <w:tcPr>
            <w:tcW w:w="1431" w:type="dxa"/>
            <w:noWrap w:val="0"/>
            <w:vAlign w:val="center"/>
          </w:tcPr>
          <w:p w14:paraId="5B2FCFA7">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100≤Z＜8000</w:t>
            </w:r>
          </w:p>
        </w:tc>
        <w:tc>
          <w:tcPr>
            <w:tcW w:w="995" w:type="dxa"/>
            <w:noWrap w:val="0"/>
            <w:vAlign w:val="center"/>
          </w:tcPr>
          <w:p w14:paraId="1AA62C45">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Z＜100</w:t>
            </w:r>
          </w:p>
        </w:tc>
      </w:tr>
      <w:tr w14:paraId="072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noWrap w:val="0"/>
            <w:vAlign w:val="center"/>
          </w:tcPr>
          <w:p w14:paraId="517C96B7">
            <w:pPr>
              <w:widowControl/>
              <w:spacing w:line="360" w:lineRule="auto"/>
              <w:contextualSpacing/>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其他未列明行业 *</w:t>
            </w:r>
          </w:p>
        </w:tc>
        <w:tc>
          <w:tcPr>
            <w:tcW w:w="1508" w:type="dxa"/>
            <w:noWrap w:val="0"/>
            <w:vAlign w:val="center"/>
          </w:tcPr>
          <w:p w14:paraId="6AC8868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从业人员(X)</w:t>
            </w:r>
          </w:p>
        </w:tc>
        <w:tc>
          <w:tcPr>
            <w:tcW w:w="711" w:type="dxa"/>
            <w:noWrap w:val="0"/>
            <w:vAlign w:val="center"/>
          </w:tcPr>
          <w:p w14:paraId="2621638F">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人</w:t>
            </w:r>
          </w:p>
        </w:tc>
        <w:tc>
          <w:tcPr>
            <w:tcW w:w="1129" w:type="dxa"/>
            <w:noWrap w:val="0"/>
            <w:vAlign w:val="center"/>
          </w:tcPr>
          <w:p w14:paraId="6CE9AF1D">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X≥300</w:t>
            </w:r>
          </w:p>
        </w:tc>
        <w:tc>
          <w:tcPr>
            <w:tcW w:w="1706" w:type="dxa"/>
            <w:noWrap w:val="0"/>
            <w:vAlign w:val="center"/>
          </w:tcPr>
          <w:p w14:paraId="43CE81AF">
            <w:pPr>
              <w:widowControl/>
              <w:spacing w:line="360" w:lineRule="auto"/>
              <w:ind w:left="25" w:leftChars="-51" w:hanging="132" w:hangingChars="60"/>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100≤X＜300 </w:t>
            </w:r>
          </w:p>
        </w:tc>
        <w:tc>
          <w:tcPr>
            <w:tcW w:w="1431" w:type="dxa"/>
            <w:noWrap w:val="0"/>
            <w:vAlign w:val="center"/>
          </w:tcPr>
          <w:p w14:paraId="6006D7D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10≤X＜100</w:t>
            </w:r>
          </w:p>
        </w:tc>
        <w:tc>
          <w:tcPr>
            <w:tcW w:w="995" w:type="dxa"/>
            <w:noWrap w:val="0"/>
            <w:vAlign w:val="center"/>
          </w:tcPr>
          <w:p w14:paraId="19F5A21A">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X＜10</w:t>
            </w:r>
          </w:p>
        </w:tc>
      </w:tr>
    </w:tbl>
    <w:p w14:paraId="5D3C45B7">
      <w:pPr>
        <w:keepNext w:val="0"/>
        <w:keepLines w:val="0"/>
        <w:pageBreakBefore w:val="0"/>
        <w:widowControl w:val="0"/>
        <w:kinsoku/>
        <w:wordWrap/>
        <w:overflowPunct/>
        <w:topLinePunct w:val="0"/>
        <w:autoSpaceDE/>
        <w:autoSpaceDN/>
        <w:bidi w:val="0"/>
        <w:adjustRightInd/>
        <w:snapToGrid/>
        <w:spacing w:line="360" w:lineRule="auto"/>
        <w:ind w:firstLine="514" w:firstLineChars="200"/>
        <w:textAlignment w:val="auto"/>
        <w:rPr>
          <w:rFonts w:hint="eastAsia" w:ascii="宋体" w:hAnsi="宋体" w:cs="宋体"/>
          <w:color w:val="auto"/>
          <w:sz w:val="24"/>
          <w:highlight w:val="none"/>
        </w:rPr>
      </w:pPr>
      <w:r>
        <w:rPr>
          <w:rFonts w:hint="eastAsia" w:ascii="宋体" w:hAnsi="宋体" w:cs="宋体"/>
          <w:b/>
          <w:bCs/>
          <w:color w:val="auto"/>
          <w:spacing w:val="8"/>
          <w:kern w:val="0"/>
          <w:sz w:val="24"/>
          <w:highlight w:val="none"/>
        </w:rPr>
        <w:t>说明：</w:t>
      </w:r>
      <w:r>
        <w:rPr>
          <w:rFonts w:hint="eastAsia" w:ascii="宋体" w:hAnsi="宋体" w:cs="宋体"/>
          <w:color w:val="auto"/>
          <w:sz w:val="24"/>
          <w:highlight w:val="none"/>
        </w:rPr>
        <w:t>1、大型、中型和小型企业须同时满足所列指标的下限，否则下划一档；微型企业只须满足所列指标中的一项即可。</w:t>
      </w:r>
    </w:p>
    <w:p w14:paraId="482282B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981A4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10365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rPr>
        <w:t>（2）监狱企业</w:t>
      </w:r>
    </w:p>
    <w:p w14:paraId="505B34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highlight w:val="none"/>
        </w:rPr>
      </w:pPr>
      <w:r>
        <w:rPr>
          <w:rFonts w:hint="eastAsia" w:ascii="宋体" w:hAnsi="宋体" w:cs="宋体"/>
          <w:color w:val="auto"/>
          <w:sz w:val="24"/>
          <w:highlight w:val="none"/>
        </w:rPr>
        <w:t>根据《财政部 司法部关于政府采购支持监狱企业发展有关问题的通知》（财库〔2014〕68号）文的规定，在政府采购活动中，监狱企业视同小型、微型企业，评审中价格给20%的价格扣除，用扣除后的价格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562BF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（3）残疾人福利性单位</w:t>
      </w:r>
    </w:p>
    <w:p w14:paraId="59804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根据《财政部 民政部 中国残疾人联合会关于促进残疾人就业政府采购政策的通知》（财库〔2017〕141号）文的规定，在政府采购活动中，残疾人福利性单位视同小型、微型企业，评审中价格给予20%的价格扣除，用扣除后的价格参与评审。享受政府采购支持政策的残疾人福利性单位应当同时满足以下条件： </w:t>
      </w:r>
    </w:p>
    <w:p w14:paraId="1A9C6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①安置的残疾人占本单位在职职工人数的比例不低于25%（含25%），并且安置的残疾人人数不少于10 人（含10人）； </w:t>
      </w:r>
    </w:p>
    <w:p w14:paraId="4E334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②依法与安置的每位残疾人签订了一年以上（含一年）的劳动合同或服务协议； </w:t>
      </w:r>
    </w:p>
    <w:p w14:paraId="6BCE1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③为安置的每位残疾人按月足额缴纳了基本养老保险、基本医疗保险、失业保险、工伤保险和生育保 险等社会保险费； </w:t>
      </w:r>
    </w:p>
    <w:p w14:paraId="6FB41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④通过银行等金融机构向安置的每位残疾人，按月支付了不低于单位所在区县适用的经省级人民政府 批准的月最低工资标准的工资； </w:t>
      </w:r>
    </w:p>
    <w:p w14:paraId="3C104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3EA293">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eastAsia="宋体" w:cs="宋体"/>
          <w:color w:val="auto"/>
          <w:sz w:val="24"/>
          <w:szCs w:val="24"/>
          <w:highlight w:val="none"/>
          <w:lang w:eastAsia="zh-CN"/>
        </w:rPr>
      </w:pPr>
      <w:r>
        <w:rPr>
          <w:rFonts w:hint="eastAsia" w:ascii="宋体" w:hAnsi="宋体" w:cs="宋体"/>
          <w:color w:val="auto"/>
          <w:sz w:val="24"/>
          <w:highlight w:val="none"/>
        </w:rPr>
        <w:t>符合条件的残疾人福利性单位在参加政府采购活动时，应当提供《残疾人福利性单位声明函》（声明函格式见第六章“投标文件格式”）</w:t>
      </w:r>
      <w:r>
        <w:rPr>
          <w:rFonts w:hint="eastAsia" w:hAnsi="宋体" w:cs="宋体"/>
          <w:color w:val="auto"/>
          <w:sz w:val="24"/>
          <w:highlight w:val="none"/>
          <w:lang w:eastAsia="zh-CN"/>
        </w:rPr>
        <w:t>。</w:t>
      </w:r>
    </w:p>
    <w:p w14:paraId="56777AA3">
      <w:pPr>
        <w:pStyle w:val="3"/>
        <w:spacing w:line="48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bookmarkStart w:id="19" w:name="_Toc27868"/>
      <w:bookmarkStart w:id="20" w:name="_Toc4735"/>
      <w:r>
        <w:rPr>
          <w:rFonts w:hint="eastAsia" w:ascii="宋体" w:hAnsi="宋体" w:cs="宋体"/>
          <w:color w:val="auto"/>
          <w:sz w:val="36"/>
          <w:szCs w:val="36"/>
          <w:highlight w:val="none"/>
        </w:rPr>
        <w:t>第三章  投标人须知</w:t>
      </w:r>
      <w:bookmarkEnd w:id="19"/>
      <w:bookmarkEnd w:id="20"/>
    </w:p>
    <w:p w14:paraId="308D60A8">
      <w:pPr>
        <w:spacing w:line="360" w:lineRule="auto"/>
        <w:jc w:val="center"/>
        <w:rPr>
          <w:rFonts w:hint="eastAsia" w:ascii="宋体" w:hAnsi="宋体" w:cs="宋体"/>
          <w:b/>
          <w:bCs/>
          <w:color w:val="auto"/>
          <w:sz w:val="32"/>
          <w:szCs w:val="32"/>
          <w:highlight w:val="none"/>
        </w:rPr>
      </w:pPr>
      <w:bookmarkStart w:id="21" w:name="_Toc254970526"/>
      <w:bookmarkStart w:id="22" w:name="_Toc254970667"/>
      <w:r>
        <w:rPr>
          <w:rFonts w:hint="eastAsia" w:ascii="宋体" w:hAnsi="宋体" w:cs="宋体"/>
          <w:b/>
          <w:bCs/>
          <w:color w:val="auto"/>
          <w:sz w:val="32"/>
          <w:szCs w:val="32"/>
          <w:highlight w:val="none"/>
        </w:rPr>
        <w:t>投标人须知前附表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6B9AF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202363">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E7C3FA">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编列内容</w:t>
            </w:r>
          </w:p>
        </w:tc>
      </w:tr>
      <w:tr w14:paraId="19FAF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EA66DDB">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A5A1B68">
            <w:pPr>
              <w:snapToGrid w:val="0"/>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投标人的资格要求详见“招标公告”。</w:t>
            </w:r>
          </w:p>
        </w:tc>
      </w:tr>
      <w:tr w14:paraId="4BBDC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31497E06">
            <w:pPr>
              <w:spacing w:line="400" w:lineRule="exact"/>
              <w:jc w:val="center"/>
              <w:rPr>
                <w:rFonts w:hint="eastAsia" w:ascii="宋体" w:hAnsi="宋体" w:cs="宋体"/>
                <w:color w:val="auto"/>
                <w:sz w:val="24"/>
                <w:highlight w:val="none"/>
              </w:rPr>
            </w:pPr>
            <w:bookmarkStart w:id="23" w:name="_5"/>
            <w:bookmarkEnd w:id="23"/>
            <w:bookmarkStart w:id="24" w:name="_8.1"/>
            <w:bookmarkEnd w:id="24"/>
            <w:bookmarkStart w:id="25" w:name="_9.2"/>
            <w:bookmarkEnd w:id="25"/>
            <w:r>
              <w:rPr>
                <w:rFonts w:hint="eastAsia" w:ascii="宋体" w:hAnsi="宋体" w:cs="宋体"/>
                <w:color w:val="auto"/>
                <w:sz w:val="24"/>
                <w:highlight w:val="none"/>
              </w:rPr>
              <w:t>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21E71B">
            <w:pPr>
              <w:pStyle w:val="9"/>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本项目是否接受联合体投标：详见招标公告。</w:t>
            </w:r>
          </w:p>
        </w:tc>
      </w:tr>
      <w:tr w14:paraId="12BBF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F944CF2">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E6EB95E">
            <w:pPr>
              <w:pStyle w:val="9"/>
              <w:spacing w:line="400" w:lineRule="exact"/>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分包要求：</w:t>
            </w:r>
          </w:p>
          <w:p w14:paraId="6EB20FCE">
            <w:pPr>
              <w:pStyle w:val="9"/>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☑不允许分包</w:t>
            </w:r>
          </w:p>
          <w:p w14:paraId="7C3FFF60">
            <w:pPr>
              <w:pStyle w:val="9"/>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□允许分包</w:t>
            </w:r>
          </w:p>
          <w:p w14:paraId="02D62873">
            <w:pPr>
              <w:pStyle w:val="9"/>
              <w:spacing w:line="400" w:lineRule="exact"/>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分包内容：</w:t>
            </w:r>
            <w:r>
              <w:rPr>
                <w:rFonts w:hint="eastAsia" w:ascii="宋体" w:hAnsi="宋体" w:cs="宋体"/>
                <w:color w:val="auto"/>
                <w:sz w:val="24"/>
                <w:highlight w:val="none"/>
                <w:u w:val="single"/>
                <w:lang w:val="en-US" w:eastAsia="zh-CN"/>
              </w:rPr>
              <w:t xml:space="preserve">                                     。</w:t>
            </w:r>
          </w:p>
          <w:p w14:paraId="4F6A9761">
            <w:pPr>
              <w:pStyle w:val="9"/>
              <w:spacing w:line="400" w:lineRule="exact"/>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lang w:val="en-US" w:eastAsia="zh-CN"/>
              </w:rPr>
              <w:t>分包金额或者比例：</w:t>
            </w:r>
            <w:r>
              <w:rPr>
                <w:rFonts w:hint="eastAsia" w:ascii="宋体" w:hAnsi="宋体" w:cs="宋体"/>
                <w:color w:val="auto"/>
                <w:sz w:val="24"/>
                <w:highlight w:val="none"/>
                <w:u w:val="single"/>
                <w:lang w:val="en-US" w:eastAsia="zh-CN"/>
              </w:rPr>
              <w:t xml:space="preserve">                                     。</w:t>
            </w:r>
          </w:p>
        </w:tc>
      </w:tr>
      <w:tr w14:paraId="22EA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F63CB53">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3F0D01E">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踏勘及答疑要求：</w:t>
            </w:r>
          </w:p>
          <w:p w14:paraId="4073C196">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☑不组织现场踏勘；</w:t>
            </w:r>
          </w:p>
          <w:p w14:paraId="4E3BF32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□组织现场踏勘：</w:t>
            </w:r>
          </w:p>
          <w:p w14:paraId="4081C90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集中时间：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，逾期后果自负。集中地点：</w:t>
            </w:r>
            <w:r>
              <w:rPr>
                <w:rFonts w:hint="eastAsia" w:ascii="宋体" w:hAnsi="宋体" w:cs="宋体"/>
                <w:color w:val="auto"/>
                <w:sz w:val="24"/>
                <w:highlight w:val="none"/>
                <w:u w:val="single"/>
              </w:rPr>
              <w:t xml:space="preserve">              </w:t>
            </w:r>
          </w:p>
          <w:p w14:paraId="66442B30">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1AA908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☑不组织召开开标前答疑会</w:t>
            </w:r>
          </w:p>
          <w:p w14:paraId="664CAD5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□组织召开开标前答疑会</w:t>
            </w:r>
          </w:p>
          <w:p w14:paraId="6398DAC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2AFD0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994" w:type="dxa"/>
            <w:vMerge w:val="restart"/>
            <w:tcBorders>
              <w:top w:val="single" w:color="auto" w:sz="4" w:space="0"/>
              <w:left w:val="single" w:color="auto" w:sz="4" w:space="0"/>
              <w:right w:val="single" w:color="auto" w:sz="4" w:space="0"/>
            </w:tcBorders>
            <w:noWrap w:val="0"/>
            <w:vAlign w:val="center"/>
          </w:tcPr>
          <w:p w14:paraId="4C49A3C6">
            <w:pPr>
              <w:spacing w:line="400" w:lineRule="exact"/>
              <w:jc w:val="center"/>
              <w:rPr>
                <w:rFonts w:hint="eastAsia" w:ascii="宋体" w:hAnsi="宋体" w:cs="宋体"/>
                <w:color w:val="auto"/>
                <w:sz w:val="24"/>
                <w:highlight w:val="none"/>
              </w:rPr>
            </w:pPr>
            <w:bookmarkStart w:id="26" w:name="_13.1"/>
            <w:bookmarkEnd w:id="26"/>
            <w:r>
              <w:rPr>
                <w:rFonts w:hint="eastAsia" w:ascii="宋体" w:hAnsi="宋体" w:cs="宋体"/>
                <w:color w:val="auto"/>
                <w:sz w:val="24"/>
                <w:highlight w:val="none"/>
              </w:rPr>
              <w:t>5</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17DB7A">
            <w:pPr>
              <w:snapToGrid w:val="0"/>
              <w:spacing w:line="400" w:lineRule="exact"/>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7C91A33E">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151EDFBD">
            <w:pPr>
              <w:snapToGrid w:val="0"/>
              <w:spacing w:line="40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0C317D7B">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tc>
      </w:tr>
      <w:tr w14:paraId="7B5E8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994" w:type="dxa"/>
            <w:vMerge w:val="continue"/>
            <w:tcBorders>
              <w:top w:val="single" w:color="auto" w:sz="4" w:space="0"/>
              <w:left w:val="single" w:color="auto" w:sz="4" w:space="0"/>
              <w:right w:val="single" w:color="auto" w:sz="4" w:space="0"/>
            </w:tcBorders>
            <w:noWrap w:val="0"/>
            <w:vAlign w:val="center"/>
          </w:tcPr>
          <w:p w14:paraId="3DB9CCA2">
            <w:pPr>
              <w:spacing w:line="400" w:lineRule="exact"/>
              <w:jc w:val="center"/>
              <w:rPr>
                <w:rFonts w:hint="eastAsia" w:ascii="宋体" w:hAnsi="宋体" w:cs="宋体"/>
                <w:color w:val="auto"/>
                <w:sz w:val="24"/>
                <w:highlight w:val="none"/>
              </w:rPr>
            </w:pP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0508CB7">
            <w:pPr>
              <w:pStyle w:val="13"/>
              <w:spacing w:line="400" w:lineRule="exact"/>
              <w:rPr>
                <w:rFonts w:hint="eastAsia" w:hAnsi="宋体" w:cs="宋体"/>
                <w:b/>
                <w:color w:val="auto"/>
                <w:sz w:val="24"/>
                <w:szCs w:val="24"/>
                <w:highlight w:val="none"/>
                <w:lang w:val="en-US" w:eastAsia="zh-CN"/>
              </w:rPr>
            </w:pPr>
            <w:r>
              <w:rPr>
                <w:rFonts w:hint="eastAsia" w:hAnsi="宋体"/>
                <w:color w:val="auto"/>
                <w:spacing w:val="-4"/>
                <w:sz w:val="24"/>
                <w:szCs w:val="24"/>
                <w:highlight w:val="none"/>
                <w:lang w:val="en-US" w:eastAsia="zh-CN"/>
              </w:rPr>
              <w:t>电子投标文件组成：</w:t>
            </w:r>
            <w:r>
              <w:rPr>
                <w:rFonts w:hint="eastAsia" w:hAnsi="宋体"/>
                <w:b/>
                <w:color w:val="auto"/>
                <w:sz w:val="24"/>
                <w:szCs w:val="24"/>
                <w:highlight w:val="none"/>
                <w:u w:val="single"/>
                <w:lang w:val="en-US" w:eastAsia="zh-CN"/>
              </w:rPr>
              <w:t>资格文件；报价文件；商务技术文件</w:t>
            </w:r>
            <w:r>
              <w:rPr>
                <w:rFonts w:hint="eastAsia" w:hAnsi="宋体" w:cs="仿宋_GB2312"/>
                <w:b/>
                <w:color w:val="auto"/>
                <w:sz w:val="24"/>
                <w:szCs w:val="24"/>
                <w:highlight w:val="none"/>
                <w:lang w:val="en-US" w:eastAsia="zh-CN"/>
              </w:rPr>
              <w:t>。</w:t>
            </w:r>
          </w:p>
          <w:p w14:paraId="6126B838">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1.资格文件：</w:t>
            </w:r>
          </w:p>
          <w:p w14:paraId="0970B3F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697FBF72">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7FBAC5DE">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29A44077">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5FFEAF3D">
            <w:pPr>
              <w:pStyle w:val="13"/>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74C6251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3EF1CBE7">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6C9A6E9">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投标声明书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tc>
      </w:tr>
      <w:tr w14:paraId="2439B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2FCEC163">
            <w:pPr>
              <w:spacing w:line="400" w:lineRule="exact"/>
              <w:jc w:val="center"/>
              <w:rPr>
                <w:rFonts w:hint="eastAsia" w:ascii="宋体" w:hAnsi="宋体" w:cs="宋体"/>
                <w:color w:val="auto"/>
                <w:sz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noWrap w:val="0"/>
            <w:vAlign w:val="center"/>
          </w:tcPr>
          <w:p w14:paraId="3024F6B4">
            <w:pPr>
              <w:snapToGrid w:val="0"/>
              <w:spacing w:line="400" w:lineRule="exact"/>
              <w:jc w:val="left"/>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报价文件</w:t>
            </w:r>
          </w:p>
          <w:p w14:paraId="2BCE0498">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（1）投标函（按第六章要求格式填写）；</w:t>
            </w:r>
            <w:r>
              <w:rPr>
                <w:rFonts w:hint="eastAsia" w:ascii="宋体" w:hAnsi="宋体" w:cs="宋体"/>
                <w:b/>
                <w:color w:val="auto"/>
                <w:sz w:val="24"/>
                <w:highlight w:val="none"/>
              </w:rPr>
              <w:t>（必须提供，否则作无效投标处理）</w:t>
            </w:r>
          </w:p>
          <w:p w14:paraId="702B7BCE">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（2）开标一览表（按第六章要求格式填写）；</w:t>
            </w:r>
            <w:r>
              <w:rPr>
                <w:rFonts w:hint="eastAsia" w:ascii="宋体" w:hAnsi="宋体" w:cs="宋体"/>
                <w:b/>
                <w:color w:val="auto"/>
                <w:sz w:val="24"/>
                <w:highlight w:val="none"/>
              </w:rPr>
              <w:t>（必须提供，否则作无效投标处理）</w:t>
            </w:r>
          </w:p>
          <w:p w14:paraId="2C5742F4">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（3）报价明细表（按第六章要求格式填写）；</w:t>
            </w:r>
            <w:r>
              <w:rPr>
                <w:rFonts w:hint="eastAsia" w:ascii="宋体" w:hAnsi="宋体" w:cs="宋体"/>
                <w:b/>
                <w:color w:val="auto"/>
                <w:sz w:val="24"/>
                <w:highlight w:val="none"/>
              </w:rPr>
              <w:t>（必须提供，否则作无效投标处理）</w:t>
            </w:r>
          </w:p>
          <w:p w14:paraId="235E8828">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（4）中小企业声明函、残疾人福利单位声明函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（如有，按第六章要求格式填写）</w:t>
            </w:r>
          </w:p>
          <w:p w14:paraId="22C642F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（5）投标人针对报价需要说明的其他文件和说明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（如有，格式自拟）</w:t>
            </w:r>
          </w:p>
          <w:p w14:paraId="17A2747C">
            <w:pPr>
              <w:tabs>
                <w:tab w:val="left" w:pos="3870"/>
                <w:tab w:val="left" w:pos="4085"/>
              </w:tabs>
              <w:snapToGrid w:val="0"/>
              <w:spacing w:line="40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 w:val="24"/>
                <w:highlight w:val="none"/>
              </w:rPr>
              <w:t>投标函、开标一览表、报价明细表</w:t>
            </w:r>
            <w:r>
              <w:rPr>
                <w:rFonts w:hint="eastAsia" w:ascii="宋体" w:hAnsi="宋体" w:cs="宋体"/>
                <w:b/>
                <w:bCs/>
                <w:color w:val="auto"/>
                <w:sz w:val="24"/>
                <w:highlight w:val="none"/>
              </w:rPr>
              <w:t>均要由法定代表人或委托代理人签名（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）并加盖投标人CA电子签章，必须提供，</w:t>
            </w:r>
            <w:r>
              <w:rPr>
                <w:rFonts w:hint="eastAsia" w:ascii="宋体" w:hAnsi="宋体" w:cs="宋体"/>
                <w:b/>
                <w:color w:val="auto"/>
                <w:sz w:val="24"/>
                <w:highlight w:val="none"/>
              </w:rPr>
              <w:t>否则作无效投标处理</w:t>
            </w:r>
            <w:r>
              <w:rPr>
                <w:rFonts w:hint="eastAsia" w:ascii="宋体" w:hAnsi="宋体" w:cs="宋体"/>
                <w:bCs/>
                <w:color w:val="auto"/>
                <w:sz w:val="24"/>
                <w:highlight w:val="none"/>
              </w:rPr>
              <w:t>。</w:t>
            </w:r>
          </w:p>
        </w:tc>
      </w:tr>
      <w:tr w14:paraId="31A49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4712BF14">
            <w:pPr>
              <w:spacing w:line="400" w:lineRule="exact"/>
              <w:jc w:val="center"/>
              <w:rPr>
                <w:rFonts w:hint="eastAsia" w:ascii="宋体" w:hAnsi="宋体" w:cs="宋体"/>
                <w:color w:val="auto"/>
                <w:sz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noWrap w:val="0"/>
            <w:vAlign w:val="center"/>
          </w:tcPr>
          <w:p w14:paraId="736B1C22">
            <w:pPr>
              <w:keepNext w:val="0"/>
              <w:keepLines w:val="0"/>
              <w:pageBreakBefore w:val="0"/>
              <w:widowControl/>
              <w:kinsoku/>
              <w:wordWrap/>
              <w:overflowPunct/>
              <w:topLinePunct w:val="0"/>
              <w:bidi w:val="0"/>
              <w:snapToGrid w:val="0"/>
              <w:spacing w:line="400" w:lineRule="exact"/>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w:t>
            </w:r>
          </w:p>
          <w:p w14:paraId="1258BECC">
            <w:pPr>
              <w:keepNext w:val="0"/>
              <w:keepLines w:val="0"/>
              <w:pageBreakBefore w:val="0"/>
              <w:widowControl/>
              <w:kinsoku/>
              <w:wordWrap/>
              <w:overflowPunct/>
              <w:topLinePunct w:val="0"/>
              <w:bidi w:val="0"/>
              <w:snapToGrid w:val="0"/>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79D873F">
            <w:pPr>
              <w:keepNext w:val="0"/>
              <w:keepLines w:val="0"/>
              <w:pageBreakBefore w:val="0"/>
              <w:widowControl w:val="0"/>
              <w:kinsoku/>
              <w:wordWrap/>
              <w:overflowPunct/>
              <w:topLinePunct w:val="0"/>
              <w:bidi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3B00BCC2">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rPr>
              <w:t>（按第六章要求格式填写）</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（必须提供，否则作无效投标处理）</w:t>
            </w:r>
          </w:p>
          <w:p w14:paraId="3BF11A96">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）法定代表人身份证明书（按第六章要求格式填写）；（</w:t>
            </w:r>
            <w:r>
              <w:rPr>
                <w:rFonts w:hint="eastAsia" w:ascii="宋体" w:hAnsi="宋体" w:eastAsia="宋体" w:cs="宋体"/>
                <w:b/>
                <w:bCs/>
                <w:color w:val="auto"/>
                <w:sz w:val="24"/>
                <w:szCs w:val="24"/>
                <w:highlight w:val="none"/>
              </w:rPr>
              <w:t>除自然人投标外</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53EEB8B1">
            <w:pPr>
              <w:keepNext w:val="0"/>
              <w:keepLines w:val="0"/>
              <w:pageBreakBefore w:val="0"/>
              <w:widowControl w:val="0"/>
              <w:tabs>
                <w:tab w:val="left" w:pos="3870"/>
                <w:tab w:val="left" w:pos="4085"/>
              </w:tabs>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（委托代理时，按第六章要求格式填写）；（</w:t>
            </w:r>
            <w:r>
              <w:rPr>
                <w:rFonts w:hint="eastAsia" w:ascii="宋体" w:hAnsi="宋体" w:eastAsia="宋体" w:cs="宋体"/>
                <w:b/>
                <w:color w:val="auto"/>
                <w:sz w:val="24"/>
                <w:szCs w:val="24"/>
                <w:highlight w:val="none"/>
              </w:rPr>
              <w:t>委托时必须提供，否则作无效投标处理</w:t>
            </w:r>
            <w:r>
              <w:rPr>
                <w:rFonts w:hint="eastAsia" w:ascii="宋体" w:hAnsi="宋体" w:eastAsia="宋体" w:cs="宋体"/>
                <w:color w:val="auto"/>
                <w:sz w:val="24"/>
                <w:szCs w:val="24"/>
                <w:highlight w:val="none"/>
              </w:rPr>
              <w:t>）</w:t>
            </w:r>
          </w:p>
          <w:p w14:paraId="7A192004">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C36EE70">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8E991DF">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4714964B">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2105ACB0">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color w:val="auto"/>
                <w:sz w:val="24"/>
                <w:highlight w:val="none"/>
              </w:rPr>
              <w:t>法定代表人身份证明书</w:t>
            </w:r>
            <w:r>
              <w:rPr>
                <w:rFonts w:hint="eastAsia" w:ascii="宋体" w:hAnsi="宋体" w:cs="宋体"/>
                <w:b/>
                <w:bCs/>
                <w:color w:val="auto"/>
                <w:sz w:val="24"/>
                <w:highlight w:val="none"/>
              </w:rPr>
              <w:t>必须由法定代表人签字（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DC31E48">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委托时，法定代表人授权委托书</w:t>
            </w:r>
            <w:r>
              <w:rPr>
                <w:rFonts w:hint="eastAsia" w:ascii="宋体" w:hAnsi="宋体" w:cs="宋体"/>
                <w:b/>
                <w:bCs/>
                <w:color w:val="auto"/>
                <w:sz w:val="24"/>
                <w:highlight w:val="none"/>
              </w:rPr>
              <w:t>必须由法定代表人及委托代理人签字（</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3635402">
            <w:pPr>
              <w:tabs>
                <w:tab w:val="left" w:pos="3870"/>
                <w:tab w:val="left" w:pos="4085"/>
              </w:tabs>
              <w:snapToGrid w:val="0"/>
              <w:spacing w:line="400" w:lineRule="exact"/>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3B85AD9A">
            <w:pPr>
              <w:snapToGrid w:val="0"/>
              <w:spacing w:line="400" w:lineRule="exact"/>
              <w:ind w:firstLine="470" w:firstLineChars="196"/>
              <w:jc w:val="left"/>
              <w:rPr>
                <w:rFonts w:hint="eastAsia" w:ascii="宋体" w:hAnsi="宋体" w:cs="宋体"/>
                <w:b/>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同类项目成功案例（投标人同类项目实施情况一览表、合同原件扫描件；</w:t>
            </w:r>
            <w:r>
              <w:rPr>
                <w:rFonts w:hint="eastAsia" w:ascii="宋体" w:hAnsi="宋体" w:cs="宋体"/>
                <w:bCs/>
                <w:color w:val="auto"/>
                <w:sz w:val="24"/>
                <w:highlight w:val="none"/>
              </w:rPr>
              <w:t>同类项目指曾承担过与本次采购项目相似或相同的服务，合同应该包含买卖双方名称、产品名称、签署日期、双方盖章页，否则不予认可</w:t>
            </w:r>
            <w:r>
              <w:rPr>
                <w:rFonts w:hint="eastAsia" w:ascii="宋体" w:hAnsi="宋体" w:cs="宋体"/>
                <w:color w:val="auto"/>
                <w:sz w:val="24"/>
                <w:highlight w:val="none"/>
              </w:rPr>
              <w:t>）。（如有）</w:t>
            </w:r>
          </w:p>
          <w:p w14:paraId="1DE473CF">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w:t>
            </w:r>
          </w:p>
          <w:p w14:paraId="50C31077">
            <w:pPr>
              <w:tabs>
                <w:tab w:val="left" w:pos="3870"/>
                <w:tab w:val="left" w:pos="4085"/>
              </w:tabs>
              <w:snapToGrid w:val="0"/>
              <w:spacing w:line="400" w:lineRule="exact"/>
              <w:ind w:firstLine="600" w:firstLineChars="249"/>
              <w:jc w:val="left"/>
              <w:rPr>
                <w:rFonts w:hint="eastAsia" w:ascii="宋体" w:hAnsi="宋体" w:cs="宋体"/>
                <w:b/>
                <w:color w:val="auto"/>
                <w:sz w:val="24"/>
                <w:highlight w:val="none"/>
              </w:rPr>
            </w:pPr>
            <w:r>
              <w:rPr>
                <w:rFonts w:hint="eastAsia" w:ascii="宋体" w:hAnsi="宋体" w:cs="宋体"/>
                <w:b/>
                <w:bCs/>
                <w:color w:val="auto"/>
                <w:sz w:val="24"/>
                <w:highlight w:val="none"/>
              </w:rPr>
              <w:t>注：以上各项若有请提供，同时要加盖投标人CA电子签章，否则该证明被视为无效。</w:t>
            </w:r>
          </w:p>
          <w:p w14:paraId="3742576E">
            <w:pPr>
              <w:snapToGrid w:val="0"/>
              <w:spacing w:line="400" w:lineRule="exact"/>
              <w:jc w:val="left"/>
              <w:rPr>
                <w:rFonts w:hint="eastAsia" w:ascii="宋体" w:hAnsi="宋体" w:cs="宋体"/>
                <w:color w:val="auto"/>
                <w:sz w:val="24"/>
                <w:highlight w:val="none"/>
              </w:rPr>
            </w:pPr>
            <w:r>
              <w:rPr>
                <w:rFonts w:hint="eastAsia" w:ascii="宋体" w:hAnsi="宋体" w:cs="宋体"/>
                <w:b/>
                <w:color w:val="auto"/>
                <w:sz w:val="24"/>
                <w:highlight w:val="none"/>
              </w:rPr>
              <w:t>3.2技术文件</w:t>
            </w:r>
          </w:p>
          <w:p w14:paraId="2BF94C9D">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（1）技术响应表（按第六章要求格式填写）；（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E04D003">
            <w:pPr>
              <w:snapToGrid w:val="0"/>
              <w:spacing w:line="400" w:lineRule="exact"/>
              <w:ind w:firstLine="472" w:firstLineChars="197"/>
              <w:jc w:val="left"/>
              <w:rPr>
                <w:rFonts w:hint="eastAsia" w:ascii="宋体" w:hAnsi="宋体" w:cs="宋体"/>
                <w:color w:val="auto"/>
                <w:sz w:val="24"/>
                <w:highlight w:val="none"/>
              </w:rPr>
            </w:pPr>
            <w:r>
              <w:rPr>
                <w:rFonts w:hint="eastAsia" w:ascii="宋体" w:hAnsi="宋体" w:cs="宋体"/>
                <w:color w:val="auto"/>
                <w:sz w:val="24"/>
                <w:highlight w:val="none"/>
              </w:rPr>
              <w:t>（2）投标货物配置清单（按第六章要求格式填写）；（</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111E4B6">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（3）项目实施方案（如有，按第六章要求格式填写）；</w:t>
            </w:r>
          </w:p>
          <w:p w14:paraId="518EF019">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（4）项目实施人员一览表（如有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按第六章要求格式填写）；</w:t>
            </w:r>
          </w:p>
          <w:p w14:paraId="2E6916BB">
            <w:pPr>
              <w:snapToGrid w:val="0"/>
              <w:spacing w:line="400" w:lineRule="exact"/>
              <w:ind w:firstLine="472" w:firstLineChars="197"/>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选配件、专用耗材、售后服务优惠表（如有</w:t>
            </w:r>
            <w:r>
              <w:rPr>
                <w:rFonts w:hint="eastAsia" w:ascii="宋体" w:hAnsi="宋体" w:eastAsia="宋体" w:cs="宋体"/>
                <w:color w:val="auto"/>
                <w:sz w:val="24"/>
                <w:highlight w:val="none"/>
                <w:lang w:eastAsia="zh-CN"/>
              </w:rPr>
              <w:t>，按第六章要求格式填写）</w:t>
            </w:r>
          </w:p>
          <w:p w14:paraId="21ADCE10">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）投标人对本项目的合理化建议和改进措施（如有，格式自拟）；</w:t>
            </w:r>
          </w:p>
          <w:p w14:paraId="04239B8A">
            <w:pPr>
              <w:snapToGrid w:val="0"/>
              <w:spacing w:line="400" w:lineRule="exact"/>
              <w:ind w:firstLine="472" w:firstLineChars="197"/>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）投标人需要说明的其他文件和说明（如有，格式自拟）。</w:t>
            </w:r>
          </w:p>
          <w:p w14:paraId="6EA1CF0E">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注：</w:t>
            </w:r>
          </w:p>
          <w:p w14:paraId="62F357DA">
            <w:pPr>
              <w:snapToGrid w:val="0"/>
              <w:spacing w:line="40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1、以上标明“必须提供”的均要加盖投标人CA电子签章，</w:t>
            </w:r>
            <w:r>
              <w:rPr>
                <w:rFonts w:hint="eastAsia" w:ascii="宋体" w:hAnsi="宋体" w:cs="宋体"/>
                <w:b/>
                <w:color w:val="auto"/>
                <w:sz w:val="24"/>
                <w:highlight w:val="none"/>
              </w:rPr>
              <w:t>否则作无效投标处理</w:t>
            </w:r>
            <w:r>
              <w:rPr>
                <w:rFonts w:hint="eastAsia" w:ascii="宋体" w:hAnsi="宋体" w:cs="宋体"/>
                <w:b/>
                <w:bCs/>
                <w:color w:val="auto"/>
                <w:sz w:val="24"/>
                <w:highlight w:val="none"/>
              </w:rPr>
              <w:t>。</w:t>
            </w:r>
          </w:p>
          <w:p w14:paraId="5A0785FA">
            <w:pPr>
              <w:snapToGrid w:val="0"/>
              <w:spacing w:line="400" w:lineRule="exact"/>
              <w:ind w:firstLine="472" w:firstLineChars="196"/>
              <w:jc w:val="left"/>
              <w:rPr>
                <w:rFonts w:hint="eastAsia" w:ascii="宋体" w:hAnsi="宋体" w:cs="宋体"/>
                <w:color w:val="auto"/>
                <w:sz w:val="24"/>
                <w:highlight w:val="none"/>
              </w:rPr>
            </w:pPr>
            <w:r>
              <w:rPr>
                <w:rFonts w:hint="eastAsia" w:ascii="宋体" w:hAnsi="宋体" w:cs="宋体"/>
                <w:b/>
                <w:bCs/>
                <w:color w:val="auto"/>
                <w:sz w:val="24"/>
                <w:highlight w:val="none"/>
              </w:rPr>
              <w:t>2、以上非标明“必须提供”的均要加盖投标人CA电子签章，</w:t>
            </w:r>
            <w:r>
              <w:rPr>
                <w:rFonts w:hint="eastAsia" w:ascii="宋体" w:hAnsi="宋体" w:cs="宋体"/>
                <w:b/>
                <w:color w:val="auto"/>
                <w:sz w:val="24"/>
                <w:highlight w:val="none"/>
              </w:rPr>
              <w:t>否则该项不得分</w:t>
            </w:r>
            <w:r>
              <w:rPr>
                <w:rFonts w:hint="eastAsia" w:ascii="宋体" w:hAnsi="宋体" w:cs="宋体"/>
                <w:b/>
                <w:bCs/>
                <w:color w:val="auto"/>
                <w:sz w:val="24"/>
                <w:highlight w:val="none"/>
              </w:rPr>
              <w:t>。</w:t>
            </w:r>
          </w:p>
        </w:tc>
      </w:tr>
      <w:tr w14:paraId="38BBD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339C5A2">
            <w:pPr>
              <w:spacing w:line="400" w:lineRule="exact"/>
              <w:jc w:val="center"/>
              <w:rPr>
                <w:rFonts w:hint="eastAsia" w:ascii="宋体" w:hAnsi="宋体" w:cs="宋体"/>
                <w:color w:val="auto"/>
                <w:sz w:val="24"/>
                <w:highlight w:val="none"/>
              </w:rPr>
            </w:pPr>
            <w:bookmarkStart w:id="29" w:name="_13.5"/>
            <w:bookmarkEnd w:id="29"/>
            <w:bookmarkStart w:id="30" w:name="_16.2"/>
            <w:bookmarkEnd w:id="30"/>
            <w:bookmarkStart w:id="31" w:name="_13.4"/>
            <w:bookmarkEnd w:id="31"/>
            <w:r>
              <w:rPr>
                <w:rFonts w:hint="eastAsia" w:ascii="宋体" w:hAnsi="宋体" w:cs="宋体"/>
                <w:color w:val="auto"/>
                <w:sz w:val="24"/>
                <w:highlight w:val="none"/>
              </w:rPr>
              <w:t>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278C342">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4C659D4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☑投标报价包含验收费用</w:t>
            </w:r>
          </w:p>
          <w:p w14:paraId="4C949932">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□投标报价不包含验收费用</w:t>
            </w:r>
          </w:p>
        </w:tc>
      </w:tr>
      <w:tr w14:paraId="69300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6F43E1B">
            <w:pPr>
              <w:spacing w:line="400" w:lineRule="exact"/>
              <w:jc w:val="center"/>
              <w:rPr>
                <w:rFonts w:hint="eastAsia" w:ascii="宋体" w:hAnsi="宋体" w:cs="宋体"/>
                <w:color w:val="auto"/>
                <w:sz w:val="24"/>
                <w:highlight w:val="none"/>
              </w:rPr>
            </w:pPr>
            <w:bookmarkStart w:id="32" w:name="_17.1"/>
            <w:bookmarkEnd w:id="32"/>
            <w:r>
              <w:rPr>
                <w:rFonts w:hint="eastAsia" w:ascii="宋体" w:hAnsi="宋体" w:cs="宋体"/>
                <w:color w:val="auto"/>
                <w:sz w:val="24"/>
                <w:highlight w:val="none"/>
              </w:rPr>
              <w:t>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57B3E5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投标有效期：自投标截止之日起</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日。</w:t>
            </w:r>
          </w:p>
        </w:tc>
      </w:tr>
      <w:tr w14:paraId="4EEA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7A82B92">
            <w:pPr>
              <w:spacing w:line="400" w:lineRule="exact"/>
              <w:jc w:val="center"/>
              <w:rPr>
                <w:rFonts w:hint="eastAsia" w:ascii="宋体" w:hAnsi="宋体" w:cs="宋体"/>
                <w:color w:val="auto"/>
                <w:sz w:val="24"/>
                <w:highlight w:val="none"/>
              </w:rPr>
            </w:pPr>
            <w:bookmarkStart w:id="33" w:name="_18"/>
            <w:bookmarkEnd w:id="33"/>
            <w:r>
              <w:rPr>
                <w:rFonts w:hint="eastAsia" w:ascii="宋体" w:hAnsi="宋体" w:cs="宋体"/>
                <w:color w:val="auto"/>
                <w:sz w:val="24"/>
                <w:highlight w:val="none"/>
              </w:rPr>
              <w:t>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F9DEEB4">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本项目不收取投标保证金。</w:t>
            </w:r>
          </w:p>
          <w:p w14:paraId="5839E3AF">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b/>
                <w:color w:val="auto"/>
                <w:sz w:val="24"/>
                <w:highlight w:val="none"/>
                <w:lang w:eastAsia="zh-CN"/>
              </w:rPr>
              <w:t>□</w:t>
            </w:r>
            <w:r>
              <w:rPr>
                <w:rFonts w:hint="eastAsia" w:ascii="宋体" w:hAnsi="宋体" w:cs="宋体"/>
                <w:color w:val="auto"/>
                <w:sz w:val="24"/>
                <w:highlight w:val="none"/>
              </w:rPr>
              <w:t>本项目收取投标保证金，具体规定如下：</w:t>
            </w:r>
          </w:p>
          <w:p w14:paraId="514348C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投标保证金的交纳方式：详见招标公告</w:t>
            </w:r>
          </w:p>
          <w:p w14:paraId="67B101CF">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投标保证金的金额：详见招标公告</w:t>
            </w:r>
          </w:p>
          <w:p w14:paraId="0B215C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相关要求：</w:t>
            </w:r>
          </w:p>
          <w:p w14:paraId="17E85C87">
            <w:pPr>
              <w:pStyle w:val="9"/>
              <w:spacing w:line="4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1.投标保证金采用电汇、转账、网上银行支付方式的，在投标截止时间前交至采购代理机构指定账户并且到账，投标人应将银行转账底单的复印件作为投标保证金提交凭证，放置于报价文件中，</w:t>
            </w:r>
            <w:r>
              <w:rPr>
                <w:rFonts w:hint="eastAsia" w:ascii="宋体" w:hAnsi="宋体" w:cs="宋体"/>
                <w:b/>
                <w:color w:val="auto"/>
                <w:sz w:val="24"/>
                <w:highlight w:val="none"/>
                <w:lang w:val="en-US" w:eastAsia="zh-CN"/>
              </w:rPr>
              <w:t>否则投标无效</w:t>
            </w:r>
            <w:r>
              <w:rPr>
                <w:rFonts w:hint="eastAsia" w:ascii="宋体" w:hAnsi="宋体" w:cs="宋体"/>
                <w:color w:val="auto"/>
                <w:sz w:val="24"/>
                <w:highlight w:val="none"/>
                <w:lang w:val="en-US" w:eastAsia="zh-CN"/>
              </w:rPr>
              <w:t>。</w:t>
            </w:r>
          </w:p>
          <w:p w14:paraId="088A78F8">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保证金采用支票、汇票、本票或者金融机构、担保机构出具的保险、保函、电子保函方式的，投标人应将支票、汇票、本票或者金融机构、担保机构出具的保险、保函、电子保函方式的的原件扫描件作为投标保证金提交凭证，放置于报价文件中，</w:t>
            </w:r>
            <w:r>
              <w:rPr>
                <w:rFonts w:hint="eastAsia" w:ascii="宋体" w:hAnsi="宋体" w:cs="宋体"/>
                <w:b/>
                <w:color w:val="auto"/>
                <w:sz w:val="24"/>
                <w:highlight w:val="none"/>
              </w:rPr>
              <w:t>否则投标无效</w:t>
            </w:r>
            <w:r>
              <w:rPr>
                <w:rFonts w:hint="eastAsia" w:ascii="宋体" w:hAnsi="宋体" w:cs="宋体"/>
                <w:color w:val="auto"/>
                <w:sz w:val="24"/>
                <w:highlight w:val="none"/>
              </w:rPr>
              <w:t>。投标人必须于递交投标截止时间前将支票、汇票、本票或者金融机构、担保机构出具的保险、保函、电子保函原件提交给采购人或者采购代理机构，由采购人或者采购代理机构向投标人出具回执，并妥善保管。</w:t>
            </w:r>
          </w:p>
          <w:p w14:paraId="1E6ACA3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3.投标保证金指定帐户：详见招标公告。</w:t>
            </w:r>
          </w:p>
          <w:p w14:paraId="207CF0A6">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 xml:space="preserve">备注： </w:t>
            </w:r>
          </w:p>
          <w:p w14:paraId="3F4D8F9C">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1. 投标保证金在投标截止时间后提交的，或者不按规定交纳方式交纳的，或者未足额交纳的（包含保函额度不足的），视为无效投标保证金。</w:t>
            </w:r>
          </w:p>
          <w:p w14:paraId="48DD84A8">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2.投标人采用现钞方式或者从个人账户（自然人投标除外）转出的投标保证金，视为无效投标保证金。</w:t>
            </w:r>
          </w:p>
          <w:p w14:paraId="3038F793">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3.支票、汇票或者本票出现无效或者背书情形的，视为无效投标保证金。</w:t>
            </w:r>
          </w:p>
          <w:p w14:paraId="61DE39D1">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4.保函有效期低于投标有效期的，视为无效投标保证金。</w:t>
            </w:r>
          </w:p>
          <w:p w14:paraId="7A145EA5">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5.采用金融、担保机构出具保函的，必须为无条件保函，否则视为无效投标保证金。</w:t>
            </w:r>
          </w:p>
        </w:tc>
      </w:tr>
      <w:tr w14:paraId="2402A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79CF6C53">
            <w:pPr>
              <w:spacing w:line="400" w:lineRule="exact"/>
              <w:jc w:val="center"/>
              <w:rPr>
                <w:rFonts w:hint="eastAsia" w:ascii="宋体" w:hAnsi="宋体" w:cs="宋体"/>
                <w:color w:val="auto"/>
                <w:sz w:val="24"/>
                <w:highlight w:val="none"/>
              </w:rPr>
            </w:pPr>
            <w:bookmarkStart w:id="34" w:name="_19.2"/>
            <w:bookmarkEnd w:id="34"/>
            <w:r>
              <w:rPr>
                <w:rFonts w:hint="eastAsia" w:ascii="宋体" w:hAnsi="宋体" w:cs="宋体"/>
                <w:color w:val="auto"/>
                <w:sz w:val="24"/>
                <w:highlight w:val="none"/>
              </w:rPr>
              <w:t>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2DDD3E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投标文件应按资格文件、报价文件、商务技术文件分别编制，资格文件、报价文件分别生成电子文件，商务技术文件按顺序合并生成电子文件。</w:t>
            </w:r>
            <w:r>
              <w:rPr>
                <w:rFonts w:hint="eastAsia" w:ascii="宋体" w:hAnsi="宋体" w:cs="宋体"/>
                <w:b/>
                <w:color w:val="auto"/>
                <w:sz w:val="24"/>
                <w:highlight w:val="none"/>
                <w:u w:val="single"/>
              </w:rPr>
              <w:t>电子版投标文件制作方式见招标公告附件。</w:t>
            </w:r>
          </w:p>
        </w:tc>
      </w:tr>
      <w:tr w14:paraId="3D75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4E63EE6D">
            <w:pPr>
              <w:spacing w:line="400" w:lineRule="exact"/>
              <w:jc w:val="center"/>
              <w:rPr>
                <w:rFonts w:ascii="宋体" w:hAnsi="宋体" w:cs="宋体"/>
                <w:color w:val="auto"/>
                <w:sz w:val="24"/>
                <w:highlight w:val="none"/>
              </w:rPr>
            </w:pPr>
            <w:bookmarkStart w:id="35" w:name="_21.1"/>
            <w:bookmarkEnd w:id="35"/>
            <w:r>
              <w:rPr>
                <w:rFonts w:hint="eastAsia" w:ascii="宋体" w:hAnsi="宋体" w:cs="宋体"/>
                <w:color w:val="auto"/>
                <w:sz w:val="24"/>
                <w:highlight w:val="none"/>
              </w:rPr>
              <w:t>10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117D29D">
            <w:pPr>
              <w:snapToGrid w:val="0"/>
              <w:spacing w:line="400" w:lineRule="exact"/>
              <w:rPr>
                <w:rFonts w:hint="eastAsia" w:ascii="宋体" w:hAnsi="宋体" w:cs="宋体"/>
                <w:color w:val="auto"/>
                <w:sz w:val="24"/>
                <w:highlight w:val="none"/>
                <w:u w:val="single"/>
              </w:rPr>
            </w:pPr>
            <w:r>
              <w:rPr>
                <w:rFonts w:hint="eastAsia" w:ascii="宋体" w:hAnsi="宋体" w:cs="宋体"/>
                <w:color w:val="auto"/>
                <w:sz w:val="24"/>
                <w:highlight w:val="none"/>
              </w:rPr>
              <w:t>1.投标截止时间：详见招标公告</w:t>
            </w:r>
          </w:p>
          <w:p w14:paraId="1171F80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2.投标文件提交起止时间：详见招标公告</w:t>
            </w:r>
          </w:p>
          <w:p w14:paraId="1C9FDB6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3.投标地点：详见招标公告</w:t>
            </w:r>
          </w:p>
        </w:tc>
      </w:tr>
      <w:tr w14:paraId="65A9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C38B3F4">
            <w:pPr>
              <w:spacing w:line="400" w:lineRule="exact"/>
              <w:jc w:val="center"/>
              <w:rPr>
                <w:rFonts w:ascii="宋体" w:hAnsi="宋体" w:cs="宋体"/>
                <w:color w:val="auto"/>
                <w:sz w:val="24"/>
                <w:highlight w:val="none"/>
              </w:rPr>
            </w:pPr>
            <w:bookmarkStart w:id="36" w:name="_23"/>
            <w:bookmarkEnd w:id="36"/>
            <w:r>
              <w:rPr>
                <w:rFonts w:hint="eastAsia" w:ascii="宋体" w:hAnsi="宋体" w:cs="宋体"/>
                <w:color w:val="auto"/>
                <w:sz w:val="24"/>
                <w:highlight w:val="none"/>
              </w:rPr>
              <w:t>11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45ACD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1.开标时间：详见招标公告</w:t>
            </w:r>
          </w:p>
          <w:p w14:paraId="3057C57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2.开标地点：详见招标公告</w:t>
            </w:r>
          </w:p>
        </w:tc>
      </w:tr>
      <w:tr w14:paraId="0A809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B243B54">
            <w:pPr>
              <w:spacing w:line="400" w:lineRule="exact"/>
              <w:jc w:val="center"/>
              <w:rPr>
                <w:rFonts w:ascii="宋体" w:hAnsi="宋体" w:cs="宋体"/>
                <w:color w:val="auto"/>
                <w:sz w:val="24"/>
                <w:highlight w:val="none"/>
              </w:rPr>
            </w:pPr>
            <w:bookmarkStart w:id="37" w:name="_25.3"/>
            <w:bookmarkEnd w:id="37"/>
            <w:r>
              <w:rPr>
                <w:rFonts w:hint="eastAsia" w:ascii="宋体" w:hAnsi="宋体" w:cs="宋体"/>
                <w:color w:val="auto"/>
                <w:sz w:val="24"/>
                <w:highlight w:val="none"/>
              </w:rPr>
              <w:t>12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3296ACD">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32ABA8F0">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p w14:paraId="3C01A02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信用查询截止时点：资格审查结束前</w:t>
            </w:r>
          </w:p>
          <w:p w14:paraId="3CB8C01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查询记录和证据留存方式：在查询网站中直接打印查询记录，打印材料作为评审资料保存。</w:t>
            </w:r>
          </w:p>
          <w:p w14:paraId="634C77DB">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31918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EEE628D">
            <w:pPr>
              <w:spacing w:line="400" w:lineRule="exact"/>
              <w:jc w:val="center"/>
              <w:rPr>
                <w:rFonts w:ascii="宋体" w:hAnsi="宋体" w:cs="宋体"/>
                <w:color w:val="auto"/>
                <w:sz w:val="24"/>
                <w:highlight w:val="none"/>
              </w:rPr>
            </w:pPr>
            <w:bookmarkStart w:id="38" w:name="_26"/>
            <w:bookmarkEnd w:id="38"/>
            <w:r>
              <w:rPr>
                <w:rFonts w:hint="eastAsia" w:ascii="宋体" w:hAnsi="宋体" w:cs="宋体"/>
                <w:color w:val="auto"/>
                <w:sz w:val="24"/>
                <w:highlight w:val="none"/>
              </w:rPr>
              <w:t>13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09E06A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评标委员会组成：共5人组成，由业主评委1人和政府采购评审专家4人组成。</w:t>
            </w:r>
          </w:p>
        </w:tc>
      </w:tr>
      <w:tr w14:paraId="3836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6B09024">
            <w:pPr>
              <w:spacing w:line="400" w:lineRule="exact"/>
              <w:jc w:val="center"/>
              <w:rPr>
                <w:rFonts w:ascii="宋体" w:hAnsi="宋体" w:cs="宋体"/>
                <w:color w:val="auto"/>
                <w:sz w:val="24"/>
                <w:highlight w:val="none"/>
              </w:rPr>
            </w:pPr>
            <w:bookmarkStart w:id="39" w:name="_28.3"/>
            <w:bookmarkEnd w:id="39"/>
            <w:r>
              <w:rPr>
                <w:rFonts w:hint="eastAsia" w:ascii="宋体" w:hAnsi="宋体" w:cs="宋体"/>
                <w:color w:val="auto"/>
                <w:sz w:val="24"/>
                <w:highlight w:val="none"/>
              </w:rPr>
              <w:t>14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A050069">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评标方法：</w:t>
            </w:r>
          </w:p>
          <w:p w14:paraId="741EAD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☑综合评分法</w:t>
            </w:r>
          </w:p>
          <w:p w14:paraId="2866B0F7">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□最低评标价法</w:t>
            </w:r>
          </w:p>
        </w:tc>
      </w:tr>
      <w:tr w14:paraId="6791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noWrap w:val="0"/>
            <w:vAlign w:val="center"/>
          </w:tcPr>
          <w:p w14:paraId="6A653E88">
            <w:pPr>
              <w:spacing w:line="400" w:lineRule="exact"/>
              <w:jc w:val="center"/>
              <w:rPr>
                <w:rFonts w:ascii="宋体" w:hAnsi="宋体" w:cs="宋体"/>
                <w:color w:val="auto"/>
                <w:sz w:val="24"/>
                <w:highlight w:val="none"/>
              </w:rPr>
            </w:pPr>
            <w:bookmarkStart w:id="40" w:name="_29.2.2（2）"/>
            <w:bookmarkEnd w:id="40"/>
            <w:r>
              <w:rPr>
                <w:rFonts w:hint="eastAsia" w:ascii="宋体" w:hAnsi="宋体" w:cs="宋体"/>
                <w:color w:val="auto"/>
                <w:sz w:val="24"/>
                <w:highlight w:val="none"/>
              </w:rPr>
              <w:t>15</w:t>
            </w:r>
          </w:p>
        </w:tc>
        <w:tc>
          <w:tcPr>
            <w:tcW w:w="8571" w:type="dxa"/>
            <w:tcBorders>
              <w:top w:val="single" w:color="auto" w:sz="4" w:space="0"/>
              <w:left w:val="single" w:color="auto" w:sz="4" w:space="0"/>
              <w:right w:val="single" w:color="auto" w:sz="4" w:space="0"/>
            </w:tcBorders>
            <w:noWrap w:val="0"/>
            <w:vAlign w:val="center"/>
          </w:tcPr>
          <w:p w14:paraId="7F9CC19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0 </w:t>
            </w:r>
            <w:r>
              <w:rPr>
                <w:rFonts w:hint="eastAsia" w:ascii="宋体" w:hAnsi="宋体" w:cs="宋体"/>
                <w:color w:val="auto"/>
                <w:sz w:val="24"/>
                <w:highlight w:val="none"/>
              </w:rPr>
              <w:t>项。</w:t>
            </w:r>
          </w:p>
          <w:p w14:paraId="7CF68174">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项（含）（除“▲”以外的所有参数指标）。</w:t>
            </w:r>
          </w:p>
        </w:tc>
      </w:tr>
      <w:tr w14:paraId="16B6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7E995C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74597C1">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采购人确定中标人时，出现中标候选人并列的情形，采购人按以下的方式确定中标人：</w:t>
            </w:r>
          </w:p>
          <w:p w14:paraId="507AA9EE">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☑政策分得分高的优先、技术评分高的优先、商务评分高的优先的顺序</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604F32D4">
            <w:pPr>
              <w:snapToGrid w:val="0"/>
              <w:spacing w:line="400" w:lineRule="exact"/>
              <w:rPr>
                <w:rFonts w:hint="eastAsia" w:ascii="宋体" w:hAnsi="宋体" w:cs="宋体"/>
                <w:b/>
                <w:color w:val="auto"/>
                <w:sz w:val="24"/>
                <w:highlight w:val="none"/>
              </w:rPr>
            </w:pPr>
            <w:r>
              <w:rPr>
                <w:rFonts w:hint="eastAsia" w:ascii="宋体" w:hAnsi="宋体" w:cs="宋体"/>
                <w:color w:val="auto"/>
                <w:sz w:val="24"/>
                <w:highlight w:val="none"/>
              </w:rPr>
              <w:t>□随机抽取</w:t>
            </w:r>
          </w:p>
        </w:tc>
      </w:tr>
      <w:tr w14:paraId="70FF0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1FF7BC62">
            <w:pPr>
              <w:spacing w:line="400" w:lineRule="exact"/>
              <w:jc w:val="center"/>
              <w:rPr>
                <w:rFonts w:ascii="宋体" w:hAnsi="宋体" w:cs="宋体"/>
                <w:color w:val="auto"/>
                <w:sz w:val="24"/>
                <w:highlight w:val="none"/>
              </w:rPr>
            </w:pPr>
            <w:bookmarkStart w:id="41" w:name="_39.1"/>
            <w:bookmarkEnd w:id="41"/>
            <w:r>
              <w:rPr>
                <w:rFonts w:hint="eastAsia" w:ascii="宋体" w:hAnsi="宋体" w:cs="宋体"/>
                <w:color w:val="auto"/>
                <w:sz w:val="24"/>
                <w:highlight w:val="none"/>
              </w:rPr>
              <w:t>17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E60DCA2">
            <w:pPr>
              <w:autoSpaceDE w:val="0"/>
              <w:autoSpaceDN w:val="0"/>
              <w:snapToGrid w:val="0"/>
              <w:spacing w:line="400" w:lineRule="exact"/>
              <w:textAlignment w:val="bottom"/>
              <w:rPr>
                <w:rFonts w:hint="eastAsia" w:ascii="宋体" w:hAnsi="宋体" w:cs="宋体"/>
                <w:color w:val="auto"/>
                <w:kern w:val="0"/>
                <w:sz w:val="24"/>
                <w:highlight w:val="none"/>
              </w:rPr>
            </w:pPr>
            <w:r>
              <w:rPr>
                <w:rFonts w:hint="eastAsia" w:ascii="宋体" w:hAnsi="宋体" w:cs="宋体"/>
                <w:color w:val="auto"/>
                <w:sz w:val="24"/>
                <w:highlight w:val="none"/>
              </w:rPr>
              <w:t>履约保证金金额：无。</w:t>
            </w:r>
          </w:p>
        </w:tc>
      </w:tr>
      <w:tr w14:paraId="58664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6B4D374">
            <w:pPr>
              <w:spacing w:line="400" w:lineRule="exact"/>
              <w:jc w:val="center"/>
              <w:rPr>
                <w:rFonts w:ascii="宋体" w:hAnsi="宋体" w:cs="宋体"/>
                <w:color w:val="auto"/>
                <w:sz w:val="24"/>
                <w:highlight w:val="none"/>
              </w:rPr>
            </w:pPr>
            <w:bookmarkStart w:id="42" w:name="_40.1"/>
            <w:bookmarkEnd w:id="42"/>
            <w:r>
              <w:rPr>
                <w:rFonts w:hint="eastAsia" w:ascii="宋体" w:hAnsi="宋体" w:cs="宋体"/>
                <w:color w:val="auto"/>
                <w:sz w:val="24"/>
                <w:highlight w:val="none"/>
              </w:rPr>
              <w:t>18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78D5FF3">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11168F2A">
            <w:pPr>
              <w:autoSpaceDE w:val="0"/>
              <w:autoSpaceDN w:val="0"/>
              <w:snapToGrid w:val="0"/>
              <w:spacing w:line="400" w:lineRule="exact"/>
              <w:textAlignment w:val="bottom"/>
              <w:rPr>
                <w:rFonts w:hint="eastAsia"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电子采购合同需要供应商通过有效CA证书进行电子签名与签章。</w:t>
            </w:r>
          </w:p>
        </w:tc>
      </w:tr>
      <w:tr w14:paraId="1A3AE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422EFD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BC4EA5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接收质疑函方式：以书面形式</w:t>
            </w:r>
          </w:p>
          <w:p w14:paraId="55F365EC">
            <w:pPr>
              <w:snapToGrid w:val="0"/>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质疑联系部门及联系方式：广西信和招标代理有限公司，联系电话：0772-2128755，通讯地址：</w:t>
            </w:r>
            <w:r>
              <w:rPr>
                <w:rFonts w:hint="eastAsia" w:ascii="宋体" w:hAnsi="宋体" w:cs="宋体"/>
                <w:color w:val="auto"/>
                <w:sz w:val="24"/>
                <w:highlight w:val="none"/>
                <w:lang w:eastAsia="zh-CN"/>
              </w:rPr>
              <w:t>柳州市桂中大道南端2号阳光壹佰城市广场35栋12-7</w:t>
            </w:r>
          </w:p>
        </w:tc>
      </w:tr>
      <w:tr w14:paraId="17338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4D66C6A">
            <w:pPr>
              <w:snapToGrid w:val="0"/>
              <w:spacing w:line="400" w:lineRule="exact"/>
              <w:jc w:val="center"/>
              <w:rPr>
                <w:rFonts w:ascii="宋体" w:hAnsi="宋体" w:cs="宋体"/>
                <w:color w:val="auto"/>
                <w:sz w:val="24"/>
                <w:highlight w:val="none"/>
              </w:rPr>
            </w:pPr>
            <w:bookmarkStart w:id="43" w:name="_41"/>
            <w:bookmarkEnd w:id="43"/>
            <w:bookmarkStart w:id="44" w:name="_42"/>
            <w:bookmarkEnd w:id="44"/>
            <w:r>
              <w:rPr>
                <w:rFonts w:hint="eastAsia" w:ascii="宋体" w:hAnsi="宋体" w:cs="宋体"/>
                <w:color w:val="auto"/>
                <w:sz w:val="24"/>
                <w:highlight w:val="none"/>
              </w:rPr>
              <w:t>20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127D63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0D6299DB">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法律责任：</w:t>
            </w:r>
          </w:p>
          <w:p w14:paraId="0711ADA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B6B7EA5">
            <w:pPr>
              <w:snapToGrid w:val="0"/>
              <w:spacing w:line="400" w:lineRule="exact"/>
              <w:rPr>
                <w:rFonts w:hint="eastAsia"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253C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0C3542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9E624C2">
            <w:pPr>
              <w:pStyle w:val="13"/>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7838F74">
            <w:pPr>
              <w:pStyle w:val="13"/>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E862137">
            <w:pPr>
              <w:pStyle w:val="13"/>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3.本招标文件中描述投标人的“签字（或签名）”是指投标人的法定代表人或者委托代理人亲自在文件规定签署处亲笔写上个人的名字的行为（或加盖按规定办理的CA电子签字章），私章、签字章、印鉴、影印等其他形式均不能代替亲笔签字。</w:t>
            </w:r>
          </w:p>
          <w:p w14:paraId="17CDE632">
            <w:pPr>
              <w:pStyle w:val="13"/>
              <w:snapToGrid w:val="0"/>
              <w:spacing w:line="400" w:lineRule="exac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4.自然人投标的，招标文件规定盖公章处由自然人摁手指指印。</w:t>
            </w:r>
          </w:p>
          <w:p w14:paraId="48141E21">
            <w:pPr>
              <w:spacing w:line="400" w:lineRule="exact"/>
              <w:jc w:val="left"/>
              <w:rPr>
                <w:rFonts w:hint="eastAsia"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bookmarkEnd w:id="21"/>
      <w:bookmarkEnd w:id="22"/>
    </w:tbl>
    <w:p w14:paraId="7C9B85CC">
      <w:pPr>
        <w:pStyle w:val="13"/>
        <w:snapToGrid w:val="0"/>
        <w:spacing w:line="360" w:lineRule="exact"/>
        <w:jc w:val="center"/>
        <w:rPr>
          <w:rFonts w:hint="eastAsia" w:hAnsi="宋体" w:cs="宋体"/>
          <w:b/>
          <w:color w:val="auto"/>
          <w:sz w:val="24"/>
          <w:szCs w:val="24"/>
          <w:highlight w:val="none"/>
        </w:rPr>
      </w:pPr>
      <w:r>
        <w:rPr>
          <w:rFonts w:hint="eastAsia" w:hAnsi="宋体" w:cs="宋体"/>
          <w:b/>
          <w:color w:val="auto"/>
          <w:highlight w:val="none"/>
        </w:rPr>
        <w:br w:type="page"/>
      </w:r>
      <w:r>
        <w:rPr>
          <w:rFonts w:hint="eastAsia" w:hAnsi="宋体" w:cs="宋体"/>
          <w:b/>
          <w:color w:val="auto"/>
          <w:sz w:val="24"/>
          <w:szCs w:val="24"/>
          <w:highlight w:val="none"/>
        </w:rPr>
        <w:t>一、总  则</w:t>
      </w:r>
    </w:p>
    <w:p w14:paraId="37ED788E">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45" w:name="_Toc254970668"/>
      <w:bookmarkStart w:id="46" w:name="_Toc254970527"/>
      <w:r>
        <w:rPr>
          <w:rFonts w:hint="eastAsia" w:ascii="宋体" w:hAnsi="宋体" w:cs="宋体"/>
          <w:color w:val="auto"/>
          <w:sz w:val="24"/>
          <w:highlight w:val="none"/>
        </w:rPr>
        <w:t>1.适用范围</w:t>
      </w:r>
    </w:p>
    <w:p w14:paraId="185377B0">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E7208E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1.2本招标文件</w:t>
      </w:r>
      <w:r>
        <w:rPr>
          <w:rFonts w:hint="eastAsia" w:ascii="宋体" w:hAnsi="宋体" w:cs="宋体"/>
          <w:color w:val="auto"/>
          <w:spacing w:val="-6"/>
          <w:sz w:val="24"/>
          <w:highlight w:val="none"/>
        </w:rPr>
        <w:t>适用于本项目的所有采购程序和环节（法律、法规另有规定的，从其规定）。</w:t>
      </w:r>
    </w:p>
    <w:p w14:paraId="6E657F82">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2.定义</w:t>
      </w:r>
    </w:p>
    <w:p w14:paraId="137A6BF9">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2.1“采购人”是指依法进行政府采购的国家机关、事业单位、团体组织。</w:t>
      </w:r>
    </w:p>
    <w:p w14:paraId="6700AC77">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2.2“采购代理机构”是指政府采购代理机构（以下简称采购代理机构）是指集中采购机构以外、受采购人委托从事政府采购代理业务的社会中介机构。</w:t>
      </w:r>
    </w:p>
    <w:p w14:paraId="26AE131C">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2.3“供应商”是指向采购人提供货物、工程或者服务的法人、其他组织或者自然人。</w:t>
      </w:r>
    </w:p>
    <w:p w14:paraId="20965696">
      <w:pPr>
        <w:pStyle w:val="8"/>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2.4“投标人”是指响应招标、参加投标竞争的法人、非法人组织或者自然人。</w:t>
      </w:r>
    </w:p>
    <w:p w14:paraId="1473C162">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2.5“货物”是指各种形态和种类的物品，包括原材料、燃料、设备、产品等。</w:t>
      </w:r>
    </w:p>
    <w:p w14:paraId="23379601">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2.6“售后服务” 是指商品出售以后所提供的各种服务，包含但不限于投标人须承担的备品备件、包装、运输、装卸、保险、货到就位以及安装、调试、培训、保修以及其他各种服务。</w:t>
      </w:r>
    </w:p>
    <w:p w14:paraId="008982CD">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2.7“书面形式”是指合同书、信件和数据电文（包括电报、电传、传真、电子数据交换和电子邮件）等可以有形地表现所载内容的形式。</w:t>
      </w:r>
    </w:p>
    <w:p w14:paraId="31342575">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2.8“实质性要求”是指招标文件中已经指明不满足则投标无效的条款，或者不能负偏离的条款，或者采购需求中带“▲”的条款。</w:t>
      </w:r>
    </w:p>
    <w:p w14:paraId="6D44F7C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2.9 “正偏离”，是指投标文件对招标文件“采购需求”中有关条款作出的响应优于条款要求并有利于采购人的情形。</w:t>
      </w:r>
    </w:p>
    <w:p w14:paraId="148F63AD">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2.10“负偏离”，是指投标文件对招标文件“采购需求”中有关条款作出的响应不满足条款要求，导致采购人要求不能得到满足的情形。</w:t>
      </w:r>
    </w:p>
    <w:p w14:paraId="10237BD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2.11“允许负偏离的条款”是指采购需求中的不属于“实质性要求”的条款。</w:t>
      </w:r>
    </w:p>
    <w:p w14:paraId="57EE93F7">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3.投标人的资格要求</w:t>
      </w:r>
    </w:p>
    <w:p w14:paraId="4FB66ECF">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投标人的资格要求详见“投标人须知前附表”。</w:t>
      </w:r>
    </w:p>
    <w:p w14:paraId="3D9777D7">
      <w:pPr>
        <w:snapToGrid w:val="0"/>
        <w:spacing w:line="400" w:lineRule="exact"/>
        <w:ind w:firstLine="422" w:firstLineChars="175"/>
        <w:jc w:val="left"/>
        <w:rPr>
          <w:rFonts w:hint="eastAsia" w:ascii="宋体" w:hAnsi="宋体" w:cs="宋体"/>
          <w:b/>
          <w:bCs/>
          <w:color w:val="auto"/>
          <w:sz w:val="24"/>
          <w:highlight w:val="none"/>
        </w:rPr>
      </w:pPr>
      <w:r>
        <w:rPr>
          <w:rFonts w:hint="eastAsia" w:ascii="宋体" w:hAnsi="宋体" w:cs="宋体"/>
          <w:b/>
          <w:bCs/>
          <w:color w:val="auto"/>
          <w:sz w:val="24"/>
          <w:highlight w:val="none"/>
        </w:rPr>
        <w:t>4.投标委托</w:t>
      </w:r>
    </w:p>
    <w:p w14:paraId="0D5E66D1">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投标人代表参加投标活动过程中必须携带个人有效身份证件。如投标人代表不是法定代表人，须持有法定代表人授权委托书（正本用原件，副本用复印件，按第六章要求格式填写）。</w:t>
      </w:r>
    </w:p>
    <w:p w14:paraId="595D637F">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47" w:name="_5.投标费用"/>
      <w:bookmarkEnd w:id="47"/>
      <w:r>
        <w:rPr>
          <w:rFonts w:hint="eastAsia" w:ascii="宋体" w:hAnsi="宋体" w:cs="宋体"/>
          <w:color w:val="auto"/>
          <w:sz w:val="24"/>
          <w:highlight w:val="none"/>
        </w:rPr>
        <w:t>5.投标费用</w:t>
      </w:r>
    </w:p>
    <w:p w14:paraId="2D5DC20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76E92E48">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6.联合体投标</w:t>
      </w:r>
    </w:p>
    <w:p w14:paraId="5533B322">
      <w:pPr>
        <w:snapToGrid w:val="0"/>
        <w:spacing w:line="400" w:lineRule="exact"/>
        <w:ind w:firstLine="420" w:firstLineChars="175"/>
        <w:jc w:val="left"/>
        <w:rPr>
          <w:rFonts w:hint="eastAsia" w:ascii="宋体" w:hAnsi="宋体" w:cs="宋体"/>
          <w:bCs/>
          <w:color w:val="auto"/>
          <w:sz w:val="24"/>
          <w:highlight w:val="none"/>
        </w:rPr>
      </w:pPr>
      <w:r>
        <w:rPr>
          <w:rFonts w:hint="eastAsia" w:ascii="宋体" w:hAnsi="宋体" w:cs="宋体"/>
          <w:bCs/>
          <w:color w:val="auto"/>
          <w:sz w:val="24"/>
          <w:highlight w:val="none"/>
        </w:rPr>
        <w:t>本项目</w:t>
      </w:r>
      <w:r>
        <w:rPr>
          <w:rFonts w:hint="eastAsia" w:ascii="宋体" w:hAnsi="宋体" w:cs="宋体"/>
          <w:b/>
          <w:color w:val="auto"/>
          <w:sz w:val="24"/>
          <w:highlight w:val="none"/>
          <w:u w:val="single"/>
        </w:rPr>
        <w:t>不接受</w:t>
      </w:r>
      <w:r>
        <w:rPr>
          <w:rFonts w:hint="eastAsia" w:ascii="宋体" w:hAnsi="宋体" w:cs="宋体"/>
          <w:bCs/>
          <w:color w:val="auto"/>
          <w:sz w:val="24"/>
          <w:highlight w:val="none"/>
        </w:rPr>
        <w:t>联合体投标。</w:t>
      </w:r>
    </w:p>
    <w:p w14:paraId="50573CAF">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 xml:space="preserve">7.转包与分包             </w:t>
      </w:r>
    </w:p>
    <w:p w14:paraId="3D7EAB98">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7.1本项目不允许转包。</w:t>
      </w:r>
    </w:p>
    <w:p w14:paraId="680E7936">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4B7AA16">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8.特别说明：</w:t>
      </w:r>
    </w:p>
    <w:p w14:paraId="19EB65EA">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48" w:name="_8.1提供相同品牌产品且通过资格审查、符合性审查的不同投标人参加同一合"/>
      <w:bookmarkEnd w:id="48"/>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"_8.1"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8.1</w:t>
      </w:r>
      <w:r>
        <w:rPr>
          <w:rFonts w:hint="eastAsia" w:ascii="宋体" w:hAnsi="宋体" w:cs="宋体"/>
          <w:color w:val="auto"/>
          <w:sz w:val="24"/>
          <w:highlight w:val="none"/>
        </w:rPr>
        <w:fldChar w:fldCharType="end"/>
      </w:r>
      <w:r>
        <w:rPr>
          <w:rFonts w:hint="eastAsia" w:ascii="宋体" w:hAnsi="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62BE66C7">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非单一产品采购项目，多家投标人提供的核心产品品牌相同的，按前款规定处理。</w:t>
      </w:r>
    </w:p>
    <w:p w14:paraId="77B21D6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8.2如果本招标文件要求投标人提供资格、信誉、荣誉、业绩与企业认证等材料的，则投标人所提供的以上材料必须为投标人所拥有。</w:t>
      </w:r>
    </w:p>
    <w:p w14:paraId="795853FA">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8.3投标人应仔细阅读招标文件的所有内容，按照招标文件的要求提交投标文件，并对所提供的全部资料的真实性承担法律责任。</w:t>
      </w:r>
    </w:p>
    <w:p w14:paraId="6C0239B1">
      <w:pPr>
        <w:pStyle w:val="7"/>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8.4投标人在投标活动中提供任何虚假材料，将报监管部门查处</w:t>
      </w:r>
      <w:r>
        <w:rPr>
          <w:rFonts w:hint="eastAsia" w:ascii="宋体" w:hAnsi="宋体" w:cs="宋体"/>
          <w:color w:val="auto"/>
          <w:sz w:val="24"/>
          <w:highlight w:val="none"/>
          <w:lang w:eastAsia="zh-CN"/>
        </w:rPr>
        <w:t>。</w:t>
      </w:r>
    </w:p>
    <w:p w14:paraId="29956499">
      <w:pPr>
        <w:pStyle w:val="7"/>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9.回避与串通投标</w:t>
      </w:r>
    </w:p>
    <w:p w14:paraId="69D55DD9">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9.1在政府采购活动中，采购人员及相关人员与供应商有下列利害关系之一的，应当回避：</w:t>
      </w:r>
    </w:p>
    <w:p w14:paraId="1948B345">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（1）参加采购活动前3年内与供应商存在劳动关系；</w:t>
      </w:r>
    </w:p>
    <w:p w14:paraId="7A5C3360">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（2）参加采购活动前3年内担任供应商的董事、监事；</w:t>
      </w:r>
    </w:p>
    <w:p w14:paraId="66631EA6">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（3）参加采购活动前3年内是供应商的控股股东或者实际控制人；</w:t>
      </w:r>
    </w:p>
    <w:p w14:paraId="10FA7158">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（4）与供应商的法定代表人或者负责人有夫妻、直系血亲、三代以内旁系血亲或者近姻亲关系；</w:t>
      </w:r>
    </w:p>
    <w:p w14:paraId="14592BA8">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（5）与供应商有其他可能影响政府采购活动公平、公正进行的关系。</w:t>
      </w:r>
    </w:p>
    <w:p w14:paraId="2696FC0C">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B33357">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9.2有下列情形之一的视为投标人相互串通投标，投标文件将被视为无效：</w:t>
      </w:r>
    </w:p>
    <w:p w14:paraId="6CD1EB6F">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（1）不同投标人的投标文件由同一单位或者个人编制；或者不同投标人报名的IP地址一致的；</w:t>
      </w:r>
    </w:p>
    <w:p w14:paraId="47339A41">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（2）不同投标人委托同一单位或者个人办理投标事宜；</w:t>
      </w:r>
    </w:p>
    <w:p w14:paraId="2C760D29">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（3）不同的投标人的投标文件载明的项目管理员为同一个人；</w:t>
      </w:r>
    </w:p>
    <w:p w14:paraId="1E92C38F">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（4）不同投标人的投标文件异常一致或者投标报价呈规律性差异；</w:t>
      </w:r>
    </w:p>
    <w:p w14:paraId="50C84246">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（5）不同投标人的投标文件相互混装；</w:t>
      </w:r>
    </w:p>
    <w:p w14:paraId="79F0CA67">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（6）不同投标人的投标保证金从同一单位或者个人账户转出。</w:t>
      </w:r>
    </w:p>
    <w:p w14:paraId="71CA32E2">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9.3供应商有下列情形之一的，属于恶意串通行为，将报同级监督管理部门：</w:t>
      </w:r>
    </w:p>
    <w:p w14:paraId="12968A1C">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（1）供应商直接或者间接从采购人或者采购代理机构处获得其他供应商的相关信息并修改其投标文件或者响应文件；</w:t>
      </w:r>
    </w:p>
    <w:p w14:paraId="2338B735">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（2）供应商按照采购人或者采购代理机构的授意撤换、修改投标文件或者响应文件；</w:t>
      </w:r>
    </w:p>
    <w:p w14:paraId="55B92371">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（3）供应商之间协商报价、技术方案等投标文件或者响应文件的实质性内容；</w:t>
      </w:r>
    </w:p>
    <w:p w14:paraId="037BBB22">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（4）属于同一集团、协会、商会等组织成员的供应商按照该组织要求协同参加政府采购活动；</w:t>
      </w:r>
    </w:p>
    <w:p w14:paraId="05D8D96C">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13501A86">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（6）供应商之间商定部分供应商放弃参加政府采购活动或者放弃中标；</w:t>
      </w:r>
    </w:p>
    <w:p w14:paraId="6DF65CF3">
      <w:pPr>
        <w:snapToGrid w:val="0"/>
        <w:spacing w:line="400" w:lineRule="exact"/>
        <w:ind w:firstLine="422" w:firstLineChars="175"/>
        <w:jc w:val="left"/>
        <w:outlineLvl w:val="1"/>
        <w:rPr>
          <w:rFonts w:hint="eastAsia" w:ascii="宋体" w:hAnsi="宋体" w:cs="宋体"/>
          <w:b/>
          <w:color w:val="auto"/>
          <w:sz w:val="24"/>
          <w:highlight w:val="none"/>
        </w:rPr>
      </w:pPr>
      <w:bookmarkStart w:id="49" w:name="_Toc8354"/>
      <w:r>
        <w:rPr>
          <w:rFonts w:hint="eastAsia" w:ascii="宋体" w:hAnsi="宋体" w:cs="宋体"/>
          <w:b/>
          <w:color w:val="auto"/>
          <w:sz w:val="24"/>
          <w:highlight w:val="none"/>
        </w:rPr>
        <w:t>（7）供应商与采购人或者采购代理机构之间、供应商相互之间，为谋求特定供应商中标或者排斥其他供应商的其他串通行为。</w:t>
      </w:r>
      <w:bookmarkEnd w:id="49"/>
    </w:p>
    <w:p w14:paraId="095AA10E">
      <w:pPr>
        <w:snapToGrid w:val="0"/>
        <w:spacing w:line="400" w:lineRule="exact"/>
        <w:ind w:firstLine="422" w:firstLineChars="175"/>
        <w:jc w:val="center"/>
        <w:outlineLvl w:val="1"/>
        <w:rPr>
          <w:rFonts w:hint="eastAsia" w:ascii="宋体" w:hAnsi="宋体" w:cs="宋体"/>
          <w:b/>
          <w:color w:val="auto"/>
          <w:sz w:val="24"/>
          <w:highlight w:val="none"/>
        </w:rPr>
      </w:pPr>
    </w:p>
    <w:p w14:paraId="156632FC">
      <w:pPr>
        <w:snapToGrid w:val="0"/>
        <w:spacing w:line="400" w:lineRule="exact"/>
        <w:ind w:firstLine="422" w:firstLineChars="175"/>
        <w:jc w:val="center"/>
        <w:outlineLvl w:val="1"/>
        <w:rPr>
          <w:rFonts w:hint="eastAsia" w:ascii="宋体" w:hAnsi="宋体" w:cs="宋体"/>
          <w:b/>
          <w:color w:val="auto"/>
          <w:sz w:val="24"/>
          <w:highlight w:val="none"/>
        </w:rPr>
      </w:pPr>
      <w:bookmarkStart w:id="50" w:name="_Toc10051"/>
      <w:r>
        <w:rPr>
          <w:rFonts w:hint="eastAsia" w:ascii="宋体" w:hAnsi="宋体" w:cs="宋体"/>
          <w:b/>
          <w:color w:val="auto"/>
          <w:sz w:val="24"/>
          <w:highlight w:val="none"/>
        </w:rPr>
        <w:t>二、招标文件</w:t>
      </w:r>
      <w:bookmarkEnd w:id="50"/>
    </w:p>
    <w:p w14:paraId="73E1547E">
      <w:pPr>
        <w:pStyle w:val="7"/>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10.招标文件的组成</w:t>
      </w:r>
    </w:p>
    <w:p w14:paraId="7EF1C37B">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（1）招标公告；</w:t>
      </w:r>
    </w:p>
    <w:p w14:paraId="6E069EA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 xml:space="preserve">（2）采购需求； </w:t>
      </w:r>
    </w:p>
    <w:p w14:paraId="30B85F49">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（3）投标人须知；</w:t>
      </w:r>
    </w:p>
    <w:p w14:paraId="76BD219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（4）评标方法及评标标准；</w:t>
      </w:r>
    </w:p>
    <w:p w14:paraId="2CB2F6D6">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（5）拟签订的合同（协议）文本；</w:t>
      </w:r>
    </w:p>
    <w:p w14:paraId="5300A472">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（6）投标文件格式。</w:t>
      </w:r>
    </w:p>
    <w:p w14:paraId="5D54466A">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277FEA5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A8BCD6">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3D9CB7EE">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11.2</w:t>
      </w:r>
      <w:bookmarkStart w:id="51" w:name="_Hlk53134511"/>
      <w:r>
        <w:rPr>
          <w:rFonts w:hint="eastAsia" w:hAnsi="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4EDEB06A">
      <w:pPr>
        <w:pStyle w:val="13"/>
        <w:snapToGrid w:val="0"/>
        <w:spacing w:line="400" w:lineRule="exact"/>
        <w:ind w:firstLine="422" w:firstLineChars="175"/>
        <w:jc w:val="center"/>
        <w:rPr>
          <w:rFonts w:hint="eastAsia" w:hAnsi="宋体" w:cs="宋体"/>
          <w:b/>
          <w:color w:val="auto"/>
          <w:sz w:val="24"/>
          <w:szCs w:val="24"/>
          <w:highlight w:val="none"/>
        </w:rPr>
      </w:pPr>
    </w:p>
    <w:p w14:paraId="33625E64">
      <w:pPr>
        <w:pStyle w:val="13"/>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三、投标文件的编制</w:t>
      </w:r>
    </w:p>
    <w:p w14:paraId="0092B434">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12.投标文件的编制原则</w:t>
      </w:r>
    </w:p>
    <w:p w14:paraId="63D365E3">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投标人必须按照招标文件的要求编制投标文件。投标文件必须对招标文件提出的要求和条件作出明确响应。</w:t>
      </w:r>
    </w:p>
    <w:p w14:paraId="57C335E2">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13.投标文件的组成</w:t>
      </w:r>
    </w:p>
    <w:p w14:paraId="117FAC24">
      <w:pPr>
        <w:snapToGrid w:val="0"/>
        <w:spacing w:line="400" w:lineRule="exact"/>
        <w:ind w:firstLine="420" w:firstLineChars="175"/>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5AC84075">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（1）电子投标文件中须加盖公章部分均应采用投标人CA电子签章，否则视为投标无效。</w:t>
      </w:r>
    </w:p>
    <w:p w14:paraId="70AD9AA7">
      <w:pPr>
        <w:snapToGrid w:val="0"/>
        <w:spacing w:line="400" w:lineRule="exact"/>
        <w:ind w:firstLine="422" w:firstLineChars="175"/>
        <w:jc w:val="left"/>
        <w:rPr>
          <w:rFonts w:hint="eastAsia" w:ascii="宋体" w:hAnsi="宋体" w:cs="宋体"/>
          <w:b/>
          <w:color w:val="auto"/>
          <w:sz w:val="24"/>
          <w:highlight w:val="none"/>
        </w:rPr>
      </w:pPr>
      <w:r>
        <w:rPr>
          <w:rFonts w:hint="eastAsia" w:ascii="宋体" w:hAnsi="宋体" w:cs="宋体"/>
          <w:b/>
          <w:color w:val="auto"/>
          <w:sz w:val="24"/>
          <w:highlight w:val="none"/>
        </w:rPr>
        <w:t>（2）公开招标文件要求由法定代表人（负责人、自然人）或委托代理人签字的材料，必须由本人亲笔签字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，无亲笔签字</w:t>
      </w:r>
      <w:r>
        <w:rPr>
          <w:rFonts w:hint="eastAsia" w:ascii="宋体" w:hAnsi="宋体" w:cs="宋体"/>
          <w:b/>
          <w:bCs/>
          <w:color w:val="auto"/>
          <w:sz w:val="24"/>
          <w:highlight w:val="none"/>
        </w:rPr>
        <w:t>（或加盖按规定办理的CA电子签字章）</w:t>
      </w:r>
      <w:r>
        <w:rPr>
          <w:rFonts w:hint="eastAsia" w:ascii="宋体" w:hAnsi="宋体" w:cs="宋体"/>
          <w:b/>
          <w:color w:val="auto"/>
          <w:sz w:val="24"/>
          <w:highlight w:val="none"/>
        </w:rPr>
        <w:t>的视为投标无效。</w:t>
      </w:r>
    </w:p>
    <w:p w14:paraId="46992170">
      <w:pPr>
        <w:snapToGrid w:val="0"/>
        <w:spacing w:line="400" w:lineRule="exact"/>
        <w:ind w:firstLine="422" w:firstLineChars="175"/>
        <w:jc w:val="left"/>
        <w:rPr>
          <w:rFonts w:hint="eastAsia" w:ascii="宋体" w:hAnsi="宋体" w:cs="宋体"/>
          <w:color w:val="auto"/>
          <w:sz w:val="24"/>
          <w:highlight w:val="none"/>
        </w:rPr>
      </w:pPr>
      <w:r>
        <w:rPr>
          <w:rFonts w:hint="eastAsia" w:ascii="宋体" w:hAnsi="宋体" w:cs="宋体"/>
          <w:b/>
          <w:color w:val="auto"/>
          <w:sz w:val="24"/>
          <w:highlight w:val="none"/>
        </w:rPr>
        <w:t>（3）投标人所上传的材料必须为PDF格式。</w:t>
      </w:r>
    </w:p>
    <w:p w14:paraId="77A5E9B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13.1投标文件由资格文件、报价文件、商务技术文件三部分组成。</w:t>
      </w:r>
    </w:p>
    <w:p w14:paraId="2460FDBE">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2" w:name="_13.1报价文件:_具体材料见“投标人须知前附表”。"/>
      <w:bookmarkEnd w:id="52"/>
      <w:r>
        <w:rPr>
          <w:rFonts w:hint="eastAsia" w:ascii="宋体" w:hAnsi="宋体" w:cs="宋体"/>
          <w:b w:val="0"/>
          <w:color w:val="auto"/>
          <w:sz w:val="24"/>
          <w:highlight w:val="none"/>
        </w:rPr>
        <w:t>（1）资格文件：具体材料见“投标人须知前附表”。</w:t>
      </w:r>
    </w:p>
    <w:p w14:paraId="3B744C3C">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3" w:name="_13.2资格证明文件：具体材料见“投标人须知前附表”。"/>
      <w:bookmarkEnd w:id="53"/>
      <w:r>
        <w:rPr>
          <w:rFonts w:hint="eastAsia" w:ascii="宋体" w:hAnsi="宋体" w:cs="宋体"/>
          <w:b w:val="0"/>
          <w:color w:val="auto"/>
          <w:sz w:val="24"/>
          <w:highlight w:val="none"/>
        </w:rPr>
        <w:t>（2）报价文件：具体材料见“投标人须知前附表”。</w:t>
      </w:r>
    </w:p>
    <w:p w14:paraId="3ED2A1AB">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4" w:name="_13.3商务文件:_具体材料见“投标人须知前附表”。"/>
      <w:bookmarkEnd w:id="54"/>
      <w:r>
        <w:rPr>
          <w:rFonts w:hint="eastAsia" w:ascii="宋体" w:hAnsi="宋体" w:cs="宋体"/>
          <w:b w:val="0"/>
          <w:color w:val="auto"/>
          <w:sz w:val="24"/>
          <w:highlight w:val="none"/>
        </w:rPr>
        <w:t>（3）商务技术文件：具体材料见“投标人须知前附表”。</w:t>
      </w:r>
    </w:p>
    <w:p w14:paraId="4BB36D93">
      <w:pPr>
        <w:snapToGrid w:val="0"/>
        <w:spacing w:line="400" w:lineRule="exact"/>
        <w:ind w:firstLine="420" w:firstLineChars="175"/>
        <w:rPr>
          <w:rFonts w:hint="eastAsia" w:ascii="宋体" w:hAnsi="宋体" w:cs="宋体"/>
          <w:bCs/>
          <w:color w:val="auto"/>
          <w:sz w:val="24"/>
          <w:highlight w:val="none"/>
        </w:rPr>
      </w:pPr>
      <w:bookmarkStart w:id="55" w:name="_13.5投标文件电子版：具体材料见“投标人须知前附表”。"/>
      <w:bookmarkEnd w:id="55"/>
      <w:r>
        <w:rPr>
          <w:rFonts w:hint="eastAsia" w:ascii="宋体" w:hAnsi="宋体" w:cs="宋体"/>
          <w:bCs/>
          <w:color w:val="auto"/>
          <w:sz w:val="24"/>
          <w:highlight w:val="none"/>
        </w:rPr>
        <w:t>13.2投标文件电子版：具体要求见本节19.投标文件编制。</w:t>
      </w:r>
    </w:p>
    <w:p w14:paraId="4D2101D3">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14.投标文件的语言及计量</w:t>
      </w:r>
    </w:p>
    <w:p w14:paraId="56C65D4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14.1语言文字</w:t>
      </w:r>
    </w:p>
    <w:p w14:paraId="6176683B">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32EFA4">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14.2投标计量单位</w:t>
      </w:r>
    </w:p>
    <w:p w14:paraId="3065566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招标文件已有明确规定的，使用招标文件规定的计量单位；招标文件没有规定的，应采用中华人民共和国法定计量单位，货币种类为人民币，否则视同未响应。</w:t>
      </w:r>
    </w:p>
    <w:p w14:paraId="10ADE7D6">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15.投标的风险</w:t>
      </w:r>
    </w:p>
    <w:p w14:paraId="3DB81DA4">
      <w:pPr>
        <w:pStyle w:val="13"/>
        <w:snapToGrid w:val="0"/>
        <w:spacing w:line="400" w:lineRule="exact"/>
        <w:ind w:firstLine="420" w:firstLineChars="175"/>
        <w:jc w:val="left"/>
        <w:rPr>
          <w:rFonts w:hint="eastAsia" w:hAnsi="宋体" w:cs="宋体"/>
          <w:color w:val="auto"/>
          <w:sz w:val="24"/>
          <w:szCs w:val="24"/>
          <w:highlight w:val="none"/>
          <w:lang w:eastAsia="zh-CN"/>
        </w:rPr>
      </w:pPr>
      <w:r>
        <w:rPr>
          <w:rFonts w:hint="eastAsia" w:hAnsi="宋体" w:cs="宋体"/>
          <w:color w:val="auto"/>
          <w:sz w:val="24"/>
          <w:szCs w:val="24"/>
          <w:highlight w:val="none"/>
        </w:rPr>
        <w:t>投标文件分为资格文件、报价文件</w:t>
      </w:r>
      <w:r>
        <w:rPr>
          <w:rFonts w:hint="eastAsia" w:hAnsi="宋体" w:cs="宋体"/>
          <w:color w:val="auto"/>
          <w:sz w:val="24"/>
          <w:szCs w:val="24"/>
          <w:highlight w:val="none"/>
          <w:lang w:eastAsia="zh-CN"/>
        </w:rPr>
        <w:t>、</w:t>
      </w:r>
      <w:r>
        <w:rPr>
          <w:rFonts w:hint="eastAsia" w:hAnsi="宋体" w:cs="宋体"/>
          <w:color w:val="auto"/>
          <w:sz w:val="24"/>
          <w:szCs w:val="24"/>
          <w:highlight w:val="none"/>
        </w:rPr>
        <w:t>商务技术文件三部分。各投标人在编制投标文件时请按照招标文件规定的格式进行，混乱的编排导致投标文件被误读或评标委员会查找不到有效文件是投标人的风险。▲</w:t>
      </w:r>
      <w:r>
        <w:rPr>
          <w:rFonts w:hint="eastAsia" w:hAnsi="宋体" w:cs="宋体"/>
          <w:b/>
          <w:bCs/>
          <w:color w:val="auto"/>
          <w:sz w:val="24"/>
          <w:szCs w:val="24"/>
          <w:highlight w:val="none"/>
        </w:rPr>
        <w:t>投标文件未按规定的格式编制的、没有按照招标文件要求提供全部资料、没有对招标文件作出实质性响应，投标无效；</w:t>
      </w:r>
    </w:p>
    <w:p w14:paraId="687B365E">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16.投标报价</w:t>
      </w:r>
    </w:p>
    <w:p w14:paraId="7B86120E">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16.1投标报价应按“第六章　投标文件格式”中“开标一览表”格式填写。</w:t>
      </w:r>
    </w:p>
    <w:p w14:paraId="44D85629">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56" w:name="_16.2投标报价具体定义见投标人须知前附表。"/>
      <w:bookmarkEnd w:id="56"/>
      <w:r>
        <w:rPr>
          <w:rFonts w:hint="eastAsia" w:ascii="宋体" w:hAnsi="宋体" w:cs="宋体"/>
          <w:b w:val="0"/>
          <w:color w:val="auto"/>
          <w:sz w:val="24"/>
          <w:highlight w:val="none"/>
        </w:rPr>
        <w:t>16.2投标报价具体包括内容详见“投标人须知前附表”。</w:t>
      </w:r>
    </w:p>
    <w:p w14:paraId="2A5CE13B">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16.3投标人必须就所投每个分标的全部内容分别作完整唯一总价报价，不得存在漏项报价；投标人必须就所投分标的单项内容作唯一报价。</w:t>
      </w:r>
    </w:p>
    <w:p w14:paraId="7F9EAE99">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17.投标有效期</w:t>
      </w:r>
    </w:p>
    <w:p w14:paraId="4CF85F71">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57" w:name="_17.1投标有效期应按“投标人须知中的前附表”规定的期限。"/>
      <w:bookmarkEnd w:id="57"/>
      <w:r>
        <w:rPr>
          <w:rFonts w:hint="eastAsia" w:ascii="宋体" w:hAnsi="宋体" w:cs="宋体"/>
          <w:b w:val="0"/>
          <w:color w:val="auto"/>
          <w:sz w:val="24"/>
          <w:highlight w:val="none"/>
        </w:rPr>
        <w:t>17.1投标有效期是指为保证采购人有足够的时间在开标后完成评标、定标、合同签订等工作而要求投标人提交的投标文件在一定时间内保持有效的期限。</w:t>
      </w:r>
    </w:p>
    <w:p w14:paraId="406E538C">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17.2</w:t>
      </w:r>
      <w:bookmarkStart w:id="58" w:name="_Toc254970540"/>
      <w:bookmarkStart w:id="59" w:name="_Toc254970681"/>
      <w:r>
        <w:rPr>
          <w:rFonts w:hint="eastAsia" w:ascii="宋体" w:hAnsi="宋体" w:cs="宋体"/>
          <w:b w:val="0"/>
          <w:color w:val="auto"/>
          <w:sz w:val="24"/>
          <w:highlight w:val="none"/>
        </w:rPr>
        <w:t xml:space="preserve"> 投标有效期应按规定的期限作出承诺，具体详见“投标人须知前附表”。</w:t>
      </w:r>
    </w:p>
    <w:p w14:paraId="53A634D7">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17.3投标人的投标文件在投标有效期内均保持有效。</w:t>
      </w:r>
      <w:bookmarkEnd w:id="58"/>
      <w:bookmarkEnd w:id="59"/>
    </w:p>
    <w:p w14:paraId="171190AD">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60" w:name="_18.投标保证金"/>
      <w:bookmarkEnd w:id="60"/>
      <w:r>
        <w:rPr>
          <w:rFonts w:hint="eastAsia" w:ascii="宋体" w:hAnsi="宋体" w:cs="宋体"/>
          <w:color w:val="auto"/>
          <w:sz w:val="24"/>
          <w:highlight w:val="none"/>
        </w:rPr>
        <w:t>18.投标保证金</w:t>
      </w:r>
    </w:p>
    <w:p w14:paraId="4543580C">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18.1投标人须按“投标人须知前附表” 的规定提交投标保证金。</w:t>
      </w:r>
    </w:p>
    <w:p w14:paraId="0D9A41FC">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18.2投标保证金的退还</w:t>
      </w:r>
    </w:p>
    <w:p w14:paraId="3423285E">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18.2.1未</w:t>
      </w:r>
      <w:r>
        <w:rPr>
          <w:rFonts w:hint="eastAsia" w:ascii="宋体" w:hAnsi="宋体" w:cs="宋体"/>
          <w:b w:val="0"/>
          <w:color w:val="auto"/>
          <w:sz w:val="24"/>
          <w:highlight w:val="none"/>
          <w:lang w:eastAsia="zh-CN"/>
        </w:rPr>
        <w:t>中标供应商</w:t>
      </w:r>
      <w:r>
        <w:rPr>
          <w:rFonts w:hint="eastAsia" w:ascii="宋体" w:hAnsi="宋体" w:cs="宋体"/>
          <w:b w:val="0"/>
          <w:color w:val="auto"/>
          <w:sz w:val="24"/>
          <w:highlight w:val="none"/>
        </w:rPr>
        <w:t>的投标保证金自中标通知书发出之日起5个工作日内退还，退还方式如下：</w:t>
      </w:r>
    </w:p>
    <w:p w14:paraId="15EB7375">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（1）采用电汇、转账、网上银行支付方式的，以转账方式退回到投标人银行账户。</w:t>
      </w:r>
    </w:p>
    <w:p w14:paraId="06592B0C">
      <w:pPr>
        <w:pStyle w:val="8"/>
        <w:numPr>
          <w:ilvl w:val="0"/>
          <w:numId w:val="4"/>
        </w:numPr>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292D35C0">
      <w:pPr>
        <w:pStyle w:val="8"/>
        <w:numPr>
          <w:ilvl w:val="0"/>
          <w:numId w:val="4"/>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18.2.2</w:t>
      </w:r>
      <w:r>
        <w:rPr>
          <w:rFonts w:hint="eastAsia" w:ascii="宋体" w:hAnsi="宋体" w:cs="宋体"/>
          <w:b/>
          <w:color w:val="auto"/>
          <w:sz w:val="24"/>
          <w:szCs w:val="24"/>
          <w:highlight w:val="none"/>
          <w:lang w:eastAsia="zh-CN"/>
        </w:rPr>
        <w:t>中标</w:t>
      </w:r>
      <w:r>
        <w:rPr>
          <w:rFonts w:hint="eastAsia" w:ascii="宋体" w:hAnsi="宋体" w:cs="宋体"/>
          <w:b/>
          <w:color w:val="auto"/>
          <w:sz w:val="24"/>
          <w:szCs w:val="24"/>
          <w:highlight w:val="none"/>
        </w:rPr>
        <w:t>人的投标保证金自采购合同签订之日起5个工作日内退还，退还方式同本须知正文第18.2.1。</w:t>
      </w:r>
    </w:p>
    <w:p w14:paraId="4C3D065F">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18.3除逾期退还投标保证金和终止招标的情形以外，投标保证金不计息。</w:t>
      </w:r>
    </w:p>
    <w:p w14:paraId="7C0FE3F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18.4投标人有下列情形之一的，投标保证金将不予退还： </w:t>
      </w:r>
    </w:p>
    <w:p w14:paraId="64884244">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（1）投标人在投标有效期内撤销投标文件的；</w:t>
      </w:r>
    </w:p>
    <w:p w14:paraId="00605A6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（2）未按规定提交履约保证金的；</w:t>
      </w:r>
    </w:p>
    <w:p w14:paraId="78D4A1DE">
      <w:pPr>
        <w:snapToGrid w:val="0"/>
        <w:spacing w:line="40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（3）投标人在投标过程中弄虚作假，提供虚假材料的；</w:t>
      </w:r>
    </w:p>
    <w:p w14:paraId="031CE43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（4）中标人无正当理由不与采购人签订合同的；</w:t>
      </w:r>
    </w:p>
    <w:p w14:paraId="7F69746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（5）投标人出现本章第9.2、9.3情形的；</w:t>
      </w:r>
    </w:p>
    <w:p w14:paraId="5AE1F59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（6）其他严重扰乱招投标程序的。</w:t>
      </w:r>
    </w:p>
    <w:p w14:paraId="41955CD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19.电子投标文件的编制、加密要求</w:t>
      </w:r>
    </w:p>
    <w:p w14:paraId="02645787">
      <w:pPr>
        <w:snapToGrid w:val="0"/>
        <w:spacing w:line="400" w:lineRule="exact"/>
        <w:ind w:firstLine="420" w:firstLineChars="175"/>
        <w:jc w:val="left"/>
        <w:rPr>
          <w:rFonts w:hint="eastAsia" w:ascii="宋体" w:hAnsi="宋体" w:cs="宋体"/>
          <w:color w:val="auto"/>
          <w:sz w:val="24"/>
          <w:highlight w:val="none"/>
        </w:rPr>
      </w:pPr>
      <w:bookmarkStart w:id="61" w:name="_Toc8306"/>
      <w:r>
        <w:rPr>
          <w:rFonts w:hint="eastAsia" w:ascii="宋体" w:hAnsi="宋体" w:cs="宋体"/>
          <w:color w:val="auto"/>
          <w:sz w:val="24"/>
          <w:highlight w:val="none"/>
        </w:rPr>
        <w:t>19.1投标人应按本招标文件规定的格式、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6BFBB58A">
      <w:pPr>
        <w:snapToGrid w:val="0"/>
        <w:spacing w:line="400" w:lineRule="exact"/>
        <w:ind w:firstLine="420" w:firstLineChars="175"/>
        <w:jc w:val="left"/>
        <w:rPr>
          <w:rFonts w:hint="eastAsia" w:ascii="宋体" w:hAnsi="宋体" w:cs="宋体"/>
          <w:color w:val="auto"/>
          <w:sz w:val="24"/>
          <w:highlight w:val="none"/>
        </w:rPr>
      </w:pPr>
      <w:bookmarkStart w:id="62" w:name="_Toc27936"/>
      <w:r>
        <w:rPr>
          <w:rFonts w:hint="eastAsia" w:ascii="宋体" w:hAnsi="宋体" w:cs="宋体"/>
          <w:color w:val="auto"/>
          <w:sz w:val="24"/>
          <w:highlight w:val="none"/>
        </w:rPr>
        <w:t>19.2公开招标文件中规定须由投标人在规定处盖章的，投标人应加盖CA电子签章，</w:t>
      </w:r>
      <w:r>
        <w:rPr>
          <w:rFonts w:hint="eastAsia" w:ascii="宋体" w:hAnsi="宋体" w:cs="宋体"/>
          <w:b/>
          <w:color w:val="auto"/>
          <w:sz w:val="24"/>
          <w:highlight w:val="none"/>
        </w:rPr>
        <w:t>否则视为投标无效。</w:t>
      </w:r>
      <w:bookmarkEnd w:id="62"/>
    </w:p>
    <w:p w14:paraId="58E4B5E4">
      <w:pPr>
        <w:snapToGrid w:val="0"/>
        <w:spacing w:line="400" w:lineRule="exact"/>
        <w:ind w:firstLine="420" w:firstLineChars="175"/>
        <w:jc w:val="left"/>
        <w:rPr>
          <w:rFonts w:hint="eastAsia" w:ascii="宋体" w:hAnsi="宋体" w:cs="宋体"/>
          <w:b/>
          <w:color w:val="auto"/>
          <w:sz w:val="24"/>
          <w:highlight w:val="none"/>
        </w:rPr>
      </w:pPr>
      <w:bookmarkStart w:id="63" w:name="_Toc17"/>
      <w:r>
        <w:rPr>
          <w:rFonts w:hint="eastAsia" w:ascii="宋体" w:hAnsi="宋体" w:cs="宋体"/>
          <w:color w:val="auto"/>
          <w:sz w:val="24"/>
          <w:highlight w:val="none"/>
        </w:rPr>
        <w:t>19.3公开招标文件中规定须由法定代表人或授权委托代理人签字的，若广西政府采购云平台电子投标客户端的CA证书无法实现法定代表人或授权委托代理人线上亲笔签字，投标人应在线下完成亲笔签字后以PDF格式上传，</w:t>
      </w:r>
      <w:r>
        <w:rPr>
          <w:rFonts w:hint="eastAsia" w:ascii="宋体" w:hAnsi="宋体" w:cs="宋体"/>
          <w:b/>
          <w:color w:val="auto"/>
          <w:sz w:val="24"/>
          <w:highlight w:val="none"/>
        </w:rPr>
        <w:t>否则视为投标无效。</w:t>
      </w:r>
      <w:bookmarkEnd w:id="63"/>
    </w:p>
    <w:p w14:paraId="3FBEFFDB">
      <w:pPr>
        <w:snapToGrid w:val="0"/>
        <w:spacing w:line="400" w:lineRule="exact"/>
        <w:ind w:firstLine="420" w:firstLineChars="175"/>
        <w:jc w:val="left"/>
        <w:rPr>
          <w:rFonts w:hint="eastAsia" w:ascii="宋体" w:hAnsi="宋体" w:cs="宋体"/>
          <w:color w:val="auto"/>
          <w:sz w:val="24"/>
          <w:highlight w:val="none"/>
        </w:rPr>
      </w:pPr>
      <w:bookmarkStart w:id="64" w:name="_Toc14144"/>
      <w:r>
        <w:rPr>
          <w:rFonts w:hint="eastAsia" w:ascii="宋体" w:hAnsi="宋体" w:cs="宋体"/>
          <w:color w:val="auto"/>
          <w:sz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06CD6E46">
      <w:pPr>
        <w:snapToGrid w:val="0"/>
        <w:spacing w:line="400" w:lineRule="exact"/>
        <w:ind w:firstLine="420" w:firstLineChars="175"/>
        <w:jc w:val="left"/>
        <w:rPr>
          <w:rFonts w:hint="eastAsia" w:ascii="宋体" w:hAnsi="宋体" w:cs="宋体"/>
          <w:color w:val="auto"/>
          <w:sz w:val="24"/>
          <w:highlight w:val="none"/>
        </w:rPr>
      </w:pPr>
      <w:bookmarkStart w:id="65" w:name="_Toc28894"/>
      <w:r>
        <w:rPr>
          <w:rFonts w:hint="eastAsia" w:ascii="宋体" w:hAnsi="宋体" w:cs="宋体"/>
          <w:color w:val="auto"/>
          <w:sz w:val="24"/>
          <w:highlight w:val="none"/>
        </w:rPr>
        <w:t>19.5电子投标文件所提供的相关材料的尺寸和清晰度应该能够在电脑上被阅读、识别和判断。</w:t>
      </w:r>
      <w:bookmarkEnd w:id="65"/>
    </w:p>
    <w:p w14:paraId="55380CBF">
      <w:pPr>
        <w:snapToGrid w:val="0"/>
        <w:spacing w:line="400" w:lineRule="exact"/>
        <w:ind w:firstLine="420" w:firstLineChars="175"/>
        <w:jc w:val="left"/>
        <w:rPr>
          <w:rFonts w:hint="eastAsia" w:ascii="宋体" w:hAnsi="宋体" w:cs="宋体"/>
          <w:color w:val="auto"/>
          <w:sz w:val="24"/>
          <w:highlight w:val="none"/>
        </w:rPr>
      </w:pPr>
      <w:bookmarkStart w:id="66" w:name="_Toc22774"/>
      <w:r>
        <w:rPr>
          <w:rFonts w:hint="eastAsia" w:ascii="宋体" w:hAnsi="宋体" w:cs="宋体"/>
          <w:color w:val="auto"/>
          <w:sz w:val="24"/>
          <w:highlight w:val="none"/>
        </w:rPr>
        <w:t>19.6电子投标文件内容无法阅读、识别和判断的，视为未提供。</w:t>
      </w:r>
      <w:bookmarkEnd w:id="66"/>
    </w:p>
    <w:p w14:paraId="0FBE8E68">
      <w:pPr>
        <w:snapToGrid w:val="0"/>
        <w:spacing w:line="400" w:lineRule="exact"/>
        <w:ind w:firstLine="420" w:firstLineChars="175"/>
        <w:jc w:val="left"/>
        <w:rPr>
          <w:rFonts w:hint="eastAsia" w:ascii="宋体" w:hAnsi="宋体" w:cs="宋体"/>
          <w:color w:val="auto"/>
          <w:sz w:val="24"/>
          <w:highlight w:val="none"/>
        </w:rPr>
      </w:pPr>
      <w:bookmarkStart w:id="67" w:name="_Toc2693"/>
      <w:r>
        <w:rPr>
          <w:rFonts w:hint="eastAsia" w:ascii="宋体" w:hAnsi="宋体" w:cs="宋体"/>
          <w:color w:val="auto"/>
          <w:sz w:val="24"/>
          <w:highlight w:val="none"/>
        </w:rPr>
        <w:t>19.7电子投标文件的容量大小须符合广西政府采购云平台电子投标客户端规定。</w:t>
      </w:r>
      <w:bookmarkEnd w:id="67"/>
    </w:p>
    <w:p w14:paraId="49EE4281">
      <w:pPr>
        <w:snapToGrid w:val="0"/>
        <w:spacing w:line="400" w:lineRule="exact"/>
        <w:ind w:firstLine="420" w:firstLineChars="175"/>
        <w:jc w:val="left"/>
        <w:rPr>
          <w:rFonts w:hint="eastAsia" w:ascii="宋体" w:hAnsi="宋体" w:cs="宋体"/>
          <w:color w:val="auto"/>
          <w:sz w:val="24"/>
          <w:highlight w:val="none"/>
        </w:rPr>
      </w:pPr>
      <w:bookmarkStart w:id="68" w:name="_Toc32319"/>
      <w:r>
        <w:rPr>
          <w:rFonts w:hint="eastAsia" w:ascii="宋体" w:hAnsi="宋体" w:cs="宋体"/>
          <w:color w:val="auto"/>
          <w:sz w:val="24"/>
          <w:highlight w:val="none"/>
        </w:rPr>
        <w:t>19.8电子投标文件的加密要求</w:t>
      </w:r>
      <w:bookmarkEnd w:id="68"/>
    </w:p>
    <w:p w14:paraId="4ED13E4B">
      <w:pPr>
        <w:snapToGrid w:val="0"/>
        <w:spacing w:line="400" w:lineRule="exact"/>
        <w:ind w:firstLine="420" w:firstLineChars="175"/>
        <w:jc w:val="left"/>
        <w:rPr>
          <w:rFonts w:hint="eastAsia" w:ascii="宋体" w:hAnsi="宋体" w:cs="宋体"/>
          <w:color w:val="auto"/>
          <w:sz w:val="24"/>
          <w:highlight w:val="none"/>
        </w:rPr>
      </w:pPr>
      <w:bookmarkStart w:id="69" w:name="_Toc30734"/>
      <w:r>
        <w:rPr>
          <w:rFonts w:hint="eastAsia" w:ascii="宋体" w:hAnsi="宋体" w:cs="宋体"/>
          <w:color w:val="auto"/>
          <w:sz w:val="24"/>
          <w:highlight w:val="none"/>
        </w:rPr>
        <w:t>电子投标文件应按广西政府采购云平台电子投标客户端软件有关规定加密，否则广西政府采购云平台将拒收，由此造成的风险由投标人承担。</w:t>
      </w:r>
      <w:bookmarkEnd w:id="69"/>
    </w:p>
    <w:p w14:paraId="3AA6A175">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20.备份投标文件</w:t>
      </w:r>
    </w:p>
    <w:p w14:paraId="1584498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bCs/>
          <w:color w:val="auto"/>
          <w:sz w:val="24"/>
          <w:highlight w:val="none"/>
        </w:rPr>
        <w:t>详见在“投标人须知前附表”。</w:t>
      </w:r>
    </w:p>
    <w:p w14:paraId="632B8129">
      <w:pPr>
        <w:snapToGrid w:val="0"/>
        <w:spacing w:line="400" w:lineRule="exact"/>
        <w:ind w:firstLine="422" w:firstLineChars="175"/>
        <w:jc w:val="left"/>
        <w:rPr>
          <w:rFonts w:hint="eastAsia" w:ascii="宋体" w:hAnsi="宋体" w:cs="宋体"/>
          <w:b/>
          <w:color w:val="auto"/>
          <w:sz w:val="24"/>
          <w:highlight w:val="none"/>
        </w:rPr>
      </w:pPr>
      <w:bookmarkStart w:id="70" w:name="_Toc278"/>
      <w:r>
        <w:rPr>
          <w:rFonts w:hint="eastAsia" w:ascii="宋体" w:hAnsi="宋体" w:cs="宋体"/>
          <w:b/>
          <w:color w:val="auto"/>
          <w:sz w:val="24"/>
          <w:highlight w:val="none"/>
        </w:rPr>
        <w:t>21.电子投标文件的提交</w:t>
      </w:r>
      <w:bookmarkEnd w:id="70"/>
    </w:p>
    <w:p w14:paraId="7415AFE3">
      <w:pPr>
        <w:snapToGrid w:val="0"/>
        <w:spacing w:line="400" w:lineRule="exact"/>
        <w:ind w:firstLine="420" w:firstLineChars="175"/>
        <w:jc w:val="left"/>
        <w:rPr>
          <w:rFonts w:hint="eastAsia" w:ascii="宋体" w:hAnsi="宋体" w:cs="宋体"/>
          <w:color w:val="auto"/>
          <w:sz w:val="24"/>
          <w:highlight w:val="none"/>
        </w:rPr>
      </w:pPr>
      <w:bookmarkStart w:id="71" w:name="_Toc25171"/>
      <w:r>
        <w:rPr>
          <w:rFonts w:hint="eastAsia" w:ascii="宋体" w:hAnsi="宋体" w:cs="宋体"/>
          <w:color w:val="auto"/>
          <w:sz w:val="24"/>
          <w:highlight w:val="none"/>
        </w:rPr>
        <w:t>21.1本项目实行“网上投标、电子评标”，投标人应于提交投标文件截止时间前在广西政府采购云平台上提交已经加密的电子投标文件。</w:t>
      </w:r>
      <w:bookmarkEnd w:id="71"/>
    </w:p>
    <w:p w14:paraId="6861EEDF">
      <w:pPr>
        <w:snapToGrid w:val="0"/>
        <w:spacing w:line="400" w:lineRule="exact"/>
        <w:ind w:firstLine="420" w:firstLineChars="175"/>
        <w:jc w:val="left"/>
        <w:rPr>
          <w:rFonts w:hint="eastAsia" w:ascii="宋体" w:hAnsi="宋体" w:cs="宋体"/>
          <w:color w:val="auto"/>
          <w:sz w:val="24"/>
          <w:highlight w:val="none"/>
        </w:rPr>
      </w:pPr>
      <w:bookmarkStart w:id="72" w:name="_Toc27282"/>
      <w:r>
        <w:rPr>
          <w:rFonts w:hint="eastAsia" w:ascii="宋体" w:hAnsi="宋体" w:cs="宋体"/>
          <w:color w:val="auto"/>
          <w:sz w:val="24"/>
          <w:highlight w:val="none"/>
        </w:rPr>
        <w:t>21.2未按规定上传的电子投标文件将被广西政府采购云平台拒收，由此造成电子投标文件解密失败或被误投的风险由投标人自行承担。</w:t>
      </w:r>
      <w:bookmarkEnd w:id="72"/>
    </w:p>
    <w:p w14:paraId="250CC0B5">
      <w:pPr>
        <w:snapToGrid w:val="0"/>
        <w:spacing w:line="400" w:lineRule="exact"/>
        <w:ind w:firstLine="422" w:firstLineChars="175"/>
        <w:jc w:val="left"/>
        <w:rPr>
          <w:rFonts w:hint="eastAsia" w:ascii="宋体" w:hAnsi="宋体" w:cs="宋体"/>
          <w:b/>
          <w:color w:val="auto"/>
          <w:sz w:val="24"/>
          <w:highlight w:val="none"/>
        </w:rPr>
      </w:pPr>
      <w:bookmarkStart w:id="73" w:name="_Toc11042"/>
      <w:r>
        <w:rPr>
          <w:rFonts w:hint="eastAsia" w:ascii="宋体" w:hAnsi="宋体" w:cs="宋体"/>
          <w:b/>
          <w:color w:val="auto"/>
          <w:sz w:val="24"/>
          <w:highlight w:val="none"/>
        </w:rPr>
        <w:t>22.电子投标文件修改、撤回和解密</w:t>
      </w:r>
      <w:bookmarkEnd w:id="73"/>
    </w:p>
    <w:p w14:paraId="3C909B81">
      <w:pPr>
        <w:snapToGrid w:val="0"/>
        <w:spacing w:line="400" w:lineRule="exact"/>
        <w:ind w:firstLine="420" w:firstLineChars="175"/>
        <w:jc w:val="left"/>
        <w:rPr>
          <w:rFonts w:hint="eastAsia" w:ascii="宋体" w:hAnsi="宋体" w:cs="宋体"/>
          <w:color w:val="auto"/>
          <w:sz w:val="24"/>
          <w:highlight w:val="none"/>
        </w:rPr>
      </w:pPr>
      <w:bookmarkStart w:id="74" w:name="_Toc1525"/>
      <w:r>
        <w:rPr>
          <w:rFonts w:hint="eastAsia" w:ascii="宋体" w:hAnsi="宋体" w:cs="宋体"/>
          <w:color w:val="auto"/>
          <w:sz w:val="24"/>
          <w:highlight w:val="none"/>
        </w:rPr>
        <w:t>22.1本项目实行“网上投标、电子评标”，投标人应于提交投标文件截止时间前在广西政府采购云平台平台上提交已经加密的电子投标文件。</w:t>
      </w:r>
      <w:bookmarkEnd w:id="74"/>
    </w:p>
    <w:p w14:paraId="37A802E2">
      <w:pPr>
        <w:snapToGrid w:val="0"/>
        <w:spacing w:line="400" w:lineRule="exact"/>
        <w:ind w:firstLine="420" w:firstLineChars="175"/>
        <w:jc w:val="left"/>
        <w:rPr>
          <w:rFonts w:hint="eastAsia" w:ascii="宋体" w:hAnsi="宋体" w:cs="宋体"/>
          <w:color w:val="auto"/>
          <w:sz w:val="24"/>
          <w:highlight w:val="none"/>
        </w:rPr>
      </w:pPr>
      <w:bookmarkStart w:id="75" w:name="_Toc26277"/>
      <w:r>
        <w:rPr>
          <w:rFonts w:hint="eastAsia" w:ascii="宋体" w:hAnsi="宋体" w:cs="宋体"/>
          <w:color w:val="auto"/>
          <w:sz w:val="24"/>
          <w:highlight w:val="none"/>
        </w:rPr>
        <w:t>22.2未按规定上传的电子投标文件将被广西政府采购云平台拒收，由此造成电子投标文件解密失败或被误投的风险由投标人自行承担。</w:t>
      </w:r>
      <w:bookmarkEnd w:id="75"/>
    </w:p>
    <w:p w14:paraId="3519B979">
      <w:pPr>
        <w:snapToGrid w:val="0"/>
        <w:spacing w:line="400" w:lineRule="exact"/>
        <w:ind w:firstLine="420" w:firstLineChars="175"/>
        <w:jc w:val="left"/>
        <w:rPr>
          <w:rFonts w:hint="eastAsia" w:ascii="宋体" w:hAnsi="宋体" w:cs="宋体"/>
          <w:color w:val="auto"/>
          <w:sz w:val="24"/>
          <w:highlight w:val="none"/>
        </w:rPr>
      </w:pPr>
      <w:bookmarkStart w:id="76" w:name="_Toc23815"/>
      <w:r>
        <w:rPr>
          <w:rFonts w:hint="eastAsia" w:ascii="宋体" w:hAnsi="宋体" w:cs="宋体"/>
          <w:color w:val="auto"/>
          <w:sz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广西政府采购云平台拒收。</w:t>
      </w:r>
      <w:bookmarkEnd w:id="76"/>
    </w:p>
    <w:p w14:paraId="6887F26F">
      <w:pPr>
        <w:snapToGrid w:val="0"/>
        <w:spacing w:line="400" w:lineRule="exact"/>
        <w:ind w:firstLine="420" w:firstLineChars="175"/>
        <w:jc w:val="left"/>
        <w:rPr>
          <w:rFonts w:hint="eastAsia" w:ascii="宋体" w:hAnsi="宋体" w:cs="宋体"/>
          <w:color w:val="auto"/>
          <w:sz w:val="24"/>
          <w:highlight w:val="none"/>
        </w:rPr>
      </w:pPr>
      <w:bookmarkStart w:id="77" w:name="_Toc11455"/>
      <w:r>
        <w:rPr>
          <w:rFonts w:hint="eastAsia" w:ascii="宋体" w:hAnsi="宋体" w:cs="宋体"/>
          <w:color w:val="auto"/>
          <w:sz w:val="24"/>
          <w:highlight w:val="none"/>
        </w:rPr>
        <w:t>22.4电子投标文件成功提交后，投标人可自行打印投标文件接收回执。</w:t>
      </w:r>
      <w:bookmarkEnd w:id="77"/>
    </w:p>
    <w:p w14:paraId="432C0F5C">
      <w:pPr>
        <w:snapToGrid w:val="0"/>
        <w:spacing w:line="400" w:lineRule="exact"/>
        <w:ind w:firstLine="420" w:firstLineChars="175"/>
        <w:jc w:val="left"/>
        <w:rPr>
          <w:rFonts w:hint="eastAsia" w:ascii="宋体" w:hAnsi="宋体" w:cs="宋体"/>
          <w:color w:val="auto"/>
          <w:sz w:val="24"/>
          <w:highlight w:val="none"/>
        </w:rPr>
      </w:pPr>
      <w:bookmarkStart w:id="78" w:name="_Toc28787"/>
      <w:r>
        <w:rPr>
          <w:rFonts w:hint="eastAsia" w:ascii="宋体" w:hAnsi="宋体" w:cs="宋体"/>
          <w:color w:val="auto"/>
          <w:sz w:val="24"/>
          <w:highlight w:val="none"/>
        </w:rPr>
        <w:t>22.5截标后，</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电子交易平台自动提取所有投标人的电子投标文件，采购代理机构向各投标人发出解密通知，投标人须在采购代理机构开启解密标书后30分钟内对上传</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的投标文件进行解密。</w:t>
      </w:r>
      <w:bookmarkEnd w:id="78"/>
    </w:p>
    <w:p w14:paraId="2AF891F3">
      <w:pPr>
        <w:snapToGrid w:val="0"/>
        <w:spacing w:line="400" w:lineRule="exact"/>
        <w:ind w:firstLine="420" w:firstLineChars="175"/>
        <w:jc w:val="left"/>
        <w:rPr>
          <w:rFonts w:hint="eastAsia" w:ascii="宋体" w:hAnsi="宋体" w:cs="宋体"/>
          <w:color w:val="auto"/>
          <w:sz w:val="24"/>
          <w:highlight w:val="none"/>
        </w:rPr>
      </w:pPr>
      <w:bookmarkStart w:id="79" w:name="_Toc27251"/>
      <w:r>
        <w:rPr>
          <w:rFonts w:hint="eastAsia" w:ascii="宋体" w:hAnsi="宋体" w:cs="宋体"/>
          <w:color w:val="auto"/>
          <w:sz w:val="24"/>
          <w:highlight w:val="none"/>
        </w:rPr>
        <w:t>非</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技术原因或非采购代理机构操作原因造成的投标人超过解密时限未完成解密的，或投标文件无法解密或解密失败，视为投标人放弃投标。</w:t>
      </w:r>
      <w:bookmarkEnd w:id="79"/>
    </w:p>
    <w:p w14:paraId="3E75E559">
      <w:pPr>
        <w:snapToGrid w:val="0"/>
        <w:spacing w:line="400" w:lineRule="exact"/>
        <w:ind w:firstLine="422" w:firstLineChars="175"/>
        <w:jc w:val="center"/>
        <w:rPr>
          <w:rFonts w:hint="eastAsia" w:ascii="宋体" w:hAnsi="宋体" w:cs="宋体"/>
          <w:b/>
          <w:color w:val="auto"/>
          <w:sz w:val="24"/>
          <w:highlight w:val="none"/>
        </w:rPr>
      </w:pPr>
    </w:p>
    <w:p w14:paraId="0689E9C1">
      <w:pPr>
        <w:snapToGrid w:val="0"/>
        <w:spacing w:line="400" w:lineRule="exact"/>
        <w:ind w:firstLine="422" w:firstLineChars="175"/>
        <w:jc w:val="center"/>
        <w:rPr>
          <w:rFonts w:hint="eastAsia" w:ascii="宋体" w:hAnsi="宋体" w:cs="宋体"/>
          <w:b/>
          <w:color w:val="auto"/>
          <w:sz w:val="24"/>
          <w:highlight w:val="none"/>
        </w:rPr>
      </w:pPr>
      <w:bookmarkStart w:id="80" w:name="_Toc21516"/>
      <w:r>
        <w:rPr>
          <w:rFonts w:hint="eastAsia" w:ascii="宋体" w:hAnsi="宋体" w:cs="宋体"/>
          <w:b/>
          <w:color w:val="auto"/>
          <w:sz w:val="24"/>
          <w:highlight w:val="none"/>
        </w:rPr>
        <w:t>四、开标</w:t>
      </w:r>
      <w:bookmarkEnd w:id="80"/>
    </w:p>
    <w:p w14:paraId="1D414CC4">
      <w:pPr>
        <w:snapToGrid w:val="0"/>
        <w:spacing w:line="400" w:lineRule="exact"/>
        <w:ind w:firstLine="420" w:firstLineChars="175"/>
        <w:rPr>
          <w:rFonts w:hint="eastAsia" w:ascii="宋体" w:hAnsi="宋体" w:cs="宋体"/>
          <w:color w:val="auto"/>
          <w:sz w:val="24"/>
          <w:highlight w:val="none"/>
        </w:rPr>
      </w:pPr>
      <w:bookmarkStart w:id="81" w:name="_23.开标时间和地点"/>
      <w:bookmarkEnd w:id="81"/>
      <w:r>
        <w:rPr>
          <w:rFonts w:hint="eastAsia" w:ascii="宋体" w:hAnsi="宋体" w:cs="宋体"/>
          <w:color w:val="auto"/>
          <w:sz w:val="24"/>
          <w:highlight w:val="none"/>
        </w:rPr>
        <w:t>23.开标时间和地点</w:t>
      </w:r>
    </w:p>
    <w:p w14:paraId="18A0C513">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23.1开标时间及地点详见“投标人须知前附表”</w:t>
      </w:r>
    </w:p>
    <w:p w14:paraId="23B0E4B1">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23.2如</w:t>
      </w:r>
      <w:r>
        <w:rPr>
          <w:rFonts w:hint="eastAsia" w:hAnsi="宋体" w:cs="宋体"/>
          <w:bCs/>
          <w:color w:val="auto"/>
          <w:sz w:val="24"/>
          <w:szCs w:val="24"/>
          <w:highlight w:val="none"/>
        </w:rPr>
        <w:t>投标人成功解密投标文件，但未在“</w:t>
      </w:r>
      <w:r>
        <w:rPr>
          <w:rFonts w:hint="eastAsia" w:hAnsi="宋体" w:cs="宋体"/>
          <w:bCs/>
          <w:color w:val="auto"/>
          <w:sz w:val="24"/>
          <w:szCs w:val="24"/>
          <w:highlight w:val="none"/>
          <w:lang w:eastAsia="zh-CN"/>
        </w:rPr>
        <w:t>广西政府采购云平台</w:t>
      </w:r>
      <w:r>
        <w:rPr>
          <w:rFonts w:hint="eastAsia" w:hAnsi="宋体" w:cs="宋体"/>
          <w:bCs/>
          <w:color w:val="auto"/>
          <w:sz w:val="24"/>
          <w:szCs w:val="24"/>
          <w:highlight w:val="none"/>
        </w:rPr>
        <w:t>”电子开标大厅参加开标的，视同认可开标过程和结果，</w:t>
      </w:r>
      <w:r>
        <w:rPr>
          <w:rFonts w:hint="eastAsia" w:hAnsi="宋体" w:cs="宋体"/>
          <w:color w:val="auto"/>
          <w:sz w:val="24"/>
          <w:szCs w:val="24"/>
          <w:highlight w:val="none"/>
        </w:rPr>
        <w:t>由此产生的后果由投标人自行负责。 投标人不足3家的，不得开标。</w:t>
      </w:r>
    </w:p>
    <w:p w14:paraId="2426C01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24.开标程序</w:t>
      </w:r>
    </w:p>
    <w:p w14:paraId="3CEF0781">
      <w:pPr>
        <w:autoSpaceDE w:val="0"/>
        <w:autoSpaceDN w:val="0"/>
        <w:adjustRightInd w:val="0"/>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bCs/>
          <w:color w:val="auto"/>
          <w:sz w:val="24"/>
          <w:highlight w:val="none"/>
        </w:rPr>
        <w:t>24.1</w:t>
      </w:r>
      <w:r>
        <w:rPr>
          <w:rFonts w:hint="eastAsia" w:ascii="宋体" w:hAnsi="宋体" w:cs="宋体"/>
          <w:color w:val="auto"/>
          <w:kern w:val="0"/>
          <w:sz w:val="24"/>
          <w:highlight w:val="none"/>
        </w:rPr>
        <w:t>开标形式：</w:t>
      </w:r>
    </w:p>
    <w:p w14:paraId="60D4173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开标的准备工作由采购代理机构负责落实，采购代理机构必须基于广西政府采购云平台选取评审专家，如采购代理机构未按规定选取专家的，视为本次开评标无效，应当重新采购；</w:t>
      </w:r>
    </w:p>
    <w:p w14:paraId="126ABAFF">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B8164C7">
      <w:pPr>
        <w:autoSpaceDE w:val="0"/>
        <w:autoSpaceDN w:val="0"/>
        <w:adjustRightInd w:val="0"/>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24.2开标程序：</w:t>
      </w:r>
    </w:p>
    <w:p w14:paraId="231C7485">
      <w:pPr>
        <w:pStyle w:val="13"/>
        <w:snapToGrid w:val="0"/>
        <w:spacing w:line="400" w:lineRule="exact"/>
        <w:ind w:firstLine="422" w:firstLineChars="175"/>
        <w:rPr>
          <w:rFonts w:hint="eastAsia" w:hAnsi="宋体" w:cs="宋体"/>
          <w:color w:val="auto"/>
          <w:sz w:val="24"/>
          <w:szCs w:val="24"/>
          <w:highlight w:val="none"/>
        </w:rPr>
      </w:pPr>
      <w:r>
        <w:rPr>
          <w:rFonts w:hint="eastAsia" w:hAnsi="宋体" w:cs="宋体"/>
          <w:b/>
          <w:color w:val="auto"/>
          <w:sz w:val="24"/>
          <w:szCs w:val="24"/>
          <w:highlight w:val="none"/>
        </w:rPr>
        <w:t>（1）解密电子投标文件。</w:t>
      </w:r>
      <w:r>
        <w:rPr>
          <w:rFonts w:hint="eastAsia" w:hAnsi="宋体" w:cs="宋体"/>
          <w:b w:val="0"/>
          <w:bCs/>
          <w:color w:val="auto"/>
          <w:sz w:val="24"/>
          <w:szCs w:val="24"/>
          <w:highlight w:val="none"/>
        </w:rPr>
        <w:t>广西政府采购云平台按开标时</w:t>
      </w:r>
      <w:r>
        <w:rPr>
          <w:rFonts w:hint="eastAsia" w:hAnsi="宋体" w:cs="宋体"/>
          <w:color w:val="auto"/>
          <w:sz w:val="24"/>
          <w:szCs w:val="24"/>
          <w:highlight w:val="none"/>
        </w:rPr>
        <w:t>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 w:val="24"/>
          <w:szCs w:val="24"/>
          <w:highlight w:val="none"/>
        </w:rPr>
        <w:t>须携带加密时所用的CA锁准时登录到广西政府采购云平台电子开标大厅签到并对电子投标文件解密</w:t>
      </w:r>
      <w:r>
        <w:rPr>
          <w:rFonts w:hint="eastAsia" w:hAnsi="宋体" w:cs="宋体"/>
          <w:color w:val="auto"/>
          <w:sz w:val="24"/>
          <w:szCs w:val="24"/>
          <w:highlight w:val="none"/>
        </w:rPr>
        <w:t>。开标后5分钟投标人还未进行解密的，代理机构</w:t>
      </w:r>
      <w:r>
        <w:rPr>
          <w:rFonts w:hint="eastAsia" w:hAnsi="宋体" w:cs="宋体"/>
          <w:color w:val="auto"/>
          <w:sz w:val="24"/>
          <w:szCs w:val="24"/>
          <w:highlight w:val="none"/>
          <w:lang w:eastAsia="zh-CN"/>
        </w:rPr>
        <w:t>将</w:t>
      </w:r>
      <w:r>
        <w:rPr>
          <w:rFonts w:hint="eastAsia" w:hAnsi="宋体" w:cs="宋体"/>
          <w:color w:val="auto"/>
          <w:sz w:val="24"/>
          <w:szCs w:val="24"/>
          <w:highlight w:val="none"/>
        </w:rPr>
        <w:t>通知投标人。通知后，投标文件仍未按时解密，或者投标人没预留联系方式或预留联系方式无效，导致代理机构无法联系到投标人进行解密的，</w:t>
      </w:r>
      <w:r>
        <w:rPr>
          <w:rFonts w:hint="eastAsia" w:hAnsi="宋体" w:cs="宋体"/>
          <w:b/>
          <w:color w:val="auto"/>
          <w:sz w:val="24"/>
          <w:szCs w:val="24"/>
          <w:highlight w:val="none"/>
        </w:rPr>
        <w:t>均视为无效投标。</w:t>
      </w:r>
    </w:p>
    <w:p w14:paraId="104837CC">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（解密</w:t>
      </w:r>
      <w:r>
        <w:rPr>
          <w:rFonts w:hint="eastAsia" w:hAnsi="宋体" w:cs="宋体"/>
          <w:bCs/>
          <w:color w:val="auto"/>
          <w:sz w:val="24"/>
          <w:szCs w:val="24"/>
          <w:highlight w:val="none"/>
        </w:rPr>
        <w:t>异常情况处理：详见本章</w:t>
      </w:r>
      <w:r>
        <w:rPr>
          <w:rFonts w:hint="eastAsia" w:hAnsi="宋体" w:cs="宋体"/>
          <w:color w:val="auto"/>
          <w:sz w:val="24"/>
          <w:szCs w:val="24"/>
          <w:highlight w:val="none"/>
        </w:rPr>
        <w:t>29.3电子交易活动的中止。）</w:t>
      </w:r>
    </w:p>
    <w:p w14:paraId="305356D8">
      <w:pPr>
        <w:numPr>
          <w:ilvl w:val="0"/>
          <w:numId w:val="5"/>
        </w:num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电子唱标。</w:t>
      </w:r>
      <w:r>
        <w:rPr>
          <w:rFonts w:hint="eastAsia" w:ascii="宋体" w:hAnsi="宋体" w:cs="宋体"/>
          <w:color w:val="auto"/>
          <w:sz w:val="24"/>
          <w:highlight w:val="none"/>
        </w:rPr>
        <w:t>投标文件解密结束，开启报价要求文件，各投标供应商报价均在广西政府采购云平台远程不见面开标大厅展示；</w:t>
      </w:r>
    </w:p>
    <w:p w14:paraId="3B21DAED">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注：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7E90EA5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签署电子《政府采购活动现场确认声明书》。</w:t>
      </w:r>
      <w:r>
        <w:rPr>
          <w:rFonts w:hint="eastAsia" w:ascii="宋体" w:hAnsi="宋体" w:cs="宋体"/>
          <w:color w:val="auto"/>
          <w:sz w:val="24"/>
          <w:highlight w:val="none"/>
        </w:rPr>
        <w:t>通过邮件形式在远程不见面开标大厅发送各投标人签署电子《政府采购活动现场确认声明书》。</w:t>
      </w:r>
    </w:p>
    <w:p w14:paraId="3B1B7F91">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（4）开标过程由采购代理机构如实记录，并电子留痕，由参加电子开标的各投标人代表对电子开标记录在开标记录公布后进行当场校核及勘误，并线上确认，未确认的视同认可开标结果。</w:t>
      </w:r>
    </w:p>
    <w:p w14:paraId="2E86E4EC">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D06D714">
      <w:pPr>
        <w:snapToGrid w:val="0"/>
        <w:spacing w:line="400" w:lineRule="exact"/>
        <w:ind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（6）开标结束。</w:t>
      </w:r>
    </w:p>
    <w:p w14:paraId="50C89332">
      <w:pPr>
        <w:pStyle w:val="13"/>
        <w:snapToGrid w:val="0"/>
        <w:spacing w:line="400" w:lineRule="exact"/>
        <w:ind w:firstLine="422" w:firstLineChars="175"/>
        <w:rPr>
          <w:rFonts w:hint="eastAsia" w:hAnsi="宋体" w:cs="宋体"/>
          <w:color w:val="auto"/>
          <w:sz w:val="24"/>
          <w:szCs w:val="24"/>
          <w:highlight w:val="none"/>
          <w:lang w:eastAsia="zh-CN"/>
        </w:rPr>
      </w:pPr>
      <w:r>
        <w:rPr>
          <w:rFonts w:hint="eastAsia" w:hAnsi="宋体" w:cs="宋体"/>
          <w:b/>
          <w:bCs/>
          <w:color w:val="auto"/>
          <w:sz w:val="24"/>
          <w:szCs w:val="24"/>
          <w:highlight w:val="none"/>
        </w:rPr>
        <w:t>特别说明：</w:t>
      </w:r>
      <w:r>
        <w:rPr>
          <w:rFonts w:hint="eastAsia" w:hAnsi="宋体" w:cs="宋体"/>
          <w:b/>
          <w:color w:val="auto"/>
          <w:sz w:val="24"/>
          <w:szCs w:val="24"/>
          <w:highlight w:val="none"/>
        </w:rPr>
        <w:t>如遇广西政府采购云平台电子化开标或评审程序调整的，按调整后执行。</w:t>
      </w:r>
    </w:p>
    <w:p w14:paraId="74544865">
      <w:pPr>
        <w:pStyle w:val="13"/>
        <w:snapToGrid w:val="0"/>
        <w:spacing w:line="400" w:lineRule="exact"/>
        <w:ind w:firstLine="422" w:firstLineChars="175"/>
        <w:jc w:val="center"/>
        <w:rPr>
          <w:rFonts w:hint="eastAsia" w:hAnsi="宋体" w:cs="宋体"/>
          <w:b/>
          <w:color w:val="auto"/>
          <w:sz w:val="24"/>
          <w:szCs w:val="24"/>
          <w:highlight w:val="none"/>
        </w:rPr>
      </w:pPr>
    </w:p>
    <w:p w14:paraId="77890CF9">
      <w:pPr>
        <w:pStyle w:val="13"/>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五、资格审查</w:t>
      </w:r>
    </w:p>
    <w:p w14:paraId="042EEF23">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25.资格审查</w:t>
      </w:r>
    </w:p>
    <w:p w14:paraId="25D3DF16">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25.1开标结束后，采购人依法通过电子投标文件对投标人的资格进行线上审查。</w:t>
      </w:r>
    </w:p>
    <w:p w14:paraId="79CBCD51">
      <w:pPr>
        <w:snapToGrid w:val="0"/>
        <w:spacing w:line="400" w:lineRule="exact"/>
        <w:ind w:firstLine="422" w:firstLineChars="175"/>
        <w:rPr>
          <w:rFonts w:hint="eastAsia" w:ascii="宋体" w:hAnsi="宋体" w:cs="宋体"/>
          <w:b/>
          <w:bCs/>
          <w:color w:val="auto"/>
          <w:sz w:val="24"/>
          <w:highlight w:val="none"/>
        </w:rPr>
      </w:pPr>
      <w:r>
        <w:rPr>
          <w:rFonts w:hint="eastAsia" w:ascii="宋体" w:hAnsi="宋体" w:cs="宋体"/>
          <w:b/>
          <w:bCs/>
          <w:color w:val="auto"/>
          <w:sz w:val="24"/>
          <w:highlight w:val="none"/>
        </w:rPr>
        <w:t>25.2采购人依据法律法规和招标文件的规定，对投标人的基本资格条件、特定资格条件进行审查。</w:t>
      </w:r>
    </w:p>
    <w:p w14:paraId="6114BF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5F29D23E">
      <w:pPr>
        <w:snapToGrid w:val="0"/>
        <w:spacing w:line="400" w:lineRule="exact"/>
        <w:ind w:firstLine="422" w:firstLineChars="175"/>
        <w:rPr>
          <w:rFonts w:hint="eastAsia" w:ascii="宋体" w:hAnsi="宋体" w:cs="宋体"/>
          <w:b/>
          <w:bCs/>
          <w:color w:val="auto"/>
          <w:sz w:val="24"/>
          <w:highlight w:val="none"/>
        </w:rPr>
      </w:pPr>
      <w:bookmarkStart w:id="82" w:name="_25.3_投标人有下列情形之一的，资格审查不通过而导致其投标无效："/>
      <w:bookmarkEnd w:id="82"/>
      <w:r>
        <w:rPr>
          <w:rFonts w:hint="eastAsia" w:ascii="宋体" w:hAnsi="宋体" w:cs="宋体"/>
          <w:b/>
          <w:bCs/>
          <w:color w:val="auto"/>
          <w:sz w:val="24"/>
          <w:highlight w:val="none"/>
        </w:rPr>
        <w:t>25.4投标人有下列情形之一的，资格审查不通过，作无效投标处理：</w:t>
      </w:r>
    </w:p>
    <w:p w14:paraId="5F6974F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（1）不具备招标文件中规定的资格要求的；（注：其中信用查询规则见“投标人须知前附表”，“广西政府采购云平台”已与“信用中国”平台做接口，审查专家可直接在线查询）</w:t>
      </w:r>
    </w:p>
    <w:p w14:paraId="722684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（2）投标文件未提供任一项“投标人须知前附表”资格证明文件规定的“必须提供”的文件资料的；</w:t>
      </w:r>
    </w:p>
    <w:p w14:paraId="5A7C979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（3）投标文件提供的资格证明文件出现任一项不符合“投标人须知前附表”资格证明文件规定的“必须提供”的文件资料要求或者无效的。</w:t>
      </w:r>
    </w:p>
    <w:p w14:paraId="5CDB2752">
      <w:pPr>
        <w:pStyle w:val="7"/>
        <w:keepNext w:val="0"/>
        <w:keepLines w:val="0"/>
        <w:snapToGrid w:val="0"/>
        <w:spacing w:before="0" w:after="0" w:line="400" w:lineRule="exact"/>
        <w:ind w:firstLine="420" w:firstLineChars="175"/>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25.5资格审查的合格投标人不足3家的，不得评标。</w:t>
      </w:r>
    </w:p>
    <w:p w14:paraId="6DB9398E">
      <w:pPr>
        <w:pStyle w:val="7"/>
        <w:keepNext w:val="0"/>
        <w:keepLines w:val="0"/>
        <w:snapToGrid w:val="0"/>
        <w:spacing w:before="0" w:after="0" w:line="400" w:lineRule="exact"/>
        <w:ind w:firstLine="420" w:firstLineChars="175"/>
        <w:jc w:val="center"/>
        <w:rPr>
          <w:rFonts w:hint="eastAsia" w:ascii="宋体" w:hAnsi="宋体" w:cs="宋体"/>
          <w:b w:val="0"/>
          <w:bCs/>
          <w:color w:val="auto"/>
          <w:sz w:val="24"/>
          <w:highlight w:val="none"/>
          <w:lang w:val="en-US" w:eastAsia="zh-CN"/>
        </w:rPr>
      </w:pPr>
    </w:p>
    <w:p w14:paraId="452B8B03">
      <w:pPr>
        <w:pStyle w:val="7"/>
        <w:keepNext w:val="0"/>
        <w:keepLines w:val="0"/>
        <w:snapToGrid w:val="0"/>
        <w:spacing w:before="0" w:after="0" w:line="400" w:lineRule="exact"/>
        <w:ind w:firstLine="422" w:firstLineChars="175"/>
        <w:jc w:val="center"/>
        <w:rPr>
          <w:rFonts w:hint="eastAsia" w:ascii="宋体" w:hAnsi="宋体" w:cs="宋体"/>
          <w:b w:val="0"/>
          <w:bCs/>
          <w:color w:val="auto"/>
          <w:sz w:val="24"/>
          <w:highlight w:val="none"/>
          <w:lang w:val="en-US" w:eastAsia="zh-CN"/>
        </w:rPr>
      </w:pPr>
      <w:r>
        <w:rPr>
          <w:rFonts w:hint="eastAsia" w:ascii="宋体" w:hAnsi="宋体" w:cs="宋体"/>
          <w:color w:val="auto"/>
          <w:sz w:val="24"/>
          <w:highlight w:val="none"/>
        </w:rPr>
        <w:t>六、评标</w:t>
      </w:r>
    </w:p>
    <w:p w14:paraId="1457EC0A">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83" w:name="_26.组建评标委员会"/>
      <w:bookmarkEnd w:id="83"/>
      <w:r>
        <w:rPr>
          <w:rFonts w:hint="eastAsia" w:ascii="宋体" w:hAnsi="宋体" w:cs="宋体"/>
          <w:color w:val="auto"/>
          <w:sz w:val="24"/>
          <w:highlight w:val="none"/>
        </w:rPr>
        <w:t>26.组建评标委员会</w:t>
      </w:r>
    </w:p>
    <w:p w14:paraId="51FB8278">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评标委员会由采购人代表和评审专家组成，具体人数详见“投标人须知前附表”，其中评审专家不得少于成员总数的三分之二。</w:t>
      </w:r>
    </w:p>
    <w:p w14:paraId="38FEE5A0">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参加过采购项目前期咨询论证的专家，不得参加该采购项目的评审活动。</w:t>
      </w:r>
    </w:p>
    <w:p w14:paraId="7026C352">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27.评标的依据</w:t>
      </w:r>
    </w:p>
    <w:p w14:paraId="44BAC657">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评标委员会以招标文件为依据对投标文件进行评审，“第四章 评标方法和评标标准”没有规定的方法、评审因素和标准，不作为评标依据。</w:t>
      </w:r>
    </w:p>
    <w:p w14:paraId="47CF9FAF">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28.评标原则</w:t>
      </w:r>
    </w:p>
    <w:p w14:paraId="21526C95">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46CA9F0">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2937316B">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8B4B2D">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3A0E3995">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29.评标方法及评标标准</w:t>
      </w:r>
    </w:p>
    <w:p w14:paraId="6E24916C">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29.1本项目的评标方法详见“投标人须知前附表”。</w:t>
      </w:r>
    </w:p>
    <w:p w14:paraId="07AD98A3">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29.2 评标委员会按照“第四章 评标方法和评标标准”规定的方法、评审因素、标准和程序对投标文件进行评审。</w:t>
      </w:r>
    </w:p>
    <w:p w14:paraId="55009BEE">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29.3 电子交易活动的中止。采购过程中出现以下情形，导致电子交易平台无法正常运行，或者无法保证电子交易的公平、公正和安全时，采购机构可中止电子交易活动：</w:t>
      </w:r>
    </w:p>
    <w:p w14:paraId="7AF918B5">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（1）电子交易平台发生故障而无法登录访问的； </w:t>
      </w:r>
    </w:p>
    <w:p w14:paraId="5E6DEC7C">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（2）电子交易平台应用或数据库出现错误，不能进行正常操作的；</w:t>
      </w:r>
    </w:p>
    <w:p w14:paraId="2C32BB0C">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（3）电子交易平台发现严重安全漏洞，有潜在泄密危险的；</w:t>
      </w:r>
    </w:p>
    <w:p w14:paraId="7A622768">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 xml:space="preserve">（4）病毒发作导致不能进行正常操作的； </w:t>
      </w:r>
    </w:p>
    <w:p w14:paraId="413916FC">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（5）其他无法保证电子交易的公平、公正和安全的情况。</w:t>
      </w:r>
    </w:p>
    <w:p w14:paraId="5DB7D8E4">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lang w:eastAsia="zh-CN"/>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785ACA8">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29.5特别说明</w:t>
      </w:r>
    </w:p>
    <w:p w14:paraId="4F97AF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（1）广西政府采购云平台如对电子化开评标程序有调整的，按调整后的程序操作。</w:t>
      </w:r>
    </w:p>
    <w:p w14:paraId="313F813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（2）评审在严格保密的情况下进行，任何一方不得透露与评审有关的其他投标人的技术资料、价格和其他信息。</w:t>
      </w:r>
    </w:p>
    <w:p w14:paraId="7307800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4011FB38">
      <w:pPr>
        <w:snapToGrid w:val="0"/>
        <w:spacing w:line="400" w:lineRule="exact"/>
        <w:ind w:firstLine="422" w:firstLineChars="175"/>
        <w:jc w:val="center"/>
        <w:rPr>
          <w:rFonts w:hint="eastAsia" w:ascii="宋体" w:hAnsi="宋体" w:cs="宋体"/>
          <w:b/>
          <w:color w:val="auto"/>
          <w:sz w:val="24"/>
          <w:highlight w:val="none"/>
        </w:rPr>
      </w:pPr>
    </w:p>
    <w:p w14:paraId="50546AA1">
      <w:pPr>
        <w:snapToGrid w:val="0"/>
        <w:spacing w:line="400" w:lineRule="exact"/>
        <w:ind w:firstLine="422" w:firstLineChars="175"/>
        <w:jc w:val="center"/>
        <w:rPr>
          <w:rFonts w:hint="eastAsia" w:ascii="宋体" w:hAnsi="宋体" w:cs="宋体"/>
          <w:b/>
          <w:color w:val="auto"/>
          <w:sz w:val="24"/>
          <w:highlight w:val="none"/>
        </w:rPr>
      </w:pPr>
      <w:r>
        <w:rPr>
          <w:rFonts w:hint="eastAsia" w:ascii="宋体" w:hAnsi="宋体" w:cs="宋体"/>
          <w:b/>
          <w:color w:val="auto"/>
          <w:sz w:val="24"/>
          <w:highlight w:val="none"/>
        </w:rPr>
        <w:t>七、</w:t>
      </w:r>
      <w:bookmarkEnd w:id="85"/>
      <w:bookmarkEnd w:id="86"/>
      <w:r>
        <w:rPr>
          <w:rFonts w:hint="eastAsia" w:ascii="宋体" w:hAnsi="宋体" w:cs="宋体"/>
          <w:b/>
          <w:color w:val="auto"/>
          <w:sz w:val="24"/>
          <w:highlight w:val="none"/>
        </w:rPr>
        <w:t>中标和合同</w:t>
      </w:r>
    </w:p>
    <w:p w14:paraId="26D30CB3">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30 确定中标人</w:t>
      </w:r>
    </w:p>
    <w:p w14:paraId="03AFEBCE">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FBD6F1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401D02A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9365AA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CA7CB4B">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31.结果公告</w:t>
      </w:r>
    </w:p>
    <w:p w14:paraId="0F202367">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4"/>
          <w:highlight w:val="none"/>
          <w:lang w:eastAsia="zh-CN"/>
        </w:rPr>
        <w:t>重大税收违法失信主体</w:t>
      </w:r>
      <w:r>
        <w:rPr>
          <w:rFonts w:hint="eastAsia" w:ascii="宋体" w:hAnsi="宋体" w:cs="宋体"/>
          <w:b w:val="0"/>
          <w:color w:val="auto"/>
          <w:sz w:val="24"/>
          <w:highlight w:val="none"/>
        </w:rPr>
        <w:t>、政府采购严重违法失信行为记录名单及其他不符合《中华人民共和国政府采购法》第二十二条规定条件的投标人，取消其中标资格，并确定排名第二的中标候选人为中标人。</w:t>
      </w:r>
    </w:p>
    <w:p w14:paraId="56542AE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排名第二的中标候选人因前款规定的同样原因被取消中标资格的，采购人可以确定排名第三的中标候选人为中标人，以此类推。</w:t>
      </w:r>
    </w:p>
    <w:p w14:paraId="4CC08EC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以上信息查询记录及相关证据与采购文件一并保存。</w:t>
      </w:r>
    </w:p>
    <w:p w14:paraId="47CBD75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3DF90866">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32.发出中标通知书</w:t>
      </w:r>
    </w:p>
    <w:p w14:paraId="286C7B2B">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3EDB27B2">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33. 无义务解释未中标原因</w:t>
      </w:r>
    </w:p>
    <w:p w14:paraId="1B341A9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采购代理机构无义务向未中标的投标人解释未中标原因和退还投标文件。</w:t>
      </w:r>
    </w:p>
    <w:p w14:paraId="222B8ED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34.合同授予标准</w:t>
      </w:r>
    </w:p>
    <w:p w14:paraId="015FE3D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合同将授予被确定实质上响应招标文件要求，具备履行合同能力的中标人（招标文件另有约定多名中标人的除外）。</w:t>
      </w:r>
    </w:p>
    <w:p w14:paraId="0AEDB9F7">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35.履约保证金</w:t>
      </w:r>
    </w:p>
    <w:p w14:paraId="73A60943">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bookmarkStart w:id="87" w:name="_39.1中标人须于签订合同前按本须知前附表规定的金额转账或电汇到指定账"/>
      <w:bookmarkEnd w:id="87"/>
      <w:r>
        <w:rPr>
          <w:rFonts w:hint="eastAsia" w:ascii="宋体" w:hAnsi="宋体" w:cs="宋体"/>
          <w:b w:val="0"/>
          <w:color w:val="auto"/>
          <w:sz w:val="24"/>
          <w:highlight w:val="none"/>
        </w:rPr>
        <w:t>35.1 履约保证金的金额、提交方式、退付的时间和条件详见 “投标人须知前附表”。</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未按规定提交履约保证金的，视为拒绝与采购人签订合同，采购人可以按照评标报告推荐的中标候选人名单排序，确定下一候选人为</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，也可以重新开展政府采购活动。</w:t>
      </w:r>
    </w:p>
    <w:p w14:paraId="0F1AA39E">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35.2签订合同后，如</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不按双方签订的合同规定履约，则没收其全部履约保证金，履约保证金不足以赔偿损失的，按实际损失赔偿。</w:t>
      </w:r>
    </w:p>
    <w:p w14:paraId="2367F65C">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35.3在履约保证金退还日期前，若</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的开户名称、开户银行、帐号有变动的，请以书面形式通知履约保证金收取单位，否则由此产生的后果由</w:t>
      </w:r>
      <w:r>
        <w:rPr>
          <w:rFonts w:hint="eastAsia" w:ascii="宋体" w:hAnsi="宋体" w:cs="宋体"/>
          <w:b w:val="0"/>
          <w:color w:val="auto"/>
          <w:sz w:val="24"/>
          <w:highlight w:val="none"/>
          <w:lang w:eastAsia="zh-CN"/>
        </w:rPr>
        <w:t>中标人</w:t>
      </w:r>
      <w:r>
        <w:rPr>
          <w:rFonts w:hint="eastAsia" w:ascii="宋体" w:hAnsi="宋体" w:cs="宋体"/>
          <w:b w:val="0"/>
          <w:color w:val="auto"/>
          <w:sz w:val="24"/>
          <w:highlight w:val="none"/>
        </w:rPr>
        <w:t>自行承担。</w:t>
      </w:r>
    </w:p>
    <w:p w14:paraId="722D61D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36.签订合同</w:t>
      </w:r>
    </w:p>
    <w:p w14:paraId="2999D760">
      <w:pPr>
        <w:pStyle w:val="7"/>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bookmarkStart w:id="88" w:name="_40.1投标人接到中标通知书后，按须知前附表规定向采购人出示相关资格证"/>
      <w:bookmarkEnd w:id="88"/>
      <w:r>
        <w:rPr>
          <w:rFonts w:hint="eastAsia" w:ascii="宋体" w:hAnsi="宋体" w:cs="宋体"/>
          <w:b w:val="0"/>
          <w:color w:val="auto"/>
          <w:sz w:val="24"/>
          <w:highlight w:val="none"/>
        </w:rPr>
        <w:t>36.1投标人领取中标通知书后，按“投标人须知前附表”规定向采购人出示相关证明材料，经采购人核验合格后方可签订合同。</w:t>
      </w:r>
    </w:p>
    <w:p w14:paraId="6E8DF6D0">
      <w:pPr>
        <w:pStyle w:val="24"/>
        <w:snapToGrid w:val="0"/>
        <w:spacing w:before="0" w:line="400" w:lineRule="exact"/>
        <w:ind w:firstLine="420" w:firstLineChars="175"/>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36.2</w:t>
      </w:r>
      <w:r>
        <w:rPr>
          <w:rFonts w:hint="eastAsia" w:ascii="宋体" w:hAnsi="宋体" w:cs="宋体"/>
          <w:color w:val="auto"/>
          <w:szCs w:val="24"/>
          <w:highlight w:val="none"/>
        </w:rPr>
        <w:t>采购合同由采购人与中标供应商根据招标文件、投标文件等内容通过政府采购电子交易平台在线签订，自动备案。</w:t>
      </w:r>
    </w:p>
    <w:p w14:paraId="3EE8A932">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3</w:t>
      </w:r>
      <w:r>
        <w:rPr>
          <w:rFonts w:hint="eastAsia" w:ascii="宋体" w:hAnsi="宋体" w:cs="宋体"/>
          <w:b w:val="0"/>
          <w:color w:val="auto"/>
          <w:sz w:val="24"/>
          <w:highlight w:val="none"/>
        </w:rPr>
        <w:t>签订合同时间：按中标通知书规定的时间与采购人签订合同（最长不能超过25日）。</w:t>
      </w:r>
    </w:p>
    <w:p w14:paraId="7DA8584F">
      <w:pPr>
        <w:pStyle w:val="7"/>
        <w:keepNext w:val="0"/>
        <w:keepLines w:val="0"/>
        <w:snapToGrid w:val="0"/>
        <w:spacing w:before="0" w:after="0" w:line="400" w:lineRule="exact"/>
        <w:ind w:firstLine="420" w:firstLineChars="175"/>
        <w:rPr>
          <w:rFonts w:hint="eastAsia" w:ascii="宋体" w:hAnsi="宋体" w:cs="宋体"/>
          <w:b w:val="0"/>
          <w:color w:val="auto"/>
          <w:sz w:val="24"/>
          <w:highlight w:val="none"/>
          <w:lang w:eastAsia="zh-CN"/>
        </w:rPr>
      </w:pPr>
      <w:r>
        <w:rPr>
          <w:rFonts w:hint="eastAsia" w:ascii="宋体" w:hAnsi="宋体" w:cs="宋体"/>
          <w:b w:val="0"/>
          <w:color w:val="auto"/>
          <w:sz w:val="24"/>
          <w:highlight w:val="none"/>
        </w:rPr>
        <w:t>36.</w:t>
      </w:r>
      <w:r>
        <w:rPr>
          <w:rFonts w:hint="eastAsia" w:ascii="宋体" w:hAnsi="宋体" w:cs="宋体"/>
          <w:b w:val="0"/>
          <w:color w:val="auto"/>
          <w:sz w:val="24"/>
          <w:highlight w:val="none"/>
          <w:lang w:eastAsia="zh-CN"/>
        </w:rPr>
        <w:t>4中标</w:t>
      </w:r>
      <w:r>
        <w:rPr>
          <w:rFonts w:hint="eastAsia" w:ascii="宋体" w:hAnsi="宋体" w:cs="宋体"/>
          <w:b w:val="0"/>
          <w:color w:val="auto"/>
          <w:sz w:val="24"/>
          <w:highlight w:val="none"/>
        </w:rPr>
        <w:t>人拒绝与采购人签订合同的，采购人可以按照评审报告推荐的中标候选人名单排序，确定下一候选人为</w:t>
      </w:r>
      <w:r>
        <w:rPr>
          <w:rFonts w:hint="eastAsia" w:ascii="宋体" w:hAnsi="宋体" w:cs="宋体"/>
          <w:b w:val="0"/>
          <w:color w:val="auto"/>
          <w:sz w:val="24"/>
          <w:highlight w:val="none"/>
          <w:lang w:eastAsia="zh-CN"/>
        </w:rPr>
        <w:t>中标</w:t>
      </w:r>
      <w:r>
        <w:rPr>
          <w:rFonts w:hint="eastAsia" w:ascii="宋体" w:hAnsi="宋体" w:cs="宋体"/>
          <w:b w:val="0"/>
          <w:color w:val="auto"/>
          <w:sz w:val="24"/>
          <w:highlight w:val="none"/>
        </w:rPr>
        <w:t>人，也可以重新开展政府采购活动。</w:t>
      </w:r>
    </w:p>
    <w:p w14:paraId="784820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C3480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1BBE9F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36.7如签订合同并生效后，供应商无故拒绝或延期，除按照合同条款处理外，将承担相应的法律责任。</w:t>
      </w:r>
    </w:p>
    <w:p w14:paraId="4811652F">
      <w:pPr>
        <w:pStyle w:val="8"/>
        <w:snapToGrid w:val="0"/>
        <w:spacing w:line="400" w:lineRule="exact"/>
        <w:ind w:firstLine="422" w:firstLineChars="175"/>
        <w:rPr>
          <w:rFonts w:hint="eastAsia" w:ascii="宋体" w:hAnsi="宋体" w:cs="宋体"/>
          <w:color w:val="auto"/>
          <w:sz w:val="24"/>
          <w:szCs w:val="24"/>
          <w:highlight w:val="none"/>
        </w:rPr>
      </w:pPr>
      <w:r>
        <w:rPr>
          <w:rFonts w:hint="eastAsia" w:ascii="宋体" w:hAnsi="宋体" w:cs="宋体"/>
          <w:b/>
          <w:color w:val="auto"/>
          <w:sz w:val="24"/>
          <w:szCs w:val="24"/>
          <w:highlight w:val="none"/>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58F24C16">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89" w:name="_41.政府采购合同公告"/>
      <w:bookmarkEnd w:id="89"/>
      <w:r>
        <w:rPr>
          <w:rFonts w:hint="eastAsia" w:ascii="宋体" w:hAnsi="宋体" w:cs="宋体"/>
          <w:color w:val="auto"/>
          <w:sz w:val="24"/>
          <w:highlight w:val="none"/>
        </w:rPr>
        <w:t>37.政府采购合同公告</w:t>
      </w:r>
    </w:p>
    <w:p w14:paraId="7DFC796E">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29D0E28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38. 询问、质疑和投诉</w:t>
      </w:r>
    </w:p>
    <w:p w14:paraId="3AE78688">
      <w:pPr>
        <w:pStyle w:val="8"/>
        <w:snapToGrid w:val="0"/>
        <w:spacing w:line="400" w:lineRule="exact"/>
        <w:ind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38.1供应商对政府采购活动事项有疑问的，可以向采购人提出询问，采购人应当及时作出答复，但答复的内容不得涉及商业秘密。</w:t>
      </w:r>
    </w:p>
    <w:p w14:paraId="2B0FBD23">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38.2供应商认为招标文件、采购过程或者中标结果使自己的合法权益受到损害的，必须在知道或者应知其权益受到损害之日起7个工作日内，以书面形式向采购人</w:t>
      </w:r>
      <w:r>
        <w:rPr>
          <w:rFonts w:hint="eastAsia" w:ascii="宋体" w:hAnsi="宋体" w:cs="宋体"/>
          <w:b w:val="0"/>
          <w:color w:val="auto"/>
          <w:sz w:val="24"/>
          <w:highlight w:val="none"/>
          <w:lang w:eastAsia="zh-CN"/>
        </w:rPr>
        <w:t>或</w:t>
      </w:r>
      <w:r>
        <w:rPr>
          <w:rFonts w:hint="eastAsia" w:ascii="宋体" w:hAnsi="宋体" w:cs="宋体"/>
          <w:b w:val="0"/>
          <w:color w:val="auto"/>
          <w:sz w:val="24"/>
          <w:highlight w:val="none"/>
        </w:rPr>
        <w:t xml:space="preserve">采购代理机构提出质疑。采购人、采购代理机构接收质疑函的方式、联系部门、联系电话和通讯地址等信息详见“投标人须知前附表”。具体质疑起算时间如下： </w:t>
      </w:r>
    </w:p>
    <w:p w14:paraId="459E55F4">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（1）对可以质疑的招标文件提出质疑的，为收到招标文件之日或者招标文件公告期限届满之日；</w:t>
      </w:r>
    </w:p>
    <w:p w14:paraId="16A28A89">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（2）对采购过程提出质疑的，为各采购程序环节结束之日；</w:t>
      </w:r>
    </w:p>
    <w:p w14:paraId="709ABBFC">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（3）对中标结果提出质疑的，为中标结果公告期限届满之日。</w:t>
      </w:r>
    </w:p>
    <w:p w14:paraId="06A9FA4C">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7E820347">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bookmarkStart w:id="90" w:name="_9.2质疑、投诉应当采用书面形式，质疑函、投诉书均应明确阐述招标文件、"/>
      <w:bookmarkEnd w:id="90"/>
      <w:r>
        <w:rPr>
          <w:rFonts w:hint="eastAsia" w:ascii="宋体" w:hAnsi="宋体" w:cs="宋体"/>
          <w:b w:val="0"/>
          <w:color w:val="auto"/>
          <w:sz w:val="24"/>
          <w:highlight w:val="none"/>
        </w:rPr>
        <w:t>38.3</w:t>
      </w:r>
      <w:r>
        <w:rPr>
          <w:rFonts w:hint="eastAsia" w:ascii="宋体" w:hAnsi="宋体" w:cs="宋体"/>
          <w:bCs/>
          <w:color w:val="auto"/>
          <w:sz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color w:val="auto"/>
          <w:kern w:val="0"/>
          <w:sz w:val="24"/>
          <w:highlight w:val="none"/>
          <w:lang w:eastAsia="zh-CN"/>
        </w:rPr>
        <w:t>，</w:t>
      </w:r>
      <w:r>
        <w:rPr>
          <w:rFonts w:hint="eastAsia" w:ascii="宋体" w:hAnsi="宋体" w:cs="宋体"/>
          <w:bCs/>
          <w:color w:val="auto"/>
          <w:sz w:val="24"/>
          <w:highlight w:val="none"/>
        </w:rPr>
        <w:t>质疑函应当包括下列内容：</w:t>
      </w:r>
    </w:p>
    <w:p w14:paraId="61B08B7A">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（1）供应商的姓名或者名称、地址、邮编、联系人及联系电话；</w:t>
      </w:r>
    </w:p>
    <w:p w14:paraId="5CE02A62">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（2）质疑项目的名称、编号；</w:t>
      </w:r>
    </w:p>
    <w:p w14:paraId="28A5A20A">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（3）具体、明确的质疑事项和与质疑事项相关的请求；</w:t>
      </w:r>
    </w:p>
    <w:p w14:paraId="654B738F">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（4）事实依据；</w:t>
      </w:r>
    </w:p>
    <w:p w14:paraId="70BAB363">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（5）必要的法律依据；</w:t>
      </w:r>
    </w:p>
    <w:p w14:paraId="46987747">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（6）提出质疑的日期。</w:t>
      </w:r>
    </w:p>
    <w:p w14:paraId="50D0D7B9">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F938F5A">
      <w:pPr>
        <w:pStyle w:val="7"/>
        <w:keepNext w:val="0"/>
        <w:keepLines w:val="0"/>
        <w:snapToGrid w:val="0"/>
        <w:spacing w:before="0" w:after="0" w:line="400" w:lineRule="exact"/>
        <w:ind w:firstLine="422" w:firstLineChars="175"/>
        <w:rPr>
          <w:rFonts w:hint="eastAsia"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14EE8A42">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0F10A469">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1289A8BF">
      <w:pPr>
        <w:pStyle w:val="13"/>
        <w:snapToGrid w:val="0"/>
        <w:spacing w:line="400" w:lineRule="exact"/>
        <w:ind w:firstLine="420" w:firstLineChars="175"/>
        <w:rPr>
          <w:rFonts w:hint="eastAsia" w:hAnsi="宋体" w:cs="宋体"/>
          <w:bCs/>
          <w:color w:val="auto"/>
          <w:sz w:val="24"/>
          <w:szCs w:val="24"/>
          <w:highlight w:val="none"/>
        </w:rPr>
      </w:pPr>
      <w:r>
        <w:rPr>
          <w:rFonts w:hint="eastAsia" w:hAnsi="宋体" w:cs="宋体"/>
          <w:bCs/>
          <w:color w:val="auto"/>
          <w:sz w:val="24"/>
          <w:szCs w:val="24"/>
          <w:highlight w:val="none"/>
        </w:rPr>
        <w:t>质疑答复导致中标结果改变的，采购人或者采购代理机构应当将有关情况书面报告本级财政部门。</w:t>
      </w:r>
    </w:p>
    <w:p w14:paraId="49874516">
      <w:pPr>
        <w:pStyle w:val="13"/>
        <w:snapToGrid w:val="0"/>
        <w:spacing w:line="400" w:lineRule="exact"/>
        <w:ind w:firstLine="420" w:firstLineChars="175"/>
        <w:rPr>
          <w:rFonts w:hint="eastAsia" w:hAnsi="宋体" w:cs="宋体"/>
          <w:b/>
          <w:color w:val="auto"/>
          <w:sz w:val="24"/>
          <w:szCs w:val="24"/>
          <w:highlight w:val="none"/>
          <w:lang w:eastAsia="zh-CN"/>
        </w:rPr>
      </w:pPr>
      <w:r>
        <w:rPr>
          <w:rFonts w:hint="eastAsia" w:hAnsi="宋体" w:cs="宋体"/>
          <w:color w:val="auto"/>
          <w:sz w:val="24"/>
          <w:szCs w:val="24"/>
          <w:highlight w:val="none"/>
        </w:rPr>
        <w:t>38.5</w:t>
      </w:r>
      <w:r>
        <w:rPr>
          <w:rFonts w:hint="eastAsia" w:hAnsi="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w:t>
      </w:r>
      <w:r>
        <w:rPr>
          <w:rFonts w:hint="eastAsia" w:hAnsi="宋体" w:cs="宋体"/>
          <w:b/>
          <w:color w:val="auto"/>
          <w:sz w:val="24"/>
          <w:szCs w:val="24"/>
          <w:highlight w:val="none"/>
          <w:lang w:eastAsia="zh-CN"/>
        </w:rPr>
        <w:t>投诉书</w:t>
      </w:r>
      <w:r>
        <w:rPr>
          <w:rFonts w:hint="eastAsia" w:hAnsi="宋体" w:cs="宋体"/>
          <w:b/>
          <w:color w:val="auto"/>
          <w:sz w:val="24"/>
          <w:szCs w:val="24"/>
          <w:highlight w:val="none"/>
        </w:rPr>
        <w:t>范本》）。</w:t>
      </w:r>
      <w:bookmarkStart w:id="91" w:name="_八、其他事项"/>
      <w:bookmarkEnd w:id="91"/>
    </w:p>
    <w:p w14:paraId="3CCE3141">
      <w:pPr>
        <w:pStyle w:val="13"/>
        <w:snapToGrid w:val="0"/>
        <w:spacing w:line="400" w:lineRule="exact"/>
        <w:ind w:firstLine="422" w:firstLineChars="175"/>
        <w:jc w:val="center"/>
        <w:rPr>
          <w:rFonts w:hint="eastAsia" w:hAnsi="宋体" w:cs="宋体"/>
          <w:b/>
          <w:color w:val="auto"/>
          <w:sz w:val="24"/>
          <w:szCs w:val="24"/>
          <w:highlight w:val="none"/>
        </w:rPr>
      </w:pPr>
    </w:p>
    <w:p w14:paraId="2141FF34">
      <w:pPr>
        <w:pStyle w:val="13"/>
        <w:snapToGrid w:val="0"/>
        <w:spacing w:line="400" w:lineRule="exact"/>
        <w:ind w:firstLine="422" w:firstLineChars="175"/>
        <w:jc w:val="center"/>
        <w:rPr>
          <w:rFonts w:hint="eastAsia" w:hAnsi="宋体" w:cs="宋体"/>
          <w:b/>
          <w:color w:val="auto"/>
          <w:sz w:val="24"/>
          <w:szCs w:val="24"/>
          <w:highlight w:val="none"/>
        </w:rPr>
      </w:pPr>
      <w:r>
        <w:rPr>
          <w:rFonts w:hint="eastAsia" w:hAnsi="宋体" w:cs="宋体"/>
          <w:b/>
          <w:color w:val="auto"/>
          <w:sz w:val="24"/>
          <w:szCs w:val="24"/>
          <w:highlight w:val="none"/>
        </w:rPr>
        <w:t>八、其他事项</w:t>
      </w:r>
    </w:p>
    <w:p w14:paraId="03F6081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bookmarkStart w:id="92" w:name="_42.代理服务费"/>
      <w:bookmarkEnd w:id="92"/>
      <w:r>
        <w:rPr>
          <w:rFonts w:hint="eastAsia" w:ascii="宋体" w:hAnsi="宋体" w:cs="宋体"/>
          <w:color w:val="auto"/>
          <w:sz w:val="24"/>
          <w:highlight w:val="none"/>
        </w:rPr>
        <w:t>39.代理服务费</w:t>
      </w:r>
    </w:p>
    <w:p w14:paraId="5A0F8FDB">
      <w:pPr>
        <w:pStyle w:val="13"/>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rPr>
        <w:t>39.1</w:t>
      </w:r>
      <w:r>
        <w:rPr>
          <w:rFonts w:hint="eastAsia" w:hAnsi="宋体" w:cs="宋体"/>
          <w:color w:val="auto"/>
          <w:sz w:val="24"/>
          <w:szCs w:val="24"/>
          <w:highlight w:val="none"/>
          <w:lang w:val="en-US" w:eastAsia="zh-CN"/>
        </w:rPr>
        <w:t>采购代理费支付方式：</w:t>
      </w:r>
    </w:p>
    <w:p w14:paraId="7E434CDE">
      <w:pPr>
        <w:pStyle w:val="13"/>
        <w:snapToGrid w:val="0"/>
        <w:spacing w:line="40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中标人在领取中标通知书前，须一次性向采购代理机构付清代理服务费。</w:t>
      </w:r>
    </w:p>
    <w:p w14:paraId="7F399C86">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39.</w:t>
      </w:r>
      <w:r>
        <w:rPr>
          <w:rFonts w:hint="eastAsia" w:ascii="宋体" w:hAnsi="宋体" w:cs="宋体"/>
          <w:b w:val="0"/>
          <w:color w:val="auto"/>
          <w:sz w:val="24"/>
          <w:highlight w:val="none"/>
          <w:lang w:val="en-US" w:eastAsia="zh-CN"/>
        </w:rPr>
        <w:t>2</w:t>
      </w:r>
      <w:r>
        <w:rPr>
          <w:rFonts w:hint="eastAsia" w:ascii="宋体" w:hAnsi="宋体" w:cs="宋体"/>
          <w:b w:val="0"/>
          <w:color w:val="auto"/>
          <w:sz w:val="24"/>
          <w:highlight w:val="none"/>
        </w:rPr>
        <w:t>代理服务收费标准：按下述标准（</w:t>
      </w:r>
      <w:r>
        <w:rPr>
          <w:rFonts w:hint="eastAsia" w:ascii="宋体" w:hAnsi="宋体" w:cs="宋体"/>
          <w:b w:val="0"/>
          <w:color w:val="auto"/>
          <w:sz w:val="24"/>
          <w:highlight w:val="none"/>
          <w:lang w:eastAsia="zh-CN"/>
        </w:rPr>
        <w:t>货物招标</w:t>
      </w:r>
      <w:r>
        <w:rPr>
          <w:rFonts w:hint="eastAsia" w:ascii="宋体" w:hAnsi="宋体" w:cs="宋体"/>
          <w:b w:val="0"/>
          <w:color w:val="auto"/>
          <w:sz w:val="24"/>
          <w:highlight w:val="none"/>
        </w:rPr>
        <w:t>）以差额定率累进法计算收取，具体标准如下：</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1E31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3759" w:type="dxa"/>
            <w:tcBorders>
              <w:tl2br w:val="single" w:color="auto" w:sz="4" w:space="0"/>
            </w:tcBorders>
            <w:noWrap w:val="0"/>
            <w:vAlign w:val="top"/>
          </w:tcPr>
          <w:p w14:paraId="00C1E9E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               费率</w:t>
            </w:r>
          </w:p>
          <w:p w14:paraId="53AF4D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中标金额</w:t>
            </w:r>
          </w:p>
        </w:tc>
        <w:tc>
          <w:tcPr>
            <w:tcW w:w="1796" w:type="dxa"/>
            <w:noWrap w:val="0"/>
            <w:vAlign w:val="center"/>
          </w:tcPr>
          <w:p w14:paraId="01BBA19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826" w:type="dxa"/>
            <w:noWrap w:val="0"/>
            <w:vAlign w:val="center"/>
          </w:tcPr>
          <w:p w14:paraId="7545EFF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796" w:type="dxa"/>
            <w:noWrap w:val="0"/>
            <w:vAlign w:val="center"/>
          </w:tcPr>
          <w:p w14:paraId="13C4DE1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7967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15186FB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100万元以下</w:t>
            </w:r>
          </w:p>
        </w:tc>
        <w:tc>
          <w:tcPr>
            <w:tcW w:w="1796" w:type="dxa"/>
            <w:noWrap w:val="0"/>
            <w:vAlign w:val="top"/>
          </w:tcPr>
          <w:p w14:paraId="2905798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1.5%          </w:t>
            </w:r>
          </w:p>
        </w:tc>
        <w:tc>
          <w:tcPr>
            <w:tcW w:w="1826" w:type="dxa"/>
            <w:noWrap w:val="0"/>
            <w:vAlign w:val="top"/>
          </w:tcPr>
          <w:p w14:paraId="61245D7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1.5%</w:t>
            </w:r>
          </w:p>
        </w:tc>
        <w:tc>
          <w:tcPr>
            <w:tcW w:w="1796" w:type="dxa"/>
            <w:noWrap w:val="0"/>
            <w:vAlign w:val="top"/>
          </w:tcPr>
          <w:p w14:paraId="00A5E10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1.0% </w:t>
            </w:r>
          </w:p>
        </w:tc>
      </w:tr>
      <w:tr w14:paraId="5AE4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7F15A77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100～500万元</w:t>
            </w:r>
          </w:p>
        </w:tc>
        <w:tc>
          <w:tcPr>
            <w:tcW w:w="1796" w:type="dxa"/>
            <w:noWrap w:val="0"/>
            <w:vAlign w:val="top"/>
          </w:tcPr>
          <w:p w14:paraId="4780820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1.1%           </w:t>
            </w:r>
          </w:p>
        </w:tc>
        <w:tc>
          <w:tcPr>
            <w:tcW w:w="1826" w:type="dxa"/>
            <w:noWrap w:val="0"/>
            <w:vAlign w:val="top"/>
          </w:tcPr>
          <w:p w14:paraId="720F0BD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0.8%</w:t>
            </w:r>
          </w:p>
        </w:tc>
        <w:tc>
          <w:tcPr>
            <w:tcW w:w="1796" w:type="dxa"/>
            <w:noWrap w:val="0"/>
            <w:vAlign w:val="top"/>
          </w:tcPr>
          <w:p w14:paraId="3D2A078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0.7% </w:t>
            </w:r>
          </w:p>
        </w:tc>
      </w:tr>
      <w:tr w14:paraId="603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0D447F80">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500～1000万元</w:t>
            </w:r>
          </w:p>
        </w:tc>
        <w:tc>
          <w:tcPr>
            <w:tcW w:w="1796" w:type="dxa"/>
            <w:noWrap w:val="0"/>
            <w:vAlign w:val="top"/>
          </w:tcPr>
          <w:p w14:paraId="307DCB2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 xml:space="preserve">0.8%          </w:t>
            </w:r>
          </w:p>
        </w:tc>
        <w:tc>
          <w:tcPr>
            <w:tcW w:w="1826" w:type="dxa"/>
            <w:noWrap w:val="0"/>
            <w:vAlign w:val="top"/>
          </w:tcPr>
          <w:p w14:paraId="06F82CA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0.45%</w:t>
            </w:r>
          </w:p>
        </w:tc>
        <w:tc>
          <w:tcPr>
            <w:tcW w:w="1796" w:type="dxa"/>
            <w:noWrap w:val="0"/>
            <w:vAlign w:val="top"/>
          </w:tcPr>
          <w:p w14:paraId="4547A93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kern w:val="0"/>
                <w:sz w:val="24"/>
                <w:highlight w:val="none"/>
              </w:rPr>
              <w:t>0.55%</w:t>
            </w:r>
          </w:p>
        </w:tc>
      </w:tr>
    </w:tbl>
    <w:p w14:paraId="560C537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注: </w:t>
      </w:r>
    </w:p>
    <w:p w14:paraId="7215EC1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3AB3C08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63BB5E3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例如：某货物采购代理业务中标金额或者暂定价为200万元，计算采购代理收费额如下：</w:t>
      </w:r>
    </w:p>
    <w:p w14:paraId="20084D5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100万元×l.5 ％＝1.5万元</w:t>
      </w:r>
    </w:p>
    <w:p w14:paraId="25C4B1E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（200－100）万元 ×1.1％＝1.1万元</w:t>
      </w:r>
    </w:p>
    <w:p w14:paraId="00D7C15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合计收费＝1.5+1.1＝2.6（万元）</w:t>
      </w:r>
    </w:p>
    <w:p w14:paraId="4AF31B47">
      <w:pPr>
        <w:pStyle w:val="7"/>
        <w:keepNext w:val="0"/>
        <w:keepLines w:val="0"/>
        <w:numPr>
          <w:ilvl w:val="0"/>
          <w:numId w:val="0"/>
        </w:numPr>
        <w:snapToGrid w:val="0"/>
        <w:spacing w:before="0" w:after="0" w:line="400" w:lineRule="exact"/>
        <w:ind w:firstLine="422" w:firstLineChars="175"/>
        <w:rPr>
          <w:rFonts w:hint="eastAsia" w:ascii="宋体" w:hAnsi="宋体" w:cs="宋体"/>
          <w:color w:val="auto"/>
          <w:sz w:val="24"/>
          <w:highlight w:val="none"/>
          <w:lang w:eastAsia="zh-CN"/>
        </w:rPr>
      </w:pPr>
      <w:r>
        <w:rPr>
          <w:rFonts w:hint="eastAsia" w:ascii="宋体" w:hAnsi="宋体" w:cs="宋体"/>
          <w:color w:val="auto"/>
          <w:sz w:val="24"/>
          <w:highlight w:val="none"/>
        </w:rPr>
        <w:t>40. 需要补充的其他内容</w:t>
      </w:r>
    </w:p>
    <w:p w14:paraId="6ECBA8BF">
      <w:pPr>
        <w:pStyle w:val="7"/>
        <w:keepNext w:val="0"/>
        <w:keepLines w:val="0"/>
        <w:numPr>
          <w:ilvl w:val="0"/>
          <w:numId w:val="0"/>
        </w:numPr>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40.1本招标文件解释规则详见“投标人须知前附表”。</w:t>
      </w:r>
    </w:p>
    <w:p w14:paraId="2DE97C54">
      <w:pPr>
        <w:snapToGrid w:val="0"/>
        <w:spacing w:line="400" w:lineRule="exact"/>
        <w:ind w:firstLine="420" w:firstLineChars="175"/>
        <w:jc w:val="left"/>
        <w:outlineLvl w:val="1"/>
        <w:rPr>
          <w:rFonts w:hint="eastAsia" w:ascii="宋体" w:hAnsi="宋体" w:cs="宋体"/>
          <w:b/>
          <w:color w:val="auto"/>
          <w:sz w:val="24"/>
          <w:highlight w:val="none"/>
        </w:rPr>
      </w:pPr>
      <w:bookmarkStart w:id="93" w:name="_Toc23462"/>
      <w:r>
        <w:rPr>
          <w:rFonts w:hint="eastAsia" w:ascii="宋体" w:hAnsi="宋体" w:cs="宋体"/>
          <w:color w:val="auto"/>
          <w:sz w:val="24"/>
          <w:highlight w:val="none"/>
        </w:rPr>
        <w:t>40.2 其他事项详见“投标人须知前附表”。</w:t>
      </w:r>
      <w:bookmarkEnd w:id="93"/>
    </w:p>
    <w:bookmarkEnd w:id="45"/>
    <w:bookmarkEnd w:id="46"/>
    <w:p w14:paraId="3BA22162">
      <w:pPr>
        <w:pStyle w:val="13"/>
        <w:snapToGrid w:val="0"/>
        <w:spacing w:before="120" w:after="120"/>
        <w:rPr>
          <w:rFonts w:hint="eastAsia" w:hAnsi="宋体" w:cs="宋体"/>
          <w:color w:val="auto"/>
          <w:highlight w:val="none"/>
        </w:rPr>
      </w:pPr>
    </w:p>
    <w:p w14:paraId="71F9CCF6">
      <w:pPr>
        <w:pStyle w:val="3"/>
        <w:spacing w:line="400" w:lineRule="exact"/>
        <w:jc w:val="center"/>
        <w:rPr>
          <w:rFonts w:hint="eastAsia" w:ascii="宋体" w:hAnsi="宋体" w:cs="宋体"/>
          <w:color w:val="auto"/>
          <w:sz w:val="30"/>
          <w:szCs w:val="30"/>
          <w:highlight w:val="none"/>
        </w:rPr>
      </w:pPr>
      <w:bookmarkStart w:id="94" w:name="_Toc254970548"/>
      <w:bookmarkStart w:id="95" w:name="_Toc254970689"/>
      <w:r>
        <w:rPr>
          <w:rFonts w:hint="eastAsia" w:ascii="宋体" w:hAnsi="宋体" w:cs="宋体"/>
          <w:color w:val="auto"/>
          <w:sz w:val="30"/>
          <w:szCs w:val="30"/>
          <w:highlight w:val="none"/>
        </w:rPr>
        <w:br w:type="page"/>
      </w:r>
      <w:bookmarkStart w:id="96" w:name="_Toc22040"/>
      <w:bookmarkStart w:id="97" w:name="_Toc1103"/>
      <w:r>
        <w:rPr>
          <w:rFonts w:hint="eastAsia" w:ascii="宋体" w:hAnsi="宋体" w:cs="宋体"/>
          <w:color w:val="auto"/>
          <w:sz w:val="36"/>
          <w:szCs w:val="36"/>
          <w:highlight w:val="none"/>
        </w:rPr>
        <w:t xml:space="preserve">第四章  </w:t>
      </w:r>
      <w:bookmarkEnd w:id="94"/>
      <w:bookmarkEnd w:id="95"/>
      <w:r>
        <w:rPr>
          <w:rFonts w:hint="eastAsia" w:ascii="宋体" w:hAnsi="宋体" w:cs="宋体"/>
          <w:color w:val="auto"/>
          <w:sz w:val="36"/>
          <w:szCs w:val="36"/>
          <w:highlight w:val="none"/>
        </w:rPr>
        <w:t>评标方法及评标标准</w:t>
      </w:r>
      <w:bookmarkEnd w:id="96"/>
      <w:bookmarkEnd w:id="97"/>
    </w:p>
    <w:p w14:paraId="37197928">
      <w:pPr>
        <w:pStyle w:val="4"/>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98" w:name="_Toc32703"/>
      <w:bookmarkStart w:id="99" w:name="_Toc22447"/>
      <w:bookmarkStart w:id="100" w:name="_Toc381"/>
      <w:r>
        <w:rPr>
          <w:rFonts w:hint="eastAsia" w:ascii="宋体" w:hAnsi="宋体" w:cs="宋体"/>
          <w:color w:val="auto"/>
          <w:sz w:val="24"/>
          <w:szCs w:val="24"/>
          <w:highlight w:val="none"/>
        </w:rPr>
        <w:t>一、评标方法</w:t>
      </w:r>
      <w:bookmarkEnd w:id="98"/>
      <w:bookmarkEnd w:id="99"/>
      <w:bookmarkEnd w:id="100"/>
    </w:p>
    <w:p w14:paraId="659C8DD1">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综合评分法，是指投标文件满足招标文件全部实质性要求，且按照评审因素的量化指标评审得分最高的投标人为中标候选人的评标方法。</w:t>
      </w:r>
    </w:p>
    <w:p w14:paraId="61C7424C">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最低评标价法，是指投标文件满足招标文件全部实质性要求，且投标报价最低的投标人为中标候选人的评标方法。</w:t>
      </w:r>
    </w:p>
    <w:p w14:paraId="6B2998D5">
      <w:pPr>
        <w:pStyle w:val="4"/>
        <w:keepNext w:val="0"/>
        <w:keepLines w:val="0"/>
        <w:snapToGrid w:val="0"/>
        <w:spacing w:before="0" w:after="0" w:line="400" w:lineRule="exact"/>
        <w:ind w:firstLine="422" w:firstLineChars="175"/>
        <w:jc w:val="center"/>
        <w:rPr>
          <w:rFonts w:hint="eastAsia" w:ascii="宋体" w:hAnsi="宋体" w:cs="宋体"/>
          <w:color w:val="auto"/>
          <w:sz w:val="24"/>
          <w:szCs w:val="24"/>
          <w:highlight w:val="none"/>
        </w:rPr>
      </w:pPr>
      <w:bookmarkStart w:id="101" w:name="_Toc14600"/>
      <w:bookmarkStart w:id="102" w:name="_Toc21014"/>
      <w:bookmarkStart w:id="103" w:name="_Toc2396"/>
      <w:r>
        <w:rPr>
          <w:rFonts w:hint="eastAsia" w:ascii="宋体" w:hAnsi="宋体" w:cs="宋体"/>
          <w:color w:val="auto"/>
          <w:sz w:val="24"/>
          <w:szCs w:val="24"/>
          <w:highlight w:val="none"/>
        </w:rPr>
        <w:t>二、评标程序</w:t>
      </w:r>
      <w:bookmarkEnd w:id="101"/>
      <w:bookmarkEnd w:id="102"/>
      <w:bookmarkEnd w:id="103"/>
    </w:p>
    <w:p w14:paraId="7F2063E0">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1.符合性审查</w:t>
      </w:r>
    </w:p>
    <w:p w14:paraId="02B99092">
      <w:pPr>
        <w:pStyle w:val="13"/>
        <w:snapToGrid w:val="0"/>
        <w:spacing w:line="400" w:lineRule="exact"/>
        <w:ind w:firstLine="422" w:firstLineChars="175"/>
        <w:rPr>
          <w:rFonts w:hint="eastAsia" w:hAnsi="宋体" w:cs="宋体"/>
          <w:b/>
          <w:color w:val="auto"/>
          <w:kern w:val="2"/>
          <w:sz w:val="24"/>
          <w:szCs w:val="24"/>
          <w:highlight w:val="none"/>
        </w:rPr>
      </w:pPr>
      <w:r>
        <w:rPr>
          <w:rFonts w:hint="eastAsia" w:hAnsi="宋体" w:cs="宋体"/>
          <w:b/>
          <w:color w:val="auto"/>
          <w:kern w:val="2"/>
          <w:sz w:val="24"/>
          <w:szCs w:val="24"/>
          <w:highlight w:val="none"/>
        </w:rPr>
        <w:t>评标委员会应当对符合资格的投标人的投标文件进行投标报价、商务、技术等实质性内容符合性审查，以确定其是否满足招标文件的实质性要求。</w:t>
      </w:r>
    </w:p>
    <w:p w14:paraId="4893C5BC">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2.符合性审查不通过而导致投标无效的情形</w:t>
      </w:r>
    </w:p>
    <w:p w14:paraId="12F81B4D">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投标人的投标文件中存在对招标文件的任何实质性要求和条件的负偏离，将被视为投标无效。</w:t>
      </w:r>
    </w:p>
    <w:p w14:paraId="7341CA7F">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2.1在报价评审时，如发现下列情形之一的，将被视为投标无效：</w:t>
      </w:r>
    </w:p>
    <w:p w14:paraId="10919C2C">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投标文件未提供“投标人须知前附表”第13.1条规定中“必须提供”的文件资料的;</w:t>
      </w:r>
    </w:p>
    <w:p w14:paraId="3C5FFB39">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未采用人民币报价或者未按照招标文件标明的币种报价的；</w:t>
      </w:r>
    </w:p>
    <w:p w14:paraId="1580681A">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报价超出招标文件规定最高限价，或者超出采购预算金额的；</w:t>
      </w:r>
    </w:p>
    <w:p w14:paraId="68FD96B1">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9B47F78">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修正后的报价，投标人不确认的；</w:t>
      </w:r>
    </w:p>
    <w:p w14:paraId="7E36455A">
      <w:pPr>
        <w:pStyle w:val="8"/>
        <w:numPr>
          <w:ilvl w:val="0"/>
          <w:numId w:val="6"/>
        </w:numPr>
        <w:snapToGrid w:val="0"/>
        <w:spacing w:line="400" w:lineRule="exact"/>
        <w:ind w:firstLine="422" w:firstLineChars="175"/>
        <w:rPr>
          <w:rFonts w:hint="eastAsia" w:ascii="宋体" w:hAnsi="宋体" w:cs="宋体"/>
          <w:b/>
          <w:color w:val="auto"/>
          <w:sz w:val="24"/>
          <w:szCs w:val="24"/>
          <w:highlight w:val="none"/>
        </w:rPr>
      </w:pPr>
      <w:r>
        <w:rPr>
          <w:rFonts w:hint="eastAsia" w:ascii="宋体" w:hAnsi="宋体" w:cs="宋体"/>
          <w:b/>
          <w:color w:val="auto"/>
          <w:sz w:val="24"/>
          <w:szCs w:val="24"/>
          <w:highlight w:val="none"/>
        </w:rPr>
        <w:t>投标人属于本章第5条第（2）项情形的。</w:t>
      </w:r>
    </w:p>
    <w:p w14:paraId="11091065">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2.2在商务评审时，如发现下列情形之一的，将被视为投标无效：</w:t>
      </w:r>
    </w:p>
    <w:p w14:paraId="1340982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投标文件未按招标文件要求签署、盖章的；</w:t>
      </w:r>
    </w:p>
    <w:p w14:paraId="59E2684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 xml:space="preserve">委托代理人未能出具有效身份证明或者出具的身份证明与授权委托书中的信息不符的； </w:t>
      </w:r>
    </w:p>
    <w:p w14:paraId="08D56CE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为无效投标保证金的或者未按照招标文件的规定提交投标保证金的；</w:t>
      </w:r>
    </w:p>
    <w:p w14:paraId="524DC3DB">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投标文件未提供“投标人须知前附表”第13.1条规定中“必须提供”或者“委托时必须提供”的文件资料的;</w:t>
      </w:r>
    </w:p>
    <w:p w14:paraId="52AA2D2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投标有效期、项目完成时间（交货时间、服务完成时间或者服务期等）、质保期、售后服务等招标文件中标“▲”的商务条款发生负偏离的；</w:t>
      </w:r>
    </w:p>
    <w:p w14:paraId="4AA9F25C">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商务条款评审允许负偏离的条款数超过“投标人须知前附表”规定项数的。</w:t>
      </w:r>
    </w:p>
    <w:p w14:paraId="47E5CB9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投标文件的实质性内容未使用中文表述、使用计量单位不符合招标文件要求的；</w:t>
      </w:r>
    </w:p>
    <w:p w14:paraId="47F64CBF">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投标文件中的文件资料因填写不齐全或者内容虚假或者出现其他情形而导致被评标委员会认定无效的；</w:t>
      </w:r>
    </w:p>
    <w:p w14:paraId="4A9C10B8">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w:t>
      </w:r>
    </w:p>
    <w:p w14:paraId="13FB0521">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未响应招标文件实质性要求的；</w:t>
      </w:r>
    </w:p>
    <w:p w14:paraId="4123E8F3">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属于投标人须知正文第9.2条情形的；</w:t>
      </w:r>
    </w:p>
    <w:p w14:paraId="05DCAA67">
      <w:pPr>
        <w:numPr>
          <w:ilvl w:val="0"/>
          <w:numId w:val="7"/>
        </w:num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法律、法规和招标文件规定的其他无效情形。</w:t>
      </w:r>
    </w:p>
    <w:p w14:paraId="15509C47">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2.3在技术评审时，如发现下列情形之一的，将被视为投标无效：</w:t>
      </w:r>
    </w:p>
    <w:p w14:paraId="256CA8B0">
      <w:pPr>
        <w:pStyle w:val="11"/>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（1）明显不满足招标文件要求的技术规格、安全、质量标准，或者与招标文件中标“▲”的技术需求发生负偏离的；</w:t>
      </w:r>
    </w:p>
    <w:p w14:paraId="1C78FC07">
      <w:pPr>
        <w:pStyle w:val="11"/>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（2）技术需求评审允许负偏离的条款数超过“投标人须知前附表”规定项数的；</w:t>
      </w:r>
    </w:p>
    <w:p w14:paraId="2E5F1504">
      <w:pPr>
        <w:pStyle w:val="11"/>
        <w:snapToGrid w:val="0"/>
        <w:spacing w:line="400" w:lineRule="exact"/>
        <w:ind w:firstLine="422" w:firstLineChars="175"/>
        <w:rPr>
          <w:rFonts w:hint="eastAsia"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rPr>
        <w:t>（3）投标文件未提供“投标人须知前附表”第13.1条规定中“必须提供”的文件资料的</w:t>
      </w:r>
      <w:r>
        <w:rPr>
          <w:rFonts w:hint="eastAsia" w:ascii="宋体" w:hAnsi="宋体" w:eastAsia="宋体" w:cs="宋体"/>
          <w:b/>
          <w:color w:val="auto"/>
          <w:kern w:val="2"/>
          <w:sz w:val="24"/>
          <w:szCs w:val="24"/>
          <w:highlight w:val="none"/>
          <w:lang w:eastAsia="zh-CN"/>
        </w:rPr>
        <w:t>；</w:t>
      </w:r>
    </w:p>
    <w:p w14:paraId="2A77F510">
      <w:pPr>
        <w:pStyle w:val="11"/>
        <w:snapToGrid w:val="0"/>
        <w:spacing w:line="400" w:lineRule="exact"/>
        <w:ind w:firstLine="422" w:firstLineChars="175"/>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（4）虚假投标，或者出现其他情形而导致被评标委员会认定无效的；</w:t>
      </w:r>
    </w:p>
    <w:p w14:paraId="255E1C9F">
      <w:pPr>
        <w:pStyle w:val="11"/>
        <w:snapToGrid w:val="0"/>
        <w:spacing w:line="400" w:lineRule="exact"/>
        <w:ind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rPr>
        <w:t>（5）投标技术方案不明确，招标文件未允许但存在一个或者一个以上备选（替代）投标方案的。</w:t>
      </w:r>
    </w:p>
    <w:p w14:paraId="14297779">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3.澄清补正</w:t>
      </w:r>
    </w:p>
    <w:p w14:paraId="4E53F43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466752B5">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4.投标文件修正</w:t>
      </w:r>
    </w:p>
    <w:p w14:paraId="49AAD537">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 xml:space="preserve">4.1投标文件报价出现前后不一致的，按照下列规定修正： </w:t>
      </w:r>
    </w:p>
    <w:p w14:paraId="45D95EEE">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（1）投标文件中开标一览表（报价表）内容与投标文件中相应内容不一致的，以开标一览表（报价表）为准；</w:t>
      </w:r>
    </w:p>
    <w:p w14:paraId="3078AA4E">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（2）大写金额和小写金额不一致的，以大写金额为准；</w:t>
      </w:r>
    </w:p>
    <w:p w14:paraId="4B5EF44A">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（3）单价金额小数点或者百分比有明显错位的，以开标一览表的总价为准，并修改单价；</w:t>
      </w:r>
    </w:p>
    <w:p w14:paraId="7846F2F0">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（4）总价金额与按单价汇总金额不一致的，以单价金额计算结果为准。</w:t>
      </w:r>
    </w:p>
    <w:p w14:paraId="01CF3F80">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同时出现两种以上不一致的，按照以上（1）-（4）规定的顺序修正。修正后的报价经投标人确认后产生约束力，投标人不确认的，</w:t>
      </w:r>
      <w:r>
        <w:rPr>
          <w:rFonts w:hint="eastAsia" w:hAnsi="宋体" w:cs="宋体"/>
          <w:b/>
          <w:color w:val="auto"/>
          <w:kern w:val="2"/>
          <w:sz w:val="24"/>
          <w:szCs w:val="24"/>
          <w:highlight w:val="none"/>
        </w:rPr>
        <w:t>其投标无效</w:t>
      </w:r>
      <w:r>
        <w:rPr>
          <w:rFonts w:hint="eastAsia" w:hAnsi="宋体" w:cs="宋体"/>
          <w:color w:val="auto"/>
          <w:sz w:val="24"/>
          <w:szCs w:val="24"/>
          <w:highlight w:val="none"/>
        </w:rPr>
        <w:t>。</w:t>
      </w:r>
    </w:p>
    <w:p w14:paraId="42C54CF6">
      <w:pPr>
        <w:pStyle w:val="7"/>
        <w:keepNext w:val="0"/>
        <w:keepLines w:val="0"/>
        <w:snapToGrid w:val="0"/>
        <w:spacing w:before="0" w:after="0" w:line="400" w:lineRule="exact"/>
        <w:ind w:firstLine="420" w:firstLineChars="175"/>
        <w:rPr>
          <w:rFonts w:hint="eastAsia" w:ascii="宋体" w:hAnsi="宋体" w:cs="宋体"/>
          <w:b w:val="0"/>
          <w:color w:val="auto"/>
          <w:sz w:val="24"/>
          <w:highlight w:val="none"/>
        </w:rPr>
      </w:pPr>
      <w:r>
        <w:rPr>
          <w:rFonts w:hint="eastAsia" w:ascii="宋体" w:hAnsi="宋体" w:cs="宋体"/>
          <w:b w:val="0"/>
          <w:color w:val="auto"/>
          <w:sz w:val="24"/>
          <w:highlight w:val="none"/>
        </w:rPr>
        <w:t>4.2经投标人确认修正后的报价若超过采购预算金额或者最高限价，</w:t>
      </w:r>
      <w:r>
        <w:rPr>
          <w:rFonts w:hint="eastAsia" w:ascii="宋体" w:hAnsi="宋体" w:cs="宋体"/>
          <w:color w:val="auto"/>
          <w:sz w:val="24"/>
          <w:highlight w:val="none"/>
        </w:rPr>
        <w:t>投标人的投标文件作无效投标处理</w:t>
      </w:r>
      <w:r>
        <w:rPr>
          <w:rFonts w:hint="eastAsia" w:ascii="宋体" w:hAnsi="宋体" w:cs="宋体"/>
          <w:b w:val="0"/>
          <w:color w:val="auto"/>
          <w:sz w:val="24"/>
          <w:highlight w:val="none"/>
        </w:rPr>
        <w:t>。</w:t>
      </w:r>
    </w:p>
    <w:p w14:paraId="7C7CBFEB">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4.3经投标人确认修正后的报价作为签订合同的依据，并以此报价计算价格分。</w:t>
      </w:r>
    </w:p>
    <w:p w14:paraId="65991821">
      <w:pPr>
        <w:pStyle w:val="7"/>
        <w:keepNext w:val="0"/>
        <w:keepLines w:val="0"/>
        <w:snapToGrid w:val="0"/>
        <w:spacing w:before="0" w:after="0" w:line="400" w:lineRule="exact"/>
        <w:ind w:firstLine="422" w:firstLineChars="175"/>
        <w:rPr>
          <w:rFonts w:hint="eastAsia" w:ascii="宋体" w:hAnsi="宋体" w:cs="宋体"/>
          <w:color w:val="auto"/>
          <w:sz w:val="24"/>
          <w:highlight w:val="none"/>
        </w:rPr>
      </w:pPr>
      <w:r>
        <w:rPr>
          <w:rFonts w:hint="eastAsia" w:ascii="宋体" w:hAnsi="宋体" w:cs="宋体"/>
          <w:color w:val="auto"/>
          <w:sz w:val="24"/>
          <w:highlight w:val="none"/>
        </w:rPr>
        <w:t>5.比较与评价</w:t>
      </w:r>
    </w:p>
    <w:p w14:paraId="5444987E">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（1）评标委员会按照招标文件中规定的评标方法和评标标准，对符合性审查合格的投标文件进行商务和技术评估，综合比较与评价。</w:t>
      </w:r>
    </w:p>
    <w:p w14:paraId="1B221074">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（2）评标委员会独立对每个投标人的投标文件进行评价，并汇总每个投标人的得分。</w:t>
      </w:r>
    </w:p>
    <w:p w14:paraId="1D235FC9">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4"/>
          <w:szCs w:val="24"/>
          <w:highlight w:val="none"/>
        </w:rPr>
        <w:t>评标委员会将其作为无效投标处理</w:t>
      </w:r>
      <w:r>
        <w:rPr>
          <w:rFonts w:hint="eastAsia" w:hAnsi="宋体" w:cs="宋体"/>
          <w:color w:val="auto"/>
          <w:sz w:val="24"/>
          <w:szCs w:val="24"/>
          <w:highlight w:val="none"/>
        </w:rPr>
        <w:t>。</w:t>
      </w:r>
    </w:p>
    <w:p w14:paraId="11F8B144">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（3）评标委员会按照招标文件中规定的评标方法和标准计算各投标人的报价得分。在计算过程中，不得去掉最高报价或者最低报价。</w:t>
      </w:r>
    </w:p>
    <w:p w14:paraId="6A3F4AF0">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（4）各投标人的得分为所有评委的有效评分的算术平均数。</w:t>
      </w:r>
    </w:p>
    <w:p w14:paraId="0302A135">
      <w:pPr>
        <w:pStyle w:val="13"/>
        <w:snapToGrid w:val="0"/>
        <w:spacing w:line="400" w:lineRule="exact"/>
        <w:ind w:firstLine="420" w:firstLineChars="175"/>
        <w:rPr>
          <w:rFonts w:hint="eastAsia" w:hAnsi="宋体" w:cs="宋体"/>
          <w:color w:val="auto"/>
          <w:sz w:val="24"/>
          <w:szCs w:val="24"/>
          <w:highlight w:val="none"/>
          <w:lang w:eastAsia="zh-CN"/>
        </w:rPr>
      </w:pPr>
      <w:r>
        <w:rPr>
          <w:rFonts w:hint="eastAsia" w:hAnsi="宋体" w:cs="宋体"/>
          <w:color w:val="auto"/>
          <w:sz w:val="24"/>
          <w:szCs w:val="24"/>
          <w:highlight w:val="none"/>
        </w:rPr>
        <w:t>（5）评标委员会按照招标文件中的规定推荐中标候选人。</w:t>
      </w:r>
    </w:p>
    <w:p w14:paraId="0FF80A5E">
      <w:pPr>
        <w:pStyle w:val="13"/>
        <w:snapToGrid w:val="0"/>
        <w:spacing w:line="400" w:lineRule="exact"/>
        <w:ind w:firstLine="420" w:firstLineChars="175"/>
        <w:rPr>
          <w:rFonts w:hint="eastAsia" w:hAnsi="宋体" w:cs="宋体"/>
          <w:color w:val="auto"/>
          <w:sz w:val="24"/>
          <w:szCs w:val="24"/>
          <w:highlight w:val="none"/>
        </w:rPr>
      </w:pPr>
      <w:r>
        <w:rPr>
          <w:rFonts w:hint="eastAsia" w:hAnsi="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B416DD2">
      <w:pPr>
        <w:pStyle w:val="13"/>
        <w:snapToGrid w:val="0"/>
        <w:spacing w:line="400" w:lineRule="exact"/>
        <w:ind w:firstLine="420"/>
        <w:rPr>
          <w:rFonts w:hint="eastAsia" w:hAnsi="宋体" w:cs="宋体"/>
          <w:color w:val="auto"/>
          <w:sz w:val="24"/>
          <w:szCs w:val="24"/>
          <w:highlight w:val="none"/>
          <w:lang w:eastAsia="zh-CN"/>
        </w:rPr>
      </w:pPr>
    </w:p>
    <w:p w14:paraId="47D799D6">
      <w:pPr>
        <w:pStyle w:val="4"/>
        <w:keepNext w:val="0"/>
        <w:keepLines w:val="0"/>
        <w:snapToGrid w:val="0"/>
        <w:spacing w:before="0" w:after="0" w:line="400" w:lineRule="exact"/>
        <w:jc w:val="center"/>
        <w:rPr>
          <w:rFonts w:hint="eastAsia" w:ascii="宋体" w:hAnsi="宋体" w:cs="宋体"/>
          <w:color w:val="auto"/>
          <w:sz w:val="24"/>
          <w:szCs w:val="24"/>
          <w:highlight w:val="none"/>
        </w:rPr>
      </w:pPr>
      <w:bookmarkStart w:id="104" w:name="_Toc12172"/>
      <w:bookmarkStart w:id="105" w:name="_Toc30608"/>
      <w:bookmarkStart w:id="106" w:name="_Toc3146"/>
      <w:r>
        <w:rPr>
          <w:rFonts w:hint="eastAsia" w:ascii="宋体" w:hAnsi="宋体" w:cs="宋体"/>
          <w:color w:val="auto"/>
          <w:sz w:val="24"/>
          <w:szCs w:val="24"/>
          <w:highlight w:val="none"/>
        </w:rPr>
        <w:t>三、评标标准</w:t>
      </w:r>
      <w:bookmarkEnd w:id="104"/>
      <w:bookmarkEnd w:id="105"/>
      <w:bookmarkEnd w:id="106"/>
    </w:p>
    <w:p w14:paraId="391E6E52">
      <w:pPr>
        <w:pStyle w:val="13"/>
        <w:snapToGrid w:val="0"/>
        <w:spacing w:line="400" w:lineRule="exact"/>
        <w:ind w:firstLine="420"/>
        <w:rPr>
          <w:rFonts w:hint="eastAsia" w:hAnsi="宋体" w:cs="宋体"/>
          <w:bCs/>
          <w:color w:val="auto"/>
          <w:sz w:val="24"/>
          <w:szCs w:val="24"/>
          <w:highlight w:val="none"/>
        </w:rPr>
      </w:pPr>
      <w:r>
        <w:rPr>
          <w:rFonts w:hint="eastAsia" w:hAnsi="宋体" w:cs="宋体"/>
          <w:bCs/>
          <w:color w:val="auto"/>
          <w:sz w:val="24"/>
          <w:szCs w:val="24"/>
          <w:highlight w:val="none"/>
        </w:rPr>
        <w:t>对进入详评的，采用百分制综合评分法。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20"/>
        <w:gridCol w:w="6071"/>
      </w:tblGrid>
      <w:tr w14:paraId="2E6B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65FD23CE">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序号</w:t>
            </w:r>
          </w:p>
        </w:tc>
        <w:tc>
          <w:tcPr>
            <w:tcW w:w="1520" w:type="dxa"/>
            <w:noWrap w:val="0"/>
            <w:vAlign w:val="center"/>
          </w:tcPr>
          <w:p w14:paraId="6823CD29">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评审因素</w:t>
            </w:r>
          </w:p>
        </w:tc>
        <w:tc>
          <w:tcPr>
            <w:tcW w:w="6071" w:type="dxa"/>
            <w:noWrap w:val="0"/>
            <w:vAlign w:val="center"/>
          </w:tcPr>
          <w:p w14:paraId="4769ADD4">
            <w:pPr>
              <w:adjustRightInd w:val="0"/>
              <w:snapToGrid w:val="0"/>
              <w:spacing w:line="400" w:lineRule="exact"/>
              <w:jc w:val="center"/>
              <w:textAlignment w:val="baseline"/>
              <w:rPr>
                <w:rFonts w:hint="eastAsia" w:ascii="宋体" w:hAnsi="宋体" w:cs="宋体"/>
                <w:color w:val="auto"/>
                <w:sz w:val="24"/>
                <w:highlight w:val="none"/>
              </w:rPr>
            </w:pPr>
            <w:r>
              <w:rPr>
                <w:rFonts w:hint="eastAsia" w:ascii="宋体" w:hAnsi="宋体" w:cs="宋体"/>
                <w:b/>
                <w:color w:val="auto"/>
                <w:sz w:val="24"/>
                <w:highlight w:val="none"/>
              </w:rPr>
              <w:t>评标标准</w:t>
            </w:r>
          </w:p>
        </w:tc>
      </w:tr>
      <w:tr w14:paraId="0E07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25" w:type="dxa"/>
            <w:noWrap w:val="0"/>
            <w:vAlign w:val="center"/>
          </w:tcPr>
          <w:p w14:paraId="3A187714">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1</w:t>
            </w:r>
          </w:p>
        </w:tc>
        <w:tc>
          <w:tcPr>
            <w:tcW w:w="1320" w:type="dxa"/>
            <w:noWrap w:val="0"/>
            <w:vAlign w:val="center"/>
          </w:tcPr>
          <w:p w14:paraId="7D835D04">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color w:val="auto"/>
                <w:sz w:val="24"/>
                <w:highlight w:val="none"/>
              </w:rPr>
              <w:t>价格分</w:t>
            </w:r>
            <w:r>
              <w:rPr>
                <w:rFonts w:hint="eastAsia" w:ascii="宋体" w:hAnsi="宋体" w:cs="宋体"/>
                <w:b/>
                <w:bCs/>
                <w:color w:val="auto"/>
                <w:sz w:val="24"/>
                <w:highlight w:val="none"/>
              </w:rPr>
              <w:t>（满分</w:t>
            </w:r>
            <w:r>
              <w:rPr>
                <w:rFonts w:hint="eastAsia" w:ascii="宋体" w:hAnsi="宋体" w:cs="宋体"/>
                <w:b/>
                <w:bCs/>
                <w:color w:val="auto"/>
                <w:sz w:val="24"/>
                <w:highlight w:val="none"/>
                <w:u w:val="single"/>
              </w:rPr>
              <w:t>30</w:t>
            </w:r>
            <w:r>
              <w:rPr>
                <w:rFonts w:hint="eastAsia" w:ascii="宋体" w:hAnsi="宋体" w:cs="宋体"/>
                <w:b/>
                <w:bCs/>
                <w:color w:val="auto"/>
                <w:sz w:val="24"/>
                <w:highlight w:val="none"/>
              </w:rPr>
              <w:t>分）</w:t>
            </w:r>
          </w:p>
          <w:p w14:paraId="11951789">
            <w:pPr>
              <w:adjustRightInd w:val="0"/>
              <w:snapToGrid w:val="0"/>
              <w:spacing w:line="400" w:lineRule="exact"/>
              <w:jc w:val="left"/>
              <w:textAlignment w:val="baseline"/>
              <w:rPr>
                <w:rFonts w:hint="eastAsia" w:ascii="宋体" w:hAnsi="宋体" w:cs="宋体"/>
                <w:color w:val="auto"/>
                <w:sz w:val="24"/>
                <w:highlight w:val="none"/>
              </w:rPr>
            </w:pPr>
          </w:p>
        </w:tc>
        <w:tc>
          <w:tcPr>
            <w:tcW w:w="1520" w:type="dxa"/>
            <w:noWrap w:val="0"/>
            <w:vAlign w:val="center"/>
          </w:tcPr>
          <w:p w14:paraId="0570E9D1">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6071" w:type="dxa"/>
            <w:noWrap w:val="0"/>
            <w:vAlign w:val="center"/>
          </w:tcPr>
          <w:p w14:paraId="4826E449">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（1）评标报价为投标人的投标报价进行政策性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后的价格，评标报价只是作为评标时使用。最终中标人的中标金额等于投标报价。</w:t>
            </w:r>
          </w:p>
          <w:p w14:paraId="59371BA8">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按照《政府采购促进中小企业发展管理办法》（财库〔2020〕46号）的规定，投标人为小型和微型企业，并在其投标文件中提供《中小企业声明函》，且其</w:t>
            </w:r>
            <w:r>
              <w:rPr>
                <w:rFonts w:hint="eastAsia" w:ascii="宋体" w:hAnsi="宋体" w:cs="宋体"/>
                <w:color w:val="auto"/>
                <w:kern w:val="0"/>
                <w:sz w:val="24"/>
                <w:szCs w:val="24"/>
                <w:highlight w:val="none"/>
              </w:rPr>
              <w:t>服务全部由符合政策要求的小微企业承接</w:t>
            </w:r>
            <w:r>
              <w:rPr>
                <w:rFonts w:hint="eastAsia" w:ascii="宋体" w:hAnsi="宋体" w:cs="宋体"/>
                <w:color w:val="auto"/>
                <w:sz w:val="24"/>
                <w:szCs w:val="24"/>
                <w:highlight w:val="none"/>
              </w:rPr>
              <w:t>，对其投标价格给予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p>
          <w:p w14:paraId="011409A6">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（3）按照《财政部、司法部关于政府采购支持监狱企业发展有关问题的通知》（财库〔2014〕68号）的规定，监狱企业视同小型、微型企业，享受预留份额、评审中价格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cs="宋体"/>
                <w:bCs/>
                <w:color w:val="auto"/>
                <w:sz w:val="24"/>
                <w:szCs w:val="24"/>
                <w:highlight w:val="none"/>
              </w:rPr>
              <w:t>不重复享受政策。</w:t>
            </w:r>
          </w:p>
          <w:p w14:paraId="6927E14C">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color w:val="auto"/>
                <w:sz w:val="24"/>
                <w:szCs w:val="24"/>
                <w:highlight w:val="none"/>
              </w:rPr>
              <w:t>（4）按照</w:t>
            </w:r>
            <w:r>
              <w:rPr>
                <w:rFonts w:hint="eastAsia" w:ascii="宋体" w:hAnsi="宋体" w:cs="宋体"/>
                <w:bCs/>
                <w:color w:val="auto"/>
                <w:sz w:val="24"/>
                <w:szCs w:val="24"/>
                <w:highlight w:val="none"/>
              </w:rPr>
              <w:t>《关于促进残疾人就业政府采购政策的通知》（财库〔2017〕141号）的规定，残疾人福利性单位视同小型、微型企业，享受预留份额、评审中价格</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等促进中小企业发展的政府采购政策。</w:t>
            </w:r>
            <w:r>
              <w:rPr>
                <w:rFonts w:hint="eastAsia" w:ascii="宋体" w:hAnsi="宋体" w:cs="宋体"/>
                <w:color w:val="auto"/>
                <w:sz w:val="24"/>
                <w:szCs w:val="24"/>
                <w:highlight w:val="none"/>
              </w:rPr>
              <w:t>残疾人福利性单位参加政府采购活动时，应当提供该通知规定的《残疾人福利性单位声明函》，并对声明的真实性负责。</w:t>
            </w:r>
            <w:r>
              <w:rPr>
                <w:rFonts w:hint="eastAsia" w:ascii="宋体" w:hAnsi="宋体" w:cs="宋体"/>
                <w:bCs/>
                <w:color w:val="auto"/>
                <w:sz w:val="24"/>
                <w:szCs w:val="24"/>
                <w:highlight w:val="none"/>
              </w:rPr>
              <w:t>残疾人福利性单位属于小型、微型企业的，不重复享受政策。</w:t>
            </w:r>
          </w:p>
          <w:p w14:paraId="3CE8E4B7">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bCs/>
                <w:color w:val="auto"/>
                <w:sz w:val="24"/>
                <w:szCs w:val="24"/>
                <w:highlight w:val="none"/>
              </w:rPr>
            </w:pPr>
            <w:r>
              <w:rPr>
                <w:rFonts w:hint="eastAsia" w:ascii="宋体" w:hAnsi="宋体" w:cs="宋体"/>
                <w:bCs/>
                <w:color w:val="auto"/>
                <w:sz w:val="24"/>
                <w:szCs w:val="24"/>
                <w:highlight w:val="none"/>
              </w:rPr>
              <w:t>（5）政策性</w:t>
            </w:r>
            <w:r>
              <w:rPr>
                <w:rFonts w:hint="eastAsia" w:ascii="宋体" w:hAnsi="宋体" w:cs="宋体"/>
                <w:bCs/>
                <w:color w:val="auto"/>
                <w:sz w:val="24"/>
                <w:szCs w:val="24"/>
                <w:highlight w:val="none"/>
                <w:lang w:eastAsia="zh-CN"/>
              </w:rPr>
              <w:t>扣除</w:t>
            </w:r>
            <w:r>
              <w:rPr>
                <w:rFonts w:hint="eastAsia" w:ascii="宋体" w:hAnsi="宋体" w:cs="宋体"/>
                <w:bCs/>
                <w:color w:val="auto"/>
                <w:sz w:val="24"/>
                <w:szCs w:val="24"/>
                <w:highlight w:val="none"/>
              </w:rPr>
              <w:t>计算方法。</w:t>
            </w:r>
          </w:p>
          <w:p w14:paraId="7478D32E">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cs="宋体"/>
                <w:color w:val="auto"/>
                <w:sz w:val="24"/>
                <w:szCs w:val="24"/>
                <w:highlight w:val="none"/>
              </w:rPr>
            </w:pPr>
            <w:r>
              <w:rPr>
                <w:rFonts w:hint="eastAsia" w:ascii="宋体" w:hAnsi="宋体" w:cs="宋体"/>
                <w:bCs/>
                <w:color w:val="auto"/>
                <w:sz w:val="24"/>
                <w:szCs w:val="24"/>
                <w:highlight w:val="none"/>
                <w:lang w:eastAsia="zh-CN"/>
              </w:rPr>
              <w:t>在服务采购项目中，</w:t>
            </w:r>
            <w:r>
              <w:rPr>
                <w:rFonts w:hint="eastAsia" w:ascii="宋体" w:hAnsi="宋体" w:cs="宋体"/>
                <w:bCs/>
                <w:color w:val="auto"/>
                <w:sz w:val="24"/>
                <w:szCs w:val="24"/>
                <w:highlight w:val="none"/>
              </w:rPr>
              <w:t>投标人</w:t>
            </w:r>
            <w:r>
              <w:rPr>
                <w:rFonts w:hint="eastAsia" w:ascii="宋体" w:hAnsi="宋体" w:cs="宋体"/>
                <w:color w:val="auto"/>
                <w:sz w:val="24"/>
                <w:szCs w:val="24"/>
                <w:highlight w:val="none"/>
              </w:rPr>
              <w:t>被评定为</w:t>
            </w:r>
            <w:r>
              <w:rPr>
                <w:rFonts w:hint="eastAsia" w:ascii="宋体" w:hAnsi="宋体" w:cs="宋体"/>
                <w:bCs/>
                <w:color w:val="auto"/>
                <w:sz w:val="24"/>
                <w:szCs w:val="24"/>
                <w:highlight w:val="none"/>
              </w:rPr>
              <w:t>监狱企业或者残疾人福利性单位或者</w:t>
            </w:r>
            <w:r>
              <w:rPr>
                <w:rFonts w:hint="eastAsia" w:ascii="宋体" w:hAnsi="宋体" w:cs="宋体"/>
                <w:color w:val="auto"/>
                <w:sz w:val="24"/>
                <w:szCs w:val="24"/>
                <w:highlight w:val="none"/>
              </w:rPr>
              <w:t>小型和微型企业的，</w:t>
            </w:r>
            <w:r>
              <w:rPr>
                <w:rFonts w:hint="eastAsia" w:ascii="宋体" w:hAnsi="宋体" w:cs="宋体"/>
                <w:bCs/>
                <w:color w:val="auto"/>
                <w:sz w:val="24"/>
                <w:szCs w:val="24"/>
                <w:highlight w:val="none"/>
              </w:rPr>
              <w:t>该投标人的投标报价</w:t>
            </w:r>
            <w:r>
              <w:rPr>
                <w:rFonts w:hint="eastAsia" w:ascii="宋体" w:hAnsi="宋体" w:cs="宋体"/>
                <w:color w:val="auto"/>
                <w:sz w:val="24"/>
                <w:szCs w:val="24"/>
                <w:highlight w:val="none"/>
              </w:rPr>
              <w:t>给予</w:t>
            </w:r>
            <w:r>
              <w:rPr>
                <w:rFonts w:hint="eastAsia" w:ascii="宋体" w:hAnsi="宋体" w:cs="宋体"/>
                <w:color w:val="auto"/>
                <w:sz w:val="24"/>
                <w:szCs w:val="24"/>
                <w:highlight w:val="none"/>
                <w:lang w:eastAsia="zh-CN"/>
              </w:rPr>
              <w:t>20%</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bCs/>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后的价格为评标报价，即评标报价=投标报价×（1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）；大中型企业和其他自然人、法人或者其他组织与小型、微型企业组成联合体投标，且联合体协议中约定小型、微型企业的协议合同金额占到联合体协议合同总金额30%以上的，联合体投标价给予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rPr>
              <w:t>后的价格为评标价，即评标报价=投标报价×（1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%）；除上述情况外，评标报价=投标报价。</w:t>
            </w:r>
          </w:p>
          <w:p w14:paraId="6743BF74">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（6）满足招标文件要求且评标报价最低的</w:t>
            </w:r>
            <w:r>
              <w:rPr>
                <w:rFonts w:hint="eastAsia" w:ascii="宋体" w:hAnsi="宋体" w:eastAsia="宋体" w:cs="宋体"/>
                <w:bCs/>
                <w:color w:val="auto"/>
                <w:kern w:val="2"/>
                <w:sz w:val="24"/>
                <w:szCs w:val="24"/>
                <w:highlight w:val="none"/>
                <w:lang w:val="en-US" w:eastAsia="zh-CN"/>
              </w:rPr>
              <w:t>评标报价</w:t>
            </w:r>
            <w:r>
              <w:rPr>
                <w:rFonts w:hint="eastAsia" w:ascii="宋体" w:hAnsi="宋体" w:eastAsia="宋体" w:cs="宋体"/>
                <w:bCs/>
                <w:color w:val="auto"/>
                <w:sz w:val="24"/>
                <w:szCs w:val="24"/>
                <w:highlight w:val="none"/>
              </w:rPr>
              <w:t>为评标基准价，基准价报价得分为</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2508CEE4">
            <w:pPr>
              <w:keepNext w:val="0"/>
              <w:keepLines w:val="0"/>
              <w:pageBreakBefore w:val="0"/>
              <w:widowControl w:val="0"/>
              <w:kinsoku/>
              <w:wordWrap/>
              <w:overflowPunct/>
              <w:topLinePunct w:val="0"/>
              <w:autoSpaceDE/>
              <w:autoSpaceDN/>
              <w:bidi w:val="0"/>
              <w:snapToGrid w:val="0"/>
              <w:spacing w:line="420" w:lineRule="exact"/>
              <w:ind w:firstLine="420" w:firstLineChars="175"/>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sz w:val="24"/>
                <w:szCs w:val="24"/>
                <w:highlight w:val="none"/>
              </w:rPr>
              <w:t>（7）价格分计算公式：</w:t>
            </w:r>
          </w:p>
          <w:p w14:paraId="71958137">
            <w:pPr>
              <w:pStyle w:val="13"/>
              <w:keepNext w:val="0"/>
              <w:keepLines w:val="0"/>
              <w:pageBreakBefore w:val="0"/>
              <w:widowControl w:val="0"/>
              <w:kinsoku/>
              <w:wordWrap/>
              <w:overflowPunct/>
              <w:topLinePunct w:val="0"/>
              <w:autoSpaceDE/>
              <w:autoSpaceDN/>
              <w:bidi w:val="0"/>
              <w:adjustRightInd/>
              <w:snapToGrid w:val="0"/>
              <w:spacing w:line="380" w:lineRule="exact"/>
              <w:ind w:firstLine="420" w:firstLineChars="175"/>
              <w:textAlignment w:val="auto"/>
              <w:rPr>
                <w:rFonts w:hint="eastAsia"/>
                <w:color w:val="auto"/>
                <w:highlight w:val="none"/>
                <w:lang w:val="en-US" w:eastAsia="zh-CN"/>
              </w:rPr>
            </w:pPr>
            <w:r>
              <w:rPr>
                <w:rFonts w:hint="eastAsia" w:ascii="宋体" w:hAnsi="宋体" w:eastAsia="宋体" w:cs="宋体"/>
                <w:bCs/>
                <w:color w:val="auto"/>
                <w:kern w:val="2"/>
                <w:sz w:val="24"/>
                <w:szCs w:val="24"/>
                <w:highlight w:val="none"/>
                <w:lang w:val="en-US" w:eastAsia="zh-CN"/>
              </w:rPr>
              <w:t>某投标人价格分=【评标基准价/某投标人有效评标报价】×30分</w:t>
            </w:r>
          </w:p>
        </w:tc>
      </w:tr>
      <w:tr w14:paraId="79A6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143E5C22">
            <w:pPr>
              <w:adjustRightInd w:val="0"/>
              <w:snapToGri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2</w:t>
            </w:r>
          </w:p>
        </w:tc>
        <w:tc>
          <w:tcPr>
            <w:tcW w:w="1320" w:type="dxa"/>
            <w:vMerge w:val="restart"/>
            <w:noWrap w:val="0"/>
            <w:vAlign w:val="center"/>
          </w:tcPr>
          <w:p w14:paraId="1A2CA504">
            <w:pPr>
              <w:adjustRightInd w:val="0"/>
              <w:snapToGrid w:val="0"/>
              <w:spacing w:line="400" w:lineRule="exact"/>
              <w:ind w:left="-105" w:leftChars="-50" w:right="-105" w:rightChars="-50"/>
              <w:jc w:val="center"/>
              <w:textAlignment w:val="baseline"/>
              <w:rPr>
                <w:rFonts w:hint="eastAsia" w:ascii="宋体" w:hAnsi="宋体" w:cs="宋体"/>
                <w:b/>
                <w:color w:val="auto"/>
                <w:spacing w:val="-18"/>
                <w:sz w:val="24"/>
                <w:highlight w:val="none"/>
              </w:rPr>
            </w:pPr>
            <w:r>
              <w:rPr>
                <w:rFonts w:hint="eastAsia" w:ascii="宋体" w:hAnsi="宋体" w:cs="宋体"/>
                <w:b/>
                <w:bCs/>
                <w:color w:val="auto"/>
                <w:sz w:val="24"/>
                <w:highlight w:val="none"/>
              </w:rPr>
              <w:t>技术分（</w:t>
            </w:r>
            <w:r>
              <w:rPr>
                <w:rFonts w:hint="eastAsia" w:ascii="宋体" w:hAnsi="宋体" w:cs="宋体"/>
                <w:b/>
                <w:color w:val="auto"/>
                <w:sz w:val="24"/>
                <w:highlight w:val="none"/>
              </w:rPr>
              <w:t>满分</w:t>
            </w:r>
            <w:r>
              <w:rPr>
                <w:rFonts w:hint="eastAsia" w:ascii="宋体" w:hAnsi="宋体" w:cs="宋体"/>
                <w:b/>
                <w:color w:val="auto"/>
                <w:sz w:val="24"/>
                <w:highlight w:val="none"/>
                <w:u w:val="single"/>
                <w:lang w:val="en-US" w:eastAsia="zh-CN"/>
              </w:rPr>
              <w:t>69</w:t>
            </w:r>
            <w:r>
              <w:rPr>
                <w:rFonts w:hint="eastAsia" w:ascii="宋体" w:hAnsi="宋体" w:cs="宋体"/>
                <w:b/>
                <w:bCs/>
                <w:color w:val="auto"/>
                <w:sz w:val="24"/>
                <w:highlight w:val="none"/>
              </w:rPr>
              <w:t>分）</w:t>
            </w:r>
          </w:p>
        </w:tc>
        <w:tc>
          <w:tcPr>
            <w:tcW w:w="1520" w:type="dxa"/>
            <w:noWrap w:val="0"/>
            <w:tcMar>
              <w:left w:w="57" w:type="dxa"/>
              <w:right w:w="57" w:type="dxa"/>
            </w:tcMar>
            <w:vAlign w:val="center"/>
          </w:tcPr>
          <w:p w14:paraId="34767D86">
            <w:pPr>
              <w:pStyle w:val="13"/>
              <w:snapToGrid w:val="0"/>
              <w:spacing w:line="440" w:lineRule="exact"/>
              <w:ind w:right="46" w:rightChars="22"/>
              <w:rPr>
                <w:rFonts w:hint="eastAsia" w:ascii="宋体" w:hAnsi="宋体" w:eastAsia="宋体" w:cs="Times New Roman"/>
                <w:bCs/>
                <w:color w:val="auto"/>
                <w:sz w:val="24"/>
                <w:szCs w:val="24"/>
                <w:highlight w:val="none"/>
              </w:rPr>
            </w:pPr>
            <w:r>
              <w:rPr>
                <w:rFonts w:hint="eastAsia" w:hAnsi="宋体"/>
                <w:bCs/>
                <w:sz w:val="24"/>
                <w:szCs w:val="24"/>
              </w:rPr>
              <w:t>货物综合性能分（满分3</w:t>
            </w:r>
            <w:r>
              <w:rPr>
                <w:rFonts w:hint="eastAsia" w:hAnsi="宋体"/>
                <w:bCs/>
                <w:sz w:val="24"/>
                <w:szCs w:val="24"/>
                <w:lang w:val="en-US" w:eastAsia="zh-CN"/>
              </w:rPr>
              <w:t>6</w:t>
            </w:r>
            <w:r>
              <w:rPr>
                <w:rFonts w:hint="eastAsia" w:hAnsi="宋体"/>
                <w:bCs/>
                <w:sz w:val="24"/>
                <w:szCs w:val="24"/>
              </w:rPr>
              <w:t>分）</w:t>
            </w:r>
          </w:p>
        </w:tc>
        <w:tc>
          <w:tcPr>
            <w:tcW w:w="6071" w:type="dxa"/>
            <w:noWrap w:val="0"/>
            <w:vAlign w:val="center"/>
          </w:tcPr>
          <w:p w14:paraId="49EE65FE">
            <w:pPr>
              <w:spacing w:line="360" w:lineRule="auto"/>
              <w:ind w:firstLine="480" w:firstLineChars="200"/>
              <w:rPr>
                <w:rFonts w:hint="eastAsia" w:ascii="宋体" w:hAnsi="宋体" w:eastAsia="宋体" w:cs="宋体"/>
                <w:sz w:val="24"/>
              </w:rPr>
            </w:pPr>
            <w:r>
              <w:rPr>
                <w:rFonts w:hint="eastAsia" w:ascii="宋体" w:hAnsi="宋体" w:eastAsia="宋体" w:cs="宋体"/>
                <w:sz w:val="24"/>
              </w:rPr>
              <w:t>（1）货物性能分</w:t>
            </w:r>
            <w:r>
              <w:rPr>
                <w:rFonts w:hint="eastAsia" w:ascii="宋体" w:hAnsi="宋体" w:eastAsia="宋体" w:cs="宋体"/>
                <w:bCs/>
                <w:sz w:val="24"/>
              </w:rPr>
              <w:t>（</w:t>
            </w:r>
            <w:r>
              <w:rPr>
                <w:rFonts w:hint="eastAsia" w:ascii="宋体" w:hAnsi="宋体" w:eastAsia="宋体" w:cs="宋体"/>
                <w:sz w:val="24"/>
              </w:rPr>
              <w:t>满分</w:t>
            </w:r>
            <w:r>
              <w:rPr>
                <w:rFonts w:hint="eastAsia" w:ascii="宋体" w:hAnsi="宋体" w:eastAsia="宋体" w:cs="宋体"/>
                <w:sz w:val="24"/>
                <w:lang w:val="en-US" w:eastAsia="zh-CN"/>
              </w:rPr>
              <w:t>29</w:t>
            </w:r>
            <w:r>
              <w:rPr>
                <w:rFonts w:hint="eastAsia" w:ascii="宋体" w:hAnsi="宋体" w:eastAsia="宋体" w:cs="宋体"/>
                <w:bCs/>
                <w:sz w:val="24"/>
              </w:rPr>
              <w:t>分）</w:t>
            </w:r>
          </w:p>
          <w:p w14:paraId="60290901">
            <w:pPr>
              <w:spacing w:line="360" w:lineRule="auto"/>
              <w:ind w:firstLine="480" w:firstLineChars="200"/>
              <w:rPr>
                <w:rFonts w:hint="eastAsia" w:ascii="宋体" w:hAnsi="宋体" w:eastAsia="宋体" w:cs="宋体"/>
                <w:sz w:val="24"/>
              </w:rPr>
            </w:pPr>
            <w:r>
              <w:rPr>
                <w:rFonts w:hint="eastAsia" w:ascii="宋体" w:hAnsi="宋体" w:eastAsia="宋体" w:cs="宋体"/>
                <w:sz w:val="24"/>
              </w:rPr>
              <w:t>由评委在打分前集体讨论形成书面材料确定投标人货物档次“一档，二档, 三档”的评定标准及按此标准确定投标人的档次，并由评委在相应的档次内进行独立打分。</w:t>
            </w:r>
          </w:p>
          <w:p w14:paraId="6F8547C9">
            <w:pPr>
              <w:spacing w:line="360" w:lineRule="auto"/>
              <w:ind w:firstLine="480" w:firstLineChars="200"/>
              <w:rPr>
                <w:rFonts w:hint="eastAsia" w:ascii="宋体" w:hAnsi="宋体" w:eastAsia="宋体" w:cs="宋体"/>
                <w:sz w:val="24"/>
              </w:rPr>
            </w:pPr>
            <w:r>
              <w:rPr>
                <w:rFonts w:hint="eastAsia" w:ascii="宋体" w:hAnsi="宋体" w:eastAsia="宋体" w:cs="宋体"/>
                <w:sz w:val="24"/>
              </w:rPr>
              <w:t>一档：与招标文件“招标项目采购需求”中，带“</w:t>
            </w:r>
            <w:r>
              <w:rPr>
                <w:rFonts w:hint="eastAsia" w:ascii="宋体" w:hAnsi="宋体" w:eastAsia="宋体" w:cs="宋体"/>
                <w:b/>
                <w:sz w:val="24"/>
              </w:rPr>
              <w:t>▲</w:t>
            </w:r>
            <w:r>
              <w:rPr>
                <w:rFonts w:hint="eastAsia" w:ascii="宋体" w:hAnsi="宋体" w:eastAsia="宋体" w:cs="宋体"/>
                <w:sz w:val="24"/>
              </w:rPr>
              <w:t>”的条款项的设备技术参数、性能、配备对比，没有负偏离，其他参数有负偏离的进入一档评分得基本分4分，在此基础上经评委认定为负偏离的每一项扣2分，扣完为止。</w:t>
            </w:r>
          </w:p>
          <w:p w14:paraId="6CC475CE">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二档：与招标文件“招标项目采购需求”中，所有设备参数、性能、配备对比，全部满足，没有负偏离的进入二档评分，得基本分10分。</w:t>
            </w:r>
          </w:p>
          <w:p w14:paraId="3DDC8ABD">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三档：与招标文件“招标项目采购需求”中，所有设备技术参数、性能、配备对比，全部满足，没有负偏离,并且带“</w:t>
            </w:r>
            <w:r>
              <w:rPr>
                <w:rFonts w:hint="eastAsia" w:ascii="宋体" w:hAnsi="宋体" w:eastAsia="宋体" w:cs="宋体"/>
                <w:b/>
                <w:sz w:val="24"/>
              </w:rPr>
              <w:t>▲</w:t>
            </w:r>
            <w:r>
              <w:rPr>
                <w:rFonts w:hint="eastAsia" w:ascii="宋体" w:hAnsi="宋体" w:eastAsia="宋体" w:cs="宋体"/>
                <w:sz w:val="24"/>
              </w:rPr>
              <w:t>”的条款项中划</w:t>
            </w:r>
            <w:r>
              <w:rPr>
                <w:rFonts w:hint="eastAsia" w:ascii="宋体" w:hAnsi="宋体" w:eastAsia="宋体" w:cs="宋体"/>
                <w:sz w:val="24"/>
                <w:highlight w:val="yellow"/>
              </w:rPr>
              <w:t>“</w:t>
            </w:r>
            <w:r>
              <w:rPr>
                <w:rFonts w:hint="eastAsia" w:ascii="宋体" w:hAnsi="宋体" w:eastAsia="宋体" w:cs="宋体"/>
                <w:sz w:val="24"/>
                <w:highlight w:val="yellow"/>
                <w:u w:val="wave"/>
              </w:rPr>
              <w:t xml:space="preserve">    </w:t>
            </w:r>
            <w:r>
              <w:rPr>
                <w:rFonts w:hint="eastAsia" w:ascii="宋体" w:hAnsi="宋体" w:eastAsia="宋体" w:cs="宋体"/>
                <w:sz w:val="24"/>
                <w:highlight w:val="yellow"/>
              </w:rPr>
              <w:t>”</w:t>
            </w:r>
            <w:r>
              <w:rPr>
                <w:rFonts w:hint="eastAsia" w:ascii="宋体" w:hAnsi="宋体" w:eastAsia="宋体" w:cs="宋体"/>
                <w:sz w:val="24"/>
              </w:rPr>
              <w:t>有10项数值正偏离的进入三档评分，得基本分1</w:t>
            </w:r>
            <w:r>
              <w:rPr>
                <w:rFonts w:hint="eastAsia" w:ascii="宋体" w:hAnsi="宋体" w:eastAsia="宋体" w:cs="宋体"/>
                <w:sz w:val="24"/>
                <w:lang w:val="en-US" w:eastAsia="zh-CN"/>
              </w:rPr>
              <w:t>7</w:t>
            </w:r>
            <w:r>
              <w:rPr>
                <w:rFonts w:hint="eastAsia" w:ascii="宋体" w:hAnsi="宋体" w:eastAsia="宋体" w:cs="宋体"/>
                <w:sz w:val="24"/>
              </w:rPr>
              <w:t>分。在此基础上经评委认定每一项带“</w:t>
            </w:r>
            <w:r>
              <w:rPr>
                <w:rFonts w:hint="eastAsia" w:ascii="宋体" w:hAnsi="宋体" w:eastAsia="宋体" w:cs="宋体"/>
                <w:b/>
                <w:sz w:val="24"/>
              </w:rPr>
              <w:t>▲</w:t>
            </w:r>
            <w:r>
              <w:rPr>
                <w:rFonts w:hint="eastAsia" w:ascii="宋体" w:hAnsi="宋体" w:eastAsia="宋体" w:cs="宋体"/>
                <w:sz w:val="24"/>
              </w:rPr>
              <w:t>”的条款项划</w:t>
            </w:r>
            <w:r>
              <w:rPr>
                <w:rFonts w:hint="eastAsia" w:ascii="宋体" w:hAnsi="宋体" w:eastAsia="宋体" w:cs="宋体"/>
                <w:sz w:val="24"/>
                <w:highlight w:val="yellow"/>
              </w:rPr>
              <w:t>“</w:t>
            </w:r>
            <w:r>
              <w:rPr>
                <w:rFonts w:hint="eastAsia" w:ascii="宋体" w:hAnsi="宋体" w:eastAsia="宋体" w:cs="宋体"/>
                <w:sz w:val="24"/>
                <w:highlight w:val="yellow"/>
                <w:u w:val="wave"/>
              </w:rPr>
              <w:t xml:space="preserve">    </w:t>
            </w:r>
            <w:r>
              <w:rPr>
                <w:rFonts w:hint="eastAsia" w:ascii="宋体" w:hAnsi="宋体" w:eastAsia="宋体" w:cs="宋体"/>
                <w:sz w:val="24"/>
                <w:highlight w:val="yellow"/>
              </w:rPr>
              <w:t>”</w:t>
            </w:r>
            <w:r>
              <w:rPr>
                <w:rFonts w:hint="eastAsia" w:ascii="宋体" w:hAnsi="宋体" w:eastAsia="宋体" w:cs="宋体"/>
                <w:sz w:val="24"/>
              </w:rPr>
              <w:t>部分有数值正偏离的加2分，满分</w:t>
            </w:r>
            <w:r>
              <w:rPr>
                <w:rFonts w:hint="eastAsia" w:ascii="宋体" w:hAnsi="宋体" w:eastAsia="宋体" w:cs="宋体"/>
                <w:sz w:val="24"/>
                <w:lang w:val="en-US" w:eastAsia="zh-CN"/>
              </w:rPr>
              <w:t>29</w:t>
            </w:r>
            <w:r>
              <w:rPr>
                <w:rFonts w:hint="eastAsia" w:ascii="宋体" w:hAnsi="宋体" w:eastAsia="宋体" w:cs="宋体"/>
                <w:sz w:val="24"/>
              </w:rPr>
              <w:t>分。</w:t>
            </w:r>
          </w:p>
          <w:p w14:paraId="3D32A77B">
            <w:pPr>
              <w:spacing w:line="360" w:lineRule="auto"/>
              <w:ind w:firstLine="480" w:firstLineChars="200"/>
              <w:rPr>
                <w:rFonts w:hint="eastAsia" w:ascii="宋体" w:hAnsi="宋体" w:eastAsia="宋体" w:cs="宋体"/>
                <w:sz w:val="24"/>
              </w:rPr>
            </w:pPr>
            <w:r>
              <w:rPr>
                <w:rFonts w:hint="eastAsia" w:ascii="宋体" w:hAnsi="宋体" w:eastAsia="宋体" w:cs="宋体"/>
                <w:sz w:val="24"/>
              </w:rPr>
              <w:t>注：投标人应对照本项目</w:t>
            </w:r>
            <w:r>
              <w:rPr>
                <w:rFonts w:hint="eastAsia" w:ascii="宋体" w:hAnsi="宋体" w:eastAsia="宋体" w:cs="宋体"/>
                <w:sz w:val="24"/>
                <w:highlight w:val="yellow"/>
              </w:rPr>
              <w:t>“招标项目采购需求”</w:t>
            </w:r>
            <w:r>
              <w:rPr>
                <w:rFonts w:hint="eastAsia" w:ascii="宋体" w:hAnsi="宋体" w:eastAsia="宋体" w:cs="宋体"/>
                <w:sz w:val="24"/>
              </w:rPr>
              <w:t>注明所投产品技术参数的响应情况及偏离情况（无偏离、正偏离、负偏离），当出现“正偏离”情况时应对应填写偏离情况说明及提供相应有效的证明材料，否则，投标人投标文件中承诺的相应“正偏离”项不予评定并不计相应得分。证明材料可以是含有正偏离技术参数的厂家官网截图或者提供由国家认可的权威第三方检测机构出具的检测（检验）报告复印件等。</w:t>
            </w:r>
          </w:p>
          <w:p w14:paraId="39BFCD1A">
            <w:pPr>
              <w:numPr>
                <w:ilvl w:val="0"/>
                <w:numId w:val="8"/>
              </w:numPr>
              <w:spacing w:line="360" w:lineRule="auto"/>
              <w:ind w:firstLine="480" w:firstLineChars="200"/>
              <w:rPr>
                <w:rFonts w:hint="eastAsia" w:ascii="宋体" w:hAnsi="宋体" w:eastAsia="宋体" w:cs="宋体"/>
                <w:sz w:val="24"/>
              </w:rPr>
            </w:pPr>
            <w:r>
              <w:rPr>
                <w:rFonts w:hint="eastAsia" w:ascii="宋体" w:hAnsi="宋体" w:eastAsia="宋体" w:cs="宋体"/>
                <w:sz w:val="24"/>
              </w:rPr>
              <w:t>产品质量技术分（满分</w:t>
            </w:r>
            <w:r>
              <w:rPr>
                <w:rFonts w:hint="eastAsia" w:ascii="宋体" w:hAnsi="宋体" w:eastAsia="宋体" w:cs="宋体"/>
                <w:sz w:val="24"/>
                <w:lang w:val="en-US" w:eastAsia="zh-CN"/>
              </w:rPr>
              <w:t>7</w:t>
            </w:r>
            <w:r>
              <w:rPr>
                <w:rFonts w:hint="eastAsia" w:ascii="宋体" w:hAnsi="宋体" w:eastAsia="宋体" w:cs="宋体"/>
                <w:sz w:val="24"/>
              </w:rPr>
              <w:t>分）</w:t>
            </w:r>
          </w:p>
          <w:p w14:paraId="6D49D862">
            <w:pPr>
              <w:spacing w:line="360" w:lineRule="auto"/>
              <w:ind w:firstLine="480" w:firstLineChars="200"/>
              <w:rPr>
                <w:rFonts w:hint="eastAsia" w:ascii="宋体" w:hAnsi="宋体" w:eastAsia="宋体" w:cs="宋体"/>
                <w:sz w:val="24"/>
              </w:rPr>
            </w:pPr>
            <w:r>
              <w:rPr>
                <w:rFonts w:hint="eastAsia" w:ascii="宋体" w:hAnsi="宋体" w:eastAsia="宋体" w:cs="宋体"/>
                <w:sz w:val="24"/>
              </w:rPr>
              <w:t>①所投交互智能平板产品生产厂家的信息系统安全集成服务资质符合 CCRC-ISV-C01《信息安全服务规范》三级服务资质要求并提供证书扫描件或电子证书的得</w:t>
            </w:r>
            <w:r>
              <w:rPr>
                <w:rFonts w:hint="eastAsia" w:ascii="宋体" w:hAnsi="宋体" w:eastAsia="宋体" w:cs="宋体"/>
                <w:sz w:val="24"/>
                <w:lang w:val="en-US" w:eastAsia="zh-CN"/>
              </w:rPr>
              <w:t>2</w:t>
            </w:r>
            <w:r>
              <w:rPr>
                <w:rFonts w:hint="eastAsia" w:ascii="宋体" w:hAnsi="宋体" w:eastAsia="宋体" w:cs="宋体"/>
                <w:sz w:val="24"/>
              </w:rPr>
              <w:t>分。</w:t>
            </w:r>
          </w:p>
          <w:p w14:paraId="40B7F222">
            <w:pPr>
              <w:spacing w:line="360" w:lineRule="auto"/>
              <w:ind w:firstLine="480" w:firstLineChars="200"/>
              <w:rPr>
                <w:rFonts w:hint="eastAsia" w:ascii="宋体" w:hAnsi="宋体" w:eastAsia="宋体" w:cs="宋体"/>
                <w:sz w:val="24"/>
              </w:rPr>
            </w:pPr>
            <w:r>
              <w:rPr>
                <w:rFonts w:hint="eastAsia" w:ascii="宋体" w:hAnsi="宋体" w:eastAsia="宋体" w:cs="宋体"/>
                <w:sz w:val="24"/>
              </w:rPr>
              <w:t>②所投交互智能平板产品生产厂家，具有ISO20000信息技术服务管理体系认证证书扫描件或电子证书的得</w:t>
            </w:r>
            <w:r>
              <w:rPr>
                <w:rFonts w:hint="eastAsia" w:ascii="宋体" w:hAnsi="宋体" w:eastAsia="宋体" w:cs="宋体"/>
                <w:sz w:val="24"/>
                <w:lang w:val="en-US" w:eastAsia="zh-CN"/>
              </w:rPr>
              <w:t>2</w:t>
            </w:r>
            <w:r>
              <w:rPr>
                <w:rFonts w:hint="eastAsia" w:ascii="宋体" w:hAnsi="宋体" w:eastAsia="宋体" w:cs="宋体"/>
                <w:sz w:val="24"/>
              </w:rPr>
              <w:t>分。</w:t>
            </w:r>
          </w:p>
          <w:p w14:paraId="70F9E6B7">
            <w:pPr>
              <w:pStyle w:val="13"/>
              <w:snapToGrid w:val="0"/>
              <w:spacing w:line="440" w:lineRule="exact"/>
              <w:ind w:right="46" w:rightChars="22" w:firstLine="480" w:firstLineChars="200"/>
              <w:rPr>
                <w:rFonts w:hint="eastAsia" w:ascii="宋体" w:hAnsi="宋体" w:eastAsia="宋体" w:cs="宋体"/>
                <w:bCs/>
                <w:color w:val="auto"/>
                <w:sz w:val="24"/>
                <w:szCs w:val="24"/>
                <w:highlight w:val="none"/>
              </w:rPr>
            </w:pPr>
            <w:r>
              <w:rPr>
                <w:rFonts w:hint="eastAsia" w:ascii="宋体" w:hAnsi="宋体" w:eastAsia="宋体" w:cs="宋体"/>
                <w:sz w:val="24"/>
                <w:szCs w:val="24"/>
              </w:rPr>
              <w:t>③</w:t>
            </w:r>
            <w:r>
              <w:rPr>
                <w:rFonts w:hint="eastAsia" w:ascii="宋体" w:hAnsi="宋体" w:eastAsia="宋体" w:cs="宋体"/>
                <w:kern w:val="2"/>
                <w:sz w:val="24"/>
                <w:szCs w:val="24"/>
                <w:lang w:val="en-US" w:eastAsia="zh-CN" w:bidi="ar-SA"/>
              </w:rPr>
              <w:t>所投交互智能平板产品生产厂家，符合GB/T 27922-2011售后服务评价体系标准，不低于三星级售后服务认证，得1分；不低于五星级售后服务认证，得2分；不低于十二星级售后服务认证，得3分。</w:t>
            </w:r>
          </w:p>
        </w:tc>
      </w:tr>
      <w:tr w14:paraId="50AF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25" w:type="dxa"/>
            <w:vMerge w:val="continue"/>
            <w:noWrap w:val="0"/>
            <w:vAlign w:val="center"/>
          </w:tcPr>
          <w:p w14:paraId="46FF3413">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7B44E43C">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7FFFAC53">
            <w:pPr>
              <w:snapToGrid w:val="0"/>
              <w:spacing w:line="400" w:lineRule="exact"/>
              <w:jc w:val="center"/>
              <w:rPr>
                <w:rFonts w:hint="eastAsia" w:ascii="宋体" w:hAnsi="宋体" w:cs="宋体"/>
                <w:color w:val="auto"/>
                <w:sz w:val="24"/>
                <w:szCs w:val="24"/>
                <w:highlight w:val="none"/>
              </w:rPr>
            </w:pPr>
            <w:r>
              <w:rPr>
                <w:rFonts w:hint="eastAsia" w:ascii="宋体" w:hAnsi="宋体" w:cs="宋体"/>
                <w:bCs/>
                <w:sz w:val="24"/>
              </w:rPr>
              <w:t>培训方案（满分</w:t>
            </w:r>
            <w:r>
              <w:rPr>
                <w:rFonts w:hint="eastAsia" w:ascii="宋体" w:hAnsi="宋体" w:cs="宋体"/>
                <w:bCs/>
                <w:sz w:val="24"/>
                <w:lang w:val="en-US" w:eastAsia="zh-CN"/>
              </w:rPr>
              <w:t>7</w:t>
            </w:r>
            <w:r>
              <w:rPr>
                <w:rFonts w:hint="eastAsia" w:ascii="宋体" w:hAnsi="宋体" w:cs="宋体"/>
                <w:bCs/>
                <w:sz w:val="24"/>
              </w:rPr>
              <w:t>分）</w:t>
            </w:r>
          </w:p>
        </w:tc>
        <w:tc>
          <w:tcPr>
            <w:tcW w:w="6071" w:type="dxa"/>
            <w:noWrap w:val="0"/>
            <w:vAlign w:val="top"/>
          </w:tcPr>
          <w:p w14:paraId="13A850B9">
            <w:pPr>
              <w:spacing w:line="460" w:lineRule="exact"/>
              <w:ind w:firstLine="470" w:firstLineChars="196"/>
              <w:rPr>
                <w:rFonts w:hint="eastAsia" w:ascii="宋体" w:hAnsi="宋体"/>
                <w:sz w:val="24"/>
              </w:rPr>
            </w:pPr>
            <w:r>
              <w:rPr>
                <w:rFonts w:hint="eastAsia" w:ascii="宋体" w:hAnsi="宋体"/>
                <w:sz w:val="24"/>
              </w:rPr>
              <w:t>一</w:t>
            </w:r>
            <w:r>
              <w:rPr>
                <w:rFonts w:ascii="宋体" w:hAnsi="宋体"/>
                <w:sz w:val="24"/>
              </w:rPr>
              <w:t>档（</w:t>
            </w:r>
            <w:r>
              <w:rPr>
                <w:rFonts w:hint="eastAsia" w:ascii="宋体" w:hAnsi="宋体"/>
                <w:sz w:val="24"/>
                <w:lang w:val="en-US" w:eastAsia="zh-CN"/>
              </w:rPr>
              <w:t>3</w:t>
            </w:r>
            <w:r>
              <w:rPr>
                <w:rFonts w:ascii="宋体" w:hAnsi="宋体"/>
                <w:sz w:val="24"/>
              </w:rPr>
              <w:t>分）</w:t>
            </w:r>
            <w:r>
              <w:rPr>
                <w:rFonts w:hint="eastAsia" w:ascii="宋体" w:hAnsi="宋体"/>
                <w:sz w:val="24"/>
              </w:rPr>
              <w:t>：</w:t>
            </w:r>
            <w:r>
              <w:rPr>
                <w:rFonts w:ascii="宋体" w:hAnsi="宋体"/>
                <w:sz w:val="24"/>
              </w:rPr>
              <w:t>培训</w:t>
            </w:r>
            <w:r>
              <w:rPr>
                <w:rFonts w:hint="eastAsia" w:ascii="宋体" w:hAnsi="宋体"/>
                <w:sz w:val="24"/>
              </w:rPr>
              <w:t>方案</w:t>
            </w:r>
            <w:r>
              <w:rPr>
                <w:rFonts w:ascii="宋体" w:hAnsi="宋体"/>
                <w:sz w:val="24"/>
              </w:rPr>
              <w:t>基本</w:t>
            </w:r>
            <w:r>
              <w:rPr>
                <w:rFonts w:hint="eastAsia" w:ascii="宋体" w:hAnsi="宋体"/>
                <w:sz w:val="24"/>
              </w:rPr>
              <w:t>符合</w:t>
            </w:r>
            <w:r>
              <w:rPr>
                <w:rFonts w:ascii="宋体" w:hAnsi="宋体"/>
                <w:sz w:val="24"/>
              </w:rPr>
              <w:t>招标文件要求，培训计划安排合理（包括培训人员安排，培训内容安排）</w:t>
            </w:r>
            <w:r>
              <w:rPr>
                <w:rFonts w:hint="eastAsia" w:ascii="宋体" w:hAnsi="宋体"/>
                <w:sz w:val="24"/>
              </w:rPr>
              <w:t>，但对项目实施过程中可能存在的问题及产生问题的原因分析不全面，提出的解决方案内容较少，指导性一般</w:t>
            </w:r>
            <w:r>
              <w:rPr>
                <w:rFonts w:ascii="宋体" w:hAnsi="宋体"/>
                <w:sz w:val="24"/>
              </w:rPr>
              <w:t xml:space="preserve">。 </w:t>
            </w:r>
          </w:p>
          <w:p w14:paraId="7BA05551">
            <w:pPr>
              <w:spacing w:line="460" w:lineRule="exact"/>
              <w:ind w:firstLine="470" w:firstLineChars="196"/>
              <w:rPr>
                <w:rFonts w:hint="eastAsia" w:ascii="宋体" w:hAnsi="宋体"/>
                <w:sz w:val="24"/>
              </w:rPr>
            </w:pPr>
            <w:r>
              <w:rPr>
                <w:rFonts w:hint="eastAsia" w:ascii="宋体" w:hAnsi="宋体"/>
                <w:sz w:val="24"/>
              </w:rPr>
              <w:t>二</w:t>
            </w:r>
            <w:r>
              <w:rPr>
                <w:rFonts w:ascii="宋体" w:hAnsi="宋体"/>
                <w:sz w:val="24"/>
              </w:rPr>
              <w:t>档（</w:t>
            </w:r>
            <w:r>
              <w:rPr>
                <w:rFonts w:hint="eastAsia" w:ascii="宋体" w:hAnsi="宋体"/>
                <w:sz w:val="24"/>
                <w:lang w:val="en-US" w:eastAsia="zh-CN"/>
              </w:rPr>
              <w:t>5</w:t>
            </w:r>
            <w:r>
              <w:rPr>
                <w:rFonts w:ascii="宋体" w:hAnsi="宋体"/>
                <w:sz w:val="24"/>
              </w:rPr>
              <w:t>分）</w:t>
            </w:r>
            <w:r>
              <w:rPr>
                <w:rFonts w:hint="eastAsia" w:ascii="宋体" w:hAnsi="宋体"/>
                <w:sz w:val="24"/>
              </w:rPr>
              <w:t>：</w:t>
            </w:r>
            <w:r>
              <w:rPr>
                <w:rFonts w:ascii="宋体" w:hAnsi="宋体"/>
                <w:sz w:val="24"/>
              </w:rPr>
              <w:t>培训</w:t>
            </w:r>
            <w:r>
              <w:rPr>
                <w:rFonts w:hint="eastAsia" w:ascii="宋体" w:hAnsi="宋体"/>
                <w:sz w:val="24"/>
              </w:rPr>
              <w:t>方案满足</w:t>
            </w:r>
            <w:r>
              <w:rPr>
                <w:rFonts w:ascii="宋体" w:hAnsi="宋体"/>
                <w:sz w:val="24"/>
              </w:rPr>
              <w:t>招标文件要求，具有完善的培训计划（包括培训人员安排，培训内容安排，其中培训内容安排包括设备功能理论培训计划、操作培训计划、设备常见问题的基本维修操作培训计划等）提出的建议具有针对性，可行性高</w:t>
            </w:r>
            <w:r>
              <w:rPr>
                <w:rFonts w:hint="eastAsia" w:ascii="宋体" w:hAnsi="宋体"/>
                <w:sz w:val="24"/>
              </w:rPr>
              <w:t>，对项目实施过程中可能存在的问题及产生问题的原因分析全面，提出的解决方案内容较多，指导性全面。</w:t>
            </w:r>
          </w:p>
          <w:p w14:paraId="0221B36C">
            <w:pPr>
              <w:spacing w:line="360" w:lineRule="auto"/>
              <w:ind w:firstLine="420" w:firstLineChars="175"/>
              <w:jc w:val="left"/>
              <w:rPr>
                <w:rFonts w:hint="eastAsia" w:hAnsi="宋体" w:cs="宋体"/>
                <w:color w:val="auto"/>
                <w:sz w:val="24"/>
                <w:szCs w:val="24"/>
                <w:highlight w:val="none"/>
                <w:lang w:val="en-US" w:eastAsia="zh-CN"/>
              </w:rPr>
            </w:pPr>
            <w:r>
              <w:rPr>
                <w:rFonts w:hint="eastAsia" w:ascii="宋体" w:hAnsi="宋体"/>
                <w:sz w:val="24"/>
              </w:rPr>
              <w:t>三档（</w:t>
            </w:r>
            <w:r>
              <w:rPr>
                <w:rFonts w:hint="eastAsia" w:ascii="宋体" w:hAnsi="宋体"/>
                <w:sz w:val="24"/>
                <w:lang w:val="en-US" w:eastAsia="zh-CN"/>
              </w:rPr>
              <w:t>7</w:t>
            </w:r>
            <w:r>
              <w:rPr>
                <w:rFonts w:hint="eastAsia" w:ascii="宋体" w:hAnsi="宋体"/>
                <w:sz w:val="24"/>
              </w:rPr>
              <w:t>分）：培训方案整体详细全面完善，具有详细、完善的培训计划（包括培训人员安排，培训内容安排，其中培训内容安排包括设备功能理论培训计划、操作培训计划、设备常见问题的基本维修操作培训计划等）整体方案针对性极强，可行性极高，对项目实施过程中可能存在的问题及产生问题的原因分析全面科学合理，提出的解决方案内容全面详尽、科学合理，指导性强， 满足项目需求。</w:t>
            </w:r>
          </w:p>
        </w:tc>
      </w:tr>
      <w:tr w14:paraId="78B4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7419109C">
            <w:pPr>
              <w:adjustRightInd w:val="0"/>
              <w:snapToGrid w:val="0"/>
              <w:spacing w:line="400" w:lineRule="exact"/>
              <w:jc w:val="center"/>
              <w:textAlignment w:val="baseline"/>
              <w:rPr>
                <w:rFonts w:hint="eastAsia" w:ascii="宋体" w:hAnsi="宋体" w:cs="宋体"/>
                <w:b/>
                <w:color w:val="auto"/>
                <w:sz w:val="24"/>
                <w:highlight w:val="none"/>
              </w:rPr>
            </w:pPr>
          </w:p>
        </w:tc>
        <w:tc>
          <w:tcPr>
            <w:tcW w:w="1320" w:type="dxa"/>
            <w:vMerge w:val="continue"/>
            <w:noWrap w:val="0"/>
            <w:vAlign w:val="center"/>
          </w:tcPr>
          <w:p w14:paraId="0E401B7D">
            <w:pPr>
              <w:adjustRightInd w:val="0"/>
              <w:snapToGrid w:val="0"/>
              <w:spacing w:line="400" w:lineRule="exact"/>
              <w:ind w:left="-105" w:leftChars="-50" w:right="-105" w:rightChars="-50"/>
              <w:jc w:val="center"/>
              <w:textAlignment w:val="baseline"/>
              <w:rPr>
                <w:rFonts w:hint="eastAsia" w:ascii="宋体" w:hAnsi="宋体" w:cs="宋体"/>
                <w:b/>
                <w:bCs/>
                <w:color w:val="auto"/>
                <w:sz w:val="24"/>
                <w:highlight w:val="none"/>
              </w:rPr>
            </w:pPr>
          </w:p>
        </w:tc>
        <w:tc>
          <w:tcPr>
            <w:tcW w:w="1520" w:type="dxa"/>
            <w:noWrap w:val="0"/>
            <w:tcMar>
              <w:left w:w="57" w:type="dxa"/>
              <w:right w:w="57" w:type="dxa"/>
            </w:tcMar>
            <w:vAlign w:val="center"/>
          </w:tcPr>
          <w:p w14:paraId="0994402B">
            <w:pPr>
              <w:spacing w:line="360" w:lineRule="auto"/>
              <w:jc w:val="left"/>
              <w:rPr>
                <w:rFonts w:hint="eastAsia" w:ascii="宋体" w:hAnsi="宋体" w:eastAsia="宋体" w:cs="Times New Roman"/>
                <w:bCs/>
                <w:color w:val="auto"/>
                <w:sz w:val="24"/>
                <w:szCs w:val="24"/>
                <w:highlight w:val="none"/>
              </w:rPr>
            </w:pPr>
            <w:r>
              <w:rPr>
                <w:rFonts w:hint="eastAsia" w:ascii="宋体" w:hAnsi="宋体"/>
                <w:bCs/>
                <w:sz w:val="24"/>
              </w:rPr>
              <w:t>设备实施方案（满分</w:t>
            </w:r>
            <w:r>
              <w:rPr>
                <w:rFonts w:hint="eastAsia" w:ascii="宋体" w:hAnsi="宋体"/>
                <w:bCs/>
                <w:sz w:val="24"/>
                <w:lang w:val="en-US" w:eastAsia="zh-CN"/>
              </w:rPr>
              <w:t>8</w:t>
            </w:r>
            <w:r>
              <w:rPr>
                <w:rFonts w:hint="eastAsia" w:ascii="宋体" w:hAnsi="宋体"/>
                <w:bCs/>
                <w:sz w:val="24"/>
              </w:rPr>
              <w:t>分）</w:t>
            </w:r>
          </w:p>
        </w:tc>
        <w:tc>
          <w:tcPr>
            <w:tcW w:w="6071" w:type="dxa"/>
            <w:noWrap w:val="0"/>
            <w:vAlign w:val="center"/>
          </w:tcPr>
          <w:p w14:paraId="3BBC76D7">
            <w:pPr>
              <w:spacing w:line="460" w:lineRule="exact"/>
              <w:ind w:firstLine="470" w:firstLineChars="196"/>
              <w:rPr>
                <w:rFonts w:hint="eastAsia" w:ascii="宋体" w:hAnsi="宋体"/>
                <w:sz w:val="24"/>
              </w:rPr>
            </w:pPr>
            <w:r>
              <w:rPr>
                <w:rFonts w:hint="eastAsia" w:ascii="宋体" w:hAnsi="宋体"/>
                <w:sz w:val="24"/>
              </w:rPr>
              <w:t>一档（</w:t>
            </w:r>
            <w:r>
              <w:rPr>
                <w:rFonts w:hint="eastAsia" w:ascii="宋体" w:hAnsi="宋体"/>
                <w:sz w:val="24"/>
                <w:lang w:val="en-US" w:eastAsia="zh-CN"/>
              </w:rPr>
              <w:t>4</w:t>
            </w:r>
            <w:r>
              <w:rPr>
                <w:rFonts w:hint="eastAsia" w:ascii="宋体" w:hAnsi="宋体"/>
                <w:sz w:val="24"/>
              </w:rPr>
              <w:t>分）：方案较详细，包含管理措施、具体实施流程、进度安排等，整体方案符合实际情况的。</w:t>
            </w:r>
          </w:p>
          <w:p w14:paraId="772A77D4">
            <w:pPr>
              <w:spacing w:line="460" w:lineRule="exact"/>
              <w:ind w:firstLine="470" w:firstLineChars="196"/>
              <w:rPr>
                <w:rFonts w:hint="eastAsia" w:ascii="宋体" w:hAnsi="宋体"/>
                <w:sz w:val="24"/>
              </w:rPr>
            </w:pPr>
            <w:r>
              <w:rPr>
                <w:rFonts w:hint="eastAsia" w:ascii="宋体" w:hAnsi="宋体"/>
                <w:sz w:val="24"/>
              </w:rPr>
              <w:t>二档（</w:t>
            </w:r>
            <w:r>
              <w:rPr>
                <w:rFonts w:hint="eastAsia" w:ascii="宋体" w:hAnsi="宋体"/>
                <w:sz w:val="24"/>
                <w:lang w:val="en-US" w:eastAsia="zh-CN"/>
              </w:rPr>
              <w:t>6</w:t>
            </w:r>
            <w:r>
              <w:rPr>
                <w:rFonts w:hint="eastAsia" w:ascii="宋体" w:hAnsi="宋体"/>
                <w:sz w:val="24"/>
              </w:rPr>
              <w:t>分）：方案详细完善，包含管理措施、具体实施流程、进度安排、设备风险防范措施，整体方案针对性强，能说明实施各个阶段工作安排和进度计划。</w:t>
            </w:r>
          </w:p>
          <w:p w14:paraId="68A2AB7A">
            <w:pPr>
              <w:spacing w:line="360" w:lineRule="auto"/>
              <w:ind w:firstLine="420" w:firstLineChars="175"/>
              <w:jc w:val="left"/>
              <w:rPr>
                <w:rFonts w:hint="eastAsia" w:ascii="宋体" w:hAnsi="宋体" w:eastAsia="宋体" w:cs="Times New Roman"/>
                <w:bCs/>
                <w:color w:val="auto"/>
                <w:sz w:val="24"/>
                <w:szCs w:val="24"/>
                <w:highlight w:val="none"/>
                <w:lang w:val="en-US" w:eastAsia="zh-CN"/>
              </w:rPr>
            </w:pPr>
            <w:r>
              <w:rPr>
                <w:rFonts w:hint="eastAsia" w:ascii="宋体" w:hAnsi="宋体"/>
                <w:sz w:val="24"/>
              </w:rPr>
              <w:t>三档（</w:t>
            </w:r>
            <w:r>
              <w:rPr>
                <w:rFonts w:hint="eastAsia" w:ascii="宋体" w:hAnsi="宋体"/>
                <w:sz w:val="24"/>
                <w:lang w:val="en-US" w:eastAsia="zh-CN"/>
              </w:rPr>
              <w:t>8</w:t>
            </w:r>
            <w:r>
              <w:rPr>
                <w:rFonts w:hint="eastAsia" w:ascii="宋体" w:hAnsi="宋体"/>
                <w:sz w:val="24"/>
              </w:rPr>
              <w:t>分）：方案详细全面完善，包含管理措施、具体实施流程、进度安排、设备风险防范措施，整体方案针对性较强，有项目管理组织机构图，提供项目风险管理措施，能提供项目联调及验收方案，方案全面、描述详细，完全准确地理解项目需求，部署科学可靠。</w:t>
            </w:r>
          </w:p>
        </w:tc>
      </w:tr>
      <w:tr w14:paraId="498F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15A138BD">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2FB3263E">
            <w:pPr>
              <w:pStyle w:val="10"/>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55BA91FF">
            <w:pPr>
              <w:snapToGrid w:val="0"/>
              <w:spacing w:line="400" w:lineRule="exact"/>
              <w:jc w:val="center"/>
              <w:rPr>
                <w:rFonts w:hint="eastAsia" w:ascii="宋体" w:hAnsi="宋体" w:cs="宋体"/>
                <w:bCs/>
                <w:color w:val="auto"/>
                <w:sz w:val="24"/>
                <w:szCs w:val="24"/>
                <w:highlight w:val="none"/>
              </w:rPr>
            </w:pPr>
            <w:r>
              <w:rPr>
                <w:rFonts w:hint="eastAsia" w:ascii="宋体" w:hAnsi="宋体" w:cs="宋体"/>
                <w:bCs/>
                <w:sz w:val="24"/>
              </w:rPr>
              <w:t>配送方案分</w:t>
            </w:r>
            <w:r>
              <w:rPr>
                <w:rFonts w:hint="eastAsia" w:ascii="宋体" w:hAnsi="宋体"/>
                <w:bCs/>
                <w:sz w:val="24"/>
              </w:rPr>
              <w:t>（满分6分）</w:t>
            </w:r>
          </w:p>
        </w:tc>
        <w:tc>
          <w:tcPr>
            <w:tcW w:w="6071" w:type="dxa"/>
            <w:noWrap w:val="0"/>
            <w:vAlign w:val="center"/>
          </w:tcPr>
          <w:p w14:paraId="17EA48C6">
            <w:pPr>
              <w:pStyle w:val="13"/>
              <w:spacing w:line="460" w:lineRule="exact"/>
              <w:ind w:firstLine="420"/>
              <w:rPr>
                <w:rFonts w:hint="eastAsia" w:hAnsi="宋体"/>
                <w:kern w:val="2"/>
                <w:sz w:val="24"/>
                <w:szCs w:val="24"/>
              </w:rPr>
            </w:pPr>
            <w:r>
              <w:rPr>
                <w:rFonts w:hint="eastAsia" w:hAnsi="宋体"/>
                <w:kern w:val="2"/>
                <w:sz w:val="24"/>
                <w:szCs w:val="24"/>
              </w:rPr>
              <w:t>一档（2分）：配送方案、质量控制措施等简单，项目实施人员及运输设备配备较差。</w:t>
            </w:r>
          </w:p>
          <w:p w14:paraId="5110CD9F">
            <w:pPr>
              <w:pStyle w:val="13"/>
              <w:spacing w:line="460" w:lineRule="exact"/>
              <w:ind w:firstLine="420"/>
              <w:rPr>
                <w:rFonts w:hint="eastAsia" w:hAnsi="宋体"/>
                <w:kern w:val="2"/>
                <w:sz w:val="24"/>
                <w:szCs w:val="24"/>
              </w:rPr>
            </w:pPr>
            <w:r>
              <w:rPr>
                <w:rFonts w:hint="eastAsia" w:hAnsi="宋体"/>
                <w:kern w:val="2"/>
                <w:sz w:val="24"/>
                <w:szCs w:val="24"/>
              </w:rPr>
              <w:t>二档（4分）：配送方案、质量控制措施（包装质量满足运输距离、防潮、防霉、防破损装卸等条件）等较详细，项目实施人员及运输设备配备较充足，基本能满足项目实施要求。</w:t>
            </w:r>
          </w:p>
          <w:p w14:paraId="3ADE67AC">
            <w:pPr>
              <w:spacing w:line="460" w:lineRule="exact"/>
              <w:ind w:firstLine="470" w:firstLineChars="196"/>
              <w:rPr>
                <w:rFonts w:hint="eastAsia" w:ascii="宋体" w:hAnsi="宋体" w:cs="宋体"/>
                <w:bCs/>
                <w:color w:val="auto"/>
                <w:sz w:val="24"/>
                <w:szCs w:val="24"/>
                <w:highlight w:val="none"/>
                <w:lang w:val="zh-CN"/>
              </w:rPr>
            </w:pPr>
            <w:r>
              <w:rPr>
                <w:rFonts w:hint="eastAsia" w:hAnsi="宋体"/>
                <w:sz w:val="24"/>
              </w:rPr>
              <w:t>三档</w:t>
            </w:r>
            <w:r>
              <w:rPr>
                <w:rFonts w:hint="eastAsia" w:ascii="宋体" w:hAnsi="宋体" w:cs="宋体"/>
                <w:sz w:val="24"/>
              </w:rPr>
              <w:t>（6分）：配</w:t>
            </w:r>
            <w:r>
              <w:rPr>
                <w:rFonts w:hint="eastAsia" w:hAnsi="宋体"/>
                <w:sz w:val="24"/>
              </w:rPr>
              <w:t>送方案、质量控制措施（包装质量满足运输距离、防潮、防霉、防破损装卸等条件）等内容详细全面且切实可行，项目实施人员及运输设备配备充足，具备完善的配送服务体系，有实力为该项目提供优质、快捷的配送安装等服务。</w:t>
            </w:r>
          </w:p>
        </w:tc>
      </w:tr>
      <w:tr w14:paraId="700F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noWrap w:val="0"/>
            <w:vAlign w:val="center"/>
          </w:tcPr>
          <w:p w14:paraId="26663A74">
            <w:pPr>
              <w:adjustRightInd w:val="0"/>
              <w:snapToGrid w:val="0"/>
              <w:spacing w:line="400" w:lineRule="exact"/>
              <w:jc w:val="center"/>
              <w:textAlignment w:val="baseline"/>
              <w:rPr>
                <w:rFonts w:hint="eastAsia" w:ascii="宋体" w:hAnsi="宋体" w:cs="宋体"/>
                <w:b/>
                <w:bCs/>
                <w:color w:val="auto"/>
                <w:sz w:val="24"/>
                <w:highlight w:val="none"/>
              </w:rPr>
            </w:pPr>
          </w:p>
        </w:tc>
        <w:tc>
          <w:tcPr>
            <w:tcW w:w="1320" w:type="dxa"/>
            <w:vMerge w:val="continue"/>
            <w:noWrap w:val="0"/>
            <w:vAlign w:val="center"/>
          </w:tcPr>
          <w:p w14:paraId="7EE691F3">
            <w:pPr>
              <w:pStyle w:val="10"/>
              <w:snapToGrid w:val="0"/>
              <w:spacing w:line="400" w:lineRule="exact"/>
              <w:rPr>
                <w:rFonts w:hint="eastAsia" w:ascii="宋体" w:hAnsi="宋体" w:cs="宋体"/>
                <w:b/>
                <w:color w:val="auto"/>
                <w:kern w:val="2"/>
                <w:highlight w:val="none"/>
                <w:lang w:val="en-US" w:eastAsia="zh-CN"/>
              </w:rPr>
            </w:pPr>
          </w:p>
        </w:tc>
        <w:tc>
          <w:tcPr>
            <w:tcW w:w="1520" w:type="dxa"/>
            <w:noWrap w:val="0"/>
            <w:tcMar>
              <w:left w:w="57" w:type="dxa"/>
              <w:right w:w="57" w:type="dxa"/>
            </w:tcMar>
            <w:vAlign w:val="center"/>
          </w:tcPr>
          <w:p w14:paraId="60B460D9">
            <w:pPr>
              <w:snapToGrid w:val="0"/>
              <w:spacing w:line="400" w:lineRule="exact"/>
              <w:jc w:val="center"/>
              <w:rPr>
                <w:rFonts w:hint="eastAsia" w:ascii="宋体" w:hAnsi="宋体" w:eastAsia="宋体" w:cs="宋体"/>
                <w:bCs/>
                <w:color w:val="auto"/>
                <w:sz w:val="24"/>
                <w:szCs w:val="24"/>
                <w:highlight w:val="none"/>
              </w:rPr>
            </w:pPr>
            <w:r>
              <w:rPr>
                <w:rFonts w:hint="eastAsia" w:ascii="宋体" w:hAnsi="宋体" w:cs="宋体"/>
                <w:bCs/>
                <w:sz w:val="24"/>
              </w:rPr>
              <w:t>售后服务方案（满分12分）</w:t>
            </w:r>
          </w:p>
        </w:tc>
        <w:tc>
          <w:tcPr>
            <w:tcW w:w="6071" w:type="dxa"/>
            <w:noWrap w:val="0"/>
            <w:vAlign w:val="center"/>
          </w:tcPr>
          <w:p w14:paraId="64B3AFD5">
            <w:pPr>
              <w:spacing w:line="460" w:lineRule="exact"/>
              <w:ind w:firstLine="470" w:firstLineChars="196"/>
              <w:rPr>
                <w:rFonts w:hint="eastAsia" w:ascii="宋体" w:hAnsi="宋体"/>
                <w:sz w:val="24"/>
              </w:rPr>
            </w:pPr>
            <w:r>
              <w:rPr>
                <w:rFonts w:hint="eastAsia" w:ascii="宋体" w:hAnsi="宋体"/>
                <w:sz w:val="24"/>
              </w:rPr>
              <w:t>一档（4分）：提供售后服务方案，但具体内容针对性不强；对质保期、响应时间、服务团队配备、备品备件等有一定描述，有定期维护方案。售后服务人员配备基本满足售后服务要求的；</w:t>
            </w:r>
          </w:p>
          <w:p w14:paraId="7F29E324">
            <w:pPr>
              <w:spacing w:line="460" w:lineRule="exact"/>
              <w:ind w:firstLine="470" w:firstLineChars="196"/>
              <w:rPr>
                <w:rFonts w:hint="eastAsia" w:ascii="宋体" w:hAnsi="宋体"/>
                <w:sz w:val="24"/>
              </w:rPr>
            </w:pPr>
            <w:r>
              <w:rPr>
                <w:rFonts w:hint="eastAsia" w:ascii="宋体" w:hAnsi="宋体"/>
                <w:sz w:val="24"/>
              </w:rPr>
              <w:t>二档（8分）：售后服务方案详细可行，具有针对性：响应时间、到达现场及故障处理时间优于采购要求；对备品备件、应急预案、故障解决方案等方面均有详细描述，并符合项目实际情况；能提供有效的应急服务；针对本项目配备的售后服务技术人员数量不少于3人，且团队中至少1人具备具有中级或以上工程师（电子信息技术、系统集成等相关专业）职称证书；</w:t>
            </w:r>
          </w:p>
          <w:p w14:paraId="00ABAF92">
            <w:pPr>
              <w:spacing w:line="460" w:lineRule="exact"/>
              <w:ind w:firstLine="470" w:firstLineChars="196"/>
              <w:rPr>
                <w:rFonts w:hint="eastAsia" w:ascii="宋体" w:hAnsi="宋体"/>
                <w:sz w:val="24"/>
              </w:rPr>
            </w:pPr>
            <w:r>
              <w:rPr>
                <w:rFonts w:hint="eastAsia" w:ascii="宋体" w:hAnsi="宋体"/>
                <w:sz w:val="24"/>
              </w:rPr>
              <w:t>三档（12分）：现场服务、响应时间、质量保证、技术服务、备品备件等内容详尽、可行。故障响应、处理时间优于招标文件要求，针对本项目配备有服务团队，对人员配置、售后管理配套措施均有详细描述，其中为本项目提售后服务的技术人员数量不少于6人，且团队中至少2人具备具有中级或以上工程师（电子信息技术、系统集成、计算机等相关专业）职称证书；对项目的整体维护提供维护解决方案和运行维护应急预案；方案针对性、可行性强。</w:t>
            </w:r>
          </w:p>
          <w:p w14:paraId="09A7B3EA">
            <w:pPr>
              <w:spacing w:line="460" w:lineRule="exact"/>
              <w:ind w:firstLine="470" w:firstLineChars="196"/>
              <w:rPr>
                <w:rFonts w:hint="eastAsia" w:ascii="宋体" w:hAnsi="宋体" w:eastAsia="宋体" w:cs="Times New Roman"/>
                <w:color w:val="auto"/>
                <w:sz w:val="24"/>
                <w:szCs w:val="24"/>
              </w:rPr>
            </w:pPr>
            <w:r>
              <w:rPr>
                <w:rFonts w:hint="eastAsia" w:ascii="宋体" w:hAnsi="宋体"/>
                <w:sz w:val="24"/>
              </w:rPr>
              <w:t>注：同一人获得多个证书的不重复计分，投标时须提供相关人员资质证书复印件，及2025年1月至今任意一个月的供应商为其缴纳的社会保险证明材料。</w:t>
            </w:r>
          </w:p>
        </w:tc>
      </w:tr>
      <w:tr w14:paraId="28B0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525" w:type="dxa"/>
            <w:noWrap w:val="0"/>
            <w:vAlign w:val="center"/>
          </w:tcPr>
          <w:p w14:paraId="1D359DA5">
            <w:pPr>
              <w:adjustRightInd w:val="0"/>
              <w:snapToGrid w:val="0"/>
              <w:spacing w:line="400" w:lineRule="exact"/>
              <w:jc w:val="center"/>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1320" w:type="dxa"/>
            <w:noWrap w:val="0"/>
            <w:vAlign w:val="center"/>
          </w:tcPr>
          <w:p w14:paraId="1099FD7A">
            <w:pPr>
              <w:pStyle w:val="10"/>
              <w:snapToGrid w:val="0"/>
              <w:spacing w:line="400" w:lineRule="exact"/>
              <w:rPr>
                <w:rFonts w:hint="eastAsia" w:ascii="宋体" w:hAnsi="宋体" w:cs="宋体"/>
                <w:b/>
                <w:color w:val="auto"/>
                <w:kern w:val="2"/>
                <w:highlight w:val="none"/>
                <w:lang w:val="en-US" w:eastAsia="zh-CN"/>
              </w:rPr>
            </w:pPr>
            <w:r>
              <w:rPr>
                <w:rFonts w:hint="eastAsia" w:ascii="宋体" w:hAnsi="宋体" w:cs="宋体"/>
                <w:b/>
                <w:color w:val="auto"/>
                <w:kern w:val="2"/>
                <w:highlight w:val="none"/>
                <w:lang w:val="en-US" w:eastAsia="zh-CN"/>
              </w:rPr>
              <w:t>商务分（满分</w:t>
            </w:r>
            <w:r>
              <w:rPr>
                <w:rFonts w:hint="eastAsia" w:ascii="宋体" w:hAnsi="宋体" w:cs="宋体"/>
                <w:b/>
                <w:color w:val="auto"/>
                <w:kern w:val="2"/>
                <w:highlight w:val="none"/>
                <w:u w:val="single"/>
                <w:lang w:val="en-US" w:eastAsia="zh-CN"/>
              </w:rPr>
              <w:t>1</w:t>
            </w:r>
            <w:r>
              <w:rPr>
                <w:rFonts w:hint="eastAsia" w:ascii="宋体" w:hAnsi="宋体" w:cs="宋体"/>
                <w:b/>
                <w:color w:val="auto"/>
                <w:kern w:val="2"/>
                <w:highlight w:val="none"/>
                <w:lang w:val="en-US" w:eastAsia="zh-CN"/>
              </w:rPr>
              <w:t>分）</w:t>
            </w:r>
          </w:p>
        </w:tc>
        <w:tc>
          <w:tcPr>
            <w:tcW w:w="1520" w:type="dxa"/>
            <w:noWrap w:val="0"/>
            <w:tcMar>
              <w:left w:w="57" w:type="dxa"/>
              <w:right w:w="57" w:type="dxa"/>
            </w:tcMar>
            <w:vAlign w:val="center"/>
          </w:tcPr>
          <w:p w14:paraId="7FC450E0">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政策分</w:t>
            </w:r>
          </w:p>
          <w:p w14:paraId="0061647C">
            <w:pPr>
              <w:snapToGrid w:val="0"/>
              <w:spacing w:line="40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（满分</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w:t>
            </w:r>
          </w:p>
        </w:tc>
        <w:tc>
          <w:tcPr>
            <w:tcW w:w="6071" w:type="dxa"/>
            <w:noWrap w:val="0"/>
            <w:vAlign w:val="center"/>
          </w:tcPr>
          <w:p w14:paraId="4E01021A">
            <w:pPr>
              <w:pStyle w:val="13"/>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（1）投标人提供的产品列入财政部、生态环境部制定和公布《环境标志产品政府采购品目清单》（以处于有效期之内的环境标志产品认证证书复印件计分），每有一项得0.5分，满分0.5分；</w:t>
            </w:r>
          </w:p>
          <w:p w14:paraId="59E65297">
            <w:pPr>
              <w:pStyle w:val="13"/>
              <w:keepNext w:val="0"/>
              <w:keepLines w:val="0"/>
              <w:pageBreakBefore w:val="0"/>
              <w:kinsoku/>
              <w:wordWrap/>
              <w:overflowPunct/>
              <w:topLinePunct w:val="0"/>
              <w:autoSpaceDE/>
              <w:autoSpaceDN/>
              <w:bidi w:val="0"/>
              <w:adjustRightInd/>
              <w:snapToGrid w:val="0"/>
              <w:spacing w:line="420" w:lineRule="exact"/>
              <w:ind w:firstLine="420" w:firstLineChars="175"/>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属于财政部《节能产品政府采购品目清单》内优先采购（政府强制采购节能产品除外）的产品[投标文件中提供有效的认证证书复印件及品目清单（标注投标产品在清单所属的品目），并加盖公章]，每有一项得0.5分，满分0.5分。</w:t>
            </w:r>
          </w:p>
        </w:tc>
      </w:tr>
    </w:tbl>
    <w:p w14:paraId="28E412DF">
      <w:pPr>
        <w:pStyle w:val="13"/>
        <w:tabs>
          <w:tab w:val="left" w:pos="4214"/>
        </w:tabs>
        <w:snapToGrid w:val="0"/>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得分相同的，以投标报价由低到高顺序排列</w:t>
      </w:r>
      <w:r>
        <w:rPr>
          <w:rFonts w:hint="eastAsia" w:hAnsi="宋体" w:cs="宋体"/>
          <w:color w:val="auto"/>
          <w:sz w:val="24"/>
          <w:szCs w:val="24"/>
          <w:highlight w:val="none"/>
          <w:lang w:eastAsia="zh-CN"/>
        </w:rPr>
        <w:t>；得分相同且投标报价相同，由采购人确定排名；</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为</w:t>
      </w:r>
      <w:r>
        <w:rPr>
          <w:rFonts w:hint="eastAsia" w:hAnsi="宋体" w:cs="宋体"/>
          <w:color w:val="auto"/>
          <w:sz w:val="24"/>
          <w:szCs w:val="24"/>
          <w:highlight w:val="none"/>
        </w:rPr>
        <w:t>中标候选人</w:t>
      </w:r>
      <w:r>
        <w:rPr>
          <w:rFonts w:hint="eastAsia" w:hAnsi="宋体" w:cs="宋体"/>
          <w:color w:val="auto"/>
          <w:sz w:val="24"/>
          <w:szCs w:val="24"/>
          <w:highlight w:val="none"/>
          <w:lang w:eastAsia="zh-CN"/>
        </w:rPr>
        <w:t>；</w:t>
      </w:r>
      <w:r>
        <w:rPr>
          <w:rFonts w:hint="eastAsia" w:hAnsi="宋体" w:cs="宋体"/>
          <w:color w:val="auto"/>
          <w:sz w:val="24"/>
          <w:szCs w:val="24"/>
          <w:highlight w:val="none"/>
        </w:rPr>
        <w:t>排名第一的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候选供应商放弃</w:t>
      </w:r>
      <w:r>
        <w:rPr>
          <w:rFonts w:hint="eastAsia" w:hAnsi="宋体" w:cs="宋体"/>
          <w:color w:val="auto"/>
          <w:sz w:val="24"/>
          <w:szCs w:val="24"/>
          <w:highlight w:val="none"/>
          <w:lang w:eastAsia="zh-CN"/>
        </w:rPr>
        <w:t>中标</w:t>
      </w:r>
      <w:r>
        <w:rPr>
          <w:rFonts w:hint="eastAsia" w:hAnsi="宋体" w:cs="宋体"/>
          <w:color w:val="auto"/>
          <w:sz w:val="24"/>
          <w:szCs w:val="24"/>
          <w:highlight w:val="none"/>
        </w:rPr>
        <w:t>、因不可抗力提出不能履行合同，或者</w:t>
      </w:r>
      <w:r>
        <w:rPr>
          <w:rFonts w:hint="eastAsia" w:hAnsi="宋体" w:cs="宋体"/>
          <w:color w:val="auto"/>
          <w:sz w:val="24"/>
          <w:szCs w:val="24"/>
          <w:highlight w:val="none"/>
          <w:lang w:eastAsia="zh-CN"/>
        </w:rPr>
        <w:t>采购</w:t>
      </w:r>
      <w:r>
        <w:rPr>
          <w:rFonts w:hint="eastAsia" w:hAnsi="宋体" w:cs="宋体"/>
          <w:color w:val="auto"/>
          <w:sz w:val="24"/>
          <w:szCs w:val="24"/>
          <w:highlight w:val="none"/>
        </w:rPr>
        <w:t>文件规定应当提交履约保证金而在规定的期限内未能提交的，采购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可以确定排名第二的</w:t>
      </w:r>
      <w:r>
        <w:rPr>
          <w:rFonts w:hint="eastAsia" w:hAnsi="宋体" w:cs="宋体"/>
          <w:color w:val="auto"/>
          <w:sz w:val="24"/>
          <w:szCs w:val="24"/>
          <w:highlight w:val="none"/>
          <w:lang w:eastAsia="zh-CN"/>
        </w:rPr>
        <w:t>中标</w:t>
      </w:r>
      <w:r>
        <w:rPr>
          <w:rFonts w:hint="eastAsia" w:hAnsi="宋体" w:cs="宋体"/>
          <w:color w:val="auto"/>
          <w:sz w:val="24"/>
          <w:szCs w:val="24"/>
          <w:highlight w:val="none"/>
        </w:rPr>
        <w:t>候选供应商为</w:t>
      </w:r>
      <w:r>
        <w:rPr>
          <w:rFonts w:hint="eastAsia" w:hAnsi="宋体" w:cs="宋体"/>
          <w:color w:val="auto"/>
          <w:sz w:val="24"/>
          <w:szCs w:val="24"/>
          <w:highlight w:val="none"/>
          <w:lang w:eastAsia="zh-CN"/>
        </w:rPr>
        <w:t>中标</w:t>
      </w:r>
      <w:r>
        <w:rPr>
          <w:rFonts w:hint="eastAsia" w:hAnsi="宋体" w:cs="宋体"/>
          <w:color w:val="auto"/>
          <w:sz w:val="24"/>
          <w:szCs w:val="24"/>
          <w:highlight w:val="none"/>
        </w:rPr>
        <w:t>供应商。</w:t>
      </w:r>
    </w:p>
    <w:p w14:paraId="383F10C0">
      <w:pPr>
        <w:pStyle w:val="13"/>
        <w:snapToGrid w:val="0"/>
        <w:spacing w:before="320" w:after="350"/>
        <w:ind w:firstLine="0" w:firstLineChars="0"/>
        <w:jc w:val="center"/>
        <w:outlineLvl w:val="0"/>
        <w:rPr>
          <w:rFonts w:hint="eastAsia" w:hAnsi="宋体" w:cs="宋体"/>
          <w:b/>
          <w:color w:val="auto"/>
          <w:sz w:val="21"/>
          <w:highlight w:val="none"/>
        </w:rPr>
      </w:pPr>
      <w:r>
        <w:rPr>
          <w:rFonts w:hint="eastAsia" w:hAnsi="宋体" w:cs="宋体"/>
          <w:b/>
          <w:bCs/>
          <w:color w:val="auto"/>
          <w:highlight w:val="none"/>
        </w:rPr>
        <w:br w:type="page"/>
      </w:r>
      <w:bookmarkStart w:id="107" w:name="_Toc4765"/>
      <w:r>
        <w:rPr>
          <w:rFonts w:hint="eastAsia" w:hAnsi="宋体" w:cs="宋体"/>
          <w:b/>
          <w:bCs/>
          <w:color w:val="auto"/>
          <w:kern w:val="44"/>
          <w:sz w:val="36"/>
          <w:szCs w:val="36"/>
          <w:highlight w:val="none"/>
          <w:lang w:val="en-US" w:eastAsia="zh-CN"/>
        </w:rPr>
        <w:t>第五章  合同主要条款格式</w:t>
      </w:r>
      <w:bookmarkEnd w:id="107"/>
      <w:bookmarkStart w:id="108" w:name="_Toc424143038"/>
    </w:p>
    <w:p w14:paraId="6A815CA3">
      <w:pPr>
        <w:pStyle w:val="13"/>
        <w:spacing w:line="340" w:lineRule="exact"/>
        <w:rPr>
          <w:rFonts w:hint="eastAsia" w:hAnsi="宋体" w:cs="宋体"/>
          <w:b/>
          <w:color w:val="auto"/>
          <w:sz w:val="21"/>
          <w:highlight w:val="none"/>
        </w:rPr>
      </w:pPr>
      <w:r>
        <w:rPr>
          <w:rFonts w:hint="eastAsia" w:hAnsi="宋体" w:cs="宋体"/>
          <w:b/>
          <w:color w:val="auto"/>
          <w:sz w:val="21"/>
          <w:highlight w:val="none"/>
        </w:rPr>
        <w:t>说明：</w:t>
      </w:r>
    </w:p>
    <w:p w14:paraId="561E60F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1、以下合同书仅供签订正式合同时参考用，正式合同书应包括此参考格式之内容。</w:t>
      </w:r>
    </w:p>
    <w:p w14:paraId="7BFA5015">
      <w:pPr>
        <w:pStyle w:val="13"/>
        <w:spacing w:line="340" w:lineRule="exact"/>
        <w:rPr>
          <w:rFonts w:hint="eastAsia" w:hAnsi="宋体" w:cs="宋体"/>
          <w:b/>
          <w:color w:val="auto"/>
          <w:sz w:val="21"/>
          <w:highlight w:val="none"/>
        </w:rPr>
      </w:pPr>
      <w:r>
        <w:rPr>
          <w:rFonts w:hint="eastAsia" w:hAnsi="宋体" w:cs="宋体"/>
          <w:b/>
          <w:color w:val="auto"/>
          <w:sz w:val="21"/>
          <w:highlight w:val="none"/>
        </w:rPr>
        <w:t>2、合同签订双方可根据项目的具体要求进行修订，但合同条款不得与招标文件和中标供应商投标文件有实质性偏离。</w:t>
      </w:r>
    </w:p>
    <w:p w14:paraId="0A849518">
      <w:pPr>
        <w:rPr>
          <w:rFonts w:hint="eastAsia" w:ascii="宋体" w:hAnsi="宋体" w:cs="宋体"/>
          <w:b/>
          <w:color w:val="auto"/>
          <w:highlight w:val="none"/>
        </w:rPr>
      </w:pPr>
    </w:p>
    <w:p w14:paraId="4DA139FE">
      <w:pPr>
        <w:pStyle w:val="10"/>
        <w:jc w:val="center"/>
        <w:rPr>
          <w:rFonts w:hint="eastAsia" w:ascii="宋体" w:hAnsi="宋体" w:cs="宋体"/>
          <w:b/>
          <w:bCs/>
          <w:color w:val="auto"/>
          <w:sz w:val="32"/>
          <w:szCs w:val="32"/>
          <w:highlight w:val="none"/>
          <w:lang w:eastAsia="zh-CN"/>
        </w:rPr>
      </w:pPr>
    </w:p>
    <w:bookmarkEnd w:id="108"/>
    <w:p w14:paraId="5CF6071D">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政府采购合同</w:t>
      </w:r>
    </w:p>
    <w:p w14:paraId="0F417254">
      <w:pPr>
        <w:snapToGrid w:val="0"/>
        <w:spacing w:line="400" w:lineRule="exact"/>
        <w:ind w:right="480"/>
        <w:jc w:val="right"/>
        <w:rPr>
          <w:rFonts w:hint="eastAsia" w:ascii="宋体" w:hAnsi="宋体" w:cs="宋体"/>
          <w:bCs/>
          <w:color w:val="auto"/>
          <w:sz w:val="24"/>
          <w:highlight w:val="none"/>
          <w:u w:val="single"/>
        </w:rPr>
      </w:pPr>
      <w:r>
        <w:rPr>
          <w:rFonts w:hint="eastAsia" w:ascii="宋体" w:hAnsi="宋体" w:cs="宋体"/>
          <w:bCs/>
          <w:color w:val="auto"/>
          <w:sz w:val="24"/>
          <w:highlight w:val="none"/>
        </w:rPr>
        <w:t>合同编号：</w:t>
      </w:r>
    </w:p>
    <w:p w14:paraId="7815E5B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p>
    <w:p w14:paraId="7CA7867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p>
    <w:p w14:paraId="370C210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采购计划书文号：</w:t>
      </w:r>
      <w:r>
        <w:rPr>
          <w:rFonts w:hint="eastAsia" w:ascii="宋体" w:hAnsi="宋体" w:cs="宋体"/>
          <w:color w:val="auto"/>
          <w:sz w:val="24"/>
          <w:highlight w:val="none"/>
          <w:u w:val="single"/>
        </w:rPr>
        <w:t xml:space="preserve">           </w:t>
      </w:r>
    </w:p>
    <w:p w14:paraId="2FF56E16">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项目名称及编号：</w:t>
      </w:r>
      <w:r>
        <w:rPr>
          <w:rFonts w:hint="eastAsia" w:ascii="宋体" w:hAnsi="宋体" w:cs="宋体"/>
          <w:color w:val="auto"/>
          <w:sz w:val="24"/>
          <w:highlight w:val="none"/>
          <w:u w:val="single"/>
        </w:rPr>
        <w:t xml:space="preserve">           </w:t>
      </w:r>
    </w:p>
    <w:p w14:paraId="77BF8A2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签  订  地  点：</w:t>
      </w:r>
      <w:r>
        <w:rPr>
          <w:rFonts w:hint="eastAsia" w:ascii="宋体" w:hAnsi="宋体" w:cs="宋体"/>
          <w:color w:val="auto"/>
          <w:sz w:val="24"/>
          <w:highlight w:val="none"/>
          <w:u w:val="single"/>
        </w:rPr>
        <w:t xml:space="preserve">           </w:t>
      </w:r>
    </w:p>
    <w:p w14:paraId="4310D87E">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签  订  时  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年    月    日</w:t>
      </w:r>
    </w:p>
    <w:p w14:paraId="54B5D37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根据《中华人民共和国民法典（合同编）》、《中华人民共和国政府采购法》等法律、法规及文件的规定，按照招投标文件规定条款和成交供应商承诺，在平等协商的基础上，甲乙双方签订本合同。</w:t>
      </w:r>
    </w:p>
    <w:p w14:paraId="5A4AC301">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57F766E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1、供货一览表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2046"/>
        <w:gridCol w:w="1275"/>
        <w:gridCol w:w="1418"/>
        <w:gridCol w:w="1766"/>
      </w:tblGrid>
      <w:tr w14:paraId="18C5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23B6595">
            <w:pPr>
              <w:snapToGrid w:val="0"/>
              <w:spacing w:line="400" w:lineRule="exact"/>
              <w:jc w:val="center"/>
              <w:rPr>
                <w:rFonts w:hint="eastAsia"/>
                <w:color w:val="auto"/>
                <w:sz w:val="24"/>
                <w:highlight w:val="none"/>
              </w:rPr>
            </w:pPr>
            <w:r>
              <w:rPr>
                <w:rFonts w:hint="eastAsia"/>
                <w:color w:val="auto"/>
                <w:sz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F961C">
            <w:pPr>
              <w:snapToGrid w:val="0"/>
              <w:spacing w:line="400" w:lineRule="exact"/>
              <w:jc w:val="center"/>
              <w:rPr>
                <w:rFonts w:hint="eastAsia"/>
                <w:color w:val="auto"/>
                <w:sz w:val="24"/>
                <w:highlight w:val="none"/>
              </w:rPr>
            </w:pPr>
            <w:r>
              <w:rPr>
                <w:rFonts w:hint="eastAsia"/>
                <w:color w:val="auto"/>
                <w:sz w:val="24"/>
                <w:highlight w:val="none"/>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E859EFB">
            <w:pPr>
              <w:snapToGrid w:val="0"/>
              <w:spacing w:line="400" w:lineRule="exact"/>
              <w:jc w:val="center"/>
              <w:rPr>
                <w:rFonts w:hint="eastAsia"/>
                <w:color w:val="auto"/>
                <w:sz w:val="24"/>
                <w:highlight w:val="none"/>
              </w:rPr>
            </w:pPr>
            <w:r>
              <w:rPr>
                <w:rFonts w:hint="eastAsia"/>
                <w:color w:val="auto"/>
                <w:sz w:val="24"/>
                <w:highlight w:val="none"/>
              </w:rPr>
              <w:t>数量①</w:t>
            </w:r>
          </w:p>
        </w:tc>
        <w:tc>
          <w:tcPr>
            <w:tcW w:w="2046" w:type="dxa"/>
            <w:tcBorders>
              <w:top w:val="single" w:color="auto" w:sz="4" w:space="0"/>
              <w:left w:val="single" w:color="auto" w:sz="4" w:space="0"/>
              <w:bottom w:val="single" w:color="auto" w:sz="4" w:space="0"/>
              <w:right w:val="single" w:color="auto" w:sz="4" w:space="0"/>
            </w:tcBorders>
            <w:noWrap w:val="0"/>
            <w:vAlign w:val="center"/>
          </w:tcPr>
          <w:p w14:paraId="4A6A2D70">
            <w:pPr>
              <w:snapToGrid w:val="0"/>
              <w:spacing w:line="400" w:lineRule="exact"/>
              <w:jc w:val="center"/>
              <w:rPr>
                <w:rFonts w:hint="eastAsia"/>
                <w:color w:val="auto"/>
                <w:sz w:val="24"/>
                <w:highlight w:val="none"/>
              </w:rPr>
            </w:pPr>
            <w:r>
              <w:rPr>
                <w:rFonts w:hint="eastAsia"/>
                <w:color w:val="auto"/>
                <w:sz w:val="24"/>
                <w:highlight w:val="none"/>
              </w:rPr>
              <w:t>货物全称、品牌、生产厂家及国别</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2604CE">
            <w:pPr>
              <w:snapToGrid w:val="0"/>
              <w:spacing w:line="400" w:lineRule="exact"/>
              <w:jc w:val="center"/>
              <w:rPr>
                <w:rFonts w:hint="eastAsia"/>
                <w:color w:val="auto"/>
                <w:sz w:val="24"/>
                <w:highlight w:val="none"/>
              </w:rPr>
            </w:pPr>
            <w:r>
              <w:rPr>
                <w:rFonts w:hint="eastAsia"/>
                <w:color w:val="auto"/>
                <w:sz w:val="24"/>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90859A">
            <w:pPr>
              <w:snapToGrid w:val="0"/>
              <w:spacing w:line="400" w:lineRule="exact"/>
              <w:jc w:val="center"/>
              <w:rPr>
                <w:rFonts w:hint="eastAsia"/>
                <w:color w:val="auto"/>
                <w:sz w:val="24"/>
                <w:highlight w:val="none"/>
              </w:rPr>
            </w:pPr>
            <w:r>
              <w:rPr>
                <w:rFonts w:hint="eastAsia"/>
                <w:color w:val="auto"/>
                <w:sz w:val="24"/>
                <w:highlight w:val="none"/>
              </w:rPr>
              <w:t>单价(元)②</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37B3ABB">
            <w:pPr>
              <w:snapToGrid w:val="0"/>
              <w:spacing w:line="400" w:lineRule="exact"/>
              <w:jc w:val="center"/>
              <w:rPr>
                <w:rFonts w:hint="eastAsia"/>
                <w:color w:val="auto"/>
                <w:sz w:val="24"/>
                <w:highlight w:val="none"/>
              </w:rPr>
            </w:pPr>
            <w:r>
              <w:rPr>
                <w:rFonts w:hint="eastAsia"/>
                <w:color w:val="auto"/>
                <w:sz w:val="24"/>
                <w:highlight w:val="none"/>
              </w:rPr>
              <w:t>单项合价（元）</w:t>
            </w:r>
          </w:p>
          <w:p w14:paraId="59F81218">
            <w:pPr>
              <w:snapToGrid w:val="0"/>
              <w:spacing w:line="400" w:lineRule="exact"/>
              <w:jc w:val="center"/>
              <w:rPr>
                <w:rFonts w:hint="eastAsia"/>
                <w:color w:val="auto"/>
                <w:sz w:val="24"/>
                <w:highlight w:val="none"/>
              </w:rPr>
            </w:pPr>
            <w:r>
              <w:rPr>
                <w:rFonts w:hint="eastAsia"/>
                <w:color w:val="auto"/>
                <w:sz w:val="24"/>
                <w:highlight w:val="none"/>
              </w:rPr>
              <w:t>③＝①×②</w:t>
            </w:r>
          </w:p>
        </w:tc>
      </w:tr>
      <w:tr w14:paraId="092A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E4D0801">
            <w:pPr>
              <w:snapToGrid w:val="0"/>
              <w:spacing w:line="400" w:lineRule="exact"/>
              <w:jc w:val="center"/>
              <w:rPr>
                <w:rFonts w:hint="eastAsia"/>
                <w:color w:val="auto"/>
                <w:sz w:val="24"/>
                <w:highlight w:val="none"/>
              </w:rPr>
            </w:pPr>
            <w:r>
              <w:rPr>
                <w:rFonts w:hint="eastAsia"/>
                <w:color w:val="auto"/>
                <w:sz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546837">
            <w:pPr>
              <w:snapToGrid w:val="0"/>
              <w:spacing w:line="400" w:lineRule="exact"/>
              <w:jc w:val="center"/>
              <w:rPr>
                <w:rFonts w:hint="eastAsia"/>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3A583D">
            <w:pPr>
              <w:snapToGrid w:val="0"/>
              <w:spacing w:line="400" w:lineRule="exact"/>
              <w:jc w:val="center"/>
              <w:rPr>
                <w:rFonts w:hint="eastAsia"/>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14:paraId="555BB9AF">
            <w:pPr>
              <w:snapToGrid w:val="0"/>
              <w:spacing w:line="400" w:lineRule="exact"/>
              <w:jc w:val="center"/>
              <w:rPr>
                <w:rFonts w:hint="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F959F35">
            <w:pPr>
              <w:snapToGrid w:val="0"/>
              <w:spacing w:line="400" w:lineRule="exact"/>
              <w:jc w:val="center"/>
              <w:rPr>
                <w:rFonts w:hint="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49BC61">
            <w:pPr>
              <w:snapToGrid w:val="0"/>
              <w:spacing w:line="400" w:lineRule="exact"/>
              <w:jc w:val="center"/>
              <w:rPr>
                <w:rFonts w:hint="eastAsia"/>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1B36888">
            <w:pPr>
              <w:snapToGrid w:val="0"/>
              <w:spacing w:line="400" w:lineRule="exact"/>
              <w:jc w:val="center"/>
              <w:rPr>
                <w:rFonts w:hint="eastAsia"/>
                <w:color w:val="auto"/>
                <w:sz w:val="24"/>
                <w:highlight w:val="none"/>
              </w:rPr>
            </w:pPr>
          </w:p>
        </w:tc>
      </w:tr>
      <w:tr w14:paraId="6B2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763744D">
            <w:pPr>
              <w:snapToGrid w:val="0"/>
              <w:spacing w:line="400" w:lineRule="exact"/>
              <w:jc w:val="center"/>
              <w:rPr>
                <w:rFonts w:hint="eastAsia"/>
                <w:color w:val="auto"/>
                <w:sz w:val="24"/>
                <w:highlight w:val="none"/>
              </w:rPr>
            </w:pPr>
            <w:r>
              <w:rPr>
                <w:rFonts w:hint="eastAsia"/>
                <w:color w:val="auto"/>
                <w:sz w:val="24"/>
                <w:highlight w:val="none"/>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06A50D">
            <w:pPr>
              <w:snapToGrid w:val="0"/>
              <w:spacing w:line="400" w:lineRule="exact"/>
              <w:jc w:val="center"/>
              <w:rPr>
                <w:rFonts w:hint="eastAsia"/>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60A3F40">
            <w:pPr>
              <w:snapToGrid w:val="0"/>
              <w:spacing w:line="400" w:lineRule="exact"/>
              <w:jc w:val="center"/>
              <w:rPr>
                <w:rFonts w:hint="eastAsia"/>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14:paraId="01E625EA">
            <w:pPr>
              <w:snapToGrid w:val="0"/>
              <w:spacing w:line="400" w:lineRule="exact"/>
              <w:jc w:val="center"/>
              <w:rPr>
                <w:rFonts w:hint="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25101C6">
            <w:pPr>
              <w:snapToGrid w:val="0"/>
              <w:spacing w:line="400" w:lineRule="exact"/>
              <w:jc w:val="center"/>
              <w:rPr>
                <w:rFonts w:hint="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4E0D2F">
            <w:pPr>
              <w:snapToGrid w:val="0"/>
              <w:spacing w:line="400" w:lineRule="exact"/>
              <w:jc w:val="center"/>
              <w:rPr>
                <w:rFonts w:hint="eastAsia"/>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9686300">
            <w:pPr>
              <w:snapToGrid w:val="0"/>
              <w:spacing w:line="400" w:lineRule="exact"/>
              <w:jc w:val="center"/>
              <w:rPr>
                <w:rFonts w:hint="eastAsia"/>
                <w:color w:val="auto"/>
                <w:sz w:val="24"/>
                <w:highlight w:val="none"/>
              </w:rPr>
            </w:pPr>
          </w:p>
        </w:tc>
      </w:tr>
      <w:tr w14:paraId="2667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5760FBA">
            <w:pPr>
              <w:snapToGrid w:val="0"/>
              <w:spacing w:line="400" w:lineRule="exact"/>
              <w:jc w:val="center"/>
              <w:rPr>
                <w:rFonts w:hint="eastAsia"/>
                <w:color w:val="auto"/>
                <w:sz w:val="24"/>
                <w:highlight w:val="none"/>
              </w:rPr>
            </w:pPr>
            <w:r>
              <w:rPr>
                <w:rFonts w:hint="eastAsia"/>
                <w:color w:val="auto"/>
                <w:sz w:val="24"/>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933104">
            <w:pPr>
              <w:snapToGrid w:val="0"/>
              <w:spacing w:line="400" w:lineRule="exact"/>
              <w:jc w:val="center"/>
              <w:rPr>
                <w:rFonts w:hint="eastAsia"/>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72A4B39">
            <w:pPr>
              <w:snapToGrid w:val="0"/>
              <w:spacing w:line="400" w:lineRule="exact"/>
              <w:jc w:val="center"/>
              <w:rPr>
                <w:rFonts w:hint="eastAsia"/>
                <w:color w:val="auto"/>
                <w:sz w:val="24"/>
                <w:highlight w:val="none"/>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14:paraId="53A9342B">
            <w:pPr>
              <w:snapToGrid w:val="0"/>
              <w:spacing w:line="400" w:lineRule="exact"/>
              <w:jc w:val="center"/>
              <w:rPr>
                <w:rFonts w:hint="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536F765">
            <w:pPr>
              <w:snapToGrid w:val="0"/>
              <w:spacing w:line="400" w:lineRule="exact"/>
              <w:jc w:val="center"/>
              <w:rPr>
                <w:rFonts w:hint="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DA59D8">
            <w:pPr>
              <w:snapToGrid w:val="0"/>
              <w:spacing w:line="400" w:lineRule="exact"/>
              <w:jc w:val="center"/>
              <w:rPr>
                <w:rFonts w:hint="eastAsia"/>
                <w:color w:val="auto"/>
                <w:sz w:val="24"/>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0F1FCB0">
            <w:pPr>
              <w:snapToGrid w:val="0"/>
              <w:spacing w:line="400" w:lineRule="exact"/>
              <w:jc w:val="center"/>
              <w:rPr>
                <w:rFonts w:hint="eastAsia"/>
                <w:color w:val="auto"/>
                <w:sz w:val="24"/>
                <w:highlight w:val="none"/>
              </w:rPr>
            </w:pPr>
          </w:p>
        </w:tc>
      </w:tr>
      <w:tr w14:paraId="3C98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205" w:type="dxa"/>
            <w:gridSpan w:val="7"/>
            <w:tcBorders>
              <w:top w:val="single" w:color="auto" w:sz="4" w:space="0"/>
              <w:left w:val="single" w:color="auto" w:sz="4" w:space="0"/>
              <w:bottom w:val="single" w:color="auto" w:sz="4" w:space="0"/>
              <w:right w:val="single" w:color="auto" w:sz="4" w:space="0"/>
            </w:tcBorders>
            <w:noWrap w:val="0"/>
            <w:vAlign w:val="center"/>
          </w:tcPr>
          <w:p w14:paraId="26149D83">
            <w:pPr>
              <w:snapToGrid w:val="0"/>
              <w:spacing w:line="400" w:lineRule="exact"/>
              <w:rPr>
                <w:rFonts w:hint="eastAsia"/>
                <w:color w:val="auto"/>
                <w:sz w:val="24"/>
                <w:highlight w:val="none"/>
              </w:rPr>
            </w:pPr>
            <w:r>
              <w:rPr>
                <w:rFonts w:hint="eastAsia"/>
                <w:color w:val="auto"/>
                <w:sz w:val="24"/>
                <w:highlight w:val="none"/>
              </w:rPr>
              <w:t>报价合计：（大写）人民币                     （￥              元）</w:t>
            </w:r>
          </w:p>
        </w:tc>
      </w:tr>
    </w:tbl>
    <w:p w14:paraId="18BBEDA9">
      <w:pPr>
        <w:snapToGrid w:val="0"/>
        <w:spacing w:line="400" w:lineRule="exact"/>
        <w:ind w:right="420" w:firstLine="420" w:firstLineChars="175"/>
        <w:rPr>
          <w:rFonts w:hint="eastAsia" w:ascii="宋体" w:hAnsi="宋体" w:cs="宋体"/>
          <w:color w:val="auto"/>
          <w:sz w:val="24"/>
          <w:highlight w:val="none"/>
        </w:rPr>
      </w:pPr>
      <w:r>
        <w:rPr>
          <w:rFonts w:hint="eastAsia" w:ascii="宋体" w:hAnsi="宋体" w:cs="宋体"/>
          <w:color w:val="auto"/>
          <w:sz w:val="24"/>
          <w:highlight w:val="none"/>
        </w:rPr>
        <w:t>2、合同合计总金额包括货物价款，备件、专用工具、安装、调试、检验、技术培训及技术资料和包装、运输、验收、税费等全部一切相关费用。如招投标文件对其另有规定的，从其规定。</w:t>
      </w:r>
    </w:p>
    <w:p w14:paraId="7E5E81DA">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第二条　质量保证</w:t>
      </w:r>
    </w:p>
    <w:p w14:paraId="177890A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1、乙方所提供的货物型号、技术规格、技术参数等质量必须与招投标文件和承诺相一致。乙方提供的节能和环保产品必须是列入政府采购清单的产品。</w:t>
      </w:r>
    </w:p>
    <w:p w14:paraId="516EE666">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2、乙方所提供的货物必须是全新、未使用的原装产品，且在正常安装、使用和保养条件下，其使用寿命期内各项指标均达到质量要求。</w:t>
      </w:r>
    </w:p>
    <w:p w14:paraId="5FB34B64">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第三条　权力保证</w:t>
      </w:r>
    </w:p>
    <w:p w14:paraId="53856B5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1、乙方应保证所提供货物在使用时不会侵犯任何第三方的专利权、商标权、工业设计权或其他知识产权权利。</w:t>
      </w:r>
    </w:p>
    <w:p w14:paraId="03682FC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2、乙方应按招标文件规定的时间向甲方提供使用货物的有关技术资料。</w:t>
      </w:r>
    </w:p>
    <w:p w14:paraId="552F228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E46ED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4、乙方保证所交付的货物的所有权完全属于乙方，且无任何抵押、质押、查封、涉案等产权瑕疵。</w:t>
      </w:r>
    </w:p>
    <w:p w14:paraId="49600DB7">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14:paraId="2A011B0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1、乙方提供的货物均应按招投标文件要求的包装材料、包装标准、包装方式进行包装，每一包装单元内应附详细的装箱单和质量合格证。</w:t>
      </w:r>
    </w:p>
    <w:p w14:paraId="76E1D03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乙方自定 。</w:t>
      </w:r>
    </w:p>
    <w:p w14:paraId="152F972D">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无 。</w:t>
      </w:r>
    </w:p>
    <w:p w14:paraId="1E00D47F">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14:paraId="5B00F910">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1、交货时间：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采购人指定地点</w:t>
      </w:r>
      <w:r>
        <w:rPr>
          <w:rFonts w:hint="eastAsia" w:ascii="宋体" w:hAnsi="宋体" w:cs="宋体"/>
          <w:color w:val="auto"/>
          <w:sz w:val="24"/>
          <w:highlight w:val="none"/>
        </w:rPr>
        <w:t>。</w:t>
      </w:r>
    </w:p>
    <w:p w14:paraId="42BD53A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2、乙方提供不符合招投标文件和本合同规定的货物，甲方有权拒绝接受。</w:t>
      </w:r>
    </w:p>
    <w:p w14:paraId="0D355B97">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3、乙方应将所提供货物的装箱清单、用户手册、原厂保修卡、随机资料、工具和备品、备件等交付给甲方，如有缺失应及时补齐，否则视为逾期交货。</w:t>
      </w:r>
    </w:p>
    <w:p w14:paraId="51AF5B0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4、甲方应当在到货（安装、调试完）后七个工作日内进行验收，逾期不验收的，乙方可视同验收合格。验收合格后由甲乙双方签署货物验收单并加盖采购单位公章，甲乙双方各执一份。</w:t>
      </w:r>
    </w:p>
    <w:p w14:paraId="1A940AC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1EFC5E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6、甲方对验收有异议的，在验收后五个工作日内以书面形式向乙方提出，乙方应自收到甲方书面异议后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日内及时予以解决。</w:t>
      </w:r>
    </w:p>
    <w:p w14:paraId="17AD4AEF">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14:paraId="411C392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4BB734A5">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2、乙方负责甲方有关人员的培训。培训时间、地点：</w:t>
      </w:r>
      <w:r>
        <w:rPr>
          <w:rFonts w:hint="eastAsia" w:ascii="宋体" w:hAnsi="宋体" w:cs="宋体"/>
          <w:color w:val="auto"/>
          <w:sz w:val="24"/>
          <w:highlight w:val="none"/>
          <w:u w:val="single"/>
        </w:rPr>
        <w:t xml:space="preserve">   甲方指定   。</w:t>
      </w:r>
    </w:p>
    <w:p w14:paraId="220AB2DE">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第七条  售后服务、保修期</w:t>
      </w:r>
    </w:p>
    <w:p w14:paraId="69F2D51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1、乙方应按照国家有关法律法规和“三包”规定以及招投标文件和本合同所附的《服务承诺》，为甲方提供售后服务。</w:t>
      </w:r>
    </w:p>
    <w:p w14:paraId="49C53009">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2、货物保修期；</w:t>
      </w:r>
      <w:r>
        <w:rPr>
          <w:rFonts w:hint="eastAsia" w:ascii="宋体" w:hAnsi="宋体" w:cs="宋体"/>
          <w:color w:val="auto"/>
          <w:sz w:val="24"/>
          <w:highlight w:val="none"/>
          <w:u w:val="single"/>
        </w:rPr>
        <w:t xml:space="preserve">           。</w:t>
      </w:r>
    </w:p>
    <w:p w14:paraId="128CC9F3">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3、乙方提供的服务承诺和售后服务及保修期责任等其它具体约定事项。（见合同附件）</w:t>
      </w:r>
    </w:p>
    <w:p w14:paraId="73A0527A">
      <w:pPr>
        <w:snapToGrid w:val="0"/>
        <w:spacing w:line="400" w:lineRule="exact"/>
        <w:ind w:firstLine="422" w:firstLineChars="175"/>
        <w:rPr>
          <w:rFonts w:hint="eastAsia"/>
          <w:color w:val="auto"/>
          <w:highlight w:val="none"/>
        </w:rPr>
      </w:pPr>
      <w:r>
        <w:rPr>
          <w:rFonts w:hint="eastAsia" w:ascii="宋体" w:hAnsi="宋体" w:cs="宋体"/>
          <w:b/>
          <w:color w:val="auto"/>
          <w:sz w:val="24"/>
          <w:highlight w:val="none"/>
        </w:rPr>
        <w:t>第八条　付款方式</w:t>
      </w:r>
    </w:p>
    <w:p w14:paraId="2E727FD5">
      <w:pPr>
        <w:snapToGrid w:val="0"/>
        <w:spacing w:line="400" w:lineRule="exact"/>
        <w:ind w:firstLine="482" w:firstLineChars="200"/>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lang w:val="en-US" w:eastAsia="zh-CN"/>
        </w:rPr>
        <w:t xml:space="preserve">                       </w:t>
      </w:r>
    </w:p>
    <w:p w14:paraId="431F298A">
      <w:pPr>
        <w:snapToGrid w:val="0"/>
        <w:spacing w:line="400" w:lineRule="exact"/>
        <w:ind w:left="420" w:leftChars="200"/>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14:paraId="5A0B58A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无。</w:t>
      </w:r>
    </w:p>
    <w:p w14:paraId="0EC06221">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第十条  税费本合同执行中相关的一切税费均由乙方负担。</w:t>
      </w:r>
    </w:p>
    <w:p w14:paraId="6CE02B27">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第十一条  质量保证</w:t>
      </w:r>
    </w:p>
    <w:p w14:paraId="1929119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 乙方应按采购文件规定的货物性能、技术要求、质量标准向甲方提供未经使用的全新产品。未达到要求者，根据实际情况，经双方协商，可按以下办法处理：</w:t>
      </w:r>
    </w:p>
    <w:p w14:paraId="7D5E501A">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⑴更换：由乙方承担所发生的全部费用。</w:t>
      </w:r>
    </w:p>
    <w:p w14:paraId="08258297">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⑵贬值处理：由甲乙双方合议定价。</w:t>
      </w:r>
    </w:p>
    <w:p w14:paraId="0DF80486">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⑶退货处理：乙方应退还甲方支付的合同款，同时应承担该货物的直接费用（运输、保险、检验、货款利息及银行手续费等）。</w:t>
      </w:r>
    </w:p>
    <w:p w14:paraId="20950A49">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第十二条  调试和验收</w:t>
      </w:r>
    </w:p>
    <w:p w14:paraId="5922BA36">
      <w:pPr>
        <w:snapToGrid w:val="0"/>
        <w:spacing w:line="400" w:lineRule="exact"/>
        <w:ind w:firstLine="420" w:firstLineChars="17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cs="宋体"/>
          <w:bCs/>
          <w:color w:val="auto"/>
          <w:kern w:val="0"/>
          <w:sz w:val="24"/>
          <w:highlight w:val="none"/>
        </w:rPr>
        <w:t>甲方应当在到货（安装、调试完）后七个工作日内进行验收</w:t>
      </w:r>
      <w:r>
        <w:rPr>
          <w:rFonts w:hint="eastAsia" w:ascii="宋体" w:hAnsi="宋体" w:cs="宋体"/>
          <w:color w:val="auto"/>
          <w:kern w:val="0"/>
          <w:sz w:val="24"/>
          <w:highlight w:val="none"/>
        </w:rPr>
        <w:t>。</w:t>
      </w:r>
    </w:p>
    <w:p w14:paraId="6E7C7019">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2、乙方交货前应对产品作出全面检查和对验收文件进行整理，并列出清单，作为甲方收货验收和使用的技术条件依据，检验的结果应随货物交甲方。</w:t>
      </w:r>
    </w:p>
    <w:p w14:paraId="1B71F1B7">
      <w:pPr>
        <w:snapToGrid w:val="0"/>
        <w:spacing w:line="400" w:lineRule="exact"/>
        <w:ind w:firstLine="420" w:firstLineChars="175"/>
        <w:rPr>
          <w:rFonts w:hint="eastAsia" w:ascii="宋体" w:hAnsi="宋体" w:cs="宋体"/>
          <w:color w:val="auto"/>
          <w:kern w:val="0"/>
          <w:sz w:val="24"/>
          <w:highlight w:val="none"/>
          <w:u w:val="single"/>
        </w:rPr>
      </w:pPr>
      <w:r>
        <w:rPr>
          <w:rFonts w:hint="eastAsia" w:ascii="宋体" w:hAnsi="宋体" w:cs="宋体"/>
          <w:color w:val="auto"/>
          <w:kern w:val="0"/>
          <w:sz w:val="24"/>
          <w:highlight w:val="none"/>
        </w:rPr>
        <w:t>3、甲方对乙方提供的货物在使用前进行调试时，乙方需负责安装并培训甲方的使用操作人员，并协助甲方一起调试，直到符合技术要求，甲方才做最终验收。</w:t>
      </w:r>
    </w:p>
    <w:p w14:paraId="039625CD">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4、技术复杂的货物，甲方应请国家认可的专业检测机构参与初步验收及最终验收，并由其出具质量检测报告。</w:t>
      </w:r>
    </w:p>
    <w:p w14:paraId="1CD90D62">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5、验收时乙方必须在现场，验收完毕后作出验收结果报告；验收费用由乙方负责。</w:t>
      </w:r>
    </w:p>
    <w:p w14:paraId="5BFCF79A">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第十三条  货物包装、发运及运输</w:t>
      </w:r>
    </w:p>
    <w:p w14:paraId="52FE51E5">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1、乙方应在货物发运前对其进行满足运输距离、防潮、防震、防锈和防破损装卸等要求包装，以保证货物安全运达甲方指定地点。</w:t>
      </w:r>
    </w:p>
    <w:p w14:paraId="2E6376C1">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2、使用说明书、质量检验证明书、随配附件和工具以及清单一并附于货物内。</w:t>
      </w:r>
    </w:p>
    <w:p w14:paraId="2939AFFA">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3、乙方在货物发运手续办理完毕后二十四小时内或货到甲方四十八小时前通知甲方，以准备接货。</w:t>
      </w:r>
    </w:p>
    <w:p w14:paraId="0FDBB6E5">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4、货物在交付甲方前发生的风险均由乙方负责。</w:t>
      </w:r>
    </w:p>
    <w:p w14:paraId="35CA213D">
      <w:pPr>
        <w:snapToGrid w:val="0"/>
        <w:spacing w:line="400" w:lineRule="exact"/>
        <w:ind w:right="26" w:firstLine="420" w:firstLineChars="175"/>
        <w:rPr>
          <w:rFonts w:hint="eastAsia" w:ascii="宋体" w:hAnsi="宋体" w:cs="宋体"/>
          <w:color w:val="auto"/>
          <w:spacing w:val="-8"/>
          <w:kern w:val="0"/>
          <w:sz w:val="24"/>
          <w:highlight w:val="none"/>
        </w:rPr>
      </w:pPr>
      <w:r>
        <w:rPr>
          <w:rFonts w:hint="eastAsia" w:ascii="宋体" w:hAnsi="宋体" w:cs="宋体"/>
          <w:color w:val="auto"/>
          <w:kern w:val="0"/>
          <w:sz w:val="24"/>
          <w:highlight w:val="none"/>
        </w:rPr>
        <w:t>5、货</w:t>
      </w:r>
      <w:r>
        <w:rPr>
          <w:rFonts w:hint="eastAsia" w:ascii="宋体" w:hAnsi="宋体" w:cs="宋体"/>
          <w:color w:val="auto"/>
          <w:spacing w:val="-8"/>
          <w:kern w:val="0"/>
          <w:sz w:val="24"/>
          <w:highlight w:val="none"/>
        </w:rPr>
        <w:t>物在规定的交付期限内由乙方送达甲方指定的地点视为交付，乙方同时需通知甲方</w:t>
      </w:r>
    </w:p>
    <w:p w14:paraId="77D095DA">
      <w:pPr>
        <w:snapToGrid w:val="0"/>
        <w:spacing w:line="400" w:lineRule="exact"/>
        <w:ind w:right="26" w:firstLine="392" w:firstLineChars="175"/>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货物已送达。</w:t>
      </w:r>
    </w:p>
    <w:p w14:paraId="307172DC">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14:paraId="6C911F92">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6749D6A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2、乙方提供的货物如侵犯了第三方合法权益而引发的任何纠纷或诉讼，均由乙方负责交涉并承担全部责任。</w:t>
      </w:r>
    </w:p>
    <w:p w14:paraId="4A8861BB">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3、因包装、运输引起的货物损坏，按质量不合格处罚。</w:t>
      </w:r>
    </w:p>
    <w:p w14:paraId="1B7ACEA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4、甲方无故延期接收货物、乙方逾期交货的，每天向对方偿付违约货款额3‰违约金，但违约金累计不得超过违约货款额5%，超过15天对方有权解除合同，违约方承担因此给对方造成经济损失，并向甲方支付合同货款7.5%的违约金；甲方延期付货款的，每天向乙方偿付延期货款额3‱滞纳金，但滞纳金累计不得超过延期货款额5%。</w:t>
      </w:r>
    </w:p>
    <w:p w14:paraId="0196A6D8">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5、乙方未按本合同和投标文件中规定的服务承诺提供售后服务的，乙方应按本合同合计总金额5%向甲方支付违约金。</w:t>
      </w:r>
    </w:p>
    <w:p w14:paraId="0E3A6A7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6、乙方提供的货物在质量保证期内，因设计、工艺或材料的缺陷和其它质量原因造成的问题，由乙方负责，费用相应从货款中扣除。</w:t>
      </w:r>
    </w:p>
    <w:p w14:paraId="19B32A5D">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7、其它违约行为按违约货款额5%收取违约金并赔偿经济损失。</w:t>
      </w:r>
    </w:p>
    <w:p w14:paraId="1B10DF8E">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第十五条  不可抗力事件处理</w:t>
      </w:r>
    </w:p>
    <w:p w14:paraId="44956162">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14:paraId="5CD5901A">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14:paraId="054B6593">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3、不可抗力事件延续一百二十天以上，双方应通过友好协商，确定是否继续履行合同。</w:t>
      </w:r>
    </w:p>
    <w:p w14:paraId="4D1A053D">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14:paraId="58A07D49">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3E4C9CA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2、因履行本合同引起的或与本合同有关的争议，甲乙双方应首先通过友好协商解决，如果协商不能解决，可向甲方所在地人民法院提起诉讼。</w:t>
      </w:r>
    </w:p>
    <w:p w14:paraId="04DFE32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3、诉讼期间，本合同是否继续履行须甲乙双方协商一致。</w:t>
      </w:r>
    </w:p>
    <w:p w14:paraId="0B02B834">
      <w:pPr>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第十七条  诉讼</w:t>
      </w:r>
    </w:p>
    <w:p w14:paraId="19FB141D">
      <w:pPr>
        <w:tabs>
          <w:tab w:val="left" w:pos="900"/>
        </w:tabs>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双方在执行合同中所发生的一切争议，应通过协商解决。如果协商不能解决，可</w:t>
      </w:r>
      <w:r>
        <w:rPr>
          <w:rFonts w:hint="eastAsia" w:ascii="宋体" w:hAnsi="宋体" w:cs="宋体"/>
          <w:color w:val="auto"/>
          <w:sz w:val="24"/>
          <w:highlight w:val="none"/>
        </w:rPr>
        <w:t>向甲方所在地</w:t>
      </w:r>
      <w:r>
        <w:rPr>
          <w:rFonts w:hint="eastAsia" w:ascii="宋体" w:hAnsi="宋体" w:cs="宋体"/>
          <w:color w:val="auto"/>
          <w:kern w:val="0"/>
          <w:sz w:val="24"/>
          <w:highlight w:val="none"/>
        </w:rPr>
        <w:t>人民法院提起诉讼。</w:t>
      </w:r>
    </w:p>
    <w:p w14:paraId="76F0FA5A">
      <w:pPr>
        <w:tabs>
          <w:tab w:val="left" w:pos="420"/>
        </w:tabs>
        <w:snapToGrid w:val="0"/>
        <w:spacing w:line="400" w:lineRule="exact"/>
        <w:ind w:firstLine="422" w:firstLineChars="175"/>
        <w:rPr>
          <w:rFonts w:hint="eastAsia" w:ascii="宋体" w:hAnsi="宋体" w:cs="宋体"/>
          <w:b/>
          <w:color w:val="auto"/>
          <w:kern w:val="0"/>
          <w:sz w:val="24"/>
          <w:highlight w:val="none"/>
        </w:rPr>
      </w:pPr>
      <w:r>
        <w:rPr>
          <w:rFonts w:hint="eastAsia" w:ascii="宋体" w:hAnsi="宋体" w:cs="宋体"/>
          <w:b/>
          <w:color w:val="auto"/>
          <w:kern w:val="0"/>
          <w:sz w:val="24"/>
          <w:highlight w:val="none"/>
        </w:rPr>
        <w:t>第十八条  合同生效及其它</w:t>
      </w:r>
    </w:p>
    <w:p w14:paraId="11132548">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1、合同经双方法定代表人或授权代表签字并加盖单位公章后生效。</w:t>
      </w:r>
    </w:p>
    <w:p w14:paraId="32E4F09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2、合同执行中涉及采购资金和采购内容修改或补充的，须经财政部门审批，并签书面补充协议报财政部门备案，方可作为主合同不可分割的一部分。</w:t>
      </w:r>
    </w:p>
    <w:p w14:paraId="3C715931">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3、本合同未尽事宜，遵照《中华人民共和国民法典（合同编）》等相关法律法规有关条款执行。</w:t>
      </w:r>
    </w:p>
    <w:p w14:paraId="75438770">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第十九条　合同的变更、终止与转让</w:t>
      </w:r>
    </w:p>
    <w:p w14:paraId="00A877E1">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1、除《中华人民共和国政府采购法》第50条规定的情形外，本合同一经签订，甲乙双方不得擅自变更、中止或终止。</w:t>
      </w:r>
    </w:p>
    <w:p w14:paraId="6FDC26C5">
      <w:pPr>
        <w:snapToGrid w:val="0"/>
        <w:spacing w:line="400" w:lineRule="exact"/>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rPr>
        <w:t>2、乙方不得擅自转让（无进口资格的供应商委托进口货物除外）其应履行的合同义务。</w:t>
      </w:r>
    </w:p>
    <w:p w14:paraId="19E575EA">
      <w:pPr>
        <w:snapToGrid w:val="0"/>
        <w:spacing w:line="400" w:lineRule="exact"/>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第二十条　签订本合同依据</w:t>
      </w:r>
    </w:p>
    <w:p w14:paraId="31141375">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1、招标文件；2、乙方提供的投标文件；3、承诺书；4、中标通知书。</w:t>
      </w:r>
    </w:p>
    <w:p w14:paraId="720B1DA8">
      <w:pPr>
        <w:snapToGrid w:val="0"/>
        <w:spacing w:line="400" w:lineRule="exact"/>
        <w:ind w:firstLine="422" w:firstLineChars="175"/>
        <w:rPr>
          <w:rFonts w:hint="eastAsia" w:ascii="宋体" w:hAnsi="宋体" w:cs="宋体"/>
          <w:color w:val="auto"/>
          <w:sz w:val="24"/>
          <w:highlight w:val="none"/>
        </w:rPr>
      </w:pPr>
      <w:r>
        <w:rPr>
          <w:rFonts w:hint="eastAsia" w:ascii="宋体" w:hAnsi="宋体" w:cs="宋体"/>
          <w:b/>
          <w:color w:val="auto"/>
          <w:sz w:val="24"/>
          <w:highlight w:val="none"/>
        </w:rPr>
        <w:t>第二十一条　</w:t>
      </w:r>
      <w:r>
        <w:rPr>
          <w:rFonts w:hint="eastAsia" w:ascii="宋体" w:hAnsi="宋体" w:cs="宋体"/>
          <w:color w:val="auto"/>
          <w:sz w:val="24"/>
          <w:highlight w:val="none"/>
        </w:rPr>
        <w:t>本合同一式</w:t>
      </w:r>
      <w:r>
        <w:rPr>
          <w:rFonts w:hint="eastAsia" w:ascii="宋体" w:hAnsi="宋体" w:cs="宋体"/>
          <w:color w:val="auto"/>
          <w:sz w:val="24"/>
          <w:highlight w:val="none"/>
          <w:lang w:eastAsia="zh-CN"/>
        </w:rPr>
        <w:t>伍</w:t>
      </w:r>
      <w:r>
        <w:rPr>
          <w:rFonts w:hint="eastAsia" w:ascii="宋体" w:hAnsi="宋体" w:cs="宋体"/>
          <w:color w:val="auto"/>
          <w:sz w:val="24"/>
          <w:highlight w:val="none"/>
        </w:rPr>
        <w:t>份，具有同等法律效力，甲乙双方各贰份（可根据需要另增加）</w:t>
      </w:r>
      <w:r>
        <w:rPr>
          <w:rFonts w:hint="eastAsia" w:ascii="宋体" w:hAnsi="宋体" w:cs="宋体"/>
          <w:color w:val="auto"/>
          <w:sz w:val="24"/>
          <w:highlight w:val="none"/>
          <w:lang w:eastAsia="zh-CN"/>
        </w:rPr>
        <w:t>，</w:t>
      </w:r>
      <w:r>
        <w:rPr>
          <w:rFonts w:hint="eastAsia" w:ascii="宋体" w:hAnsi="宋体" w:cs="宋体"/>
          <w:color w:val="auto"/>
          <w:sz w:val="24"/>
          <w:highlight w:val="none"/>
        </w:rPr>
        <w:t>采购代理机构壹份。</w:t>
      </w:r>
    </w:p>
    <w:p w14:paraId="3BF6D934">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本合同甲乙双方签字盖章后生效，本合同自签订之日起2个工作日内，甲方应当将采购合同在广西壮族自治区财政厅指定的媒体上公告。</w:t>
      </w:r>
    </w:p>
    <w:p w14:paraId="6F53D24F">
      <w:pPr>
        <w:pStyle w:val="10"/>
        <w:rPr>
          <w:rFonts w:hint="eastAsia"/>
          <w:color w:val="auto"/>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0"/>
      </w:tblGrid>
      <w:tr w14:paraId="3CF8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4719" w:type="dxa"/>
            <w:noWrap w:val="0"/>
            <w:vAlign w:val="center"/>
          </w:tcPr>
          <w:p w14:paraId="0ECF601E">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甲方（章）          </w:t>
            </w:r>
          </w:p>
          <w:p w14:paraId="08BA0A35">
            <w:pPr>
              <w:snapToGrid w:val="0"/>
              <w:spacing w:line="400" w:lineRule="exact"/>
              <w:ind w:firstLine="1080" w:firstLineChars="450"/>
              <w:jc w:val="right"/>
              <w:rPr>
                <w:rFonts w:hint="eastAsia" w:ascii="宋体" w:hAnsi="宋体" w:cs="宋体"/>
                <w:color w:val="auto"/>
                <w:sz w:val="24"/>
                <w:highlight w:val="none"/>
              </w:rPr>
            </w:pPr>
            <w:r>
              <w:rPr>
                <w:rFonts w:hint="eastAsia" w:ascii="宋体" w:hAnsi="宋体" w:cs="宋体"/>
                <w:color w:val="auto"/>
                <w:sz w:val="24"/>
                <w:highlight w:val="none"/>
              </w:rPr>
              <w:t>年   月   日</w:t>
            </w:r>
          </w:p>
        </w:tc>
        <w:tc>
          <w:tcPr>
            <w:tcW w:w="4720" w:type="dxa"/>
            <w:noWrap w:val="0"/>
            <w:vAlign w:val="center"/>
          </w:tcPr>
          <w:p w14:paraId="11E26783">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乙方（章）              </w:t>
            </w:r>
          </w:p>
          <w:p w14:paraId="11CBB2F2">
            <w:pPr>
              <w:snapToGrid w:val="0"/>
              <w:spacing w:line="40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14:paraId="2728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719" w:type="dxa"/>
            <w:noWrap w:val="0"/>
            <w:vAlign w:val="center"/>
          </w:tcPr>
          <w:p w14:paraId="5B0B7D9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单位地址：</w:t>
            </w:r>
          </w:p>
        </w:tc>
        <w:tc>
          <w:tcPr>
            <w:tcW w:w="4720" w:type="dxa"/>
            <w:noWrap w:val="0"/>
            <w:vAlign w:val="center"/>
          </w:tcPr>
          <w:p w14:paraId="2F584F52">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单位地址：</w:t>
            </w:r>
          </w:p>
        </w:tc>
      </w:tr>
      <w:tr w14:paraId="6B37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4719" w:type="dxa"/>
            <w:noWrap w:val="0"/>
            <w:vAlign w:val="center"/>
          </w:tcPr>
          <w:p w14:paraId="62F7DAF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4720" w:type="dxa"/>
            <w:noWrap w:val="0"/>
            <w:vAlign w:val="center"/>
          </w:tcPr>
          <w:p w14:paraId="6561FB35">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w:t>
            </w:r>
          </w:p>
        </w:tc>
      </w:tr>
      <w:tr w14:paraId="34E2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4719" w:type="dxa"/>
            <w:noWrap w:val="0"/>
            <w:vAlign w:val="center"/>
          </w:tcPr>
          <w:p w14:paraId="6BC041FD">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委托代理人：</w:t>
            </w:r>
          </w:p>
        </w:tc>
        <w:tc>
          <w:tcPr>
            <w:tcW w:w="4720" w:type="dxa"/>
            <w:noWrap w:val="0"/>
            <w:vAlign w:val="center"/>
          </w:tcPr>
          <w:p w14:paraId="098E9BF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委托代理人</w:t>
            </w:r>
          </w:p>
        </w:tc>
      </w:tr>
      <w:tr w14:paraId="4E8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4719" w:type="dxa"/>
            <w:noWrap w:val="0"/>
            <w:vAlign w:val="center"/>
          </w:tcPr>
          <w:p w14:paraId="20E101DD">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电话：</w:t>
            </w:r>
          </w:p>
        </w:tc>
        <w:tc>
          <w:tcPr>
            <w:tcW w:w="4720" w:type="dxa"/>
            <w:noWrap w:val="0"/>
            <w:vAlign w:val="center"/>
          </w:tcPr>
          <w:p w14:paraId="3007956A">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电话：</w:t>
            </w:r>
          </w:p>
        </w:tc>
      </w:tr>
      <w:tr w14:paraId="1F96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4719" w:type="dxa"/>
            <w:noWrap w:val="0"/>
            <w:vAlign w:val="center"/>
          </w:tcPr>
          <w:p w14:paraId="7D51063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tc>
        <w:tc>
          <w:tcPr>
            <w:tcW w:w="4720" w:type="dxa"/>
            <w:noWrap w:val="0"/>
            <w:vAlign w:val="center"/>
          </w:tcPr>
          <w:p w14:paraId="7C0437E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开户银行：</w:t>
            </w:r>
          </w:p>
        </w:tc>
      </w:tr>
      <w:tr w14:paraId="1DEE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719" w:type="dxa"/>
            <w:noWrap w:val="0"/>
            <w:vAlign w:val="center"/>
          </w:tcPr>
          <w:p w14:paraId="68C87E4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账号：</w:t>
            </w:r>
          </w:p>
        </w:tc>
        <w:tc>
          <w:tcPr>
            <w:tcW w:w="4720" w:type="dxa"/>
            <w:noWrap w:val="0"/>
            <w:vAlign w:val="center"/>
          </w:tcPr>
          <w:p w14:paraId="2D984231">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账号：</w:t>
            </w:r>
          </w:p>
        </w:tc>
      </w:tr>
      <w:tr w14:paraId="7CA1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719" w:type="dxa"/>
            <w:noWrap w:val="0"/>
            <w:vAlign w:val="center"/>
          </w:tcPr>
          <w:p w14:paraId="7CF8C5DC">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4720" w:type="dxa"/>
            <w:noWrap w:val="0"/>
            <w:vAlign w:val="center"/>
          </w:tcPr>
          <w:p w14:paraId="2923FE2B">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邮政编码：</w:t>
            </w:r>
          </w:p>
        </w:tc>
      </w:tr>
      <w:tr w14:paraId="39B2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439" w:type="dxa"/>
            <w:gridSpan w:val="2"/>
            <w:noWrap w:val="0"/>
            <w:vAlign w:val="top"/>
          </w:tcPr>
          <w:p w14:paraId="089B2807">
            <w:pPr>
              <w:wordWrap w:val="0"/>
              <w:snapToGrid w:val="0"/>
              <w:spacing w:line="400" w:lineRule="exact"/>
              <w:ind w:right="240"/>
              <w:rPr>
                <w:rFonts w:hint="eastAsia" w:ascii="宋体" w:hAnsi="宋体" w:cs="宋体"/>
                <w:color w:val="auto"/>
                <w:sz w:val="24"/>
                <w:highlight w:val="none"/>
              </w:rPr>
            </w:pPr>
            <w:r>
              <w:rPr>
                <w:rFonts w:hint="eastAsia" w:ascii="宋体" w:hAnsi="宋体" w:cs="宋体"/>
                <w:color w:val="auto"/>
                <w:sz w:val="24"/>
                <w:highlight w:val="none"/>
              </w:rPr>
              <w:t>经办人：                                                 年    月    日</w:t>
            </w:r>
          </w:p>
        </w:tc>
      </w:tr>
    </w:tbl>
    <w:p w14:paraId="39DA776B">
      <w:pPr>
        <w:snapToGrid w:val="0"/>
        <w:rPr>
          <w:rFonts w:hint="eastAsia" w:ascii="宋体" w:hAnsi="宋体" w:cs="宋体"/>
          <w:color w:val="auto"/>
          <w:sz w:val="24"/>
          <w:highlight w:val="none"/>
        </w:rPr>
      </w:pPr>
    </w:p>
    <w:p w14:paraId="7644A25C">
      <w:pPr>
        <w:snapToGrid w:val="0"/>
        <w:rPr>
          <w:rFonts w:hint="eastAsia" w:ascii="宋体" w:hAnsi="宋体" w:cs="宋体"/>
          <w:color w:val="auto"/>
          <w:sz w:val="24"/>
          <w:highlight w:val="none"/>
        </w:rPr>
      </w:pPr>
    </w:p>
    <w:p w14:paraId="78A4E5BD">
      <w:pPr>
        <w:snapToGrid w:val="0"/>
        <w:rPr>
          <w:rFonts w:hint="eastAsia" w:ascii="宋体" w:hAnsi="宋体" w:cs="宋体"/>
          <w:color w:val="auto"/>
          <w:sz w:val="24"/>
          <w:highlight w:val="none"/>
        </w:rPr>
      </w:pPr>
    </w:p>
    <w:p w14:paraId="49E891DA">
      <w:pPr>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本合同为基础合同，待中标人中标后可根据实际情况作细节上的更改。</w:t>
      </w:r>
    </w:p>
    <w:p w14:paraId="63C097C5">
      <w:pPr>
        <w:snapToGrid w:val="0"/>
        <w:spacing w:line="360" w:lineRule="auto"/>
        <w:jc w:val="center"/>
        <w:rPr>
          <w:rFonts w:hint="eastAsia" w:ascii="宋体" w:hAnsi="宋体" w:cs="宋体"/>
          <w:b/>
          <w:color w:val="auto"/>
          <w:sz w:val="28"/>
          <w:szCs w:val="28"/>
          <w:highlight w:val="none"/>
        </w:rPr>
      </w:pPr>
    </w:p>
    <w:p w14:paraId="4FB08487">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合 同 附 件</w:t>
      </w:r>
    </w:p>
    <w:tbl>
      <w:tblPr>
        <w:tblStyle w:val="20"/>
        <w:tblW w:w="0" w:type="auto"/>
        <w:jc w:val="center"/>
        <w:tblLayout w:type="fixed"/>
        <w:tblCellMar>
          <w:top w:w="0" w:type="dxa"/>
          <w:left w:w="108" w:type="dxa"/>
          <w:bottom w:w="0" w:type="dxa"/>
          <w:right w:w="108" w:type="dxa"/>
        </w:tblCellMar>
      </w:tblPr>
      <w:tblGrid>
        <w:gridCol w:w="4637"/>
        <w:gridCol w:w="4443"/>
      </w:tblGrid>
      <w:tr w14:paraId="21A06508">
        <w:tblPrEx>
          <w:tblCellMar>
            <w:top w:w="0" w:type="dxa"/>
            <w:left w:w="108" w:type="dxa"/>
            <w:bottom w:w="0" w:type="dxa"/>
            <w:right w:w="108" w:type="dxa"/>
          </w:tblCellMar>
        </w:tblPrEx>
        <w:trPr>
          <w:trHeight w:val="1485" w:hRule="exact"/>
          <w:jc w:val="center"/>
        </w:trPr>
        <w:tc>
          <w:tcPr>
            <w:tcW w:w="9080" w:type="dxa"/>
            <w:gridSpan w:val="2"/>
            <w:tcBorders>
              <w:top w:val="single" w:color="auto" w:sz="4" w:space="0"/>
              <w:left w:val="single" w:color="auto" w:sz="4" w:space="0"/>
              <w:right w:val="single" w:color="auto" w:sz="4" w:space="0"/>
            </w:tcBorders>
            <w:noWrap w:val="0"/>
            <w:vAlign w:val="center"/>
          </w:tcPr>
          <w:p w14:paraId="3E825AC1">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1、投标人承诺具体事项：详见合同附件。</w:t>
            </w:r>
          </w:p>
        </w:tc>
      </w:tr>
      <w:tr w14:paraId="75E6D9CC">
        <w:tblPrEx>
          <w:tblCellMar>
            <w:top w:w="0" w:type="dxa"/>
            <w:left w:w="108" w:type="dxa"/>
            <w:bottom w:w="0" w:type="dxa"/>
            <w:right w:w="108" w:type="dxa"/>
          </w:tblCellMar>
        </w:tblPrEx>
        <w:trPr>
          <w:trHeight w:val="1472" w:hRule="exact"/>
          <w:jc w:val="center"/>
        </w:trPr>
        <w:tc>
          <w:tcPr>
            <w:tcW w:w="9080" w:type="dxa"/>
            <w:gridSpan w:val="2"/>
            <w:tcBorders>
              <w:top w:val="single" w:color="auto" w:sz="4" w:space="0"/>
              <w:left w:val="single" w:color="auto" w:sz="4" w:space="0"/>
              <w:bottom w:val="single" w:color="auto" w:sz="4" w:space="0"/>
              <w:right w:val="single" w:color="auto" w:sz="4" w:space="0"/>
            </w:tcBorders>
            <w:noWrap w:val="0"/>
            <w:vAlign w:val="center"/>
          </w:tcPr>
          <w:p w14:paraId="4823E2E7">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2、售后服务具体事项：详见合同附件。</w:t>
            </w:r>
          </w:p>
        </w:tc>
      </w:tr>
      <w:tr w14:paraId="2005FD8E">
        <w:tblPrEx>
          <w:tblCellMar>
            <w:top w:w="0" w:type="dxa"/>
            <w:left w:w="108" w:type="dxa"/>
            <w:bottom w:w="0" w:type="dxa"/>
            <w:right w:w="108" w:type="dxa"/>
          </w:tblCellMar>
        </w:tblPrEx>
        <w:trPr>
          <w:trHeight w:val="1610" w:hRule="atLeast"/>
          <w:jc w:val="center"/>
        </w:trPr>
        <w:tc>
          <w:tcPr>
            <w:tcW w:w="9080" w:type="dxa"/>
            <w:gridSpan w:val="2"/>
            <w:tcBorders>
              <w:top w:val="single" w:color="auto" w:sz="4" w:space="0"/>
              <w:left w:val="single" w:color="auto" w:sz="4" w:space="0"/>
              <w:bottom w:val="single" w:color="auto" w:sz="4" w:space="0"/>
              <w:right w:val="single" w:color="auto" w:sz="4" w:space="0"/>
            </w:tcBorders>
            <w:noWrap w:val="0"/>
            <w:vAlign w:val="center"/>
          </w:tcPr>
          <w:p w14:paraId="7705AB2F">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3、保修期责任：详见合同附件。</w:t>
            </w:r>
          </w:p>
        </w:tc>
      </w:tr>
      <w:tr w14:paraId="35260240">
        <w:tblPrEx>
          <w:tblCellMar>
            <w:top w:w="0" w:type="dxa"/>
            <w:left w:w="108" w:type="dxa"/>
            <w:bottom w:w="0" w:type="dxa"/>
            <w:right w:w="108" w:type="dxa"/>
          </w:tblCellMar>
        </w:tblPrEx>
        <w:trPr>
          <w:trHeight w:val="1658" w:hRule="exact"/>
          <w:jc w:val="center"/>
        </w:trPr>
        <w:tc>
          <w:tcPr>
            <w:tcW w:w="9080" w:type="dxa"/>
            <w:gridSpan w:val="2"/>
            <w:tcBorders>
              <w:top w:val="single" w:color="auto" w:sz="4" w:space="0"/>
              <w:left w:val="single" w:color="auto" w:sz="4" w:space="0"/>
              <w:right w:val="single" w:color="auto" w:sz="4" w:space="0"/>
            </w:tcBorders>
            <w:noWrap w:val="0"/>
            <w:vAlign w:val="center"/>
          </w:tcPr>
          <w:p w14:paraId="20649462">
            <w:pPr>
              <w:snapToGrid w:val="0"/>
              <w:spacing w:line="400" w:lineRule="exact"/>
              <w:rPr>
                <w:rFonts w:hint="eastAsia" w:ascii="宋体" w:hAnsi="宋体" w:cs="宋体"/>
                <w:bCs/>
                <w:color w:val="auto"/>
                <w:sz w:val="24"/>
                <w:highlight w:val="none"/>
              </w:rPr>
            </w:pPr>
            <w:r>
              <w:rPr>
                <w:rFonts w:hint="eastAsia" w:ascii="宋体" w:hAnsi="宋体" w:cs="宋体"/>
                <w:bCs/>
                <w:color w:val="auto"/>
                <w:sz w:val="24"/>
                <w:highlight w:val="none"/>
              </w:rPr>
              <w:t>4、其他具体事项：详见合同附件。</w:t>
            </w:r>
          </w:p>
        </w:tc>
      </w:tr>
      <w:tr w14:paraId="176A07EC">
        <w:tblPrEx>
          <w:tblCellMar>
            <w:top w:w="0" w:type="dxa"/>
            <w:left w:w="108" w:type="dxa"/>
            <w:bottom w:w="0" w:type="dxa"/>
            <w:right w:w="108" w:type="dxa"/>
          </w:tblCellMar>
        </w:tblPrEx>
        <w:trPr>
          <w:trHeight w:val="1965" w:hRule="atLeast"/>
          <w:jc w:val="center"/>
        </w:trPr>
        <w:tc>
          <w:tcPr>
            <w:tcW w:w="4637" w:type="dxa"/>
            <w:tcBorders>
              <w:top w:val="single" w:color="auto" w:sz="4" w:space="0"/>
              <w:left w:val="single" w:color="auto" w:sz="4" w:space="0"/>
              <w:bottom w:val="single" w:color="auto" w:sz="4" w:space="0"/>
              <w:right w:val="single" w:color="auto" w:sz="4" w:space="0"/>
            </w:tcBorders>
            <w:noWrap w:val="0"/>
            <w:vAlign w:val="center"/>
          </w:tcPr>
          <w:p w14:paraId="5CC8262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甲方（章）</w:t>
            </w:r>
          </w:p>
          <w:p w14:paraId="16C4A48D">
            <w:pPr>
              <w:snapToGrid w:val="0"/>
              <w:spacing w:line="400" w:lineRule="exact"/>
              <w:rPr>
                <w:rFonts w:hint="eastAsia" w:ascii="宋体" w:hAnsi="宋体" w:cs="宋体"/>
                <w:bCs/>
                <w:color w:val="auto"/>
                <w:sz w:val="24"/>
                <w:highlight w:val="none"/>
              </w:rPr>
            </w:pPr>
          </w:p>
          <w:p w14:paraId="7C5D6E8F">
            <w:pPr>
              <w:snapToGrid w:val="0"/>
              <w:spacing w:line="400" w:lineRule="exact"/>
              <w:rPr>
                <w:rFonts w:hint="eastAsia" w:ascii="宋体" w:hAnsi="宋体" w:cs="宋体"/>
                <w:bCs/>
                <w:color w:val="auto"/>
                <w:sz w:val="24"/>
                <w:highlight w:val="none"/>
              </w:rPr>
            </w:pPr>
          </w:p>
          <w:p w14:paraId="78D13795">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年   月   日 </w:t>
            </w:r>
          </w:p>
        </w:tc>
        <w:tc>
          <w:tcPr>
            <w:tcW w:w="4443" w:type="dxa"/>
            <w:tcBorders>
              <w:top w:val="single" w:color="auto" w:sz="4" w:space="0"/>
              <w:left w:val="single" w:color="auto" w:sz="4" w:space="0"/>
              <w:bottom w:val="single" w:color="auto" w:sz="4" w:space="0"/>
              <w:right w:val="single" w:color="auto" w:sz="4" w:space="0"/>
            </w:tcBorders>
            <w:noWrap w:val="0"/>
            <w:vAlign w:val="center"/>
          </w:tcPr>
          <w:p w14:paraId="704A657A">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乙方（章）</w:t>
            </w:r>
          </w:p>
          <w:p w14:paraId="76641DB4">
            <w:pPr>
              <w:snapToGrid w:val="0"/>
              <w:spacing w:line="400" w:lineRule="exact"/>
              <w:ind w:firstLine="480" w:firstLineChars="200"/>
              <w:rPr>
                <w:rFonts w:hint="eastAsia" w:ascii="宋体" w:hAnsi="宋体" w:cs="宋体"/>
                <w:bCs/>
                <w:color w:val="auto"/>
                <w:sz w:val="24"/>
                <w:highlight w:val="none"/>
              </w:rPr>
            </w:pPr>
          </w:p>
          <w:p w14:paraId="42789ABC">
            <w:pPr>
              <w:snapToGrid w:val="0"/>
              <w:spacing w:line="400" w:lineRule="exact"/>
              <w:rPr>
                <w:rFonts w:hint="eastAsia" w:ascii="宋体" w:hAnsi="宋体" w:cs="宋体"/>
                <w:bCs/>
                <w:color w:val="auto"/>
                <w:sz w:val="24"/>
                <w:highlight w:val="none"/>
              </w:rPr>
            </w:pPr>
          </w:p>
          <w:p w14:paraId="1EFFA53D">
            <w:pPr>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                年   月   日</w:t>
            </w:r>
          </w:p>
        </w:tc>
      </w:tr>
    </w:tbl>
    <w:p w14:paraId="7AA89732">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  注：售后服务事项填不下时可另加附页</w:t>
      </w:r>
    </w:p>
    <w:p w14:paraId="70C01B12">
      <w:pPr>
        <w:snapToGrid w:val="0"/>
        <w:spacing w:before="120" w:after="120"/>
        <w:ind w:left="480" w:hanging="480"/>
        <w:outlineLvl w:val="0"/>
        <w:rPr>
          <w:rFonts w:hint="eastAsia" w:ascii="宋体" w:hAnsi="宋体" w:cs="宋体"/>
          <w:color w:val="auto"/>
          <w:kern w:val="0"/>
          <w:sz w:val="24"/>
          <w:highlight w:val="none"/>
        </w:rPr>
      </w:pPr>
    </w:p>
    <w:p w14:paraId="1F837913">
      <w:pPr>
        <w:tabs>
          <w:tab w:val="left" w:pos="1440"/>
        </w:tabs>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24"/>
          <w:highlight w:val="none"/>
        </w:rPr>
        <w:t>附：</w:t>
      </w:r>
    </w:p>
    <w:p w14:paraId="3ED9DC8D">
      <w:pPr>
        <w:widowControl/>
        <w:snapToGrid w:val="0"/>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政府采购项目</w:t>
      </w:r>
      <w:r>
        <w:rPr>
          <w:rFonts w:hint="eastAsia" w:ascii="宋体" w:hAnsi="宋体" w:cs="宋体"/>
          <w:b/>
          <w:color w:val="auto"/>
          <w:kern w:val="0"/>
          <w:sz w:val="32"/>
          <w:szCs w:val="32"/>
          <w:highlight w:val="none"/>
        </w:rPr>
        <w:t>合同验收报告（格式）</w:t>
      </w:r>
    </w:p>
    <w:p w14:paraId="6DCEC82D">
      <w:pPr>
        <w:widowControl/>
        <w:adjustRightInd w:val="0"/>
        <w:snapToGrid w:val="0"/>
        <w:spacing w:before="100" w:beforeAutospacing="1" w:after="100" w:afterAutospacing="1" w:line="440" w:lineRule="exact"/>
        <w:ind w:firstLine="65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根据政府采购合同（采购合同编号：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（项目名称）       </w:t>
      </w:r>
      <w:r>
        <w:rPr>
          <w:rFonts w:hint="eastAsia" w:ascii="宋体" w:hAnsi="宋体" w:cs="宋体"/>
          <w:color w:val="auto"/>
          <w:kern w:val="0"/>
          <w:sz w:val="24"/>
          <w:highlight w:val="none"/>
        </w:rPr>
        <w:t>政府采购项目中标（或成交）供应商</w:t>
      </w:r>
      <w:r>
        <w:rPr>
          <w:rFonts w:hint="eastAsia" w:ascii="宋体" w:hAnsi="宋体" w:cs="宋体"/>
          <w:color w:val="auto"/>
          <w:kern w:val="0"/>
          <w:sz w:val="24"/>
          <w:highlight w:val="none"/>
          <w:u w:val="single"/>
        </w:rPr>
        <w:t xml:space="preserve">（公司名称）       </w:t>
      </w:r>
      <w:r>
        <w:rPr>
          <w:rFonts w:hint="eastAsia" w:ascii="宋体" w:hAnsi="宋体" w:cs="宋体"/>
          <w:color w:val="auto"/>
          <w:kern w:val="0"/>
          <w:sz w:val="24"/>
          <w:highlight w:val="none"/>
        </w:rPr>
        <w:t>提供的货物（或服务）进行了验收，验收情况如下：</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18"/>
        <w:gridCol w:w="2364"/>
        <w:gridCol w:w="1579"/>
        <w:gridCol w:w="1862"/>
        <w:gridCol w:w="660"/>
        <w:gridCol w:w="338"/>
        <w:gridCol w:w="1779"/>
      </w:tblGrid>
      <w:tr w14:paraId="5CB873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noWrap w:val="0"/>
            <w:vAlign w:val="center"/>
          </w:tcPr>
          <w:p w14:paraId="16E963A4">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验收方式：</w:t>
            </w:r>
          </w:p>
        </w:tc>
        <w:tc>
          <w:tcPr>
            <w:tcW w:w="6218" w:type="dxa"/>
            <w:gridSpan w:val="5"/>
            <w:noWrap w:val="0"/>
            <w:vAlign w:val="center"/>
          </w:tcPr>
          <w:p w14:paraId="04941CFF">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□自行验收         □联合验收</w:t>
            </w:r>
          </w:p>
        </w:tc>
      </w:tr>
      <w:tr w14:paraId="3DE79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118" w:type="dxa"/>
            <w:noWrap w:val="0"/>
            <w:vAlign w:val="center"/>
          </w:tcPr>
          <w:p w14:paraId="28289E7C">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序号</w:t>
            </w:r>
          </w:p>
        </w:tc>
        <w:tc>
          <w:tcPr>
            <w:tcW w:w="2364" w:type="dxa"/>
            <w:noWrap w:val="0"/>
            <w:vAlign w:val="center"/>
          </w:tcPr>
          <w:p w14:paraId="20C386A9">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名  称</w:t>
            </w:r>
          </w:p>
        </w:tc>
        <w:tc>
          <w:tcPr>
            <w:tcW w:w="3441" w:type="dxa"/>
            <w:gridSpan w:val="2"/>
            <w:noWrap w:val="0"/>
            <w:vAlign w:val="center"/>
          </w:tcPr>
          <w:p w14:paraId="020F181C">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货物型号规格、标准及配置</w:t>
            </w:r>
          </w:p>
          <w:p w14:paraId="09076B70">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（或服务内容、标准）</w:t>
            </w:r>
          </w:p>
        </w:tc>
        <w:tc>
          <w:tcPr>
            <w:tcW w:w="998" w:type="dxa"/>
            <w:gridSpan w:val="2"/>
            <w:noWrap w:val="0"/>
            <w:vAlign w:val="center"/>
          </w:tcPr>
          <w:p w14:paraId="63FDFE83">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数量</w:t>
            </w:r>
          </w:p>
        </w:tc>
        <w:tc>
          <w:tcPr>
            <w:tcW w:w="1779" w:type="dxa"/>
            <w:noWrap w:val="0"/>
            <w:vAlign w:val="center"/>
          </w:tcPr>
          <w:p w14:paraId="2FB13E4E">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与合同约定</w:t>
            </w:r>
          </w:p>
          <w:p w14:paraId="1949EE29">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是否一致</w:t>
            </w:r>
          </w:p>
        </w:tc>
      </w:tr>
      <w:tr w14:paraId="784AC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7BE182DD">
            <w:pPr>
              <w:jc w:val="center"/>
              <w:rPr>
                <w:rFonts w:hint="eastAsia" w:ascii="宋体" w:hAnsi="宋体" w:cs="宋体"/>
                <w:color w:val="auto"/>
                <w:sz w:val="24"/>
                <w:szCs w:val="32"/>
                <w:highlight w:val="none"/>
              </w:rPr>
            </w:pPr>
          </w:p>
        </w:tc>
        <w:tc>
          <w:tcPr>
            <w:tcW w:w="2364" w:type="dxa"/>
            <w:noWrap w:val="0"/>
            <w:vAlign w:val="center"/>
          </w:tcPr>
          <w:p w14:paraId="1288C9F7">
            <w:pPr>
              <w:jc w:val="center"/>
              <w:rPr>
                <w:rFonts w:hint="eastAsia" w:ascii="宋体" w:hAnsi="宋体" w:cs="宋体"/>
                <w:color w:val="auto"/>
                <w:sz w:val="24"/>
                <w:szCs w:val="32"/>
                <w:highlight w:val="none"/>
              </w:rPr>
            </w:pPr>
          </w:p>
        </w:tc>
        <w:tc>
          <w:tcPr>
            <w:tcW w:w="3441" w:type="dxa"/>
            <w:gridSpan w:val="2"/>
            <w:noWrap w:val="0"/>
            <w:vAlign w:val="center"/>
          </w:tcPr>
          <w:p w14:paraId="1995DC4F">
            <w:pPr>
              <w:jc w:val="center"/>
              <w:rPr>
                <w:rFonts w:hint="eastAsia" w:ascii="宋体" w:hAnsi="宋体" w:cs="宋体"/>
                <w:color w:val="auto"/>
                <w:sz w:val="24"/>
                <w:szCs w:val="32"/>
                <w:highlight w:val="none"/>
              </w:rPr>
            </w:pPr>
          </w:p>
        </w:tc>
        <w:tc>
          <w:tcPr>
            <w:tcW w:w="998" w:type="dxa"/>
            <w:gridSpan w:val="2"/>
            <w:noWrap w:val="0"/>
            <w:vAlign w:val="center"/>
          </w:tcPr>
          <w:p w14:paraId="4F3F9D60">
            <w:pPr>
              <w:jc w:val="center"/>
              <w:rPr>
                <w:rFonts w:hint="eastAsia" w:ascii="宋体" w:hAnsi="宋体" w:cs="宋体"/>
                <w:color w:val="auto"/>
                <w:sz w:val="24"/>
                <w:szCs w:val="32"/>
                <w:highlight w:val="none"/>
              </w:rPr>
            </w:pPr>
          </w:p>
        </w:tc>
        <w:tc>
          <w:tcPr>
            <w:tcW w:w="1779" w:type="dxa"/>
            <w:noWrap w:val="0"/>
            <w:vAlign w:val="center"/>
          </w:tcPr>
          <w:p w14:paraId="345628ED">
            <w:pPr>
              <w:jc w:val="center"/>
              <w:rPr>
                <w:rFonts w:hint="eastAsia" w:ascii="宋体" w:hAnsi="宋体" w:cs="宋体"/>
                <w:color w:val="auto"/>
                <w:sz w:val="24"/>
                <w:szCs w:val="32"/>
                <w:highlight w:val="none"/>
              </w:rPr>
            </w:pPr>
          </w:p>
        </w:tc>
      </w:tr>
      <w:tr w14:paraId="648F1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168AA4C8">
            <w:pPr>
              <w:jc w:val="center"/>
              <w:rPr>
                <w:rFonts w:hint="eastAsia" w:ascii="宋体" w:hAnsi="宋体" w:cs="宋体"/>
                <w:color w:val="auto"/>
                <w:sz w:val="24"/>
                <w:szCs w:val="32"/>
                <w:highlight w:val="none"/>
              </w:rPr>
            </w:pPr>
          </w:p>
        </w:tc>
        <w:tc>
          <w:tcPr>
            <w:tcW w:w="2364" w:type="dxa"/>
            <w:noWrap w:val="0"/>
            <w:vAlign w:val="center"/>
          </w:tcPr>
          <w:p w14:paraId="2E31B059">
            <w:pPr>
              <w:jc w:val="center"/>
              <w:rPr>
                <w:rFonts w:hint="eastAsia" w:ascii="宋体" w:hAnsi="宋体" w:cs="宋体"/>
                <w:color w:val="auto"/>
                <w:sz w:val="24"/>
                <w:szCs w:val="32"/>
                <w:highlight w:val="none"/>
              </w:rPr>
            </w:pPr>
          </w:p>
        </w:tc>
        <w:tc>
          <w:tcPr>
            <w:tcW w:w="3441" w:type="dxa"/>
            <w:gridSpan w:val="2"/>
            <w:noWrap w:val="0"/>
            <w:vAlign w:val="center"/>
          </w:tcPr>
          <w:p w14:paraId="19FD67CB">
            <w:pPr>
              <w:jc w:val="center"/>
              <w:rPr>
                <w:rFonts w:hint="eastAsia" w:ascii="宋体" w:hAnsi="宋体" w:cs="宋体"/>
                <w:color w:val="auto"/>
                <w:sz w:val="24"/>
                <w:szCs w:val="32"/>
                <w:highlight w:val="none"/>
              </w:rPr>
            </w:pPr>
          </w:p>
        </w:tc>
        <w:tc>
          <w:tcPr>
            <w:tcW w:w="998" w:type="dxa"/>
            <w:gridSpan w:val="2"/>
            <w:noWrap w:val="0"/>
            <w:vAlign w:val="center"/>
          </w:tcPr>
          <w:p w14:paraId="09FE4EF1">
            <w:pPr>
              <w:jc w:val="center"/>
              <w:rPr>
                <w:rFonts w:hint="eastAsia" w:ascii="宋体" w:hAnsi="宋体" w:cs="宋体"/>
                <w:color w:val="auto"/>
                <w:sz w:val="24"/>
                <w:szCs w:val="32"/>
                <w:highlight w:val="none"/>
              </w:rPr>
            </w:pPr>
          </w:p>
        </w:tc>
        <w:tc>
          <w:tcPr>
            <w:tcW w:w="1779" w:type="dxa"/>
            <w:noWrap w:val="0"/>
            <w:vAlign w:val="center"/>
          </w:tcPr>
          <w:p w14:paraId="5A7E5F33">
            <w:pPr>
              <w:jc w:val="center"/>
              <w:rPr>
                <w:rFonts w:hint="eastAsia" w:ascii="宋体" w:hAnsi="宋体" w:cs="宋体"/>
                <w:color w:val="auto"/>
                <w:sz w:val="24"/>
                <w:szCs w:val="32"/>
                <w:highlight w:val="none"/>
              </w:rPr>
            </w:pPr>
          </w:p>
        </w:tc>
      </w:tr>
      <w:tr w14:paraId="256864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6B54667C">
            <w:pPr>
              <w:jc w:val="center"/>
              <w:rPr>
                <w:rFonts w:hint="eastAsia" w:ascii="宋体" w:hAnsi="宋体" w:cs="宋体"/>
                <w:color w:val="auto"/>
                <w:sz w:val="24"/>
                <w:szCs w:val="32"/>
                <w:highlight w:val="none"/>
              </w:rPr>
            </w:pPr>
          </w:p>
        </w:tc>
        <w:tc>
          <w:tcPr>
            <w:tcW w:w="2364" w:type="dxa"/>
            <w:noWrap w:val="0"/>
            <w:vAlign w:val="center"/>
          </w:tcPr>
          <w:p w14:paraId="4A21DB3B">
            <w:pPr>
              <w:jc w:val="center"/>
              <w:rPr>
                <w:rFonts w:hint="eastAsia" w:ascii="宋体" w:hAnsi="宋体" w:cs="宋体"/>
                <w:color w:val="auto"/>
                <w:sz w:val="24"/>
                <w:szCs w:val="32"/>
                <w:highlight w:val="none"/>
              </w:rPr>
            </w:pPr>
          </w:p>
        </w:tc>
        <w:tc>
          <w:tcPr>
            <w:tcW w:w="3441" w:type="dxa"/>
            <w:gridSpan w:val="2"/>
            <w:noWrap w:val="0"/>
            <w:vAlign w:val="center"/>
          </w:tcPr>
          <w:p w14:paraId="5D35B117">
            <w:pPr>
              <w:jc w:val="center"/>
              <w:rPr>
                <w:rFonts w:hint="eastAsia" w:ascii="宋体" w:hAnsi="宋体" w:cs="宋体"/>
                <w:color w:val="auto"/>
                <w:sz w:val="24"/>
                <w:szCs w:val="32"/>
                <w:highlight w:val="none"/>
              </w:rPr>
            </w:pPr>
          </w:p>
        </w:tc>
        <w:tc>
          <w:tcPr>
            <w:tcW w:w="998" w:type="dxa"/>
            <w:gridSpan w:val="2"/>
            <w:noWrap w:val="0"/>
            <w:vAlign w:val="center"/>
          </w:tcPr>
          <w:p w14:paraId="2B7D3D12">
            <w:pPr>
              <w:jc w:val="center"/>
              <w:rPr>
                <w:rFonts w:hint="eastAsia" w:ascii="宋体" w:hAnsi="宋体" w:cs="宋体"/>
                <w:color w:val="auto"/>
                <w:sz w:val="24"/>
                <w:szCs w:val="32"/>
                <w:highlight w:val="none"/>
              </w:rPr>
            </w:pPr>
          </w:p>
        </w:tc>
        <w:tc>
          <w:tcPr>
            <w:tcW w:w="1779" w:type="dxa"/>
            <w:noWrap w:val="0"/>
            <w:vAlign w:val="center"/>
          </w:tcPr>
          <w:p w14:paraId="395C7054">
            <w:pPr>
              <w:jc w:val="center"/>
              <w:rPr>
                <w:rFonts w:hint="eastAsia" w:ascii="宋体" w:hAnsi="宋体" w:cs="宋体"/>
                <w:color w:val="auto"/>
                <w:sz w:val="24"/>
                <w:szCs w:val="32"/>
                <w:highlight w:val="none"/>
              </w:rPr>
            </w:pPr>
          </w:p>
        </w:tc>
      </w:tr>
      <w:tr w14:paraId="5F5DAA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49EB7F4">
            <w:pPr>
              <w:jc w:val="center"/>
              <w:rPr>
                <w:rFonts w:hint="eastAsia" w:ascii="宋体" w:hAnsi="宋体" w:cs="宋体"/>
                <w:color w:val="auto"/>
                <w:sz w:val="24"/>
                <w:szCs w:val="32"/>
                <w:highlight w:val="none"/>
              </w:rPr>
            </w:pPr>
          </w:p>
        </w:tc>
        <w:tc>
          <w:tcPr>
            <w:tcW w:w="2364" w:type="dxa"/>
            <w:noWrap w:val="0"/>
            <w:vAlign w:val="center"/>
          </w:tcPr>
          <w:p w14:paraId="41482954">
            <w:pPr>
              <w:jc w:val="center"/>
              <w:rPr>
                <w:rFonts w:hint="eastAsia" w:ascii="宋体" w:hAnsi="宋体" w:cs="宋体"/>
                <w:color w:val="auto"/>
                <w:sz w:val="24"/>
                <w:szCs w:val="32"/>
                <w:highlight w:val="none"/>
              </w:rPr>
            </w:pPr>
          </w:p>
        </w:tc>
        <w:tc>
          <w:tcPr>
            <w:tcW w:w="3441" w:type="dxa"/>
            <w:gridSpan w:val="2"/>
            <w:noWrap w:val="0"/>
            <w:vAlign w:val="center"/>
          </w:tcPr>
          <w:p w14:paraId="4039E18E">
            <w:pPr>
              <w:jc w:val="center"/>
              <w:rPr>
                <w:rFonts w:hint="eastAsia" w:ascii="宋体" w:hAnsi="宋体" w:cs="宋体"/>
                <w:color w:val="auto"/>
                <w:sz w:val="24"/>
                <w:szCs w:val="32"/>
                <w:highlight w:val="none"/>
              </w:rPr>
            </w:pPr>
          </w:p>
        </w:tc>
        <w:tc>
          <w:tcPr>
            <w:tcW w:w="998" w:type="dxa"/>
            <w:gridSpan w:val="2"/>
            <w:noWrap w:val="0"/>
            <w:vAlign w:val="center"/>
          </w:tcPr>
          <w:p w14:paraId="0962DF28">
            <w:pPr>
              <w:jc w:val="center"/>
              <w:rPr>
                <w:rFonts w:hint="eastAsia" w:ascii="宋体" w:hAnsi="宋体" w:cs="宋体"/>
                <w:color w:val="auto"/>
                <w:sz w:val="24"/>
                <w:szCs w:val="32"/>
                <w:highlight w:val="none"/>
              </w:rPr>
            </w:pPr>
          </w:p>
        </w:tc>
        <w:tc>
          <w:tcPr>
            <w:tcW w:w="1779" w:type="dxa"/>
            <w:noWrap w:val="0"/>
            <w:vAlign w:val="center"/>
          </w:tcPr>
          <w:p w14:paraId="33E65D13">
            <w:pPr>
              <w:jc w:val="center"/>
              <w:rPr>
                <w:rFonts w:hint="eastAsia" w:ascii="宋体" w:hAnsi="宋体" w:cs="宋体"/>
                <w:color w:val="auto"/>
                <w:sz w:val="24"/>
                <w:szCs w:val="32"/>
                <w:highlight w:val="none"/>
              </w:rPr>
            </w:pPr>
          </w:p>
        </w:tc>
      </w:tr>
      <w:tr w14:paraId="43CC5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586E3393">
            <w:pPr>
              <w:jc w:val="center"/>
              <w:rPr>
                <w:rFonts w:hint="eastAsia" w:ascii="宋体" w:hAnsi="宋体" w:cs="宋体"/>
                <w:color w:val="auto"/>
                <w:sz w:val="24"/>
                <w:szCs w:val="32"/>
                <w:highlight w:val="none"/>
              </w:rPr>
            </w:pPr>
          </w:p>
        </w:tc>
        <w:tc>
          <w:tcPr>
            <w:tcW w:w="2364" w:type="dxa"/>
            <w:noWrap w:val="0"/>
            <w:vAlign w:val="center"/>
          </w:tcPr>
          <w:p w14:paraId="5BC5F79D">
            <w:pPr>
              <w:jc w:val="center"/>
              <w:rPr>
                <w:rFonts w:hint="eastAsia" w:ascii="宋体" w:hAnsi="宋体" w:cs="宋体"/>
                <w:color w:val="auto"/>
                <w:sz w:val="24"/>
                <w:szCs w:val="32"/>
                <w:highlight w:val="none"/>
              </w:rPr>
            </w:pPr>
          </w:p>
        </w:tc>
        <w:tc>
          <w:tcPr>
            <w:tcW w:w="3441" w:type="dxa"/>
            <w:gridSpan w:val="2"/>
            <w:noWrap w:val="0"/>
            <w:vAlign w:val="center"/>
          </w:tcPr>
          <w:p w14:paraId="0FD11931">
            <w:pPr>
              <w:jc w:val="center"/>
              <w:rPr>
                <w:rFonts w:hint="eastAsia" w:ascii="宋体" w:hAnsi="宋体" w:cs="宋体"/>
                <w:color w:val="auto"/>
                <w:sz w:val="24"/>
                <w:szCs w:val="32"/>
                <w:highlight w:val="none"/>
              </w:rPr>
            </w:pPr>
          </w:p>
        </w:tc>
        <w:tc>
          <w:tcPr>
            <w:tcW w:w="998" w:type="dxa"/>
            <w:gridSpan w:val="2"/>
            <w:noWrap w:val="0"/>
            <w:vAlign w:val="center"/>
          </w:tcPr>
          <w:p w14:paraId="760920C2">
            <w:pPr>
              <w:jc w:val="center"/>
              <w:rPr>
                <w:rFonts w:hint="eastAsia" w:ascii="宋体" w:hAnsi="宋体" w:cs="宋体"/>
                <w:color w:val="auto"/>
                <w:sz w:val="24"/>
                <w:szCs w:val="32"/>
                <w:highlight w:val="none"/>
              </w:rPr>
            </w:pPr>
          </w:p>
        </w:tc>
        <w:tc>
          <w:tcPr>
            <w:tcW w:w="1779" w:type="dxa"/>
            <w:noWrap w:val="0"/>
            <w:vAlign w:val="center"/>
          </w:tcPr>
          <w:p w14:paraId="4AE6412E">
            <w:pPr>
              <w:jc w:val="center"/>
              <w:rPr>
                <w:rFonts w:hint="eastAsia" w:ascii="宋体" w:hAnsi="宋体" w:cs="宋体"/>
                <w:color w:val="auto"/>
                <w:sz w:val="24"/>
                <w:szCs w:val="32"/>
                <w:highlight w:val="none"/>
              </w:rPr>
            </w:pPr>
          </w:p>
        </w:tc>
      </w:tr>
      <w:tr w14:paraId="67E1B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06174482">
            <w:pPr>
              <w:jc w:val="center"/>
              <w:rPr>
                <w:rFonts w:hint="eastAsia" w:ascii="宋体" w:hAnsi="宋体" w:cs="宋体"/>
                <w:color w:val="auto"/>
                <w:sz w:val="24"/>
                <w:szCs w:val="32"/>
                <w:highlight w:val="none"/>
              </w:rPr>
            </w:pPr>
          </w:p>
        </w:tc>
        <w:tc>
          <w:tcPr>
            <w:tcW w:w="2364" w:type="dxa"/>
            <w:noWrap w:val="0"/>
            <w:vAlign w:val="center"/>
          </w:tcPr>
          <w:p w14:paraId="4D1ABBB9">
            <w:pPr>
              <w:jc w:val="center"/>
              <w:rPr>
                <w:rFonts w:hint="eastAsia" w:ascii="宋体" w:hAnsi="宋体" w:cs="宋体"/>
                <w:color w:val="auto"/>
                <w:sz w:val="24"/>
                <w:szCs w:val="32"/>
                <w:highlight w:val="none"/>
              </w:rPr>
            </w:pPr>
          </w:p>
        </w:tc>
        <w:tc>
          <w:tcPr>
            <w:tcW w:w="3441" w:type="dxa"/>
            <w:gridSpan w:val="2"/>
            <w:noWrap w:val="0"/>
            <w:vAlign w:val="center"/>
          </w:tcPr>
          <w:p w14:paraId="018AF0FB">
            <w:pPr>
              <w:jc w:val="center"/>
              <w:rPr>
                <w:rFonts w:hint="eastAsia" w:ascii="宋体" w:hAnsi="宋体" w:cs="宋体"/>
                <w:color w:val="auto"/>
                <w:sz w:val="24"/>
                <w:szCs w:val="32"/>
                <w:highlight w:val="none"/>
              </w:rPr>
            </w:pPr>
          </w:p>
        </w:tc>
        <w:tc>
          <w:tcPr>
            <w:tcW w:w="998" w:type="dxa"/>
            <w:gridSpan w:val="2"/>
            <w:noWrap w:val="0"/>
            <w:vAlign w:val="center"/>
          </w:tcPr>
          <w:p w14:paraId="3B4C56C2">
            <w:pPr>
              <w:jc w:val="center"/>
              <w:rPr>
                <w:rFonts w:hint="eastAsia" w:ascii="宋体" w:hAnsi="宋体" w:cs="宋体"/>
                <w:color w:val="auto"/>
                <w:sz w:val="24"/>
                <w:szCs w:val="32"/>
                <w:highlight w:val="none"/>
              </w:rPr>
            </w:pPr>
          </w:p>
        </w:tc>
        <w:tc>
          <w:tcPr>
            <w:tcW w:w="1779" w:type="dxa"/>
            <w:noWrap w:val="0"/>
            <w:vAlign w:val="center"/>
          </w:tcPr>
          <w:p w14:paraId="2D28E6F9">
            <w:pPr>
              <w:jc w:val="center"/>
              <w:rPr>
                <w:rFonts w:hint="eastAsia" w:ascii="宋体" w:hAnsi="宋体" w:cs="宋体"/>
                <w:color w:val="auto"/>
                <w:sz w:val="24"/>
                <w:szCs w:val="32"/>
                <w:highlight w:val="none"/>
              </w:rPr>
            </w:pPr>
          </w:p>
        </w:tc>
      </w:tr>
      <w:tr w14:paraId="30521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132E5A9">
            <w:pPr>
              <w:jc w:val="center"/>
              <w:rPr>
                <w:rFonts w:hint="eastAsia" w:ascii="宋体" w:hAnsi="宋体" w:cs="宋体"/>
                <w:color w:val="auto"/>
                <w:sz w:val="24"/>
                <w:szCs w:val="32"/>
                <w:highlight w:val="none"/>
              </w:rPr>
            </w:pPr>
          </w:p>
        </w:tc>
        <w:tc>
          <w:tcPr>
            <w:tcW w:w="2364" w:type="dxa"/>
            <w:noWrap w:val="0"/>
            <w:vAlign w:val="center"/>
          </w:tcPr>
          <w:p w14:paraId="2C571369">
            <w:pPr>
              <w:jc w:val="center"/>
              <w:rPr>
                <w:rFonts w:hint="eastAsia" w:ascii="宋体" w:hAnsi="宋体" w:cs="宋体"/>
                <w:color w:val="auto"/>
                <w:sz w:val="24"/>
                <w:szCs w:val="32"/>
                <w:highlight w:val="none"/>
              </w:rPr>
            </w:pPr>
          </w:p>
        </w:tc>
        <w:tc>
          <w:tcPr>
            <w:tcW w:w="3441" w:type="dxa"/>
            <w:gridSpan w:val="2"/>
            <w:noWrap w:val="0"/>
            <w:vAlign w:val="center"/>
          </w:tcPr>
          <w:p w14:paraId="3A1CB304">
            <w:pPr>
              <w:jc w:val="center"/>
              <w:rPr>
                <w:rFonts w:hint="eastAsia" w:ascii="宋体" w:hAnsi="宋体" w:cs="宋体"/>
                <w:color w:val="auto"/>
                <w:sz w:val="24"/>
                <w:szCs w:val="32"/>
                <w:highlight w:val="none"/>
              </w:rPr>
            </w:pPr>
          </w:p>
        </w:tc>
        <w:tc>
          <w:tcPr>
            <w:tcW w:w="998" w:type="dxa"/>
            <w:gridSpan w:val="2"/>
            <w:noWrap w:val="0"/>
            <w:vAlign w:val="center"/>
          </w:tcPr>
          <w:p w14:paraId="41B30979">
            <w:pPr>
              <w:jc w:val="center"/>
              <w:rPr>
                <w:rFonts w:hint="eastAsia" w:ascii="宋体" w:hAnsi="宋体" w:cs="宋体"/>
                <w:color w:val="auto"/>
                <w:sz w:val="24"/>
                <w:szCs w:val="32"/>
                <w:highlight w:val="none"/>
              </w:rPr>
            </w:pPr>
          </w:p>
        </w:tc>
        <w:tc>
          <w:tcPr>
            <w:tcW w:w="1779" w:type="dxa"/>
            <w:noWrap w:val="0"/>
            <w:vAlign w:val="center"/>
          </w:tcPr>
          <w:p w14:paraId="0101F1DF">
            <w:pPr>
              <w:jc w:val="center"/>
              <w:rPr>
                <w:rFonts w:hint="eastAsia" w:ascii="宋体" w:hAnsi="宋体" w:cs="宋体"/>
                <w:color w:val="auto"/>
                <w:sz w:val="24"/>
                <w:szCs w:val="32"/>
                <w:highlight w:val="none"/>
              </w:rPr>
            </w:pPr>
          </w:p>
        </w:tc>
      </w:tr>
      <w:tr w14:paraId="6EA85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2CE887FA">
            <w:pPr>
              <w:jc w:val="center"/>
              <w:rPr>
                <w:rFonts w:hint="eastAsia" w:ascii="宋体" w:hAnsi="宋体" w:cs="宋体"/>
                <w:color w:val="auto"/>
                <w:sz w:val="24"/>
                <w:szCs w:val="32"/>
                <w:highlight w:val="none"/>
              </w:rPr>
            </w:pPr>
          </w:p>
        </w:tc>
        <w:tc>
          <w:tcPr>
            <w:tcW w:w="2364" w:type="dxa"/>
            <w:noWrap w:val="0"/>
            <w:vAlign w:val="center"/>
          </w:tcPr>
          <w:p w14:paraId="43CAF283">
            <w:pPr>
              <w:jc w:val="center"/>
              <w:rPr>
                <w:rFonts w:hint="eastAsia" w:ascii="宋体" w:hAnsi="宋体" w:cs="宋体"/>
                <w:color w:val="auto"/>
                <w:sz w:val="24"/>
                <w:szCs w:val="32"/>
                <w:highlight w:val="none"/>
              </w:rPr>
            </w:pPr>
          </w:p>
        </w:tc>
        <w:tc>
          <w:tcPr>
            <w:tcW w:w="3441" w:type="dxa"/>
            <w:gridSpan w:val="2"/>
            <w:noWrap w:val="0"/>
            <w:vAlign w:val="center"/>
          </w:tcPr>
          <w:p w14:paraId="0508784B">
            <w:pPr>
              <w:jc w:val="center"/>
              <w:rPr>
                <w:rFonts w:hint="eastAsia" w:ascii="宋体" w:hAnsi="宋体" w:cs="宋体"/>
                <w:color w:val="auto"/>
                <w:sz w:val="24"/>
                <w:szCs w:val="32"/>
                <w:highlight w:val="none"/>
              </w:rPr>
            </w:pPr>
          </w:p>
        </w:tc>
        <w:tc>
          <w:tcPr>
            <w:tcW w:w="998" w:type="dxa"/>
            <w:gridSpan w:val="2"/>
            <w:noWrap w:val="0"/>
            <w:vAlign w:val="center"/>
          </w:tcPr>
          <w:p w14:paraId="5A781525">
            <w:pPr>
              <w:jc w:val="center"/>
              <w:rPr>
                <w:rFonts w:hint="eastAsia" w:ascii="宋体" w:hAnsi="宋体" w:cs="宋体"/>
                <w:color w:val="auto"/>
                <w:sz w:val="24"/>
                <w:szCs w:val="32"/>
                <w:highlight w:val="none"/>
              </w:rPr>
            </w:pPr>
          </w:p>
        </w:tc>
        <w:tc>
          <w:tcPr>
            <w:tcW w:w="1779" w:type="dxa"/>
            <w:noWrap w:val="0"/>
            <w:vAlign w:val="center"/>
          </w:tcPr>
          <w:p w14:paraId="23E45D2E">
            <w:pPr>
              <w:jc w:val="center"/>
              <w:rPr>
                <w:rFonts w:hint="eastAsia" w:ascii="宋体" w:hAnsi="宋体" w:cs="宋体"/>
                <w:color w:val="auto"/>
                <w:sz w:val="24"/>
                <w:szCs w:val="32"/>
                <w:highlight w:val="none"/>
              </w:rPr>
            </w:pPr>
          </w:p>
        </w:tc>
      </w:tr>
      <w:tr w14:paraId="1C5AD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118" w:type="dxa"/>
            <w:noWrap w:val="0"/>
            <w:vAlign w:val="center"/>
          </w:tcPr>
          <w:p w14:paraId="516CED51">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实际供货日期</w:t>
            </w:r>
          </w:p>
        </w:tc>
        <w:tc>
          <w:tcPr>
            <w:tcW w:w="3943" w:type="dxa"/>
            <w:gridSpan w:val="2"/>
            <w:noWrap w:val="0"/>
            <w:vAlign w:val="center"/>
          </w:tcPr>
          <w:p w14:paraId="2DE735A3">
            <w:pPr>
              <w:jc w:val="center"/>
              <w:rPr>
                <w:rFonts w:hint="eastAsia" w:ascii="宋体" w:hAnsi="宋体" w:cs="宋体"/>
                <w:color w:val="auto"/>
                <w:sz w:val="24"/>
                <w:szCs w:val="32"/>
                <w:highlight w:val="none"/>
              </w:rPr>
            </w:pPr>
          </w:p>
        </w:tc>
        <w:tc>
          <w:tcPr>
            <w:tcW w:w="2522" w:type="dxa"/>
            <w:gridSpan w:val="2"/>
            <w:noWrap w:val="0"/>
            <w:vAlign w:val="center"/>
          </w:tcPr>
          <w:p w14:paraId="44C1FD4F">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合同交货验收日期</w:t>
            </w:r>
          </w:p>
        </w:tc>
        <w:tc>
          <w:tcPr>
            <w:tcW w:w="2117" w:type="dxa"/>
            <w:gridSpan w:val="2"/>
            <w:noWrap w:val="0"/>
            <w:vAlign w:val="center"/>
          </w:tcPr>
          <w:p w14:paraId="504E3B15">
            <w:pPr>
              <w:jc w:val="center"/>
              <w:rPr>
                <w:rFonts w:hint="eastAsia" w:ascii="宋体" w:hAnsi="宋体" w:cs="宋体"/>
                <w:color w:val="auto"/>
                <w:sz w:val="24"/>
                <w:szCs w:val="32"/>
                <w:highlight w:val="none"/>
              </w:rPr>
            </w:pPr>
          </w:p>
        </w:tc>
      </w:tr>
      <w:tr w14:paraId="2CFFC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118" w:type="dxa"/>
            <w:noWrap w:val="0"/>
            <w:tcMar>
              <w:top w:w="0" w:type="dxa"/>
              <w:left w:w="108" w:type="dxa"/>
              <w:bottom w:w="0" w:type="dxa"/>
              <w:right w:w="108" w:type="dxa"/>
            </w:tcMar>
            <w:vAlign w:val="center"/>
          </w:tcPr>
          <w:p w14:paraId="3FC1D2CE">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验收具体内容</w:t>
            </w:r>
          </w:p>
        </w:tc>
        <w:tc>
          <w:tcPr>
            <w:tcW w:w="8582" w:type="dxa"/>
            <w:gridSpan w:val="6"/>
            <w:noWrap w:val="0"/>
            <w:tcMar>
              <w:top w:w="0" w:type="dxa"/>
              <w:left w:w="108" w:type="dxa"/>
              <w:bottom w:w="0" w:type="dxa"/>
              <w:right w:w="108" w:type="dxa"/>
            </w:tcMar>
            <w:vAlign w:val="center"/>
          </w:tcPr>
          <w:p w14:paraId="431B1040">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(按招标采购文件、投标响应文件及验收方案等。可附件)</w:t>
            </w:r>
          </w:p>
        </w:tc>
      </w:tr>
      <w:tr w14:paraId="3DE7EC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118" w:type="dxa"/>
            <w:noWrap w:val="0"/>
            <w:tcMar>
              <w:top w:w="0" w:type="dxa"/>
              <w:left w:w="108" w:type="dxa"/>
              <w:bottom w:w="0" w:type="dxa"/>
              <w:right w:w="108" w:type="dxa"/>
            </w:tcMar>
            <w:vAlign w:val="center"/>
          </w:tcPr>
          <w:p w14:paraId="6B0FEA1C">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验收小组意见</w:t>
            </w:r>
          </w:p>
        </w:tc>
        <w:tc>
          <w:tcPr>
            <w:tcW w:w="8582" w:type="dxa"/>
            <w:gridSpan w:val="6"/>
            <w:noWrap w:val="0"/>
            <w:vAlign w:val="center"/>
          </w:tcPr>
          <w:p w14:paraId="019B349A">
            <w:pPr>
              <w:jc w:val="center"/>
              <w:rPr>
                <w:rFonts w:hint="eastAsia" w:ascii="宋体" w:hAnsi="宋体" w:cs="宋体"/>
                <w:color w:val="auto"/>
                <w:sz w:val="24"/>
                <w:szCs w:val="32"/>
                <w:highlight w:val="none"/>
              </w:rPr>
            </w:pPr>
          </w:p>
          <w:p w14:paraId="69E35353">
            <w:pPr>
              <w:jc w:val="center"/>
              <w:rPr>
                <w:rFonts w:hint="eastAsia" w:ascii="宋体" w:hAnsi="宋体" w:cs="宋体"/>
                <w:color w:val="auto"/>
                <w:sz w:val="24"/>
                <w:szCs w:val="32"/>
                <w:highlight w:val="none"/>
              </w:rPr>
            </w:pPr>
          </w:p>
        </w:tc>
      </w:tr>
      <w:tr w14:paraId="462BE4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55C2B246">
            <w:pPr>
              <w:rPr>
                <w:rFonts w:hint="eastAsia" w:ascii="宋体" w:hAnsi="宋体" w:cs="宋体"/>
                <w:color w:val="auto"/>
                <w:sz w:val="24"/>
                <w:szCs w:val="32"/>
                <w:highlight w:val="none"/>
              </w:rPr>
            </w:pPr>
            <w:r>
              <w:rPr>
                <w:rFonts w:hint="eastAsia" w:ascii="宋体" w:hAnsi="宋体" w:cs="宋体"/>
                <w:color w:val="auto"/>
                <w:sz w:val="24"/>
                <w:szCs w:val="32"/>
                <w:highlight w:val="none"/>
              </w:rPr>
              <w:t>验收小组成员签字：</w:t>
            </w:r>
          </w:p>
        </w:tc>
      </w:tr>
      <w:tr w14:paraId="4927DA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37B71D5B">
            <w:pPr>
              <w:rPr>
                <w:rFonts w:hint="eastAsia" w:ascii="宋体" w:hAnsi="宋体" w:cs="宋体"/>
                <w:color w:val="auto"/>
                <w:sz w:val="24"/>
                <w:szCs w:val="32"/>
                <w:highlight w:val="none"/>
              </w:rPr>
            </w:pPr>
            <w:r>
              <w:rPr>
                <w:rFonts w:hint="eastAsia" w:ascii="宋体" w:hAnsi="宋体" w:cs="宋体"/>
                <w:color w:val="auto"/>
                <w:sz w:val="24"/>
                <w:szCs w:val="32"/>
                <w:highlight w:val="none"/>
              </w:rPr>
              <w:t>参与验收其他或监督人员签字：</w:t>
            </w:r>
          </w:p>
        </w:tc>
      </w:tr>
      <w:tr w14:paraId="6C4479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noWrap w:val="0"/>
            <w:tcMar>
              <w:top w:w="0" w:type="dxa"/>
              <w:left w:w="108" w:type="dxa"/>
              <w:bottom w:w="0" w:type="dxa"/>
              <w:right w:w="108" w:type="dxa"/>
            </w:tcMar>
            <w:vAlign w:val="center"/>
          </w:tcPr>
          <w:p w14:paraId="27CC9D59">
            <w:pPr>
              <w:rPr>
                <w:rFonts w:hint="eastAsia" w:ascii="宋体" w:hAnsi="宋体" w:cs="宋体"/>
                <w:color w:val="auto"/>
                <w:sz w:val="24"/>
                <w:szCs w:val="32"/>
                <w:highlight w:val="none"/>
              </w:rPr>
            </w:pPr>
            <w:r>
              <w:rPr>
                <w:rFonts w:hint="eastAsia" w:ascii="宋体" w:hAnsi="宋体" w:cs="宋体"/>
                <w:color w:val="auto"/>
                <w:sz w:val="24"/>
                <w:szCs w:val="32"/>
                <w:highlight w:val="none"/>
              </w:rPr>
              <w:t>供应商签字或盖章：</w:t>
            </w:r>
          </w:p>
          <w:p w14:paraId="76D54938">
            <w:pPr>
              <w:rPr>
                <w:rFonts w:hint="eastAsia" w:ascii="宋体" w:hAnsi="宋体" w:cs="宋体"/>
                <w:color w:val="auto"/>
                <w:sz w:val="24"/>
                <w:szCs w:val="32"/>
                <w:highlight w:val="none"/>
              </w:rPr>
            </w:pPr>
            <w:r>
              <w:rPr>
                <w:rFonts w:hint="eastAsia" w:ascii="宋体" w:hAnsi="宋体" w:cs="宋体"/>
                <w:color w:val="auto"/>
                <w:sz w:val="24"/>
                <w:szCs w:val="32"/>
                <w:highlight w:val="none"/>
              </w:rPr>
              <w:t>联系方式：         年 月 日</w:t>
            </w:r>
          </w:p>
        </w:tc>
        <w:tc>
          <w:tcPr>
            <w:tcW w:w="4639" w:type="dxa"/>
            <w:gridSpan w:val="4"/>
            <w:noWrap w:val="0"/>
            <w:vAlign w:val="center"/>
          </w:tcPr>
          <w:p w14:paraId="158801D4">
            <w:pPr>
              <w:rPr>
                <w:rFonts w:hint="eastAsia" w:ascii="宋体" w:hAnsi="宋体" w:cs="宋体"/>
                <w:color w:val="auto"/>
                <w:sz w:val="24"/>
                <w:szCs w:val="32"/>
                <w:highlight w:val="none"/>
              </w:rPr>
            </w:pPr>
            <w:r>
              <w:rPr>
                <w:rFonts w:hint="eastAsia" w:ascii="宋体" w:hAnsi="宋体" w:cs="宋体"/>
                <w:color w:val="auto"/>
                <w:sz w:val="24"/>
                <w:szCs w:val="32"/>
                <w:highlight w:val="none"/>
              </w:rPr>
              <w:t>采购单位盖章：</w:t>
            </w:r>
          </w:p>
          <w:p w14:paraId="2C3B28FC">
            <w:pPr>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年 月 日</w:t>
            </w:r>
          </w:p>
        </w:tc>
      </w:tr>
    </w:tbl>
    <w:p w14:paraId="0D97BBC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备注：本报告单一式4份（采购单位1份、供应商1份、采购监督部门备案1份、采购代理机构1份）。</w:t>
      </w:r>
    </w:p>
    <w:p w14:paraId="522B1B3F">
      <w:pPr>
        <w:snapToGrid w:val="0"/>
        <w:spacing w:before="320" w:after="350"/>
        <w:jc w:val="center"/>
        <w:outlineLvl w:val="0"/>
        <w:rPr>
          <w:rFonts w:hint="eastAsia" w:ascii="宋体" w:hAnsi="宋体" w:cs="宋体"/>
          <w:b/>
          <w:bCs/>
          <w:color w:val="auto"/>
          <w:sz w:val="36"/>
          <w:szCs w:val="36"/>
          <w:highlight w:val="none"/>
        </w:rPr>
      </w:pPr>
      <w:r>
        <w:rPr>
          <w:rFonts w:hint="eastAsia" w:ascii="宋体" w:hAnsi="宋体" w:cs="宋体"/>
          <w:color w:val="auto"/>
          <w:highlight w:val="none"/>
        </w:rPr>
        <w:br w:type="page"/>
      </w:r>
      <w:bookmarkStart w:id="109" w:name="_Toc4800"/>
      <w:r>
        <w:rPr>
          <w:rFonts w:hint="eastAsia" w:ascii="宋体" w:hAnsi="宋体" w:cs="宋体"/>
          <w:b/>
          <w:bCs/>
          <w:color w:val="auto"/>
          <w:sz w:val="36"/>
          <w:szCs w:val="36"/>
          <w:highlight w:val="none"/>
        </w:rPr>
        <w:t>第六章  投标文件格式</w:t>
      </w:r>
      <w:bookmarkEnd w:id="109"/>
    </w:p>
    <w:p w14:paraId="41609A05">
      <w:pPr>
        <w:pStyle w:val="19"/>
        <w:ind w:firstLine="0" w:firstLineChars="0"/>
        <w:rPr>
          <w:rFonts w:hint="eastAsia"/>
          <w:color w:val="auto"/>
          <w:highlight w:val="none"/>
        </w:rPr>
      </w:pPr>
    </w:p>
    <w:p w14:paraId="4FF42438">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一、投标文件格式</w:t>
      </w:r>
    </w:p>
    <w:p w14:paraId="1CC48D4E">
      <w:pPr>
        <w:snapToGrid w:val="0"/>
        <w:spacing w:before="120" w:beforeLines="50" w:after="50"/>
        <w:jc w:val="center"/>
        <w:rPr>
          <w:rFonts w:hint="eastAsia" w:ascii="宋体" w:hAnsi="宋体" w:cs="宋体"/>
          <w:b/>
          <w:color w:val="auto"/>
          <w:szCs w:val="21"/>
          <w:highlight w:val="none"/>
        </w:rPr>
      </w:pPr>
    </w:p>
    <w:p w14:paraId="5E43994D">
      <w:pPr>
        <w:snapToGrid w:val="0"/>
        <w:spacing w:before="120" w:beforeLines="50" w:after="50"/>
        <w:jc w:val="center"/>
        <w:rPr>
          <w:rFonts w:hint="eastAsia" w:ascii="宋体" w:hAnsi="宋体" w:cs="宋体"/>
          <w:b/>
          <w:color w:val="auto"/>
          <w:szCs w:val="21"/>
          <w:highlight w:val="none"/>
        </w:rPr>
      </w:pPr>
    </w:p>
    <w:p w14:paraId="7C6C45A7">
      <w:pPr>
        <w:snapToGrid w:val="0"/>
        <w:spacing w:before="120" w:beforeLines="50" w:after="50"/>
        <w:jc w:val="center"/>
        <w:rPr>
          <w:rFonts w:hint="eastAsia" w:ascii="宋体" w:hAnsi="宋体" w:cs="宋体"/>
          <w:bCs/>
          <w:color w:val="auto"/>
          <w:szCs w:val="21"/>
          <w:highlight w:val="none"/>
        </w:rPr>
      </w:pPr>
    </w:p>
    <w:p w14:paraId="0B46F45E">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3B6E30BF">
      <w:pPr>
        <w:snapToGrid w:val="0"/>
        <w:spacing w:before="120" w:beforeLines="50" w:after="50"/>
        <w:rPr>
          <w:rFonts w:hint="eastAsia" w:ascii="宋体" w:hAnsi="宋体" w:cs="宋体"/>
          <w:bCs/>
          <w:color w:val="auto"/>
          <w:szCs w:val="21"/>
          <w:highlight w:val="none"/>
        </w:rPr>
      </w:pPr>
    </w:p>
    <w:p w14:paraId="0D867228">
      <w:pPr>
        <w:snapToGrid w:val="0"/>
        <w:spacing w:before="120" w:beforeLines="50" w:after="50"/>
        <w:ind w:firstLine="450" w:firstLineChars="150"/>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1AB23110">
      <w:pPr>
        <w:snapToGrid w:val="0"/>
        <w:spacing w:before="120" w:beforeLines="50" w:after="50"/>
        <w:ind w:firstLine="450" w:firstLineChars="150"/>
        <w:rPr>
          <w:rFonts w:hint="eastAsia" w:ascii="宋体" w:hAnsi="宋体" w:cs="宋体"/>
          <w:bCs/>
          <w:color w:val="auto"/>
          <w:sz w:val="30"/>
          <w:szCs w:val="30"/>
          <w:highlight w:val="none"/>
        </w:rPr>
      </w:pPr>
    </w:p>
    <w:p w14:paraId="1E7BDD47">
      <w:pPr>
        <w:snapToGrid w:val="0"/>
        <w:spacing w:before="120" w:beforeLines="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3BA4AC54">
      <w:pPr>
        <w:snapToGrid w:val="0"/>
        <w:spacing w:before="120" w:beforeLines="50" w:after="50"/>
        <w:ind w:firstLine="450" w:firstLineChars="150"/>
        <w:rPr>
          <w:rFonts w:hint="eastAsia" w:ascii="宋体" w:hAnsi="宋体" w:cs="宋体"/>
          <w:bCs/>
          <w:color w:val="auto"/>
          <w:sz w:val="30"/>
          <w:szCs w:val="30"/>
          <w:highlight w:val="none"/>
        </w:rPr>
      </w:pPr>
    </w:p>
    <w:p w14:paraId="39E3D3A1">
      <w:pPr>
        <w:snapToGrid w:val="0"/>
        <w:spacing w:before="120" w:beforeLines="50" w:after="50"/>
        <w:ind w:firstLine="450" w:firstLineChars="150"/>
        <w:rPr>
          <w:rFonts w:hint="eastAsia" w:ascii="宋体" w:hAnsi="宋体" w:cs="宋体"/>
          <w:bCs/>
          <w:color w:val="auto"/>
          <w:sz w:val="30"/>
          <w:szCs w:val="30"/>
          <w:highlight w:val="none"/>
        </w:rPr>
      </w:pPr>
    </w:p>
    <w:p w14:paraId="73F1CCE9">
      <w:pPr>
        <w:pStyle w:val="8"/>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投标文件组成：</w:t>
      </w:r>
      <w:r>
        <w:rPr>
          <w:rFonts w:hint="eastAsia" w:ascii="宋体" w:hAnsi="宋体" w:cs="宋体"/>
          <w:bCs/>
          <w:color w:val="auto"/>
          <w:sz w:val="30"/>
          <w:szCs w:val="30"/>
          <w:highlight w:val="none"/>
          <w:u w:val="single"/>
        </w:rPr>
        <w:t xml:space="preserve">资格文件、报价文件、商务技术文件     </w:t>
      </w:r>
    </w:p>
    <w:p w14:paraId="43BC60A4">
      <w:pPr>
        <w:pStyle w:val="8"/>
        <w:snapToGrid w:val="0"/>
        <w:spacing w:before="50" w:after="50"/>
        <w:ind w:firstLine="450" w:firstLineChars="150"/>
        <w:rPr>
          <w:rFonts w:hint="eastAsia" w:ascii="宋体" w:hAnsi="宋体" w:cs="宋体"/>
          <w:bCs/>
          <w:color w:val="auto"/>
          <w:sz w:val="30"/>
          <w:szCs w:val="30"/>
          <w:highlight w:val="none"/>
        </w:rPr>
      </w:pPr>
    </w:p>
    <w:p w14:paraId="35CE44AC">
      <w:pPr>
        <w:pStyle w:val="8"/>
        <w:snapToGrid w:val="0"/>
        <w:spacing w:before="50" w:after="50"/>
        <w:ind w:firstLine="450" w:firstLineChars="15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0A609D4F">
      <w:pPr>
        <w:pStyle w:val="8"/>
        <w:snapToGrid w:val="0"/>
        <w:spacing w:before="50" w:after="50"/>
        <w:ind w:firstLine="450" w:firstLineChars="150"/>
        <w:rPr>
          <w:rFonts w:hint="eastAsia" w:ascii="宋体" w:hAnsi="宋体" w:cs="宋体"/>
          <w:bCs/>
          <w:color w:val="auto"/>
          <w:sz w:val="30"/>
          <w:szCs w:val="30"/>
          <w:highlight w:val="none"/>
        </w:rPr>
      </w:pPr>
    </w:p>
    <w:p w14:paraId="5829229F">
      <w:pPr>
        <w:pStyle w:val="8"/>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rPr>
        <w:t xml:space="preserve">   </w:t>
      </w:r>
    </w:p>
    <w:p w14:paraId="0774F323">
      <w:pPr>
        <w:pStyle w:val="8"/>
        <w:snapToGrid w:val="0"/>
        <w:spacing w:before="50" w:after="50"/>
        <w:ind w:firstLine="450" w:firstLineChars="150"/>
        <w:rPr>
          <w:rFonts w:hint="eastAsia" w:ascii="宋体" w:hAnsi="宋体" w:cs="宋体"/>
          <w:bCs/>
          <w:color w:val="auto"/>
          <w:sz w:val="30"/>
          <w:szCs w:val="30"/>
          <w:highlight w:val="none"/>
        </w:rPr>
      </w:pPr>
    </w:p>
    <w:p w14:paraId="67299352">
      <w:pPr>
        <w:pStyle w:val="8"/>
        <w:snapToGrid w:val="0"/>
        <w:spacing w:before="50" w:after="50"/>
        <w:ind w:firstLine="450" w:firstLineChars="150"/>
        <w:rPr>
          <w:rFonts w:hint="eastAsia" w:ascii="宋体" w:hAnsi="宋体" w:cs="宋体"/>
          <w:bCs/>
          <w:color w:val="auto"/>
          <w:sz w:val="30"/>
          <w:szCs w:val="30"/>
          <w:highlight w:val="none"/>
        </w:rPr>
      </w:pPr>
    </w:p>
    <w:p w14:paraId="31618E86">
      <w:pPr>
        <w:pStyle w:val="8"/>
        <w:snapToGrid w:val="0"/>
        <w:spacing w:before="50" w:after="50"/>
        <w:ind w:firstLine="450" w:firstLineChars="150"/>
        <w:rPr>
          <w:rFonts w:hint="eastAsia" w:ascii="宋体" w:hAnsi="宋体" w:cs="宋体"/>
          <w:bCs/>
          <w:color w:val="auto"/>
          <w:sz w:val="30"/>
          <w:szCs w:val="30"/>
          <w:highlight w:val="none"/>
        </w:rPr>
      </w:pPr>
      <w:r>
        <w:rPr>
          <w:rFonts w:hint="eastAsia" w:ascii="宋体" w:hAnsi="宋体" w:cs="宋体"/>
          <w:bCs/>
          <w:color w:val="auto"/>
          <w:sz w:val="30"/>
          <w:szCs w:val="30"/>
          <w:highlight w:val="none"/>
        </w:rPr>
        <w:t>开标时启封</w:t>
      </w:r>
    </w:p>
    <w:p w14:paraId="4C559EAA">
      <w:pPr>
        <w:pStyle w:val="8"/>
        <w:snapToGrid w:val="0"/>
        <w:spacing w:before="50" w:after="50"/>
        <w:ind w:firstLine="450" w:firstLineChars="150"/>
        <w:rPr>
          <w:rFonts w:hint="eastAsia" w:ascii="宋体" w:hAnsi="宋体" w:cs="宋体"/>
          <w:bCs/>
          <w:color w:val="auto"/>
          <w:sz w:val="30"/>
          <w:szCs w:val="30"/>
          <w:highlight w:val="none"/>
        </w:rPr>
      </w:pPr>
    </w:p>
    <w:p w14:paraId="36517DAD">
      <w:pPr>
        <w:pStyle w:val="8"/>
        <w:snapToGrid w:val="0"/>
        <w:spacing w:before="50" w:after="50"/>
        <w:ind w:firstLine="450" w:firstLineChars="150"/>
        <w:rPr>
          <w:rFonts w:hint="eastAsia" w:ascii="宋体" w:hAnsi="宋体" w:cs="宋体"/>
          <w:bCs/>
          <w:color w:val="auto"/>
          <w:sz w:val="30"/>
          <w:szCs w:val="30"/>
          <w:highlight w:val="none"/>
        </w:rPr>
      </w:pPr>
    </w:p>
    <w:p w14:paraId="66ED2276">
      <w:pPr>
        <w:pStyle w:val="8"/>
        <w:snapToGrid w:val="0"/>
        <w:spacing w:before="50" w:after="50"/>
        <w:ind w:firstLine="450" w:firstLineChars="150"/>
        <w:rPr>
          <w:rFonts w:hint="eastAsia" w:ascii="宋体" w:hAnsi="宋体" w:cs="宋体"/>
          <w:bCs/>
          <w:color w:val="auto"/>
          <w:sz w:val="30"/>
          <w:szCs w:val="30"/>
          <w:highlight w:val="none"/>
        </w:rPr>
      </w:pPr>
    </w:p>
    <w:p w14:paraId="673B33BA">
      <w:pPr>
        <w:pStyle w:val="8"/>
        <w:snapToGrid w:val="0"/>
        <w:spacing w:before="50" w:after="50"/>
        <w:ind w:firstLine="450" w:firstLineChars="150"/>
        <w:rPr>
          <w:rFonts w:hint="eastAsia" w:ascii="宋体" w:hAnsi="宋体" w:cs="宋体"/>
          <w:bCs/>
          <w:color w:val="auto"/>
          <w:sz w:val="30"/>
          <w:szCs w:val="30"/>
          <w:highlight w:val="none"/>
        </w:rPr>
      </w:pPr>
    </w:p>
    <w:p w14:paraId="43888374">
      <w:pPr>
        <w:pStyle w:val="8"/>
        <w:snapToGrid w:val="0"/>
        <w:spacing w:before="50" w:after="50"/>
        <w:ind w:firstLine="450" w:firstLineChars="150"/>
        <w:rPr>
          <w:rFonts w:hint="eastAsia" w:ascii="宋体" w:hAnsi="宋体" w:cs="宋体"/>
          <w:bCs/>
          <w:color w:val="auto"/>
          <w:sz w:val="30"/>
          <w:szCs w:val="30"/>
          <w:highlight w:val="none"/>
        </w:rPr>
      </w:pPr>
    </w:p>
    <w:p w14:paraId="7C9C0090">
      <w:pPr>
        <w:pStyle w:val="8"/>
        <w:snapToGrid w:val="0"/>
        <w:spacing w:before="50" w:after="50"/>
        <w:ind w:firstLine="450" w:firstLineChars="15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年    月    日</w:t>
      </w:r>
    </w:p>
    <w:p w14:paraId="40E81CA4">
      <w:pPr>
        <w:pStyle w:val="8"/>
        <w:snapToGrid w:val="0"/>
        <w:spacing w:before="50" w:after="50"/>
        <w:ind w:firstLine="450" w:firstLineChars="150"/>
        <w:rPr>
          <w:rFonts w:hint="eastAsia" w:ascii="宋体" w:hAnsi="宋体" w:cs="宋体"/>
          <w:bCs/>
          <w:color w:val="auto"/>
          <w:sz w:val="30"/>
          <w:szCs w:val="30"/>
          <w:highlight w:val="none"/>
        </w:rPr>
      </w:pPr>
    </w:p>
    <w:p w14:paraId="4FBC4603">
      <w:pPr>
        <w:snapToGrid w:val="0"/>
        <w:spacing w:before="120" w:beforeLines="50" w:after="50"/>
        <w:jc w:val="center"/>
        <w:outlineLvl w:val="1"/>
        <w:rPr>
          <w:rFonts w:hint="eastAsia" w:ascii="宋体" w:hAnsi="宋体" w:cs="宋体"/>
          <w:color w:val="auto"/>
          <w:szCs w:val="21"/>
          <w:highlight w:val="none"/>
        </w:rPr>
      </w:pPr>
    </w:p>
    <w:p w14:paraId="4B23F881">
      <w:pPr>
        <w:snapToGrid w:val="0"/>
        <w:spacing w:before="120" w:beforeLines="50" w:after="50"/>
        <w:rPr>
          <w:rFonts w:hint="eastAsia"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bCs/>
          <w:color w:val="auto"/>
          <w:sz w:val="24"/>
          <w:highlight w:val="none"/>
        </w:rPr>
        <w:t xml:space="preserve"> 投标文件（资格文件）封面格式：</w:t>
      </w:r>
    </w:p>
    <w:p w14:paraId="55960CFC">
      <w:pPr>
        <w:snapToGrid w:val="0"/>
        <w:spacing w:before="120" w:beforeLines="50" w:after="50"/>
        <w:rPr>
          <w:rFonts w:hint="eastAsia" w:ascii="宋体" w:hAnsi="宋体" w:cs="宋体"/>
          <w:bCs/>
          <w:color w:val="auto"/>
          <w:szCs w:val="21"/>
          <w:highlight w:val="none"/>
        </w:rPr>
      </w:pPr>
    </w:p>
    <w:p w14:paraId="19317906">
      <w:pPr>
        <w:snapToGrid w:val="0"/>
        <w:spacing w:before="120" w:beforeLines="50" w:after="50"/>
        <w:rPr>
          <w:rFonts w:hint="eastAsia" w:ascii="宋体" w:hAnsi="宋体" w:cs="宋体"/>
          <w:bCs/>
          <w:color w:val="auto"/>
          <w:szCs w:val="21"/>
          <w:highlight w:val="none"/>
        </w:rPr>
      </w:pPr>
    </w:p>
    <w:p w14:paraId="2B3951FC">
      <w:pPr>
        <w:snapToGrid w:val="0"/>
        <w:spacing w:before="120" w:beforeLines="50" w:after="50"/>
        <w:rPr>
          <w:rFonts w:hint="eastAsia" w:ascii="宋体" w:hAnsi="宋体" w:cs="宋体"/>
          <w:bCs/>
          <w:color w:val="auto"/>
          <w:szCs w:val="21"/>
          <w:highlight w:val="none"/>
        </w:rPr>
      </w:pPr>
    </w:p>
    <w:p w14:paraId="0847E75F">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18D3D184">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524351D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C509CD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4D03ECE7">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364D1A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（资格文件）</w:t>
      </w:r>
    </w:p>
    <w:p w14:paraId="6C0A2FC9">
      <w:pPr>
        <w:snapToGrid w:val="0"/>
        <w:spacing w:before="120" w:beforeLines="50" w:after="50"/>
        <w:ind w:firstLine="9" w:firstLineChars="3"/>
        <w:jc w:val="center"/>
        <w:rPr>
          <w:rFonts w:hint="eastAsia" w:ascii="宋体" w:hAnsi="宋体" w:cs="宋体"/>
          <w:bCs/>
          <w:color w:val="auto"/>
          <w:sz w:val="32"/>
          <w:szCs w:val="32"/>
          <w:highlight w:val="none"/>
        </w:rPr>
      </w:pPr>
    </w:p>
    <w:p w14:paraId="1653B2F6">
      <w:pPr>
        <w:snapToGrid w:val="0"/>
        <w:spacing w:before="120" w:beforeLines="50" w:after="50"/>
        <w:rPr>
          <w:rFonts w:hint="eastAsia" w:ascii="宋体" w:hAnsi="宋体" w:cs="宋体"/>
          <w:bCs/>
          <w:color w:val="auto"/>
          <w:szCs w:val="21"/>
          <w:highlight w:val="none"/>
        </w:rPr>
      </w:pPr>
    </w:p>
    <w:p w14:paraId="5666CC99">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3E6546D">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01A98E98">
      <w:pPr>
        <w:pStyle w:val="8"/>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3B26A0C7">
      <w:pPr>
        <w:pStyle w:val="8"/>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07B7E6B1">
      <w:pPr>
        <w:pStyle w:val="8"/>
        <w:snapToGrid w:val="0"/>
        <w:spacing w:before="50" w:after="50" w:line="280" w:lineRule="exact"/>
        <w:ind w:firstLine="675" w:firstLineChars="225"/>
        <w:rPr>
          <w:rFonts w:hint="eastAsia" w:ascii="宋体" w:hAnsi="宋体" w:cs="宋体"/>
          <w:bCs/>
          <w:color w:val="auto"/>
          <w:sz w:val="30"/>
          <w:szCs w:val="30"/>
          <w:highlight w:val="none"/>
        </w:rPr>
      </w:pPr>
    </w:p>
    <w:p w14:paraId="09BED7FD">
      <w:pPr>
        <w:snapToGrid w:val="0"/>
        <w:spacing w:before="120" w:beforeLines="50" w:after="50"/>
        <w:ind w:firstLine="10"/>
        <w:jc w:val="center"/>
        <w:rPr>
          <w:rFonts w:hint="eastAsia" w:ascii="宋体" w:hAnsi="宋体" w:cs="宋体"/>
          <w:color w:val="auto"/>
          <w:sz w:val="30"/>
          <w:szCs w:val="30"/>
          <w:highlight w:val="none"/>
        </w:rPr>
      </w:pPr>
    </w:p>
    <w:p w14:paraId="0DB9B6A0">
      <w:pPr>
        <w:snapToGrid w:val="0"/>
        <w:spacing w:before="120" w:beforeLines="50" w:after="50"/>
        <w:ind w:firstLine="10"/>
        <w:jc w:val="center"/>
        <w:rPr>
          <w:rFonts w:hint="eastAsia" w:ascii="宋体" w:hAnsi="宋体" w:cs="宋体"/>
          <w:color w:val="auto"/>
          <w:sz w:val="30"/>
          <w:szCs w:val="30"/>
          <w:highlight w:val="none"/>
        </w:rPr>
      </w:pPr>
    </w:p>
    <w:p w14:paraId="64935874">
      <w:pPr>
        <w:snapToGrid w:val="0"/>
        <w:spacing w:before="120" w:beforeLines="50" w:after="50"/>
        <w:ind w:firstLine="10"/>
        <w:jc w:val="center"/>
        <w:rPr>
          <w:rFonts w:hint="eastAsia" w:ascii="宋体" w:hAnsi="宋体" w:cs="宋体"/>
          <w:color w:val="auto"/>
          <w:sz w:val="30"/>
          <w:szCs w:val="30"/>
          <w:highlight w:val="none"/>
        </w:rPr>
      </w:pPr>
    </w:p>
    <w:p w14:paraId="7FD66FE9">
      <w:pPr>
        <w:snapToGrid w:val="0"/>
        <w:spacing w:before="120" w:beforeLines="50" w:after="50"/>
        <w:ind w:firstLine="10"/>
        <w:jc w:val="center"/>
        <w:rPr>
          <w:rFonts w:hint="eastAsia" w:ascii="宋体" w:hAnsi="宋体" w:cs="宋体"/>
          <w:color w:val="auto"/>
          <w:sz w:val="30"/>
          <w:szCs w:val="30"/>
          <w:highlight w:val="none"/>
        </w:rPr>
      </w:pPr>
    </w:p>
    <w:p w14:paraId="259ADABE">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38A0DB92">
      <w:pPr>
        <w:snapToGrid w:val="0"/>
        <w:spacing w:before="50" w:after="50"/>
        <w:rPr>
          <w:rFonts w:hint="eastAsia" w:ascii="宋体" w:hAnsi="宋体" w:cs="宋体"/>
          <w:b/>
          <w:bCs/>
          <w:color w:val="auto"/>
          <w:szCs w:val="21"/>
          <w:highlight w:val="none"/>
        </w:rPr>
      </w:pPr>
    </w:p>
    <w:p w14:paraId="59CF2460">
      <w:pPr>
        <w:snapToGrid w:val="0"/>
        <w:spacing w:before="50" w:after="50"/>
        <w:rPr>
          <w:rFonts w:hint="eastAsia" w:ascii="宋体" w:hAnsi="宋体" w:cs="宋体"/>
          <w:b/>
          <w:bCs/>
          <w:color w:val="auto"/>
          <w:szCs w:val="21"/>
          <w:highlight w:val="none"/>
        </w:rPr>
      </w:pPr>
    </w:p>
    <w:p w14:paraId="47AA237E">
      <w:pPr>
        <w:snapToGrid w:val="0"/>
        <w:spacing w:before="50" w:after="50"/>
        <w:rPr>
          <w:rFonts w:hint="eastAsia" w:ascii="宋体" w:hAnsi="宋体" w:cs="宋体"/>
          <w:b/>
          <w:bCs/>
          <w:color w:val="auto"/>
          <w:szCs w:val="21"/>
          <w:highlight w:val="none"/>
        </w:rPr>
      </w:pPr>
    </w:p>
    <w:p w14:paraId="0125790E">
      <w:pPr>
        <w:snapToGrid w:val="0"/>
        <w:spacing w:before="50" w:after="50"/>
        <w:rPr>
          <w:rFonts w:hint="eastAsia" w:ascii="宋体" w:hAnsi="宋体" w:cs="宋体"/>
          <w:b/>
          <w:bCs/>
          <w:color w:val="auto"/>
          <w:szCs w:val="21"/>
          <w:highlight w:val="none"/>
        </w:rPr>
      </w:pPr>
    </w:p>
    <w:p w14:paraId="0A47E0C2">
      <w:pPr>
        <w:snapToGrid w:val="0"/>
        <w:spacing w:before="50" w:after="50"/>
        <w:rPr>
          <w:rFonts w:hint="eastAsia" w:ascii="宋体" w:hAnsi="宋体" w:cs="宋体"/>
          <w:b/>
          <w:bCs/>
          <w:color w:val="auto"/>
          <w:szCs w:val="21"/>
          <w:highlight w:val="none"/>
        </w:rPr>
      </w:pPr>
    </w:p>
    <w:p w14:paraId="1CE41133">
      <w:pPr>
        <w:snapToGrid w:val="0"/>
        <w:spacing w:before="50" w:after="50"/>
        <w:rPr>
          <w:rFonts w:hint="eastAsia" w:ascii="宋体" w:hAnsi="宋体" w:cs="宋体"/>
          <w:b/>
          <w:bCs/>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投标文件（资格文件）目录：</w:t>
      </w:r>
    </w:p>
    <w:p w14:paraId="22F3A9C1">
      <w:pPr>
        <w:tabs>
          <w:tab w:val="left" w:pos="3870"/>
          <w:tab w:val="left" w:pos="4085"/>
        </w:tabs>
        <w:snapToGrid w:val="0"/>
        <w:spacing w:line="500" w:lineRule="exact"/>
        <w:jc w:val="center"/>
        <w:rPr>
          <w:rFonts w:hint="eastAsia" w:ascii="宋体" w:hAnsi="宋体" w:cs="宋体"/>
          <w:color w:val="auto"/>
          <w:sz w:val="44"/>
          <w:szCs w:val="44"/>
          <w:highlight w:val="none"/>
        </w:rPr>
      </w:pPr>
    </w:p>
    <w:p w14:paraId="6D72FE1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资格文件目录</w:t>
      </w:r>
    </w:p>
    <w:p w14:paraId="66210D10">
      <w:pPr>
        <w:tabs>
          <w:tab w:val="left" w:pos="3870"/>
          <w:tab w:val="left" w:pos="4085"/>
        </w:tabs>
        <w:snapToGrid w:val="0"/>
        <w:spacing w:line="360" w:lineRule="exact"/>
        <w:ind w:firstLine="420" w:firstLineChars="200"/>
        <w:jc w:val="left"/>
        <w:rPr>
          <w:rFonts w:hint="eastAsia" w:ascii="宋体" w:hAnsi="宋体" w:cs="宋体"/>
          <w:color w:val="auto"/>
          <w:szCs w:val="21"/>
          <w:highlight w:val="none"/>
        </w:rPr>
      </w:pPr>
    </w:p>
    <w:p w14:paraId="78F9857D">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bookmarkStart w:id="110" w:name="_Toc835"/>
      <w:r>
        <w:rPr>
          <w:rFonts w:hint="eastAsia" w:ascii="宋体" w:hAnsi="宋体" w:cs="宋体"/>
          <w:color w:val="auto"/>
          <w:sz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cs="宋体"/>
          <w:b/>
          <w:color w:val="auto"/>
          <w:sz w:val="24"/>
          <w:highlight w:val="none"/>
        </w:rPr>
        <w:t>（必须提供，否则作无效投标处理）</w:t>
      </w:r>
    </w:p>
    <w:p w14:paraId="70893F6D">
      <w:pPr>
        <w:tabs>
          <w:tab w:val="left" w:pos="3870"/>
          <w:tab w:val="left" w:pos="4085"/>
        </w:tabs>
        <w:snapToGrid w:val="0"/>
        <w:spacing w:line="40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）政府采购供应商资格信用承诺函；</w:t>
      </w:r>
      <w:r>
        <w:rPr>
          <w:rFonts w:hint="eastAsia" w:ascii="宋体" w:hAnsi="宋体" w:cs="宋体"/>
          <w:b/>
          <w:color w:val="auto"/>
          <w:sz w:val="24"/>
          <w:highlight w:val="none"/>
        </w:rPr>
        <w:t>（必须提供，否则作无效投标处理）</w:t>
      </w:r>
    </w:p>
    <w:p w14:paraId="66BEECA3">
      <w:pPr>
        <w:tabs>
          <w:tab w:val="left" w:pos="3870"/>
          <w:tab w:val="left" w:pos="4085"/>
        </w:tabs>
        <w:snapToGri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sz w:val="24"/>
          <w:highlight w:val="none"/>
        </w:rPr>
        <w:t>投标声明书（按第六章要求格式填写）；</w:t>
      </w:r>
      <w:r>
        <w:rPr>
          <w:rFonts w:hint="eastAsia" w:ascii="宋体" w:hAnsi="宋体" w:cs="宋体"/>
          <w:b/>
          <w:color w:val="auto"/>
          <w:sz w:val="24"/>
          <w:highlight w:val="none"/>
        </w:rPr>
        <w:t>（必须提供，否则作无效投标处理）</w:t>
      </w:r>
    </w:p>
    <w:p w14:paraId="3E494F2C">
      <w:pPr>
        <w:tabs>
          <w:tab w:val="left" w:pos="3870"/>
          <w:tab w:val="left" w:pos="4085"/>
        </w:tabs>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）投标人直接控股、管理关系信息表（按第六章要求格式填写）；</w:t>
      </w:r>
      <w:r>
        <w:rPr>
          <w:rFonts w:hint="eastAsia" w:ascii="宋体" w:hAnsi="宋体" w:cs="宋体"/>
          <w:b/>
          <w:color w:val="auto"/>
          <w:sz w:val="24"/>
          <w:highlight w:val="none"/>
        </w:rPr>
        <w:t>（必须提供，否则作无效投标处理）</w:t>
      </w:r>
    </w:p>
    <w:p w14:paraId="630377CF">
      <w:pPr>
        <w:pStyle w:val="13"/>
        <w:spacing w:line="400" w:lineRule="exact"/>
        <w:ind w:firstLine="420"/>
        <w:rPr>
          <w:rFonts w:hAnsi="宋体" w:cs="宋体"/>
          <w:color w:val="auto"/>
          <w:sz w:val="24"/>
          <w:szCs w:val="24"/>
          <w:highlight w:val="none"/>
          <w:lang w:val="en-US" w:eastAsia="zh-CN"/>
        </w:rPr>
      </w:pPr>
      <w:r>
        <w:rPr>
          <w:rFonts w:hint="eastAsia" w:hAnsi="宋体" w:cs="宋体"/>
          <w:color w:val="auto"/>
          <w:sz w:val="24"/>
          <w:szCs w:val="24"/>
          <w:highlight w:val="none"/>
          <w:lang w:val="en-US" w:eastAsia="zh-CN"/>
        </w:rPr>
        <w:t>（5）投标人如为分支机构投标的，须提供其总公司对投标人针对本项目的授权书；（如有，格式自拟）</w:t>
      </w:r>
    </w:p>
    <w:p w14:paraId="0FD9B785">
      <w:pPr>
        <w:tabs>
          <w:tab w:val="left" w:pos="3870"/>
          <w:tab w:val="left" w:pos="4085"/>
        </w:tabs>
        <w:snapToGrid w:val="0"/>
        <w:spacing w:line="360" w:lineRule="auto"/>
        <w:ind w:firstLine="422" w:firstLineChars="175"/>
        <w:jc w:val="left"/>
        <w:rPr>
          <w:rFonts w:hint="eastAsia" w:ascii="宋体" w:hAnsi="宋体" w:cs="宋体"/>
          <w:b/>
          <w:color w:val="auto"/>
          <w:sz w:val="24"/>
          <w:highlight w:val="none"/>
        </w:rPr>
      </w:pPr>
    </w:p>
    <w:p w14:paraId="2F041147">
      <w:pPr>
        <w:pStyle w:val="13"/>
        <w:spacing w:line="360" w:lineRule="auto"/>
        <w:ind w:firstLine="420" w:firstLineChars="175"/>
        <w:rPr>
          <w:rFonts w:hint="eastAsia" w:hAnsi="宋体" w:cs="宋体"/>
          <w:color w:val="auto"/>
          <w:sz w:val="24"/>
          <w:szCs w:val="24"/>
          <w:highlight w:val="none"/>
          <w:lang w:eastAsia="zh-CN"/>
        </w:rPr>
      </w:pPr>
    </w:p>
    <w:p w14:paraId="2A381607">
      <w:pPr>
        <w:snapToGrid w:val="0"/>
        <w:spacing w:before="120" w:beforeLines="50" w:after="50" w:line="360" w:lineRule="auto"/>
        <w:ind w:firstLine="420" w:firstLineChars="175"/>
        <w:outlineLvl w:val="1"/>
        <w:rPr>
          <w:rFonts w:hint="eastAsia" w:ascii="宋体" w:hAnsi="宋体" w:cs="宋体"/>
          <w:color w:val="auto"/>
          <w:sz w:val="24"/>
          <w:highlight w:val="none"/>
        </w:rPr>
      </w:pPr>
    </w:p>
    <w:p w14:paraId="55ABB9C3">
      <w:pPr>
        <w:snapToGrid w:val="0"/>
        <w:spacing w:before="120" w:beforeLines="50" w:after="50" w:line="360" w:lineRule="auto"/>
        <w:ind w:firstLine="422" w:firstLineChars="175"/>
        <w:outlineLvl w:val="1"/>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bookmarkEnd w:id="110"/>
    </w:p>
    <w:p w14:paraId="5A327FE5">
      <w:pPr>
        <w:snapToGrid w:val="0"/>
        <w:spacing w:before="120" w:beforeLines="50" w:after="50"/>
        <w:outlineLvl w:val="1"/>
        <w:rPr>
          <w:rFonts w:hint="eastAsia" w:ascii="宋体" w:hAnsi="宋体" w:cs="宋体"/>
          <w:b/>
          <w:bCs/>
          <w:color w:val="auto"/>
          <w:szCs w:val="21"/>
          <w:highlight w:val="none"/>
        </w:rPr>
      </w:pPr>
    </w:p>
    <w:p w14:paraId="1DA4D6C7">
      <w:pPr>
        <w:spacing w:line="360" w:lineRule="auto"/>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lang w:val="zh-CN"/>
        </w:rPr>
        <w:t>（1）</w:t>
      </w:r>
      <w:r>
        <w:rPr>
          <w:rFonts w:hint="eastAsia" w:ascii="宋体" w:hAnsi="宋体" w:cs="宋体"/>
          <w:b/>
          <w:color w:val="auto"/>
          <w:sz w:val="24"/>
          <w:highlight w:val="none"/>
        </w:rPr>
        <w:t>投标人有效的“营业执照”副本原件扫描件（或事业单位法人证书原件扫描件、民办非企业单位登记证书原件扫描件等；投标人为自然人的，提供身份证原件扫描件或其他电子文件）</w:t>
      </w:r>
    </w:p>
    <w:p w14:paraId="72C0218A">
      <w:pPr>
        <w:spacing w:line="360" w:lineRule="auto"/>
        <w:rPr>
          <w:rFonts w:hint="eastAsia" w:ascii="宋体" w:hAnsi="宋体" w:cs="宋体"/>
          <w:b/>
          <w:color w:val="auto"/>
          <w:sz w:val="24"/>
          <w:highlight w:val="none"/>
        </w:rPr>
      </w:pPr>
    </w:p>
    <w:p w14:paraId="2C6812C5">
      <w:pPr>
        <w:spacing w:line="360" w:lineRule="auto"/>
        <w:rPr>
          <w:rFonts w:hint="eastAsia" w:ascii="宋体" w:hAnsi="宋体" w:cs="宋体"/>
          <w:b/>
          <w:color w:val="auto"/>
          <w:sz w:val="24"/>
          <w:highlight w:val="none"/>
        </w:rPr>
      </w:pPr>
    </w:p>
    <w:p w14:paraId="3D707E2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833383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9B61DF">
      <w:pPr>
        <w:spacing w:line="360" w:lineRule="auto"/>
        <w:jc w:val="center"/>
        <w:rPr>
          <w:rFonts w:hint="eastAsia" w:ascii="宋体" w:hAnsi="宋体" w:cs="宋体"/>
          <w:b/>
          <w:color w:val="auto"/>
          <w:sz w:val="24"/>
          <w:highlight w:val="none"/>
        </w:rPr>
      </w:pPr>
    </w:p>
    <w:p w14:paraId="6EDE2D87">
      <w:pPr>
        <w:snapToGrid w:val="0"/>
        <w:spacing w:line="360" w:lineRule="auto"/>
        <w:ind w:right="480"/>
        <w:rPr>
          <w:rFonts w:hint="eastAsia" w:ascii="宋体" w:hAnsi="宋体" w:cs="宋体"/>
          <w:b/>
          <w:color w:val="auto"/>
          <w:kern w:val="0"/>
          <w:sz w:val="24"/>
          <w:highlight w:val="none"/>
        </w:rPr>
      </w:pPr>
    </w:p>
    <w:p w14:paraId="6FB8D3B2">
      <w:pPr>
        <w:snapToGrid w:val="0"/>
        <w:spacing w:line="360" w:lineRule="auto"/>
        <w:ind w:right="480"/>
        <w:rPr>
          <w:rFonts w:hint="eastAsia" w:ascii="黑体" w:hAnsi="黑体" w:eastAsia="黑体" w:cs="黑体"/>
          <w:b/>
          <w:bCs/>
          <w:color w:val="auto"/>
          <w:sz w:val="44"/>
          <w:szCs w:val="4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）政府采购供应商资格信用承诺函</w:t>
      </w:r>
    </w:p>
    <w:p w14:paraId="158EABB9">
      <w:pPr>
        <w:snapToGrid w:val="0"/>
        <w:spacing w:before="50" w:after="120" w:afterLines="50" w:line="360" w:lineRule="auto"/>
        <w:jc w:val="center"/>
        <w:rPr>
          <w:rFonts w:hint="eastAsia" w:ascii="宋体" w:hAnsi="宋体" w:cs="宋体"/>
          <w:b/>
          <w:color w:val="auto"/>
          <w:kern w:val="0"/>
          <w:sz w:val="32"/>
          <w:szCs w:val="32"/>
          <w:highlight w:val="none"/>
        </w:rPr>
      </w:pPr>
    </w:p>
    <w:p w14:paraId="7D87784E">
      <w:pPr>
        <w:snapToGrid w:val="0"/>
        <w:spacing w:before="50" w:after="120" w:afterLines="50" w:line="360" w:lineRule="auto"/>
        <w:jc w:val="center"/>
        <w:rPr>
          <w:rFonts w:hint="eastAsia"/>
          <w:color w:val="auto"/>
          <w:sz w:val="32"/>
          <w:szCs w:val="32"/>
          <w:highlight w:val="none"/>
        </w:rPr>
      </w:pPr>
      <w:r>
        <w:rPr>
          <w:rFonts w:hint="eastAsia" w:ascii="宋体" w:hAnsi="宋体" w:cs="宋体"/>
          <w:b/>
          <w:color w:val="auto"/>
          <w:kern w:val="0"/>
          <w:sz w:val="32"/>
          <w:szCs w:val="32"/>
          <w:highlight w:val="none"/>
        </w:rPr>
        <w:t>政府采购供应商资格信用承诺函</w:t>
      </w:r>
    </w:p>
    <w:p w14:paraId="29A166C8">
      <w:pPr>
        <w:autoSpaceDE w:val="0"/>
        <w:autoSpaceDN w:val="0"/>
        <w:adjustRightIn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致：</w:t>
      </w:r>
      <w:r>
        <w:rPr>
          <w:rFonts w:hint="eastAsia" w:ascii="宋体" w:hAnsi="宋体" w:cs="宋体"/>
          <w:color w:val="auto"/>
          <w:spacing w:val="6"/>
          <w:sz w:val="24"/>
          <w:highlight w:val="none"/>
          <w:u w:val="single"/>
        </w:rPr>
        <w:t>（采购人名称）、（代理机构名称）</w:t>
      </w:r>
      <w:r>
        <w:rPr>
          <w:rFonts w:hint="eastAsia" w:ascii="宋体" w:hAnsi="宋体" w:cs="宋体"/>
          <w:color w:val="auto"/>
          <w:spacing w:val="6"/>
          <w:sz w:val="24"/>
          <w:highlight w:val="none"/>
        </w:rPr>
        <w:t>：</w:t>
      </w:r>
    </w:p>
    <w:p w14:paraId="10A3ADD3">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我方自愿参加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项目（项目编号：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 xml:space="preserve">）的政府采购活动，并郑重承诺我方符合《中华人民共和国政府采购法》第二十二条规定的条件： </w:t>
      </w:r>
    </w:p>
    <w:p w14:paraId="33D14F0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（一）具有独立承担民事责任的能力； </w:t>
      </w:r>
    </w:p>
    <w:p w14:paraId="66DDE28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（二）具有良好的商业信誉和健全的财务会计制度； </w:t>
      </w:r>
    </w:p>
    <w:p w14:paraId="7140F69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（三）具有履行合同所必需的设备和专业技术能力； </w:t>
      </w:r>
    </w:p>
    <w:p w14:paraId="0D406155">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（四）有依法缴纳税收和社会保障资金的良好记录； </w:t>
      </w:r>
    </w:p>
    <w:p w14:paraId="05D90C6F">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（五）参加政府采购活动前三年内，在经营活动中没有重大违法记录； </w:t>
      </w:r>
    </w:p>
    <w:p w14:paraId="16E0A8C4">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（六）法律、行政法规规定的其他条件。 </w:t>
      </w:r>
    </w:p>
    <w:p w14:paraId="0AA3D7BA">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我方保证上述承诺事项的真实性，如有弄虚作假或其他违法违规行为，愿意承担一切法律责任，并承担因此所造成的一切损失。 </w:t>
      </w:r>
    </w:p>
    <w:p w14:paraId="685CA6AD">
      <w:pPr>
        <w:autoSpaceDE w:val="0"/>
        <w:autoSpaceDN w:val="0"/>
        <w:adjustRightInd w:val="0"/>
        <w:spacing w:line="360" w:lineRule="auto"/>
        <w:ind w:firstLine="640"/>
        <w:rPr>
          <w:rFonts w:hint="eastAsia" w:ascii="宋体" w:hAnsi="宋体" w:cs="宋体"/>
          <w:color w:val="auto"/>
          <w:spacing w:val="6"/>
          <w:sz w:val="24"/>
          <w:highlight w:val="none"/>
        </w:rPr>
      </w:pPr>
      <w:r>
        <w:rPr>
          <w:rFonts w:hint="eastAsia" w:ascii="宋体" w:hAnsi="宋体" w:cs="宋体"/>
          <w:b/>
          <w:bCs/>
          <w:color w:val="auto"/>
          <w:spacing w:val="6"/>
          <w:sz w:val="24"/>
          <w:highlight w:val="none"/>
        </w:rPr>
        <w:t>特此声明！</w:t>
      </w:r>
      <w:r>
        <w:rPr>
          <w:rFonts w:hint="eastAsia" w:ascii="宋体" w:hAnsi="宋体" w:cs="宋体"/>
          <w:color w:val="auto"/>
          <w:spacing w:val="6"/>
          <w:sz w:val="24"/>
          <w:highlight w:val="none"/>
        </w:rPr>
        <w:t xml:space="preserve"> </w:t>
      </w:r>
    </w:p>
    <w:p w14:paraId="1F830D4A">
      <w:pPr>
        <w:pStyle w:val="19"/>
        <w:tabs>
          <w:tab w:val="left" w:pos="0"/>
        </w:tabs>
        <w:spacing w:line="360" w:lineRule="auto"/>
        <w:ind w:firstLine="504"/>
        <w:rPr>
          <w:rFonts w:hint="eastAsia" w:ascii="宋体" w:hAnsi="宋体" w:eastAsia="宋体" w:cs="宋体"/>
          <w:color w:val="auto"/>
          <w:spacing w:val="6"/>
          <w:sz w:val="24"/>
          <w:szCs w:val="24"/>
          <w:highlight w:val="none"/>
          <w:lang w:val="en-US" w:eastAsia="zh-CN"/>
        </w:rPr>
      </w:pPr>
    </w:p>
    <w:p w14:paraId="692816B7">
      <w:pPr>
        <w:spacing w:line="360" w:lineRule="auto"/>
        <w:rPr>
          <w:rFonts w:hint="eastAsia" w:ascii="宋体" w:hAnsi="宋体" w:cs="宋体"/>
          <w:color w:val="auto"/>
          <w:sz w:val="24"/>
          <w:highlight w:val="none"/>
        </w:rPr>
      </w:pPr>
    </w:p>
    <w:p w14:paraId="751BDC53">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（签字）：</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 xml:space="preserve">   </w:t>
      </w:r>
    </w:p>
    <w:p w14:paraId="2B6C0A0B">
      <w:pPr>
        <w:pStyle w:val="13"/>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lang w:val="en-US" w:eastAsia="zh-CN"/>
        </w:rPr>
        <w:t>政府采购供应商</w:t>
      </w:r>
      <w:r>
        <w:rPr>
          <w:rFonts w:hint="eastAsia" w:hAnsi="宋体" w:cs="宋体"/>
          <w:b/>
          <w:bCs/>
          <w:color w:val="auto"/>
          <w:sz w:val="24"/>
          <w:szCs w:val="24"/>
          <w:highlight w:val="none"/>
        </w:rPr>
        <w:t>（CA电子签章）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7CA143D6">
      <w:pPr>
        <w:pStyle w:val="13"/>
        <w:spacing w:line="360" w:lineRule="auto"/>
        <w:jc w:val="right"/>
        <w:rPr>
          <w:rFonts w:hint="eastAsia" w:hAnsi="宋体" w:cs="宋体"/>
          <w:color w:val="auto"/>
          <w:sz w:val="24"/>
          <w:szCs w:val="24"/>
          <w:highlight w:val="none"/>
        </w:rPr>
      </w:pPr>
      <w:r>
        <w:rPr>
          <w:rFonts w:hint="eastAsia" w:hAnsi="宋体" w:cs="宋体"/>
          <w:color w:val="auto"/>
          <w:sz w:val="24"/>
          <w:szCs w:val="24"/>
          <w:highlight w:val="none"/>
        </w:rPr>
        <w:t xml:space="preserve">日期：     年   月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日</w:t>
      </w:r>
    </w:p>
    <w:p w14:paraId="71C314C6">
      <w:pPr>
        <w:pStyle w:val="13"/>
        <w:spacing w:line="360" w:lineRule="auto"/>
        <w:rPr>
          <w:rFonts w:hint="eastAsia" w:hAnsi="宋体" w:cs="宋体"/>
          <w:b/>
          <w:color w:val="auto"/>
          <w:sz w:val="24"/>
          <w:szCs w:val="24"/>
          <w:highlight w:val="none"/>
        </w:rPr>
      </w:pPr>
    </w:p>
    <w:p w14:paraId="7DE571A9">
      <w:pPr>
        <w:pStyle w:val="13"/>
        <w:spacing w:line="360" w:lineRule="auto"/>
        <w:ind w:firstLine="482" w:firstLineChars="200"/>
        <w:rPr>
          <w:rFonts w:hint="eastAsia" w:hAnsi="宋体" w:cs="宋体"/>
          <w:b/>
          <w:color w:val="auto"/>
          <w:sz w:val="24"/>
          <w:szCs w:val="24"/>
          <w:highlight w:val="none"/>
        </w:rPr>
      </w:pPr>
    </w:p>
    <w:p w14:paraId="004EF284">
      <w:pPr>
        <w:pStyle w:val="13"/>
        <w:spacing w:line="360" w:lineRule="auto"/>
        <w:rPr>
          <w:rFonts w:hint="eastAsia" w:hAnsi="宋体" w:cs="宋体"/>
          <w:b/>
          <w:color w:val="auto"/>
          <w:sz w:val="24"/>
          <w:szCs w:val="24"/>
          <w:highlight w:val="none"/>
        </w:rPr>
      </w:pPr>
    </w:p>
    <w:p w14:paraId="61A29927">
      <w:pPr>
        <w:pStyle w:val="13"/>
        <w:spacing w:line="360" w:lineRule="auto"/>
        <w:ind w:firstLine="482" w:firstLineChars="200"/>
        <w:rPr>
          <w:rFonts w:hint="eastAsia" w:hAnsi="宋体" w:cs="宋体"/>
          <w:b/>
          <w:color w:val="auto"/>
          <w:sz w:val="32"/>
          <w:szCs w:val="32"/>
          <w:highlight w:val="none"/>
          <w:lang w:val="zh-CN"/>
        </w:rPr>
      </w:pPr>
      <w:r>
        <w:rPr>
          <w:rFonts w:hint="eastAsia" w:hAnsi="宋体" w:cs="宋体"/>
          <w:b/>
          <w:color w:val="auto"/>
          <w:sz w:val="24"/>
          <w:szCs w:val="24"/>
          <w:highlight w:val="none"/>
        </w:rPr>
        <w:t>注：此项材料必须</w:t>
      </w:r>
      <w:r>
        <w:rPr>
          <w:rFonts w:hint="eastAsia" w:hAnsi="宋体" w:cs="宋体"/>
          <w:b/>
          <w:bCs/>
          <w:color w:val="auto"/>
          <w:sz w:val="24"/>
          <w:szCs w:val="24"/>
          <w:highlight w:val="none"/>
        </w:rPr>
        <w:t>以PDF格式上传。</w:t>
      </w:r>
    </w:p>
    <w:p w14:paraId="4D971C05">
      <w:pPr>
        <w:snapToGrid w:val="0"/>
        <w:spacing w:line="360" w:lineRule="auto"/>
        <w:rPr>
          <w:rFonts w:hint="eastAsia" w:ascii="宋体" w:hAnsi="宋体" w:cs="宋体"/>
          <w:b/>
          <w:color w:val="auto"/>
          <w:szCs w:val="21"/>
          <w:highlight w:val="none"/>
        </w:rPr>
      </w:pPr>
      <w:r>
        <w:rPr>
          <w:rFonts w:hint="eastAsia" w:ascii="宋体" w:hAnsi="宋体" w:cs="宋体"/>
          <w:b/>
          <w:color w:val="auto"/>
          <w:kern w:val="0"/>
          <w:sz w:val="32"/>
          <w:szCs w:val="32"/>
          <w:highlight w:val="none"/>
          <w:lang w:val="zh-CN"/>
        </w:rPr>
        <w:br w:type="page"/>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w:t>
      </w:r>
      <w:r>
        <w:rPr>
          <w:rFonts w:hint="eastAsia" w:ascii="宋体" w:hAnsi="宋体" w:cs="宋体"/>
          <w:b/>
          <w:color w:val="auto"/>
          <w:sz w:val="24"/>
          <w:highlight w:val="none"/>
        </w:rPr>
        <w:t>投标声明书格式：</w:t>
      </w:r>
    </w:p>
    <w:p w14:paraId="7DD26D85">
      <w:pPr>
        <w:snapToGrid w:val="0"/>
        <w:spacing w:before="120" w:beforeLines="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投标声明书</w:t>
      </w:r>
    </w:p>
    <w:p w14:paraId="0408D1D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鹿寨县教育局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445AC3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（投标人名称）系中华人民共和国合法企业，经营地址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5260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（投标人名称）的法定代表人（负责人），我方愿意参加贵方组织的</w:t>
      </w:r>
      <w:r>
        <w:rPr>
          <w:rFonts w:hint="eastAsia" w:ascii="宋体" w:hAnsi="宋体" w:cs="宋体"/>
          <w:color w:val="auto"/>
          <w:sz w:val="24"/>
          <w:highlight w:val="none"/>
          <w:u w:val="single"/>
        </w:rPr>
        <w:t>(项目名称)               （项目编号：        ）</w:t>
      </w:r>
      <w:r>
        <w:rPr>
          <w:rFonts w:hint="eastAsia" w:ascii="宋体" w:hAnsi="宋体" w:cs="宋体"/>
          <w:color w:val="auto"/>
          <w:sz w:val="24"/>
          <w:highlight w:val="none"/>
        </w:rPr>
        <w:t>的投标，为便于贵方公正、择优地确定中标人及其投标产品和服务，我方就本次投标有关事项郑重声明如下：</w:t>
      </w:r>
    </w:p>
    <w:p w14:paraId="118D2D3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45FBA7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2.我方承诺已经具备《中华人民共和国政府采购法》第二十二条中规定的参加政府采购活动的供应商应当具备的条件：</w:t>
      </w:r>
    </w:p>
    <w:p w14:paraId="3C2BFD1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9BBF05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659C9D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3D400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BB27A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FABA2F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75C12D2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35F71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3.我方参加政府采购活动前三年内，在经营活动中没有重大违法记录。</w:t>
      </w:r>
    </w:p>
    <w:p w14:paraId="0665333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4.经查询，在“信用中国”和“中国政府采购网”网站我方未被列入失信被执行人、重大税收违法失信主体、政府采购严重违法失信行为记录名单。</w:t>
      </w:r>
    </w:p>
    <w:p w14:paraId="4E36A52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FDAA562">
      <w:pPr>
        <w:pStyle w:val="25"/>
        <w:snapToGrid w:val="0"/>
        <w:spacing w:before="120" w:beforeLines="50"/>
        <w:ind w:firstLine="200"/>
        <w:rPr>
          <w:rFonts w:hint="eastAsia" w:ascii="宋体" w:hAnsi="宋体" w:cs="宋体"/>
          <w:color w:val="auto"/>
          <w:sz w:val="21"/>
          <w:szCs w:val="21"/>
          <w:highlight w:val="none"/>
        </w:rPr>
      </w:pPr>
    </w:p>
    <w:p w14:paraId="57324702">
      <w:pPr>
        <w:pStyle w:val="13"/>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0C1D262">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rPr>
        <w:t>签名:</w:t>
      </w:r>
      <w:r>
        <w:rPr>
          <w:rFonts w:hint="eastAsia" w:ascii="宋体" w:hAnsi="宋体" w:cs="宋体"/>
          <w:color w:val="auto"/>
          <w:sz w:val="24"/>
          <w:highlight w:val="none"/>
          <w:u w:val="single"/>
        </w:rPr>
        <w:t xml:space="preserve">                          </w:t>
      </w:r>
    </w:p>
    <w:p w14:paraId="6121D803">
      <w:pPr>
        <w:pStyle w:val="13"/>
        <w:spacing w:line="360" w:lineRule="auto"/>
        <w:ind w:firstLine="420"/>
        <w:rPr>
          <w:rFonts w:hint="eastAsia" w:hAnsi="宋体" w:cs="宋体"/>
          <w:color w:val="auto"/>
          <w:sz w:val="24"/>
          <w:szCs w:val="24"/>
          <w:highlight w:val="none"/>
          <w:lang w:eastAsia="zh-CN"/>
        </w:rPr>
      </w:pPr>
      <w:r>
        <w:rPr>
          <w:rFonts w:hint="eastAsia" w:hAnsi="宋体" w:cs="宋体"/>
          <w:color w:val="auto"/>
          <w:sz w:val="24"/>
          <w:szCs w:val="24"/>
          <w:highlight w:val="none"/>
        </w:rPr>
        <w:t xml:space="preserve">                                                   年    月    日</w:t>
      </w:r>
    </w:p>
    <w:p w14:paraId="4A57D103">
      <w:pPr>
        <w:snapToGrid w:val="0"/>
        <w:spacing w:before="50" w:after="120" w:afterLines="50" w:line="360" w:lineRule="auto"/>
        <w:rPr>
          <w:rFonts w:hint="eastAsia" w:ascii="宋体" w:hAnsi="宋体" w:cs="宋体"/>
          <w:b/>
          <w:color w:val="auto"/>
          <w:kern w:val="0"/>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kern w:val="0"/>
          <w:sz w:val="24"/>
          <w:highlight w:val="none"/>
        </w:rPr>
        <w:t>投标人直接控股、管理关系信息表格式</w:t>
      </w:r>
    </w:p>
    <w:p w14:paraId="4B202524">
      <w:pPr>
        <w:snapToGrid w:val="0"/>
        <w:spacing w:before="50" w:after="120" w:afterLines="50"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投标人直接控股股东信息表</w:t>
      </w:r>
    </w:p>
    <w:tbl>
      <w:tblPr>
        <w:tblStyle w:val="20"/>
        <w:tblW w:w="0" w:type="auto"/>
        <w:tblInd w:w="0" w:type="dxa"/>
        <w:tblLayout w:type="fixed"/>
        <w:tblCellMar>
          <w:top w:w="0" w:type="dxa"/>
          <w:left w:w="0" w:type="dxa"/>
          <w:bottom w:w="0" w:type="dxa"/>
          <w:right w:w="0" w:type="dxa"/>
        </w:tblCellMar>
      </w:tblPr>
      <w:tblGrid>
        <w:gridCol w:w="828"/>
        <w:gridCol w:w="2269"/>
        <w:gridCol w:w="1239"/>
        <w:gridCol w:w="4006"/>
        <w:gridCol w:w="1134"/>
      </w:tblGrid>
      <w:tr w14:paraId="35427BF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A141BA2">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8754CD5">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C86B0A8">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1C89EE1">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838E95D">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5E9BE1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1C5C21">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DCA6B48">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460B8BB">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6302EE4">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7148FB1">
            <w:pPr>
              <w:spacing w:line="360" w:lineRule="auto"/>
              <w:jc w:val="center"/>
              <w:rPr>
                <w:rFonts w:hint="eastAsia" w:ascii="宋体" w:hAnsi="宋体" w:cs="宋体"/>
                <w:color w:val="auto"/>
                <w:kern w:val="0"/>
                <w:sz w:val="24"/>
                <w:highlight w:val="none"/>
              </w:rPr>
            </w:pPr>
          </w:p>
        </w:tc>
      </w:tr>
      <w:tr w14:paraId="0B590A7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AEFB69">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BA11282">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6EBB9">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C5DDFB">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031713A">
            <w:pPr>
              <w:spacing w:line="360" w:lineRule="auto"/>
              <w:jc w:val="center"/>
              <w:rPr>
                <w:rFonts w:hint="eastAsia" w:ascii="宋体" w:hAnsi="宋体" w:cs="宋体"/>
                <w:color w:val="auto"/>
                <w:kern w:val="0"/>
                <w:sz w:val="24"/>
                <w:highlight w:val="none"/>
              </w:rPr>
            </w:pPr>
          </w:p>
        </w:tc>
      </w:tr>
      <w:tr w14:paraId="377F497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1E52A2D">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C1E82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678596">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422B6D">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6A151A3">
            <w:pPr>
              <w:spacing w:line="360" w:lineRule="auto"/>
              <w:jc w:val="center"/>
              <w:rPr>
                <w:rFonts w:hint="eastAsia" w:ascii="宋体" w:hAnsi="宋体" w:cs="宋体"/>
                <w:color w:val="auto"/>
                <w:kern w:val="0"/>
                <w:sz w:val="24"/>
                <w:highlight w:val="none"/>
              </w:rPr>
            </w:pPr>
          </w:p>
        </w:tc>
      </w:tr>
      <w:tr w14:paraId="1DC71DB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E3EB6D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EF7207E">
            <w:pPr>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D1E4D6A">
            <w:pPr>
              <w:spacing w:line="360" w:lineRule="auto"/>
              <w:jc w:val="center"/>
              <w:rPr>
                <w:rFonts w:hint="eastAsia" w:ascii="宋体" w:hAnsi="宋体" w:cs="宋体"/>
                <w:color w:val="auto"/>
                <w:kern w:val="0"/>
                <w:sz w:val="24"/>
                <w:highlight w:val="none"/>
              </w:rPr>
            </w:pPr>
          </w:p>
        </w:tc>
        <w:tc>
          <w:tcPr>
            <w:tcW w:w="4006"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21DC633">
            <w:pPr>
              <w:spacing w:line="360" w:lineRule="auto"/>
              <w:jc w:val="center"/>
              <w:rPr>
                <w:rFonts w:hint="eastAsia" w:ascii="宋体" w:hAnsi="宋体" w:cs="宋体"/>
                <w:color w:val="auto"/>
                <w:kern w:val="0"/>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BE44EEF">
            <w:pPr>
              <w:spacing w:line="360" w:lineRule="auto"/>
              <w:jc w:val="center"/>
              <w:rPr>
                <w:rFonts w:hint="eastAsia" w:ascii="宋体" w:hAnsi="宋体" w:cs="宋体"/>
                <w:color w:val="auto"/>
                <w:kern w:val="0"/>
                <w:sz w:val="24"/>
                <w:highlight w:val="none"/>
              </w:rPr>
            </w:pPr>
          </w:p>
        </w:tc>
      </w:tr>
    </w:tbl>
    <w:p w14:paraId="6F19D5BD">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7B7122">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06059C">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4B957C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6E84B572">
      <w:pPr>
        <w:snapToGrid w:val="0"/>
        <w:spacing w:line="360" w:lineRule="auto"/>
        <w:ind w:firstLine="420" w:firstLineChars="175"/>
        <w:jc w:val="left"/>
        <w:rPr>
          <w:rFonts w:hint="eastAsia" w:ascii="宋体" w:hAnsi="宋体" w:cs="宋体"/>
          <w:color w:val="auto"/>
          <w:sz w:val="24"/>
          <w:highlight w:val="none"/>
        </w:rPr>
      </w:pPr>
    </w:p>
    <w:p w14:paraId="6B994D11">
      <w:pPr>
        <w:snapToGrid w:val="0"/>
        <w:spacing w:line="360" w:lineRule="auto"/>
        <w:jc w:val="left"/>
        <w:rPr>
          <w:rFonts w:hint="eastAsia" w:ascii="宋体" w:hAnsi="宋体" w:cs="宋体"/>
          <w:color w:val="auto"/>
          <w:sz w:val="24"/>
          <w:highlight w:val="none"/>
        </w:rPr>
      </w:pPr>
    </w:p>
    <w:p w14:paraId="467D893C">
      <w:pPr>
        <w:snapToGrid w:val="0"/>
        <w:spacing w:line="360" w:lineRule="auto"/>
        <w:ind w:firstLine="420" w:firstLineChars="175"/>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69D5E1B1">
      <w:pPr>
        <w:snapToGrid w:val="0"/>
        <w:spacing w:line="360" w:lineRule="auto"/>
        <w:ind w:firstLine="420" w:firstLineChars="175"/>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3905F4">
      <w:pPr>
        <w:snapToGrid w:val="0"/>
        <w:spacing w:line="360" w:lineRule="auto"/>
        <w:jc w:val="center"/>
        <w:rPr>
          <w:rFonts w:hint="eastAsia" w:ascii="宋体" w:hAnsi="宋体" w:cs="宋体"/>
          <w:b/>
          <w:color w:val="auto"/>
          <w:sz w:val="32"/>
          <w:szCs w:val="32"/>
          <w:highlight w:val="none"/>
        </w:rPr>
      </w:pPr>
    </w:p>
    <w:p w14:paraId="31B5FD29">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投标人直接管理关系信息表</w:t>
      </w:r>
    </w:p>
    <w:p w14:paraId="46C9153B">
      <w:pPr>
        <w:snapToGrid w:val="0"/>
        <w:spacing w:line="360" w:lineRule="auto"/>
        <w:jc w:val="center"/>
        <w:rPr>
          <w:rFonts w:hint="eastAsia" w:ascii="宋体" w:hAnsi="宋体" w:cs="宋体"/>
          <w:b/>
          <w:color w:val="auto"/>
          <w:sz w:val="32"/>
          <w:szCs w:val="32"/>
          <w:highlight w:val="none"/>
        </w:rPr>
      </w:pPr>
    </w:p>
    <w:tbl>
      <w:tblPr>
        <w:tblStyle w:val="20"/>
        <w:tblW w:w="0" w:type="auto"/>
        <w:tblInd w:w="0" w:type="dxa"/>
        <w:tblLayout w:type="fixed"/>
        <w:tblCellMar>
          <w:top w:w="0" w:type="dxa"/>
          <w:left w:w="0" w:type="dxa"/>
          <w:bottom w:w="0" w:type="dxa"/>
          <w:right w:w="0" w:type="dxa"/>
        </w:tblCellMar>
      </w:tblPr>
      <w:tblGrid>
        <w:gridCol w:w="1005"/>
        <w:gridCol w:w="2659"/>
        <w:gridCol w:w="3924"/>
        <w:gridCol w:w="2064"/>
      </w:tblGrid>
      <w:tr w14:paraId="5C916A3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BAE335A">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D173846">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F350080">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F2353D5">
            <w:pPr>
              <w:spacing w:line="360" w:lineRule="auto"/>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3D894B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3DC386">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A0D9D7F">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39812D4">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2C06ADB">
            <w:pPr>
              <w:spacing w:line="360" w:lineRule="auto"/>
              <w:jc w:val="center"/>
              <w:rPr>
                <w:rFonts w:hint="eastAsia" w:ascii="宋体" w:hAnsi="宋体" w:cs="宋体"/>
                <w:color w:val="auto"/>
                <w:kern w:val="0"/>
                <w:sz w:val="22"/>
                <w:szCs w:val="22"/>
                <w:highlight w:val="none"/>
              </w:rPr>
            </w:pPr>
          </w:p>
        </w:tc>
      </w:tr>
      <w:tr w14:paraId="79A3111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AF56E1D">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152C7E8">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C9FB4DF">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926EAB7">
            <w:pPr>
              <w:spacing w:line="360" w:lineRule="auto"/>
              <w:jc w:val="center"/>
              <w:rPr>
                <w:rFonts w:hint="eastAsia" w:ascii="宋体" w:hAnsi="宋体" w:cs="宋体"/>
                <w:color w:val="auto"/>
                <w:kern w:val="0"/>
                <w:sz w:val="22"/>
                <w:szCs w:val="22"/>
                <w:highlight w:val="none"/>
              </w:rPr>
            </w:pPr>
          </w:p>
        </w:tc>
      </w:tr>
      <w:tr w14:paraId="2E37115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EC7BA3">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B89A85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611E09B">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946A477">
            <w:pPr>
              <w:spacing w:line="360" w:lineRule="auto"/>
              <w:jc w:val="center"/>
              <w:rPr>
                <w:rFonts w:hint="eastAsia" w:ascii="宋体" w:hAnsi="宋体" w:cs="宋体"/>
                <w:color w:val="auto"/>
                <w:kern w:val="0"/>
                <w:sz w:val="22"/>
                <w:szCs w:val="22"/>
                <w:highlight w:val="none"/>
              </w:rPr>
            </w:pPr>
          </w:p>
        </w:tc>
      </w:tr>
      <w:tr w14:paraId="48318D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6CFBEB">
            <w:pPr>
              <w:spacing w:line="36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CDA5A4">
            <w:pPr>
              <w:spacing w:line="360" w:lineRule="auto"/>
              <w:jc w:val="center"/>
              <w:rPr>
                <w:rFonts w:hint="eastAsia" w:ascii="宋体" w:hAnsi="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FB1EC27">
            <w:pPr>
              <w:spacing w:line="360" w:lineRule="auto"/>
              <w:jc w:val="center"/>
              <w:rPr>
                <w:rFonts w:hint="eastAsia" w:ascii="宋体" w:hAnsi="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C0F8813">
            <w:pPr>
              <w:spacing w:line="360" w:lineRule="auto"/>
              <w:jc w:val="center"/>
              <w:rPr>
                <w:rFonts w:hint="eastAsia" w:ascii="宋体" w:hAnsi="宋体" w:cs="宋体"/>
                <w:color w:val="auto"/>
                <w:kern w:val="0"/>
                <w:sz w:val="22"/>
                <w:szCs w:val="22"/>
                <w:highlight w:val="none"/>
              </w:rPr>
            </w:pPr>
          </w:p>
        </w:tc>
      </w:tr>
    </w:tbl>
    <w:p w14:paraId="7DC6D7DD">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519321F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40984AF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FAC990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B3A4A91">
      <w:pPr>
        <w:snapToGrid w:val="0"/>
        <w:spacing w:line="360" w:lineRule="auto"/>
        <w:jc w:val="left"/>
        <w:rPr>
          <w:rFonts w:hint="eastAsia" w:ascii="宋体" w:hAnsi="宋体" w:cs="宋体"/>
          <w:color w:val="auto"/>
          <w:szCs w:val="21"/>
          <w:highlight w:val="none"/>
        </w:rPr>
      </w:pPr>
    </w:p>
    <w:p w14:paraId="664DA428">
      <w:pPr>
        <w:snapToGrid w:val="0"/>
        <w:spacing w:line="360" w:lineRule="auto"/>
        <w:jc w:val="left"/>
        <w:rPr>
          <w:rFonts w:hint="eastAsia" w:ascii="宋体" w:hAnsi="宋体" w:cs="宋体"/>
          <w:color w:val="auto"/>
          <w:szCs w:val="21"/>
          <w:highlight w:val="none"/>
        </w:rPr>
      </w:pPr>
    </w:p>
    <w:p w14:paraId="4C435860">
      <w:pPr>
        <w:snapToGrid w:val="0"/>
        <w:spacing w:line="360" w:lineRule="auto"/>
        <w:ind w:firstLine="2640" w:firstLineChars="11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p>
    <w:p w14:paraId="7BAAABE7">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095961">
      <w:pPr>
        <w:snapToGrid w:val="0"/>
        <w:spacing w:line="360" w:lineRule="auto"/>
        <w:ind w:firstLine="5160" w:firstLineChars="2150"/>
        <w:rPr>
          <w:rFonts w:hint="eastAsia" w:ascii="宋体" w:hAnsi="宋体" w:cs="宋体"/>
          <w:color w:val="auto"/>
          <w:kern w:val="0"/>
          <w:sz w:val="24"/>
          <w:highlight w:val="none"/>
          <w:lang w:val="zh-CN"/>
        </w:rPr>
      </w:pPr>
    </w:p>
    <w:p w14:paraId="21657E8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（5）投标人如为分支机构投标的，须提供其总公司对投标人针对本项目的授权书（如有，格式自拟）</w:t>
      </w:r>
    </w:p>
    <w:p w14:paraId="4C4D497A">
      <w:pPr>
        <w:pStyle w:val="26"/>
        <w:tabs>
          <w:tab w:val="left" w:pos="961"/>
        </w:tabs>
        <w:ind w:firstLine="0" w:firstLineChars="0"/>
        <w:rPr>
          <w:rFonts w:hint="eastAsia" w:ascii="宋体" w:hAnsi="宋体" w:cs="宋体"/>
          <w:b/>
          <w:color w:val="auto"/>
          <w:sz w:val="24"/>
          <w:highlight w:val="none"/>
          <w:lang w:val="en-US" w:eastAsia="zh-CN"/>
        </w:rPr>
      </w:pPr>
    </w:p>
    <w:p w14:paraId="521419AD">
      <w:pPr>
        <w:pStyle w:val="26"/>
        <w:tabs>
          <w:tab w:val="left" w:pos="961"/>
        </w:tabs>
        <w:ind w:firstLine="0" w:firstLineChars="0"/>
        <w:rPr>
          <w:rFonts w:hint="eastAsia" w:ascii="宋体" w:hAnsi="宋体" w:cs="宋体"/>
          <w:color w:val="auto"/>
          <w:kern w:val="0"/>
          <w:sz w:val="24"/>
          <w:highlight w:val="none"/>
          <w:lang w:val="zh-CN"/>
        </w:rPr>
      </w:pPr>
    </w:p>
    <w:p w14:paraId="7F5EAE25">
      <w:pPr>
        <w:pStyle w:val="26"/>
        <w:tabs>
          <w:tab w:val="left" w:pos="961"/>
        </w:tabs>
        <w:ind w:firstLine="2640" w:firstLineChars="1100"/>
        <w:rPr>
          <w:rFonts w:hint="eastAsia" w:ascii="宋体" w:hAnsi="宋体" w:cs="宋体"/>
          <w:b/>
          <w:color w:val="auto"/>
          <w:sz w:val="24"/>
          <w:highlight w:val="none"/>
          <w:lang w:val="en-US" w:eastAsia="zh-CN"/>
        </w:rPr>
      </w:pPr>
      <w:r>
        <w:rPr>
          <w:rFonts w:hint="eastAsia" w:ascii="宋体" w:hAnsi="宋体" w:cs="宋体"/>
          <w:color w:val="auto"/>
          <w:kern w:val="0"/>
          <w:sz w:val="24"/>
          <w:highlight w:val="none"/>
          <w:lang w:val="zh-CN"/>
        </w:rPr>
        <w:t>投标人</w:t>
      </w:r>
      <w:r>
        <w:rPr>
          <w:rFonts w:hint="eastAsia" w:ascii="宋体" w:hAnsi="宋体" w:cs="宋体"/>
          <w:b/>
          <w:color w:val="auto"/>
          <w:kern w:val="0"/>
          <w:sz w:val="24"/>
          <w:highlight w:val="none"/>
          <w:lang w:val="zh-CN"/>
        </w:rPr>
        <w:t>（加盖CA电子签章）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p>
    <w:p w14:paraId="060DA47F">
      <w:pPr>
        <w:pStyle w:val="10"/>
        <w:spacing w:line="400" w:lineRule="exact"/>
        <w:rPr>
          <w:rFonts w:hint="eastAsia" w:ascii="宋体" w:hAnsi="宋体" w:cs="宋体"/>
          <w:bCs/>
          <w:color w:val="auto"/>
          <w:szCs w:val="21"/>
          <w:highlight w:val="none"/>
        </w:rPr>
      </w:pPr>
      <w:r>
        <w:rPr>
          <w:rFonts w:hint="eastAsia" w:ascii="宋体" w:hAnsi="宋体" w:cs="宋体"/>
          <w:b/>
          <w:color w:val="auto"/>
          <w:kern w:val="2"/>
          <w:highlight w:val="none"/>
          <w:lang w:val="en-US" w:eastAsia="zh-CN"/>
        </w:rPr>
        <w:br w:type="page"/>
      </w:r>
      <w:r>
        <w:rPr>
          <w:rFonts w:hint="eastAsia" w:ascii="宋体" w:hAnsi="宋体" w:cs="宋体"/>
          <w:b/>
          <w:color w:val="auto"/>
          <w:highlight w:val="none"/>
        </w:rPr>
        <w:t>2.</w:t>
      </w:r>
      <w:r>
        <w:rPr>
          <w:rFonts w:hint="eastAsia" w:ascii="宋体" w:hAnsi="宋体" w:cs="宋体"/>
          <w:b/>
          <w:bCs/>
          <w:color w:val="auto"/>
          <w:highlight w:val="none"/>
        </w:rPr>
        <w:t xml:space="preserve"> 投标文件（报价文件）封面格式：</w:t>
      </w:r>
    </w:p>
    <w:p w14:paraId="25402FE9">
      <w:pPr>
        <w:snapToGrid w:val="0"/>
        <w:spacing w:before="120" w:beforeLines="50" w:after="50"/>
        <w:ind w:firstLine="13" w:firstLineChars="3"/>
        <w:jc w:val="center"/>
        <w:rPr>
          <w:rFonts w:hint="eastAsia" w:ascii="宋体" w:hAnsi="宋体" w:cs="宋体"/>
          <w:bCs/>
          <w:color w:val="auto"/>
          <w:sz w:val="44"/>
          <w:szCs w:val="44"/>
          <w:highlight w:val="none"/>
        </w:rPr>
      </w:pPr>
    </w:p>
    <w:p w14:paraId="0C4D5F83">
      <w:pPr>
        <w:snapToGrid w:val="0"/>
        <w:spacing w:before="120" w:beforeLines="50" w:after="50"/>
        <w:jc w:val="center"/>
        <w:rPr>
          <w:rFonts w:hint="eastAsia" w:ascii="宋体" w:hAnsi="宋体" w:cs="宋体"/>
          <w:b/>
          <w:color w:val="auto"/>
          <w:sz w:val="44"/>
          <w:szCs w:val="44"/>
          <w:highlight w:val="none"/>
        </w:rPr>
      </w:pPr>
    </w:p>
    <w:p w14:paraId="32F4404E">
      <w:pPr>
        <w:snapToGrid w:val="0"/>
        <w:spacing w:before="120" w:beforeLines="50" w:after="50"/>
        <w:jc w:val="center"/>
        <w:rPr>
          <w:rFonts w:hint="eastAsia" w:ascii="宋体" w:hAnsi="宋体" w:cs="宋体"/>
          <w:b/>
          <w:color w:val="auto"/>
          <w:sz w:val="44"/>
          <w:szCs w:val="44"/>
          <w:highlight w:val="none"/>
        </w:rPr>
      </w:pPr>
    </w:p>
    <w:p w14:paraId="0ADFD120">
      <w:pPr>
        <w:snapToGrid w:val="0"/>
        <w:spacing w:before="120" w:beforeLines="50" w:after="5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  标  文  件</w:t>
      </w:r>
    </w:p>
    <w:p w14:paraId="0B717BA7">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（报价文件）</w:t>
      </w:r>
    </w:p>
    <w:p w14:paraId="5439803B">
      <w:pPr>
        <w:snapToGrid w:val="0"/>
        <w:spacing w:before="120" w:beforeLines="50" w:after="50"/>
        <w:ind w:firstLine="9" w:firstLineChars="3"/>
        <w:jc w:val="center"/>
        <w:rPr>
          <w:rFonts w:hint="eastAsia" w:ascii="宋体" w:hAnsi="宋体" w:cs="宋体"/>
          <w:bCs/>
          <w:color w:val="auto"/>
          <w:sz w:val="32"/>
          <w:szCs w:val="32"/>
          <w:highlight w:val="none"/>
        </w:rPr>
      </w:pPr>
    </w:p>
    <w:p w14:paraId="356FE949">
      <w:pPr>
        <w:snapToGrid w:val="0"/>
        <w:spacing w:before="120" w:beforeLines="50" w:after="50"/>
        <w:rPr>
          <w:rFonts w:hint="eastAsia" w:ascii="宋体" w:hAnsi="宋体" w:cs="宋体"/>
          <w:bCs/>
          <w:color w:val="auto"/>
          <w:szCs w:val="21"/>
          <w:highlight w:val="none"/>
        </w:rPr>
      </w:pPr>
    </w:p>
    <w:p w14:paraId="6A471D4B">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39CFD606">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1184A2B0">
      <w:pPr>
        <w:pStyle w:val="8"/>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rPr>
        <w:t xml:space="preserve">         </w:t>
      </w:r>
      <w:r>
        <w:rPr>
          <w:rFonts w:hint="eastAsia" w:hAnsi="宋体"/>
          <w:b/>
          <w:color w:val="auto"/>
          <w:sz w:val="32"/>
          <w:szCs w:val="32"/>
          <w:highlight w:val="none"/>
          <w:u w:val="single"/>
        </w:rPr>
        <w:t>（</w:t>
      </w:r>
      <w:r>
        <w:rPr>
          <w:rFonts w:hint="eastAsia" w:hAnsi="宋体"/>
          <w:b/>
          <w:color w:val="auto"/>
          <w:sz w:val="30"/>
          <w:szCs w:val="30"/>
          <w:highlight w:val="none"/>
          <w:u w:val="single"/>
        </w:rPr>
        <w:t>加盖</w:t>
      </w:r>
      <w:r>
        <w:rPr>
          <w:rFonts w:hint="eastAsia" w:ascii="宋体" w:hAnsi="宋体" w:cs="宋体"/>
          <w:b/>
          <w:color w:val="auto"/>
          <w:sz w:val="30"/>
          <w:szCs w:val="30"/>
          <w:highlight w:val="none"/>
          <w:u w:val="single"/>
        </w:rPr>
        <w:t>CA电子签章</w:t>
      </w:r>
      <w:r>
        <w:rPr>
          <w:rFonts w:hint="eastAsia" w:hAnsi="宋体"/>
          <w:b/>
          <w:color w:val="auto"/>
          <w:sz w:val="32"/>
          <w:szCs w:val="32"/>
          <w:highlight w:val="none"/>
          <w:u w:val="single"/>
        </w:rPr>
        <w:t>）</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67F69C70">
      <w:pPr>
        <w:pStyle w:val="8"/>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1B86C635">
      <w:pPr>
        <w:pStyle w:val="8"/>
        <w:snapToGrid w:val="0"/>
        <w:spacing w:before="50" w:after="50" w:line="280" w:lineRule="exact"/>
        <w:ind w:firstLine="675" w:firstLineChars="225"/>
        <w:rPr>
          <w:rFonts w:hint="eastAsia" w:ascii="宋体" w:hAnsi="宋体" w:cs="宋体"/>
          <w:bCs/>
          <w:color w:val="auto"/>
          <w:sz w:val="30"/>
          <w:szCs w:val="30"/>
          <w:highlight w:val="none"/>
        </w:rPr>
      </w:pPr>
    </w:p>
    <w:p w14:paraId="7C7F0090">
      <w:pPr>
        <w:pStyle w:val="8"/>
        <w:snapToGrid w:val="0"/>
        <w:spacing w:before="50" w:after="50" w:line="280" w:lineRule="exact"/>
        <w:ind w:firstLine="675" w:firstLineChars="225"/>
        <w:rPr>
          <w:rFonts w:hint="eastAsia" w:ascii="宋体" w:hAnsi="宋体" w:cs="宋体"/>
          <w:bCs/>
          <w:color w:val="auto"/>
          <w:sz w:val="30"/>
          <w:szCs w:val="30"/>
          <w:highlight w:val="none"/>
        </w:rPr>
      </w:pPr>
    </w:p>
    <w:p w14:paraId="78335D86">
      <w:pPr>
        <w:pStyle w:val="8"/>
        <w:snapToGrid w:val="0"/>
        <w:spacing w:before="50" w:after="50" w:line="280" w:lineRule="exact"/>
        <w:ind w:firstLine="0"/>
        <w:rPr>
          <w:rFonts w:hint="eastAsia" w:ascii="宋体" w:hAnsi="宋体" w:cs="宋体"/>
          <w:bCs/>
          <w:color w:val="auto"/>
          <w:sz w:val="30"/>
          <w:szCs w:val="30"/>
          <w:highlight w:val="none"/>
        </w:rPr>
      </w:pPr>
    </w:p>
    <w:p w14:paraId="3F68B82D">
      <w:pPr>
        <w:pStyle w:val="8"/>
        <w:snapToGrid w:val="0"/>
        <w:spacing w:before="50" w:after="50" w:line="280" w:lineRule="exact"/>
        <w:ind w:firstLine="675" w:firstLineChars="225"/>
        <w:rPr>
          <w:rFonts w:hint="eastAsia" w:ascii="宋体" w:hAnsi="宋体" w:cs="宋体"/>
          <w:bCs/>
          <w:color w:val="auto"/>
          <w:sz w:val="30"/>
          <w:szCs w:val="30"/>
          <w:highlight w:val="none"/>
        </w:rPr>
      </w:pPr>
    </w:p>
    <w:p w14:paraId="784970C2">
      <w:pPr>
        <w:snapToGrid w:val="0"/>
        <w:spacing w:before="120" w:beforeLines="50" w:after="50"/>
        <w:ind w:firstLine="1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年  月  日</w:t>
      </w:r>
    </w:p>
    <w:p w14:paraId="15AF2559">
      <w:pPr>
        <w:snapToGrid w:val="0"/>
        <w:spacing w:before="50" w:after="50"/>
        <w:rPr>
          <w:rFonts w:hint="eastAsia" w:ascii="宋体" w:hAnsi="宋体" w:cs="宋体"/>
          <w:b/>
          <w:color w:val="auto"/>
          <w:szCs w:val="21"/>
          <w:highlight w:val="none"/>
        </w:rPr>
      </w:pPr>
    </w:p>
    <w:p w14:paraId="219E71E8">
      <w:pPr>
        <w:snapToGrid w:val="0"/>
        <w:spacing w:line="380" w:lineRule="exact"/>
        <w:ind w:firstLine="413" w:firstLineChars="196"/>
        <w:jc w:val="left"/>
        <w:rPr>
          <w:rFonts w:hint="eastAsia" w:ascii="宋体" w:hAnsi="宋体" w:cs="宋体"/>
          <w:b/>
          <w:color w:val="auto"/>
          <w:szCs w:val="21"/>
          <w:highlight w:val="none"/>
        </w:rPr>
      </w:pPr>
    </w:p>
    <w:p w14:paraId="1759FC86">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 w:val="24"/>
          <w:highlight w:val="none"/>
        </w:rPr>
        <w:t>投标文件（</w:t>
      </w:r>
      <w:r>
        <w:rPr>
          <w:rFonts w:hint="eastAsia" w:ascii="宋体" w:hAnsi="宋体" w:cs="宋体"/>
          <w:b/>
          <w:color w:val="auto"/>
          <w:sz w:val="24"/>
          <w:highlight w:val="none"/>
        </w:rPr>
        <w:t>报价文件</w:t>
      </w:r>
      <w:r>
        <w:rPr>
          <w:rFonts w:hint="eastAsia" w:ascii="宋体" w:hAnsi="宋体" w:cs="宋体"/>
          <w:b/>
          <w:bCs/>
          <w:color w:val="auto"/>
          <w:sz w:val="24"/>
          <w:highlight w:val="none"/>
        </w:rPr>
        <w:t>）目录：</w:t>
      </w:r>
    </w:p>
    <w:p w14:paraId="44D0F737">
      <w:pPr>
        <w:tabs>
          <w:tab w:val="left" w:pos="3870"/>
          <w:tab w:val="left" w:pos="4085"/>
        </w:tabs>
        <w:snapToGrid w:val="0"/>
        <w:spacing w:line="500" w:lineRule="exact"/>
        <w:jc w:val="center"/>
        <w:rPr>
          <w:rFonts w:hint="eastAsia" w:ascii="宋体" w:hAnsi="宋体" w:cs="宋体"/>
          <w:color w:val="auto"/>
          <w:sz w:val="44"/>
          <w:szCs w:val="44"/>
          <w:highlight w:val="none"/>
        </w:rPr>
      </w:pPr>
    </w:p>
    <w:p w14:paraId="4F1B3D2D">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D5719D8">
      <w:pPr>
        <w:snapToGrid w:val="0"/>
        <w:spacing w:line="360" w:lineRule="exact"/>
        <w:ind w:firstLine="411" w:firstLineChars="196"/>
        <w:jc w:val="left"/>
        <w:rPr>
          <w:rFonts w:hint="eastAsia" w:ascii="宋体" w:hAnsi="宋体" w:cs="宋体"/>
          <w:color w:val="auto"/>
          <w:szCs w:val="21"/>
          <w:highlight w:val="none"/>
        </w:rPr>
      </w:pPr>
    </w:p>
    <w:p w14:paraId="5EC0039A">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（1）投标函；</w:t>
      </w:r>
    </w:p>
    <w:p w14:paraId="3858C137">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（2）开标一览表；</w:t>
      </w:r>
    </w:p>
    <w:p w14:paraId="4492B9E1">
      <w:pPr>
        <w:tabs>
          <w:tab w:val="left" w:pos="3870"/>
          <w:tab w:val="left" w:pos="4085"/>
        </w:tabs>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（3）报价明细表；</w:t>
      </w:r>
    </w:p>
    <w:p w14:paraId="6FF14847">
      <w:pPr>
        <w:snapToGrid w:val="0"/>
        <w:spacing w:line="360" w:lineRule="auto"/>
        <w:ind w:firstLine="420" w:firstLineChars="175"/>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中小企业声明函、残疾人福利单位声明函</w:t>
      </w:r>
      <w:r>
        <w:rPr>
          <w:rFonts w:hint="eastAsia" w:ascii="宋体" w:hAnsi="宋体" w:eastAsia="宋体" w:cs="宋体"/>
          <w:color w:val="auto"/>
          <w:sz w:val="24"/>
          <w:szCs w:val="24"/>
          <w:highlight w:val="none"/>
          <w:lang w:eastAsia="zh-CN"/>
        </w:rPr>
        <w:t>；（如有）</w:t>
      </w:r>
    </w:p>
    <w:p w14:paraId="7FEF1ED0">
      <w:pPr>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）投标人针对报价需要说明的其他文件和说明。（如有，格式自拟）</w:t>
      </w:r>
    </w:p>
    <w:p w14:paraId="18022EA0">
      <w:pPr>
        <w:snapToGrid w:val="0"/>
        <w:spacing w:line="380" w:lineRule="exact"/>
        <w:ind w:firstLine="472" w:firstLineChars="196"/>
        <w:jc w:val="left"/>
        <w:rPr>
          <w:rFonts w:hint="eastAsia" w:ascii="宋体" w:hAnsi="宋体" w:cs="宋体"/>
          <w:b/>
          <w:color w:val="auto"/>
          <w:sz w:val="24"/>
          <w:highlight w:val="none"/>
        </w:rPr>
      </w:pPr>
    </w:p>
    <w:p w14:paraId="045379A0">
      <w:pPr>
        <w:snapToGrid w:val="0"/>
        <w:spacing w:before="120" w:beforeLines="50" w:after="50" w:line="360" w:lineRule="auto"/>
        <w:ind w:firstLine="422" w:firstLineChars="175"/>
        <w:outlineLvl w:val="1"/>
        <w:rPr>
          <w:rFonts w:hint="eastAsia" w:ascii="宋体" w:hAnsi="宋体" w:cs="宋体"/>
          <w:b/>
          <w:bCs/>
          <w:color w:val="auto"/>
          <w:sz w:val="24"/>
          <w:highlight w:val="none"/>
        </w:rPr>
      </w:pPr>
      <w:bookmarkStart w:id="111" w:name="_Toc22566"/>
      <w:r>
        <w:rPr>
          <w:rFonts w:hint="eastAsia" w:ascii="宋体" w:hAnsi="宋体" w:cs="宋体"/>
          <w:b/>
          <w:bCs/>
          <w:color w:val="auto"/>
          <w:sz w:val="24"/>
          <w:highlight w:val="none"/>
        </w:rPr>
        <w:t>注：以上目录是基本格式要求，各投标人可根据自身情况进一步向下增加内容或细化，并编写对应页码。</w:t>
      </w:r>
      <w:bookmarkEnd w:id="111"/>
    </w:p>
    <w:p w14:paraId="2A059360">
      <w:pPr>
        <w:snapToGrid w:val="0"/>
        <w:spacing w:line="380" w:lineRule="exact"/>
        <w:ind w:firstLine="413" w:firstLineChars="196"/>
        <w:jc w:val="left"/>
        <w:rPr>
          <w:rFonts w:hint="eastAsia" w:ascii="宋体" w:hAnsi="宋体" w:cs="宋体"/>
          <w:b/>
          <w:color w:val="auto"/>
          <w:szCs w:val="21"/>
          <w:highlight w:val="none"/>
        </w:rPr>
      </w:pPr>
    </w:p>
    <w:p w14:paraId="7141E700">
      <w:pPr>
        <w:snapToGrid w:val="0"/>
        <w:spacing w:before="120" w:beforeLines="50" w:after="50"/>
        <w:outlineLvl w:val="1"/>
        <w:rPr>
          <w:rFonts w:hint="eastAsia" w:ascii="宋体" w:hAnsi="宋体" w:cs="宋体"/>
          <w:b/>
          <w:color w:val="auto"/>
          <w:szCs w:val="21"/>
          <w:highlight w:val="none"/>
        </w:rPr>
      </w:pPr>
      <w:r>
        <w:rPr>
          <w:rFonts w:hint="eastAsia" w:ascii="宋体" w:hAnsi="宋体" w:cs="宋体"/>
          <w:b/>
          <w:color w:val="auto"/>
          <w:szCs w:val="21"/>
          <w:highlight w:val="none"/>
        </w:rPr>
        <w:br w:type="page"/>
      </w:r>
      <w:bookmarkStart w:id="112" w:name="_Toc15022"/>
      <w:r>
        <w:rPr>
          <w:rFonts w:hint="eastAsia" w:ascii="宋体" w:hAnsi="宋体" w:cs="宋体"/>
          <w:b/>
          <w:bCs/>
          <w:color w:val="auto"/>
          <w:sz w:val="24"/>
          <w:highlight w:val="none"/>
        </w:rPr>
        <w:t>（1）投标函格式：</w:t>
      </w:r>
      <w:bookmarkEnd w:id="112"/>
    </w:p>
    <w:p w14:paraId="16ACA863">
      <w:pPr>
        <w:snapToGrid w:val="0"/>
        <w:spacing w:before="120" w:beforeLines="50" w:after="50" w:line="320" w:lineRule="exact"/>
        <w:jc w:val="center"/>
        <w:rPr>
          <w:rFonts w:hint="eastAsia" w:ascii="宋体" w:hAnsi="宋体" w:cs="宋体"/>
          <w:b/>
          <w:bCs/>
          <w:color w:val="auto"/>
          <w:sz w:val="32"/>
          <w:szCs w:val="32"/>
          <w:highlight w:val="none"/>
        </w:rPr>
      </w:pPr>
    </w:p>
    <w:p w14:paraId="559F2736">
      <w:pPr>
        <w:snapToGrid w:val="0"/>
        <w:spacing w:before="120" w:beforeLines="50" w:after="50" w:line="32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 标 函</w:t>
      </w:r>
    </w:p>
    <w:p w14:paraId="2EEAF65E">
      <w:pPr>
        <w:snapToGrid w:val="0"/>
        <w:spacing w:before="120" w:beforeLines="50" w:after="50" w:line="320" w:lineRule="exact"/>
        <w:jc w:val="center"/>
        <w:rPr>
          <w:rFonts w:hint="eastAsia" w:ascii="宋体" w:hAnsi="宋体" w:cs="宋体"/>
          <w:b/>
          <w:color w:val="auto"/>
          <w:szCs w:val="21"/>
          <w:highlight w:val="none"/>
        </w:rPr>
      </w:pPr>
    </w:p>
    <w:p w14:paraId="228D2709">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鹿寨县教育局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33F283AC">
      <w:pPr>
        <w:snapToGrid w:val="0"/>
        <w:spacing w:line="400" w:lineRule="exact"/>
        <w:ind w:firstLine="480"/>
        <w:rPr>
          <w:rFonts w:hint="eastAsia"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w:t>
      </w:r>
      <w:r>
        <w:rPr>
          <w:rFonts w:hint="eastAsia" w:ascii="宋体" w:hAnsi="宋体" w:cs="宋体"/>
          <w:color w:val="auto"/>
          <w:sz w:val="24"/>
          <w:highlight w:val="none"/>
          <w:u w:val="single"/>
        </w:rPr>
        <w:t>资格文件、报价文件、商务技术文件</w:t>
      </w:r>
      <w:r>
        <w:rPr>
          <w:rFonts w:hint="eastAsia" w:ascii="宋体" w:hAnsi="宋体" w:cs="宋体"/>
          <w:color w:val="auto"/>
          <w:sz w:val="24"/>
          <w:highlight w:val="none"/>
        </w:rPr>
        <w:t>。</w:t>
      </w:r>
    </w:p>
    <w:p w14:paraId="05B382F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03EDEE1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58E7AD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6394E94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天（日历天）。</w:t>
      </w:r>
    </w:p>
    <w:p w14:paraId="641EA7C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4.如中标，本投标文件至本项目合同（协议）履行完毕止均保持有效，本投标人将按“招标文件”及政府采购法律、法规的规定履行合同（协议）责任和义务。</w:t>
      </w:r>
    </w:p>
    <w:p w14:paraId="6C0489B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46E44FA6">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399BB5A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p>
    <w:p w14:paraId="445B2EC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p>
    <w:p w14:paraId="2DEE2C0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投标人名称（全称）：</w:t>
      </w:r>
      <w:r>
        <w:rPr>
          <w:rFonts w:hint="eastAsia" w:ascii="宋体" w:hAnsi="宋体" w:cs="宋体"/>
          <w:color w:val="auto"/>
          <w:sz w:val="24"/>
          <w:highlight w:val="none"/>
          <w:u w:val="single"/>
        </w:rPr>
        <w:t xml:space="preserve">                                               </w:t>
      </w:r>
    </w:p>
    <w:p w14:paraId="4CD9315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24C866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42C5B83">
      <w:pPr>
        <w:pStyle w:val="13"/>
        <w:ind w:firstLine="4515" w:firstLineChars="2150"/>
        <w:rPr>
          <w:rFonts w:hint="eastAsia" w:hAnsi="宋体" w:cs="宋体"/>
          <w:color w:val="auto"/>
          <w:sz w:val="21"/>
          <w:highlight w:val="none"/>
        </w:rPr>
      </w:pPr>
    </w:p>
    <w:p w14:paraId="16186B17">
      <w:pPr>
        <w:pStyle w:val="13"/>
        <w:spacing w:line="360" w:lineRule="auto"/>
        <w:ind w:firstLine="5160" w:firstLineChars="2150"/>
        <w:rPr>
          <w:rFonts w:hint="eastAsia" w:hAnsi="宋体" w:cs="宋体"/>
          <w:color w:val="auto"/>
          <w:sz w:val="24"/>
          <w:szCs w:val="24"/>
          <w:highlight w:val="none"/>
        </w:rPr>
      </w:pPr>
    </w:p>
    <w:p w14:paraId="68BF447A">
      <w:pPr>
        <w:pStyle w:val="13"/>
        <w:spacing w:line="360" w:lineRule="auto"/>
        <w:ind w:firstLine="2400" w:firstLineChars="10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6CF8A818">
      <w:pPr>
        <w:spacing w:line="360" w:lineRule="auto"/>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0D952247">
      <w:pPr>
        <w:snapToGrid w:val="0"/>
        <w:spacing w:before="50" w:after="50" w:line="360" w:lineRule="auto"/>
        <w:ind w:right="-817" w:rightChars="-389" w:firstLine="6480" w:firstLineChars="27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62E1C30">
      <w:pPr>
        <w:pStyle w:val="13"/>
        <w:spacing w:line="40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1"/>
          <w:highlight w:val="none"/>
          <w:lang w:eastAsia="zh-CN"/>
        </w:rPr>
        <w:t>（</w:t>
      </w:r>
      <w:r>
        <w:rPr>
          <w:rFonts w:hint="eastAsia" w:hAnsi="宋体" w:cs="宋体"/>
          <w:b/>
          <w:bCs/>
          <w:color w:val="auto"/>
          <w:sz w:val="21"/>
          <w:highlight w:val="none"/>
        </w:rPr>
        <w:t>2</w:t>
      </w:r>
      <w:r>
        <w:rPr>
          <w:rFonts w:hint="eastAsia" w:hAnsi="宋体" w:cs="宋体"/>
          <w:b/>
          <w:bCs/>
          <w:color w:val="auto"/>
          <w:sz w:val="21"/>
          <w:highlight w:val="none"/>
          <w:lang w:eastAsia="zh-CN"/>
        </w:rPr>
        <w:t>）</w:t>
      </w:r>
      <w:r>
        <w:rPr>
          <w:rFonts w:hint="eastAsia" w:hAnsi="宋体" w:cs="宋体"/>
          <w:b/>
          <w:bCs/>
          <w:color w:val="auto"/>
          <w:sz w:val="21"/>
          <w:highlight w:val="none"/>
        </w:rPr>
        <w:t>开标一览表</w:t>
      </w:r>
      <w:r>
        <w:rPr>
          <w:rFonts w:hint="eastAsia" w:hAnsi="宋体" w:cs="宋体"/>
          <w:b/>
          <w:bCs/>
          <w:color w:val="auto"/>
          <w:sz w:val="21"/>
          <w:highlight w:val="none"/>
          <w:lang w:eastAsia="zh-CN"/>
        </w:rPr>
        <w:t>格式：</w:t>
      </w:r>
    </w:p>
    <w:p w14:paraId="19288DC5">
      <w:pPr>
        <w:snapToGrid w:val="0"/>
        <w:spacing w:before="50" w:after="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开标一览表</w:t>
      </w:r>
    </w:p>
    <w:p w14:paraId="54DCB816">
      <w:pPr>
        <w:snapToGrid w:val="0"/>
        <w:spacing w:before="50" w:after="50"/>
        <w:rPr>
          <w:rFonts w:hint="eastAsia" w:ascii="宋体" w:hAnsi="宋体" w:cs="宋体"/>
          <w:b/>
          <w:color w:val="auto"/>
          <w:sz w:val="30"/>
          <w:highlight w:val="none"/>
        </w:rPr>
      </w:pPr>
    </w:p>
    <w:p w14:paraId="430D5BA4">
      <w:pPr>
        <w:snapToGrid w:val="0"/>
        <w:spacing w:before="120" w:beforeLines="50" w:after="50" w:line="280" w:lineRule="exact"/>
        <w:rPr>
          <w:rFonts w:hint="eastAsia" w:ascii="宋体" w:hAnsi="宋体" w:cs="宋体"/>
          <w:bCs/>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B2A17C">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A4462BB">
      <w:pPr>
        <w:snapToGrid w:val="0"/>
        <w:spacing w:before="50" w:after="50"/>
        <w:jc w:val="right"/>
        <w:rPr>
          <w:rFonts w:hint="eastAsia" w:ascii="宋体" w:hAnsi="宋体" w:cs="宋体"/>
          <w:color w:val="auto"/>
          <w:sz w:val="24"/>
          <w:highlight w:val="none"/>
        </w:rPr>
      </w:pPr>
      <w:r>
        <w:rPr>
          <w:rFonts w:hint="eastAsia" w:ascii="宋体" w:hAnsi="宋体" w:cs="宋体"/>
          <w:color w:val="auto"/>
          <w:sz w:val="24"/>
          <w:highlight w:val="none"/>
        </w:rPr>
        <w:t>单位：元</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1110"/>
        <w:gridCol w:w="4074"/>
      </w:tblGrid>
      <w:tr w14:paraId="28EC7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2B4E00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A8AF78A">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1EFD7B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28A144EE">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r>
      <w:tr w14:paraId="4BB09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47A91E7B">
            <w:pPr>
              <w:snapToGrid w:val="0"/>
              <w:spacing w:before="50" w:after="50"/>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40CAE88">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县城学校教学多媒体设备采购</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805324A">
            <w:pPr>
              <w:snapToGrid w:val="0"/>
              <w:spacing w:before="50" w:after="5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一项</w:t>
            </w:r>
          </w:p>
        </w:tc>
        <w:tc>
          <w:tcPr>
            <w:tcW w:w="4074" w:type="dxa"/>
            <w:tcBorders>
              <w:top w:val="single" w:color="auto" w:sz="4" w:space="0"/>
              <w:left w:val="single" w:color="auto" w:sz="4" w:space="0"/>
              <w:bottom w:val="single" w:color="auto" w:sz="4" w:space="0"/>
              <w:right w:val="single" w:color="auto" w:sz="4" w:space="0"/>
            </w:tcBorders>
            <w:noWrap w:val="0"/>
            <w:vAlign w:val="center"/>
          </w:tcPr>
          <w:p w14:paraId="1AB41AAD">
            <w:pPr>
              <w:snapToGrid w:val="0"/>
              <w:spacing w:before="50" w:after="50"/>
              <w:jc w:val="center"/>
              <w:rPr>
                <w:rFonts w:hint="eastAsia" w:ascii="宋体" w:hAnsi="宋体" w:cs="宋体"/>
                <w:b/>
                <w:color w:val="auto"/>
                <w:sz w:val="24"/>
                <w:highlight w:val="none"/>
              </w:rPr>
            </w:pPr>
          </w:p>
        </w:tc>
      </w:tr>
      <w:tr w14:paraId="7A3DC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445189F0">
            <w:pPr>
              <w:snapToGrid w:val="0"/>
              <w:spacing w:before="50" w:after="50"/>
              <w:rPr>
                <w:rFonts w:ascii="宋体" w:hAnsi="宋体" w:cs="宋体"/>
                <w:b/>
                <w:color w:val="auto"/>
                <w:sz w:val="24"/>
                <w:highlight w:val="none"/>
              </w:rPr>
            </w:pPr>
            <w:r>
              <w:rPr>
                <w:rFonts w:hint="eastAsia" w:ascii="宋体" w:hAnsi="宋体" w:cs="宋体"/>
                <w:b/>
                <w:color w:val="auto"/>
                <w:sz w:val="24"/>
                <w:highlight w:val="none"/>
              </w:rPr>
              <w:t>交货时间：</w:t>
            </w:r>
          </w:p>
        </w:tc>
      </w:tr>
      <w:tr w14:paraId="2F6B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26" w:type="dxa"/>
            <w:gridSpan w:val="4"/>
            <w:tcBorders>
              <w:top w:val="single" w:color="auto" w:sz="4" w:space="0"/>
              <w:left w:val="single" w:color="auto" w:sz="4" w:space="0"/>
              <w:bottom w:val="single" w:color="auto" w:sz="4" w:space="0"/>
              <w:right w:val="single" w:color="auto" w:sz="4" w:space="0"/>
            </w:tcBorders>
            <w:noWrap w:val="0"/>
            <w:vAlign w:val="center"/>
          </w:tcPr>
          <w:p w14:paraId="1F810036">
            <w:pPr>
              <w:snapToGrid w:val="0"/>
              <w:spacing w:before="50" w:after="50"/>
              <w:rPr>
                <w:rFonts w:hint="eastAsia" w:ascii="宋体" w:hAnsi="宋体" w:cs="宋体"/>
                <w:b/>
                <w:color w:val="auto"/>
                <w:sz w:val="24"/>
                <w:highlight w:val="none"/>
              </w:rPr>
            </w:pPr>
            <w:r>
              <w:rPr>
                <w:rFonts w:hint="eastAsia" w:ascii="宋体" w:hAnsi="宋体" w:cs="宋体"/>
                <w:color w:val="auto"/>
                <w:sz w:val="24"/>
                <w:highlight w:val="none"/>
              </w:rPr>
              <w:t>总价合计金额：</w:t>
            </w:r>
            <w:r>
              <w:rPr>
                <w:rFonts w:hint="eastAsia" w:ascii="宋体" w:hAnsi="宋体" w:cs="宋体"/>
                <w:color w:val="auto"/>
                <w:sz w:val="24"/>
                <w:highlight w:val="none"/>
                <w:u w:val="single"/>
              </w:rPr>
              <w:t>大写                                （小写：￥                  ）</w:t>
            </w:r>
          </w:p>
        </w:tc>
      </w:tr>
    </w:tbl>
    <w:p w14:paraId="3700D4FF">
      <w:pPr>
        <w:snapToGrid w:val="0"/>
        <w:spacing w:before="50" w:after="50"/>
        <w:jc w:val="left"/>
        <w:rPr>
          <w:rFonts w:hint="eastAsia" w:ascii="宋体" w:hAnsi="宋体" w:cs="宋体"/>
          <w:color w:val="auto"/>
          <w:sz w:val="24"/>
          <w:highlight w:val="none"/>
        </w:rPr>
      </w:pPr>
    </w:p>
    <w:p w14:paraId="4FD25D7D">
      <w:pPr>
        <w:snapToGrid w:val="0"/>
        <w:spacing w:before="50" w:after="50"/>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注：1、报价一经涂改，应在涂改处投标人全称并加盖CA电子签章或者由法定代表人（负责人）或授权委托人签字（或加盖CA电子签字章），否则其投标作无效标处理。</w:t>
      </w:r>
    </w:p>
    <w:p w14:paraId="16D4A23C">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2、投标费用包括项目实施所需的人工费、服务费、购买及制作标书费、税费及其他一切费用。</w:t>
      </w:r>
    </w:p>
    <w:p w14:paraId="10A4ED1A">
      <w:pPr>
        <w:snapToGrid w:val="0"/>
        <w:spacing w:before="50" w:after="50"/>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3、以上报价应与“投标报价明细表”中的“投标总价”相一致。</w:t>
      </w:r>
    </w:p>
    <w:p w14:paraId="77B8B070">
      <w:pPr>
        <w:snapToGrid w:val="0"/>
        <w:spacing w:before="50" w:after="50"/>
        <w:ind w:firstLine="420" w:firstLineChars="200"/>
        <w:rPr>
          <w:rFonts w:hint="eastAsia" w:ascii="宋体" w:hAnsi="宋体" w:cs="宋体"/>
          <w:color w:val="auto"/>
          <w:szCs w:val="21"/>
          <w:highlight w:val="none"/>
        </w:rPr>
      </w:pPr>
    </w:p>
    <w:p w14:paraId="173342E3">
      <w:pPr>
        <w:snapToGrid w:val="0"/>
        <w:spacing w:before="50" w:after="50"/>
        <w:ind w:firstLine="420" w:firstLineChars="200"/>
        <w:rPr>
          <w:rFonts w:hint="eastAsia" w:ascii="宋体" w:hAnsi="宋体" w:cs="宋体"/>
          <w:color w:val="auto"/>
          <w:szCs w:val="21"/>
          <w:highlight w:val="none"/>
        </w:rPr>
      </w:pPr>
    </w:p>
    <w:p w14:paraId="528324E2">
      <w:pPr>
        <w:pStyle w:val="13"/>
        <w:spacing w:line="360" w:lineRule="auto"/>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7CA5A35A">
      <w:pPr>
        <w:spacing w:line="360" w:lineRule="auto"/>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266418FD">
      <w:pPr>
        <w:snapToGrid w:val="0"/>
        <w:spacing w:before="50" w:after="50" w:line="360" w:lineRule="auto"/>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39CE628">
      <w:pPr>
        <w:pStyle w:val="13"/>
        <w:ind w:firstLine="4725" w:firstLineChars="2250"/>
        <w:rPr>
          <w:rFonts w:hint="eastAsia" w:hAnsi="宋体" w:cs="宋体"/>
          <w:color w:val="auto"/>
          <w:sz w:val="21"/>
          <w:highlight w:val="none"/>
          <w:u w:val="single"/>
        </w:rPr>
      </w:pPr>
    </w:p>
    <w:p w14:paraId="29537D1B">
      <w:pPr>
        <w:pStyle w:val="13"/>
        <w:spacing w:line="440" w:lineRule="exact"/>
        <w:rPr>
          <w:rFonts w:hint="eastAsia" w:hAnsi="宋体" w:cs="宋体"/>
          <w:color w:val="auto"/>
          <w:highlight w:val="none"/>
        </w:rPr>
      </w:pPr>
    </w:p>
    <w:p w14:paraId="1A309850">
      <w:pPr>
        <w:pStyle w:val="13"/>
        <w:spacing w:line="440" w:lineRule="exact"/>
        <w:rPr>
          <w:rFonts w:hint="eastAsia" w:hAnsi="宋体" w:cs="宋体"/>
          <w:color w:val="auto"/>
          <w:sz w:val="21"/>
          <w:highlight w:val="none"/>
          <w:lang w:eastAsia="zh-CN"/>
        </w:rPr>
      </w:pPr>
      <w:r>
        <w:rPr>
          <w:rFonts w:hint="eastAsia" w:hAnsi="宋体" w:cs="宋体"/>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报价明细表</w:t>
      </w:r>
      <w:r>
        <w:rPr>
          <w:rFonts w:hint="eastAsia" w:hAnsi="宋体" w:cs="宋体"/>
          <w:b/>
          <w:bCs/>
          <w:color w:val="auto"/>
          <w:sz w:val="24"/>
          <w:szCs w:val="24"/>
          <w:highlight w:val="none"/>
          <w:lang w:eastAsia="zh-CN"/>
        </w:rPr>
        <w:t>格式：</w:t>
      </w:r>
    </w:p>
    <w:p w14:paraId="2EA7059E">
      <w:pPr>
        <w:pStyle w:val="13"/>
        <w:snapToGrid w:val="0"/>
        <w:spacing w:before="295" w:after="295"/>
        <w:jc w:val="center"/>
        <w:rPr>
          <w:rFonts w:hint="eastAsia" w:hAnsi="宋体" w:cs="宋体"/>
          <w:b/>
          <w:bCs/>
          <w:color w:val="auto"/>
          <w:sz w:val="32"/>
          <w:szCs w:val="32"/>
          <w:highlight w:val="none"/>
        </w:rPr>
      </w:pPr>
      <w:r>
        <w:rPr>
          <w:rFonts w:hint="eastAsia" w:hAnsi="宋体" w:cs="宋体"/>
          <w:b/>
          <w:bCs/>
          <w:color w:val="auto"/>
          <w:sz w:val="32"/>
          <w:szCs w:val="32"/>
          <w:highlight w:val="none"/>
        </w:rPr>
        <w:t>报价明细表</w:t>
      </w:r>
    </w:p>
    <w:p w14:paraId="05A48032">
      <w:pPr>
        <w:pStyle w:val="13"/>
        <w:snapToGrid w:val="0"/>
        <w:spacing w:before="295" w:after="295"/>
        <w:ind w:firstLine="2100" w:firstLineChars="1050"/>
        <w:jc w:val="right"/>
        <w:rPr>
          <w:rFonts w:hint="eastAsia" w:hAnsi="宋体" w:cs="宋体"/>
          <w:color w:val="auto"/>
          <w:highlight w:val="none"/>
          <w:lang w:eastAsia="zh-CN"/>
        </w:rPr>
      </w:pPr>
      <w:r>
        <w:rPr>
          <w:rFonts w:hint="eastAsia" w:hAnsi="宋体" w:cs="宋体"/>
          <w:color w:val="auto"/>
          <w:highlight w:val="none"/>
        </w:rPr>
        <w:t xml:space="preserve">                                           </w:t>
      </w:r>
      <w:r>
        <w:rPr>
          <w:rFonts w:hint="eastAsia" w:hAnsi="宋体" w:cs="宋体"/>
          <w:color w:val="auto"/>
          <w:sz w:val="24"/>
          <w:szCs w:val="28"/>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34"/>
        <w:gridCol w:w="1080"/>
        <w:gridCol w:w="1440"/>
        <w:gridCol w:w="1034"/>
        <w:gridCol w:w="1563"/>
        <w:gridCol w:w="1287"/>
        <w:gridCol w:w="931"/>
      </w:tblGrid>
      <w:tr w14:paraId="04AE6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9133AA2">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17BD781">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73DD15C">
            <w:pPr>
              <w:pStyle w:val="27"/>
              <w:rPr>
                <w:rFonts w:hint="eastAsia" w:ascii="宋体" w:eastAsia="宋体" w:cs="宋体"/>
                <w:b w:val="0"/>
                <w:color w:val="auto"/>
                <w:sz w:val="24"/>
                <w:szCs w:val="24"/>
                <w:highlight w:val="none"/>
              </w:rPr>
            </w:pPr>
            <w:r>
              <w:rPr>
                <w:rFonts w:hint="eastAsia" w:ascii="宋体" w:eastAsia="宋体" w:cs="宋体"/>
                <w:b w:val="0"/>
                <w:color w:val="auto"/>
                <w:sz w:val="24"/>
                <w:szCs w:val="24"/>
                <w:highlight w:val="none"/>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36C7D9">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B76932B">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单位及数量</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560701F4">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FC9E43">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金额</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09003077">
            <w:pPr>
              <w:tabs>
                <w:tab w:val="left" w:pos="1418"/>
              </w:tabs>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企业类型</w:t>
            </w:r>
          </w:p>
        </w:tc>
      </w:tr>
      <w:tr w14:paraId="4F4E6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6BAED742">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74C77547">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720EBF8">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27D5A56">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4033F9D">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EFE9E77">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21A35059">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23C13A98">
            <w:pPr>
              <w:tabs>
                <w:tab w:val="left" w:pos="1418"/>
              </w:tabs>
              <w:snapToGrid w:val="0"/>
              <w:spacing w:before="50" w:after="50"/>
              <w:jc w:val="center"/>
              <w:rPr>
                <w:rFonts w:hint="eastAsia" w:ascii="宋体" w:hAnsi="宋体" w:cs="宋体"/>
                <w:color w:val="auto"/>
                <w:spacing w:val="20"/>
                <w:sz w:val="24"/>
                <w:highlight w:val="none"/>
              </w:rPr>
            </w:pPr>
          </w:p>
        </w:tc>
      </w:tr>
      <w:tr w14:paraId="5708F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14:paraId="51A47630">
            <w:pPr>
              <w:tabs>
                <w:tab w:val="left" w:pos="1418"/>
              </w:tabs>
              <w:snapToGrid w:val="0"/>
              <w:spacing w:before="50" w:after="50"/>
              <w:jc w:val="center"/>
              <w:rPr>
                <w:rFonts w:hint="eastAsia" w:ascii="宋体" w:hAnsi="宋体" w:cs="宋体"/>
                <w:color w:val="auto"/>
                <w:spacing w:val="20"/>
                <w:sz w:val="24"/>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top"/>
          </w:tcPr>
          <w:p w14:paraId="18F7516F">
            <w:pPr>
              <w:tabs>
                <w:tab w:val="left" w:pos="1418"/>
              </w:tabs>
              <w:snapToGrid w:val="0"/>
              <w:spacing w:before="50" w:after="50"/>
              <w:jc w:val="center"/>
              <w:rPr>
                <w:rFonts w:hint="eastAsia" w:ascii="宋体" w:hAnsi="宋体" w:cs="宋体"/>
                <w:color w:val="auto"/>
                <w:spacing w:val="2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0D20FA0">
            <w:pPr>
              <w:tabs>
                <w:tab w:val="left" w:pos="1418"/>
              </w:tabs>
              <w:snapToGrid w:val="0"/>
              <w:spacing w:before="50" w:after="50"/>
              <w:jc w:val="center"/>
              <w:rPr>
                <w:rFonts w:hint="eastAsia" w:ascii="宋体" w:hAnsi="宋体" w:cs="宋体"/>
                <w:color w:val="auto"/>
                <w:spacing w:val="2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CF0A0D">
            <w:pPr>
              <w:tabs>
                <w:tab w:val="left" w:pos="1418"/>
              </w:tabs>
              <w:snapToGrid w:val="0"/>
              <w:spacing w:before="50" w:after="50"/>
              <w:jc w:val="center"/>
              <w:rPr>
                <w:rFonts w:hint="eastAsia" w:ascii="宋体" w:hAnsi="宋体" w:cs="宋体"/>
                <w:color w:val="auto"/>
                <w:spacing w:val="20"/>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1AE8E629">
            <w:pPr>
              <w:tabs>
                <w:tab w:val="left" w:pos="1418"/>
              </w:tabs>
              <w:snapToGrid w:val="0"/>
              <w:spacing w:before="50" w:after="50"/>
              <w:jc w:val="center"/>
              <w:rPr>
                <w:rFonts w:hint="eastAsia" w:ascii="宋体" w:hAnsi="宋体" w:cs="宋体"/>
                <w:color w:val="auto"/>
                <w:spacing w:val="20"/>
                <w:sz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3F18AC6">
            <w:pPr>
              <w:tabs>
                <w:tab w:val="left" w:pos="1418"/>
              </w:tabs>
              <w:snapToGrid w:val="0"/>
              <w:spacing w:before="50" w:after="50"/>
              <w:jc w:val="center"/>
              <w:rPr>
                <w:rFonts w:hint="eastAsia" w:ascii="宋体" w:hAnsi="宋体" w:cs="宋体"/>
                <w:color w:val="auto"/>
                <w:spacing w:val="20"/>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top"/>
          </w:tcPr>
          <w:p w14:paraId="5760AF4E">
            <w:pPr>
              <w:tabs>
                <w:tab w:val="left" w:pos="1418"/>
              </w:tabs>
              <w:snapToGrid w:val="0"/>
              <w:spacing w:before="50" w:after="50"/>
              <w:jc w:val="center"/>
              <w:rPr>
                <w:rFonts w:hint="eastAsia" w:ascii="宋体" w:hAnsi="宋体" w:cs="宋体"/>
                <w:color w:val="auto"/>
                <w:spacing w:val="20"/>
                <w:sz w:val="24"/>
                <w:highlight w:val="none"/>
              </w:rPr>
            </w:pPr>
          </w:p>
        </w:tc>
        <w:tc>
          <w:tcPr>
            <w:tcW w:w="931" w:type="dxa"/>
            <w:tcBorders>
              <w:top w:val="single" w:color="auto" w:sz="4" w:space="0"/>
              <w:left w:val="single" w:color="auto" w:sz="4" w:space="0"/>
              <w:bottom w:val="single" w:color="auto" w:sz="4" w:space="0"/>
              <w:right w:val="single" w:color="auto" w:sz="4" w:space="0"/>
            </w:tcBorders>
            <w:noWrap w:val="0"/>
            <w:vAlign w:val="top"/>
          </w:tcPr>
          <w:p w14:paraId="49730171">
            <w:pPr>
              <w:tabs>
                <w:tab w:val="left" w:pos="1418"/>
              </w:tabs>
              <w:snapToGrid w:val="0"/>
              <w:spacing w:before="50" w:after="50"/>
              <w:jc w:val="center"/>
              <w:rPr>
                <w:rFonts w:hint="eastAsia" w:ascii="宋体" w:hAnsi="宋体" w:cs="宋体"/>
                <w:color w:val="auto"/>
                <w:spacing w:val="20"/>
                <w:sz w:val="24"/>
                <w:highlight w:val="none"/>
              </w:rPr>
            </w:pPr>
          </w:p>
        </w:tc>
      </w:tr>
      <w:tr w14:paraId="38921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89" w:type="dxa"/>
            <w:gridSpan w:val="8"/>
            <w:tcBorders>
              <w:top w:val="single" w:color="auto" w:sz="4" w:space="0"/>
              <w:left w:val="single" w:color="auto" w:sz="4" w:space="0"/>
              <w:bottom w:val="single" w:color="auto" w:sz="4" w:space="0"/>
              <w:right w:val="single" w:color="auto" w:sz="4" w:space="0"/>
            </w:tcBorders>
            <w:noWrap w:val="0"/>
            <w:vAlign w:val="top"/>
          </w:tcPr>
          <w:p w14:paraId="6C4C59FD">
            <w:pPr>
              <w:tabs>
                <w:tab w:val="left" w:pos="1418"/>
              </w:tabs>
              <w:snapToGrid w:val="0"/>
              <w:spacing w:before="50" w:after="50"/>
              <w:rPr>
                <w:rFonts w:hint="eastAsia" w:ascii="宋体" w:hAnsi="宋体" w:cs="宋体"/>
                <w:color w:val="auto"/>
                <w:sz w:val="24"/>
                <w:highlight w:val="none"/>
                <w:u w:val="single"/>
              </w:rPr>
            </w:pPr>
            <w:r>
              <w:rPr>
                <w:rFonts w:hint="eastAsia" w:ascii="宋体" w:hAnsi="宋体" w:cs="宋体"/>
                <w:color w:val="auto"/>
                <w:sz w:val="24"/>
                <w:highlight w:val="none"/>
              </w:rPr>
              <w:t>投标总价：大写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94E4064">
      <w:pPr>
        <w:snapToGrid w:val="0"/>
        <w:spacing w:before="50" w:after="50"/>
        <w:rPr>
          <w:rFonts w:hint="eastAsia" w:ascii="宋体" w:hAnsi="宋体" w:cs="宋体"/>
          <w:color w:val="auto"/>
          <w:spacing w:val="20"/>
          <w:sz w:val="24"/>
          <w:highlight w:val="none"/>
          <w:u w:val="single"/>
        </w:rPr>
      </w:pPr>
    </w:p>
    <w:p w14:paraId="4F785A61">
      <w:pPr>
        <w:snapToGrid w:val="0"/>
        <w:spacing w:before="50" w:after="50"/>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注：企业类型划分为中型、小型、微型三种类型，按投标货物生产厂商或提供的服务所属企业类型填写。</w:t>
      </w:r>
    </w:p>
    <w:p w14:paraId="7C27994E">
      <w:pPr>
        <w:snapToGrid w:val="0"/>
        <w:spacing w:before="50" w:after="50"/>
        <w:rPr>
          <w:rFonts w:hint="eastAsia" w:ascii="宋体" w:hAnsi="宋体" w:cs="宋体"/>
          <w:color w:val="auto"/>
          <w:spacing w:val="20"/>
          <w:szCs w:val="21"/>
          <w:highlight w:val="none"/>
          <w:u w:val="single"/>
        </w:rPr>
      </w:pPr>
    </w:p>
    <w:p w14:paraId="59D633EB">
      <w:pPr>
        <w:snapToGrid w:val="0"/>
        <w:spacing w:before="50" w:after="50"/>
        <w:rPr>
          <w:rFonts w:hint="eastAsia" w:ascii="宋体" w:hAnsi="宋体" w:cs="宋体"/>
          <w:color w:val="auto"/>
          <w:spacing w:val="20"/>
          <w:szCs w:val="21"/>
          <w:highlight w:val="none"/>
          <w:u w:val="single"/>
        </w:rPr>
      </w:pPr>
    </w:p>
    <w:p w14:paraId="5CA7DECD">
      <w:pPr>
        <w:pStyle w:val="13"/>
        <w:ind w:firstLine="1800" w:firstLineChars="7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color w:val="auto"/>
          <w:kern w:val="2"/>
          <w:sz w:val="24"/>
          <w:szCs w:val="24"/>
          <w:highlight w:val="none"/>
          <w:lang w:val="en-US"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r>
        <w:rPr>
          <w:rFonts w:hint="eastAsia" w:hAnsi="宋体" w:cs="宋体"/>
          <w:color w:val="auto"/>
          <w:sz w:val="24"/>
          <w:szCs w:val="24"/>
          <w:highlight w:val="none"/>
          <w:u w:val="single"/>
        </w:rPr>
        <w:t xml:space="preserve">           </w:t>
      </w:r>
    </w:p>
    <w:p w14:paraId="0CA91119">
      <w:pPr>
        <w:pStyle w:val="13"/>
        <w:rPr>
          <w:rFonts w:hint="eastAsia" w:hAnsi="宋体" w:cs="宋体"/>
          <w:color w:val="auto"/>
          <w:sz w:val="24"/>
          <w:szCs w:val="24"/>
          <w:highlight w:val="none"/>
        </w:rPr>
      </w:pPr>
    </w:p>
    <w:p w14:paraId="4E578610">
      <w:pPr>
        <w:ind w:firstLine="1080" w:firstLineChars="450"/>
        <w:rPr>
          <w:rFonts w:hint="eastAsia" w:ascii="宋体" w:hAnsi="宋体" w:cs="宋体"/>
          <w:color w:val="auto"/>
          <w:sz w:val="24"/>
          <w:highlight w:val="none"/>
          <w:u w:val="single"/>
        </w:rPr>
      </w:pPr>
      <w:r>
        <w:rPr>
          <w:rFonts w:hint="eastAsia" w:ascii="宋体" w:hAnsi="宋体" w:cs="宋体"/>
          <w:color w:val="auto"/>
          <w:sz w:val="24"/>
          <w:highlight w:val="none"/>
        </w:rPr>
        <w:t xml:space="preserve">      法定代表人或委托代理人</w:t>
      </w:r>
      <w:r>
        <w:rPr>
          <w:rFonts w:hint="eastAsia" w:ascii="宋体" w:hAnsi="宋体" w:cs="宋体"/>
          <w:b/>
          <w:bCs/>
          <w:color w:val="auto"/>
          <w:sz w:val="24"/>
          <w:highlight w:val="none"/>
        </w:rPr>
        <w:t>签名（</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14:paraId="71EFF74E">
      <w:pPr>
        <w:snapToGrid w:val="0"/>
        <w:spacing w:before="50" w:after="50"/>
        <w:ind w:left="-6" w:leftChars="-3" w:right="-817" w:rightChars="-389"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513D95A">
      <w:pPr>
        <w:snapToGrid w:val="0"/>
        <w:spacing w:before="50"/>
        <w:ind w:firstLine="6360" w:firstLineChars="2650"/>
        <w:jc w:val="left"/>
        <w:rPr>
          <w:rFonts w:hint="eastAsia" w:ascii="宋体" w:hAnsi="宋体" w:cs="宋体"/>
          <w:b/>
          <w:color w:val="auto"/>
          <w:sz w:val="24"/>
          <w:highlight w:val="none"/>
        </w:rPr>
      </w:pPr>
      <w:r>
        <w:rPr>
          <w:rFonts w:hint="eastAsia" w:ascii="宋体" w:hAnsi="宋体" w:cs="宋体"/>
          <w:color w:val="auto"/>
          <w:sz w:val="24"/>
          <w:highlight w:val="none"/>
        </w:rPr>
        <w:t>日期：    年   月   日</w:t>
      </w:r>
    </w:p>
    <w:p w14:paraId="5AFEB9AA">
      <w:pPr>
        <w:snapToGrid w:val="0"/>
        <w:spacing w:before="50" w:after="50" w:line="360" w:lineRule="auto"/>
        <w:jc w:val="left"/>
        <w:rPr>
          <w:rFonts w:hint="eastAsia" w:ascii="宋体" w:hAnsi="宋体" w:cs="宋体"/>
          <w:color w:val="auto"/>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bCs/>
          <w:color w:val="auto"/>
          <w:szCs w:val="21"/>
          <w:highlight w:val="none"/>
        </w:rPr>
        <w:t>中小企业声明函、残疾人福利单位声明函格式</w:t>
      </w:r>
      <w:r>
        <w:rPr>
          <w:rFonts w:hint="eastAsia" w:ascii="宋体" w:hAnsi="宋体" w:cs="宋体"/>
          <w:b/>
          <w:bCs/>
          <w:color w:val="auto"/>
          <w:szCs w:val="21"/>
          <w:highlight w:val="none"/>
          <w:lang w:eastAsia="zh-CN"/>
        </w:rPr>
        <w:t>（如有）</w:t>
      </w:r>
      <w:r>
        <w:rPr>
          <w:rFonts w:hint="eastAsia" w:ascii="宋体" w:hAnsi="宋体" w:cs="宋体"/>
          <w:b/>
          <w:bCs/>
          <w:color w:val="auto"/>
          <w:szCs w:val="21"/>
          <w:highlight w:val="none"/>
        </w:rPr>
        <w:t>：</w:t>
      </w:r>
    </w:p>
    <w:p w14:paraId="55C9AF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中小企业声明函（货物）</w:t>
      </w:r>
    </w:p>
    <w:p w14:paraId="0D13D51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 xml:space="preserve">采购活动，提供的货物全部由符合政策要求的中小企业制造。相关企业（含联合体中的中小企业、签订分包意向协议的中小企业）的具体情况如下： </w:t>
      </w:r>
    </w:p>
    <w:p w14:paraId="209F3E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 </w:t>
      </w:r>
      <w:r>
        <w:rPr>
          <w:rFonts w:hint="eastAsia" w:ascii="宋体" w:hAnsi="宋体" w:cs="宋体"/>
          <w:color w:val="auto"/>
          <w:kern w:val="0"/>
          <w:sz w:val="24"/>
          <w:highlight w:val="none"/>
          <w:u w:val="single"/>
          <w:lang w:bidi="ar"/>
        </w:rPr>
        <w:t xml:space="preserve">（标的名称）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w:t>
      </w: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 xml:space="preserve">，属于（中型企业、小型企业、微型企业）； </w:t>
      </w:r>
    </w:p>
    <w:p w14:paraId="6AD84D9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w:t>
      </w:r>
      <w:r>
        <w:rPr>
          <w:rFonts w:hint="eastAsia" w:ascii="宋体" w:hAnsi="宋体" w:cs="宋体"/>
          <w:color w:val="auto"/>
          <w:kern w:val="0"/>
          <w:sz w:val="24"/>
          <w:highlight w:val="none"/>
          <w:lang w:bidi="ar"/>
        </w:rPr>
        <w:t>行业；制造商为（企业名称），从业人员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为万元，资产总额为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万元，属于（中型企业、小型企业、微型企业）； </w:t>
      </w:r>
    </w:p>
    <w:p w14:paraId="46580F2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w:t>
      </w:r>
    </w:p>
    <w:p w14:paraId="644E2E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14:paraId="4B8C5CE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14:paraId="11FFDA95">
      <w:pPr>
        <w:widowControl/>
        <w:spacing w:line="360" w:lineRule="auto"/>
        <w:ind w:firstLine="480" w:firstLineChars="200"/>
        <w:jc w:val="left"/>
        <w:rPr>
          <w:rFonts w:hint="eastAsia" w:ascii="宋体" w:hAnsi="宋体" w:cs="宋体"/>
          <w:color w:val="auto"/>
          <w:kern w:val="0"/>
          <w:sz w:val="24"/>
          <w:highlight w:val="none"/>
          <w:lang w:bidi="ar"/>
        </w:rPr>
      </w:pPr>
    </w:p>
    <w:p w14:paraId="540452DF">
      <w:pPr>
        <w:widowControl/>
        <w:spacing w:line="360" w:lineRule="auto"/>
        <w:ind w:firstLine="480" w:firstLineChars="200"/>
        <w:jc w:val="left"/>
        <w:rPr>
          <w:rFonts w:hint="eastAsia" w:ascii="宋体" w:hAnsi="宋体" w:cs="宋体"/>
          <w:color w:val="auto"/>
          <w:kern w:val="0"/>
          <w:sz w:val="24"/>
          <w:highlight w:val="none"/>
          <w:lang w:bidi="ar"/>
        </w:rPr>
      </w:pPr>
    </w:p>
    <w:p w14:paraId="14A107BE">
      <w:pPr>
        <w:widowControl/>
        <w:spacing w:line="360" w:lineRule="auto"/>
        <w:ind w:firstLine="5040" w:firstLineChars="2100"/>
        <w:jc w:val="left"/>
        <w:rPr>
          <w:rFonts w:ascii="宋体" w:hAnsi="宋体" w:cs="宋体"/>
          <w:color w:val="auto"/>
          <w:sz w:val="24"/>
          <w:highlight w:val="none"/>
          <w:u w:val="single"/>
        </w:rPr>
      </w:pPr>
      <w:r>
        <w:rPr>
          <w:rFonts w:hint="eastAsia" w:ascii="宋体" w:hAnsi="宋体" w:cs="宋体"/>
          <w:color w:val="auto"/>
          <w:kern w:val="0"/>
          <w:sz w:val="24"/>
          <w:highlight w:val="none"/>
          <w:lang w:bidi="ar"/>
        </w:rPr>
        <w:t>企业名称（CA电子签章）：</w:t>
      </w:r>
      <w:r>
        <w:rPr>
          <w:rFonts w:hint="eastAsia" w:ascii="宋体" w:hAnsi="宋体" w:cs="宋体"/>
          <w:color w:val="auto"/>
          <w:kern w:val="0"/>
          <w:sz w:val="24"/>
          <w:highlight w:val="none"/>
          <w:u w:val="single"/>
          <w:lang w:bidi="ar"/>
        </w:rPr>
        <w:t xml:space="preserve">                 </w:t>
      </w:r>
    </w:p>
    <w:p w14:paraId="36062786">
      <w:pPr>
        <w:widowControl/>
        <w:spacing w:line="360" w:lineRule="auto"/>
        <w:ind w:firstLine="5040" w:firstLineChars="21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日 期：</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510D550A">
      <w:pPr>
        <w:widowControl/>
        <w:ind w:firstLine="480" w:firstLineChars="200"/>
        <w:jc w:val="left"/>
        <w:rPr>
          <w:rFonts w:hint="eastAsia" w:ascii="宋体" w:hAnsi="宋体" w:cs="宋体"/>
          <w:color w:val="auto"/>
          <w:kern w:val="0"/>
          <w:sz w:val="24"/>
          <w:highlight w:val="none"/>
          <w:lang w:bidi="ar"/>
        </w:rPr>
      </w:pPr>
    </w:p>
    <w:p w14:paraId="062F01BF">
      <w:pPr>
        <w:widowControl/>
        <w:ind w:firstLine="480" w:firstLineChars="200"/>
        <w:jc w:val="left"/>
        <w:rPr>
          <w:rFonts w:hint="eastAsia" w:ascii="宋体" w:hAnsi="宋体" w:cs="宋体"/>
          <w:color w:val="auto"/>
          <w:kern w:val="0"/>
          <w:sz w:val="24"/>
          <w:highlight w:val="none"/>
          <w:lang w:bidi="ar"/>
        </w:rPr>
      </w:pPr>
    </w:p>
    <w:p w14:paraId="38AF10D3">
      <w:pPr>
        <w:widowControl/>
        <w:ind w:firstLine="480" w:firstLineChars="200"/>
        <w:jc w:val="left"/>
        <w:rPr>
          <w:rFonts w:hint="eastAsia" w:ascii="宋体" w:hAnsi="宋体" w:cs="宋体"/>
          <w:color w:val="auto"/>
          <w:kern w:val="0"/>
          <w:sz w:val="24"/>
          <w:highlight w:val="none"/>
          <w:lang w:bidi="ar"/>
        </w:rPr>
      </w:pPr>
    </w:p>
    <w:p w14:paraId="78E3F9A4">
      <w:pPr>
        <w:widowControl/>
        <w:ind w:firstLine="480" w:firstLineChars="200"/>
        <w:jc w:val="left"/>
        <w:rPr>
          <w:rFonts w:hint="eastAsia" w:ascii="宋体" w:hAnsi="宋体" w:cs="宋体"/>
          <w:color w:val="auto"/>
          <w:kern w:val="0"/>
          <w:sz w:val="24"/>
          <w:highlight w:val="none"/>
          <w:lang w:bidi="ar"/>
        </w:rPr>
      </w:pPr>
    </w:p>
    <w:p w14:paraId="3423D510">
      <w:pPr>
        <w:widowControl/>
        <w:ind w:firstLine="482" w:firstLineChars="200"/>
        <w:jc w:val="left"/>
        <w:rPr>
          <w:rFonts w:hint="eastAsia" w:ascii="宋体" w:hAnsi="宋体" w:cs="宋体"/>
          <w:color w:val="auto"/>
          <w:kern w:val="0"/>
          <w:sz w:val="24"/>
          <w:highlight w:val="none"/>
          <w:lang w:bidi="ar"/>
        </w:rPr>
      </w:pPr>
      <w:r>
        <w:rPr>
          <w:rFonts w:hint="eastAsia" w:ascii="宋体" w:hAnsi="宋体" w:cs="宋体"/>
          <w:b/>
          <w:bCs/>
          <w:color w:val="auto"/>
          <w:sz w:val="24"/>
          <w:highlight w:val="none"/>
          <w:lang w:eastAsia="zh-CN"/>
        </w:rPr>
        <w:t>注：</w:t>
      </w:r>
      <w:r>
        <w:rPr>
          <w:rFonts w:hint="eastAsia" w:ascii="宋体" w:hAnsi="宋体" w:cs="宋体"/>
          <w:b/>
          <w:bCs/>
          <w:color w:val="auto"/>
          <w:sz w:val="24"/>
          <w:highlight w:val="none"/>
        </w:rPr>
        <w:t>本项目</w:t>
      </w:r>
      <w:r>
        <w:rPr>
          <w:rFonts w:hint="eastAsia" w:ascii="宋体" w:hAnsi="宋体" w:cs="宋体"/>
          <w:b/>
          <w:bCs/>
          <w:color w:val="auto"/>
          <w:sz w:val="24"/>
          <w:highlight w:val="none"/>
          <w:lang w:eastAsia="zh-CN"/>
        </w:rPr>
        <w:t>中小</w:t>
      </w:r>
      <w:r>
        <w:rPr>
          <w:rFonts w:hint="eastAsia" w:ascii="宋体" w:hAnsi="宋体" w:cs="宋体"/>
          <w:b/>
          <w:bCs/>
          <w:color w:val="auto"/>
          <w:sz w:val="24"/>
          <w:highlight w:val="none"/>
        </w:rPr>
        <w:t>企业划分标准所属行业名称为：</w:t>
      </w:r>
      <w:r>
        <w:rPr>
          <w:rFonts w:hint="eastAsia" w:ascii="宋体" w:hAnsi="宋体" w:cs="宋体"/>
          <w:b/>
          <w:bCs/>
          <w:color w:val="auto"/>
          <w:sz w:val="24"/>
          <w:highlight w:val="none"/>
          <w:u w:val="single"/>
          <w:lang w:eastAsia="zh-CN"/>
        </w:rPr>
        <w:t>工业</w:t>
      </w:r>
      <w:r>
        <w:rPr>
          <w:rFonts w:hint="eastAsia" w:ascii="宋体" w:hAnsi="宋体" w:cs="宋体"/>
          <w:b/>
          <w:bCs/>
          <w:color w:val="auto"/>
          <w:sz w:val="24"/>
          <w:highlight w:val="none"/>
          <w:u w:val="none"/>
          <w:lang w:eastAsia="zh-CN"/>
        </w:rPr>
        <w:t>。</w:t>
      </w:r>
    </w:p>
    <w:p w14:paraId="38AC521E">
      <w:pPr>
        <w:widowControl/>
        <w:jc w:val="left"/>
        <w:rPr>
          <w:rFonts w:hint="eastAsia" w:ascii="宋体" w:hAnsi="宋体" w:cs="宋体"/>
          <w:color w:val="auto"/>
          <w:kern w:val="0"/>
          <w:sz w:val="24"/>
          <w:highlight w:val="none"/>
          <w:lang w:bidi="ar"/>
        </w:rPr>
      </w:pPr>
    </w:p>
    <w:p w14:paraId="02081090">
      <w:pPr>
        <w:snapToGrid w:val="0"/>
        <w:spacing w:before="120" w:beforeLines="50" w:after="50" w:line="320" w:lineRule="exact"/>
        <w:rPr>
          <w:rFonts w:hint="eastAsia" w:ascii="宋体" w:hAnsi="宋体" w:cs="宋体"/>
          <w:color w:val="auto"/>
          <w:kern w:val="0"/>
          <w:szCs w:val="21"/>
          <w:highlight w:val="none"/>
        </w:rPr>
      </w:pPr>
      <w:r>
        <w:rPr>
          <w:rFonts w:hint="eastAsia" w:ascii="宋体" w:hAnsi="宋体" w:cs="宋体"/>
          <w:color w:val="auto"/>
          <w:kern w:val="0"/>
          <w:sz w:val="24"/>
          <w:highlight w:val="none"/>
          <w:vertAlign w:val="superscript"/>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14:paraId="4768EF59">
      <w:pPr>
        <w:widowControl/>
        <w:shd w:val="clear" w:color="auto" w:fill="FFFFFF"/>
        <w:spacing w:after="240" w:line="360" w:lineRule="atLeast"/>
        <w:ind w:firstLine="840" w:firstLineChars="350"/>
        <w:jc w:val="left"/>
        <w:rPr>
          <w:rFonts w:hint="eastAsia" w:ascii="宋体" w:hAnsi="宋体" w:cs="宋体"/>
          <w:color w:val="auto"/>
          <w:kern w:val="0"/>
          <w:szCs w:val="21"/>
          <w:highlight w:val="none"/>
        </w:rPr>
      </w:pPr>
      <w:r>
        <w:rPr>
          <w:rFonts w:hint="eastAsia" w:ascii="宋体" w:hAnsi="宋体" w:cs="宋体"/>
          <w:color w:val="auto"/>
          <w:kern w:val="0"/>
          <w:sz w:val="24"/>
          <w:highlight w:val="none"/>
          <w:lang w:bidi="ar"/>
        </w:rPr>
        <w:br w:type="page"/>
      </w:r>
    </w:p>
    <w:p w14:paraId="7A065BF1">
      <w:pPr>
        <w:widowControl/>
        <w:spacing w:before="100" w:beforeAutospacing="1" w:after="100" w:afterAutospacing="1" w:line="360" w:lineRule="auto"/>
        <w:jc w:val="center"/>
        <w:textAlignment w:val="top"/>
        <w:rPr>
          <w:rFonts w:hint="eastAsia" w:ascii="宋体" w:hAnsi="宋体" w:cs="宋体"/>
          <w:b/>
          <w:bCs/>
          <w:color w:val="auto"/>
          <w:kern w:val="0"/>
          <w:sz w:val="30"/>
          <w:highlight w:val="none"/>
        </w:rPr>
      </w:pPr>
      <w:r>
        <w:rPr>
          <w:rFonts w:hint="eastAsia" w:ascii="宋体" w:hAnsi="宋体" w:cs="宋体"/>
          <w:b/>
          <w:bCs/>
          <w:color w:val="auto"/>
          <w:kern w:val="0"/>
          <w:sz w:val="30"/>
          <w:highlight w:val="none"/>
        </w:rPr>
        <w:t>残疾人福利单位声明函</w:t>
      </w:r>
    </w:p>
    <w:p w14:paraId="666F1F47">
      <w:pPr>
        <w:widowControl/>
        <w:shd w:val="clear" w:color="auto" w:fill="FFFFFF"/>
        <w:spacing w:after="240" w:line="360" w:lineRule="auto"/>
        <w:ind w:firstLine="840" w:firstLineChars="350"/>
        <w:jc w:val="left"/>
        <w:rPr>
          <w:rFonts w:hint="eastAsia" w:ascii="宋体" w:hAnsi="宋体" w:cs="宋体"/>
          <w:color w:val="auto"/>
          <w:sz w:val="24"/>
          <w:highlight w:val="none"/>
        </w:rPr>
      </w:pPr>
      <w:r>
        <w:rPr>
          <w:rFonts w:hint="eastAsia" w:ascii="宋体" w:hAnsi="宋体" w:cs="宋体"/>
          <w:color w:val="auto"/>
          <w:kern w:val="0"/>
          <w:sz w:val="24"/>
          <w:highlight w:val="none"/>
        </w:rPr>
        <w:t>本公司郑重声明，</w:t>
      </w:r>
      <w:r>
        <w:rPr>
          <w:rFonts w:hint="eastAsia" w:ascii="宋体" w:hAnsi="宋体" w:cs="宋体"/>
          <w:color w:val="auto"/>
          <w:sz w:val="24"/>
          <w:highlight w:val="none"/>
        </w:rPr>
        <w:t>根据《财政部 民政部 中国残疾人联合会关于促进残疾人就业政府采购政策的通知》（财库〔2017〕 141号）的规定</w:t>
      </w:r>
      <w:r>
        <w:rPr>
          <w:rFonts w:hint="eastAsia" w:ascii="宋体" w:hAnsi="宋体" w:cs="宋体"/>
          <w:color w:val="auto"/>
          <w:kern w:val="0"/>
          <w:sz w:val="24"/>
          <w:highlight w:val="none"/>
        </w:rPr>
        <w:t>，</w:t>
      </w:r>
      <w:r>
        <w:rPr>
          <w:rFonts w:hint="eastAsia" w:ascii="宋体" w:hAnsi="宋体" w:cs="宋体"/>
          <w:color w:val="auto"/>
          <w:sz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164C68C7">
      <w:pPr>
        <w:spacing w:line="360" w:lineRule="auto"/>
        <w:ind w:left="-105" w:leftChars="-50" w:firstLine="840" w:firstLineChars="350"/>
        <w:rPr>
          <w:rFonts w:hint="eastAsia" w:ascii="宋体" w:hAnsi="宋体" w:cs="宋体"/>
          <w:color w:val="auto"/>
          <w:sz w:val="24"/>
          <w:highlight w:val="none"/>
        </w:rPr>
      </w:pPr>
    </w:p>
    <w:p w14:paraId="3A100B80">
      <w:pPr>
        <w:spacing w:line="360" w:lineRule="auto"/>
        <w:ind w:left="-105" w:leftChars="-50" w:firstLine="840" w:firstLineChars="35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18E008">
      <w:pPr>
        <w:spacing w:line="360" w:lineRule="auto"/>
        <w:ind w:left="-105" w:leftChars="-50" w:firstLine="735" w:firstLineChars="350"/>
        <w:rPr>
          <w:rFonts w:hint="eastAsia" w:ascii="宋体" w:hAnsi="宋体" w:cs="宋体"/>
          <w:color w:val="auto"/>
          <w:szCs w:val="21"/>
          <w:highlight w:val="none"/>
        </w:rPr>
      </w:pPr>
    </w:p>
    <w:p w14:paraId="5A9A4A4C">
      <w:pPr>
        <w:widowControl/>
        <w:shd w:val="clear" w:color="auto" w:fill="FFFFFF"/>
        <w:spacing w:after="240" w:line="360" w:lineRule="atLeast"/>
        <w:jc w:val="left"/>
        <w:rPr>
          <w:rFonts w:hint="eastAsia" w:ascii="宋体" w:hAnsi="宋体" w:cs="宋体"/>
          <w:color w:val="auto"/>
          <w:szCs w:val="21"/>
          <w:highlight w:val="none"/>
        </w:rPr>
      </w:pPr>
    </w:p>
    <w:p w14:paraId="353B4C0C">
      <w:pPr>
        <w:widowControl/>
        <w:shd w:val="clear" w:color="auto" w:fill="FFFFFF"/>
        <w:spacing w:after="240" w:line="360" w:lineRule="atLeast"/>
        <w:jc w:val="left"/>
        <w:rPr>
          <w:rFonts w:hint="eastAsia" w:ascii="宋体" w:hAnsi="宋体" w:cs="宋体"/>
          <w:color w:val="auto"/>
          <w:szCs w:val="21"/>
          <w:highlight w:val="none"/>
        </w:rPr>
      </w:pPr>
    </w:p>
    <w:p w14:paraId="2495A5F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单位名称（</w:t>
      </w:r>
      <w:r>
        <w:rPr>
          <w:rFonts w:hint="eastAsia" w:ascii="宋体" w:hAnsi="宋体" w:cs="宋体"/>
          <w:b/>
          <w:bCs/>
          <w:color w:val="auto"/>
          <w:sz w:val="24"/>
          <w:szCs w:val="32"/>
          <w:highlight w:val="none"/>
        </w:rPr>
        <w:t>CA电子签章</w:t>
      </w:r>
      <w:r>
        <w:rPr>
          <w:rFonts w:hint="eastAsia" w:ascii="宋体" w:hAnsi="宋体" w:cs="宋体"/>
          <w:color w:val="auto"/>
          <w:sz w:val="24"/>
          <w:highlight w:val="none"/>
        </w:rPr>
        <w:t>）：</w:t>
      </w:r>
    </w:p>
    <w:p w14:paraId="3E7B5E10">
      <w:pPr>
        <w:ind w:right="420" w:firstLine="6480" w:firstLineChars="2700"/>
        <w:rPr>
          <w:rFonts w:hint="eastAsia" w:ascii="宋体" w:hAnsi="宋体" w:cs="宋体"/>
          <w:color w:val="auto"/>
          <w:sz w:val="24"/>
          <w:highlight w:val="none"/>
        </w:rPr>
      </w:pPr>
    </w:p>
    <w:p w14:paraId="16CA5366">
      <w:pPr>
        <w:ind w:right="420" w:firstLine="6480" w:firstLineChars="2700"/>
        <w:rPr>
          <w:rFonts w:hint="eastAsia" w:ascii="宋体" w:hAnsi="宋体" w:cs="宋体"/>
          <w:color w:val="auto"/>
          <w:sz w:val="24"/>
          <w:highlight w:val="none"/>
        </w:rPr>
      </w:pPr>
      <w:r>
        <w:rPr>
          <w:rFonts w:hint="eastAsia" w:ascii="宋体" w:hAnsi="宋体" w:cs="宋体"/>
          <w:color w:val="auto"/>
          <w:sz w:val="24"/>
          <w:highlight w:val="none"/>
        </w:rPr>
        <w:t>日  期：</w:t>
      </w:r>
    </w:p>
    <w:p w14:paraId="22D015EF">
      <w:pPr>
        <w:tabs>
          <w:tab w:val="left" w:pos="3870"/>
          <w:tab w:val="left" w:pos="4085"/>
        </w:tabs>
        <w:snapToGrid w:val="0"/>
        <w:spacing w:line="360" w:lineRule="exact"/>
        <w:jc w:val="left"/>
        <w:rPr>
          <w:rFonts w:hint="eastAsia" w:ascii="宋体" w:hAnsi="宋体" w:cs="宋体"/>
          <w:color w:val="auto"/>
          <w:highlight w:val="none"/>
        </w:rPr>
      </w:pPr>
    </w:p>
    <w:p w14:paraId="7F3F5E85">
      <w:pPr>
        <w:tabs>
          <w:tab w:val="left" w:pos="3870"/>
          <w:tab w:val="left" w:pos="4085"/>
        </w:tabs>
        <w:snapToGrid w:val="0"/>
        <w:spacing w:line="360" w:lineRule="exact"/>
        <w:jc w:val="left"/>
        <w:rPr>
          <w:rFonts w:hint="eastAsia"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）投标人针对报价需要说明的其他文件和说明（如有，格式自拟）</w:t>
      </w:r>
    </w:p>
    <w:p w14:paraId="1F6A5A6B">
      <w:pPr>
        <w:tabs>
          <w:tab w:val="left" w:pos="3870"/>
          <w:tab w:val="left" w:pos="4085"/>
        </w:tabs>
        <w:snapToGrid w:val="0"/>
        <w:spacing w:line="360" w:lineRule="exact"/>
        <w:jc w:val="left"/>
        <w:rPr>
          <w:rFonts w:hint="eastAsia" w:ascii="宋体" w:hAnsi="宋体" w:cs="宋体"/>
          <w:color w:val="auto"/>
          <w:szCs w:val="21"/>
          <w:highlight w:val="none"/>
        </w:rPr>
      </w:pPr>
    </w:p>
    <w:p w14:paraId="030FD3D8">
      <w:pPr>
        <w:tabs>
          <w:tab w:val="left" w:pos="3870"/>
          <w:tab w:val="left" w:pos="4085"/>
        </w:tabs>
        <w:snapToGrid w:val="0"/>
        <w:spacing w:line="360" w:lineRule="exact"/>
        <w:jc w:val="left"/>
        <w:rPr>
          <w:rFonts w:hint="eastAsia" w:ascii="宋体" w:hAnsi="宋体" w:cs="宋体"/>
          <w:color w:val="auto"/>
          <w:szCs w:val="21"/>
          <w:highlight w:val="none"/>
        </w:rPr>
      </w:pPr>
    </w:p>
    <w:p w14:paraId="3305E3FE">
      <w:pPr>
        <w:pStyle w:val="13"/>
        <w:ind w:firstLine="2880" w:firstLineChars="12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rPr>
        <w:t xml:space="preserve">                   </w:t>
      </w:r>
    </w:p>
    <w:p w14:paraId="33530BA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7FD38EA">
      <w:pPr>
        <w:ind w:right="420" w:firstLine="6480" w:firstLineChars="2700"/>
        <w:rPr>
          <w:rFonts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7AF6E77D">
      <w:pPr>
        <w:tabs>
          <w:tab w:val="left" w:pos="3870"/>
          <w:tab w:val="left" w:pos="4085"/>
        </w:tabs>
        <w:snapToGrid w:val="0"/>
        <w:spacing w:line="360" w:lineRule="exact"/>
        <w:jc w:val="left"/>
        <w:rPr>
          <w:rFonts w:hint="eastAsia" w:ascii="宋体" w:hAnsi="宋体" w:cs="宋体"/>
          <w:color w:val="auto"/>
          <w:szCs w:val="21"/>
          <w:highlight w:val="none"/>
        </w:rPr>
      </w:pPr>
    </w:p>
    <w:p w14:paraId="12D97B48">
      <w:pPr>
        <w:tabs>
          <w:tab w:val="left" w:pos="3870"/>
          <w:tab w:val="left" w:pos="4085"/>
        </w:tabs>
        <w:snapToGrid w:val="0"/>
        <w:spacing w:line="360" w:lineRule="exact"/>
        <w:jc w:val="left"/>
        <w:rPr>
          <w:rFonts w:hint="eastAsia" w:ascii="宋体" w:hAnsi="宋体" w:cs="宋体"/>
          <w:color w:val="auto"/>
          <w:szCs w:val="21"/>
          <w:highlight w:val="none"/>
        </w:rPr>
      </w:pPr>
    </w:p>
    <w:p w14:paraId="1777F110">
      <w:pPr>
        <w:pStyle w:val="13"/>
        <w:spacing w:line="320" w:lineRule="exact"/>
        <w:rPr>
          <w:rFonts w:hint="eastAsia" w:hAnsi="宋体" w:cs="宋体"/>
          <w:b/>
          <w:bCs/>
          <w:color w:val="auto"/>
          <w:highlight w:val="none"/>
        </w:rPr>
      </w:pPr>
      <w:r>
        <w:rPr>
          <w:rFonts w:hint="eastAsia" w:hAnsi="宋体" w:cs="宋体"/>
          <w:color w:val="auto"/>
          <w:highlight w:val="none"/>
        </w:rPr>
        <w:br w:type="page"/>
      </w:r>
      <w:r>
        <w:rPr>
          <w:rFonts w:hint="eastAsia" w:hAnsi="宋体" w:cs="宋体"/>
          <w:b/>
          <w:color w:val="auto"/>
          <w:sz w:val="24"/>
          <w:szCs w:val="28"/>
          <w:highlight w:val="none"/>
        </w:rPr>
        <w:t>3.</w:t>
      </w:r>
      <w:r>
        <w:rPr>
          <w:rFonts w:hint="eastAsia" w:hAnsi="宋体" w:cs="宋体"/>
          <w:b/>
          <w:bCs/>
          <w:color w:val="auto"/>
          <w:sz w:val="24"/>
          <w:szCs w:val="28"/>
          <w:highlight w:val="none"/>
        </w:rPr>
        <w:t>投标文件（商务技术文件）封面格式：</w:t>
      </w:r>
    </w:p>
    <w:p w14:paraId="4CEB777B">
      <w:pPr>
        <w:snapToGrid w:val="0"/>
        <w:spacing w:before="120" w:beforeLines="50" w:after="50"/>
        <w:rPr>
          <w:rFonts w:hint="eastAsia" w:ascii="宋体" w:hAnsi="宋体" w:cs="宋体"/>
          <w:bCs/>
          <w:color w:val="auto"/>
          <w:szCs w:val="21"/>
          <w:highlight w:val="none"/>
        </w:rPr>
      </w:pPr>
    </w:p>
    <w:p w14:paraId="63656FDD">
      <w:pPr>
        <w:snapToGrid w:val="0"/>
        <w:spacing w:before="120" w:beforeLines="50" w:after="50"/>
        <w:rPr>
          <w:rFonts w:hint="eastAsia" w:ascii="宋体" w:hAnsi="宋体" w:cs="宋体"/>
          <w:bCs/>
          <w:color w:val="auto"/>
          <w:szCs w:val="21"/>
          <w:highlight w:val="none"/>
        </w:rPr>
      </w:pPr>
    </w:p>
    <w:p w14:paraId="7B54AAA2">
      <w:pPr>
        <w:snapToGrid w:val="0"/>
        <w:spacing w:before="120" w:beforeLines="50" w:after="50"/>
        <w:rPr>
          <w:rFonts w:hint="eastAsia" w:ascii="宋体" w:hAnsi="宋体" w:cs="宋体"/>
          <w:bCs/>
          <w:color w:val="auto"/>
          <w:szCs w:val="21"/>
          <w:highlight w:val="none"/>
        </w:rPr>
      </w:pPr>
    </w:p>
    <w:p w14:paraId="11CF4651">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E530355">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7ED781E0">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6DA98546">
      <w:pPr>
        <w:snapToGrid w:val="0"/>
        <w:spacing w:before="120" w:beforeLines="50" w:after="50" w:line="280" w:lineRule="exact"/>
        <w:ind w:firstLine="9" w:firstLineChars="3"/>
        <w:jc w:val="center"/>
        <w:rPr>
          <w:rFonts w:hint="eastAsia" w:ascii="宋体" w:hAnsi="宋体" w:cs="宋体"/>
          <w:bCs/>
          <w:color w:val="auto"/>
          <w:sz w:val="32"/>
          <w:szCs w:val="32"/>
          <w:highlight w:val="none"/>
        </w:rPr>
      </w:pPr>
    </w:p>
    <w:p w14:paraId="01F37C50">
      <w:pPr>
        <w:snapToGrid w:val="0"/>
        <w:spacing w:before="120" w:beforeLines="50" w:after="50"/>
        <w:ind w:firstLine="14" w:firstLineChars="3"/>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投  标  文  件</w:t>
      </w:r>
    </w:p>
    <w:p w14:paraId="1183824E">
      <w:pPr>
        <w:snapToGrid w:val="0"/>
        <w:spacing w:before="120" w:beforeLines="50" w:after="50"/>
        <w:ind w:firstLine="9" w:firstLineChars="3"/>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（商务技术文件）</w:t>
      </w:r>
    </w:p>
    <w:p w14:paraId="412C1878">
      <w:pPr>
        <w:snapToGrid w:val="0"/>
        <w:spacing w:before="120" w:beforeLines="50" w:after="50"/>
        <w:ind w:firstLine="9" w:firstLineChars="3"/>
        <w:jc w:val="center"/>
        <w:rPr>
          <w:rFonts w:hint="eastAsia" w:ascii="宋体" w:hAnsi="宋体" w:cs="宋体"/>
          <w:bCs/>
          <w:color w:val="auto"/>
          <w:sz w:val="32"/>
          <w:szCs w:val="32"/>
          <w:highlight w:val="none"/>
        </w:rPr>
      </w:pPr>
    </w:p>
    <w:p w14:paraId="7F0578B7">
      <w:pPr>
        <w:snapToGrid w:val="0"/>
        <w:spacing w:before="120" w:beforeLines="50" w:after="50"/>
        <w:rPr>
          <w:rFonts w:hint="eastAsia" w:ascii="宋体" w:hAnsi="宋体" w:cs="宋体"/>
          <w:bCs/>
          <w:color w:val="auto"/>
          <w:szCs w:val="21"/>
          <w:highlight w:val="none"/>
        </w:rPr>
      </w:pPr>
    </w:p>
    <w:p w14:paraId="071FAE28">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项目名称：</w:t>
      </w:r>
      <w:r>
        <w:rPr>
          <w:rFonts w:hint="eastAsia" w:ascii="宋体" w:hAnsi="宋体" w:cs="宋体"/>
          <w:bCs/>
          <w:color w:val="auto"/>
          <w:sz w:val="30"/>
          <w:szCs w:val="30"/>
          <w:highlight w:val="none"/>
          <w:u w:val="single"/>
        </w:rPr>
        <w:t xml:space="preserve">                                  </w:t>
      </w:r>
    </w:p>
    <w:p w14:paraId="0E0BD8C2">
      <w:pPr>
        <w:snapToGrid w:val="0"/>
        <w:spacing w:line="480" w:lineRule="auto"/>
        <w:ind w:firstLine="837" w:firstLineChars="279"/>
        <w:rPr>
          <w:rFonts w:ascii="宋体" w:hAnsi="宋体" w:cs="宋体"/>
          <w:bCs/>
          <w:color w:val="auto"/>
          <w:sz w:val="30"/>
          <w:szCs w:val="30"/>
          <w:highlight w:val="none"/>
          <w:u w:val="single"/>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u w:val="single"/>
        </w:rPr>
        <w:t xml:space="preserve">                                  </w:t>
      </w:r>
    </w:p>
    <w:p w14:paraId="6A80FCEE">
      <w:pPr>
        <w:pStyle w:val="8"/>
        <w:snapToGrid w:val="0"/>
        <w:spacing w:line="480" w:lineRule="auto"/>
        <w:ind w:firstLine="837" w:firstLineChars="279"/>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投标人名称：</w:t>
      </w:r>
      <w:r>
        <w:rPr>
          <w:rFonts w:hint="eastAsia" w:ascii="宋体" w:hAnsi="宋体" w:cs="宋体"/>
          <w:bCs/>
          <w:color w:val="auto"/>
          <w:sz w:val="30"/>
          <w:szCs w:val="30"/>
          <w:highlight w:val="none"/>
          <w:u w:val="single"/>
          <w:lang w:val="en-US" w:eastAsia="zh-CN"/>
        </w:rPr>
        <w:t xml:space="preserve">                                </w:t>
      </w:r>
    </w:p>
    <w:p w14:paraId="00F90712">
      <w:pPr>
        <w:pStyle w:val="8"/>
        <w:snapToGrid w:val="0"/>
        <w:spacing w:line="480" w:lineRule="auto"/>
        <w:ind w:firstLine="837" w:firstLineChars="279"/>
        <w:rPr>
          <w:rFonts w:ascii="宋体" w:hAnsi="宋体" w:cs="宋体"/>
          <w:bCs/>
          <w:color w:val="auto"/>
          <w:sz w:val="30"/>
          <w:szCs w:val="30"/>
          <w:highlight w:val="none"/>
          <w:u w:val="single"/>
          <w:lang w:val="en-US" w:eastAsia="zh-CN"/>
        </w:rPr>
      </w:pPr>
      <w:r>
        <w:rPr>
          <w:rFonts w:hint="eastAsia" w:ascii="宋体" w:hAnsi="宋体" w:cs="宋体"/>
          <w:bCs/>
          <w:color w:val="auto"/>
          <w:sz w:val="30"/>
          <w:szCs w:val="30"/>
          <w:highlight w:val="none"/>
          <w:lang w:eastAsia="zh-CN"/>
        </w:rPr>
        <w:t>法定代表人或其被授权代表</w:t>
      </w:r>
      <w:r>
        <w:rPr>
          <w:rFonts w:hint="eastAsia" w:ascii="宋体" w:hAnsi="宋体" w:cs="宋体"/>
          <w:b/>
          <w:color w:val="auto"/>
          <w:sz w:val="30"/>
          <w:szCs w:val="30"/>
          <w:highlight w:val="none"/>
          <w:lang w:eastAsia="zh-CN"/>
        </w:rPr>
        <w:t>（签字或盖章）</w:t>
      </w:r>
      <w:r>
        <w:rPr>
          <w:rFonts w:hint="eastAsia" w:ascii="宋体" w:hAnsi="宋体" w:cs="宋体"/>
          <w:bCs/>
          <w:color w:val="auto"/>
          <w:sz w:val="30"/>
          <w:szCs w:val="30"/>
          <w:highlight w:val="none"/>
          <w:lang w:eastAsia="zh-CN"/>
        </w:rPr>
        <w:t>：</w:t>
      </w:r>
      <w:r>
        <w:rPr>
          <w:rFonts w:hint="eastAsia" w:ascii="宋体" w:hAnsi="宋体" w:cs="宋体"/>
          <w:bCs/>
          <w:color w:val="auto"/>
          <w:sz w:val="30"/>
          <w:szCs w:val="30"/>
          <w:highlight w:val="none"/>
          <w:u w:val="single"/>
          <w:lang w:val="en-US" w:eastAsia="zh-CN"/>
        </w:rPr>
        <w:t xml:space="preserve">        </w:t>
      </w:r>
    </w:p>
    <w:p w14:paraId="468DC664">
      <w:pPr>
        <w:pStyle w:val="8"/>
        <w:snapToGrid w:val="0"/>
        <w:spacing w:before="50" w:after="50" w:line="280" w:lineRule="exact"/>
        <w:ind w:firstLine="675" w:firstLineChars="225"/>
        <w:rPr>
          <w:rFonts w:hint="eastAsia" w:ascii="宋体" w:hAnsi="宋体" w:cs="宋体"/>
          <w:bCs/>
          <w:color w:val="auto"/>
          <w:sz w:val="30"/>
          <w:szCs w:val="30"/>
          <w:highlight w:val="none"/>
        </w:rPr>
      </w:pPr>
    </w:p>
    <w:p w14:paraId="48FADB6F">
      <w:pPr>
        <w:snapToGrid w:val="0"/>
        <w:spacing w:before="120" w:beforeLines="50" w:after="50"/>
        <w:ind w:firstLine="10"/>
        <w:jc w:val="center"/>
        <w:rPr>
          <w:rFonts w:hint="eastAsia" w:ascii="宋体" w:hAnsi="宋体" w:cs="宋体"/>
          <w:color w:val="auto"/>
          <w:sz w:val="30"/>
          <w:szCs w:val="30"/>
          <w:highlight w:val="none"/>
        </w:rPr>
      </w:pPr>
    </w:p>
    <w:p w14:paraId="65CCF411">
      <w:pPr>
        <w:snapToGrid w:val="0"/>
        <w:spacing w:before="120" w:beforeLines="50" w:after="50"/>
        <w:ind w:firstLine="10"/>
        <w:jc w:val="center"/>
        <w:rPr>
          <w:rFonts w:hint="eastAsia" w:ascii="宋体" w:hAnsi="宋体" w:cs="宋体"/>
          <w:color w:val="auto"/>
          <w:sz w:val="30"/>
          <w:szCs w:val="30"/>
          <w:highlight w:val="none"/>
        </w:rPr>
      </w:pPr>
    </w:p>
    <w:p w14:paraId="59443EB5">
      <w:pPr>
        <w:snapToGrid w:val="0"/>
        <w:spacing w:before="120" w:beforeLines="50" w:after="50"/>
        <w:rPr>
          <w:rFonts w:hint="eastAsia" w:ascii="宋体" w:hAnsi="宋体" w:cs="宋体"/>
          <w:color w:val="auto"/>
          <w:sz w:val="30"/>
          <w:szCs w:val="30"/>
          <w:highlight w:val="none"/>
        </w:rPr>
      </w:pPr>
    </w:p>
    <w:p w14:paraId="517660F1">
      <w:pPr>
        <w:snapToGrid w:val="0"/>
        <w:spacing w:before="120" w:beforeLines="50" w:after="50" w:line="320" w:lineRule="exact"/>
        <w:jc w:val="center"/>
        <w:rPr>
          <w:rFonts w:hint="eastAsia" w:ascii="宋体" w:hAnsi="宋体" w:cs="宋体"/>
          <w:bCs/>
          <w:color w:val="auto"/>
          <w:highlight w:val="none"/>
        </w:rPr>
      </w:pPr>
      <w:r>
        <w:rPr>
          <w:rFonts w:hint="eastAsia" w:ascii="宋体" w:hAnsi="宋体" w:cs="宋体"/>
          <w:color w:val="auto"/>
          <w:sz w:val="30"/>
          <w:szCs w:val="30"/>
          <w:highlight w:val="none"/>
        </w:rPr>
        <w:t>年  月  日</w:t>
      </w:r>
    </w:p>
    <w:p w14:paraId="606BEE24">
      <w:pPr>
        <w:snapToGrid w:val="0"/>
        <w:spacing w:before="50" w:after="50"/>
        <w:rPr>
          <w:rFonts w:hint="eastAsia"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bCs/>
          <w:color w:val="auto"/>
          <w:szCs w:val="21"/>
          <w:highlight w:val="none"/>
        </w:rPr>
        <w:t>投标文件（</w:t>
      </w:r>
      <w:r>
        <w:rPr>
          <w:rFonts w:hint="eastAsia" w:ascii="宋体" w:hAnsi="宋体" w:cs="宋体"/>
          <w:b/>
          <w:color w:val="auto"/>
          <w:szCs w:val="21"/>
          <w:highlight w:val="none"/>
        </w:rPr>
        <w:t>商务技术文件</w:t>
      </w:r>
      <w:r>
        <w:rPr>
          <w:rFonts w:hint="eastAsia" w:ascii="宋体" w:hAnsi="宋体" w:cs="宋体"/>
          <w:b/>
          <w:bCs/>
          <w:color w:val="auto"/>
          <w:szCs w:val="21"/>
          <w:highlight w:val="none"/>
        </w:rPr>
        <w:t>）目录：</w:t>
      </w:r>
    </w:p>
    <w:p w14:paraId="06A10B48">
      <w:pPr>
        <w:tabs>
          <w:tab w:val="left" w:pos="3870"/>
          <w:tab w:val="left" w:pos="4085"/>
        </w:tabs>
        <w:snapToGrid w:val="0"/>
        <w:spacing w:line="500" w:lineRule="exact"/>
        <w:jc w:val="center"/>
        <w:rPr>
          <w:rFonts w:hint="eastAsia" w:ascii="宋体" w:hAnsi="宋体" w:cs="宋体"/>
          <w:color w:val="auto"/>
          <w:sz w:val="44"/>
          <w:szCs w:val="44"/>
          <w:highlight w:val="none"/>
        </w:rPr>
      </w:pPr>
    </w:p>
    <w:p w14:paraId="7660D191">
      <w:pPr>
        <w:tabs>
          <w:tab w:val="left" w:pos="3870"/>
          <w:tab w:val="left" w:pos="4085"/>
        </w:tabs>
        <w:snapToGrid w:val="0"/>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商务技术文件目录</w:t>
      </w:r>
    </w:p>
    <w:p w14:paraId="2EC29ADF">
      <w:pPr>
        <w:snapToGrid w:val="0"/>
        <w:spacing w:line="360" w:lineRule="exact"/>
        <w:ind w:firstLine="413" w:firstLineChars="196"/>
        <w:jc w:val="left"/>
        <w:rPr>
          <w:rFonts w:hint="eastAsia" w:ascii="宋体" w:hAnsi="宋体" w:cs="宋体"/>
          <w:b/>
          <w:color w:val="auto"/>
          <w:szCs w:val="21"/>
          <w:highlight w:val="none"/>
        </w:rPr>
      </w:pPr>
    </w:p>
    <w:p w14:paraId="1F644E3C">
      <w:pPr>
        <w:tabs>
          <w:tab w:val="left" w:pos="3870"/>
          <w:tab w:val="left" w:pos="4085"/>
        </w:tabs>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3.1.商务资信文件</w:t>
      </w:r>
    </w:p>
    <w:p w14:paraId="2B60973A">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3.1.1商务文件</w:t>
      </w:r>
    </w:p>
    <w:p w14:paraId="3B675526">
      <w:pPr>
        <w:tabs>
          <w:tab w:val="left" w:pos="3870"/>
          <w:tab w:val="left" w:pos="4085"/>
        </w:tabs>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无串通投标行为的承诺函</w:t>
      </w:r>
      <w:r>
        <w:rPr>
          <w:rFonts w:hint="eastAsia" w:ascii="宋体" w:hAnsi="宋体" w:cs="宋体"/>
          <w:color w:val="auto"/>
          <w:sz w:val="24"/>
          <w:highlight w:val="none"/>
        </w:rPr>
        <w:t>；</w:t>
      </w:r>
    </w:p>
    <w:p w14:paraId="06FC4F8E">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）法定代表人（负责人）身份证明书；</w:t>
      </w:r>
    </w:p>
    <w:p w14:paraId="0038EF39">
      <w:pPr>
        <w:tabs>
          <w:tab w:val="left" w:pos="3870"/>
          <w:tab w:val="left" w:pos="4085"/>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）法定代表人（负责人）授权委托书及委托代理人有效身份证件（</w:t>
      </w:r>
      <w:r>
        <w:rPr>
          <w:rFonts w:hint="eastAsia" w:ascii="宋体" w:hAnsi="宋体" w:cs="宋体"/>
          <w:bCs/>
          <w:color w:val="auto"/>
          <w:sz w:val="24"/>
          <w:highlight w:val="none"/>
        </w:rPr>
        <w:t>正反面原件</w:t>
      </w:r>
      <w:r>
        <w:rPr>
          <w:rFonts w:hint="eastAsia" w:ascii="宋体" w:hAnsi="宋体" w:cs="宋体"/>
          <w:color w:val="auto"/>
          <w:sz w:val="24"/>
          <w:highlight w:val="none"/>
        </w:rPr>
        <w:t>）</w:t>
      </w:r>
      <w:r>
        <w:rPr>
          <w:rFonts w:hint="eastAsia" w:ascii="宋体" w:hAnsi="宋体" w:cs="宋体"/>
          <w:bCs/>
          <w:color w:val="auto"/>
          <w:sz w:val="24"/>
          <w:highlight w:val="none"/>
        </w:rPr>
        <w:t>扫描件</w:t>
      </w:r>
      <w:r>
        <w:rPr>
          <w:rFonts w:hint="eastAsia" w:ascii="宋体" w:hAnsi="宋体" w:cs="宋体"/>
          <w:color w:val="auto"/>
          <w:sz w:val="24"/>
          <w:highlight w:val="none"/>
        </w:rPr>
        <w:t>（委托代理时）；</w:t>
      </w:r>
    </w:p>
    <w:p w14:paraId="530A6CE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）商务响应表；</w:t>
      </w:r>
    </w:p>
    <w:p w14:paraId="4E7D2DF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）售后服务方案承诺；</w:t>
      </w:r>
    </w:p>
    <w:p w14:paraId="750ACAAA">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3.1.2资信文件</w:t>
      </w:r>
    </w:p>
    <w:p w14:paraId="08EFBF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w:t>
      </w:r>
      <w:r>
        <w:rPr>
          <w:rFonts w:hint="eastAsia" w:ascii="宋体" w:hAnsi="宋体" w:cs="宋体"/>
          <w:bCs/>
          <w:color w:val="auto"/>
          <w:sz w:val="24"/>
          <w:highlight w:val="none"/>
        </w:rPr>
        <w:t>自202</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年1月1日以来的</w:t>
      </w:r>
      <w:r>
        <w:rPr>
          <w:rFonts w:hint="eastAsia" w:ascii="宋体" w:hAnsi="宋体" w:cs="宋体"/>
          <w:color w:val="auto"/>
          <w:sz w:val="24"/>
          <w:highlight w:val="none"/>
        </w:rPr>
        <w:t>同类项目成功案例证明材料（如有）；</w:t>
      </w:r>
    </w:p>
    <w:p w14:paraId="61E64E3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（2）投标人认为必要提供的声明及文件资料（如有）；</w:t>
      </w:r>
    </w:p>
    <w:p w14:paraId="7E4AB8BD">
      <w:pPr>
        <w:tabs>
          <w:tab w:val="left" w:pos="3870"/>
          <w:tab w:val="left" w:pos="4085"/>
        </w:tabs>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color w:val="auto"/>
          <w:sz w:val="24"/>
          <w:highlight w:val="none"/>
        </w:rPr>
        <w:t>3.1.2技术文件</w:t>
      </w:r>
    </w:p>
    <w:p w14:paraId="61E35787">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（1）技术响应表；</w:t>
      </w:r>
    </w:p>
    <w:p w14:paraId="203520D9">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（2）投标货物配置清单；</w:t>
      </w:r>
    </w:p>
    <w:p w14:paraId="296C8C6F">
      <w:pPr>
        <w:pStyle w:val="12"/>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（3）项目实施方案；</w:t>
      </w:r>
    </w:p>
    <w:p w14:paraId="69F1C85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（4）项目实施人员一览表；</w:t>
      </w:r>
    </w:p>
    <w:p w14:paraId="348FD6B4">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）选配件、专用耗材、售后服务优惠表；</w:t>
      </w:r>
    </w:p>
    <w:p w14:paraId="731B257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）投标人对本项目的合理化建议和改进措施（如有，格式自拟）；</w:t>
      </w:r>
    </w:p>
    <w:p w14:paraId="2B512E1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）投标人需要说明的其他文件和说明（如有，格式自拟）；</w:t>
      </w:r>
    </w:p>
    <w:p w14:paraId="1EEF946E">
      <w:pPr>
        <w:snapToGrid w:val="0"/>
        <w:spacing w:line="360" w:lineRule="exact"/>
        <w:ind w:firstLine="482" w:firstLineChars="200"/>
        <w:jc w:val="left"/>
        <w:rPr>
          <w:rFonts w:hint="eastAsia" w:ascii="宋体" w:hAnsi="宋体" w:cs="宋体"/>
          <w:b/>
          <w:bCs/>
          <w:color w:val="auto"/>
          <w:sz w:val="24"/>
          <w:highlight w:val="none"/>
        </w:rPr>
      </w:pPr>
    </w:p>
    <w:p w14:paraId="02D0F241">
      <w:pPr>
        <w:snapToGrid w:val="0"/>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注：以上目录是基本格式要求，各投标人可根据自身情况进一步向下增加内容或细化，并编写对应页码。</w:t>
      </w:r>
    </w:p>
    <w:p w14:paraId="4341DF47">
      <w:pPr>
        <w:snapToGrid w:val="0"/>
        <w:spacing w:before="120" w:beforeLines="50" w:after="50"/>
        <w:outlineLvl w:val="1"/>
        <w:rPr>
          <w:rFonts w:hint="eastAsia" w:ascii="宋体" w:hAnsi="宋体" w:cs="宋体"/>
          <w:b/>
          <w:bCs/>
          <w:color w:val="auto"/>
          <w:szCs w:val="21"/>
          <w:highlight w:val="none"/>
        </w:rPr>
      </w:pPr>
    </w:p>
    <w:p w14:paraId="7BFA2095">
      <w:pPr>
        <w:snapToGrid w:val="0"/>
        <w:spacing w:before="120" w:beforeLines="50" w:after="50"/>
        <w:outlineLvl w:val="1"/>
        <w:rPr>
          <w:rFonts w:hint="eastAsia" w:ascii="宋体" w:hAnsi="宋体" w:cs="宋体"/>
          <w:b/>
          <w:bCs/>
          <w:color w:val="auto"/>
          <w:sz w:val="24"/>
          <w:highlight w:val="none"/>
        </w:rPr>
      </w:pPr>
      <w:r>
        <w:rPr>
          <w:rFonts w:hint="eastAsia" w:ascii="宋体" w:hAnsi="宋体" w:cs="宋体"/>
          <w:b/>
          <w:color w:val="auto"/>
          <w:szCs w:val="21"/>
          <w:highlight w:val="none"/>
        </w:rPr>
        <w:br w:type="page"/>
      </w:r>
      <w:bookmarkStart w:id="113" w:name="_Toc12850"/>
      <w:r>
        <w:rPr>
          <w:rFonts w:hint="eastAsia" w:ascii="宋体" w:hAnsi="宋体" w:cs="宋体"/>
          <w:b/>
          <w:color w:val="auto"/>
          <w:sz w:val="24"/>
          <w:highlight w:val="none"/>
        </w:rPr>
        <w:t>3.1.1商务文件</w:t>
      </w:r>
      <w:bookmarkEnd w:id="113"/>
    </w:p>
    <w:p w14:paraId="3A2E8D96">
      <w:pPr>
        <w:snapToGrid w:val="0"/>
        <w:spacing w:before="120" w:beforeLines="50" w:after="50"/>
        <w:rPr>
          <w:rFonts w:hint="eastAsia" w:ascii="宋体" w:hAnsi="宋体" w:cs="宋体"/>
          <w:b/>
          <w:bCs/>
          <w:color w:val="auto"/>
          <w:sz w:val="24"/>
          <w:highlight w:val="none"/>
        </w:rPr>
      </w:pPr>
      <w:r>
        <w:rPr>
          <w:rFonts w:hint="eastAsia" w:ascii="宋体" w:hAnsi="宋体" w:cs="宋体"/>
          <w:b/>
          <w:bCs/>
          <w:color w:val="auto"/>
          <w:sz w:val="24"/>
          <w:highlight w:val="none"/>
        </w:rPr>
        <w:t>（1）无串通投标行为的承诺函格式：</w:t>
      </w:r>
    </w:p>
    <w:p w14:paraId="18C163D6">
      <w:pPr>
        <w:snapToGrid w:val="0"/>
        <w:spacing w:before="120" w:beforeLines="50" w:after="50"/>
        <w:ind w:left="420"/>
        <w:rPr>
          <w:rFonts w:hint="eastAsia" w:ascii="宋体" w:hAnsi="宋体" w:cs="宋体"/>
          <w:b/>
          <w:color w:val="auto"/>
          <w:sz w:val="28"/>
          <w:szCs w:val="28"/>
          <w:highlight w:val="none"/>
        </w:rPr>
      </w:pPr>
    </w:p>
    <w:p w14:paraId="1CA110D4">
      <w:pPr>
        <w:snapToGrid w:val="0"/>
        <w:spacing w:before="120" w:beforeLines="50" w:after="50"/>
        <w:ind w:left="420"/>
        <w:jc w:val="center"/>
        <w:rPr>
          <w:rFonts w:hint="eastAsia" w:ascii="宋体" w:hAnsi="宋体" w:cs="宋体"/>
          <w:b/>
          <w:color w:val="auto"/>
          <w:szCs w:val="21"/>
          <w:highlight w:val="none"/>
        </w:rPr>
      </w:pPr>
      <w:r>
        <w:rPr>
          <w:rFonts w:hint="eastAsia" w:ascii="宋体" w:hAnsi="宋体" w:cs="宋体"/>
          <w:b/>
          <w:color w:val="auto"/>
          <w:sz w:val="32"/>
          <w:szCs w:val="32"/>
          <w:highlight w:val="none"/>
        </w:rPr>
        <w:t>无串通投标行为承诺函</w:t>
      </w:r>
    </w:p>
    <w:p w14:paraId="57CBEB6E">
      <w:pPr>
        <w:snapToGrid w:val="0"/>
        <w:spacing w:before="120" w:beforeLines="50" w:after="50" w:line="360" w:lineRule="exact"/>
        <w:jc w:val="left"/>
        <w:rPr>
          <w:rFonts w:hint="eastAsia"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0193EEF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w:t>
      </w:r>
    </w:p>
    <w:p w14:paraId="59592CF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DB674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1CC4414">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5F619B85">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5.不同投标人的投标文件相互混装；</w:t>
      </w:r>
    </w:p>
    <w:p w14:paraId="267C425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724D9882">
      <w:pPr>
        <w:snapToGrid w:val="0"/>
        <w:spacing w:before="120" w:beforeLines="50" w:after="50" w:line="360" w:lineRule="exact"/>
        <w:jc w:val="left"/>
        <w:rPr>
          <w:rFonts w:hint="eastAsia"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536958F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0E51623">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4EAD0D81">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4109CA67">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4096C6E9">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B06B38A">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A6D3508">
      <w:pPr>
        <w:snapToGrid w:val="0"/>
        <w:spacing w:before="120" w:beforeLines="50" w:after="50" w:line="3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58BB8BBD">
      <w:pPr>
        <w:snapToGrid w:val="0"/>
        <w:spacing w:before="120" w:beforeLines="50" w:after="50" w:line="360" w:lineRule="exact"/>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5972664E">
      <w:pPr>
        <w:pStyle w:val="13"/>
        <w:ind w:firstLine="3900" w:firstLineChars="1950"/>
        <w:rPr>
          <w:rFonts w:hint="eastAsia" w:hAnsi="宋体" w:cs="宋体"/>
          <w:color w:val="auto"/>
          <w:highlight w:val="none"/>
        </w:rPr>
      </w:pPr>
    </w:p>
    <w:p w14:paraId="6352D4FE">
      <w:pPr>
        <w:pStyle w:val="13"/>
        <w:ind w:firstLine="3900" w:firstLineChars="1950"/>
        <w:rPr>
          <w:rFonts w:hint="eastAsia" w:hAnsi="宋体" w:cs="宋体"/>
          <w:color w:val="auto"/>
          <w:highlight w:val="none"/>
        </w:rPr>
      </w:pPr>
    </w:p>
    <w:p w14:paraId="5C52C760">
      <w:pPr>
        <w:pStyle w:val="13"/>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b/>
          <w:bCs/>
          <w:color w:val="auto"/>
          <w:sz w:val="24"/>
          <w:szCs w:val="24"/>
          <w:highlight w:val="none"/>
          <w:lang w:eastAsia="zh-CN"/>
        </w:rPr>
        <w:t>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D653EF3">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796BEFE">
      <w:pPr>
        <w:snapToGrid w:val="0"/>
        <w:spacing w:line="360" w:lineRule="auto"/>
        <w:ind w:firstLine="5640" w:firstLineChars="2350"/>
        <w:rPr>
          <w:rFonts w:hint="eastAsia" w:ascii="宋体" w:hAnsi="宋体" w:cs="宋体"/>
          <w:color w:val="auto"/>
          <w:kern w:val="0"/>
          <w:sz w:val="24"/>
          <w:highlight w:val="none"/>
          <w:lang w:val="zh-CN"/>
        </w:rPr>
      </w:pPr>
    </w:p>
    <w:p w14:paraId="1BC8C947">
      <w:pPr>
        <w:snapToGrid w:val="0"/>
        <w:spacing w:line="380" w:lineRule="exact"/>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）法定代表人身份证明格式：</w:t>
      </w:r>
    </w:p>
    <w:p w14:paraId="13E0839C">
      <w:pPr>
        <w:pStyle w:val="13"/>
        <w:ind w:left="-10" w:firstLine="10" w:firstLineChars="3"/>
        <w:jc w:val="center"/>
        <w:rPr>
          <w:rFonts w:hint="eastAsia" w:hAnsi="宋体" w:cs="宋体"/>
          <w:b/>
          <w:color w:val="auto"/>
          <w:sz w:val="32"/>
          <w:highlight w:val="none"/>
        </w:rPr>
      </w:pPr>
    </w:p>
    <w:p w14:paraId="1A92B83F">
      <w:pPr>
        <w:pStyle w:val="13"/>
        <w:ind w:left="-10" w:firstLine="10" w:firstLineChars="3"/>
        <w:jc w:val="center"/>
        <w:rPr>
          <w:rFonts w:hint="eastAsia" w:hAnsi="宋体" w:cs="宋体"/>
          <w:b/>
          <w:color w:val="auto"/>
          <w:sz w:val="32"/>
          <w:highlight w:val="none"/>
        </w:rPr>
      </w:pPr>
      <w:r>
        <w:rPr>
          <w:rFonts w:hint="eastAsia" w:hAnsi="宋体" w:cs="宋体"/>
          <w:b/>
          <w:color w:val="auto"/>
          <w:sz w:val="32"/>
          <w:highlight w:val="none"/>
        </w:rPr>
        <w:t>法定代表人身份证明书</w:t>
      </w:r>
    </w:p>
    <w:p w14:paraId="559FA805">
      <w:pPr>
        <w:rPr>
          <w:rFonts w:hint="eastAsia"/>
          <w:color w:val="auto"/>
          <w:highlight w:val="none"/>
        </w:rPr>
      </w:pPr>
    </w:p>
    <w:p w14:paraId="1A24E134">
      <w:pPr>
        <w:pStyle w:val="13"/>
        <w:spacing w:line="360" w:lineRule="exact"/>
        <w:ind w:firstLine="277"/>
        <w:rPr>
          <w:rFonts w:hint="eastAsia" w:hAnsi="宋体" w:cs="宋体"/>
          <w:color w:val="auto"/>
          <w:sz w:val="21"/>
          <w:highlight w:val="none"/>
          <w:lang w:eastAsia="zh-CN"/>
        </w:rPr>
      </w:pPr>
    </w:p>
    <w:p w14:paraId="518C1395">
      <w:pPr>
        <w:pStyle w:val="13"/>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单位名称：</w:t>
      </w:r>
      <w:r>
        <w:rPr>
          <w:rFonts w:hint="eastAsia" w:hAnsi="宋体" w:cs="宋体"/>
          <w:color w:val="auto"/>
          <w:sz w:val="24"/>
          <w:szCs w:val="24"/>
          <w:highlight w:val="none"/>
          <w:u w:val="single"/>
        </w:rPr>
        <w:t xml:space="preserve">                         </w:t>
      </w:r>
    </w:p>
    <w:p w14:paraId="7FDCE462">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p>
    <w:p w14:paraId="1E910021">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地    址：</w:t>
      </w:r>
      <w:r>
        <w:rPr>
          <w:rFonts w:hint="eastAsia" w:hAnsi="宋体" w:cs="宋体"/>
          <w:color w:val="auto"/>
          <w:sz w:val="24"/>
          <w:szCs w:val="24"/>
          <w:highlight w:val="none"/>
          <w:u w:val="single"/>
        </w:rPr>
        <w:t xml:space="preserve">                         </w:t>
      </w:r>
    </w:p>
    <w:p w14:paraId="65DF3817">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0F41B69C">
      <w:pPr>
        <w:pStyle w:val="13"/>
        <w:spacing w:line="360" w:lineRule="exact"/>
        <w:ind w:firstLine="277"/>
        <w:rPr>
          <w:rFonts w:hint="eastAsia" w:hAnsi="宋体" w:cs="宋体"/>
          <w:color w:val="auto"/>
          <w:sz w:val="24"/>
          <w:szCs w:val="24"/>
          <w:highlight w:val="none"/>
          <w:u w:val="singl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20EB786F">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14:paraId="1B6C3272">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系</w:t>
      </w:r>
      <w:r>
        <w:rPr>
          <w:rFonts w:hint="eastAsia" w:hAnsi="宋体" w:cs="宋体"/>
          <w:color w:val="auto"/>
          <w:sz w:val="24"/>
          <w:szCs w:val="24"/>
          <w:highlight w:val="none"/>
          <w:u w:val="single"/>
        </w:rPr>
        <w:t xml:space="preserve">     （投标人单位名称）  </w:t>
      </w:r>
      <w:r>
        <w:rPr>
          <w:rFonts w:hint="eastAsia" w:hAnsi="宋体" w:cs="宋体"/>
          <w:color w:val="auto"/>
          <w:sz w:val="24"/>
          <w:szCs w:val="24"/>
          <w:highlight w:val="none"/>
        </w:rPr>
        <w:t>的法定代表人。</w:t>
      </w:r>
    </w:p>
    <w:p w14:paraId="60E2AF8E">
      <w:pPr>
        <w:pStyle w:val="13"/>
        <w:spacing w:line="360" w:lineRule="exact"/>
        <w:ind w:firstLine="277"/>
        <w:rPr>
          <w:rFonts w:hint="eastAsia" w:hAnsi="宋体" w:cs="宋体"/>
          <w:color w:val="auto"/>
          <w:sz w:val="24"/>
          <w:szCs w:val="24"/>
          <w:highlight w:val="none"/>
        </w:rPr>
      </w:pPr>
      <w:r>
        <w:rPr>
          <w:rFonts w:hint="eastAsia" w:hAnsi="宋体" w:cs="宋体"/>
          <w:color w:val="auto"/>
          <w:sz w:val="24"/>
          <w:szCs w:val="24"/>
          <w:highlight w:val="none"/>
        </w:rPr>
        <w:t>特此证明。</w:t>
      </w:r>
    </w:p>
    <w:p w14:paraId="46D6D372">
      <w:pPr>
        <w:pStyle w:val="13"/>
        <w:spacing w:line="360" w:lineRule="auto"/>
        <w:ind w:firstLine="2640" w:firstLineChars="1100"/>
        <w:rPr>
          <w:rFonts w:hint="eastAsia" w:hAnsi="宋体" w:cs="宋体"/>
          <w:color w:val="auto"/>
          <w:sz w:val="24"/>
          <w:szCs w:val="24"/>
          <w:highlight w:val="none"/>
        </w:rPr>
      </w:pPr>
    </w:p>
    <w:p w14:paraId="3AB1F7B7">
      <w:pPr>
        <w:pStyle w:val="13"/>
        <w:spacing w:line="360" w:lineRule="auto"/>
        <w:ind w:firstLine="2640" w:firstLineChars="11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B1599D">
      <w:pPr>
        <w:tabs>
          <w:tab w:val="left" w:pos="3870"/>
          <w:tab w:val="left" w:pos="4085"/>
        </w:tabs>
        <w:snapToGrid w:val="0"/>
        <w:spacing w:line="360" w:lineRule="auto"/>
        <w:ind w:firstLine="6000" w:firstLineChars="2500"/>
        <w:jc w:val="left"/>
        <w:rPr>
          <w:rFonts w:hint="eastAsia"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0113DC3">
      <w:pPr>
        <w:pStyle w:val="13"/>
        <w:spacing w:line="360" w:lineRule="exact"/>
        <w:rPr>
          <w:rFonts w:hint="eastAsia" w:hAnsi="宋体" w:cs="宋体"/>
          <w:color w:val="auto"/>
          <w:sz w:val="21"/>
          <w:highlight w:val="none"/>
        </w:rPr>
      </w:pPr>
      <w:r>
        <w:rPr>
          <w:rFonts w:hint="eastAsia" w:hAnsi="宋体" w:cs="宋体"/>
          <w:color w:val="auto"/>
          <w:sz w:val="21"/>
          <w:highlight w:val="none"/>
        </w:rPr>
        <w:t xml:space="preserve">                                                                                                                                                                                        </w:t>
      </w:r>
    </w:p>
    <w:p w14:paraId="697C10DC">
      <w:pPr>
        <w:pStyle w:val="13"/>
        <w:spacing w:line="480" w:lineRule="exact"/>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5" name="矩形 5"/>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mS2HXAAAACQEAAA8AAAAAAAAAAQAgAAAAIgAAAGRycy9k&#10;b3ducmV2LnhtbFBLAQIUABQAAAAIAIdO4kDXO5DQAwIAACoEAAAOAAAAAAAAAAEAIAAAACYBAABk&#10;cnMvZTJvRG9jLnhtbFBLBQYAAAAABgAGAFkBAACbBQAAAAA=&#10;">
                <v:fill on="t" focussize="0,0"/>
                <v:stroke color="#000000" joinstyle="miter"/>
                <v:imagedata o:title=""/>
                <o:lock v:ext="edit" aspectratio="f"/>
                <v:textbox>
                  <w:txbxContent>
                    <w:p w14:paraId="23541D5E">
                      <w:pPr>
                        <w:rPr>
                          <w:rFonts w:hint="eastAsia"/>
                        </w:rPr>
                      </w:pPr>
                    </w:p>
                    <w:p w14:paraId="531116DA">
                      <w:pPr>
                        <w:rPr>
                          <w:rFonts w:hint="eastAsia"/>
                        </w:rPr>
                      </w:pPr>
                    </w:p>
                    <w:p w14:paraId="2766C904">
                      <w:pPr>
                        <w:rPr>
                          <w:rFonts w:hint="eastAsia"/>
                        </w:rPr>
                      </w:pPr>
                    </w:p>
                    <w:p w14:paraId="59059CFE">
                      <w:pPr>
                        <w:rPr>
                          <w:rFonts w:hint="eastAsia"/>
                        </w:rPr>
                      </w:pPr>
                    </w:p>
                    <w:p w14:paraId="152DEFF8">
                      <w:pPr>
                        <w:rPr>
                          <w:rFonts w:hint="eastAsia"/>
                        </w:rPr>
                      </w:pPr>
                    </w:p>
                    <w:p w14:paraId="0DDCD372">
                      <w:pPr>
                        <w:rPr>
                          <w:rFonts w:hint="eastAsia"/>
                        </w:rPr>
                      </w:pPr>
                    </w:p>
                    <w:p w14:paraId="6FD6D908">
                      <w:pPr>
                        <w:jc w:val="center"/>
                        <w:rPr>
                          <w:rFonts w:hint="eastAsia"/>
                        </w:rPr>
                      </w:pPr>
                      <w:r>
                        <w:rPr>
                          <w:rFonts w:hint="eastAsia"/>
                        </w:rPr>
                        <w:t>法定代表人第二代居民身份证原件扫描件</w:t>
                      </w:r>
                    </w:p>
                    <w:p w14:paraId="323AEE5F">
                      <w:pPr>
                        <w:jc w:val="center"/>
                        <w:rPr>
                          <w:rFonts w:hint="eastAsia"/>
                          <w:b/>
                        </w:rPr>
                      </w:pPr>
                      <w:r>
                        <w:rPr>
                          <w:rFonts w:hint="eastAsia"/>
                          <w:b/>
                        </w:rPr>
                        <w:t>（背面）</w:t>
                      </w:r>
                    </w:p>
                  </w:txbxContent>
                </v:textbox>
              </v:rect>
            </w:pict>
          </mc:Fallback>
        </mc:AlternateContent>
      </w:r>
      <w:r>
        <w:rPr>
          <w:rFonts w:hint="eastAsia" w:hAnsi="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0C70F512">
                      <w:pPr>
                        <w:rPr>
                          <w:rFonts w:hint="eastAsia"/>
                        </w:rPr>
                      </w:pPr>
                    </w:p>
                    <w:p w14:paraId="422092CC">
                      <w:pPr>
                        <w:rPr>
                          <w:rFonts w:hint="eastAsia"/>
                        </w:rPr>
                      </w:pPr>
                    </w:p>
                    <w:p w14:paraId="17D3698F">
                      <w:pPr>
                        <w:rPr>
                          <w:rFonts w:hint="eastAsia"/>
                        </w:rPr>
                      </w:pPr>
                    </w:p>
                    <w:p w14:paraId="7F627B6C">
                      <w:pPr>
                        <w:rPr>
                          <w:rFonts w:hint="eastAsia"/>
                        </w:rPr>
                      </w:pPr>
                    </w:p>
                    <w:p w14:paraId="1C3D54BD">
                      <w:pPr>
                        <w:rPr>
                          <w:rFonts w:hint="eastAsia"/>
                        </w:rPr>
                      </w:pPr>
                    </w:p>
                    <w:p w14:paraId="4BEDFB50">
                      <w:pPr>
                        <w:rPr>
                          <w:rFonts w:hint="eastAsia"/>
                        </w:rPr>
                      </w:pPr>
                    </w:p>
                    <w:p w14:paraId="292E6C9A">
                      <w:pPr>
                        <w:jc w:val="center"/>
                        <w:rPr>
                          <w:rFonts w:hint="eastAsia"/>
                        </w:rPr>
                      </w:pPr>
                      <w:r>
                        <w:rPr>
                          <w:rFonts w:hint="eastAsia"/>
                        </w:rPr>
                        <w:t>法定代表人第二代居民身份证原件扫描件</w:t>
                      </w:r>
                    </w:p>
                    <w:p w14:paraId="4988067C">
                      <w:pPr>
                        <w:jc w:val="center"/>
                        <w:rPr>
                          <w:rFonts w:hint="eastAsia"/>
                          <w:b/>
                        </w:rPr>
                      </w:pPr>
                      <w:r>
                        <w:rPr>
                          <w:rFonts w:hint="eastAsia"/>
                          <w:b/>
                        </w:rPr>
                        <w:t>（正面）</w:t>
                      </w:r>
                    </w:p>
                  </w:txbxContent>
                </v:textbox>
              </v:rect>
            </w:pict>
          </mc:Fallback>
        </mc:AlternateContent>
      </w:r>
      <w:r>
        <w:rPr>
          <w:rFonts w:hint="eastAsia" w:hAnsi="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6" name="直接连接符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Am1AW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sz w:val="21"/>
          <w:highlight w:val="none"/>
        </w:rPr>
        <w:t xml:space="preserve">  </w:t>
      </w:r>
    </w:p>
    <w:p w14:paraId="498EAEA8">
      <w:pPr>
        <w:pStyle w:val="13"/>
        <w:spacing w:line="480" w:lineRule="exact"/>
        <w:rPr>
          <w:rFonts w:hint="eastAsia" w:hAnsi="宋体" w:cs="宋体"/>
          <w:color w:val="auto"/>
          <w:sz w:val="21"/>
          <w:highlight w:val="none"/>
        </w:rPr>
      </w:pPr>
    </w:p>
    <w:p w14:paraId="3A277AE6">
      <w:pPr>
        <w:pStyle w:val="13"/>
        <w:spacing w:line="480" w:lineRule="exact"/>
        <w:rPr>
          <w:rFonts w:hint="eastAsia" w:hAnsi="宋体" w:cs="宋体"/>
          <w:color w:val="auto"/>
          <w:sz w:val="21"/>
          <w:highlight w:val="none"/>
        </w:rPr>
      </w:pPr>
    </w:p>
    <w:p w14:paraId="48120679">
      <w:pPr>
        <w:pStyle w:val="13"/>
        <w:spacing w:line="480" w:lineRule="exact"/>
        <w:rPr>
          <w:rFonts w:hint="eastAsia" w:hAnsi="宋体" w:cs="宋体"/>
          <w:color w:val="auto"/>
          <w:sz w:val="21"/>
          <w:highlight w:val="none"/>
        </w:rPr>
      </w:pPr>
    </w:p>
    <w:p w14:paraId="044A2214">
      <w:pPr>
        <w:pStyle w:val="13"/>
        <w:spacing w:line="480" w:lineRule="exact"/>
        <w:rPr>
          <w:rFonts w:hint="eastAsia" w:hAnsi="宋体" w:cs="宋体"/>
          <w:color w:val="auto"/>
          <w:sz w:val="21"/>
          <w:highlight w:val="none"/>
        </w:rPr>
      </w:pPr>
    </w:p>
    <w:p w14:paraId="47EF5C30">
      <w:pPr>
        <w:pStyle w:val="13"/>
        <w:spacing w:line="240" w:lineRule="atLeast"/>
        <w:ind w:firstLine="6300" w:firstLineChars="3000"/>
        <w:rPr>
          <w:rFonts w:hint="eastAsia" w:hAnsi="宋体" w:cs="宋体"/>
          <w:color w:val="auto"/>
          <w:sz w:val="21"/>
          <w:highlight w:val="none"/>
        </w:rPr>
      </w:pPr>
    </w:p>
    <w:p w14:paraId="04C35D74">
      <w:pPr>
        <w:pStyle w:val="13"/>
        <w:spacing w:line="480" w:lineRule="exact"/>
        <w:rPr>
          <w:rFonts w:hint="eastAsia" w:hAnsi="宋体" w:cs="宋体"/>
          <w:color w:val="auto"/>
          <w:sz w:val="21"/>
          <w:highlight w:val="none"/>
        </w:rPr>
      </w:pPr>
    </w:p>
    <w:p w14:paraId="7C3D87EF">
      <w:pPr>
        <w:pStyle w:val="13"/>
        <w:spacing w:line="240" w:lineRule="exact"/>
        <w:rPr>
          <w:rFonts w:hint="eastAsia" w:hAnsi="宋体" w:cs="宋体"/>
          <w:color w:val="auto"/>
          <w:sz w:val="21"/>
          <w:highlight w:val="none"/>
        </w:rPr>
      </w:pPr>
    </w:p>
    <w:p w14:paraId="4FBE7F40">
      <w:pPr>
        <w:jc w:val="center"/>
        <w:rPr>
          <w:rFonts w:hint="eastAsia" w:ascii="宋体" w:hAnsi="宋体" w:cs="宋体"/>
          <w:color w:val="auto"/>
          <w:highlight w:val="none"/>
          <w:u w:val="single"/>
        </w:rPr>
      </w:pPr>
      <w:r>
        <w:rPr>
          <w:rFonts w:hint="eastAsia" w:ascii="宋体" w:hAnsi="宋体" w:cs="宋体"/>
          <w:color w:val="auto"/>
          <w:szCs w:val="21"/>
          <w:highlight w:val="none"/>
        </w:rPr>
        <w:t xml:space="preserve">                         </w:t>
      </w:r>
    </w:p>
    <w:p w14:paraId="6F1878D8">
      <w:pPr>
        <w:pStyle w:val="13"/>
        <w:spacing w:line="240" w:lineRule="atLeast"/>
        <w:ind w:firstLine="5460" w:firstLineChars="2600"/>
        <w:rPr>
          <w:rFonts w:hint="eastAsia" w:hAnsi="宋体" w:cs="宋体"/>
          <w:color w:val="auto"/>
          <w:sz w:val="21"/>
          <w:highlight w:val="none"/>
          <w:u w:val="single"/>
          <w:lang w:eastAsia="zh-CN"/>
        </w:rPr>
      </w:pPr>
    </w:p>
    <w:p w14:paraId="2BF29C4D">
      <w:pPr>
        <w:pStyle w:val="13"/>
        <w:spacing w:line="360" w:lineRule="auto"/>
        <w:ind w:firstLine="3600" w:firstLineChars="1500"/>
        <w:rPr>
          <w:rFonts w:hint="eastAsia"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b/>
          <w:bCs/>
          <w:color w:val="auto"/>
          <w:sz w:val="24"/>
          <w:szCs w:val="24"/>
          <w:highlight w:val="none"/>
        </w:rPr>
        <w:t>签名（</w:t>
      </w:r>
      <w:r>
        <w:rPr>
          <w:rFonts w:hint="eastAsia" w:hAnsi="宋体" w:cs="宋体"/>
          <w:b/>
          <w:color w:val="auto"/>
          <w:sz w:val="24"/>
          <w:szCs w:val="24"/>
          <w:highlight w:val="none"/>
        </w:rPr>
        <w:t>或加盖CA电子签字章</w:t>
      </w:r>
      <w:r>
        <w:rPr>
          <w:rFonts w:hint="eastAsia" w:hAnsi="宋体" w:cs="宋体"/>
          <w:b/>
          <w:bCs/>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        </w:t>
      </w:r>
    </w:p>
    <w:p w14:paraId="6F57313B">
      <w:pPr>
        <w:pStyle w:val="13"/>
        <w:spacing w:line="360" w:lineRule="auto"/>
        <w:rPr>
          <w:rFonts w:hint="eastAsia" w:hAnsi="宋体" w:cs="宋体"/>
          <w:color w:val="auto"/>
          <w:sz w:val="24"/>
          <w:szCs w:val="24"/>
          <w:highlight w:val="none"/>
        </w:rPr>
      </w:pPr>
    </w:p>
    <w:p w14:paraId="65BFCEA9">
      <w:pPr>
        <w:pStyle w:val="13"/>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rPr>
        <w:t>注：</w:t>
      </w:r>
    </w:p>
    <w:p w14:paraId="403A4F89">
      <w:pPr>
        <w:pStyle w:val="13"/>
        <w:spacing w:line="360" w:lineRule="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1、</w:t>
      </w:r>
      <w:r>
        <w:rPr>
          <w:rFonts w:hint="eastAsia" w:hAnsi="宋体" w:cs="宋体"/>
          <w:color w:val="auto"/>
          <w:sz w:val="24"/>
          <w:szCs w:val="24"/>
          <w:highlight w:val="none"/>
        </w:rPr>
        <w:t>法定代表人必须在</w:t>
      </w:r>
      <w:r>
        <w:rPr>
          <w:rFonts w:hint="eastAsia" w:hAnsi="宋体" w:cs="宋体"/>
          <w:color w:val="auto"/>
          <w:sz w:val="24"/>
          <w:szCs w:val="24"/>
          <w:highlight w:val="none"/>
          <w:lang w:val="en-US"/>
        </w:rPr>
        <w:t>法定代表人身份证明书</w:t>
      </w:r>
      <w:r>
        <w:rPr>
          <w:rFonts w:hint="eastAsia" w:hAnsi="宋体" w:cs="宋体"/>
          <w:color w:val="auto"/>
          <w:sz w:val="24"/>
          <w:szCs w:val="24"/>
          <w:highlight w:val="none"/>
        </w:rPr>
        <w:t>上亲笔签名</w:t>
      </w:r>
      <w:r>
        <w:rPr>
          <w:rFonts w:hint="eastAsia" w:hAnsi="宋体" w:cs="宋体"/>
          <w:b/>
          <w:color w:val="auto"/>
          <w:sz w:val="24"/>
          <w:szCs w:val="24"/>
          <w:highlight w:val="none"/>
        </w:rPr>
        <w:t>（或加盖CA电子签字章）</w:t>
      </w:r>
      <w:r>
        <w:rPr>
          <w:rFonts w:hint="eastAsia" w:hAnsi="宋体" w:cs="宋体"/>
          <w:color w:val="auto"/>
          <w:sz w:val="24"/>
          <w:szCs w:val="24"/>
          <w:highlight w:val="none"/>
        </w:rPr>
        <w:t>，不得使用印章、签名章或者其他电子制版签名代替，</w:t>
      </w:r>
      <w:r>
        <w:rPr>
          <w:rFonts w:hint="eastAsia" w:hAnsi="宋体" w:cs="宋体"/>
          <w:b/>
          <w:bCs/>
          <w:color w:val="auto"/>
          <w:sz w:val="24"/>
          <w:szCs w:val="24"/>
          <w:highlight w:val="none"/>
        </w:rPr>
        <w:t>否则作无效投标处理</w:t>
      </w:r>
      <w:r>
        <w:rPr>
          <w:rFonts w:hint="eastAsia" w:hAnsi="宋体" w:cs="宋体"/>
          <w:color w:val="auto"/>
          <w:sz w:val="24"/>
          <w:szCs w:val="24"/>
          <w:highlight w:val="none"/>
        </w:rPr>
        <w:t>。</w:t>
      </w:r>
    </w:p>
    <w:p w14:paraId="6AAA015A">
      <w:pPr>
        <w:pStyle w:val="13"/>
        <w:spacing w:line="360" w:lineRule="auto"/>
        <w:rPr>
          <w:rFonts w:hint="eastAsia" w:hAnsi="宋体" w:cs="宋体"/>
          <w:color w:val="auto"/>
          <w:spacing w:val="-4"/>
          <w:sz w:val="21"/>
          <w:highlight w:val="none"/>
        </w:rPr>
      </w:pPr>
      <w:r>
        <w:rPr>
          <w:rFonts w:hint="eastAsia" w:hAnsi="宋体" w:cs="宋体"/>
          <w:color w:val="auto"/>
          <w:sz w:val="24"/>
          <w:szCs w:val="24"/>
          <w:highlight w:val="none"/>
          <w:lang w:eastAsia="zh-CN"/>
        </w:rPr>
        <w:t>2、</w:t>
      </w:r>
      <w:r>
        <w:rPr>
          <w:rFonts w:hint="eastAsia" w:hAnsi="宋体" w:cs="宋体"/>
          <w:color w:val="auto"/>
          <w:sz w:val="24"/>
          <w:szCs w:val="24"/>
          <w:highlight w:val="none"/>
        </w:rPr>
        <w:t>自然人投标的无需提供</w:t>
      </w:r>
      <w:r>
        <w:rPr>
          <w:rFonts w:hint="eastAsia" w:hAnsi="宋体" w:cs="宋体"/>
          <w:color w:val="auto"/>
          <w:sz w:val="24"/>
          <w:szCs w:val="24"/>
          <w:highlight w:val="none"/>
          <w:lang w:eastAsia="zh-CN"/>
        </w:rPr>
        <w:t>。</w:t>
      </w:r>
      <w:r>
        <w:rPr>
          <w:rFonts w:hint="eastAsia" w:hAnsi="宋体" w:cs="宋体"/>
          <w:b/>
          <w:color w:val="auto"/>
          <w:highlight w:val="none"/>
        </w:rPr>
        <w:br w:type="page"/>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3</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法定代表人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负责人</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授权委托书及委托代理人有效身份证件（正反面原件）扫描件（委托代理时）格式：</w:t>
      </w:r>
    </w:p>
    <w:p w14:paraId="529A0052">
      <w:pPr>
        <w:pStyle w:val="13"/>
        <w:spacing w:line="320" w:lineRule="exact"/>
        <w:jc w:val="center"/>
        <w:rPr>
          <w:rFonts w:hint="eastAsia" w:hAnsi="宋体" w:cs="宋体"/>
          <w:color w:val="auto"/>
          <w:sz w:val="32"/>
          <w:highlight w:val="none"/>
          <w:lang w:eastAsia="zh-CN"/>
        </w:rPr>
      </w:pPr>
    </w:p>
    <w:p w14:paraId="0A9D226B">
      <w:pPr>
        <w:pStyle w:val="13"/>
        <w:jc w:val="center"/>
        <w:rPr>
          <w:rFonts w:hint="eastAsia" w:hAnsi="宋体" w:cs="宋体"/>
          <w:b/>
          <w:bCs/>
          <w:color w:val="auto"/>
          <w:sz w:val="32"/>
          <w:highlight w:val="none"/>
        </w:rPr>
      </w:pPr>
      <w:r>
        <w:rPr>
          <w:rFonts w:hint="eastAsia" w:hAnsi="宋体" w:cs="宋体"/>
          <w:b/>
          <w:bCs/>
          <w:color w:val="auto"/>
          <w:sz w:val="32"/>
          <w:highlight w:val="none"/>
        </w:rPr>
        <w:t>法定代表人</w:t>
      </w:r>
      <w:r>
        <w:rPr>
          <w:rFonts w:hint="eastAsia" w:hAnsi="宋体" w:cs="宋体"/>
          <w:b/>
          <w:bCs/>
          <w:color w:val="auto"/>
          <w:sz w:val="32"/>
          <w:highlight w:val="none"/>
          <w:lang w:eastAsia="zh-CN"/>
        </w:rPr>
        <w:t>（</w:t>
      </w:r>
      <w:r>
        <w:rPr>
          <w:rFonts w:hint="eastAsia" w:hAnsi="宋体" w:cs="宋体"/>
          <w:b/>
          <w:bCs/>
          <w:color w:val="auto"/>
          <w:sz w:val="32"/>
          <w:highlight w:val="none"/>
          <w:lang w:val="en-US" w:eastAsia="zh-CN"/>
        </w:rPr>
        <w:t>负责人</w:t>
      </w:r>
      <w:r>
        <w:rPr>
          <w:rFonts w:hint="eastAsia" w:hAnsi="宋体" w:cs="宋体"/>
          <w:b/>
          <w:bCs/>
          <w:color w:val="auto"/>
          <w:sz w:val="32"/>
          <w:highlight w:val="none"/>
          <w:lang w:eastAsia="zh-CN"/>
        </w:rPr>
        <w:t>）</w:t>
      </w:r>
      <w:r>
        <w:rPr>
          <w:rFonts w:hint="eastAsia" w:hAnsi="宋体" w:cs="宋体"/>
          <w:b/>
          <w:bCs/>
          <w:color w:val="auto"/>
          <w:sz w:val="32"/>
          <w:highlight w:val="none"/>
        </w:rPr>
        <w:t>授权委托书</w:t>
      </w:r>
    </w:p>
    <w:p w14:paraId="1C0E8977">
      <w:pPr>
        <w:snapToGrid w:val="0"/>
        <w:spacing w:line="400" w:lineRule="exact"/>
        <w:rPr>
          <w:rFonts w:hint="eastAsia" w:ascii="宋体" w:hAnsi="宋体" w:cs="宋体"/>
          <w:bCs/>
          <w:color w:val="auto"/>
          <w:sz w:val="24"/>
          <w:highlight w:val="none"/>
        </w:rPr>
      </w:pPr>
    </w:p>
    <w:p w14:paraId="40AB354E">
      <w:pPr>
        <w:snapToGrid w:val="0"/>
        <w:spacing w:line="400" w:lineRule="exact"/>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lang w:eastAsia="zh-CN"/>
        </w:rPr>
        <w:t>鹿寨县教育局</w:t>
      </w:r>
      <w:r>
        <w:rPr>
          <w:rFonts w:hint="eastAsia" w:ascii="宋体" w:hAnsi="宋体" w:cs="宋体"/>
          <w:color w:val="auto"/>
          <w:sz w:val="24"/>
          <w:highlight w:val="none"/>
          <w:u w:val="single"/>
        </w:rPr>
        <w:t>、广西信和招标代理有限公司</w:t>
      </w:r>
      <w:r>
        <w:rPr>
          <w:rFonts w:hint="eastAsia" w:ascii="宋体" w:hAnsi="宋体" w:cs="宋体"/>
          <w:color w:val="auto"/>
          <w:sz w:val="24"/>
          <w:highlight w:val="none"/>
        </w:rPr>
        <w:t>（招标采购单位名称）：</w:t>
      </w:r>
    </w:p>
    <w:p w14:paraId="6830CC8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（投标人名称）的法定代表人（负责人），现授权委托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项目的投标活动，并代表我方全权办理针对上述项目的投标、开标、转为其他方式采购、评标、签约等具体事务和签署相关文件。</w:t>
      </w:r>
    </w:p>
    <w:p w14:paraId="403B49D3">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我方对被授权人的签名事项负全部责任。</w:t>
      </w:r>
    </w:p>
    <w:p w14:paraId="124D4B1A">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2989E2E">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35628917">
      <w:pPr>
        <w:snapToGrid w:val="0"/>
        <w:spacing w:line="400" w:lineRule="exact"/>
        <w:ind w:firstLine="420" w:firstLineChars="175"/>
        <w:rPr>
          <w:rFonts w:hint="eastAsia" w:ascii="宋体" w:hAnsi="宋体" w:cs="宋体"/>
          <w:color w:val="auto"/>
          <w:sz w:val="24"/>
          <w:highlight w:val="none"/>
          <w:u w:val="single"/>
        </w:rPr>
      </w:pPr>
      <w:r>
        <w:rPr>
          <w:rFonts w:hint="eastAsia" w:ascii="宋体" w:hAnsi="宋体" w:cs="宋体"/>
          <w:color w:val="auto"/>
          <w:sz w:val="24"/>
          <w:szCs w:val="32"/>
          <w:highlight w:val="none"/>
        </w:rPr>
        <w:t>委托代理人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color w:val="auto"/>
          <w:sz w:val="24"/>
          <w:highlight w:val="none"/>
        </w:rPr>
        <w:t>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CEAF78F">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所在部门职务：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16A02ACC">
      <w:pPr>
        <w:snapToGrid w:val="0"/>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被授权人身份证号码：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CF4F1B9">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44FB540">
      <w:pPr>
        <w:pStyle w:val="13"/>
        <w:spacing w:line="360" w:lineRule="auto"/>
        <w:ind w:firstLine="3900" w:firstLineChars="1950"/>
        <w:rPr>
          <w:rFonts w:hint="eastAsia" w:hAnsi="宋体" w:cs="宋体"/>
          <w:color w:val="auto"/>
          <w:sz w:val="24"/>
          <w:szCs w:val="24"/>
          <w:highlight w:val="none"/>
        </w:rPr>
      </w:pPr>
      <w:r>
        <w:rPr>
          <w:rFonts w:hint="eastAsia" w:hAnsi="宋体" w:cs="宋体"/>
          <w:color w:val="auto"/>
          <w:highlight w:val="none"/>
        </w:rPr>
        <w:t xml:space="preserve"> </w:t>
      </w: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45E0D1F">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7EE7676">
      <w:pPr>
        <w:pStyle w:val="13"/>
        <w:spacing w:line="360" w:lineRule="exact"/>
        <w:rPr>
          <w:rFonts w:hint="eastAsia" w:hAnsi="宋体" w:cs="宋体"/>
          <w:color w:val="auto"/>
          <w:highlight w:val="none"/>
        </w:rPr>
      </w:pPr>
      <w:r>
        <w:rPr>
          <w:rFonts w:hint="eastAsia" w:hAnsi="宋体" w:cs="宋体"/>
          <w:color w:val="auto"/>
          <w:highlight w:val="none"/>
        </w:rPr>
        <w:t xml:space="preserve">                                                                                                                                                                                        </w:t>
      </w:r>
    </w:p>
    <w:p w14:paraId="1D51DA78">
      <w:pPr>
        <w:pStyle w:val="13"/>
        <w:spacing w:line="480" w:lineRule="exact"/>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51F06F42">
                      <w:pPr>
                        <w:rPr>
                          <w:rFonts w:hint="eastAsia"/>
                        </w:rPr>
                      </w:pPr>
                    </w:p>
                    <w:p w14:paraId="7A7BF064">
                      <w:pPr>
                        <w:rPr>
                          <w:rFonts w:hint="eastAsia"/>
                        </w:rPr>
                      </w:pPr>
                    </w:p>
                    <w:p w14:paraId="060147BD">
                      <w:pPr>
                        <w:rPr>
                          <w:rFonts w:hint="eastAsia"/>
                        </w:rPr>
                      </w:pPr>
                    </w:p>
                    <w:p w14:paraId="768CD56E">
                      <w:pPr>
                        <w:rPr>
                          <w:rFonts w:hint="eastAsia"/>
                        </w:rPr>
                      </w:pPr>
                    </w:p>
                    <w:p w14:paraId="344674AC">
                      <w:pPr>
                        <w:rPr>
                          <w:rFonts w:hint="eastAsia"/>
                        </w:rPr>
                      </w:pPr>
                    </w:p>
                    <w:p w14:paraId="7C9A2430">
                      <w:pPr>
                        <w:jc w:val="center"/>
                        <w:rPr>
                          <w:rFonts w:hint="eastAsia"/>
                        </w:rPr>
                      </w:pPr>
                      <w:r>
                        <w:rPr>
                          <w:rFonts w:hint="eastAsia"/>
                        </w:rPr>
                        <w:t>委托代理人第二代居民身份证原件扫描件</w:t>
                      </w:r>
                    </w:p>
                    <w:p w14:paraId="069F1F4C">
                      <w:pPr>
                        <w:jc w:val="center"/>
                        <w:rPr>
                          <w:rFonts w:hint="eastAsia"/>
                        </w:rPr>
                      </w:pPr>
                      <w:r>
                        <w:rPr>
                          <w:rFonts w:hint="eastAsia"/>
                          <w:b/>
                        </w:rPr>
                        <w:t>（正面）</w:t>
                      </w:r>
                    </w:p>
                    <w:p w14:paraId="76F0769A">
                      <w:pPr>
                        <w:jc w:val="center"/>
                        <w:rPr>
                          <w:rFonts w:hint="eastAsia"/>
                        </w:rPr>
                      </w:pPr>
                    </w:p>
                  </w:txbxContent>
                </v:textbox>
              </v:rect>
            </w:pict>
          </mc:Fallback>
        </mc:AlternateContent>
      </w:r>
      <w:r>
        <w:rPr>
          <w:rFonts w:hint="eastAsia" w:hAnsi="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26AF716E">
                      <w:pPr>
                        <w:rPr>
                          <w:rFonts w:hint="eastAsia"/>
                        </w:rPr>
                      </w:pPr>
                    </w:p>
                    <w:p w14:paraId="0E57462B">
                      <w:pPr>
                        <w:rPr>
                          <w:rFonts w:hint="eastAsia"/>
                        </w:rPr>
                      </w:pPr>
                    </w:p>
                    <w:p w14:paraId="477B57F1">
                      <w:pPr>
                        <w:rPr>
                          <w:rFonts w:hint="eastAsia"/>
                        </w:rPr>
                      </w:pPr>
                    </w:p>
                    <w:p w14:paraId="237A14FD">
                      <w:pPr>
                        <w:rPr>
                          <w:rFonts w:hint="eastAsia"/>
                        </w:rPr>
                      </w:pPr>
                    </w:p>
                    <w:p w14:paraId="036A3AA1">
                      <w:pPr>
                        <w:rPr>
                          <w:rFonts w:hint="eastAsia"/>
                        </w:rPr>
                      </w:pPr>
                    </w:p>
                    <w:p w14:paraId="655867BA">
                      <w:pPr>
                        <w:jc w:val="center"/>
                        <w:rPr>
                          <w:rFonts w:hint="eastAsia"/>
                        </w:rPr>
                      </w:pPr>
                      <w:r>
                        <w:rPr>
                          <w:rFonts w:hint="eastAsia"/>
                        </w:rPr>
                        <w:t>委托代理人第二代居民身份证原件扫描件</w:t>
                      </w:r>
                    </w:p>
                    <w:p w14:paraId="69955680">
                      <w:pPr>
                        <w:jc w:val="center"/>
                        <w:rPr>
                          <w:rFonts w:hint="eastAsia"/>
                        </w:rPr>
                      </w:pPr>
                      <w:r>
                        <w:rPr>
                          <w:rFonts w:hint="eastAsia"/>
                          <w:b/>
                        </w:rPr>
                        <w:t>（背面）</w:t>
                      </w:r>
                    </w:p>
                  </w:txbxContent>
                </v:textbox>
              </v:rect>
            </w:pict>
          </mc:Fallback>
        </mc:AlternateContent>
      </w:r>
      <w:r>
        <w:rPr>
          <w:rFonts w:hint="eastAsia" w:hAnsi="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14:paraId="767FEAE9">
      <w:pPr>
        <w:pStyle w:val="13"/>
        <w:spacing w:line="480" w:lineRule="exact"/>
        <w:rPr>
          <w:rFonts w:hint="eastAsia" w:hAnsi="宋体" w:cs="宋体"/>
          <w:color w:val="auto"/>
          <w:highlight w:val="none"/>
        </w:rPr>
      </w:pPr>
    </w:p>
    <w:p w14:paraId="363705C2">
      <w:pPr>
        <w:pStyle w:val="13"/>
        <w:spacing w:line="480" w:lineRule="exact"/>
        <w:rPr>
          <w:rFonts w:hint="eastAsia" w:hAnsi="宋体" w:cs="宋体"/>
          <w:color w:val="auto"/>
          <w:highlight w:val="none"/>
        </w:rPr>
      </w:pPr>
    </w:p>
    <w:p w14:paraId="3C2691A2">
      <w:pPr>
        <w:pStyle w:val="13"/>
        <w:spacing w:line="480" w:lineRule="exact"/>
        <w:rPr>
          <w:rFonts w:hint="eastAsia" w:hAnsi="宋体" w:cs="宋体"/>
          <w:color w:val="auto"/>
          <w:highlight w:val="none"/>
        </w:rPr>
      </w:pPr>
    </w:p>
    <w:p w14:paraId="66381F58">
      <w:pPr>
        <w:pStyle w:val="13"/>
        <w:spacing w:line="480" w:lineRule="exact"/>
        <w:rPr>
          <w:rFonts w:hint="eastAsia" w:hAnsi="宋体" w:cs="宋体"/>
          <w:color w:val="auto"/>
          <w:highlight w:val="none"/>
        </w:rPr>
      </w:pPr>
    </w:p>
    <w:p w14:paraId="27F38F45">
      <w:pPr>
        <w:pStyle w:val="13"/>
        <w:spacing w:line="240" w:lineRule="atLeast"/>
        <w:ind w:firstLine="5200" w:firstLineChars="2600"/>
        <w:rPr>
          <w:rFonts w:hint="eastAsia" w:hAnsi="宋体" w:cs="宋体"/>
          <w:color w:val="auto"/>
          <w:highlight w:val="none"/>
          <w:u w:val="single"/>
        </w:rPr>
      </w:pPr>
    </w:p>
    <w:p w14:paraId="28CD6900">
      <w:pPr>
        <w:pStyle w:val="13"/>
        <w:spacing w:line="240" w:lineRule="atLeast"/>
        <w:ind w:firstLine="5200" w:firstLineChars="2600"/>
        <w:rPr>
          <w:rFonts w:hint="eastAsia" w:hAnsi="宋体" w:cs="宋体"/>
          <w:color w:val="auto"/>
          <w:highlight w:val="none"/>
          <w:u w:val="single"/>
        </w:rPr>
      </w:pPr>
    </w:p>
    <w:p w14:paraId="2D8BF762">
      <w:pPr>
        <w:pStyle w:val="13"/>
        <w:spacing w:line="240" w:lineRule="exact"/>
        <w:rPr>
          <w:rFonts w:hint="eastAsia" w:hAnsi="宋体" w:cs="宋体"/>
          <w:color w:val="auto"/>
          <w:sz w:val="44"/>
          <w:highlight w:val="none"/>
        </w:rPr>
      </w:pPr>
    </w:p>
    <w:p w14:paraId="7F79F52A">
      <w:pPr>
        <w:pStyle w:val="13"/>
        <w:spacing w:line="240" w:lineRule="exact"/>
        <w:rPr>
          <w:rFonts w:hint="eastAsia" w:hAnsi="宋体" w:cs="宋体"/>
          <w:color w:val="auto"/>
          <w:sz w:val="44"/>
          <w:highlight w:val="none"/>
        </w:rPr>
      </w:pPr>
    </w:p>
    <w:p w14:paraId="66F7A4C2">
      <w:pPr>
        <w:jc w:val="center"/>
        <w:rPr>
          <w:rFonts w:hint="eastAsia" w:ascii="宋体" w:hAnsi="宋体" w:cs="宋体"/>
          <w:color w:val="auto"/>
          <w:highlight w:val="none"/>
        </w:rPr>
      </w:pPr>
      <w:r>
        <w:rPr>
          <w:rFonts w:hint="eastAsia" w:ascii="宋体" w:hAnsi="宋体" w:cs="宋体"/>
          <w:color w:val="auto"/>
          <w:highlight w:val="none"/>
        </w:rPr>
        <w:t xml:space="preserve">                             </w:t>
      </w:r>
    </w:p>
    <w:p w14:paraId="010B3A30">
      <w:pPr>
        <w:spacing w:line="360" w:lineRule="auto"/>
        <w:rPr>
          <w:rFonts w:hint="eastAsia" w:ascii="宋体" w:hAnsi="宋体" w:cs="宋体"/>
          <w:color w:val="auto"/>
          <w:sz w:val="24"/>
          <w:highlight w:val="none"/>
        </w:rPr>
        <w:sectPr>
          <w:footerReference r:id="rId10" w:type="first"/>
          <w:footerReference r:id="rId9" w:type="default"/>
          <w:pgSz w:w="11906" w:h="16838"/>
          <w:pgMar w:top="1134" w:right="1134" w:bottom="1134" w:left="1247" w:header="851" w:footer="992" w:gutter="0"/>
          <w:pgNumType w:fmt="numberInDash" w:start="1"/>
          <w:cols w:space="720" w:num="1"/>
          <w:docGrid w:linePitch="312" w:charSpace="0"/>
        </w:sectPr>
      </w:pPr>
      <w:r>
        <w:rPr>
          <w:rFonts w:hint="eastAsia" w:ascii="宋体" w:hAnsi="宋体" w:cs="宋体"/>
          <w:color w:val="auto"/>
          <w:sz w:val="24"/>
          <w:highlight w:val="none"/>
        </w:rPr>
        <w:t>注：法定代表人和委托代理人必须在法定代表人授权委托书上亲笔签名</w:t>
      </w:r>
      <w:r>
        <w:rPr>
          <w:rFonts w:hint="eastAsia" w:ascii="宋体" w:hAnsi="宋体" w:cs="宋体"/>
          <w:b/>
          <w:bCs/>
          <w:color w:val="auto"/>
          <w:sz w:val="24"/>
          <w:highlight w:val="none"/>
        </w:rPr>
        <w:t>（</w:t>
      </w:r>
      <w:r>
        <w:rPr>
          <w:rFonts w:hint="eastAsia" w:ascii="宋体" w:hAnsi="宋体" w:cs="宋体"/>
          <w:b/>
          <w:color w:val="auto"/>
          <w:sz w:val="24"/>
          <w:highlight w:val="none"/>
        </w:rPr>
        <w:t>或加盖CA电子签字章</w:t>
      </w:r>
      <w:r>
        <w:rPr>
          <w:rFonts w:hint="eastAsia" w:ascii="宋体" w:hAnsi="宋体" w:cs="宋体"/>
          <w:b/>
          <w:bCs/>
          <w:color w:val="auto"/>
          <w:sz w:val="24"/>
          <w:highlight w:val="none"/>
        </w:rPr>
        <w:t>）</w:t>
      </w:r>
      <w:r>
        <w:rPr>
          <w:rFonts w:hint="eastAsia" w:ascii="宋体" w:hAnsi="宋体" w:cs="宋体"/>
          <w:color w:val="auto"/>
          <w:sz w:val="24"/>
          <w:highlight w:val="none"/>
        </w:rPr>
        <w:t>，</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r>
        <w:rPr>
          <w:rFonts w:hint="eastAsia" w:ascii="宋体" w:hAnsi="宋体" w:cs="宋体"/>
          <w:color w:val="auto"/>
          <w:sz w:val="24"/>
          <w:szCs w:val="32"/>
          <w:highlight w:val="none"/>
          <w:lang w:val="zh-CN"/>
        </w:rPr>
        <w:t xml:space="preserve"> </w:t>
      </w:r>
      <w:r>
        <w:rPr>
          <w:rFonts w:hint="eastAsia" w:ascii="宋体" w:hAnsi="宋体" w:cs="宋体"/>
          <w:color w:val="auto"/>
          <w:highlight w:val="none"/>
          <w:lang w:val="zh-CN"/>
        </w:rPr>
        <w:t xml:space="preserve">   </w:t>
      </w:r>
    </w:p>
    <w:p w14:paraId="0C6024B4">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）商务响应表格式：</w:t>
      </w:r>
    </w:p>
    <w:p w14:paraId="670F8CCD">
      <w:pPr>
        <w:pStyle w:val="12"/>
        <w:rPr>
          <w:rFonts w:hint="eastAsia" w:ascii="宋体" w:hAnsi="宋体" w:eastAsia="宋体" w:cs="宋体"/>
          <w:color w:val="auto"/>
          <w:highlight w:val="none"/>
        </w:rPr>
      </w:pPr>
    </w:p>
    <w:p w14:paraId="527801C4">
      <w:pPr>
        <w:spacing w:line="360" w:lineRule="exact"/>
        <w:rPr>
          <w:rFonts w:hint="eastAsia" w:ascii="宋体" w:hAnsi="宋体" w:cs="宋体"/>
          <w:b/>
          <w:color w:val="auto"/>
          <w:sz w:val="28"/>
          <w:szCs w:val="28"/>
          <w:highlight w:val="none"/>
        </w:rPr>
      </w:pPr>
      <w:r>
        <w:rPr>
          <w:rFonts w:hint="eastAsia" w:ascii="宋体" w:hAnsi="宋体" w:cs="宋体"/>
          <w:color w:val="auto"/>
          <w:highlight w:val="none"/>
        </w:rPr>
        <w:t xml:space="preserve">                             </w:t>
      </w:r>
      <w:r>
        <w:rPr>
          <w:rFonts w:hint="eastAsia" w:ascii="宋体" w:hAnsi="宋体" w:cs="宋体"/>
          <w:color w:val="auto"/>
          <w:sz w:val="32"/>
          <w:szCs w:val="32"/>
          <w:highlight w:val="none"/>
        </w:rPr>
        <w:t xml:space="preserve">      </w:t>
      </w:r>
      <w:r>
        <w:rPr>
          <w:rFonts w:hint="eastAsia" w:ascii="宋体" w:hAnsi="宋体" w:cs="宋体"/>
          <w:b/>
          <w:color w:val="auto"/>
          <w:sz w:val="32"/>
          <w:szCs w:val="32"/>
          <w:highlight w:val="none"/>
        </w:rPr>
        <w:t>商务响应表</w:t>
      </w:r>
    </w:p>
    <w:p w14:paraId="334C361C">
      <w:pPr>
        <w:snapToGrid w:val="0"/>
        <w:spacing w:before="50"/>
        <w:jc w:val="left"/>
        <w:rPr>
          <w:rFonts w:hint="eastAsia" w:ascii="宋体" w:hAnsi="宋体" w:cs="宋体"/>
          <w:color w:val="auto"/>
          <w:sz w:val="24"/>
          <w:szCs w:val="20"/>
          <w:highlight w:val="none"/>
          <w:u w:val="single"/>
        </w:rPr>
      </w:pPr>
    </w:p>
    <w:tbl>
      <w:tblPr>
        <w:tblStyle w:val="20"/>
        <w:tblW w:w="98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120"/>
        <w:gridCol w:w="2985"/>
        <w:gridCol w:w="1500"/>
        <w:gridCol w:w="852"/>
      </w:tblGrid>
      <w:tr w14:paraId="17075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96" w:type="dxa"/>
            <w:tcBorders>
              <w:top w:val="single" w:color="auto" w:sz="12" w:space="0"/>
            </w:tcBorders>
            <w:noWrap w:val="0"/>
            <w:vAlign w:val="center"/>
          </w:tcPr>
          <w:p w14:paraId="2BDD76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3120" w:type="dxa"/>
            <w:tcBorders>
              <w:top w:val="single" w:color="auto" w:sz="12" w:space="0"/>
            </w:tcBorders>
            <w:noWrap w:val="0"/>
            <w:vAlign w:val="center"/>
          </w:tcPr>
          <w:p w14:paraId="616C92D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招标文件的商务条款</w:t>
            </w:r>
          </w:p>
        </w:tc>
        <w:tc>
          <w:tcPr>
            <w:tcW w:w="2985" w:type="dxa"/>
            <w:tcBorders>
              <w:top w:val="single" w:color="auto" w:sz="12" w:space="0"/>
            </w:tcBorders>
            <w:noWrap w:val="0"/>
            <w:vAlign w:val="center"/>
          </w:tcPr>
          <w:p w14:paraId="291AF73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投标文件承诺的商务条款</w:t>
            </w:r>
          </w:p>
        </w:tc>
        <w:tc>
          <w:tcPr>
            <w:tcW w:w="1500" w:type="dxa"/>
            <w:tcBorders>
              <w:top w:val="single" w:color="auto" w:sz="12" w:space="0"/>
            </w:tcBorders>
            <w:noWrap w:val="0"/>
            <w:vAlign w:val="center"/>
          </w:tcPr>
          <w:p w14:paraId="72D63F7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852" w:type="dxa"/>
            <w:tcBorders>
              <w:top w:val="single" w:color="auto" w:sz="12" w:space="0"/>
            </w:tcBorders>
            <w:noWrap w:val="0"/>
            <w:vAlign w:val="center"/>
          </w:tcPr>
          <w:p w14:paraId="298B6F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71F1C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08CD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交货时间及地点</w:t>
            </w:r>
          </w:p>
        </w:tc>
        <w:tc>
          <w:tcPr>
            <w:tcW w:w="3120" w:type="dxa"/>
            <w:noWrap w:val="0"/>
            <w:vAlign w:val="center"/>
          </w:tcPr>
          <w:p w14:paraId="1D1036C5">
            <w:pPr>
              <w:spacing w:line="360" w:lineRule="auto"/>
              <w:jc w:val="center"/>
              <w:rPr>
                <w:rFonts w:hint="eastAsia" w:ascii="宋体" w:hAnsi="宋体" w:cs="宋体"/>
                <w:color w:val="auto"/>
                <w:sz w:val="24"/>
                <w:highlight w:val="none"/>
              </w:rPr>
            </w:pPr>
          </w:p>
        </w:tc>
        <w:tc>
          <w:tcPr>
            <w:tcW w:w="2985" w:type="dxa"/>
            <w:noWrap w:val="0"/>
            <w:vAlign w:val="center"/>
          </w:tcPr>
          <w:p w14:paraId="30100EA2">
            <w:pPr>
              <w:spacing w:line="360" w:lineRule="auto"/>
              <w:jc w:val="center"/>
              <w:rPr>
                <w:rFonts w:hint="eastAsia" w:ascii="宋体" w:hAnsi="宋体" w:cs="宋体"/>
                <w:color w:val="auto"/>
                <w:sz w:val="24"/>
                <w:highlight w:val="none"/>
              </w:rPr>
            </w:pPr>
          </w:p>
        </w:tc>
        <w:tc>
          <w:tcPr>
            <w:tcW w:w="1500" w:type="dxa"/>
            <w:noWrap w:val="0"/>
            <w:vAlign w:val="center"/>
          </w:tcPr>
          <w:p w14:paraId="2F92D6C0">
            <w:pPr>
              <w:spacing w:line="360" w:lineRule="auto"/>
              <w:jc w:val="center"/>
              <w:rPr>
                <w:rFonts w:hint="eastAsia" w:ascii="宋体" w:hAnsi="宋体" w:cs="宋体"/>
                <w:color w:val="auto"/>
                <w:sz w:val="24"/>
                <w:highlight w:val="none"/>
              </w:rPr>
            </w:pPr>
          </w:p>
        </w:tc>
        <w:tc>
          <w:tcPr>
            <w:tcW w:w="852" w:type="dxa"/>
            <w:noWrap w:val="0"/>
            <w:vAlign w:val="center"/>
          </w:tcPr>
          <w:p w14:paraId="7E1E0017">
            <w:pPr>
              <w:spacing w:line="360" w:lineRule="auto"/>
              <w:jc w:val="center"/>
              <w:rPr>
                <w:rFonts w:hint="eastAsia" w:ascii="宋体" w:hAnsi="宋体" w:cs="宋体"/>
                <w:color w:val="auto"/>
                <w:sz w:val="24"/>
                <w:highlight w:val="none"/>
              </w:rPr>
            </w:pPr>
          </w:p>
        </w:tc>
      </w:tr>
      <w:tr w14:paraId="34CD9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70D1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售后服务要求</w:t>
            </w:r>
          </w:p>
        </w:tc>
        <w:tc>
          <w:tcPr>
            <w:tcW w:w="3120" w:type="dxa"/>
            <w:noWrap w:val="0"/>
            <w:vAlign w:val="center"/>
          </w:tcPr>
          <w:p w14:paraId="7466A8B9">
            <w:pPr>
              <w:spacing w:line="360" w:lineRule="auto"/>
              <w:jc w:val="center"/>
              <w:rPr>
                <w:rFonts w:hint="eastAsia" w:ascii="宋体" w:hAnsi="宋体" w:cs="宋体"/>
                <w:color w:val="auto"/>
                <w:sz w:val="24"/>
                <w:highlight w:val="none"/>
              </w:rPr>
            </w:pPr>
          </w:p>
        </w:tc>
        <w:tc>
          <w:tcPr>
            <w:tcW w:w="2985" w:type="dxa"/>
            <w:noWrap w:val="0"/>
            <w:vAlign w:val="center"/>
          </w:tcPr>
          <w:p w14:paraId="363D4BD8">
            <w:pPr>
              <w:spacing w:line="360" w:lineRule="auto"/>
              <w:jc w:val="center"/>
              <w:rPr>
                <w:rFonts w:hint="eastAsia" w:ascii="宋体" w:hAnsi="宋体" w:cs="宋体"/>
                <w:color w:val="auto"/>
                <w:sz w:val="24"/>
                <w:highlight w:val="none"/>
              </w:rPr>
            </w:pPr>
          </w:p>
        </w:tc>
        <w:tc>
          <w:tcPr>
            <w:tcW w:w="1500" w:type="dxa"/>
            <w:noWrap w:val="0"/>
            <w:vAlign w:val="center"/>
          </w:tcPr>
          <w:p w14:paraId="55CAD8C8">
            <w:pPr>
              <w:spacing w:line="360" w:lineRule="auto"/>
              <w:jc w:val="center"/>
              <w:rPr>
                <w:rFonts w:hint="eastAsia" w:ascii="宋体" w:hAnsi="宋体" w:cs="宋体"/>
                <w:color w:val="auto"/>
                <w:sz w:val="24"/>
                <w:highlight w:val="none"/>
              </w:rPr>
            </w:pPr>
          </w:p>
        </w:tc>
        <w:tc>
          <w:tcPr>
            <w:tcW w:w="852" w:type="dxa"/>
            <w:noWrap w:val="0"/>
            <w:vAlign w:val="center"/>
          </w:tcPr>
          <w:p w14:paraId="44135E1B">
            <w:pPr>
              <w:spacing w:line="360" w:lineRule="auto"/>
              <w:jc w:val="center"/>
              <w:rPr>
                <w:rFonts w:hint="eastAsia" w:ascii="宋体" w:hAnsi="宋体" w:cs="宋体"/>
                <w:color w:val="auto"/>
                <w:sz w:val="24"/>
                <w:highlight w:val="none"/>
              </w:rPr>
            </w:pPr>
          </w:p>
        </w:tc>
      </w:tr>
      <w:tr w14:paraId="62EF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117F6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质量保证期</w:t>
            </w:r>
          </w:p>
        </w:tc>
        <w:tc>
          <w:tcPr>
            <w:tcW w:w="3120" w:type="dxa"/>
            <w:noWrap w:val="0"/>
            <w:vAlign w:val="center"/>
          </w:tcPr>
          <w:p w14:paraId="644B2428">
            <w:pPr>
              <w:spacing w:line="360" w:lineRule="auto"/>
              <w:jc w:val="center"/>
              <w:rPr>
                <w:rFonts w:hint="eastAsia" w:ascii="宋体" w:hAnsi="宋体" w:cs="宋体"/>
                <w:color w:val="auto"/>
                <w:sz w:val="24"/>
                <w:highlight w:val="none"/>
              </w:rPr>
            </w:pPr>
          </w:p>
        </w:tc>
        <w:tc>
          <w:tcPr>
            <w:tcW w:w="2985" w:type="dxa"/>
            <w:noWrap w:val="0"/>
            <w:vAlign w:val="center"/>
          </w:tcPr>
          <w:p w14:paraId="23F3941F">
            <w:pPr>
              <w:spacing w:line="360" w:lineRule="auto"/>
              <w:jc w:val="center"/>
              <w:rPr>
                <w:rFonts w:hint="eastAsia" w:ascii="宋体" w:hAnsi="宋体" w:cs="宋体"/>
                <w:color w:val="auto"/>
                <w:sz w:val="24"/>
                <w:highlight w:val="none"/>
              </w:rPr>
            </w:pPr>
          </w:p>
        </w:tc>
        <w:tc>
          <w:tcPr>
            <w:tcW w:w="1500" w:type="dxa"/>
            <w:noWrap w:val="0"/>
            <w:vAlign w:val="center"/>
          </w:tcPr>
          <w:p w14:paraId="566588CE">
            <w:pPr>
              <w:spacing w:line="360" w:lineRule="auto"/>
              <w:jc w:val="center"/>
              <w:rPr>
                <w:rFonts w:hint="eastAsia" w:ascii="宋体" w:hAnsi="宋体" w:cs="宋体"/>
                <w:color w:val="auto"/>
                <w:sz w:val="24"/>
                <w:highlight w:val="none"/>
              </w:rPr>
            </w:pPr>
          </w:p>
        </w:tc>
        <w:tc>
          <w:tcPr>
            <w:tcW w:w="852" w:type="dxa"/>
            <w:noWrap w:val="0"/>
            <w:vAlign w:val="center"/>
          </w:tcPr>
          <w:p w14:paraId="0865AE49">
            <w:pPr>
              <w:spacing w:line="360" w:lineRule="auto"/>
              <w:jc w:val="center"/>
              <w:rPr>
                <w:rFonts w:hint="eastAsia" w:ascii="宋体" w:hAnsi="宋体" w:cs="宋体"/>
                <w:color w:val="auto"/>
                <w:sz w:val="24"/>
                <w:highlight w:val="none"/>
              </w:rPr>
            </w:pPr>
          </w:p>
        </w:tc>
      </w:tr>
      <w:tr w14:paraId="33FE1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22470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付款条件</w:t>
            </w:r>
          </w:p>
        </w:tc>
        <w:tc>
          <w:tcPr>
            <w:tcW w:w="3120" w:type="dxa"/>
            <w:noWrap w:val="0"/>
            <w:vAlign w:val="center"/>
          </w:tcPr>
          <w:p w14:paraId="0647279C">
            <w:pPr>
              <w:spacing w:line="360" w:lineRule="auto"/>
              <w:jc w:val="center"/>
              <w:rPr>
                <w:rFonts w:hint="eastAsia" w:ascii="宋体" w:hAnsi="宋体" w:cs="宋体"/>
                <w:color w:val="auto"/>
                <w:sz w:val="24"/>
                <w:highlight w:val="none"/>
              </w:rPr>
            </w:pPr>
          </w:p>
        </w:tc>
        <w:tc>
          <w:tcPr>
            <w:tcW w:w="2985" w:type="dxa"/>
            <w:noWrap w:val="0"/>
            <w:vAlign w:val="center"/>
          </w:tcPr>
          <w:p w14:paraId="2DA5F3FA">
            <w:pPr>
              <w:spacing w:line="360" w:lineRule="auto"/>
              <w:jc w:val="center"/>
              <w:rPr>
                <w:rFonts w:hint="eastAsia" w:ascii="宋体" w:hAnsi="宋体" w:cs="宋体"/>
                <w:color w:val="auto"/>
                <w:sz w:val="24"/>
                <w:highlight w:val="none"/>
              </w:rPr>
            </w:pPr>
          </w:p>
        </w:tc>
        <w:tc>
          <w:tcPr>
            <w:tcW w:w="1500" w:type="dxa"/>
            <w:noWrap w:val="0"/>
            <w:vAlign w:val="center"/>
          </w:tcPr>
          <w:p w14:paraId="603F213A">
            <w:pPr>
              <w:spacing w:line="360" w:lineRule="auto"/>
              <w:jc w:val="center"/>
              <w:rPr>
                <w:rFonts w:hint="eastAsia" w:ascii="宋体" w:hAnsi="宋体" w:cs="宋体"/>
                <w:color w:val="auto"/>
                <w:sz w:val="24"/>
                <w:highlight w:val="none"/>
              </w:rPr>
            </w:pPr>
          </w:p>
        </w:tc>
        <w:tc>
          <w:tcPr>
            <w:tcW w:w="852" w:type="dxa"/>
            <w:noWrap w:val="0"/>
            <w:vAlign w:val="center"/>
          </w:tcPr>
          <w:p w14:paraId="6BC8EA47">
            <w:pPr>
              <w:spacing w:line="360" w:lineRule="auto"/>
              <w:jc w:val="center"/>
              <w:rPr>
                <w:rFonts w:hint="eastAsia" w:ascii="宋体" w:hAnsi="宋体" w:cs="宋体"/>
                <w:color w:val="auto"/>
                <w:sz w:val="24"/>
                <w:highlight w:val="none"/>
              </w:rPr>
            </w:pPr>
          </w:p>
        </w:tc>
      </w:tr>
      <w:tr w14:paraId="107A1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0AE7B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其他要求</w:t>
            </w:r>
          </w:p>
        </w:tc>
        <w:tc>
          <w:tcPr>
            <w:tcW w:w="3120" w:type="dxa"/>
            <w:noWrap w:val="0"/>
            <w:vAlign w:val="center"/>
          </w:tcPr>
          <w:p w14:paraId="22C0B05C">
            <w:pPr>
              <w:spacing w:line="360" w:lineRule="auto"/>
              <w:jc w:val="center"/>
              <w:rPr>
                <w:rFonts w:hint="eastAsia" w:ascii="宋体" w:hAnsi="宋体" w:cs="宋体"/>
                <w:color w:val="auto"/>
                <w:sz w:val="24"/>
                <w:highlight w:val="none"/>
              </w:rPr>
            </w:pPr>
          </w:p>
        </w:tc>
        <w:tc>
          <w:tcPr>
            <w:tcW w:w="2985" w:type="dxa"/>
            <w:noWrap w:val="0"/>
            <w:vAlign w:val="center"/>
          </w:tcPr>
          <w:p w14:paraId="22BCC94C">
            <w:pPr>
              <w:spacing w:line="360" w:lineRule="auto"/>
              <w:jc w:val="center"/>
              <w:rPr>
                <w:rFonts w:hint="eastAsia" w:ascii="宋体" w:hAnsi="宋体" w:cs="宋体"/>
                <w:color w:val="auto"/>
                <w:sz w:val="24"/>
                <w:highlight w:val="none"/>
              </w:rPr>
            </w:pPr>
          </w:p>
        </w:tc>
        <w:tc>
          <w:tcPr>
            <w:tcW w:w="1500" w:type="dxa"/>
            <w:noWrap w:val="0"/>
            <w:vAlign w:val="center"/>
          </w:tcPr>
          <w:p w14:paraId="7103DE0E">
            <w:pPr>
              <w:spacing w:line="360" w:lineRule="auto"/>
              <w:jc w:val="center"/>
              <w:rPr>
                <w:rFonts w:hint="eastAsia" w:ascii="宋体" w:hAnsi="宋体" w:cs="宋体"/>
                <w:color w:val="auto"/>
                <w:sz w:val="24"/>
                <w:highlight w:val="none"/>
              </w:rPr>
            </w:pPr>
          </w:p>
        </w:tc>
        <w:tc>
          <w:tcPr>
            <w:tcW w:w="852" w:type="dxa"/>
            <w:noWrap w:val="0"/>
            <w:vAlign w:val="center"/>
          </w:tcPr>
          <w:p w14:paraId="4D1E1DA8">
            <w:pPr>
              <w:spacing w:line="360" w:lineRule="auto"/>
              <w:jc w:val="center"/>
              <w:rPr>
                <w:rFonts w:hint="eastAsia" w:ascii="宋体" w:hAnsi="宋体" w:cs="宋体"/>
                <w:color w:val="auto"/>
                <w:sz w:val="24"/>
                <w:highlight w:val="none"/>
              </w:rPr>
            </w:pPr>
          </w:p>
        </w:tc>
      </w:tr>
      <w:tr w14:paraId="50C7C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0765098">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w:t>
            </w:r>
          </w:p>
        </w:tc>
        <w:tc>
          <w:tcPr>
            <w:tcW w:w="3120" w:type="dxa"/>
            <w:noWrap w:val="0"/>
            <w:vAlign w:val="center"/>
          </w:tcPr>
          <w:p w14:paraId="0763E9A7">
            <w:pPr>
              <w:spacing w:line="360" w:lineRule="auto"/>
              <w:jc w:val="center"/>
              <w:rPr>
                <w:rFonts w:hint="eastAsia" w:ascii="宋体" w:hAnsi="宋体" w:cs="宋体"/>
                <w:color w:val="auto"/>
                <w:sz w:val="24"/>
                <w:highlight w:val="none"/>
              </w:rPr>
            </w:pPr>
          </w:p>
        </w:tc>
        <w:tc>
          <w:tcPr>
            <w:tcW w:w="2985" w:type="dxa"/>
            <w:noWrap w:val="0"/>
            <w:vAlign w:val="center"/>
          </w:tcPr>
          <w:p w14:paraId="08FDEE85">
            <w:pPr>
              <w:spacing w:line="360" w:lineRule="auto"/>
              <w:jc w:val="center"/>
              <w:rPr>
                <w:rFonts w:hint="eastAsia" w:ascii="宋体" w:hAnsi="宋体" w:cs="宋体"/>
                <w:color w:val="auto"/>
                <w:sz w:val="24"/>
                <w:highlight w:val="none"/>
              </w:rPr>
            </w:pPr>
          </w:p>
        </w:tc>
        <w:tc>
          <w:tcPr>
            <w:tcW w:w="1500" w:type="dxa"/>
            <w:noWrap w:val="0"/>
            <w:vAlign w:val="center"/>
          </w:tcPr>
          <w:p w14:paraId="26D88A83">
            <w:pPr>
              <w:spacing w:line="360" w:lineRule="auto"/>
              <w:jc w:val="center"/>
              <w:rPr>
                <w:rFonts w:hint="eastAsia" w:ascii="宋体" w:hAnsi="宋体" w:cs="宋体"/>
                <w:color w:val="auto"/>
                <w:sz w:val="24"/>
                <w:highlight w:val="none"/>
              </w:rPr>
            </w:pPr>
          </w:p>
        </w:tc>
        <w:tc>
          <w:tcPr>
            <w:tcW w:w="852" w:type="dxa"/>
            <w:noWrap w:val="0"/>
            <w:vAlign w:val="center"/>
          </w:tcPr>
          <w:p w14:paraId="4DEBFA4C">
            <w:pPr>
              <w:spacing w:line="360" w:lineRule="auto"/>
              <w:jc w:val="center"/>
              <w:rPr>
                <w:rFonts w:hint="eastAsia" w:ascii="宋体" w:hAnsi="宋体" w:cs="宋体"/>
                <w:color w:val="auto"/>
                <w:sz w:val="24"/>
                <w:highlight w:val="none"/>
              </w:rPr>
            </w:pPr>
          </w:p>
        </w:tc>
      </w:tr>
      <w:tr w14:paraId="3FDD6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340C3A52">
            <w:pPr>
              <w:widowControl/>
              <w:spacing w:line="360" w:lineRule="auto"/>
              <w:jc w:val="center"/>
              <w:rPr>
                <w:rFonts w:hint="eastAsia" w:ascii="宋体" w:hAnsi="宋体" w:cs="宋体"/>
                <w:color w:val="auto"/>
                <w:sz w:val="24"/>
                <w:highlight w:val="none"/>
              </w:rPr>
            </w:pPr>
          </w:p>
        </w:tc>
        <w:tc>
          <w:tcPr>
            <w:tcW w:w="3120" w:type="dxa"/>
            <w:noWrap w:val="0"/>
            <w:vAlign w:val="center"/>
          </w:tcPr>
          <w:p w14:paraId="23F98253">
            <w:pPr>
              <w:spacing w:line="360" w:lineRule="auto"/>
              <w:jc w:val="center"/>
              <w:rPr>
                <w:rFonts w:hint="eastAsia" w:ascii="宋体" w:hAnsi="宋体" w:cs="宋体"/>
                <w:color w:val="auto"/>
                <w:sz w:val="24"/>
                <w:highlight w:val="none"/>
              </w:rPr>
            </w:pPr>
          </w:p>
        </w:tc>
        <w:tc>
          <w:tcPr>
            <w:tcW w:w="2985" w:type="dxa"/>
            <w:noWrap w:val="0"/>
            <w:vAlign w:val="center"/>
          </w:tcPr>
          <w:p w14:paraId="53379A27">
            <w:pPr>
              <w:spacing w:line="360" w:lineRule="auto"/>
              <w:jc w:val="center"/>
              <w:rPr>
                <w:rFonts w:hint="eastAsia" w:ascii="宋体" w:hAnsi="宋体" w:cs="宋体"/>
                <w:color w:val="auto"/>
                <w:sz w:val="24"/>
                <w:highlight w:val="none"/>
              </w:rPr>
            </w:pPr>
          </w:p>
        </w:tc>
        <w:tc>
          <w:tcPr>
            <w:tcW w:w="1500" w:type="dxa"/>
            <w:noWrap w:val="0"/>
            <w:vAlign w:val="center"/>
          </w:tcPr>
          <w:p w14:paraId="692ADBB3">
            <w:pPr>
              <w:spacing w:line="360" w:lineRule="auto"/>
              <w:jc w:val="center"/>
              <w:rPr>
                <w:rFonts w:hint="eastAsia" w:ascii="宋体" w:hAnsi="宋体" w:cs="宋体"/>
                <w:color w:val="auto"/>
                <w:sz w:val="24"/>
                <w:highlight w:val="none"/>
              </w:rPr>
            </w:pPr>
          </w:p>
        </w:tc>
        <w:tc>
          <w:tcPr>
            <w:tcW w:w="852" w:type="dxa"/>
            <w:noWrap w:val="0"/>
            <w:vAlign w:val="center"/>
          </w:tcPr>
          <w:p w14:paraId="24D1CEB3">
            <w:pPr>
              <w:spacing w:line="360" w:lineRule="auto"/>
              <w:jc w:val="center"/>
              <w:rPr>
                <w:rFonts w:hint="eastAsia" w:ascii="宋体" w:hAnsi="宋体" w:cs="宋体"/>
                <w:color w:val="auto"/>
                <w:sz w:val="24"/>
                <w:highlight w:val="none"/>
              </w:rPr>
            </w:pPr>
          </w:p>
        </w:tc>
      </w:tr>
      <w:tr w14:paraId="2974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52C105D5">
            <w:pPr>
              <w:widowControl/>
              <w:spacing w:line="360" w:lineRule="auto"/>
              <w:jc w:val="center"/>
              <w:rPr>
                <w:rFonts w:hint="eastAsia" w:ascii="宋体" w:hAnsi="宋体" w:cs="宋体"/>
                <w:color w:val="auto"/>
                <w:sz w:val="24"/>
                <w:highlight w:val="none"/>
              </w:rPr>
            </w:pPr>
          </w:p>
        </w:tc>
        <w:tc>
          <w:tcPr>
            <w:tcW w:w="3120" w:type="dxa"/>
            <w:noWrap w:val="0"/>
            <w:vAlign w:val="center"/>
          </w:tcPr>
          <w:p w14:paraId="57235472">
            <w:pPr>
              <w:spacing w:line="360" w:lineRule="auto"/>
              <w:jc w:val="center"/>
              <w:rPr>
                <w:rFonts w:hint="eastAsia" w:ascii="宋体" w:hAnsi="宋体" w:cs="宋体"/>
                <w:color w:val="auto"/>
                <w:sz w:val="24"/>
                <w:highlight w:val="none"/>
              </w:rPr>
            </w:pPr>
          </w:p>
        </w:tc>
        <w:tc>
          <w:tcPr>
            <w:tcW w:w="2985" w:type="dxa"/>
            <w:noWrap w:val="0"/>
            <w:vAlign w:val="center"/>
          </w:tcPr>
          <w:p w14:paraId="3FDB0797">
            <w:pPr>
              <w:spacing w:line="360" w:lineRule="auto"/>
              <w:jc w:val="center"/>
              <w:rPr>
                <w:rFonts w:hint="eastAsia" w:ascii="宋体" w:hAnsi="宋体" w:cs="宋体"/>
                <w:color w:val="auto"/>
                <w:sz w:val="24"/>
                <w:highlight w:val="none"/>
              </w:rPr>
            </w:pPr>
          </w:p>
        </w:tc>
        <w:tc>
          <w:tcPr>
            <w:tcW w:w="1500" w:type="dxa"/>
            <w:noWrap w:val="0"/>
            <w:vAlign w:val="center"/>
          </w:tcPr>
          <w:p w14:paraId="53E28468">
            <w:pPr>
              <w:spacing w:line="360" w:lineRule="auto"/>
              <w:jc w:val="center"/>
              <w:rPr>
                <w:rFonts w:hint="eastAsia" w:ascii="宋体" w:hAnsi="宋体" w:cs="宋体"/>
                <w:color w:val="auto"/>
                <w:sz w:val="24"/>
                <w:highlight w:val="none"/>
              </w:rPr>
            </w:pPr>
          </w:p>
        </w:tc>
        <w:tc>
          <w:tcPr>
            <w:tcW w:w="852" w:type="dxa"/>
            <w:noWrap w:val="0"/>
            <w:vAlign w:val="center"/>
          </w:tcPr>
          <w:p w14:paraId="0C739C82">
            <w:pPr>
              <w:spacing w:line="360" w:lineRule="auto"/>
              <w:jc w:val="center"/>
              <w:rPr>
                <w:rFonts w:hint="eastAsia" w:ascii="宋体" w:hAnsi="宋体" w:cs="宋体"/>
                <w:color w:val="auto"/>
                <w:sz w:val="24"/>
                <w:highlight w:val="none"/>
              </w:rPr>
            </w:pPr>
          </w:p>
        </w:tc>
      </w:tr>
    </w:tbl>
    <w:p w14:paraId="03E2E0DA">
      <w:pPr>
        <w:pStyle w:val="13"/>
        <w:tabs>
          <w:tab w:val="left" w:pos="5580"/>
        </w:tabs>
        <w:spacing w:line="240" w:lineRule="exact"/>
        <w:rPr>
          <w:rFonts w:hint="eastAsia" w:hAnsi="宋体" w:cs="宋体"/>
          <w:color w:val="auto"/>
          <w:sz w:val="24"/>
          <w:szCs w:val="24"/>
          <w:highlight w:val="none"/>
        </w:rPr>
      </w:pPr>
    </w:p>
    <w:p w14:paraId="3EF9720A">
      <w:pPr>
        <w:spacing w:line="360" w:lineRule="auto"/>
        <w:ind w:firstLine="420" w:firstLineChars="175"/>
        <w:rPr>
          <w:rFonts w:hint="eastAsia"/>
          <w:color w:val="auto"/>
          <w:sz w:val="24"/>
          <w:highlight w:val="none"/>
        </w:rPr>
      </w:pPr>
      <w:r>
        <w:rPr>
          <w:rFonts w:hint="eastAsia"/>
          <w:color w:val="auto"/>
          <w:sz w:val="24"/>
          <w:highlight w:val="none"/>
        </w:rPr>
        <w:t>注：（1）投标人应对照第二章《项目采购需求》 中所列商务要求逐条对应填报，并在“是否响应”栏注明“是”或“否”。</w:t>
      </w:r>
    </w:p>
    <w:p w14:paraId="6F8472FF">
      <w:pPr>
        <w:spacing w:line="360" w:lineRule="auto"/>
        <w:ind w:firstLine="420" w:firstLineChars="175"/>
        <w:rPr>
          <w:rFonts w:hint="eastAsia" w:eastAsia="宋体"/>
          <w:color w:val="auto"/>
          <w:sz w:val="24"/>
          <w:highlight w:val="none"/>
          <w:lang w:eastAsia="zh-CN"/>
        </w:rPr>
      </w:pPr>
      <w:r>
        <w:rPr>
          <w:rFonts w:hint="eastAsia"/>
          <w:color w:val="auto"/>
          <w:sz w:val="24"/>
          <w:highlight w:val="none"/>
        </w:rPr>
        <w:t>（2）商务需求投标与招标文件要求相同的为无偏离，优于招标文件要求的为正偏离，低于招标文件要求的为负偏离，负偏离为不响应，商务需求不响应的投标无效。并在“偏离说明”栏注明“</w:t>
      </w:r>
      <w:r>
        <w:rPr>
          <w:rFonts w:hint="eastAsia"/>
          <w:color w:val="auto"/>
          <w:sz w:val="24"/>
          <w:highlight w:val="none"/>
          <w:lang w:eastAsia="zh-CN"/>
        </w:rPr>
        <w:t>无偏离</w:t>
      </w:r>
      <w:r>
        <w:rPr>
          <w:rFonts w:hint="eastAsia"/>
          <w:color w:val="auto"/>
          <w:sz w:val="24"/>
          <w:highlight w:val="none"/>
        </w:rPr>
        <w:t>”或“</w:t>
      </w:r>
      <w:r>
        <w:rPr>
          <w:rFonts w:hint="eastAsia"/>
          <w:color w:val="auto"/>
          <w:sz w:val="24"/>
          <w:highlight w:val="none"/>
          <w:lang w:eastAsia="zh-CN"/>
        </w:rPr>
        <w:t>正偏离</w:t>
      </w:r>
      <w:r>
        <w:rPr>
          <w:rFonts w:hint="eastAsia"/>
          <w:color w:val="auto"/>
          <w:sz w:val="24"/>
          <w:highlight w:val="none"/>
        </w:rPr>
        <w:t>”</w:t>
      </w:r>
      <w:r>
        <w:rPr>
          <w:rFonts w:hint="eastAsia"/>
          <w:color w:val="auto"/>
          <w:sz w:val="24"/>
          <w:highlight w:val="none"/>
          <w:lang w:eastAsia="zh-CN"/>
        </w:rPr>
        <w:t>或“负偏离”</w:t>
      </w:r>
    </w:p>
    <w:p w14:paraId="6F8A7098">
      <w:pPr>
        <w:pStyle w:val="12"/>
        <w:ind w:firstLine="357" w:firstLineChars="150"/>
        <w:rPr>
          <w:rFonts w:hint="eastAsia" w:ascii="宋体" w:hAnsi="宋体" w:eastAsia="宋体" w:cs="宋体"/>
          <w:color w:val="auto"/>
          <w:highlight w:val="none"/>
        </w:rPr>
      </w:pPr>
      <w:r>
        <w:rPr>
          <w:rFonts w:hint="eastAsia" w:ascii="宋体" w:hAnsi="宋体" w:eastAsia="宋体" w:cs="宋体"/>
          <w:color w:val="auto"/>
          <w:spacing w:val="-1"/>
          <w:szCs w:val="21"/>
          <w:highlight w:val="none"/>
        </w:rPr>
        <w:t>。</w:t>
      </w:r>
    </w:p>
    <w:p w14:paraId="0AA6A598">
      <w:pPr>
        <w:pStyle w:val="13"/>
        <w:ind w:firstLine="3255" w:firstLineChars="1550"/>
        <w:rPr>
          <w:rFonts w:hint="eastAsia" w:hAnsi="宋体" w:cs="宋体"/>
          <w:color w:val="auto"/>
          <w:sz w:val="21"/>
          <w:highlight w:val="none"/>
          <w:lang w:eastAsia="zh-CN"/>
        </w:rPr>
      </w:pPr>
    </w:p>
    <w:p w14:paraId="1E5EBCF7">
      <w:pPr>
        <w:pStyle w:val="13"/>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5B1CDB9">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1F62D5DE">
      <w:pPr>
        <w:snapToGrid w:val="0"/>
        <w:spacing w:before="50" w:after="156" w:afterLines="50"/>
        <w:rPr>
          <w:rFonts w:hint="eastAsia" w:ascii="宋体" w:hAnsi="宋体" w:cs="宋体"/>
          <w:b/>
          <w:bCs/>
          <w:color w:val="auto"/>
          <w:highlight w:val="none"/>
        </w:rPr>
      </w:pPr>
    </w:p>
    <w:p w14:paraId="25FA83C3">
      <w:pPr>
        <w:pStyle w:val="12"/>
        <w:rPr>
          <w:rFonts w:hint="eastAsia" w:ascii="宋体" w:hAnsi="宋体" w:eastAsia="宋体" w:cs="宋体"/>
          <w:color w:val="auto"/>
          <w:highlight w:val="none"/>
        </w:rPr>
      </w:pPr>
    </w:p>
    <w:p w14:paraId="27C6F04C">
      <w:pPr>
        <w:snapToGrid w:val="0"/>
        <w:spacing w:before="50" w:after="156" w:afterLines="50"/>
        <w:rPr>
          <w:rFonts w:hint="eastAsia" w:ascii="宋体" w:hAnsi="宋体" w:cs="宋体"/>
          <w:b/>
          <w:color w:val="auto"/>
          <w:szCs w:val="21"/>
          <w:highlight w:val="none"/>
        </w:rPr>
      </w:pPr>
    </w:p>
    <w:p w14:paraId="1672D144">
      <w:pPr>
        <w:snapToGrid w:val="0"/>
        <w:spacing w:before="50" w:after="156" w:afterLines="5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）售后服务方案承诺格式：</w:t>
      </w:r>
    </w:p>
    <w:p w14:paraId="6319E67A">
      <w:pPr>
        <w:pStyle w:val="13"/>
        <w:spacing w:line="400" w:lineRule="exact"/>
        <w:jc w:val="center"/>
        <w:rPr>
          <w:rFonts w:hint="eastAsia" w:hAnsi="宋体" w:cs="宋体"/>
          <w:b/>
          <w:color w:val="auto"/>
          <w:sz w:val="32"/>
          <w:szCs w:val="32"/>
          <w:highlight w:val="none"/>
          <w:lang w:eastAsia="zh-CN"/>
        </w:rPr>
      </w:pPr>
    </w:p>
    <w:p w14:paraId="5D834417">
      <w:pPr>
        <w:pStyle w:val="13"/>
        <w:spacing w:line="400" w:lineRule="exact"/>
        <w:jc w:val="center"/>
        <w:rPr>
          <w:rFonts w:hint="eastAsia" w:hAnsi="宋体" w:cs="宋体"/>
          <w:b/>
          <w:bCs/>
          <w:color w:val="auto"/>
          <w:sz w:val="32"/>
          <w:szCs w:val="32"/>
          <w:highlight w:val="none"/>
          <w:lang w:eastAsia="zh-CN"/>
        </w:rPr>
      </w:pPr>
      <w:r>
        <w:rPr>
          <w:rFonts w:hint="eastAsia" w:hAnsi="宋体" w:cs="宋体"/>
          <w:b/>
          <w:bCs/>
          <w:color w:val="auto"/>
          <w:sz w:val="32"/>
          <w:szCs w:val="32"/>
          <w:highlight w:val="none"/>
          <w:lang w:eastAsia="zh-CN"/>
        </w:rPr>
        <w:t>售后服务方案承诺</w:t>
      </w:r>
    </w:p>
    <w:p w14:paraId="2DF3521A">
      <w:pPr>
        <w:pStyle w:val="13"/>
        <w:spacing w:line="440" w:lineRule="exact"/>
        <w:ind w:firstLine="480" w:firstLineChars="200"/>
        <w:rPr>
          <w:rFonts w:hint="eastAsia" w:hAnsi="宋体" w:cs="宋体"/>
          <w:color w:val="auto"/>
          <w:sz w:val="24"/>
          <w:szCs w:val="24"/>
          <w:highlight w:val="none"/>
        </w:rPr>
      </w:pPr>
    </w:p>
    <w:p w14:paraId="3F11414F">
      <w:pPr>
        <w:pStyle w:val="13"/>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5DAEC031">
      <w:pPr>
        <w:pStyle w:val="13"/>
        <w:rPr>
          <w:rFonts w:hint="eastAsia" w:hAnsi="宋体" w:cs="宋体"/>
          <w:color w:val="auto"/>
          <w:highlight w:val="none"/>
        </w:rPr>
      </w:pPr>
    </w:p>
    <w:p w14:paraId="3E3A97F3">
      <w:pPr>
        <w:pStyle w:val="13"/>
        <w:rPr>
          <w:rFonts w:hint="eastAsia" w:hAnsi="宋体" w:cs="宋体"/>
          <w:color w:val="auto"/>
          <w:highlight w:val="none"/>
        </w:rPr>
      </w:pPr>
    </w:p>
    <w:p w14:paraId="6B5A2602">
      <w:pPr>
        <w:pStyle w:val="13"/>
        <w:rPr>
          <w:rFonts w:hint="eastAsia" w:hAnsi="宋体" w:cs="宋体"/>
          <w:color w:val="auto"/>
          <w:sz w:val="21"/>
          <w:highlight w:val="none"/>
        </w:rPr>
      </w:pPr>
    </w:p>
    <w:p w14:paraId="0E7A27AE">
      <w:pPr>
        <w:pStyle w:val="13"/>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E194FA2">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BEF390C">
      <w:pPr>
        <w:snapToGrid w:val="0"/>
        <w:spacing w:before="50"/>
        <w:jc w:val="left"/>
        <w:rPr>
          <w:rFonts w:hint="eastAsia" w:ascii="宋体" w:hAnsi="宋体" w:cs="宋体"/>
          <w:b/>
          <w:color w:val="auto"/>
          <w:szCs w:val="21"/>
          <w:highlight w:val="none"/>
        </w:rPr>
      </w:pPr>
    </w:p>
    <w:p w14:paraId="696E925E">
      <w:pPr>
        <w:pStyle w:val="12"/>
        <w:rPr>
          <w:rFonts w:hint="eastAsia" w:ascii="宋体" w:hAnsi="宋体" w:eastAsia="宋体" w:cs="宋体"/>
          <w:color w:val="auto"/>
          <w:highlight w:val="none"/>
        </w:rPr>
      </w:pPr>
    </w:p>
    <w:p w14:paraId="34104D50">
      <w:pPr>
        <w:snapToGrid w:val="0"/>
        <w:spacing w:before="50"/>
        <w:jc w:val="left"/>
        <w:rPr>
          <w:rFonts w:hint="eastAsia" w:ascii="宋体" w:hAnsi="宋体" w:cs="宋体"/>
          <w:b/>
          <w:color w:val="auto"/>
          <w:szCs w:val="21"/>
          <w:highlight w:val="none"/>
        </w:rPr>
      </w:pPr>
    </w:p>
    <w:p w14:paraId="1D0526FD">
      <w:pPr>
        <w:pStyle w:val="12"/>
        <w:rPr>
          <w:rFonts w:hint="eastAsia" w:ascii="宋体" w:hAnsi="宋体" w:eastAsia="宋体" w:cs="宋体"/>
          <w:color w:val="auto"/>
          <w:highlight w:val="none"/>
        </w:rPr>
      </w:pPr>
    </w:p>
    <w:p w14:paraId="2D9A59D3">
      <w:pPr>
        <w:snapToGrid w:val="0"/>
        <w:spacing w:before="50"/>
        <w:jc w:val="left"/>
        <w:rPr>
          <w:rFonts w:hint="eastAsia" w:ascii="宋体" w:hAnsi="宋体" w:cs="宋体"/>
          <w:b/>
          <w:color w:val="auto"/>
          <w:szCs w:val="21"/>
          <w:highlight w:val="none"/>
        </w:rPr>
      </w:pPr>
    </w:p>
    <w:p w14:paraId="32A0A3C9">
      <w:pPr>
        <w:snapToGrid w:val="0"/>
        <w:spacing w:before="50"/>
        <w:jc w:val="left"/>
        <w:rPr>
          <w:rFonts w:hint="eastAsia"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3.1.2资信文件</w:t>
      </w:r>
    </w:p>
    <w:p w14:paraId="7D82AC8C">
      <w:pPr>
        <w:rPr>
          <w:rFonts w:hint="eastAsia" w:ascii="宋体" w:hAnsi="宋体" w:cs="宋体"/>
          <w:color w:val="auto"/>
          <w:kern w:val="0"/>
          <w:szCs w:val="21"/>
          <w:highlight w:val="none"/>
          <w:lang w:val="zh-CN"/>
        </w:rPr>
      </w:pPr>
    </w:p>
    <w:p w14:paraId="3C856A97">
      <w:pPr>
        <w:snapToGrid w:val="0"/>
        <w:spacing w:before="50" w:after="156" w:afterLines="50"/>
        <w:jc w:val="left"/>
        <w:rPr>
          <w:rFonts w:hint="eastAsia" w:ascii="宋体" w:hAnsi="宋体" w:cs="宋体"/>
          <w:b/>
          <w:color w:val="auto"/>
          <w:szCs w:val="21"/>
          <w:highlight w:val="none"/>
        </w:rPr>
      </w:pPr>
      <w:r>
        <w:rPr>
          <w:rFonts w:hint="eastAsia" w:ascii="宋体" w:hAnsi="宋体" w:cs="宋体"/>
          <w:b/>
          <w:color w:val="auto"/>
          <w:sz w:val="24"/>
          <w:highlight w:val="none"/>
        </w:rPr>
        <w:t>（1）投标人的类似成功案例的业绩证明文件（如有）：</w:t>
      </w:r>
    </w:p>
    <w:p w14:paraId="270C5994">
      <w:pPr>
        <w:pStyle w:val="18"/>
        <w:snapToGrid w:val="0"/>
        <w:ind w:left="643" w:hanging="643"/>
        <w:jc w:val="center"/>
        <w:rPr>
          <w:rFonts w:hint="eastAsia" w:ascii="宋体" w:hAnsi="宋体" w:cs="宋体"/>
          <w:b/>
          <w:bCs/>
          <w:color w:val="auto"/>
          <w:sz w:val="32"/>
          <w:szCs w:val="32"/>
          <w:highlight w:val="none"/>
        </w:rPr>
      </w:pPr>
    </w:p>
    <w:p w14:paraId="63D275DA">
      <w:pPr>
        <w:pStyle w:val="18"/>
        <w:snapToGrid w:val="0"/>
        <w:ind w:left="643" w:hanging="643"/>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投标人同类项目实施情况一览表</w:t>
      </w:r>
    </w:p>
    <w:p w14:paraId="043E01D5">
      <w:pPr>
        <w:rPr>
          <w:rFonts w:hint="eastAsia" w:ascii="宋体" w:hAnsi="宋体" w:cs="宋体"/>
          <w:color w:val="auto"/>
          <w:kern w:val="0"/>
          <w:szCs w:val="21"/>
          <w:highlight w:val="none"/>
          <w:lang w:val="zh-CN"/>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6DA51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noWrap w:val="0"/>
            <w:vAlign w:val="center"/>
          </w:tcPr>
          <w:p w14:paraId="3D89A02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采购单位名称</w:t>
            </w:r>
          </w:p>
        </w:tc>
        <w:tc>
          <w:tcPr>
            <w:tcW w:w="2085" w:type="dxa"/>
            <w:tcBorders>
              <w:top w:val="single" w:color="auto" w:sz="12" w:space="0"/>
            </w:tcBorders>
            <w:noWrap w:val="0"/>
            <w:vAlign w:val="center"/>
          </w:tcPr>
          <w:p w14:paraId="785D12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设备或项目名称</w:t>
            </w:r>
          </w:p>
        </w:tc>
        <w:tc>
          <w:tcPr>
            <w:tcW w:w="836" w:type="dxa"/>
            <w:tcBorders>
              <w:top w:val="single" w:color="auto" w:sz="12" w:space="0"/>
            </w:tcBorders>
            <w:noWrap w:val="0"/>
            <w:vAlign w:val="center"/>
          </w:tcPr>
          <w:p w14:paraId="0C1ED59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采购数量</w:t>
            </w:r>
          </w:p>
        </w:tc>
        <w:tc>
          <w:tcPr>
            <w:tcW w:w="1077" w:type="dxa"/>
            <w:tcBorders>
              <w:top w:val="single" w:color="auto" w:sz="12" w:space="0"/>
            </w:tcBorders>
            <w:noWrap w:val="0"/>
            <w:vAlign w:val="center"/>
          </w:tcPr>
          <w:p w14:paraId="52AC5F3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616" w:type="dxa"/>
            <w:tcBorders>
              <w:top w:val="single" w:color="auto" w:sz="12" w:space="0"/>
            </w:tcBorders>
            <w:noWrap w:val="0"/>
            <w:vAlign w:val="center"/>
          </w:tcPr>
          <w:p w14:paraId="6E1DE33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1051272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2115" w:type="dxa"/>
            <w:tcBorders>
              <w:top w:val="single" w:color="auto" w:sz="12" w:space="0"/>
            </w:tcBorders>
            <w:noWrap w:val="0"/>
            <w:vAlign w:val="center"/>
          </w:tcPr>
          <w:p w14:paraId="27AEDAE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采购单位联系人及联系电话</w:t>
            </w:r>
          </w:p>
        </w:tc>
      </w:tr>
      <w:tr w14:paraId="15C59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1A89EEC5">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22DFCCF1">
            <w:pPr>
              <w:spacing w:line="360" w:lineRule="auto"/>
              <w:rPr>
                <w:rFonts w:hint="eastAsia" w:ascii="宋体" w:hAnsi="宋体" w:cs="宋体"/>
                <w:color w:val="auto"/>
                <w:sz w:val="24"/>
                <w:highlight w:val="none"/>
              </w:rPr>
            </w:pPr>
          </w:p>
        </w:tc>
        <w:tc>
          <w:tcPr>
            <w:tcW w:w="836" w:type="dxa"/>
            <w:noWrap w:val="0"/>
            <w:vAlign w:val="top"/>
          </w:tcPr>
          <w:p w14:paraId="366A6CCF">
            <w:pPr>
              <w:spacing w:line="360" w:lineRule="auto"/>
              <w:rPr>
                <w:rFonts w:hint="eastAsia" w:ascii="宋体" w:hAnsi="宋体" w:cs="宋体"/>
                <w:color w:val="auto"/>
                <w:sz w:val="24"/>
                <w:highlight w:val="none"/>
              </w:rPr>
            </w:pPr>
          </w:p>
        </w:tc>
        <w:tc>
          <w:tcPr>
            <w:tcW w:w="1077" w:type="dxa"/>
            <w:noWrap w:val="0"/>
            <w:vAlign w:val="top"/>
          </w:tcPr>
          <w:p w14:paraId="2AF6A885">
            <w:pPr>
              <w:spacing w:line="360" w:lineRule="auto"/>
              <w:rPr>
                <w:rFonts w:hint="eastAsia" w:ascii="宋体" w:hAnsi="宋体" w:cs="宋体"/>
                <w:color w:val="auto"/>
                <w:sz w:val="24"/>
                <w:highlight w:val="none"/>
              </w:rPr>
            </w:pPr>
          </w:p>
        </w:tc>
        <w:tc>
          <w:tcPr>
            <w:tcW w:w="1616" w:type="dxa"/>
            <w:noWrap w:val="0"/>
            <w:vAlign w:val="top"/>
          </w:tcPr>
          <w:p w14:paraId="791EBB0B">
            <w:pPr>
              <w:spacing w:line="360" w:lineRule="auto"/>
              <w:rPr>
                <w:rFonts w:hint="eastAsia" w:ascii="宋体" w:hAnsi="宋体" w:cs="宋体"/>
                <w:color w:val="auto"/>
                <w:sz w:val="24"/>
                <w:highlight w:val="none"/>
              </w:rPr>
            </w:pPr>
          </w:p>
        </w:tc>
        <w:tc>
          <w:tcPr>
            <w:tcW w:w="2115" w:type="dxa"/>
            <w:noWrap w:val="0"/>
            <w:vAlign w:val="top"/>
          </w:tcPr>
          <w:p w14:paraId="3A028721">
            <w:pPr>
              <w:spacing w:line="360" w:lineRule="auto"/>
              <w:rPr>
                <w:rFonts w:hint="eastAsia" w:ascii="宋体" w:hAnsi="宋体" w:cs="宋体"/>
                <w:color w:val="auto"/>
                <w:sz w:val="24"/>
                <w:highlight w:val="none"/>
              </w:rPr>
            </w:pPr>
          </w:p>
        </w:tc>
      </w:tr>
      <w:tr w14:paraId="220AD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3D734291">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19E08B0">
            <w:pPr>
              <w:spacing w:line="360" w:lineRule="auto"/>
              <w:rPr>
                <w:rFonts w:hint="eastAsia" w:ascii="宋体" w:hAnsi="宋体" w:cs="宋体"/>
                <w:color w:val="auto"/>
                <w:sz w:val="24"/>
                <w:highlight w:val="none"/>
              </w:rPr>
            </w:pPr>
          </w:p>
        </w:tc>
        <w:tc>
          <w:tcPr>
            <w:tcW w:w="836" w:type="dxa"/>
            <w:noWrap w:val="0"/>
            <w:vAlign w:val="top"/>
          </w:tcPr>
          <w:p w14:paraId="45F8DDA8">
            <w:pPr>
              <w:spacing w:line="360" w:lineRule="auto"/>
              <w:rPr>
                <w:rFonts w:hint="eastAsia" w:ascii="宋体" w:hAnsi="宋体" w:cs="宋体"/>
                <w:color w:val="auto"/>
                <w:sz w:val="24"/>
                <w:highlight w:val="none"/>
              </w:rPr>
            </w:pPr>
          </w:p>
        </w:tc>
        <w:tc>
          <w:tcPr>
            <w:tcW w:w="1077" w:type="dxa"/>
            <w:noWrap w:val="0"/>
            <w:vAlign w:val="top"/>
          </w:tcPr>
          <w:p w14:paraId="12943773">
            <w:pPr>
              <w:spacing w:line="360" w:lineRule="auto"/>
              <w:rPr>
                <w:rFonts w:hint="eastAsia" w:ascii="宋体" w:hAnsi="宋体" w:cs="宋体"/>
                <w:color w:val="auto"/>
                <w:sz w:val="24"/>
                <w:highlight w:val="none"/>
              </w:rPr>
            </w:pPr>
          </w:p>
        </w:tc>
        <w:tc>
          <w:tcPr>
            <w:tcW w:w="1616" w:type="dxa"/>
            <w:noWrap w:val="0"/>
            <w:vAlign w:val="top"/>
          </w:tcPr>
          <w:p w14:paraId="043470E7">
            <w:pPr>
              <w:spacing w:line="360" w:lineRule="auto"/>
              <w:rPr>
                <w:rFonts w:hint="eastAsia" w:ascii="宋体" w:hAnsi="宋体" w:cs="宋体"/>
                <w:color w:val="auto"/>
                <w:sz w:val="24"/>
                <w:highlight w:val="none"/>
              </w:rPr>
            </w:pPr>
          </w:p>
        </w:tc>
        <w:tc>
          <w:tcPr>
            <w:tcW w:w="2115" w:type="dxa"/>
            <w:noWrap w:val="0"/>
            <w:vAlign w:val="top"/>
          </w:tcPr>
          <w:p w14:paraId="09373F0C">
            <w:pPr>
              <w:spacing w:line="360" w:lineRule="auto"/>
              <w:rPr>
                <w:rFonts w:hint="eastAsia" w:ascii="宋体" w:hAnsi="宋体" w:cs="宋体"/>
                <w:color w:val="auto"/>
                <w:sz w:val="24"/>
                <w:highlight w:val="none"/>
              </w:rPr>
            </w:pPr>
          </w:p>
        </w:tc>
      </w:tr>
      <w:tr w14:paraId="0E622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DCE121A">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424FD9EB">
            <w:pPr>
              <w:spacing w:line="360" w:lineRule="auto"/>
              <w:rPr>
                <w:rFonts w:hint="eastAsia" w:ascii="宋体" w:hAnsi="宋体" w:cs="宋体"/>
                <w:color w:val="auto"/>
                <w:sz w:val="24"/>
                <w:highlight w:val="none"/>
              </w:rPr>
            </w:pPr>
          </w:p>
        </w:tc>
        <w:tc>
          <w:tcPr>
            <w:tcW w:w="836" w:type="dxa"/>
            <w:noWrap w:val="0"/>
            <w:vAlign w:val="top"/>
          </w:tcPr>
          <w:p w14:paraId="7735A283">
            <w:pPr>
              <w:spacing w:line="360" w:lineRule="auto"/>
              <w:rPr>
                <w:rFonts w:hint="eastAsia" w:ascii="宋体" w:hAnsi="宋体" w:cs="宋体"/>
                <w:color w:val="auto"/>
                <w:sz w:val="24"/>
                <w:highlight w:val="none"/>
              </w:rPr>
            </w:pPr>
          </w:p>
        </w:tc>
        <w:tc>
          <w:tcPr>
            <w:tcW w:w="1077" w:type="dxa"/>
            <w:noWrap w:val="0"/>
            <w:vAlign w:val="top"/>
          </w:tcPr>
          <w:p w14:paraId="7113F474">
            <w:pPr>
              <w:spacing w:line="360" w:lineRule="auto"/>
              <w:rPr>
                <w:rFonts w:hint="eastAsia" w:ascii="宋体" w:hAnsi="宋体" w:cs="宋体"/>
                <w:color w:val="auto"/>
                <w:sz w:val="24"/>
                <w:highlight w:val="none"/>
              </w:rPr>
            </w:pPr>
          </w:p>
        </w:tc>
        <w:tc>
          <w:tcPr>
            <w:tcW w:w="1616" w:type="dxa"/>
            <w:noWrap w:val="0"/>
            <w:vAlign w:val="top"/>
          </w:tcPr>
          <w:p w14:paraId="1FDEDB43">
            <w:pPr>
              <w:spacing w:line="360" w:lineRule="auto"/>
              <w:rPr>
                <w:rFonts w:hint="eastAsia" w:ascii="宋体" w:hAnsi="宋体" w:cs="宋体"/>
                <w:color w:val="auto"/>
                <w:sz w:val="24"/>
                <w:highlight w:val="none"/>
              </w:rPr>
            </w:pPr>
          </w:p>
        </w:tc>
        <w:tc>
          <w:tcPr>
            <w:tcW w:w="2115" w:type="dxa"/>
            <w:noWrap w:val="0"/>
            <w:vAlign w:val="top"/>
          </w:tcPr>
          <w:p w14:paraId="40204FDB">
            <w:pPr>
              <w:spacing w:line="360" w:lineRule="auto"/>
              <w:rPr>
                <w:rFonts w:hint="eastAsia" w:ascii="宋体" w:hAnsi="宋体" w:cs="宋体"/>
                <w:color w:val="auto"/>
                <w:sz w:val="24"/>
                <w:highlight w:val="none"/>
              </w:rPr>
            </w:pPr>
          </w:p>
        </w:tc>
      </w:tr>
      <w:tr w14:paraId="22907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217421D7">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715D3EA3">
            <w:pPr>
              <w:spacing w:line="360" w:lineRule="auto"/>
              <w:rPr>
                <w:rFonts w:hint="eastAsia" w:ascii="宋体" w:hAnsi="宋体" w:cs="宋体"/>
                <w:color w:val="auto"/>
                <w:sz w:val="24"/>
                <w:highlight w:val="none"/>
              </w:rPr>
            </w:pPr>
          </w:p>
        </w:tc>
        <w:tc>
          <w:tcPr>
            <w:tcW w:w="836" w:type="dxa"/>
            <w:noWrap w:val="0"/>
            <w:vAlign w:val="top"/>
          </w:tcPr>
          <w:p w14:paraId="26CFEE3D">
            <w:pPr>
              <w:spacing w:line="360" w:lineRule="auto"/>
              <w:rPr>
                <w:rFonts w:hint="eastAsia" w:ascii="宋体" w:hAnsi="宋体" w:cs="宋体"/>
                <w:color w:val="auto"/>
                <w:sz w:val="24"/>
                <w:highlight w:val="none"/>
              </w:rPr>
            </w:pPr>
          </w:p>
        </w:tc>
        <w:tc>
          <w:tcPr>
            <w:tcW w:w="1077" w:type="dxa"/>
            <w:noWrap w:val="0"/>
            <w:vAlign w:val="top"/>
          </w:tcPr>
          <w:p w14:paraId="6FA176E7">
            <w:pPr>
              <w:spacing w:line="360" w:lineRule="auto"/>
              <w:rPr>
                <w:rFonts w:hint="eastAsia" w:ascii="宋体" w:hAnsi="宋体" w:cs="宋体"/>
                <w:color w:val="auto"/>
                <w:sz w:val="24"/>
                <w:highlight w:val="none"/>
              </w:rPr>
            </w:pPr>
          </w:p>
        </w:tc>
        <w:tc>
          <w:tcPr>
            <w:tcW w:w="1616" w:type="dxa"/>
            <w:noWrap w:val="0"/>
            <w:vAlign w:val="top"/>
          </w:tcPr>
          <w:p w14:paraId="0F8667F6">
            <w:pPr>
              <w:spacing w:line="360" w:lineRule="auto"/>
              <w:rPr>
                <w:rFonts w:hint="eastAsia" w:ascii="宋体" w:hAnsi="宋体" w:cs="宋体"/>
                <w:color w:val="auto"/>
                <w:sz w:val="24"/>
                <w:highlight w:val="none"/>
              </w:rPr>
            </w:pPr>
          </w:p>
        </w:tc>
        <w:tc>
          <w:tcPr>
            <w:tcW w:w="2115" w:type="dxa"/>
            <w:noWrap w:val="0"/>
            <w:vAlign w:val="top"/>
          </w:tcPr>
          <w:p w14:paraId="55EA59F1">
            <w:pPr>
              <w:spacing w:line="360" w:lineRule="auto"/>
              <w:rPr>
                <w:rFonts w:hint="eastAsia" w:ascii="宋体" w:hAnsi="宋体" w:cs="宋体"/>
                <w:color w:val="auto"/>
                <w:sz w:val="24"/>
                <w:highlight w:val="none"/>
              </w:rPr>
            </w:pPr>
          </w:p>
        </w:tc>
      </w:tr>
      <w:tr w14:paraId="0AC49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8EA00D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F18BDF2">
            <w:pPr>
              <w:spacing w:line="360" w:lineRule="auto"/>
              <w:rPr>
                <w:rFonts w:hint="eastAsia" w:ascii="宋体" w:hAnsi="宋体" w:cs="宋体"/>
                <w:color w:val="auto"/>
                <w:sz w:val="24"/>
                <w:highlight w:val="none"/>
              </w:rPr>
            </w:pPr>
          </w:p>
        </w:tc>
        <w:tc>
          <w:tcPr>
            <w:tcW w:w="836" w:type="dxa"/>
            <w:noWrap w:val="0"/>
            <w:vAlign w:val="top"/>
          </w:tcPr>
          <w:p w14:paraId="064BA801">
            <w:pPr>
              <w:spacing w:line="360" w:lineRule="auto"/>
              <w:rPr>
                <w:rFonts w:hint="eastAsia" w:ascii="宋体" w:hAnsi="宋体" w:cs="宋体"/>
                <w:color w:val="auto"/>
                <w:sz w:val="24"/>
                <w:highlight w:val="none"/>
              </w:rPr>
            </w:pPr>
          </w:p>
        </w:tc>
        <w:tc>
          <w:tcPr>
            <w:tcW w:w="1077" w:type="dxa"/>
            <w:noWrap w:val="0"/>
            <w:vAlign w:val="top"/>
          </w:tcPr>
          <w:p w14:paraId="46112B0A">
            <w:pPr>
              <w:spacing w:line="360" w:lineRule="auto"/>
              <w:rPr>
                <w:rFonts w:hint="eastAsia" w:ascii="宋体" w:hAnsi="宋体" w:cs="宋体"/>
                <w:color w:val="auto"/>
                <w:sz w:val="24"/>
                <w:highlight w:val="none"/>
              </w:rPr>
            </w:pPr>
          </w:p>
        </w:tc>
        <w:tc>
          <w:tcPr>
            <w:tcW w:w="1616" w:type="dxa"/>
            <w:noWrap w:val="0"/>
            <w:vAlign w:val="top"/>
          </w:tcPr>
          <w:p w14:paraId="470CFFEB">
            <w:pPr>
              <w:spacing w:line="360" w:lineRule="auto"/>
              <w:rPr>
                <w:rFonts w:hint="eastAsia" w:ascii="宋体" w:hAnsi="宋体" w:cs="宋体"/>
                <w:color w:val="auto"/>
                <w:sz w:val="24"/>
                <w:highlight w:val="none"/>
              </w:rPr>
            </w:pPr>
          </w:p>
        </w:tc>
        <w:tc>
          <w:tcPr>
            <w:tcW w:w="2115" w:type="dxa"/>
            <w:noWrap w:val="0"/>
            <w:vAlign w:val="top"/>
          </w:tcPr>
          <w:p w14:paraId="18214DC2">
            <w:pPr>
              <w:spacing w:line="360" w:lineRule="auto"/>
              <w:rPr>
                <w:rFonts w:hint="eastAsia" w:ascii="宋体" w:hAnsi="宋体" w:cs="宋体"/>
                <w:color w:val="auto"/>
                <w:sz w:val="24"/>
                <w:highlight w:val="none"/>
              </w:rPr>
            </w:pPr>
          </w:p>
        </w:tc>
      </w:tr>
      <w:tr w14:paraId="517FF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50AB8E34">
            <w:pPr>
              <w:spacing w:line="360" w:lineRule="auto"/>
              <w:ind w:firstLine="482" w:firstLineChars="200"/>
              <w:rPr>
                <w:rFonts w:hint="eastAsia" w:ascii="宋体" w:hAnsi="宋体" w:cs="宋体"/>
                <w:b/>
                <w:bCs/>
                <w:color w:val="auto"/>
                <w:sz w:val="24"/>
                <w:highlight w:val="none"/>
              </w:rPr>
            </w:pPr>
          </w:p>
        </w:tc>
        <w:tc>
          <w:tcPr>
            <w:tcW w:w="2085" w:type="dxa"/>
            <w:noWrap w:val="0"/>
            <w:vAlign w:val="top"/>
          </w:tcPr>
          <w:p w14:paraId="63B7768E">
            <w:pPr>
              <w:spacing w:line="360" w:lineRule="auto"/>
              <w:rPr>
                <w:rFonts w:hint="eastAsia" w:ascii="宋体" w:hAnsi="宋体" w:cs="宋体"/>
                <w:color w:val="auto"/>
                <w:sz w:val="24"/>
                <w:highlight w:val="none"/>
              </w:rPr>
            </w:pPr>
          </w:p>
        </w:tc>
        <w:tc>
          <w:tcPr>
            <w:tcW w:w="836" w:type="dxa"/>
            <w:noWrap w:val="0"/>
            <w:vAlign w:val="top"/>
          </w:tcPr>
          <w:p w14:paraId="2AB03B88">
            <w:pPr>
              <w:spacing w:line="360" w:lineRule="auto"/>
              <w:rPr>
                <w:rFonts w:hint="eastAsia" w:ascii="宋体" w:hAnsi="宋体" w:cs="宋体"/>
                <w:color w:val="auto"/>
                <w:sz w:val="24"/>
                <w:highlight w:val="none"/>
              </w:rPr>
            </w:pPr>
          </w:p>
        </w:tc>
        <w:tc>
          <w:tcPr>
            <w:tcW w:w="1077" w:type="dxa"/>
            <w:noWrap w:val="0"/>
            <w:vAlign w:val="top"/>
          </w:tcPr>
          <w:p w14:paraId="590C57C4">
            <w:pPr>
              <w:spacing w:line="360" w:lineRule="auto"/>
              <w:rPr>
                <w:rFonts w:hint="eastAsia" w:ascii="宋体" w:hAnsi="宋体" w:cs="宋体"/>
                <w:color w:val="auto"/>
                <w:sz w:val="24"/>
                <w:highlight w:val="none"/>
              </w:rPr>
            </w:pPr>
          </w:p>
        </w:tc>
        <w:tc>
          <w:tcPr>
            <w:tcW w:w="1616" w:type="dxa"/>
            <w:noWrap w:val="0"/>
            <w:vAlign w:val="top"/>
          </w:tcPr>
          <w:p w14:paraId="2CCFA64A">
            <w:pPr>
              <w:spacing w:line="360" w:lineRule="auto"/>
              <w:rPr>
                <w:rFonts w:hint="eastAsia" w:ascii="宋体" w:hAnsi="宋体" w:cs="宋体"/>
                <w:color w:val="auto"/>
                <w:sz w:val="24"/>
                <w:highlight w:val="none"/>
              </w:rPr>
            </w:pPr>
          </w:p>
        </w:tc>
        <w:tc>
          <w:tcPr>
            <w:tcW w:w="2115" w:type="dxa"/>
            <w:noWrap w:val="0"/>
            <w:vAlign w:val="top"/>
          </w:tcPr>
          <w:p w14:paraId="3B9D732B">
            <w:pPr>
              <w:spacing w:line="360" w:lineRule="auto"/>
              <w:rPr>
                <w:rFonts w:hint="eastAsia" w:ascii="宋体" w:hAnsi="宋体" w:cs="宋体"/>
                <w:color w:val="auto"/>
                <w:sz w:val="24"/>
                <w:highlight w:val="none"/>
              </w:rPr>
            </w:pPr>
          </w:p>
        </w:tc>
      </w:tr>
      <w:tr w14:paraId="3FA31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08430B48">
            <w:pPr>
              <w:spacing w:line="360" w:lineRule="auto"/>
              <w:rPr>
                <w:rFonts w:hint="eastAsia" w:ascii="宋体" w:hAnsi="宋体" w:cs="宋体"/>
                <w:b/>
                <w:color w:val="auto"/>
                <w:sz w:val="24"/>
                <w:highlight w:val="none"/>
              </w:rPr>
            </w:pPr>
          </w:p>
        </w:tc>
        <w:tc>
          <w:tcPr>
            <w:tcW w:w="2085" w:type="dxa"/>
            <w:noWrap w:val="0"/>
            <w:vAlign w:val="top"/>
          </w:tcPr>
          <w:p w14:paraId="5FFF8DFD">
            <w:pPr>
              <w:spacing w:line="360" w:lineRule="auto"/>
              <w:rPr>
                <w:rFonts w:hint="eastAsia" w:ascii="宋体" w:hAnsi="宋体" w:cs="宋体"/>
                <w:color w:val="auto"/>
                <w:sz w:val="24"/>
                <w:highlight w:val="none"/>
              </w:rPr>
            </w:pPr>
          </w:p>
        </w:tc>
        <w:tc>
          <w:tcPr>
            <w:tcW w:w="836" w:type="dxa"/>
            <w:noWrap w:val="0"/>
            <w:vAlign w:val="top"/>
          </w:tcPr>
          <w:p w14:paraId="2FCE0BEF">
            <w:pPr>
              <w:spacing w:line="360" w:lineRule="auto"/>
              <w:rPr>
                <w:rFonts w:hint="eastAsia" w:ascii="宋体" w:hAnsi="宋体" w:cs="宋体"/>
                <w:color w:val="auto"/>
                <w:sz w:val="24"/>
                <w:highlight w:val="none"/>
              </w:rPr>
            </w:pPr>
          </w:p>
        </w:tc>
        <w:tc>
          <w:tcPr>
            <w:tcW w:w="1077" w:type="dxa"/>
            <w:noWrap w:val="0"/>
            <w:vAlign w:val="top"/>
          </w:tcPr>
          <w:p w14:paraId="483D7E34">
            <w:pPr>
              <w:spacing w:line="360" w:lineRule="auto"/>
              <w:rPr>
                <w:rFonts w:hint="eastAsia" w:ascii="宋体" w:hAnsi="宋体" w:cs="宋体"/>
                <w:color w:val="auto"/>
                <w:sz w:val="24"/>
                <w:highlight w:val="none"/>
              </w:rPr>
            </w:pPr>
          </w:p>
        </w:tc>
        <w:tc>
          <w:tcPr>
            <w:tcW w:w="1616" w:type="dxa"/>
            <w:noWrap w:val="0"/>
            <w:vAlign w:val="top"/>
          </w:tcPr>
          <w:p w14:paraId="7274287A">
            <w:pPr>
              <w:spacing w:line="360" w:lineRule="auto"/>
              <w:rPr>
                <w:rFonts w:hint="eastAsia" w:ascii="宋体" w:hAnsi="宋体" w:cs="宋体"/>
                <w:color w:val="auto"/>
                <w:sz w:val="24"/>
                <w:highlight w:val="none"/>
              </w:rPr>
            </w:pPr>
          </w:p>
        </w:tc>
        <w:tc>
          <w:tcPr>
            <w:tcW w:w="2115" w:type="dxa"/>
            <w:noWrap w:val="0"/>
            <w:vAlign w:val="top"/>
          </w:tcPr>
          <w:p w14:paraId="6BCD92D5">
            <w:pPr>
              <w:spacing w:line="360" w:lineRule="auto"/>
              <w:rPr>
                <w:rFonts w:hint="eastAsia" w:ascii="宋体" w:hAnsi="宋体" w:cs="宋体"/>
                <w:color w:val="auto"/>
                <w:sz w:val="24"/>
                <w:highlight w:val="none"/>
              </w:rPr>
            </w:pPr>
          </w:p>
        </w:tc>
      </w:tr>
      <w:tr w14:paraId="3726D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5748C0F7">
            <w:pPr>
              <w:spacing w:line="360" w:lineRule="auto"/>
              <w:rPr>
                <w:rFonts w:hint="eastAsia" w:ascii="宋体" w:hAnsi="宋体" w:cs="宋体"/>
                <w:b/>
                <w:color w:val="auto"/>
                <w:sz w:val="24"/>
                <w:highlight w:val="none"/>
              </w:rPr>
            </w:pPr>
          </w:p>
        </w:tc>
        <w:tc>
          <w:tcPr>
            <w:tcW w:w="2085" w:type="dxa"/>
            <w:noWrap w:val="0"/>
            <w:vAlign w:val="top"/>
          </w:tcPr>
          <w:p w14:paraId="1D116EB8">
            <w:pPr>
              <w:spacing w:line="360" w:lineRule="auto"/>
              <w:rPr>
                <w:rFonts w:hint="eastAsia" w:ascii="宋体" w:hAnsi="宋体" w:cs="宋体"/>
                <w:color w:val="auto"/>
                <w:sz w:val="24"/>
                <w:highlight w:val="none"/>
              </w:rPr>
            </w:pPr>
          </w:p>
        </w:tc>
        <w:tc>
          <w:tcPr>
            <w:tcW w:w="836" w:type="dxa"/>
            <w:noWrap w:val="0"/>
            <w:vAlign w:val="top"/>
          </w:tcPr>
          <w:p w14:paraId="18666B72">
            <w:pPr>
              <w:spacing w:line="360" w:lineRule="auto"/>
              <w:rPr>
                <w:rFonts w:hint="eastAsia" w:ascii="宋体" w:hAnsi="宋体" w:cs="宋体"/>
                <w:color w:val="auto"/>
                <w:sz w:val="24"/>
                <w:highlight w:val="none"/>
              </w:rPr>
            </w:pPr>
          </w:p>
        </w:tc>
        <w:tc>
          <w:tcPr>
            <w:tcW w:w="1077" w:type="dxa"/>
            <w:noWrap w:val="0"/>
            <w:vAlign w:val="top"/>
          </w:tcPr>
          <w:p w14:paraId="4E40845C">
            <w:pPr>
              <w:spacing w:line="360" w:lineRule="auto"/>
              <w:rPr>
                <w:rFonts w:hint="eastAsia" w:ascii="宋体" w:hAnsi="宋体" w:cs="宋体"/>
                <w:color w:val="auto"/>
                <w:sz w:val="24"/>
                <w:highlight w:val="none"/>
              </w:rPr>
            </w:pPr>
          </w:p>
        </w:tc>
        <w:tc>
          <w:tcPr>
            <w:tcW w:w="1616" w:type="dxa"/>
            <w:noWrap w:val="0"/>
            <w:vAlign w:val="top"/>
          </w:tcPr>
          <w:p w14:paraId="72DC7968">
            <w:pPr>
              <w:spacing w:line="360" w:lineRule="auto"/>
              <w:rPr>
                <w:rFonts w:hint="eastAsia" w:ascii="宋体" w:hAnsi="宋体" w:cs="宋体"/>
                <w:color w:val="auto"/>
                <w:sz w:val="24"/>
                <w:highlight w:val="none"/>
              </w:rPr>
            </w:pPr>
          </w:p>
        </w:tc>
        <w:tc>
          <w:tcPr>
            <w:tcW w:w="2115" w:type="dxa"/>
            <w:noWrap w:val="0"/>
            <w:vAlign w:val="top"/>
          </w:tcPr>
          <w:p w14:paraId="6129DB05">
            <w:pPr>
              <w:spacing w:line="360" w:lineRule="auto"/>
              <w:rPr>
                <w:rFonts w:hint="eastAsia" w:ascii="宋体" w:hAnsi="宋体" w:cs="宋体"/>
                <w:color w:val="auto"/>
                <w:sz w:val="24"/>
                <w:highlight w:val="none"/>
              </w:rPr>
            </w:pPr>
          </w:p>
        </w:tc>
      </w:tr>
      <w:tr w14:paraId="511F8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4E04492">
            <w:pPr>
              <w:spacing w:line="360" w:lineRule="auto"/>
              <w:rPr>
                <w:rFonts w:hint="eastAsia" w:ascii="宋体" w:hAnsi="宋体" w:cs="宋体"/>
                <w:b/>
                <w:color w:val="auto"/>
                <w:sz w:val="24"/>
                <w:highlight w:val="none"/>
              </w:rPr>
            </w:pPr>
          </w:p>
        </w:tc>
        <w:tc>
          <w:tcPr>
            <w:tcW w:w="2085" w:type="dxa"/>
            <w:noWrap w:val="0"/>
            <w:vAlign w:val="top"/>
          </w:tcPr>
          <w:p w14:paraId="7EECB89B">
            <w:pPr>
              <w:spacing w:line="360" w:lineRule="auto"/>
              <w:rPr>
                <w:rFonts w:hint="eastAsia" w:ascii="宋体" w:hAnsi="宋体" w:cs="宋体"/>
                <w:color w:val="auto"/>
                <w:sz w:val="24"/>
                <w:highlight w:val="none"/>
              </w:rPr>
            </w:pPr>
          </w:p>
        </w:tc>
        <w:tc>
          <w:tcPr>
            <w:tcW w:w="836" w:type="dxa"/>
            <w:noWrap w:val="0"/>
            <w:vAlign w:val="top"/>
          </w:tcPr>
          <w:p w14:paraId="08820F11">
            <w:pPr>
              <w:spacing w:line="360" w:lineRule="auto"/>
              <w:rPr>
                <w:rFonts w:hint="eastAsia" w:ascii="宋体" w:hAnsi="宋体" w:cs="宋体"/>
                <w:color w:val="auto"/>
                <w:sz w:val="24"/>
                <w:highlight w:val="none"/>
              </w:rPr>
            </w:pPr>
          </w:p>
        </w:tc>
        <w:tc>
          <w:tcPr>
            <w:tcW w:w="1077" w:type="dxa"/>
            <w:noWrap w:val="0"/>
            <w:vAlign w:val="top"/>
          </w:tcPr>
          <w:p w14:paraId="4842B1C6">
            <w:pPr>
              <w:spacing w:line="360" w:lineRule="auto"/>
              <w:rPr>
                <w:rFonts w:hint="eastAsia" w:ascii="宋体" w:hAnsi="宋体" w:cs="宋体"/>
                <w:color w:val="auto"/>
                <w:sz w:val="24"/>
                <w:highlight w:val="none"/>
              </w:rPr>
            </w:pPr>
          </w:p>
        </w:tc>
        <w:tc>
          <w:tcPr>
            <w:tcW w:w="1616" w:type="dxa"/>
            <w:noWrap w:val="0"/>
            <w:vAlign w:val="top"/>
          </w:tcPr>
          <w:p w14:paraId="4EEDEFF2">
            <w:pPr>
              <w:spacing w:line="360" w:lineRule="auto"/>
              <w:rPr>
                <w:rFonts w:hint="eastAsia" w:ascii="宋体" w:hAnsi="宋体" w:cs="宋体"/>
                <w:color w:val="auto"/>
                <w:sz w:val="24"/>
                <w:highlight w:val="none"/>
              </w:rPr>
            </w:pPr>
          </w:p>
        </w:tc>
        <w:tc>
          <w:tcPr>
            <w:tcW w:w="2115" w:type="dxa"/>
            <w:noWrap w:val="0"/>
            <w:vAlign w:val="top"/>
          </w:tcPr>
          <w:p w14:paraId="649839CF">
            <w:pPr>
              <w:spacing w:line="360" w:lineRule="auto"/>
              <w:rPr>
                <w:rFonts w:hint="eastAsia" w:ascii="宋体" w:hAnsi="宋体" w:cs="宋体"/>
                <w:color w:val="auto"/>
                <w:sz w:val="24"/>
                <w:highlight w:val="none"/>
              </w:rPr>
            </w:pPr>
          </w:p>
        </w:tc>
      </w:tr>
      <w:tr w14:paraId="5D283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4930978C">
            <w:pPr>
              <w:spacing w:line="360" w:lineRule="auto"/>
              <w:rPr>
                <w:rFonts w:hint="eastAsia" w:ascii="宋体" w:hAnsi="宋体" w:cs="宋体"/>
                <w:b/>
                <w:color w:val="auto"/>
                <w:sz w:val="24"/>
                <w:highlight w:val="none"/>
              </w:rPr>
            </w:pPr>
          </w:p>
        </w:tc>
        <w:tc>
          <w:tcPr>
            <w:tcW w:w="2085" w:type="dxa"/>
            <w:noWrap w:val="0"/>
            <w:vAlign w:val="top"/>
          </w:tcPr>
          <w:p w14:paraId="0B447825">
            <w:pPr>
              <w:spacing w:line="360" w:lineRule="auto"/>
              <w:rPr>
                <w:rFonts w:hint="eastAsia" w:ascii="宋体" w:hAnsi="宋体" w:cs="宋体"/>
                <w:color w:val="auto"/>
                <w:sz w:val="24"/>
                <w:highlight w:val="none"/>
              </w:rPr>
            </w:pPr>
          </w:p>
        </w:tc>
        <w:tc>
          <w:tcPr>
            <w:tcW w:w="836" w:type="dxa"/>
            <w:noWrap w:val="0"/>
            <w:vAlign w:val="top"/>
          </w:tcPr>
          <w:p w14:paraId="731E325C">
            <w:pPr>
              <w:spacing w:line="360" w:lineRule="auto"/>
              <w:rPr>
                <w:rFonts w:hint="eastAsia" w:ascii="宋体" w:hAnsi="宋体" w:cs="宋体"/>
                <w:color w:val="auto"/>
                <w:sz w:val="24"/>
                <w:highlight w:val="none"/>
              </w:rPr>
            </w:pPr>
          </w:p>
        </w:tc>
        <w:tc>
          <w:tcPr>
            <w:tcW w:w="1077" w:type="dxa"/>
            <w:noWrap w:val="0"/>
            <w:vAlign w:val="top"/>
          </w:tcPr>
          <w:p w14:paraId="09AA2C80">
            <w:pPr>
              <w:spacing w:line="360" w:lineRule="auto"/>
              <w:rPr>
                <w:rFonts w:hint="eastAsia" w:ascii="宋体" w:hAnsi="宋体" w:cs="宋体"/>
                <w:color w:val="auto"/>
                <w:sz w:val="24"/>
                <w:highlight w:val="none"/>
              </w:rPr>
            </w:pPr>
          </w:p>
        </w:tc>
        <w:tc>
          <w:tcPr>
            <w:tcW w:w="1616" w:type="dxa"/>
            <w:noWrap w:val="0"/>
            <w:vAlign w:val="top"/>
          </w:tcPr>
          <w:p w14:paraId="5B484616">
            <w:pPr>
              <w:spacing w:line="360" w:lineRule="auto"/>
              <w:rPr>
                <w:rFonts w:hint="eastAsia" w:ascii="宋体" w:hAnsi="宋体" w:cs="宋体"/>
                <w:color w:val="auto"/>
                <w:sz w:val="24"/>
                <w:highlight w:val="none"/>
              </w:rPr>
            </w:pPr>
          </w:p>
        </w:tc>
        <w:tc>
          <w:tcPr>
            <w:tcW w:w="2115" w:type="dxa"/>
            <w:noWrap w:val="0"/>
            <w:vAlign w:val="top"/>
          </w:tcPr>
          <w:p w14:paraId="1701882B">
            <w:pPr>
              <w:spacing w:line="360" w:lineRule="auto"/>
              <w:rPr>
                <w:rFonts w:hint="eastAsia" w:ascii="宋体" w:hAnsi="宋体" w:cs="宋体"/>
                <w:color w:val="auto"/>
                <w:sz w:val="24"/>
                <w:highlight w:val="none"/>
              </w:rPr>
            </w:pPr>
          </w:p>
        </w:tc>
      </w:tr>
      <w:tr w14:paraId="21A5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3678B7E8">
            <w:pPr>
              <w:spacing w:line="360" w:lineRule="auto"/>
              <w:rPr>
                <w:rFonts w:hint="eastAsia" w:ascii="宋体" w:hAnsi="宋体" w:cs="宋体"/>
                <w:b/>
                <w:color w:val="auto"/>
                <w:sz w:val="24"/>
                <w:highlight w:val="none"/>
              </w:rPr>
            </w:pPr>
          </w:p>
        </w:tc>
        <w:tc>
          <w:tcPr>
            <w:tcW w:w="2085" w:type="dxa"/>
            <w:noWrap w:val="0"/>
            <w:vAlign w:val="top"/>
          </w:tcPr>
          <w:p w14:paraId="688C7738">
            <w:pPr>
              <w:spacing w:line="360" w:lineRule="auto"/>
              <w:rPr>
                <w:rFonts w:hint="eastAsia" w:ascii="宋体" w:hAnsi="宋体" w:cs="宋体"/>
                <w:color w:val="auto"/>
                <w:sz w:val="24"/>
                <w:highlight w:val="none"/>
              </w:rPr>
            </w:pPr>
          </w:p>
        </w:tc>
        <w:tc>
          <w:tcPr>
            <w:tcW w:w="836" w:type="dxa"/>
            <w:noWrap w:val="0"/>
            <w:vAlign w:val="top"/>
          </w:tcPr>
          <w:p w14:paraId="3492D99A">
            <w:pPr>
              <w:spacing w:line="360" w:lineRule="auto"/>
              <w:rPr>
                <w:rFonts w:hint="eastAsia" w:ascii="宋体" w:hAnsi="宋体" w:cs="宋体"/>
                <w:color w:val="auto"/>
                <w:sz w:val="24"/>
                <w:highlight w:val="none"/>
              </w:rPr>
            </w:pPr>
          </w:p>
        </w:tc>
        <w:tc>
          <w:tcPr>
            <w:tcW w:w="1077" w:type="dxa"/>
            <w:noWrap w:val="0"/>
            <w:vAlign w:val="top"/>
          </w:tcPr>
          <w:p w14:paraId="58B19C0D">
            <w:pPr>
              <w:spacing w:line="360" w:lineRule="auto"/>
              <w:rPr>
                <w:rFonts w:hint="eastAsia" w:ascii="宋体" w:hAnsi="宋体" w:cs="宋体"/>
                <w:color w:val="auto"/>
                <w:sz w:val="24"/>
                <w:highlight w:val="none"/>
              </w:rPr>
            </w:pPr>
          </w:p>
        </w:tc>
        <w:tc>
          <w:tcPr>
            <w:tcW w:w="1616" w:type="dxa"/>
            <w:noWrap w:val="0"/>
            <w:vAlign w:val="top"/>
          </w:tcPr>
          <w:p w14:paraId="141C7E40">
            <w:pPr>
              <w:spacing w:line="360" w:lineRule="auto"/>
              <w:rPr>
                <w:rFonts w:hint="eastAsia" w:ascii="宋体" w:hAnsi="宋体" w:cs="宋体"/>
                <w:color w:val="auto"/>
                <w:sz w:val="24"/>
                <w:highlight w:val="none"/>
              </w:rPr>
            </w:pPr>
          </w:p>
        </w:tc>
        <w:tc>
          <w:tcPr>
            <w:tcW w:w="2115" w:type="dxa"/>
            <w:noWrap w:val="0"/>
            <w:vAlign w:val="top"/>
          </w:tcPr>
          <w:p w14:paraId="5E20A7A9">
            <w:pPr>
              <w:spacing w:line="360" w:lineRule="auto"/>
              <w:rPr>
                <w:rFonts w:hint="eastAsia" w:ascii="宋体" w:hAnsi="宋体" w:cs="宋体"/>
                <w:color w:val="auto"/>
                <w:sz w:val="24"/>
                <w:highlight w:val="none"/>
              </w:rPr>
            </w:pPr>
          </w:p>
        </w:tc>
      </w:tr>
      <w:tr w14:paraId="03C5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1451071F">
            <w:pPr>
              <w:spacing w:line="360" w:lineRule="auto"/>
              <w:rPr>
                <w:rFonts w:hint="eastAsia" w:ascii="宋体" w:hAnsi="宋体" w:cs="宋体"/>
                <w:b/>
                <w:color w:val="auto"/>
                <w:sz w:val="24"/>
                <w:highlight w:val="none"/>
              </w:rPr>
            </w:pPr>
          </w:p>
        </w:tc>
        <w:tc>
          <w:tcPr>
            <w:tcW w:w="2085" w:type="dxa"/>
            <w:noWrap w:val="0"/>
            <w:vAlign w:val="top"/>
          </w:tcPr>
          <w:p w14:paraId="0449FB4B">
            <w:pPr>
              <w:spacing w:line="360" w:lineRule="auto"/>
              <w:rPr>
                <w:rFonts w:hint="eastAsia" w:ascii="宋体" w:hAnsi="宋体" w:cs="宋体"/>
                <w:color w:val="auto"/>
                <w:sz w:val="24"/>
                <w:highlight w:val="none"/>
              </w:rPr>
            </w:pPr>
          </w:p>
        </w:tc>
        <w:tc>
          <w:tcPr>
            <w:tcW w:w="836" w:type="dxa"/>
            <w:noWrap w:val="0"/>
            <w:vAlign w:val="top"/>
          </w:tcPr>
          <w:p w14:paraId="106E0CD7">
            <w:pPr>
              <w:spacing w:line="360" w:lineRule="auto"/>
              <w:rPr>
                <w:rFonts w:hint="eastAsia" w:ascii="宋体" w:hAnsi="宋体" w:cs="宋体"/>
                <w:color w:val="auto"/>
                <w:sz w:val="24"/>
                <w:highlight w:val="none"/>
              </w:rPr>
            </w:pPr>
          </w:p>
        </w:tc>
        <w:tc>
          <w:tcPr>
            <w:tcW w:w="1077" w:type="dxa"/>
            <w:noWrap w:val="0"/>
            <w:vAlign w:val="top"/>
          </w:tcPr>
          <w:p w14:paraId="0C1E7124">
            <w:pPr>
              <w:spacing w:line="360" w:lineRule="auto"/>
              <w:rPr>
                <w:rFonts w:hint="eastAsia" w:ascii="宋体" w:hAnsi="宋体" w:cs="宋体"/>
                <w:color w:val="auto"/>
                <w:sz w:val="24"/>
                <w:highlight w:val="none"/>
              </w:rPr>
            </w:pPr>
          </w:p>
        </w:tc>
        <w:tc>
          <w:tcPr>
            <w:tcW w:w="1616" w:type="dxa"/>
            <w:noWrap w:val="0"/>
            <w:vAlign w:val="top"/>
          </w:tcPr>
          <w:p w14:paraId="64D652A5">
            <w:pPr>
              <w:spacing w:line="360" w:lineRule="auto"/>
              <w:rPr>
                <w:rFonts w:hint="eastAsia" w:ascii="宋体" w:hAnsi="宋体" w:cs="宋体"/>
                <w:color w:val="auto"/>
                <w:sz w:val="24"/>
                <w:highlight w:val="none"/>
              </w:rPr>
            </w:pPr>
          </w:p>
        </w:tc>
        <w:tc>
          <w:tcPr>
            <w:tcW w:w="2115" w:type="dxa"/>
            <w:noWrap w:val="0"/>
            <w:vAlign w:val="top"/>
          </w:tcPr>
          <w:p w14:paraId="60BBB149">
            <w:pPr>
              <w:spacing w:line="360" w:lineRule="auto"/>
              <w:rPr>
                <w:rFonts w:hint="eastAsia" w:ascii="宋体" w:hAnsi="宋体" w:cs="宋体"/>
                <w:color w:val="auto"/>
                <w:sz w:val="24"/>
                <w:highlight w:val="none"/>
              </w:rPr>
            </w:pPr>
          </w:p>
        </w:tc>
      </w:tr>
      <w:tr w14:paraId="45320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6C6FAADE">
            <w:pPr>
              <w:spacing w:line="360" w:lineRule="auto"/>
              <w:rPr>
                <w:rFonts w:hint="eastAsia" w:ascii="宋体" w:hAnsi="宋体" w:cs="宋体"/>
                <w:b/>
                <w:color w:val="auto"/>
                <w:sz w:val="24"/>
                <w:highlight w:val="none"/>
              </w:rPr>
            </w:pPr>
          </w:p>
        </w:tc>
        <w:tc>
          <w:tcPr>
            <w:tcW w:w="2085" w:type="dxa"/>
            <w:noWrap w:val="0"/>
            <w:vAlign w:val="top"/>
          </w:tcPr>
          <w:p w14:paraId="135DD384">
            <w:pPr>
              <w:spacing w:line="360" w:lineRule="auto"/>
              <w:rPr>
                <w:rFonts w:hint="eastAsia" w:ascii="宋体" w:hAnsi="宋体" w:cs="宋体"/>
                <w:color w:val="auto"/>
                <w:sz w:val="24"/>
                <w:highlight w:val="none"/>
              </w:rPr>
            </w:pPr>
          </w:p>
        </w:tc>
        <w:tc>
          <w:tcPr>
            <w:tcW w:w="836" w:type="dxa"/>
            <w:noWrap w:val="0"/>
            <w:vAlign w:val="top"/>
          </w:tcPr>
          <w:p w14:paraId="60E38A8A">
            <w:pPr>
              <w:spacing w:line="360" w:lineRule="auto"/>
              <w:rPr>
                <w:rFonts w:hint="eastAsia" w:ascii="宋体" w:hAnsi="宋体" w:cs="宋体"/>
                <w:color w:val="auto"/>
                <w:sz w:val="24"/>
                <w:highlight w:val="none"/>
              </w:rPr>
            </w:pPr>
          </w:p>
        </w:tc>
        <w:tc>
          <w:tcPr>
            <w:tcW w:w="1077" w:type="dxa"/>
            <w:noWrap w:val="0"/>
            <w:vAlign w:val="top"/>
          </w:tcPr>
          <w:p w14:paraId="3CB57C97">
            <w:pPr>
              <w:spacing w:line="360" w:lineRule="auto"/>
              <w:rPr>
                <w:rFonts w:hint="eastAsia" w:ascii="宋体" w:hAnsi="宋体" w:cs="宋体"/>
                <w:color w:val="auto"/>
                <w:sz w:val="24"/>
                <w:highlight w:val="none"/>
              </w:rPr>
            </w:pPr>
          </w:p>
        </w:tc>
        <w:tc>
          <w:tcPr>
            <w:tcW w:w="1616" w:type="dxa"/>
            <w:noWrap w:val="0"/>
            <w:vAlign w:val="top"/>
          </w:tcPr>
          <w:p w14:paraId="367D11B1">
            <w:pPr>
              <w:spacing w:line="360" w:lineRule="auto"/>
              <w:rPr>
                <w:rFonts w:hint="eastAsia" w:ascii="宋体" w:hAnsi="宋体" w:cs="宋体"/>
                <w:color w:val="auto"/>
                <w:sz w:val="24"/>
                <w:highlight w:val="none"/>
              </w:rPr>
            </w:pPr>
          </w:p>
        </w:tc>
        <w:tc>
          <w:tcPr>
            <w:tcW w:w="2115" w:type="dxa"/>
            <w:noWrap w:val="0"/>
            <w:vAlign w:val="top"/>
          </w:tcPr>
          <w:p w14:paraId="71662DAB">
            <w:pPr>
              <w:spacing w:line="360" w:lineRule="auto"/>
              <w:rPr>
                <w:rFonts w:hint="eastAsia" w:ascii="宋体" w:hAnsi="宋体" w:cs="宋体"/>
                <w:color w:val="auto"/>
                <w:sz w:val="24"/>
                <w:highlight w:val="none"/>
              </w:rPr>
            </w:pPr>
          </w:p>
        </w:tc>
      </w:tr>
      <w:tr w14:paraId="1B417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8" w:type="dxa"/>
            <w:noWrap w:val="0"/>
            <w:vAlign w:val="center"/>
          </w:tcPr>
          <w:p w14:paraId="485AFC41">
            <w:pPr>
              <w:spacing w:line="360" w:lineRule="auto"/>
              <w:rPr>
                <w:rFonts w:hint="eastAsia" w:ascii="宋体" w:hAnsi="宋体" w:cs="宋体"/>
                <w:b/>
                <w:color w:val="auto"/>
                <w:sz w:val="24"/>
                <w:highlight w:val="none"/>
              </w:rPr>
            </w:pPr>
          </w:p>
        </w:tc>
        <w:tc>
          <w:tcPr>
            <w:tcW w:w="2085" w:type="dxa"/>
            <w:noWrap w:val="0"/>
            <w:vAlign w:val="top"/>
          </w:tcPr>
          <w:p w14:paraId="2FB107C9">
            <w:pPr>
              <w:spacing w:line="360" w:lineRule="auto"/>
              <w:rPr>
                <w:rFonts w:hint="eastAsia" w:ascii="宋体" w:hAnsi="宋体" w:cs="宋体"/>
                <w:color w:val="auto"/>
                <w:sz w:val="24"/>
                <w:highlight w:val="none"/>
              </w:rPr>
            </w:pPr>
          </w:p>
        </w:tc>
        <w:tc>
          <w:tcPr>
            <w:tcW w:w="836" w:type="dxa"/>
            <w:noWrap w:val="0"/>
            <w:vAlign w:val="top"/>
          </w:tcPr>
          <w:p w14:paraId="2143E03B">
            <w:pPr>
              <w:spacing w:line="360" w:lineRule="auto"/>
              <w:rPr>
                <w:rFonts w:hint="eastAsia" w:ascii="宋体" w:hAnsi="宋体" w:cs="宋体"/>
                <w:color w:val="auto"/>
                <w:sz w:val="24"/>
                <w:highlight w:val="none"/>
              </w:rPr>
            </w:pPr>
          </w:p>
        </w:tc>
        <w:tc>
          <w:tcPr>
            <w:tcW w:w="1077" w:type="dxa"/>
            <w:noWrap w:val="0"/>
            <w:vAlign w:val="top"/>
          </w:tcPr>
          <w:p w14:paraId="20193D25">
            <w:pPr>
              <w:spacing w:line="360" w:lineRule="auto"/>
              <w:rPr>
                <w:rFonts w:hint="eastAsia" w:ascii="宋体" w:hAnsi="宋体" w:cs="宋体"/>
                <w:color w:val="auto"/>
                <w:sz w:val="24"/>
                <w:highlight w:val="none"/>
              </w:rPr>
            </w:pPr>
          </w:p>
        </w:tc>
        <w:tc>
          <w:tcPr>
            <w:tcW w:w="1616" w:type="dxa"/>
            <w:noWrap w:val="0"/>
            <w:vAlign w:val="top"/>
          </w:tcPr>
          <w:p w14:paraId="6A4D3029">
            <w:pPr>
              <w:spacing w:line="360" w:lineRule="auto"/>
              <w:rPr>
                <w:rFonts w:hint="eastAsia" w:ascii="宋体" w:hAnsi="宋体" w:cs="宋体"/>
                <w:color w:val="auto"/>
                <w:sz w:val="24"/>
                <w:highlight w:val="none"/>
              </w:rPr>
            </w:pPr>
          </w:p>
        </w:tc>
        <w:tc>
          <w:tcPr>
            <w:tcW w:w="2115" w:type="dxa"/>
            <w:noWrap w:val="0"/>
            <w:vAlign w:val="top"/>
          </w:tcPr>
          <w:p w14:paraId="49F13B3F">
            <w:pPr>
              <w:spacing w:line="360" w:lineRule="auto"/>
              <w:rPr>
                <w:rFonts w:hint="eastAsia" w:ascii="宋体" w:hAnsi="宋体" w:cs="宋体"/>
                <w:color w:val="auto"/>
                <w:sz w:val="24"/>
                <w:highlight w:val="none"/>
              </w:rPr>
            </w:pPr>
          </w:p>
        </w:tc>
      </w:tr>
    </w:tbl>
    <w:p w14:paraId="5EDB1108">
      <w:pPr>
        <w:rPr>
          <w:rFonts w:hint="eastAsia" w:ascii="宋体" w:hAnsi="宋体" w:cs="宋体"/>
          <w:color w:val="auto"/>
          <w:kern w:val="0"/>
          <w:szCs w:val="21"/>
          <w:highlight w:val="none"/>
          <w:lang w:val="zh-CN"/>
        </w:rPr>
      </w:pPr>
    </w:p>
    <w:p w14:paraId="56E40794">
      <w:pPr>
        <w:pStyle w:val="19"/>
        <w:ind w:firstLine="0" w:firstLineChars="0"/>
        <w:rPr>
          <w:rFonts w:hint="eastAsia" w:ascii="宋体" w:hAnsi="宋体" w:eastAsia="宋体" w:cs="宋体"/>
          <w:color w:val="auto"/>
          <w:sz w:val="24"/>
          <w:szCs w:val="16"/>
          <w:highlight w:val="none"/>
          <w:lang w:val="zh-CN" w:eastAsia="zh-CN"/>
        </w:rPr>
      </w:pPr>
      <w:r>
        <w:rPr>
          <w:rFonts w:hint="eastAsia" w:ascii="宋体" w:hAnsi="宋体" w:eastAsia="宋体" w:cs="宋体"/>
          <w:color w:val="auto"/>
          <w:sz w:val="24"/>
          <w:szCs w:val="16"/>
          <w:highlight w:val="none"/>
          <w:lang w:val="zh-CN" w:eastAsia="zh-CN"/>
        </w:rPr>
        <w:t>注：此项材料必须以PDF格式上传。投标人同类项目合同复印件加盖投标人 CA 电子签章。</w:t>
      </w:r>
    </w:p>
    <w:p w14:paraId="1CDFC963">
      <w:pPr>
        <w:pStyle w:val="19"/>
        <w:ind w:firstLine="0" w:firstLineChars="0"/>
        <w:rPr>
          <w:rFonts w:hint="eastAsia"/>
          <w:color w:val="auto"/>
          <w:highlight w:val="none"/>
          <w:lang w:val="zh-CN"/>
        </w:rPr>
      </w:pPr>
    </w:p>
    <w:p w14:paraId="3F92836A">
      <w:pPr>
        <w:jc w:val="center"/>
        <w:rPr>
          <w:rFonts w:hint="eastAsia" w:ascii="宋体" w:hAnsi="宋体" w:cs="宋体"/>
          <w:color w:val="auto"/>
          <w:kern w:val="0"/>
          <w:szCs w:val="21"/>
          <w:highlight w:val="none"/>
          <w:lang w:val="zh-CN"/>
        </w:rPr>
      </w:pPr>
    </w:p>
    <w:p w14:paraId="037DEC7A">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7799CCCA">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EB7ECDF">
      <w:pPr>
        <w:snapToGrid w:val="0"/>
        <w:spacing w:before="50" w:after="156" w:afterLines="50"/>
        <w:rPr>
          <w:rFonts w:hint="eastAsia" w:ascii="宋体" w:hAnsi="宋体" w:cs="宋体"/>
          <w:b/>
          <w:bCs/>
          <w:color w:val="auto"/>
          <w:highlight w:val="none"/>
        </w:rPr>
      </w:pPr>
    </w:p>
    <w:p w14:paraId="1A7FDE46">
      <w:pPr>
        <w:jc w:val="center"/>
        <w:rPr>
          <w:rFonts w:hint="eastAsia" w:ascii="宋体" w:hAnsi="宋体" w:cs="宋体"/>
          <w:color w:val="auto"/>
          <w:kern w:val="0"/>
          <w:szCs w:val="21"/>
          <w:highlight w:val="none"/>
          <w:lang w:val="zh-CN"/>
        </w:rPr>
      </w:pPr>
    </w:p>
    <w:p w14:paraId="07AAFD09">
      <w:pPr>
        <w:jc w:val="center"/>
        <w:rPr>
          <w:rFonts w:hint="eastAsia" w:ascii="宋体" w:hAnsi="宋体" w:cs="宋体"/>
          <w:color w:val="auto"/>
          <w:kern w:val="0"/>
          <w:szCs w:val="21"/>
          <w:highlight w:val="none"/>
          <w:lang w:val="zh-CN"/>
        </w:rPr>
      </w:pPr>
    </w:p>
    <w:p w14:paraId="50920372">
      <w:pPr>
        <w:jc w:val="center"/>
        <w:rPr>
          <w:rFonts w:hint="eastAsia" w:ascii="宋体" w:hAnsi="宋体" w:cs="宋体"/>
          <w:color w:val="auto"/>
          <w:kern w:val="0"/>
          <w:szCs w:val="21"/>
          <w:highlight w:val="none"/>
          <w:lang w:val="zh-CN"/>
        </w:rPr>
      </w:pPr>
    </w:p>
    <w:p w14:paraId="5C54E6F3">
      <w:pPr>
        <w:jc w:val="center"/>
        <w:rPr>
          <w:rFonts w:hint="eastAsia" w:ascii="宋体" w:hAnsi="宋体" w:cs="宋体"/>
          <w:color w:val="auto"/>
          <w:kern w:val="0"/>
          <w:szCs w:val="21"/>
          <w:highlight w:val="none"/>
          <w:lang w:val="zh-CN"/>
        </w:rPr>
      </w:pPr>
    </w:p>
    <w:p w14:paraId="61FCF844">
      <w:pPr>
        <w:jc w:val="left"/>
        <w:rPr>
          <w:rFonts w:hint="eastAsia" w:ascii="宋体" w:hAnsi="宋体" w:cs="宋体"/>
          <w:color w:val="auto"/>
          <w:kern w:val="0"/>
          <w:sz w:val="24"/>
          <w:highlight w:val="none"/>
          <w:lang w:val="zh-CN"/>
        </w:rPr>
      </w:pPr>
      <w:r>
        <w:rPr>
          <w:rFonts w:hint="eastAsia" w:ascii="宋体" w:hAnsi="宋体" w:cs="宋体"/>
          <w:b/>
          <w:color w:val="auto"/>
          <w:sz w:val="24"/>
          <w:highlight w:val="none"/>
        </w:rPr>
        <w:t>3.2.技术文件</w:t>
      </w:r>
    </w:p>
    <w:p w14:paraId="073D1EBD">
      <w:pPr>
        <w:snapToGrid w:val="0"/>
        <w:spacing w:before="50"/>
        <w:jc w:val="left"/>
        <w:rPr>
          <w:rFonts w:hint="eastAsia" w:ascii="宋体" w:hAnsi="宋体" w:cs="宋体"/>
          <w:b/>
          <w:color w:val="auto"/>
          <w:sz w:val="24"/>
          <w:highlight w:val="none"/>
        </w:rPr>
      </w:pPr>
    </w:p>
    <w:p w14:paraId="4A3DA15D">
      <w:pPr>
        <w:snapToGrid w:val="0"/>
        <w:spacing w:before="50"/>
        <w:jc w:val="left"/>
        <w:rPr>
          <w:rFonts w:hint="eastAsia" w:ascii="宋体" w:hAnsi="宋体" w:cs="宋体"/>
          <w:b/>
          <w:color w:val="auto"/>
          <w:sz w:val="24"/>
          <w:highlight w:val="none"/>
        </w:rPr>
      </w:pPr>
      <w:r>
        <w:rPr>
          <w:rFonts w:hint="eastAsia" w:ascii="宋体" w:hAnsi="宋体" w:cs="宋体"/>
          <w:b/>
          <w:color w:val="auto"/>
          <w:sz w:val="24"/>
          <w:highlight w:val="none"/>
        </w:rPr>
        <w:t>（1）技术响应表格式：</w:t>
      </w:r>
    </w:p>
    <w:p w14:paraId="3E9FC61F">
      <w:pPr>
        <w:spacing w:line="360" w:lineRule="exact"/>
        <w:rPr>
          <w:rFonts w:hint="eastAsia" w:ascii="宋体" w:hAnsi="宋体" w:cs="宋体"/>
          <w:color w:val="auto"/>
          <w:highlight w:val="none"/>
        </w:rPr>
      </w:pPr>
    </w:p>
    <w:p w14:paraId="3964B895">
      <w:pPr>
        <w:spacing w:line="360" w:lineRule="exact"/>
        <w:jc w:val="center"/>
        <w:rPr>
          <w:rFonts w:hint="eastAsia" w:ascii="宋体" w:hAnsi="宋体" w:cs="宋体"/>
          <w:color w:val="auto"/>
          <w:sz w:val="24"/>
          <w:szCs w:val="20"/>
          <w:highlight w:val="none"/>
          <w:u w:val="single"/>
        </w:rPr>
      </w:pPr>
      <w:r>
        <w:rPr>
          <w:rFonts w:hint="eastAsia" w:ascii="宋体" w:hAnsi="宋体" w:cs="宋体"/>
          <w:b/>
          <w:color w:val="auto"/>
          <w:sz w:val="32"/>
          <w:szCs w:val="32"/>
          <w:highlight w:val="none"/>
        </w:rPr>
        <w:t>技术响应表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2E08F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noWrap w:val="0"/>
            <w:vAlign w:val="center"/>
          </w:tcPr>
          <w:p w14:paraId="46790376">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52" w:type="dxa"/>
            <w:tcBorders>
              <w:top w:val="single" w:color="auto" w:sz="12" w:space="0"/>
            </w:tcBorders>
            <w:noWrap w:val="0"/>
            <w:vAlign w:val="center"/>
          </w:tcPr>
          <w:p w14:paraId="5BFF26BF">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2158" w:type="dxa"/>
            <w:tcBorders>
              <w:top w:val="single" w:color="auto" w:sz="12" w:space="0"/>
            </w:tcBorders>
            <w:noWrap w:val="0"/>
            <w:vAlign w:val="center"/>
          </w:tcPr>
          <w:p w14:paraId="15CB0507">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招标文件要求</w:t>
            </w:r>
          </w:p>
        </w:tc>
        <w:tc>
          <w:tcPr>
            <w:tcW w:w="2329" w:type="dxa"/>
            <w:tcBorders>
              <w:top w:val="single" w:color="auto" w:sz="12" w:space="0"/>
            </w:tcBorders>
            <w:noWrap w:val="0"/>
            <w:vAlign w:val="center"/>
          </w:tcPr>
          <w:p w14:paraId="1A9F3F65">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投标文件承诺</w:t>
            </w:r>
          </w:p>
        </w:tc>
        <w:tc>
          <w:tcPr>
            <w:tcW w:w="1214" w:type="dxa"/>
            <w:tcBorders>
              <w:top w:val="single" w:color="auto" w:sz="12" w:space="0"/>
            </w:tcBorders>
            <w:noWrap w:val="0"/>
            <w:vAlign w:val="center"/>
          </w:tcPr>
          <w:p w14:paraId="10E63C12">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偏离情况</w:t>
            </w:r>
          </w:p>
        </w:tc>
        <w:tc>
          <w:tcPr>
            <w:tcW w:w="1348" w:type="dxa"/>
            <w:tcBorders>
              <w:top w:val="single" w:color="auto" w:sz="12" w:space="0"/>
            </w:tcBorders>
            <w:noWrap w:val="0"/>
            <w:vAlign w:val="center"/>
          </w:tcPr>
          <w:p w14:paraId="26AEABCB">
            <w:pPr>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F111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C1C8213">
            <w:pPr>
              <w:pStyle w:val="12"/>
              <w:jc w:val="center"/>
              <w:rPr>
                <w:rFonts w:hint="eastAsia" w:ascii="宋体" w:hAnsi="宋体" w:eastAsia="宋体" w:cs="宋体"/>
                <w:color w:val="auto"/>
                <w:highlight w:val="none"/>
              </w:rPr>
            </w:pPr>
          </w:p>
        </w:tc>
        <w:tc>
          <w:tcPr>
            <w:tcW w:w="1752" w:type="dxa"/>
            <w:noWrap w:val="0"/>
            <w:vAlign w:val="center"/>
          </w:tcPr>
          <w:p w14:paraId="5E63B1A8">
            <w:pPr>
              <w:spacing w:line="320" w:lineRule="exact"/>
              <w:jc w:val="center"/>
              <w:rPr>
                <w:rFonts w:hint="eastAsia" w:ascii="宋体" w:hAnsi="宋体" w:cs="宋体"/>
                <w:color w:val="auto"/>
                <w:sz w:val="24"/>
                <w:highlight w:val="none"/>
              </w:rPr>
            </w:pPr>
          </w:p>
        </w:tc>
        <w:tc>
          <w:tcPr>
            <w:tcW w:w="2158" w:type="dxa"/>
            <w:noWrap w:val="0"/>
            <w:vAlign w:val="center"/>
          </w:tcPr>
          <w:p w14:paraId="41FC5D88">
            <w:pPr>
              <w:spacing w:line="320" w:lineRule="exact"/>
              <w:jc w:val="center"/>
              <w:rPr>
                <w:rFonts w:hint="eastAsia" w:ascii="宋体" w:hAnsi="宋体" w:cs="宋体"/>
                <w:color w:val="auto"/>
                <w:sz w:val="24"/>
                <w:highlight w:val="none"/>
              </w:rPr>
            </w:pPr>
          </w:p>
        </w:tc>
        <w:tc>
          <w:tcPr>
            <w:tcW w:w="2329" w:type="dxa"/>
            <w:noWrap w:val="0"/>
            <w:vAlign w:val="center"/>
          </w:tcPr>
          <w:p w14:paraId="334C695A">
            <w:pPr>
              <w:spacing w:line="320" w:lineRule="exact"/>
              <w:jc w:val="center"/>
              <w:rPr>
                <w:rFonts w:hint="eastAsia" w:ascii="宋体" w:hAnsi="宋体" w:cs="宋体"/>
                <w:color w:val="auto"/>
                <w:sz w:val="24"/>
                <w:highlight w:val="none"/>
              </w:rPr>
            </w:pPr>
          </w:p>
        </w:tc>
        <w:tc>
          <w:tcPr>
            <w:tcW w:w="1214" w:type="dxa"/>
            <w:noWrap w:val="0"/>
            <w:vAlign w:val="center"/>
          </w:tcPr>
          <w:p w14:paraId="7A64F170">
            <w:pPr>
              <w:spacing w:line="320" w:lineRule="exact"/>
              <w:jc w:val="center"/>
              <w:rPr>
                <w:rFonts w:hint="eastAsia" w:ascii="宋体" w:hAnsi="宋体" w:cs="宋体"/>
                <w:color w:val="auto"/>
                <w:sz w:val="24"/>
                <w:highlight w:val="none"/>
              </w:rPr>
            </w:pPr>
          </w:p>
        </w:tc>
        <w:tc>
          <w:tcPr>
            <w:tcW w:w="1348" w:type="dxa"/>
            <w:noWrap w:val="0"/>
            <w:vAlign w:val="center"/>
          </w:tcPr>
          <w:p w14:paraId="0FCE1C95">
            <w:pPr>
              <w:spacing w:line="320" w:lineRule="exact"/>
              <w:jc w:val="center"/>
              <w:rPr>
                <w:rFonts w:hint="eastAsia" w:ascii="宋体" w:hAnsi="宋体" w:cs="宋体"/>
                <w:color w:val="auto"/>
                <w:sz w:val="24"/>
                <w:highlight w:val="none"/>
              </w:rPr>
            </w:pPr>
          </w:p>
        </w:tc>
      </w:tr>
      <w:tr w14:paraId="440D0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7B2B7F1">
            <w:pPr>
              <w:jc w:val="center"/>
              <w:rPr>
                <w:rFonts w:hint="eastAsia" w:ascii="宋体" w:hAnsi="宋体" w:cs="宋体"/>
                <w:color w:val="auto"/>
                <w:sz w:val="24"/>
                <w:highlight w:val="none"/>
              </w:rPr>
            </w:pPr>
          </w:p>
        </w:tc>
        <w:tc>
          <w:tcPr>
            <w:tcW w:w="1752" w:type="dxa"/>
            <w:noWrap w:val="0"/>
            <w:vAlign w:val="center"/>
          </w:tcPr>
          <w:p w14:paraId="273F7823">
            <w:pPr>
              <w:spacing w:line="320" w:lineRule="exact"/>
              <w:jc w:val="center"/>
              <w:rPr>
                <w:rFonts w:hint="eastAsia" w:ascii="宋体" w:hAnsi="宋体" w:cs="宋体"/>
                <w:color w:val="auto"/>
                <w:sz w:val="24"/>
                <w:highlight w:val="none"/>
              </w:rPr>
            </w:pPr>
          </w:p>
        </w:tc>
        <w:tc>
          <w:tcPr>
            <w:tcW w:w="2158" w:type="dxa"/>
            <w:noWrap w:val="0"/>
            <w:vAlign w:val="center"/>
          </w:tcPr>
          <w:p w14:paraId="084A8282">
            <w:pPr>
              <w:spacing w:line="320" w:lineRule="exact"/>
              <w:jc w:val="center"/>
              <w:rPr>
                <w:rFonts w:hint="eastAsia" w:ascii="宋体" w:hAnsi="宋体" w:cs="宋体"/>
                <w:color w:val="auto"/>
                <w:sz w:val="24"/>
                <w:highlight w:val="none"/>
              </w:rPr>
            </w:pPr>
          </w:p>
        </w:tc>
        <w:tc>
          <w:tcPr>
            <w:tcW w:w="2329" w:type="dxa"/>
            <w:noWrap w:val="0"/>
            <w:vAlign w:val="center"/>
          </w:tcPr>
          <w:p w14:paraId="59DA559D">
            <w:pPr>
              <w:spacing w:line="320" w:lineRule="exact"/>
              <w:jc w:val="center"/>
              <w:rPr>
                <w:rFonts w:hint="eastAsia" w:ascii="宋体" w:hAnsi="宋体" w:cs="宋体"/>
                <w:color w:val="auto"/>
                <w:sz w:val="24"/>
                <w:highlight w:val="none"/>
              </w:rPr>
            </w:pPr>
          </w:p>
        </w:tc>
        <w:tc>
          <w:tcPr>
            <w:tcW w:w="1214" w:type="dxa"/>
            <w:noWrap w:val="0"/>
            <w:vAlign w:val="center"/>
          </w:tcPr>
          <w:p w14:paraId="585BB8D6">
            <w:pPr>
              <w:spacing w:line="320" w:lineRule="exact"/>
              <w:jc w:val="center"/>
              <w:rPr>
                <w:rFonts w:hint="eastAsia" w:ascii="宋体" w:hAnsi="宋体" w:cs="宋体"/>
                <w:color w:val="auto"/>
                <w:sz w:val="24"/>
                <w:highlight w:val="none"/>
              </w:rPr>
            </w:pPr>
          </w:p>
        </w:tc>
        <w:tc>
          <w:tcPr>
            <w:tcW w:w="1348" w:type="dxa"/>
            <w:noWrap w:val="0"/>
            <w:vAlign w:val="center"/>
          </w:tcPr>
          <w:p w14:paraId="5961D0B0">
            <w:pPr>
              <w:spacing w:line="320" w:lineRule="exact"/>
              <w:jc w:val="center"/>
              <w:rPr>
                <w:rFonts w:hint="eastAsia" w:ascii="宋体" w:hAnsi="宋体" w:cs="宋体"/>
                <w:color w:val="auto"/>
                <w:sz w:val="24"/>
                <w:highlight w:val="none"/>
              </w:rPr>
            </w:pPr>
          </w:p>
        </w:tc>
      </w:tr>
      <w:tr w14:paraId="2E59C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D0F1D75">
            <w:pPr>
              <w:jc w:val="center"/>
              <w:rPr>
                <w:rFonts w:hint="eastAsia" w:ascii="宋体" w:hAnsi="宋体" w:cs="宋体"/>
                <w:color w:val="auto"/>
                <w:sz w:val="24"/>
                <w:highlight w:val="none"/>
              </w:rPr>
            </w:pPr>
          </w:p>
        </w:tc>
        <w:tc>
          <w:tcPr>
            <w:tcW w:w="1752" w:type="dxa"/>
            <w:noWrap w:val="0"/>
            <w:vAlign w:val="center"/>
          </w:tcPr>
          <w:p w14:paraId="78939249">
            <w:pPr>
              <w:spacing w:line="320" w:lineRule="exact"/>
              <w:jc w:val="center"/>
              <w:rPr>
                <w:rFonts w:hint="eastAsia" w:ascii="宋体" w:hAnsi="宋体" w:cs="宋体"/>
                <w:color w:val="auto"/>
                <w:sz w:val="24"/>
                <w:highlight w:val="none"/>
              </w:rPr>
            </w:pPr>
          </w:p>
        </w:tc>
        <w:tc>
          <w:tcPr>
            <w:tcW w:w="2158" w:type="dxa"/>
            <w:noWrap w:val="0"/>
            <w:vAlign w:val="center"/>
          </w:tcPr>
          <w:p w14:paraId="34E3EDB0">
            <w:pPr>
              <w:spacing w:line="320" w:lineRule="exact"/>
              <w:jc w:val="center"/>
              <w:rPr>
                <w:rFonts w:hint="eastAsia" w:ascii="宋体" w:hAnsi="宋体" w:cs="宋体"/>
                <w:color w:val="auto"/>
                <w:sz w:val="24"/>
                <w:highlight w:val="none"/>
              </w:rPr>
            </w:pPr>
          </w:p>
        </w:tc>
        <w:tc>
          <w:tcPr>
            <w:tcW w:w="2329" w:type="dxa"/>
            <w:noWrap w:val="0"/>
            <w:vAlign w:val="center"/>
          </w:tcPr>
          <w:p w14:paraId="370D481D">
            <w:pPr>
              <w:spacing w:line="320" w:lineRule="exact"/>
              <w:jc w:val="center"/>
              <w:rPr>
                <w:rFonts w:hint="eastAsia" w:ascii="宋体" w:hAnsi="宋体" w:cs="宋体"/>
                <w:color w:val="auto"/>
                <w:sz w:val="24"/>
                <w:highlight w:val="none"/>
              </w:rPr>
            </w:pPr>
          </w:p>
        </w:tc>
        <w:tc>
          <w:tcPr>
            <w:tcW w:w="1214" w:type="dxa"/>
            <w:noWrap w:val="0"/>
            <w:vAlign w:val="center"/>
          </w:tcPr>
          <w:p w14:paraId="3A6F80A1">
            <w:pPr>
              <w:spacing w:line="320" w:lineRule="exact"/>
              <w:jc w:val="center"/>
              <w:rPr>
                <w:rFonts w:hint="eastAsia" w:ascii="宋体" w:hAnsi="宋体" w:cs="宋体"/>
                <w:color w:val="auto"/>
                <w:sz w:val="24"/>
                <w:highlight w:val="none"/>
              </w:rPr>
            </w:pPr>
          </w:p>
        </w:tc>
        <w:tc>
          <w:tcPr>
            <w:tcW w:w="1348" w:type="dxa"/>
            <w:noWrap w:val="0"/>
            <w:vAlign w:val="center"/>
          </w:tcPr>
          <w:p w14:paraId="52FE7529">
            <w:pPr>
              <w:spacing w:line="320" w:lineRule="exact"/>
              <w:jc w:val="center"/>
              <w:rPr>
                <w:rFonts w:hint="eastAsia" w:ascii="宋体" w:hAnsi="宋体" w:cs="宋体"/>
                <w:color w:val="auto"/>
                <w:sz w:val="24"/>
                <w:highlight w:val="none"/>
              </w:rPr>
            </w:pPr>
          </w:p>
        </w:tc>
      </w:tr>
      <w:tr w14:paraId="39145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33B731E">
            <w:pPr>
              <w:jc w:val="center"/>
              <w:rPr>
                <w:rFonts w:hint="eastAsia" w:ascii="宋体" w:hAnsi="宋体" w:cs="宋体"/>
                <w:color w:val="auto"/>
                <w:sz w:val="24"/>
                <w:highlight w:val="none"/>
              </w:rPr>
            </w:pPr>
          </w:p>
        </w:tc>
        <w:tc>
          <w:tcPr>
            <w:tcW w:w="1752" w:type="dxa"/>
            <w:noWrap w:val="0"/>
            <w:vAlign w:val="center"/>
          </w:tcPr>
          <w:p w14:paraId="2847442F">
            <w:pPr>
              <w:spacing w:line="320" w:lineRule="exact"/>
              <w:jc w:val="center"/>
              <w:rPr>
                <w:rFonts w:hint="eastAsia" w:ascii="宋体" w:hAnsi="宋体" w:cs="宋体"/>
                <w:color w:val="auto"/>
                <w:sz w:val="24"/>
                <w:highlight w:val="none"/>
              </w:rPr>
            </w:pPr>
          </w:p>
        </w:tc>
        <w:tc>
          <w:tcPr>
            <w:tcW w:w="2158" w:type="dxa"/>
            <w:noWrap w:val="0"/>
            <w:vAlign w:val="center"/>
          </w:tcPr>
          <w:p w14:paraId="0C07CC71">
            <w:pPr>
              <w:spacing w:line="320" w:lineRule="exact"/>
              <w:jc w:val="center"/>
              <w:rPr>
                <w:rFonts w:hint="eastAsia" w:ascii="宋体" w:hAnsi="宋体" w:cs="宋体"/>
                <w:color w:val="auto"/>
                <w:sz w:val="24"/>
                <w:highlight w:val="none"/>
              </w:rPr>
            </w:pPr>
          </w:p>
        </w:tc>
        <w:tc>
          <w:tcPr>
            <w:tcW w:w="2329" w:type="dxa"/>
            <w:noWrap w:val="0"/>
            <w:vAlign w:val="center"/>
          </w:tcPr>
          <w:p w14:paraId="3EFFEC03">
            <w:pPr>
              <w:spacing w:line="320" w:lineRule="exact"/>
              <w:jc w:val="center"/>
              <w:rPr>
                <w:rFonts w:hint="eastAsia" w:ascii="宋体" w:hAnsi="宋体" w:cs="宋体"/>
                <w:color w:val="auto"/>
                <w:sz w:val="24"/>
                <w:highlight w:val="none"/>
              </w:rPr>
            </w:pPr>
          </w:p>
        </w:tc>
        <w:tc>
          <w:tcPr>
            <w:tcW w:w="1214" w:type="dxa"/>
            <w:noWrap w:val="0"/>
            <w:vAlign w:val="center"/>
          </w:tcPr>
          <w:p w14:paraId="0C543B10">
            <w:pPr>
              <w:spacing w:line="320" w:lineRule="exact"/>
              <w:jc w:val="center"/>
              <w:rPr>
                <w:rFonts w:hint="eastAsia" w:ascii="宋体" w:hAnsi="宋体" w:cs="宋体"/>
                <w:color w:val="auto"/>
                <w:sz w:val="24"/>
                <w:highlight w:val="none"/>
              </w:rPr>
            </w:pPr>
          </w:p>
        </w:tc>
        <w:tc>
          <w:tcPr>
            <w:tcW w:w="1348" w:type="dxa"/>
            <w:noWrap w:val="0"/>
            <w:vAlign w:val="center"/>
          </w:tcPr>
          <w:p w14:paraId="60D299BD">
            <w:pPr>
              <w:spacing w:line="320" w:lineRule="exact"/>
              <w:jc w:val="center"/>
              <w:rPr>
                <w:rFonts w:hint="eastAsia" w:ascii="宋体" w:hAnsi="宋体" w:cs="宋体"/>
                <w:color w:val="auto"/>
                <w:sz w:val="24"/>
                <w:highlight w:val="none"/>
              </w:rPr>
            </w:pPr>
          </w:p>
        </w:tc>
      </w:tr>
      <w:tr w14:paraId="4827D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BC01AFE">
            <w:pPr>
              <w:pStyle w:val="12"/>
              <w:jc w:val="center"/>
              <w:rPr>
                <w:rFonts w:hint="eastAsia" w:ascii="宋体" w:hAnsi="宋体" w:eastAsia="宋体" w:cs="宋体"/>
                <w:color w:val="auto"/>
                <w:highlight w:val="none"/>
              </w:rPr>
            </w:pPr>
          </w:p>
        </w:tc>
        <w:tc>
          <w:tcPr>
            <w:tcW w:w="1752" w:type="dxa"/>
            <w:noWrap w:val="0"/>
            <w:vAlign w:val="center"/>
          </w:tcPr>
          <w:p w14:paraId="7E49CA13">
            <w:pPr>
              <w:spacing w:line="320" w:lineRule="exact"/>
              <w:jc w:val="center"/>
              <w:rPr>
                <w:rFonts w:hint="eastAsia" w:ascii="宋体" w:hAnsi="宋体" w:cs="宋体"/>
                <w:b/>
                <w:color w:val="auto"/>
                <w:kern w:val="0"/>
                <w:sz w:val="24"/>
                <w:highlight w:val="none"/>
              </w:rPr>
            </w:pPr>
          </w:p>
        </w:tc>
        <w:tc>
          <w:tcPr>
            <w:tcW w:w="2158" w:type="dxa"/>
            <w:noWrap w:val="0"/>
            <w:vAlign w:val="center"/>
          </w:tcPr>
          <w:p w14:paraId="0484B467">
            <w:pPr>
              <w:spacing w:line="320" w:lineRule="exact"/>
              <w:jc w:val="center"/>
              <w:rPr>
                <w:rFonts w:hint="eastAsia" w:ascii="宋体" w:hAnsi="宋体" w:cs="宋体"/>
                <w:color w:val="auto"/>
                <w:sz w:val="24"/>
                <w:highlight w:val="none"/>
              </w:rPr>
            </w:pPr>
          </w:p>
        </w:tc>
        <w:tc>
          <w:tcPr>
            <w:tcW w:w="2329" w:type="dxa"/>
            <w:noWrap w:val="0"/>
            <w:vAlign w:val="center"/>
          </w:tcPr>
          <w:p w14:paraId="5D4939A6">
            <w:pPr>
              <w:spacing w:line="320" w:lineRule="exact"/>
              <w:jc w:val="center"/>
              <w:rPr>
                <w:rFonts w:hint="eastAsia" w:ascii="宋体" w:hAnsi="宋体" w:cs="宋体"/>
                <w:color w:val="auto"/>
                <w:sz w:val="24"/>
                <w:highlight w:val="none"/>
              </w:rPr>
            </w:pPr>
          </w:p>
        </w:tc>
        <w:tc>
          <w:tcPr>
            <w:tcW w:w="1214" w:type="dxa"/>
            <w:noWrap w:val="0"/>
            <w:vAlign w:val="center"/>
          </w:tcPr>
          <w:p w14:paraId="5CF402FA">
            <w:pPr>
              <w:spacing w:line="320" w:lineRule="exact"/>
              <w:jc w:val="center"/>
              <w:rPr>
                <w:rFonts w:hint="eastAsia" w:ascii="宋体" w:hAnsi="宋体" w:cs="宋体"/>
                <w:color w:val="auto"/>
                <w:sz w:val="24"/>
                <w:highlight w:val="none"/>
              </w:rPr>
            </w:pPr>
          </w:p>
        </w:tc>
        <w:tc>
          <w:tcPr>
            <w:tcW w:w="1348" w:type="dxa"/>
            <w:noWrap w:val="0"/>
            <w:vAlign w:val="center"/>
          </w:tcPr>
          <w:p w14:paraId="3EA2958A">
            <w:pPr>
              <w:spacing w:line="320" w:lineRule="exact"/>
              <w:jc w:val="center"/>
              <w:rPr>
                <w:rFonts w:hint="eastAsia" w:ascii="宋体" w:hAnsi="宋体" w:cs="宋体"/>
                <w:color w:val="auto"/>
                <w:sz w:val="24"/>
                <w:highlight w:val="none"/>
              </w:rPr>
            </w:pPr>
          </w:p>
        </w:tc>
      </w:tr>
      <w:tr w14:paraId="1CA87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447E2D9">
            <w:pPr>
              <w:pStyle w:val="12"/>
              <w:jc w:val="center"/>
              <w:rPr>
                <w:rFonts w:hint="eastAsia" w:ascii="宋体" w:hAnsi="宋体" w:eastAsia="宋体" w:cs="宋体"/>
                <w:color w:val="auto"/>
                <w:highlight w:val="none"/>
              </w:rPr>
            </w:pPr>
          </w:p>
        </w:tc>
        <w:tc>
          <w:tcPr>
            <w:tcW w:w="1752" w:type="dxa"/>
            <w:noWrap w:val="0"/>
            <w:vAlign w:val="center"/>
          </w:tcPr>
          <w:p w14:paraId="083931BA">
            <w:pPr>
              <w:spacing w:line="320" w:lineRule="exact"/>
              <w:jc w:val="center"/>
              <w:rPr>
                <w:rFonts w:hint="eastAsia" w:ascii="宋体" w:hAnsi="宋体" w:cs="宋体"/>
                <w:color w:val="auto"/>
                <w:sz w:val="24"/>
                <w:highlight w:val="none"/>
              </w:rPr>
            </w:pPr>
          </w:p>
        </w:tc>
        <w:tc>
          <w:tcPr>
            <w:tcW w:w="2158" w:type="dxa"/>
            <w:noWrap w:val="0"/>
            <w:vAlign w:val="center"/>
          </w:tcPr>
          <w:p w14:paraId="61E08C38">
            <w:pPr>
              <w:spacing w:line="320" w:lineRule="exact"/>
              <w:jc w:val="center"/>
              <w:rPr>
                <w:rFonts w:hint="eastAsia" w:ascii="宋体" w:hAnsi="宋体" w:cs="宋体"/>
                <w:color w:val="auto"/>
                <w:sz w:val="24"/>
                <w:highlight w:val="none"/>
              </w:rPr>
            </w:pPr>
          </w:p>
        </w:tc>
        <w:tc>
          <w:tcPr>
            <w:tcW w:w="2329" w:type="dxa"/>
            <w:noWrap w:val="0"/>
            <w:vAlign w:val="center"/>
          </w:tcPr>
          <w:p w14:paraId="50A47A6C">
            <w:pPr>
              <w:spacing w:line="320" w:lineRule="exact"/>
              <w:jc w:val="center"/>
              <w:rPr>
                <w:rFonts w:hint="eastAsia" w:ascii="宋体" w:hAnsi="宋体" w:cs="宋体"/>
                <w:color w:val="auto"/>
                <w:sz w:val="24"/>
                <w:highlight w:val="none"/>
              </w:rPr>
            </w:pPr>
          </w:p>
        </w:tc>
        <w:tc>
          <w:tcPr>
            <w:tcW w:w="1214" w:type="dxa"/>
            <w:noWrap w:val="0"/>
            <w:vAlign w:val="center"/>
          </w:tcPr>
          <w:p w14:paraId="2DA1C10B">
            <w:pPr>
              <w:spacing w:line="320" w:lineRule="exact"/>
              <w:jc w:val="center"/>
              <w:rPr>
                <w:rFonts w:hint="eastAsia" w:ascii="宋体" w:hAnsi="宋体" w:cs="宋体"/>
                <w:color w:val="auto"/>
                <w:sz w:val="24"/>
                <w:highlight w:val="none"/>
              </w:rPr>
            </w:pPr>
          </w:p>
        </w:tc>
        <w:tc>
          <w:tcPr>
            <w:tcW w:w="1348" w:type="dxa"/>
            <w:noWrap w:val="0"/>
            <w:vAlign w:val="center"/>
          </w:tcPr>
          <w:p w14:paraId="0B132A53">
            <w:pPr>
              <w:spacing w:line="320" w:lineRule="exact"/>
              <w:jc w:val="center"/>
              <w:rPr>
                <w:rFonts w:hint="eastAsia" w:ascii="宋体" w:hAnsi="宋体" w:cs="宋体"/>
                <w:color w:val="auto"/>
                <w:sz w:val="24"/>
                <w:highlight w:val="none"/>
              </w:rPr>
            </w:pPr>
          </w:p>
        </w:tc>
      </w:tr>
      <w:tr w14:paraId="7C0D9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124EFF14">
            <w:pPr>
              <w:jc w:val="center"/>
              <w:rPr>
                <w:rFonts w:hint="eastAsia" w:ascii="宋体" w:hAnsi="宋体" w:cs="宋体"/>
                <w:color w:val="auto"/>
                <w:sz w:val="24"/>
                <w:highlight w:val="none"/>
              </w:rPr>
            </w:pPr>
          </w:p>
        </w:tc>
        <w:tc>
          <w:tcPr>
            <w:tcW w:w="1752" w:type="dxa"/>
            <w:noWrap w:val="0"/>
            <w:vAlign w:val="center"/>
          </w:tcPr>
          <w:p w14:paraId="741E339B">
            <w:pPr>
              <w:spacing w:line="320" w:lineRule="exact"/>
              <w:jc w:val="center"/>
              <w:rPr>
                <w:rFonts w:hint="eastAsia" w:ascii="宋体" w:hAnsi="宋体" w:cs="宋体"/>
                <w:b/>
                <w:color w:val="auto"/>
                <w:kern w:val="0"/>
                <w:sz w:val="24"/>
                <w:highlight w:val="none"/>
              </w:rPr>
            </w:pPr>
          </w:p>
        </w:tc>
        <w:tc>
          <w:tcPr>
            <w:tcW w:w="2158" w:type="dxa"/>
            <w:noWrap w:val="0"/>
            <w:vAlign w:val="center"/>
          </w:tcPr>
          <w:p w14:paraId="1091DB54">
            <w:pPr>
              <w:spacing w:line="320" w:lineRule="exact"/>
              <w:jc w:val="center"/>
              <w:rPr>
                <w:rFonts w:hint="eastAsia" w:ascii="宋体" w:hAnsi="宋体" w:cs="宋体"/>
                <w:color w:val="auto"/>
                <w:sz w:val="24"/>
                <w:highlight w:val="none"/>
              </w:rPr>
            </w:pPr>
          </w:p>
        </w:tc>
        <w:tc>
          <w:tcPr>
            <w:tcW w:w="2329" w:type="dxa"/>
            <w:noWrap w:val="0"/>
            <w:vAlign w:val="center"/>
          </w:tcPr>
          <w:p w14:paraId="4810CF12">
            <w:pPr>
              <w:spacing w:line="320" w:lineRule="exact"/>
              <w:jc w:val="center"/>
              <w:rPr>
                <w:rFonts w:hint="eastAsia" w:ascii="宋体" w:hAnsi="宋体" w:cs="宋体"/>
                <w:color w:val="auto"/>
                <w:sz w:val="24"/>
                <w:highlight w:val="none"/>
              </w:rPr>
            </w:pPr>
          </w:p>
        </w:tc>
        <w:tc>
          <w:tcPr>
            <w:tcW w:w="1214" w:type="dxa"/>
            <w:noWrap w:val="0"/>
            <w:vAlign w:val="center"/>
          </w:tcPr>
          <w:p w14:paraId="0E4C6C7B">
            <w:pPr>
              <w:spacing w:line="320" w:lineRule="exact"/>
              <w:jc w:val="center"/>
              <w:rPr>
                <w:rFonts w:hint="eastAsia" w:ascii="宋体" w:hAnsi="宋体" w:cs="宋体"/>
                <w:color w:val="auto"/>
                <w:sz w:val="24"/>
                <w:highlight w:val="none"/>
              </w:rPr>
            </w:pPr>
          </w:p>
        </w:tc>
        <w:tc>
          <w:tcPr>
            <w:tcW w:w="1348" w:type="dxa"/>
            <w:noWrap w:val="0"/>
            <w:vAlign w:val="center"/>
          </w:tcPr>
          <w:p w14:paraId="4BC38FE3">
            <w:pPr>
              <w:spacing w:line="320" w:lineRule="exact"/>
              <w:jc w:val="center"/>
              <w:rPr>
                <w:rFonts w:hint="eastAsia" w:ascii="宋体" w:hAnsi="宋体" w:cs="宋体"/>
                <w:color w:val="auto"/>
                <w:sz w:val="24"/>
                <w:highlight w:val="none"/>
              </w:rPr>
            </w:pPr>
          </w:p>
        </w:tc>
      </w:tr>
      <w:tr w14:paraId="73777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2F8D1D5">
            <w:pPr>
              <w:jc w:val="center"/>
              <w:rPr>
                <w:rFonts w:hint="eastAsia" w:ascii="宋体" w:hAnsi="宋体" w:cs="宋体"/>
                <w:color w:val="auto"/>
                <w:sz w:val="24"/>
                <w:highlight w:val="none"/>
              </w:rPr>
            </w:pPr>
          </w:p>
        </w:tc>
        <w:tc>
          <w:tcPr>
            <w:tcW w:w="1752" w:type="dxa"/>
            <w:noWrap w:val="0"/>
            <w:vAlign w:val="center"/>
          </w:tcPr>
          <w:p w14:paraId="23E6D054">
            <w:pPr>
              <w:spacing w:line="320" w:lineRule="exact"/>
              <w:jc w:val="center"/>
              <w:rPr>
                <w:rFonts w:hint="eastAsia" w:ascii="宋体" w:hAnsi="宋体" w:cs="宋体"/>
                <w:color w:val="auto"/>
                <w:sz w:val="24"/>
                <w:highlight w:val="none"/>
              </w:rPr>
            </w:pPr>
          </w:p>
        </w:tc>
        <w:tc>
          <w:tcPr>
            <w:tcW w:w="2158" w:type="dxa"/>
            <w:noWrap w:val="0"/>
            <w:vAlign w:val="center"/>
          </w:tcPr>
          <w:p w14:paraId="4171759D">
            <w:pPr>
              <w:spacing w:line="320" w:lineRule="exact"/>
              <w:jc w:val="center"/>
              <w:rPr>
                <w:rFonts w:hint="eastAsia" w:ascii="宋体" w:hAnsi="宋体" w:cs="宋体"/>
                <w:color w:val="auto"/>
                <w:sz w:val="24"/>
                <w:highlight w:val="none"/>
              </w:rPr>
            </w:pPr>
          </w:p>
        </w:tc>
        <w:tc>
          <w:tcPr>
            <w:tcW w:w="2329" w:type="dxa"/>
            <w:noWrap w:val="0"/>
            <w:vAlign w:val="center"/>
          </w:tcPr>
          <w:p w14:paraId="7CEC15E6">
            <w:pPr>
              <w:spacing w:line="320" w:lineRule="exact"/>
              <w:jc w:val="center"/>
              <w:rPr>
                <w:rFonts w:hint="eastAsia" w:ascii="宋体" w:hAnsi="宋体" w:cs="宋体"/>
                <w:color w:val="auto"/>
                <w:sz w:val="24"/>
                <w:highlight w:val="none"/>
              </w:rPr>
            </w:pPr>
          </w:p>
        </w:tc>
        <w:tc>
          <w:tcPr>
            <w:tcW w:w="1214" w:type="dxa"/>
            <w:noWrap w:val="0"/>
            <w:vAlign w:val="center"/>
          </w:tcPr>
          <w:p w14:paraId="676DCE4D">
            <w:pPr>
              <w:spacing w:line="320" w:lineRule="exact"/>
              <w:jc w:val="center"/>
              <w:rPr>
                <w:rFonts w:hint="eastAsia" w:ascii="宋体" w:hAnsi="宋体" w:cs="宋体"/>
                <w:color w:val="auto"/>
                <w:sz w:val="24"/>
                <w:highlight w:val="none"/>
              </w:rPr>
            </w:pPr>
          </w:p>
        </w:tc>
        <w:tc>
          <w:tcPr>
            <w:tcW w:w="1348" w:type="dxa"/>
            <w:noWrap w:val="0"/>
            <w:vAlign w:val="center"/>
          </w:tcPr>
          <w:p w14:paraId="0B19317A">
            <w:pPr>
              <w:spacing w:line="320" w:lineRule="exact"/>
              <w:jc w:val="center"/>
              <w:rPr>
                <w:rFonts w:hint="eastAsia" w:ascii="宋体" w:hAnsi="宋体" w:cs="宋体"/>
                <w:color w:val="auto"/>
                <w:sz w:val="24"/>
                <w:highlight w:val="none"/>
              </w:rPr>
            </w:pPr>
          </w:p>
        </w:tc>
      </w:tr>
      <w:tr w14:paraId="5A806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063EA69">
            <w:pPr>
              <w:jc w:val="center"/>
              <w:rPr>
                <w:rFonts w:hint="eastAsia" w:ascii="宋体" w:hAnsi="宋体" w:cs="宋体"/>
                <w:color w:val="auto"/>
                <w:sz w:val="24"/>
                <w:highlight w:val="none"/>
              </w:rPr>
            </w:pPr>
          </w:p>
        </w:tc>
        <w:tc>
          <w:tcPr>
            <w:tcW w:w="1752" w:type="dxa"/>
            <w:noWrap w:val="0"/>
            <w:vAlign w:val="center"/>
          </w:tcPr>
          <w:p w14:paraId="3AEFC8DF">
            <w:pPr>
              <w:spacing w:line="320" w:lineRule="exact"/>
              <w:jc w:val="center"/>
              <w:rPr>
                <w:rFonts w:hint="eastAsia" w:ascii="宋体" w:hAnsi="宋体" w:cs="宋体"/>
                <w:color w:val="auto"/>
                <w:sz w:val="24"/>
                <w:highlight w:val="none"/>
              </w:rPr>
            </w:pPr>
          </w:p>
        </w:tc>
        <w:tc>
          <w:tcPr>
            <w:tcW w:w="2158" w:type="dxa"/>
            <w:noWrap w:val="0"/>
            <w:vAlign w:val="center"/>
          </w:tcPr>
          <w:p w14:paraId="2021DD09">
            <w:pPr>
              <w:spacing w:line="320" w:lineRule="exact"/>
              <w:jc w:val="center"/>
              <w:rPr>
                <w:rFonts w:hint="eastAsia" w:ascii="宋体" w:hAnsi="宋体" w:cs="宋体"/>
                <w:color w:val="auto"/>
                <w:sz w:val="24"/>
                <w:highlight w:val="none"/>
              </w:rPr>
            </w:pPr>
          </w:p>
        </w:tc>
        <w:tc>
          <w:tcPr>
            <w:tcW w:w="2329" w:type="dxa"/>
            <w:noWrap w:val="0"/>
            <w:vAlign w:val="center"/>
          </w:tcPr>
          <w:p w14:paraId="0DBD3E6E">
            <w:pPr>
              <w:spacing w:line="320" w:lineRule="exact"/>
              <w:jc w:val="center"/>
              <w:rPr>
                <w:rFonts w:hint="eastAsia" w:ascii="宋体" w:hAnsi="宋体" w:cs="宋体"/>
                <w:color w:val="auto"/>
                <w:sz w:val="24"/>
                <w:highlight w:val="none"/>
              </w:rPr>
            </w:pPr>
          </w:p>
        </w:tc>
        <w:tc>
          <w:tcPr>
            <w:tcW w:w="1214" w:type="dxa"/>
            <w:noWrap w:val="0"/>
            <w:vAlign w:val="center"/>
          </w:tcPr>
          <w:p w14:paraId="1BF13E27">
            <w:pPr>
              <w:spacing w:line="320" w:lineRule="exact"/>
              <w:jc w:val="center"/>
              <w:rPr>
                <w:rFonts w:hint="eastAsia" w:ascii="宋体" w:hAnsi="宋体" w:cs="宋体"/>
                <w:color w:val="auto"/>
                <w:sz w:val="24"/>
                <w:highlight w:val="none"/>
              </w:rPr>
            </w:pPr>
          </w:p>
        </w:tc>
        <w:tc>
          <w:tcPr>
            <w:tcW w:w="1348" w:type="dxa"/>
            <w:noWrap w:val="0"/>
            <w:vAlign w:val="center"/>
          </w:tcPr>
          <w:p w14:paraId="219C0548">
            <w:pPr>
              <w:spacing w:line="320" w:lineRule="exact"/>
              <w:jc w:val="center"/>
              <w:rPr>
                <w:rFonts w:hint="eastAsia" w:ascii="宋体" w:hAnsi="宋体" w:cs="宋体"/>
                <w:color w:val="auto"/>
                <w:sz w:val="24"/>
                <w:highlight w:val="none"/>
              </w:rPr>
            </w:pPr>
          </w:p>
        </w:tc>
      </w:tr>
      <w:tr w14:paraId="622E5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FDF8492">
            <w:pPr>
              <w:spacing w:line="320" w:lineRule="exact"/>
              <w:jc w:val="center"/>
              <w:rPr>
                <w:rFonts w:hint="eastAsia" w:ascii="宋体" w:hAnsi="宋体" w:cs="宋体"/>
                <w:b/>
                <w:color w:val="auto"/>
                <w:sz w:val="24"/>
                <w:highlight w:val="none"/>
              </w:rPr>
            </w:pPr>
          </w:p>
        </w:tc>
        <w:tc>
          <w:tcPr>
            <w:tcW w:w="1752" w:type="dxa"/>
            <w:noWrap w:val="0"/>
            <w:vAlign w:val="center"/>
          </w:tcPr>
          <w:p w14:paraId="43B9EF3E">
            <w:pPr>
              <w:spacing w:line="320" w:lineRule="exact"/>
              <w:jc w:val="center"/>
              <w:rPr>
                <w:rFonts w:hint="eastAsia" w:ascii="宋体" w:hAnsi="宋体" w:cs="宋体"/>
                <w:color w:val="auto"/>
                <w:sz w:val="24"/>
                <w:highlight w:val="none"/>
              </w:rPr>
            </w:pPr>
          </w:p>
        </w:tc>
        <w:tc>
          <w:tcPr>
            <w:tcW w:w="2158" w:type="dxa"/>
            <w:noWrap w:val="0"/>
            <w:vAlign w:val="center"/>
          </w:tcPr>
          <w:p w14:paraId="2D8EF934">
            <w:pPr>
              <w:spacing w:line="320" w:lineRule="exact"/>
              <w:jc w:val="center"/>
              <w:rPr>
                <w:rFonts w:hint="eastAsia" w:ascii="宋体" w:hAnsi="宋体" w:cs="宋体"/>
                <w:color w:val="auto"/>
                <w:sz w:val="24"/>
                <w:highlight w:val="none"/>
              </w:rPr>
            </w:pPr>
          </w:p>
        </w:tc>
        <w:tc>
          <w:tcPr>
            <w:tcW w:w="2329" w:type="dxa"/>
            <w:noWrap w:val="0"/>
            <w:vAlign w:val="center"/>
          </w:tcPr>
          <w:p w14:paraId="1D71371F">
            <w:pPr>
              <w:spacing w:line="320" w:lineRule="exact"/>
              <w:jc w:val="center"/>
              <w:rPr>
                <w:rFonts w:hint="eastAsia" w:ascii="宋体" w:hAnsi="宋体" w:cs="宋体"/>
                <w:color w:val="auto"/>
                <w:sz w:val="24"/>
                <w:highlight w:val="none"/>
              </w:rPr>
            </w:pPr>
          </w:p>
        </w:tc>
        <w:tc>
          <w:tcPr>
            <w:tcW w:w="1214" w:type="dxa"/>
            <w:noWrap w:val="0"/>
            <w:vAlign w:val="center"/>
          </w:tcPr>
          <w:p w14:paraId="5837A3CC">
            <w:pPr>
              <w:spacing w:line="320" w:lineRule="exact"/>
              <w:jc w:val="center"/>
              <w:rPr>
                <w:rFonts w:hint="eastAsia" w:ascii="宋体" w:hAnsi="宋体" w:cs="宋体"/>
                <w:color w:val="auto"/>
                <w:sz w:val="24"/>
                <w:highlight w:val="none"/>
              </w:rPr>
            </w:pPr>
          </w:p>
        </w:tc>
        <w:tc>
          <w:tcPr>
            <w:tcW w:w="1348" w:type="dxa"/>
            <w:noWrap w:val="0"/>
            <w:vAlign w:val="center"/>
          </w:tcPr>
          <w:p w14:paraId="130195E8">
            <w:pPr>
              <w:spacing w:line="320" w:lineRule="exact"/>
              <w:jc w:val="center"/>
              <w:rPr>
                <w:rFonts w:hint="eastAsia" w:ascii="宋体" w:hAnsi="宋体" w:cs="宋体"/>
                <w:color w:val="auto"/>
                <w:sz w:val="24"/>
                <w:highlight w:val="none"/>
              </w:rPr>
            </w:pPr>
          </w:p>
        </w:tc>
      </w:tr>
      <w:tr w14:paraId="7639A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5F1FA85">
            <w:pPr>
              <w:spacing w:line="320" w:lineRule="exact"/>
              <w:jc w:val="center"/>
              <w:rPr>
                <w:rFonts w:hint="eastAsia" w:ascii="宋体" w:hAnsi="宋体" w:cs="宋体"/>
                <w:b/>
                <w:color w:val="auto"/>
                <w:sz w:val="24"/>
                <w:highlight w:val="none"/>
              </w:rPr>
            </w:pPr>
          </w:p>
        </w:tc>
        <w:tc>
          <w:tcPr>
            <w:tcW w:w="1752" w:type="dxa"/>
            <w:noWrap w:val="0"/>
            <w:vAlign w:val="center"/>
          </w:tcPr>
          <w:p w14:paraId="31EB4FF3">
            <w:pPr>
              <w:spacing w:line="320" w:lineRule="exact"/>
              <w:jc w:val="center"/>
              <w:rPr>
                <w:rFonts w:hint="eastAsia" w:ascii="宋体" w:hAnsi="宋体" w:cs="宋体"/>
                <w:color w:val="auto"/>
                <w:sz w:val="24"/>
                <w:highlight w:val="none"/>
              </w:rPr>
            </w:pPr>
          </w:p>
        </w:tc>
        <w:tc>
          <w:tcPr>
            <w:tcW w:w="2158" w:type="dxa"/>
            <w:noWrap w:val="0"/>
            <w:vAlign w:val="center"/>
          </w:tcPr>
          <w:p w14:paraId="75141A77">
            <w:pPr>
              <w:spacing w:line="320" w:lineRule="exact"/>
              <w:jc w:val="center"/>
              <w:rPr>
                <w:rFonts w:hint="eastAsia" w:ascii="宋体" w:hAnsi="宋体" w:cs="宋体"/>
                <w:color w:val="auto"/>
                <w:sz w:val="24"/>
                <w:highlight w:val="none"/>
              </w:rPr>
            </w:pPr>
          </w:p>
        </w:tc>
        <w:tc>
          <w:tcPr>
            <w:tcW w:w="2329" w:type="dxa"/>
            <w:noWrap w:val="0"/>
            <w:vAlign w:val="center"/>
          </w:tcPr>
          <w:p w14:paraId="746A660F">
            <w:pPr>
              <w:spacing w:line="320" w:lineRule="exact"/>
              <w:jc w:val="center"/>
              <w:rPr>
                <w:rFonts w:hint="eastAsia" w:ascii="宋体" w:hAnsi="宋体" w:cs="宋体"/>
                <w:color w:val="auto"/>
                <w:sz w:val="24"/>
                <w:highlight w:val="none"/>
              </w:rPr>
            </w:pPr>
          </w:p>
        </w:tc>
        <w:tc>
          <w:tcPr>
            <w:tcW w:w="1214" w:type="dxa"/>
            <w:noWrap w:val="0"/>
            <w:vAlign w:val="center"/>
          </w:tcPr>
          <w:p w14:paraId="2197984B">
            <w:pPr>
              <w:spacing w:line="320" w:lineRule="exact"/>
              <w:jc w:val="center"/>
              <w:rPr>
                <w:rFonts w:hint="eastAsia" w:ascii="宋体" w:hAnsi="宋体" w:cs="宋体"/>
                <w:color w:val="auto"/>
                <w:sz w:val="24"/>
                <w:highlight w:val="none"/>
              </w:rPr>
            </w:pPr>
          </w:p>
        </w:tc>
        <w:tc>
          <w:tcPr>
            <w:tcW w:w="1348" w:type="dxa"/>
            <w:noWrap w:val="0"/>
            <w:vAlign w:val="center"/>
          </w:tcPr>
          <w:p w14:paraId="6CB69E95">
            <w:pPr>
              <w:spacing w:line="320" w:lineRule="exact"/>
              <w:jc w:val="center"/>
              <w:rPr>
                <w:rFonts w:hint="eastAsia" w:ascii="宋体" w:hAnsi="宋体" w:cs="宋体"/>
                <w:color w:val="auto"/>
                <w:sz w:val="24"/>
                <w:highlight w:val="none"/>
              </w:rPr>
            </w:pPr>
          </w:p>
        </w:tc>
      </w:tr>
      <w:tr w14:paraId="27A6E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44EF8BC">
            <w:pPr>
              <w:spacing w:line="320" w:lineRule="exact"/>
              <w:jc w:val="center"/>
              <w:rPr>
                <w:rFonts w:hint="eastAsia" w:ascii="宋体" w:hAnsi="宋体" w:cs="宋体"/>
                <w:color w:val="auto"/>
                <w:sz w:val="24"/>
                <w:highlight w:val="none"/>
              </w:rPr>
            </w:pPr>
          </w:p>
        </w:tc>
        <w:tc>
          <w:tcPr>
            <w:tcW w:w="1752" w:type="dxa"/>
            <w:noWrap w:val="0"/>
            <w:vAlign w:val="center"/>
          </w:tcPr>
          <w:p w14:paraId="483FFB04">
            <w:pPr>
              <w:spacing w:line="320" w:lineRule="exact"/>
              <w:jc w:val="center"/>
              <w:rPr>
                <w:rFonts w:hint="eastAsia" w:ascii="宋体" w:hAnsi="宋体" w:cs="宋体"/>
                <w:color w:val="auto"/>
                <w:sz w:val="24"/>
                <w:highlight w:val="none"/>
              </w:rPr>
            </w:pPr>
          </w:p>
        </w:tc>
        <w:tc>
          <w:tcPr>
            <w:tcW w:w="2158" w:type="dxa"/>
            <w:noWrap w:val="0"/>
            <w:vAlign w:val="center"/>
          </w:tcPr>
          <w:p w14:paraId="0EFB14BD">
            <w:pPr>
              <w:spacing w:line="320" w:lineRule="exact"/>
              <w:jc w:val="center"/>
              <w:rPr>
                <w:rFonts w:hint="eastAsia" w:ascii="宋体" w:hAnsi="宋体" w:cs="宋体"/>
                <w:color w:val="auto"/>
                <w:sz w:val="24"/>
                <w:highlight w:val="none"/>
              </w:rPr>
            </w:pPr>
          </w:p>
        </w:tc>
        <w:tc>
          <w:tcPr>
            <w:tcW w:w="2329" w:type="dxa"/>
            <w:noWrap w:val="0"/>
            <w:vAlign w:val="center"/>
          </w:tcPr>
          <w:p w14:paraId="0E9ECAAD">
            <w:pPr>
              <w:spacing w:line="320" w:lineRule="exact"/>
              <w:jc w:val="center"/>
              <w:rPr>
                <w:rFonts w:hint="eastAsia" w:ascii="宋体" w:hAnsi="宋体" w:cs="宋体"/>
                <w:color w:val="auto"/>
                <w:sz w:val="24"/>
                <w:highlight w:val="none"/>
              </w:rPr>
            </w:pPr>
          </w:p>
        </w:tc>
        <w:tc>
          <w:tcPr>
            <w:tcW w:w="1214" w:type="dxa"/>
            <w:noWrap w:val="0"/>
            <w:vAlign w:val="center"/>
          </w:tcPr>
          <w:p w14:paraId="3629453C">
            <w:pPr>
              <w:spacing w:line="320" w:lineRule="exact"/>
              <w:jc w:val="center"/>
              <w:rPr>
                <w:rFonts w:hint="eastAsia" w:ascii="宋体" w:hAnsi="宋体" w:cs="宋体"/>
                <w:color w:val="auto"/>
                <w:sz w:val="24"/>
                <w:highlight w:val="none"/>
              </w:rPr>
            </w:pPr>
          </w:p>
        </w:tc>
        <w:tc>
          <w:tcPr>
            <w:tcW w:w="1348" w:type="dxa"/>
            <w:noWrap w:val="0"/>
            <w:vAlign w:val="center"/>
          </w:tcPr>
          <w:p w14:paraId="2351C694">
            <w:pPr>
              <w:spacing w:line="320" w:lineRule="exact"/>
              <w:jc w:val="center"/>
              <w:rPr>
                <w:rFonts w:hint="eastAsia" w:ascii="宋体" w:hAnsi="宋体" w:cs="宋体"/>
                <w:color w:val="auto"/>
                <w:sz w:val="24"/>
                <w:highlight w:val="none"/>
              </w:rPr>
            </w:pPr>
          </w:p>
        </w:tc>
      </w:tr>
      <w:tr w14:paraId="544F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132B6BD">
            <w:pPr>
              <w:spacing w:line="320" w:lineRule="exact"/>
              <w:jc w:val="center"/>
              <w:rPr>
                <w:rFonts w:hint="eastAsia" w:ascii="宋体" w:hAnsi="宋体" w:cs="宋体"/>
                <w:color w:val="auto"/>
                <w:sz w:val="24"/>
                <w:highlight w:val="none"/>
              </w:rPr>
            </w:pPr>
          </w:p>
        </w:tc>
        <w:tc>
          <w:tcPr>
            <w:tcW w:w="1752" w:type="dxa"/>
            <w:noWrap w:val="0"/>
            <w:vAlign w:val="center"/>
          </w:tcPr>
          <w:p w14:paraId="687BC1B4">
            <w:pPr>
              <w:spacing w:line="320" w:lineRule="exact"/>
              <w:jc w:val="center"/>
              <w:rPr>
                <w:rFonts w:hint="eastAsia" w:ascii="宋体" w:hAnsi="宋体" w:cs="宋体"/>
                <w:color w:val="auto"/>
                <w:sz w:val="24"/>
                <w:highlight w:val="none"/>
              </w:rPr>
            </w:pPr>
          </w:p>
        </w:tc>
        <w:tc>
          <w:tcPr>
            <w:tcW w:w="2158" w:type="dxa"/>
            <w:noWrap w:val="0"/>
            <w:vAlign w:val="center"/>
          </w:tcPr>
          <w:p w14:paraId="6FFE4642">
            <w:pPr>
              <w:spacing w:line="320" w:lineRule="exact"/>
              <w:jc w:val="center"/>
              <w:rPr>
                <w:rFonts w:hint="eastAsia" w:ascii="宋体" w:hAnsi="宋体" w:cs="宋体"/>
                <w:color w:val="auto"/>
                <w:sz w:val="24"/>
                <w:highlight w:val="none"/>
              </w:rPr>
            </w:pPr>
          </w:p>
        </w:tc>
        <w:tc>
          <w:tcPr>
            <w:tcW w:w="2329" w:type="dxa"/>
            <w:noWrap w:val="0"/>
            <w:vAlign w:val="center"/>
          </w:tcPr>
          <w:p w14:paraId="418B5144">
            <w:pPr>
              <w:spacing w:line="320" w:lineRule="exact"/>
              <w:jc w:val="center"/>
              <w:rPr>
                <w:rFonts w:hint="eastAsia" w:ascii="宋体" w:hAnsi="宋体" w:cs="宋体"/>
                <w:color w:val="auto"/>
                <w:sz w:val="24"/>
                <w:highlight w:val="none"/>
              </w:rPr>
            </w:pPr>
          </w:p>
        </w:tc>
        <w:tc>
          <w:tcPr>
            <w:tcW w:w="1214" w:type="dxa"/>
            <w:noWrap w:val="0"/>
            <w:vAlign w:val="center"/>
          </w:tcPr>
          <w:p w14:paraId="28775D24">
            <w:pPr>
              <w:spacing w:line="320" w:lineRule="exact"/>
              <w:jc w:val="center"/>
              <w:rPr>
                <w:rFonts w:hint="eastAsia" w:ascii="宋体" w:hAnsi="宋体" w:cs="宋体"/>
                <w:color w:val="auto"/>
                <w:sz w:val="24"/>
                <w:highlight w:val="none"/>
              </w:rPr>
            </w:pPr>
          </w:p>
        </w:tc>
        <w:tc>
          <w:tcPr>
            <w:tcW w:w="1348" w:type="dxa"/>
            <w:noWrap w:val="0"/>
            <w:vAlign w:val="center"/>
          </w:tcPr>
          <w:p w14:paraId="0AE24047">
            <w:pPr>
              <w:spacing w:line="320" w:lineRule="exact"/>
              <w:jc w:val="center"/>
              <w:rPr>
                <w:rFonts w:hint="eastAsia" w:ascii="宋体" w:hAnsi="宋体" w:cs="宋体"/>
                <w:color w:val="auto"/>
                <w:sz w:val="24"/>
                <w:highlight w:val="none"/>
              </w:rPr>
            </w:pPr>
          </w:p>
        </w:tc>
      </w:tr>
      <w:tr w14:paraId="6F465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8F7A55D">
            <w:pPr>
              <w:spacing w:line="320" w:lineRule="exact"/>
              <w:jc w:val="center"/>
              <w:rPr>
                <w:rFonts w:hint="eastAsia" w:ascii="宋体" w:hAnsi="宋体" w:cs="宋体"/>
                <w:b/>
                <w:color w:val="auto"/>
                <w:sz w:val="24"/>
                <w:highlight w:val="none"/>
              </w:rPr>
            </w:pPr>
          </w:p>
        </w:tc>
        <w:tc>
          <w:tcPr>
            <w:tcW w:w="1752" w:type="dxa"/>
            <w:noWrap w:val="0"/>
            <w:vAlign w:val="center"/>
          </w:tcPr>
          <w:p w14:paraId="5D20170C">
            <w:pPr>
              <w:spacing w:line="320" w:lineRule="exact"/>
              <w:jc w:val="center"/>
              <w:rPr>
                <w:rFonts w:hint="eastAsia" w:ascii="宋体" w:hAnsi="宋体" w:cs="宋体"/>
                <w:b/>
                <w:color w:val="auto"/>
                <w:sz w:val="24"/>
                <w:highlight w:val="none"/>
              </w:rPr>
            </w:pPr>
          </w:p>
        </w:tc>
        <w:tc>
          <w:tcPr>
            <w:tcW w:w="2158" w:type="dxa"/>
            <w:noWrap w:val="0"/>
            <w:vAlign w:val="center"/>
          </w:tcPr>
          <w:p w14:paraId="58B4E8EF">
            <w:pPr>
              <w:spacing w:line="320" w:lineRule="exact"/>
              <w:jc w:val="center"/>
              <w:rPr>
                <w:rFonts w:hint="eastAsia" w:ascii="宋体" w:hAnsi="宋体" w:cs="宋体"/>
                <w:color w:val="auto"/>
                <w:sz w:val="24"/>
                <w:highlight w:val="none"/>
              </w:rPr>
            </w:pPr>
          </w:p>
        </w:tc>
        <w:tc>
          <w:tcPr>
            <w:tcW w:w="2329" w:type="dxa"/>
            <w:noWrap w:val="0"/>
            <w:vAlign w:val="center"/>
          </w:tcPr>
          <w:p w14:paraId="255EE1A7">
            <w:pPr>
              <w:spacing w:line="320" w:lineRule="exact"/>
              <w:jc w:val="center"/>
              <w:rPr>
                <w:rFonts w:hint="eastAsia" w:ascii="宋体" w:hAnsi="宋体" w:cs="宋体"/>
                <w:color w:val="auto"/>
                <w:sz w:val="24"/>
                <w:highlight w:val="none"/>
              </w:rPr>
            </w:pPr>
          </w:p>
        </w:tc>
        <w:tc>
          <w:tcPr>
            <w:tcW w:w="1214" w:type="dxa"/>
            <w:noWrap w:val="0"/>
            <w:vAlign w:val="center"/>
          </w:tcPr>
          <w:p w14:paraId="3DF2B7F6">
            <w:pPr>
              <w:spacing w:line="320" w:lineRule="exact"/>
              <w:jc w:val="center"/>
              <w:rPr>
                <w:rFonts w:hint="eastAsia" w:ascii="宋体" w:hAnsi="宋体" w:cs="宋体"/>
                <w:color w:val="auto"/>
                <w:sz w:val="24"/>
                <w:highlight w:val="none"/>
              </w:rPr>
            </w:pPr>
          </w:p>
        </w:tc>
        <w:tc>
          <w:tcPr>
            <w:tcW w:w="1348" w:type="dxa"/>
            <w:noWrap w:val="0"/>
            <w:vAlign w:val="center"/>
          </w:tcPr>
          <w:p w14:paraId="36666B3C">
            <w:pPr>
              <w:spacing w:line="320" w:lineRule="exact"/>
              <w:jc w:val="center"/>
              <w:rPr>
                <w:rFonts w:hint="eastAsia" w:ascii="宋体" w:hAnsi="宋体" w:cs="宋体"/>
                <w:color w:val="auto"/>
                <w:sz w:val="24"/>
                <w:highlight w:val="none"/>
              </w:rPr>
            </w:pPr>
          </w:p>
        </w:tc>
      </w:tr>
      <w:tr w14:paraId="2E5B3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1DCB090">
            <w:pPr>
              <w:jc w:val="center"/>
              <w:rPr>
                <w:rFonts w:hint="eastAsia" w:ascii="宋体" w:hAnsi="宋体" w:cs="宋体"/>
                <w:color w:val="auto"/>
                <w:sz w:val="24"/>
                <w:highlight w:val="none"/>
              </w:rPr>
            </w:pPr>
          </w:p>
        </w:tc>
        <w:tc>
          <w:tcPr>
            <w:tcW w:w="1752" w:type="dxa"/>
            <w:noWrap w:val="0"/>
            <w:vAlign w:val="center"/>
          </w:tcPr>
          <w:p w14:paraId="73AE0872">
            <w:pPr>
              <w:spacing w:line="320" w:lineRule="exact"/>
              <w:jc w:val="center"/>
              <w:rPr>
                <w:rFonts w:hint="eastAsia" w:ascii="宋体" w:hAnsi="宋体" w:cs="宋体"/>
                <w:color w:val="auto"/>
                <w:sz w:val="24"/>
                <w:highlight w:val="none"/>
              </w:rPr>
            </w:pPr>
          </w:p>
        </w:tc>
        <w:tc>
          <w:tcPr>
            <w:tcW w:w="2158" w:type="dxa"/>
            <w:noWrap w:val="0"/>
            <w:vAlign w:val="center"/>
          </w:tcPr>
          <w:p w14:paraId="7E4CF28B">
            <w:pPr>
              <w:spacing w:line="320" w:lineRule="exact"/>
              <w:jc w:val="center"/>
              <w:rPr>
                <w:rFonts w:hint="eastAsia" w:ascii="宋体" w:hAnsi="宋体" w:cs="宋体"/>
                <w:color w:val="auto"/>
                <w:sz w:val="24"/>
                <w:highlight w:val="none"/>
              </w:rPr>
            </w:pPr>
          </w:p>
        </w:tc>
        <w:tc>
          <w:tcPr>
            <w:tcW w:w="2329" w:type="dxa"/>
            <w:noWrap w:val="0"/>
            <w:vAlign w:val="center"/>
          </w:tcPr>
          <w:p w14:paraId="2D0BDCC1">
            <w:pPr>
              <w:spacing w:line="320" w:lineRule="exact"/>
              <w:jc w:val="center"/>
              <w:rPr>
                <w:rFonts w:hint="eastAsia" w:ascii="宋体" w:hAnsi="宋体" w:cs="宋体"/>
                <w:color w:val="auto"/>
                <w:sz w:val="24"/>
                <w:highlight w:val="none"/>
              </w:rPr>
            </w:pPr>
          </w:p>
        </w:tc>
        <w:tc>
          <w:tcPr>
            <w:tcW w:w="1214" w:type="dxa"/>
            <w:noWrap w:val="0"/>
            <w:vAlign w:val="center"/>
          </w:tcPr>
          <w:p w14:paraId="1733830D">
            <w:pPr>
              <w:spacing w:line="320" w:lineRule="exact"/>
              <w:jc w:val="center"/>
              <w:rPr>
                <w:rFonts w:hint="eastAsia" w:ascii="宋体" w:hAnsi="宋体" w:cs="宋体"/>
                <w:color w:val="auto"/>
                <w:sz w:val="24"/>
                <w:highlight w:val="none"/>
              </w:rPr>
            </w:pPr>
          </w:p>
        </w:tc>
        <w:tc>
          <w:tcPr>
            <w:tcW w:w="1348" w:type="dxa"/>
            <w:noWrap w:val="0"/>
            <w:vAlign w:val="center"/>
          </w:tcPr>
          <w:p w14:paraId="3E407F53">
            <w:pPr>
              <w:spacing w:line="320" w:lineRule="exact"/>
              <w:jc w:val="center"/>
              <w:rPr>
                <w:rFonts w:hint="eastAsia" w:ascii="宋体" w:hAnsi="宋体" w:cs="宋体"/>
                <w:color w:val="auto"/>
                <w:sz w:val="24"/>
                <w:highlight w:val="none"/>
              </w:rPr>
            </w:pPr>
          </w:p>
        </w:tc>
      </w:tr>
      <w:tr w14:paraId="575A7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47C2621">
            <w:pPr>
              <w:jc w:val="center"/>
              <w:rPr>
                <w:rFonts w:hint="eastAsia" w:ascii="宋体" w:hAnsi="宋体" w:cs="宋体"/>
                <w:color w:val="auto"/>
                <w:sz w:val="24"/>
                <w:highlight w:val="none"/>
              </w:rPr>
            </w:pPr>
          </w:p>
        </w:tc>
        <w:tc>
          <w:tcPr>
            <w:tcW w:w="1752" w:type="dxa"/>
            <w:noWrap w:val="0"/>
            <w:vAlign w:val="center"/>
          </w:tcPr>
          <w:p w14:paraId="7BBFBDD5">
            <w:pPr>
              <w:spacing w:line="320" w:lineRule="exact"/>
              <w:jc w:val="center"/>
              <w:rPr>
                <w:rFonts w:hint="eastAsia" w:ascii="宋体" w:hAnsi="宋体" w:cs="宋体"/>
                <w:color w:val="auto"/>
                <w:sz w:val="24"/>
                <w:highlight w:val="none"/>
              </w:rPr>
            </w:pPr>
          </w:p>
        </w:tc>
        <w:tc>
          <w:tcPr>
            <w:tcW w:w="2158" w:type="dxa"/>
            <w:noWrap w:val="0"/>
            <w:vAlign w:val="center"/>
          </w:tcPr>
          <w:p w14:paraId="3BFB940F">
            <w:pPr>
              <w:spacing w:line="320" w:lineRule="exact"/>
              <w:jc w:val="center"/>
              <w:rPr>
                <w:rFonts w:hint="eastAsia" w:ascii="宋体" w:hAnsi="宋体" w:cs="宋体"/>
                <w:color w:val="auto"/>
                <w:sz w:val="24"/>
                <w:highlight w:val="none"/>
              </w:rPr>
            </w:pPr>
          </w:p>
        </w:tc>
        <w:tc>
          <w:tcPr>
            <w:tcW w:w="2329" w:type="dxa"/>
            <w:noWrap w:val="0"/>
            <w:vAlign w:val="center"/>
          </w:tcPr>
          <w:p w14:paraId="2F4E72F1">
            <w:pPr>
              <w:spacing w:line="320" w:lineRule="exact"/>
              <w:jc w:val="center"/>
              <w:rPr>
                <w:rFonts w:hint="eastAsia" w:ascii="宋体" w:hAnsi="宋体" w:cs="宋体"/>
                <w:color w:val="auto"/>
                <w:sz w:val="24"/>
                <w:highlight w:val="none"/>
              </w:rPr>
            </w:pPr>
          </w:p>
        </w:tc>
        <w:tc>
          <w:tcPr>
            <w:tcW w:w="1214" w:type="dxa"/>
            <w:noWrap w:val="0"/>
            <w:vAlign w:val="center"/>
          </w:tcPr>
          <w:p w14:paraId="4F115494">
            <w:pPr>
              <w:spacing w:line="320" w:lineRule="exact"/>
              <w:jc w:val="center"/>
              <w:rPr>
                <w:rFonts w:hint="eastAsia" w:ascii="宋体" w:hAnsi="宋体" w:cs="宋体"/>
                <w:color w:val="auto"/>
                <w:sz w:val="24"/>
                <w:highlight w:val="none"/>
              </w:rPr>
            </w:pPr>
          </w:p>
        </w:tc>
        <w:tc>
          <w:tcPr>
            <w:tcW w:w="1348" w:type="dxa"/>
            <w:noWrap w:val="0"/>
            <w:vAlign w:val="center"/>
          </w:tcPr>
          <w:p w14:paraId="5EC7AA6A">
            <w:pPr>
              <w:spacing w:line="320" w:lineRule="exact"/>
              <w:jc w:val="center"/>
              <w:rPr>
                <w:rFonts w:hint="eastAsia" w:ascii="宋体" w:hAnsi="宋体" w:cs="宋体"/>
                <w:color w:val="auto"/>
                <w:sz w:val="24"/>
                <w:highlight w:val="none"/>
              </w:rPr>
            </w:pPr>
          </w:p>
        </w:tc>
      </w:tr>
    </w:tbl>
    <w:p w14:paraId="53680A88">
      <w:pPr>
        <w:spacing w:line="360" w:lineRule="auto"/>
        <w:ind w:firstLine="420" w:firstLineChars="175"/>
        <w:rPr>
          <w:rFonts w:hint="eastAsia"/>
          <w:color w:val="auto"/>
          <w:sz w:val="24"/>
          <w:szCs w:val="32"/>
          <w:highlight w:val="none"/>
        </w:rPr>
      </w:pPr>
      <w:r>
        <w:rPr>
          <w:rFonts w:hint="eastAsia"/>
          <w:color w:val="auto"/>
          <w:sz w:val="24"/>
          <w:szCs w:val="32"/>
          <w:highlight w:val="none"/>
        </w:rPr>
        <w:t>注：（1）投标人应对照第二章《项目采购需求》中所列技术参数、性能指标要求逐条对应填报投标货物的技术参数、性能指标等承诺，并在“偏离情况”栏注明“正偏离”、 “负偏离”或“无偏离”，当出现“正偏离”情况时应详细填写偏离情况说明及提供相应有效证明材料。</w:t>
      </w:r>
    </w:p>
    <w:p w14:paraId="6BF5D683">
      <w:pPr>
        <w:spacing w:line="360" w:lineRule="auto"/>
        <w:ind w:firstLine="420" w:firstLineChars="175"/>
        <w:rPr>
          <w:rFonts w:hint="eastAsia"/>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4D1417D5">
      <w:pPr>
        <w:snapToGrid w:val="0"/>
        <w:spacing w:before="156" w:beforeLines="50"/>
        <w:rPr>
          <w:rFonts w:hint="eastAsia" w:ascii="宋体" w:hAnsi="宋体" w:cs="宋体"/>
          <w:color w:val="auto"/>
          <w:szCs w:val="21"/>
          <w:highlight w:val="none"/>
        </w:rPr>
      </w:pPr>
    </w:p>
    <w:p w14:paraId="6C82E916">
      <w:pPr>
        <w:pStyle w:val="13"/>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10EB4691">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65F72E75">
      <w:pPr>
        <w:snapToGrid w:val="0"/>
        <w:spacing w:before="50" w:after="156" w:afterLines="50"/>
        <w:rPr>
          <w:rFonts w:hint="eastAsia" w:ascii="宋体" w:hAnsi="宋体" w:cs="宋体"/>
          <w:b/>
          <w:bCs/>
          <w:color w:val="auto"/>
          <w:highlight w:val="none"/>
        </w:rPr>
      </w:pPr>
    </w:p>
    <w:p w14:paraId="6136D7E8">
      <w:pPr>
        <w:snapToGrid w:val="0"/>
        <w:spacing w:before="50" w:after="156" w:afterLines="50"/>
        <w:rPr>
          <w:rFonts w:hint="eastAsia" w:ascii="宋体" w:hAnsi="宋体" w:cs="宋体"/>
          <w:color w:val="auto"/>
          <w:szCs w:val="21"/>
          <w:highlight w:val="none"/>
        </w:rPr>
      </w:pPr>
    </w:p>
    <w:p w14:paraId="4D09B7A2">
      <w:pPr>
        <w:pStyle w:val="12"/>
        <w:rPr>
          <w:rFonts w:hint="eastAsia" w:ascii="宋体" w:hAnsi="宋体" w:eastAsia="宋体" w:cs="宋体"/>
          <w:color w:val="auto"/>
          <w:highlight w:val="none"/>
        </w:rPr>
      </w:pPr>
    </w:p>
    <w:p w14:paraId="6D3B27D5">
      <w:pPr>
        <w:snapToGrid w:val="0"/>
        <w:spacing w:before="50"/>
        <w:jc w:val="left"/>
        <w:rPr>
          <w:rFonts w:hint="eastAsia" w:ascii="宋体" w:hAnsi="宋体" w:cs="宋体"/>
          <w:color w:val="auto"/>
          <w:spacing w:val="-2"/>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（2）投标货物配置清单格式：</w:t>
      </w:r>
    </w:p>
    <w:p w14:paraId="1DBA9E4A">
      <w:pPr>
        <w:spacing w:before="91" w:line="190" w:lineRule="auto"/>
        <w:jc w:val="center"/>
        <w:rPr>
          <w:rFonts w:hint="eastAsia" w:ascii="宋体" w:hAnsi="宋体" w:cs="宋体"/>
          <w:b/>
          <w:bCs/>
          <w:color w:val="auto"/>
          <w:sz w:val="32"/>
          <w:szCs w:val="32"/>
          <w:highlight w:val="none"/>
        </w:rPr>
      </w:pPr>
      <w:r>
        <w:rPr>
          <w:rFonts w:hint="eastAsia" w:ascii="宋体" w:hAnsi="宋体" w:cs="宋体"/>
          <w:b/>
          <w:bCs/>
          <w:color w:val="auto"/>
          <w:spacing w:val="-2"/>
          <w:sz w:val="32"/>
          <w:szCs w:val="32"/>
          <w:highlight w:val="none"/>
        </w:rPr>
        <w:t>投标货物配置清单</w:t>
      </w:r>
    </w:p>
    <w:p w14:paraId="5AD38E67">
      <w:pPr>
        <w:rPr>
          <w:rFonts w:hint="eastAsia" w:ascii="宋体" w:hAnsi="宋体" w:cs="宋体"/>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768"/>
        <w:gridCol w:w="1083"/>
        <w:gridCol w:w="1627"/>
        <w:gridCol w:w="980"/>
        <w:gridCol w:w="1987"/>
        <w:gridCol w:w="894"/>
      </w:tblGrid>
      <w:tr w14:paraId="16526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B636D8E">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序号</w:t>
            </w: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BA13DC2">
            <w:pPr>
              <w:snapToGrid w:val="0"/>
              <w:spacing w:before="50" w:after="50" w:line="440" w:lineRule="exact"/>
              <w:jc w:val="center"/>
              <w:rPr>
                <w:rFonts w:hint="eastAsia" w:ascii="宋体" w:hAnsi="宋体"/>
                <w:b/>
                <w:bCs/>
                <w:color w:val="auto"/>
                <w:sz w:val="24"/>
                <w:szCs w:val="24"/>
              </w:rPr>
            </w:pPr>
            <w:r>
              <w:rPr>
                <w:rFonts w:hint="eastAsia" w:ascii="宋体" w:hAnsi="宋体"/>
                <w:b/>
                <w:bCs/>
                <w:color w:val="auto"/>
                <w:sz w:val="24"/>
                <w:szCs w:val="24"/>
              </w:rPr>
              <w:t>货物名称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CA496F4">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品牌</w:t>
            </w: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B4BCF27">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规格型号</w:t>
            </w:r>
          </w:p>
        </w:tc>
        <w:tc>
          <w:tcPr>
            <w:tcW w:w="980" w:type="dxa"/>
            <w:tcBorders>
              <w:top w:val="single" w:color="auto" w:sz="4" w:space="0"/>
              <w:left w:val="single" w:color="auto" w:sz="4" w:space="0"/>
              <w:bottom w:val="single" w:color="auto" w:sz="4" w:space="0"/>
              <w:right w:val="single" w:color="auto" w:sz="4" w:space="0"/>
            </w:tcBorders>
            <w:noWrap w:val="0"/>
            <w:vAlign w:val="center"/>
          </w:tcPr>
          <w:p w14:paraId="6BBC68F9">
            <w:pPr>
              <w:snapToGrid w:val="0"/>
              <w:spacing w:before="50" w:after="50" w:line="440" w:lineRule="exact"/>
              <w:jc w:val="center"/>
              <w:rPr>
                <w:rFonts w:hint="eastAsia" w:ascii="宋体" w:hAnsi="宋体" w:eastAsia="宋体"/>
                <w:b/>
                <w:bCs/>
                <w:color w:val="auto"/>
                <w:sz w:val="24"/>
                <w:szCs w:val="24"/>
                <w:lang w:eastAsia="zh-CN"/>
              </w:rPr>
            </w:pPr>
            <w:r>
              <w:rPr>
                <w:rFonts w:hint="eastAsia" w:ascii="宋体" w:hAnsi="宋体"/>
                <w:b/>
                <w:bCs/>
                <w:color w:val="auto"/>
                <w:sz w:val="24"/>
                <w:szCs w:val="24"/>
              </w:rPr>
              <w:t>数量</w:t>
            </w:r>
            <w:r>
              <w:rPr>
                <w:rFonts w:hint="eastAsia" w:ascii="宋体" w:hAnsi="宋体"/>
                <w:b/>
                <w:bCs/>
                <w:color w:val="auto"/>
                <w:sz w:val="24"/>
                <w:szCs w:val="24"/>
                <w:lang w:eastAsia="zh-CN"/>
              </w:rPr>
              <w:t>及单位</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C1747E0">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性能及指标</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48F8EFA">
            <w:pPr>
              <w:snapToGrid w:val="0"/>
              <w:spacing w:before="50" w:after="50" w:line="440" w:lineRule="exact"/>
              <w:jc w:val="center"/>
              <w:rPr>
                <w:rFonts w:ascii="宋体" w:hAnsi="宋体"/>
                <w:b/>
                <w:bCs/>
                <w:color w:val="auto"/>
                <w:sz w:val="24"/>
                <w:szCs w:val="24"/>
              </w:rPr>
            </w:pPr>
            <w:r>
              <w:rPr>
                <w:rFonts w:hint="eastAsia" w:ascii="宋体" w:hAnsi="宋体"/>
                <w:b/>
                <w:bCs/>
                <w:color w:val="auto"/>
                <w:sz w:val="24"/>
                <w:szCs w:val="24"/>
              </w:rPr>
              <w:t>产地</w:t>
            </w:r>
          </w:p>
        </w:tc>
      </w:tr>
      <w:tr w14:paraId="79A1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05B0B928">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CEFD30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7623AB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E22FF1D">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72E92AD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02B30D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24632E4">
            <w:pPr>
              <w:snapToGrid w:val="0"/>
              <w:spacing w:before="50" w:after="50" w:line="440" w:lineRule="exact"/>
              <w:jc w:val="center"/>
              <w:rPr>
                <w:rFonts w:ascii="宋体" w:hAnsi="宋体"/>
                <w:color w:val="auto"/>
                <w:szCs w:val="21"/>
              </w:rPr>
            </w:pPr>
          </w:p>
        </w:tc>
      </w:tr>
      <w:tr w14:paraId="5186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2E33ABA2">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BA633C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617D40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6982D55">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DA1A9C6">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0119F81">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9224B00">
            <w:pPr>
              <w:snapToGrid w:val="0"/>
              <w:spacing w:before="50" w:after="50" w:line="440" w:lineRule="exact"/>
              <w:jc w:val="center"/>
              <w:rPr>
                <w:rFonts w:ascii="宋体" w:hAnsi="宋体"/>
                <w:color w:val="auto"/>
                <w:szCs w:val="21"/>
              </w:rPr>
            </w:pPr>
          </w:p>
        </w:tc>
      </w:tr>
      <w:tr w14:paraId="7ED8A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988885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1856586A">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B15C195">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6FE25B">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C338921">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3FFA74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133561A6">
            <w:pPr>
              <w:snapToGrid w:val="0"/>
              <w:spacing w:before="50" w:after="50" w:line="440" w:lineRule="exact"/>
              <w:jc w:val="center"/>
              <w:rPr>
                <w:rFonts w:ascii="宋体" w:hAnsi="宋体"/>
                <w:color w:val="auto"/>
                <w:szCs w:val="21"/>
              </w:rPr>
            </w:pPr>
          </w:p>
        </w:tc>
      </w:tr>
      <w:tr w14:paraId="050C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18837A1">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5DD82BD5">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C59112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6DE1336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7F52BD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0BB7B2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499663D8">
            <w:pPr>
              <w:snapToGrid w:val="0"/>
              <w:spacing w:before="50" w:after="50" w:line="440" w:lineRule="exact"/>
              <w:jc w:val="center"/>
              <w:rPr>
                <w:rFonts w:ascii="宋体" w:hAnsi="宋体"/>
                <w:color w:val="auto"/>
                <w:szCs w:val="21"/>
              </w:rPr>
            </w:pPr>
          </w:p>
        </w:tc>
      </w:tr>
      <w:tr w14:paraId="6D854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F1C3513">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689191F4">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506308D">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5D06C6DE">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62DCB5B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3937429">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5D34A450">
            <w:pPr>
              <w:snapToGrid w:val="0"/>
              <w:spacing w:before="50" w:after="50" w:line="440" w:lineRule="exact"/>
              <w:jc w:val="center"/>
              <w:rPr>
                <w:rFonts w:ascii="宋体" w:hAnsi="宋体"/>
                <w:color w:val="auto"/>
                <w:szCs w:val="21"/>
              </w:rPr>
            </w:pPr>
          </w:p>
        </w:tc>
      </w:tr>
      <w:tr w14:paraId="20381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C603A">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2AD7DAD">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4ACE25B">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4DA1EC16">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CFA2E63">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B6B5684">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2086F7E2">
            <w:pPr>
              <w:snapToGrid w:val="0"/>
              <w:spacing w:before="50" w:after="50" w:line="440" w:lineRule="exact"/>
              <w:jc w:val="center"/>
              <w:rPr>
                <w:rFonts w:ascii="宋体" w:hAnsi="宋体"/>
                <w:color w:val="auto"/>
                <w:szCs w:val="21"/>
              </w:rPr>
            </w:pPr>
          </w:p>
        </w:tc>
      </w:tr>
      <w:tr w14:paraId="153DA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12CE4897">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0EB7EB20">
            <w:pPr>
              <w:snapToGrid w:val="0"/>
              <w:spacing w:before="50" w:after="50" w:line="440" w:lineRule="exact"/>
              <w:jc w:val="center"/>
              <w:rPr>
                <w:rFonts w:ascii="宋体" w:hAnsi="宋体"/>
                <w:color w:val="auto"/>
                <w:szCs w:val="21"/>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6EF2E01">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07ED58B7">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3E79BC0">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B1CA0F5">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78514F52">
            <w:pPr>
              <w:snapToGrid w:val="0"/>
              <w:spacing w:before="50" w:after="50" w:line="440" w:lineRule="exact"/>
              <w:jc w:val="center"/>
              <w:rPr>
                <w:rFonts w:ascii="宋体" w:hAnsi="宋体"/>
                <w:color w:val="auto"/>
                <w:szCs w:val="21"/>
              </w:rPr>
            </w:pPr>
          </w:p>
        </w:tc>
      </w:tr>
      <w:tr w14:paraId="29E0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14:paraId="3CA8CAAD">
            <w:pPr>
              <w:snapToGrid w:val="0"/>
              <w:spacing w:before="50" w:after="50" w:line="440" w:lineRule="exact"/>
              <w:jc w:val="center"/>
              <w:rPr>
                <w:rFonts w:ascii="宋体" w:hAnsi="宋体"/>
                <w:color w:val="auto"/>
                <w:szCs w:val="21"/>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14:paraId="455CC9D0">
            <w:pPr>
              <w:snapToGrid w:val="0"/>
              <w:spacing w:before="50" w:after="50" w:line="440" w:lineRule="exact"/>
              <w:jc w:val="center"/>
              <w:rPr>
                <w:rFonts w:ascii="宋体" w:hAnsi="宋体"/>
                <w:color w:val="auto"/>
                <w:szCs w:val="21"/>
              </w:rPr>
            </w:pPr>
            <w:r>
              <w:rPr>
                <w:rFonts w:ascii="宋体" w:hAnsi="宋体"/>
                <w:color w:val="auto"/>
                <w:szCs w:val="21"/>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5F5346A">
            <w:pPr>
              <w:snapToGrid w:val="0"/>
              <w:spacing w:before="50" w:after="50" w:line="440" w:lineRule="exact"/>
              <w:jc w:val="center"/>
              <w:rPr>
                <w:rFonts w:ascii="宋体" w:hAnsi="宋体"/>
                <w:color w:val="auto"/>
                <w:szCs w:val="21"/>
              </w:rPr>
            </w:pPr>
          </w:p>
        </w:tc>
        <w:tc>
          <w:tcPr>
            <w:tcW w:w="1627" w:type="dxa"/>
            <w:tcBorders>
              <w:top w:val="single" w:color="auto" w:sz="4" w:space="0"/>
              <w:left w:val="single" w:color="auto" w:sz="4" w:space="0"/>
              <w:bottom w:val="single" w:color="auto" w:sz="4" w:space="0"/>
              <w:right w:val="single" w:color="auto" w:sz="4" w:space="0"/>
            </w:tcBorders>
            <w:noWrap w:val="0"/>
            <w:vAlign w:val="center"/>
          </w:tcPr>
          <w:p w14:paraId="7D3456F2">
            <w:pPr>
              <w:snapToGrid w:val="0"/>
              <w:spacing w:before="50" w:after="50" w:line="440" w:lineRule="exact"/>
              <w:jc w:val="center"/>
              <w:rPr>
                <w:rFonts w:ascii="宋体" w:hAnsi="宋体"/>
                <w:color w:val="auto"/>
                <w:szCs w:val="21"/>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426B3A2">
            <w:pPr>
              <w:snapToGrid w:val="0"/>
              <w:spacing w:before="50" w:after="50" w:line="440" w:lineRule="exact"/>
              <w:jc w:val="center"/>
              <w:rPr>
                <w:rFonts w:ascii="宋体" w:hAnsi="宋体"/>
                <w:color w:val="auto"/>
                <w:szCs w:val="21"/>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FDF708F">
            <w:pPr>
              <w:snapToGrid w:val="0"/>
              <w:spacing w:before="50" w:after="50" w:line="440" w:lineRule="exact"/>
              <w:jc w:val="center"/>
              <w:rPr>
                <w:rFonts w:ascii="宋体" w:hAnsi="宋体"/>
                <w:color w:val="auto"/>
                <w:szCs w:val="21"/>
              </w:rPr>
            </w:pPr>
          </w:p>
        </w:tc>
        <w:tc>
          <w:tcPr>
            <w:tcW w:w="894" w:type="dxa"/>
            <w:tcBorders>
              <w:top w:val="single" w:color="auto" w:sz="4" w:space="0"/>
              <w:left w:val="single" w:color="auto" w:sz="4" w:space="0"/>
              <w:bottom w:val="single" w:color="auto" w:sz="4" w:space="0"/>
              <w:right w:val="single" w:color="auto" w:sz="4" w:space="0"/>
            </w:tcBorders>
            <w:noWrap w:val="0"/>
            <w:vAlign w:val="center"/>
          </w:tcPr>
          <w:p w14:paraId="0A1ADA40">
            <w:pPr>
              <w:snapToGrid w:val="0"/>
              <w:spacing w:before="50" w:after="50" w:line="440" w:lineRule="exact"/>
              <w:jc w:val="center"/>
              <w:rPr>
                <w:rFonts w:ascii="宋体" w:hAnsi="宋体"/>
                <w:color w:val="auto"/>
                <w:szCs w:val="21"/>
              </w:rPr>
            </w:pPr>
          </w:p>
        </w:tc>
      </w:tr>
    </w:tbl>
    <w:p w14:paraId="0F274855">
      <w:pPr>
        <w:pStyle w:val="13"/>
        <w:ind w:firstLine="105" w:firstLineChars="50"/>
        <w:rPr>
          <w:rFonts w:hint="eastAsia" w:hAnsi="宋体"/>
          <w:b/>
          <w:bCs/>
          <w:color w:val="auto"/>
          <w:sz w:val="21"/>
        </w:rPr>
      </w:pPr>
      <w:r>
        <w:rPr>
          <w:rFonts w:hint="eastAsia" w:hAnsi="宋体"/>
          <w:b/>
          <w:bCs/>
          <w:color w:val="auto"/>
          <w:sz w:val="21"/>
        </w:rPr>
        <w:t>注：若本表格式可根据投标人实际需求作调整或附上相应附件，但所投货物的性能及指标须详细列出。</w:t>
      </w:r>
    </w:p>
    <w:p w14:paraId="25CFF529">
      <w:pPr>
        <w:rPr>
          <w:rFonts w:hint="eastAsia" w:ascii="宋体" w:hAnsi="宋体" w:cs="宋体"/>
          <w:color w:val="auto"/>
          <w:highlight w:val="none"/>
        </w:rPr>
      </w:pPr>
    </w:p>
    <w:p w14:paraId="18251158">
      <w:pPr>
        <w:spacing w:line="120" w:lineRule="exact"/>
        <w:rPr>
          <w:rFonts w:hint="eastAsia" w:ascii="宋体" w:hAnsi="宋体" w:cs="宋体"/>
          <w:color w:val="auto"/>
          <w:highlight w:val="none"/>
        </w:rPr>
      </w:pPr>
    </w:p>
    <w:p w14:paraId="4AE39AD8">
      <w:pPr>
        <w:pStyle w:val="12"/>
        <w:rPr>
          <w:rFonts w:hint="eastAsia" w:ascii="宋体" w:hAnsi="宋体" w:eastAsia="宋体" w:cs="宋体"/>
          <w:color w:val="auto"/>
          <w:highlight w:val="none"/>
        </w:rPr>
      </w:pPr>
    </w:p>
    <w:p w14:paraId="708C0A1B">
      <w:pPr>
        <w:pStyle w:val="12"/>
        <w:rPr>
          <w:rFonts w:hint="eastAsia" w:ascii="宋体" w:hAnsi="宋体" w:eastAsia="宋体" w:cs="宋体"/>
          <w:color w:val="auto"/>
          <w:highlight w:val="none"/>
        </w:rPr>
      </w:pPr>
    </w:p>
    <w:p w14:paraId="46E64A2A">
      <w:pPr>
        <w:pStyle w:val="13"/>
        <w:spacing w:line="360" w:lineRule="auto"/>
        <w:ind w:firstLine="4680" w:firstLineChars="195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60EE37C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F655E43">
      <w:pPr>
        <w:snapToGrid w:val="0"/>
        <w:spacing w:before="50" w:after="156" w:afterLines="50"/>
        <w:rPr>
          <w:rFonts w:hint="eastAsia" w:ascii="宋体" w:hAnsi="宋体" w:cs="宋体"/>
          <w:b/>
          <w:color w:val="auto"/>
          <w:sz w:val="24"/>
          <w:highlight w:val="none"/>
        </w:rPr>
      </w:pPr>
    </w:p>
    <w:p w14:paraId="772B0899">
      <w:pPr>
        <w:snapToGrid w:val="0"/>
        <w:spacing w:before="50" w:after="156" w:afterLines="50"/>
        <w:rPr>
          <w:rFonts w:hint="eastAsia" w:ascii="宋体" w:hAnsi="宋体" w:cs="宋体"/>
          <w:b/>
          <w:color w:val="auto"/>
          <w:szCs w:val="21"/>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（3）项目实施方案格式：</w:t>
      </w:r>
    </w:p>
    <w:p w14:paraId="3EA25420">
      <w:pPr>
        <w:pStyle w:val="13"/>
        <w:spacing w:line="400" w:lineRule="exact"/>
        <w:jc w:val="center"/>
        <w:rPr>
          <w:rFonts w:hint="eastAsia" w:hAnsi="宋体" w:cs="宋体"/>
          <w:color w:val="auto"/>
          <w:sz w:val="32"/>
          <w:szCs w:val="32"/>
          <w:highlight w:val="none"/>
          <w:lang w:eastAsia="zh-CN"/>
        </w:rPr>
      </w:pPr>
    </w:p>
    <w:p w14:paraId="0F1A9A7C">
      <w:pPr>
        <w:pStyle w:val="13"/>
        <w:spacing w:line="400" w:lineRule="exact"/>
        <w:jc w:val="center"/>
        <w:rPr>
          <w:rFonts w:hint="eastAsia" w:hAnsi="宋体" w:cs="宋体"/>
          <w:b/>
          <w:bCs/>
          <w:color w:val="auto"/>
          <w:sz w:val="32"/>
          <w:szCs w:val="32"/>
          <w:highlight w:val="none"/>
        </w:rPr>
      </w:pPr>
      <w:r>
        <w:rPr>
          <w:rFonts w:hint="eastAsia" w:hAnsi="宋体" w:cs="宋体"/>
          <w:b/>
          <w:bCs/>
          <w:color w:val="auto"/>
          <w:sz w:val="32"/>
          <w:szCs w:val="32"/>
          <w:highlight w:val="none"/>
          <w:lang w:eastAsia="zh-CN"/>
        </w:rPr>
        <w:t>项目实施</w:t>
      </w:r>
      <w:r>
        <w:rPr>
          <w:rFonts w:hint="eastAsia" w:hAnsi="宋体" w:cs="宋体"/>
          <w:b/>
          <w:bCs/>
          <w:color w:val="auto"/>
          <w:sz w:val="32"/>
          <w:szCs w:val="32"/>
          <w:highlight w:val="none"/>
        </w:rPr>
        <w:t>方案</w:t>
      </w:r>
    </w:p>
    <w:p w14:paraId="52DD73FD">
      <w:pPr>
        <w:pStyle w:val="13"/>
        <w:spacing w:line="440" w:lineRule="exact"/>
        <w:ind w:firstLine="420" w:firstLineChars="200"/>
        <w:rPr>
          <w:rFonts w:hint="eastAsia" w:hAnsi="宋体" w:cs="宋体"/>
          <w:color w:val="auto"/>
          <w:sz w:val="21"/>
          <w:highlight w:val="none"/>
        </w:rPr>
      </w:pPr>
    </w:p>
    <w:p w14:paraId="10265CB8">
      <w:pPr>
        <w:pStyle w:val="13"/>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由投标人按第二章《招标项目采购需求》要求自行填写，必须真实、诚信。</w:t>
      </w:r>
    </w:p>
    <w:p w14:paraId="79B314E8">
      <w:pPr>
        <w:pStyle w:val="13"/>
        <w:rPr>
          <w:rFonts w:hint="eastAsia" w:hAnsi="宋体" w:cs="宋体"/>
          <w:color w:val="auto"/>
          <w:highlight w:val="none"/>
          <w:lang w:eastAsia="zh-CN"/>
        </w:rPr>
      </w:pPr>
    </w:p>
    <w:p w14:paraId="75533628">
      <w:pPr>
        <w:pStyle w:val="13"/>
        <w:rPr>
          <w:rFonts w:hint="eastAsia" w:hAnsi="宋体" w:cs="宋体"/>
          <w:color w:val="auto"/>
          <w:sz w:val="21"/>
          <w:highlight w:val="none"/>
        </w:rPr>
      </w:pPr>
    </w:p>
    <w:p w14:paraId="18B33DE7">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5043018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7C8EE94F">
      <w:pPr>
        <w:snapToGrid w:val="0"/>
        <w:spacing w:before="50"/>
        <w:jc w:val="left"/>
        <w:rPr>
          <w:rFonts w:hint="eastAsia" w:ascii="宋体" w:hAnsi="宋体" w:cs="宋体"/>
          <w:b/>
          <w:color w:val="auto"/>
          <w:szCs w:val="21"/>
          <w:highlight w:val="none"/>
        </w:rPr>
      </w:pPr>
    </w:p>
    <w:p w14:paraId="2C711ECA">
      <w:pPr>
        <w:snapToGrid w:val="0"/>
        <w:spacing w:before="50"/>
        <w:jc w:val="left"/>
        <w:rPr>
          <w:rFonts w:hint="eastAsia" w:ascii="宋体" w:hAnsi="宋体" w:cs="宋体"/>
          <w:b/>
          <w:color w:val="auto"/>
          <w:szCs w:val="21"/>
          <w:highlight w:val="none"/>
        </w:rPr>
      </w:pPr>
    </w:p>
    <w:p w14:paraId="34223F9F">
      <w:pPr>
        <w:pStyle w:val="12"/>
        <w:rPr>
          <w:rFonts w:hint="eastAsia" w:ascii="宋体" w:hAnsi="宋体" w:eastAsia="宋体" w:cs="宋体"/>
          <w:color w:val="auto"/>
          <w:highlight w:val="none"/>
        </w:rPr>
      </w:pPr>
    </w:p>
    <w:p w14:paraId="0F505910">
      <w:pPr>
        <w:snapToGrid w:val="0"/>
        <w:spacing w:before="50" w:after="156" w:afterLines="50"/>
        <w:rPr>
          <w:rFonts w:hint="eastAsia" w:ascii="宋体" w:hAnsi="宋体" w:cs="宋体"/>
          <w:b/>
          <w:color w:val="auto"/>
          <w:szCs w:val="21"/>
          <w:highlight w:val="none"/>
        </w:rPr>
      </w:pPr>
    </w:p>
    <w:p w14:paraId="6F28183B">
      <w:pPr>
        <w:pStyle w:val="12"/>
        <w:rPr>
          <w:rFonts w:hint="eastAsia" w:ascii="宋体" w:hAnsi="宋体" w:eastAsia="宋体" w:cs="宋体"/>
          <w:color w:val="auto"/>
          <w:highlight w:val="none"/>
        </w:rPr>
      </w:pPr>
    </w:p>
    <w:p w14:paraId="3A301687">
      <w:pPr>
        <w:snapToGrid w:val="0"/>
        <w:spacing w:before="50"/>
        <w:jc w:val="left"/>
        <w:rPr>
          <w:rFonts w:hint="eastAsia" w:ascii="宋体" w:hAnsi="宋体" w:cs="宋体"/>
          <w:b/>
          <w:color w:val="auto"/>
          <w:szCs w:val="21"/>
          <w:highlight w:val="none"/>
        </w:rPr>
      </w:pPr>
    </w:p>
    <w:p w14:paraId="52435B7A">
      <w:pPr>
        <w:snapToGrid w:val="0"/>
        <w:spacing w:before="50"/>
        <w:jc w:val="left"/>
        <w:rPr>
          <w:rFonts w:hint="eastAsia" w:ascii="宋体" w:hAnsi="宋体" w:cs="宋体"/>
          <w:b/>
          <w:color w:val="auto"/>
          <w:szCs w:val="21"/>
          <w:highlight w:val="none"/>
        </w:rPr>
      </w:pPr>
    </w:p>
    <w:p w14:paraId="597959C0">
      <w:pPr>
        <w:snapToGrid w:val="0"/>
        <w:spacing w:before="50"/>
        <w:jc w:val="left"/>
        <w:rPr>
          <w:rFonts w:hint="eastAsia" w:ascii="宋体" w:hAnsi="宋体" w:cs="宋体"/>
          <w:b/>
          <w:color w:val="auto"/>
          <w:szCs w:val="21"/>
          <w:highlight w:val="none"/>
        </w:rPr>
      </w:pPr>
    </w:p>
    <w:p w14:paraId="51393C41">
      <w:pPr>
        <w:snapToGrid w:val="0"/>
        <w:spacing w:before="50"/>
        <w:jc w:val="left"/>
        <w:rPr>
          <w:rFonts w:hint="eastAsia" w:ascii="宋体" w:hAnsi="宋体" w:cs="宋体"/>
          <w:b/>
          <w:color w:val="auto"/>
          <w:szCs w:val="21"/>
          <w:highlight w:val="none"/>
        </w:rPr>
      </w:pPr>
    </w:p>
    <w:p w14:paraId="69E5B607">
      <w:pPr>
        <w:snapToGrid w:val="0"/>
        <w:spacing w:before="50"/>
        <w:jc w:val="left"/>
        <w:rPr>
          <w:rFonts w:hint="eastAsia" w:ascii="宋体" w:hAnsi="宋体" w:cs="宋体"/>
          <w:b/>
          <w:color w:val="auto"/>
          <w:szCs w:val="21"/>
          <w:highlight w:val="none"/>
        </w:rPr>
      </w:pPr>
    </w:p>
    <w:p w14:paraId="24FE6F42">
      <w:pPr>
        <w:snapToGrid w:val="0"/>
        <w:spacing w:before="50"/>
        <w:jc w:val="left"/>
        <w:rPr>
          <w:rFonts w:hint="eastAsia" w:ascii="宋体" w:hAnsi="宋体" w:cs="宋体"/>
          <w:b/>
          <w:color w:val="auto"/>
          <w:szCs w:val="21"/>
          <w:highlight w:val="none"/>
        </w:rPr>
      </w:pPr>
    </w:p>
    <w:p w14:paraId="549DDDEC">
      <w:pPr>
        <w:tabs>
          <w:tab w:val="left" w:pos="3870"/>
          <w:tab w:val="left" w:pos="4085"/>
        </w:tabs>
        <w:snapToGrid w:val="0"/>
        <w:spacing w:line="360" w:lineRule="auto"/>
        <w:jc w:val="left"/>
        <w:rPr>
          <w:rFonts w:hint="eastAsia" w:ascii="宋体" w:hAnsi="宋体" w:cs="宋体"/>
          <w:b/>
          <w:color w:val="auto"/>
          <w:szCs w:val="21"/>
          <w:highlight w:val="none"/>
        </w:rPr>
      </w:pPr>
    </w:p>
    <w:p w14:paraId="765009AE">
      <w:pPr>
        <w:snapToGrid w:val="0"/>
        <w:spacing w:before="50"/>
        <w:jc w:val="left"/>
        <w:rPr>
          <w:rFonts w:hint="eastAsia" w:ascii="宋体" w:hAnsi="宋体" w:cs="宋体"/>
          <w:b/>
          <w:color w:val="auto"/>
          <w:szCs w:val="21"/>
          <w:highlight w:val="none"/>
        </w:rPr>
      </w:pPr>
    </w:p>
    <w:p w14:paraId="3A51C72C">
      <w:pPr>
        <w:pStyle w:val="12"/>
        <w:rPr>
          <w:rFonts w:hint="eastAsia" w:ascii="宋体" w:hAnsi="宋体" w:eastAsia="宋体" w:cs="宋体"/>
          <w:color w:val="auto"/>
          <w:highlight w:val="none"/>
        </w:rPr>
      </w:pPr>
    </w:p>
    <w:p w14:paraId="3E211787">
      <w:pPr>
        <w:pStyle w:val="12"/>
        <w:rPr>
          <w:rFonts w:hint="eastAsia" w:ascii="宋体" w:hAnsi="宋体" w:eastAsia="宋体" w:cs="宋体"/>
          <w:color w:val="auto"/>
          <w:highlight w:val="none"/>
        </w:rPr>
      </w:pPr>
    </w:p>
    <w:p w14:paraId="54DF5CB4">
      <w:pPr>
        <w:pStyle w:val="12"/>
        <w:rPr>
          <w:rFonts w:hint="eastAsia" w:ascii="宋体" w:hAnsi="宋体" w:eastAsia="宋体" w:cs="宋体"/>
          <w:color w:val="auto"/>
          <w:highlight w:val="none"/>
        </w:rPr>
      </w:pPr>
    </w:p>
    <w:p w14:paraId="7C611A18">
      <w:pPr>
        <w:pStyle w:val="12"/>
        <w:rPr>
          <w:rFonts w:hint="eastAsia" w:ascii="宋体" w:hAnsi="宋体" w:eastAsia="宋体" w:cs="宋体"/>
          <w:color w:val="auto"/>
          <w:highlight w:val="none"/>
        </w:rPr>
      </w:pPr>
    </w:p>
    <w:p w14:paraId="6BE6B064">
      <w:pPr>
        <w:pStyle w:val="12"/>
        <w:rPr>
          <w:rFonts w:hint="eastAsia" w:ascii="宋体" w:hAnsi="宋体" w:eastAsia="宋体" w:cs="宋体"/>
          <w:color w:val="auto"/>
          <w:highlight w:val="none"/>
        </w:rPr>
      </w:pPr>
    </w:p>
    <w:p w14:paraId="57733840">
      <w:pPr>
        <w:pStyle w:val="12"/>
        <w:rPr>
          <w:rFonts w:hint="eastAsia" w:ascii="宋体" w:hAnsi="宋体" w:eastAsia="宋体" w:cs="宋体"/>
          <w:color w:val="auto"/>
          <w:highlight w:val="none"/>
        </w:rPr>
      </w:pPr>
    </w:p>
    <w:p w14:paraId="56FC1545">
      <w:pPr>
        <w:pStyle w:val="12"/>
        <w:rPr>
          <w:rFonts w:hint="eastAsia" w:ascii="宋体" w:hAnsi="宋体" w:eastAsia="宋体" w:cs="宋体"/>
          <w:color w:val="auto"/>
          <w:highlight w:val="none"/>
        </w:rPr>
      </w:pPr>
    </w:p>
    <w:p w14:paraId="2D344B9C">
      <w:pPr>
        <w:snapToGrid w:val="0"/>
        <w:spacing w:before="50"/>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 w:val="24"/>
          <w:highlight w:val="none"/>
        </w:rPr>
        <w:t>（4）项目实施人员一览表格式：</w:t>
      </w:r>
    </w:p>
    <w:p w14:paraId="3243445E">
      <w:pPr>
        <w:snapToGrid w:val="0"/>
        <w:spacing w:before="156" w:beforeLines="50" w:after="50"/>
        <w:jc w:val="center"/>
        <w:rPr>
          <w:rFonts w:hint="eastAsia" w:ascii="宋体" w:hAnsi="宋体" w:cs="宋体"/>
          <w:b/>
          <w:color w:val="auto"/>
          <w:szCs w:val="21"/>
          <w:highlight w:val="none"/>
        </w:rPr>
      </w:pPr>
    </w:p>
    <w:p w14:paraId="63083C12">
      <w:pPr>
        <w:snapToGrid w:val="0"/>
        <w:spacing w:before="156" w:beforeLines="50" w:after="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项目实施人员（主要从业人员及其技术资格）一览表</w:t>
      </w:r>
    </w:p>
    <w:p w14:paraId="6AF04BB7">
      <w:pPr>
        <w:snapToGrid w:val="0"/>
        <w:spacing w:before="156" w:beforeLines="50" w:after="50"/>
        <w:rPr>
          <w:rFonts w:hint="eastAsia" w:ascii="宋体" w:hAnsi="宋体" w:cs="宋体"/>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4"/>
        <w:gridCol w:w="1094"/>
        <w:gridCol w:w="1812"/>
        <w:gridCol w:w="1374"/>
        <w:gridCol w:w="2583"/>
        <w:gridCol w:w="1341"/>
      </w:tblGrid>
      <w:tr w14:paraId="5F82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AEDA481">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2F48CDF">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FD49153">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专业技术资格</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3C05EE">
            <w:pPr>
              <w:snapToGrid w:val="0"/>
              <w:spacing w:before="156" w:beforeLines="50" w:after="50"/>
              <w:jc w:val="center"/>
              <w:rPr>
                <w:rFonts w:hint="eastAsia" w:ascii="宋体" w:hAnsi="宋体" w:cs="宋体"/>
                <w:color w:val="auto"/>
                <w:sz w:val="24"/>
                <w:highlight w:val="none"/>
              </w:rPr>
            </w:pPr>
            <w:r>
              <w:rPr>
                <w:rFonts w:hint="eastAsia" w:ascii="宋体" w:hAnsi="宋体" w:cs="宋体"/>
                <w:color w:val="auto"/>
                <w:sz w:val="24"/>
                <w:highlight w:val="none"/>
              </w:rPr>
              <w:t>证书编号</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17853D4">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参加本单位工作时间</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D59FCCB">
            <w:pPr>
              <w:snapToGrid w:val="0"/>
              <w:spacing w:before="156" w:beforeLines="50" w:after="50"/>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0634D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59A488DE">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34215C1">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149533F">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A178F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BB1654D">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0B27A63">
            <w:pPr>
              <w:snapToGrid w:val="0"/>
              <w:spacing w:before="156" w:beforeLines="50" w:after="50"/>
              <w:jc w:val="center"/>
              <w:rPr>
                <w:rFonts w:hint="eastAsia" w:ascii="宋体" w:hAnsi="宋体" w:cs="宋体"/>
                <w:color w:val="auto"/>
                <w:sz w:val="24"/>
                <w:highlight w:val="none"/>
              </w:rPr>
            </w:pPr>
          </w:p>
        </w:tc>
      </w:tr>
      <w:tr w14:paraId="22706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EA69402">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5B6D3A76">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A909605">
            <w:pPr>
              <w:snapToGrid w:val="0"/>
              <w:spacing w:before="156" w:beforeLines="50" w:after="50"/>
              <w:jc w:val="center"/>
              <w:rPr>
                <w:rFonts w:hint="eastAsia" w:ascii="宋体" w:hAnsi="宋体" w:cs="宋体"/>
                <w:color w:val="auto"/>
                <w:sz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5D3861">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653AAB1F">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6B0A30A">
            <w:pPr>
              <w:snapToGrid w:val="0"/>
              <w:spacing w:before="156" w:beforeLines="50" w:after="50"/>
              <w:jc w:val="center"/>
              <w:rPr>
                <w:rFonts w:hint="eastAsia" w:ascii="宋体" w:hAnsi="宋体" w:cs="宋体"/>
                <w:color w:val="auto"/>
                <w:sz w:val="24"/>
                <w:highlight w:val="none"/>
              </w:rPr>
            </w:pPr>
          </w:p>
        </w:tc>
      </w:tr>
      <w:tr w14:paraId="702E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74957DD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3952FCF">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5D24850A">
            <w:pPr>
              <w:pStyle w:val="14"/>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88D2137">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17D2102">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16C5714">
            <w:pPr>
              <w:snapToGrid w:val="0"/>
              <w:spacing w:before="156" w:beforeLines="50" w:after="50"/>
              <w:jc w:val="center"/>
              <w:rPr>
                <w:rFonts w:hint="eastAsia" w:ascii="宋体" w:hAnsi="宋体" w:cs="宋体"/>
                <w:color w:val="auto"/>
                <w:sz w:val="24"/>
                <w:highlight w:val="none"/>
              </w:rPr>
            </w:pPr>
          </w:p>
        </w:tc>
      </w:tr>
      <w:tr w14:paraId="7341A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85F85B5">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37A65770">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6E46D59E">
            <w:pPr>
              <w:pStyle w:val="14"/>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3DF3853">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AC6B880">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B76474">
            <w:pPr>
              <w:snapToGrid w:val="0"/>
              <w:spacing w:before="156" w:beforeLines="50" w:after="50"/>
              <w:jc w:val="center"/>
              <w:rPr>
                <w:rFonts w:hint="eastAsia" w:ascii="宋体" w:hAnsi="宋体" w:cs="宋体"/>
                <w:color w:val="auto"/>
                <w:sz w:val="24"/>
                <w:highlight w:val="none"/>
              </w:rPr>
            </w:pPr>
          </w:p>
        </w:tc>
      </w:tr>
      <w:tr w14:paraId="738B9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DC37031">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24899C0D">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3F3B52E5">
            <w:pPr>
              <w:pStyle w:val="14"/>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E1B10C">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20C19C8E">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11444F0">
            <w:pPr>
              <w:snapToGrid w:val="0"/>
              <w:spacing w:before="156" w:beforeLines="50" w:after="50"/>
              <w:jc w:val="center"/>
              <w:rPr>
                <w:rFonts w:hint="eastAsia" w:ascii="宋体" w:hAnsi="宋体" w:cs="宋体"/>
                <w:color w:val="auto"/>
                <w:sz w:val="24"/>
                <w:highlight w:val="none"/>
              </w:rPr>
            </w:pPr>
          </w:p>
        </w:tc>
      </w:tr>
      <w:tr w14:paraId="144EE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C49A1A4">
            <w:pPr>
              <w:snapToGrid w:val="0"/>
              <w:spacing w:before="156" w:beforeLines="50" w:after="50"/>
              <w:jc w:val="center"/>
              <w:rPr>
                <w:rFonts w:hint="eastAsia" w:ascii="宋体" w:hAnsi="宋体" w:cs="宋体"/>
                <w:color w:val="auto"/>
                <w:sz w:val="24"/>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center"/>
          </w:tcPr>
          <w:p w14:paraId="1DBB4727">
            <w:pPr>
              <w:snapToGrid w:val="0"/>
              <w:spacing w:before="156" w:beforeLines="50" w:after="50"/>
              <w:jc w:val="center"/>
              <w:rPr>
                <w:rFonts w:hint="eastAsia" w:ascii="宋体" w:hAnsi="宋体" w:cs="宋体"/>
                <w:color w:val="auto"/>
                <w:sz w:val="24"/>
                <w:highlight w:val="none"/>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14:paraId="126C2848">
            <w:pPr>
              <w:pStyle w:val="14"/>
              <w:snapToGrid w:val="0"/>
              <w:spacing w:before="156" w:beforeLines="50" w:after="50"/>
              <w:ind w:left="5250"/>
              <w:jc w:val="center"/>
              <w:rPr>
                <w:rFonts w:hint="eastAsia" w:hAnsi="宋体" w:cs="宋体"/>
                <w:color w:val="auto"/>
                <w:sz w:val="24"/>
                <w:szCs w:val="24"/>
                <w:highlight w:val="none"/>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C472EFB">
            <w:pPr>
              <w:snapToGrid w:val="0"/>
              <w:spacing w:before="156" w:beforeLines="50" w:after="50"/>
              <w:jc w:val="center"/>
              <w:rPr>
                <w:rFonts w:hint="eastAsia" w:ascii="宋体" w:hAnsi="宋体" w:cs="宋体"/>
                <w:color w:val="auto"/>
                <w:sz w:val="24"/>
                <w:highlight w:val="none"/>
              </w:rPr>
            </w:pPr>
          </w:p>
        </w:tc>
        <w:tc>
          <w:tcPr>
            <w:tcW w:w="2583" w:type="dxa"/>
            <w:tcBorders>
              <w:top w:val="single" w:color="auto" w:sz="4" w:space="0"/>
              <w:left w:val="single" w:color="auto" w:sz="4" w:space="0"/>
              <w:bottom w:val="single" w:color="auto" w:sz="4" w:space="0"/>
              <w:right w:val="single" w:color="auto" w:sz="4" w:space="0"/>
            </w:tcBorders>
            <w:noWrap w:val="0"/>
            <w:vAlign w:val="center"/>
          </w:tcPr>
          <w:p w14:paraId="37E21149">
            <w:pPr>
              <w:snapToGrid w:val="0"/>
              <w:spacing w:before="156" w:beforeLines="50" w:after="50"/>
              <w:jc w:val="center"/>
              <w:rPr>
                <w:rFonts w:hint="eastAsia" w:ascii="宋体" w:hAnsi="宋体" w:cs="宋体"/>
                <w:color w:val="auto"/>
                <w:sz w:val="24"/>
                <w:highlight w:val="none"/>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8815BCE">
            <w:pPr>
              <w:snapToGrid w:val="0"/>
              <w:spacing w:before="156" w:beforeLines="50" w:after="50"/>
              <w:jc w:val="center"/>
              <w:rPr>
                <w:rFonts w:hint="eastAsia" w:ascii="宋体" w:hAnsi="宋体" w:cs="宋体"/>
                <w:color w:val="auto"/>
                <w:sz w:val="24"/>
                <w:highlight w:val="none"/>
              </w:rPr>
            </w:pPr>
          </w:p>
        </w:tc>
      </w:tr>
    </w:tbl>
    <w:p w14:paraId="6A9BD1C8">
      <w:pPr>
        <w:snapToGrid w:val="0"/>
        <w:spacing w:before="50" w:after="156" w:afterLines="50"/>
        <w:jc w:val="left"/>
        <w:rPr>
          <w:rFonts w:hint="eastAsia" w:ascii="宋体" w:hAnsi="宋体" w:cs="宋体"/>
          <w:color w:val="auto"/>
          <w:sz w:val="24"/>
          <w:highlight w:val="none"/>
        </w:rPr>
      </w:pPr>
      <w:r>
        <w:rPr>
          <w:rFonts w:hint="eastAsia" w:ascii="宋体" w:hAnsi="宋体" w:cs="宋体"/>
          <w:color w:val="auto"/>
          <w:sz w:val="24"/>
          <w:highlight w:val="none"/>
        </w:rPr>
        <w:t>注：在填写时，如本表格不适合投标单位的实际情况，可根据本表格式自行制表填写。</w:t>
      </w:r>
    </w:p>
    <w:p w14:paraId="1852EE16">
      <w:pPr>
        <w:pStyle w:val="13"/>
        <w:ind w:firstLine="4305" w:firstLineChars="2050"/>
        <w:rPr>
          <w:rFonts w:hint="eastAsia" w:hAnsi="宋体" w:cs="宋体"/>
          <w:color w:val="auto"/>
          <w:sz w:val="21"/>
          <w:highlight w:val="none"/>
        </w:rPr>
      </w:pPr>
    </w:p>
    <w:p w14:paraId="694B3047">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9ACC4A6">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5A0A89D">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3BAA9D5">
      <w:pPr>
        <w:snapToGrid w:val="0"/>
        <w:spacing w:before="50"/>
        <w:jc w:val="left"/>
        <w:rPr>
          <w:rFonts w:hint="eastAsia" w:ascii="宋体" w:hAnsi="宋体" w:cs="宋体"/>
          <w:color w:val="auto"/>
          <w:szCs w:val="21"/>
          <w:highlight w:val="none"/>
        </w:rPr>
      </w:pPr>
    </w:p>
    <w:p w14:paraId="6B89FF8A">
      <w:pPr>
        <w:spacing w:before="91" w:line="190" w:lineRule="auto"/>
        <w:ind w:firstLine="3848"/>
        <w:rPr>
          <w:rFonts w:hint="eastAsia" w:ascii="宋体" w:hAnsi="宋体" w:cs="宋体"/>
          <w:color w:val="auto"/>
          <w:szCs w:val="21"/>
          <w:highlight w:val="none"/>
        </w:rPr>
      </w:pPr>
    </w:p>
    <w:p w14:paraId="3EE40A15">
      <w:pPr>
        <w:pStyle w:val="12"/>
        <w:rPr>
          <w:rFonts w:hint="eastAsia" w:ascii="宋体" w:hAnsi="宋体" w:eastAsia="宋体" w:cs="宋体"/>
          <w:color w:val="auto"/>
          <w:highlight w:val="none"/>
        </w:rPr>
      </w:pPr>
    </w:p>
    <w:p w14:paraId="44F927CE">
      <w:pPr>
        <w:pStyle w:val="12"/>
        <w:rPr>
          <w:rFonts w:hint="eastAsia" w:ascii="宋体" w:hAnsi="宋体" w:eastAsia="宋体" w:cs="宋体"/>
          <w:color w:val="auto"/>
          <w:highlight w:val="none"/>
        </w:rPr>
      </w:pPr>
    </w:p>
    <w:p w14:paraId="6CD545C8">
      <w:pPr>
        <w:pStyle w:val="12"/>
        <w:rPr>
          <w:rFonts w:hint="eastAsia" w:ascii="宋体" w:hAnsi="宋体" w:eastAsia="宋体" w:cs="宋体"/>
          <w:color w:val="auto"/>
          <w:highlight w:val="none"/>
        </w:rPr>
      </w:pPr>
    </w:p>
    <w:p w14:paraId="1E9FECF6">
      <w:pPr>
        <w:pStyle w:val="12"/>
        <w:rPr>
          <w:rFonts w:hint="eastAsia" w:ascii="宋体" w:hAnsi="宋体" w:eastAsia="宋体" w:cs="宋体"/>
          <w:color w:val="auto"/>
          <w:highlight w:val="none"/>
        </w:rPr>
      </w:pPr>
    </w:p>
    <w:p w14:paraId="4DE91E06">
      <w:pPr>
        <w:snapToGrid w:val="0"/>
        <w:spacing w:before="50"/>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 w:val="24"/>
          <w:highlight w:val="none"/>
        </w:rPr>
        <w:t>（5）服务承诺方案格式：</w:t>
      </w:r>
    </w:p>
    <w:p w14:paraId="7860149D">
      <w:pPr>
        <w:snapToGrid w:val="0"/>
        <w:spacing w:before="50"/>
        <w:jc w:val="left"/>
        <w:rPr>
          <w:rFonts w:hint="eastAsia" w:ascii="宋体" w:hAnsi="宋体" w:cs="宋体"/>
          <w:color w:val="auto"/>
          <w:szCs w:val="21"/>
          <w:highlight w:val="none"/>
        </w:rPr>
      </w:pPr>
    </w:p>
    <w:p w14:paraId="1EE9CCB0">
      <w:pPr>
        <w:spacing w:line="360" w:lineRule="auto"/>
        <w:jc w:val="center"/>
        <w:outlineLvl w:val="2"/>
        <w:rPr>
          <w:rFonts w:hint="eastAsia" w:ascii="宋体" w:hAnsi="宋体" w:cs="宋体"/>
          <w:b/>
          <w:bCs/>
          <w:color w:val="auto"/>
          <w:sz w:val="32"/>
          <w:szCs w:val="32"/>
          <w:highlight w:val="none"/>
        </w:rPr>
      </w:pPr>
      <w:bookmarkStart w:id="114" w:name="_Toc26174"/>
      <w:r>
        <w:rPr>
          <w:rFonts w:hint="eastAsia" w:ascii="宋体" w:hAnsi="宋体" w:cs="宋体"/>
          <w:b/>
          <w:bCs/>
          <w:color w:val="auto"/>
          <w:sz w:val="32"/>
          <w:szCs w:val="32"/>
          <w:highlight w:val="none"/>
        </w:rPr>
        <w:t>服务承诺方案</w:t>
      </w:r>
      <w:bookmarkEnd w:id="114"/>
    </w:p>
    <w:p w14:paraId="42AD2097">
      <w:pPr>
        <w:pStyle w:val="13"/>
        <w:spacing w:line="360" w:lineRule="auto"/>
        <w:ind w:firstLine="482" w:firstLineChars="200"/>
        <w:rPr>
          <w:rFonts w:hint="eastAsia" w:hAnsi="宋体" w:cs="宋体"/>
          <w:b/>
          <w:bCs/>
          <w:color w:val="auto"/>
          <w:sz w:val="24"/>
          <w:szCs w:val="24"/>
          <w:highlight w:val="none"/>
        </w:rPr>
      </w:pPr>
    </w:p>
    <w:p w14:paraId="6890ACFC">
      <w:pPr>
        <w:pStyle w:val="13"/>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第1条  对合同条款、付款方式全部予以响应。</w:t>
      </w:r>
    </w:p>
    <w:p w14:paraId="62B1AF1D">
      <w:pPr>
        <w:pStyle w:val="1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第2条 （由</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按第</w:t>
      </w:r>
      <w:r>
        <w:rPr>
          <w:rFonts w:hint="eastAsia" w:hAnsi="宋体" w:cs="宋体"/>
          <w:color w:val="auto"/>
          <w:sz w:val="24"/>
          <w:szCs w:val="24"/>
          <w:highlight w:val="none"/>
          <w:lang w:eastAsia="zh-CN"/>
        </w:rPr>
        <w:t>二</w:t>
      </w:r>
      <w:r>
        <w:rPr>
          <w:rFonts w:hint="eastAsia" w:hAnsi="宋体" w:cs="宋体"/>
          <w:color w:val="auto"/>
          <w:sz w:val="24"/>
          <w:szCs w:val="24"/>
          <w:highlight w:val="none"/>
        </w:rPr>
        <w:t>章《</w:t>
      </w:r>
      <w:r>
        <w:rPr>
          <w:rFonts w:hint="eastAsia" w:hAnsi="宋体" w:cs="宋体"/>
          <w:color w:val="auto"/>
          <w:sz w:val="24"/>
          <w:szCs w:val="24"/>
          <w:highlight w:val="none"/>
          <w:lang w:eastAsia="zh-CN"/>
        </w:rPr>
        <w:t>项目</w:t>
      </w:r>
      <w:r>
        <w:rPr>
          <w:rFonts w:hint="eastAsia" w:hAnsi="宋体" w:cs="宋体"/>
          <w:color w:val="auto"/>
          <w:sz w:val="24"/>
          <w:szCs w:val="24"/>
          <w:highlight w:val="none"/>
        </w:rPr>
        <w:t>采购需求》要求自行填写，所作的承诺作为构成合同不可分割的部分，必须真实、诚信，如提供虚假承诺或在中标、成交后不按其承诺履行的，将依法追究违约责任，并按《中华人民共和国政府采购法》规定予以处罚。）</w:t>
      </w:r>
    </w:p>
    <w:p w14:paraId="048A0CFF">
      <w:pPr>
        <w:pStyle w:val="13"/>
        <w:spacing w:line="360" w:lineRule="auto"/>
        <w:ind w:firstLine="480" w:firstLineChars="200"/>
        <w:rPr>
          <w:rFonts w:hint="eastAsia" w:hAnsi="宋体" w:cs="宋体"/>
          <w:color w:val="auto"/>
          <w:sz w:val="24"/>
          <w:szCs w:val="24"/>
          <w:highlight w:val="none"/>
        </w:rPr>
      </w:pPr>
    </w:p>
    <w:p w14:paraId="1DF9B296">
      <w:pPr>
        <w:pStyle w:val="13"/>
        <w:spacing w:line="360" w:lineRule="auto"/>
        <w:rPr>
          <w:rFonts w:hint="eastAsia" w:hAnsi="宋体" w:cs="宋体"/>
          <w:color w:val="auto"/>
          <w:sz w:val="24"/>
          <w:szCs w:val="24"/>
          <w:highlight w:val="none"/>
        </w:rPr>
      </w:pPr>
    </w:p>
    <w:p w14:paraId="424D31C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备注：以上为服务承诺格式，第1条为供应商必须列明，其余条款供应商可根据实际情况一一列明。</w:t>
      </w:r>
    </w:p>
    <w:p w14:paraId="5A977C09">
      <w:pPr>
        <w:snapToGrid w:val="0"/>
        <w:spacing w:before="50"/>
        <w:jc w:val="left"/>
        <w:rPr>
          <w:rFonts w:hint="eastAsia" w:ascii="宋体" w:hAnsi="宋体" w:cs="宋体"/>
          <w:color w:val="auto"/>
          <w:szCs w:val="21"/>
          <w:highlight w:val="none"/>
        </w:rPr>
      </w:pPr>
    </w:p>
    <w:p w14:paraId="6DA8DB74">
      <w:pPr>
        <w:snapToGrid w:val="0"/>
        <w:spacing w:before="50"/>
        <w:jc w:val="left"/>
        <w:rPr>
          <w:rFonts w:hint="eastAsia" w:ascii="宋体" w:hAnsi="宋体" w:cs="宋体"/>
          <w:color w:val="auto"/>
          <w:szCs w:val="21"/>
          <w:highlight w:val="none"/>
        </w:rPr>
      </w:pPr>
    </w:p>
    <w:p w14:paraId="7915F56D">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016D93D">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5A92D2C">
      <w:pPr>
        <w:snapToGrid w:val="0"/>
        <w:spacing w:before="50"/>
        <w:jc w:val="left"/>
        <w:rPr>
          <w:rFonts w:hint="eastAsia" w:ascii="宋体" w:hAnsi="宋体" w:cs="宋体"/>
          <w:color w:val="auto"/>
          <w:szCs w:val="21"/>
          <w:highlight w:val="none"/>
        </w:rPr>
      </w:pPr>
    </w:p>
    <w:p w14:paraId="7548D8ED">
      <w:pPr>
        <w:snapToGrid w:val="0"/>
        <w:spacing w:before="50"/>
        <w:jc w:val="left"/>
        <w:rPr>
          <w:rFonts w:hint="eastAsia" w:ascii="宋体" w:hAnsi="宋体" w:cs="宋体"/>
          <w:color w:val="auto"/>
          <w:szCs w:val="21"/>
          <w:highlight w:val="none"/>
        </w:rPr>
      </w:pPr>
    </w:p>
    <w:p w14:paraId="3133818B">
      <w:pPr>
        <w:snapToGrid w:val="0"/>
        <w:spacing w:before="50"/>
        <w:jc w:val="left"/>
        <w:rPr>
          <w:rFonts w:hint="eastAsia" w:ascii="宋体" w:hAnsi="宋体" w:cs="宋体"/>
          <w:color w:val="auto"/>
          <w:szCs w:val="21"/>
          <w:highlight w:val="none"/>
        </w:rPr>
      </w:pPr>
    </w:p>
    <w:p w14:paraId="50F2802D">
      <w:pPr>
        <w:snapToGrid w:val="0"/>
        <w:spacing w:before="50"/>
        <w:jc w:val="left"/>
        <w:rPr>
          <w:rFonts w:hint="eastAsia" w:ascii="宋体" w:hAnsi="宋体" w:cs="宋体"/>
          <w:color w:val="auto"/>
          <w:szCs w:val="21"/>
          <w:highlight w:val="none"/>
        </w:rPr>
      </w:pPr>
    </w:p>
    <w:p w14:paraId="381EBC58">
      <w:pPr>
        <w:snapToGrid w:val="0"/>
        <w:spacing w:before="50"/>
        <w:jc w:val="left"/>
        <w:rPr>
          <w:rFonts w:hint="eastAsia" w:ascii="宋体" w:hAnsi="宋体" w:cs="宋体"/>
          <w:color w:val="auto"/>
          <w:szCs w:val="21"/>
          <w:highlight w:val="none"/>
        </w:rPr>
      </w:pPr>
    </w:p>
    <w:p w14:paraId="5888F305">
      <w:pPr>
        <w:snapToGrid w:val="0"/>
        <w:spacing w:before="50"/>
        <w:jc w:val="left"/>
        <w:rPr>
          <w:rFonts w:hint="eastAsia" w:ascii="宋体" w:hAnsi="宋体" w:cs="宋体"/>
          <w:color w:val="auto"/>
          <w:szCs w:val="21"/>
          <w:highlight w:val="none"/>
        </w:rPr>
      </w:pPr>
    </w:p>
    <w:p w14:paraId="781B1010">
      <w:pPr>
        <w:snapToGrid w:val="0"/>
        <w:spacing w:before="50"/>
        <w:jc w:val="left"/>
        <w:rPr>
          <w:rFonts w:hint="eastAsia" w:ascii="宋体" w:hAnsi="宋体" w:cs="宋体"/>
          <w:color w:val="auto"/>
          <w:szCs w:val="21"/>
          <w:highlight w:val="none"/>
        </w:rPr>
      </w:pPr>
    </w:p>
    <w:p w14:paraId="51E3C8DF">
      <w:pPr>
        <w:snapToGrid w:val="0"/>
        <w:spacing w:before="50"/>
        <w:jc w:val="left"/>
        <w:rPr>
          <w:rFonts w:hint="eastAsia" w:ascii="宋体" w:hAnsi="宋体" w:cs="宋体"/>
          <w:color w:val="auto"/>
          <w:szCs w:val="21"/>
          <w:highlight w:val="none"/>
        </w:rPr>
      </w:pPr>
    </w:p>
    <w:p w14:paraId="577D5863">
      <w:pPr>
        <w:snapToGrid w:val="0"/>
        <w:spacing w:before="50"/>
        <w:jc w:val="left"/>
        <w:rPr>
          <w:rFonts w:hint="eastAsia" w:ascii="宋体" w:hAnsi="宋体" w:cs="宋体"/>
          <w:color w:val="auto"/>
          <w:szCs w:val="21"/>
          <w:highlight w:val="none"/>
        </w:rPr>
      </w:pPr>
    </w:p>
    <w:p w14:paraId="388CE53A">
      <w:pPr>
        <w:snapToGrid w:val="0"/>
        <w:spacing w:before="50"/>
        <w:jc w:val="left"/>
        <w:rPr>
          <w:rFonts w:hint="eastAsia" w:ascii="宋体" w:hAnsi="宋体" w:cs="宋体"/>
          <w:color w:val="auto"/>
          <w:szCs w:val="21"/>
          <w:highlight w:val="none"/>
        </w:rPr>
      </w:pPr>
    </w:p>
    <w:p w14:paraId="15997C49">
      <w:pPr>
        <w:snapToGrid w:val="0"/>
        <w:spacing w:before="50"/>
        <w:jc w:val="left"/>
        <w:rPr>
          <w:rFonts w:hint="eastAsia" w:ascii="宋体" w:hAnsi="宋体" w:cs="宋体"/>
          <w:color w:val="auto"/>
          <w:szCs w:val="21"/>
          <w:highlight w:val="none"/>
        </w:rPr>
      </w:pPr>
    </w:p>
    <w:p w14:paraId="72326D78">
      <w:pPr>
        <w:snapToGrid w:val="0"/>
        <w:spacing w:before="50"/>
        <w:jc w:val="left"/>
        <w:rPr>
          <w:rFonts w:hint="eastAsia" w:ascii="宋体" w:hAnsi="宋体" w:cs="宋体"/>
          <w:color w:val="auto"/>
          <w:szCs w:val="21"/>
          <w:highlight w:val="none"/>
        </w:rPr>
      </w:pPr>
    </w:p>
    <w:p w14:paraId="27077BD0">
      <w:pPr>
        <w:snapToGrid w:val="0"/>
        <w:spacing w:before="50"/>
        <w:jc w:val="left"/>
        <w:rPr>
          <w:rFonts w:hint="eastAsia" w:ascii="宋体" w:hAnsi="宋体" w:cs="宋体"/>
          <w:color w:val="auto"/>
          <w:szCs w:val="21"/>
          <w:highlight w:val="none"/>
        </w:rPr>
      </w:pPr>
    </w:p>
    <w:p w14:paraId="1BA2347F">
      <w:pPr>
        <w:snapToGrid w:val="0"/>
        <w:spacing w:before="50"/>
        <w:jc w:val="left"/>
        <w:rPr>
          <w:rFonts w:hint="eastAsia" w:ascii="宋体" w:hAnsi="宋体" w:cs="宋体"/>
          <w:color w:val="auto"/>
          <w:szCs w:val="21"/>
          <w:highlight w:val="none"/>
        </w:rPr>
      </w:pPr>
    </w:p>
    <w:p w14:paraId="3BE8F7F1">
      <w:pPr>
        <w:snapToGrid w:val="0"/>
        <w:spacing w:before="50"/>
        <w:jc w:val="left"/>
        <w:rPr>
          <w:rFonts w:hint="eastAsia" w:ascii="宋体" w:hAnsi="宋体" w:cs="宋体"/>
          <w:color w:val="auto"/>
          <w:szCs w:val="21"/>
          <w:highlight w:val="none"/>
        </w:rPr>
      </w:pPr>
    </w:p>
    <w:p w14:paraId="2A2D7393">
      <w:pPr>
        <w:snapToGrid w:val="0"/>
        <w:spacing w:before="50"/>
        <w:jc w:val="left"/>
        <w:rPr>
          <w:rFonts w:hint="eastAsia" w:ascii="宋体" w:hAnsi="宋体" w:cs="宋体"/>
          <w:color w:val="auto"/>
          <w:szCs w:val="21"/>
          <w:highlight w:val="none"/>
        </w:rPr>
      </w:pPr>
    </w:p>
    <w:p w14:paraId="1F1E0FA6">
      <w:pPr>
        <w:snapToGrid w:val="0"/>
        <w:spacing w:before="50"/>
        <w:jc w:val="left"/>
        <w:rPr>
          <w:rFonts w:hint="eastAsia" w:ascii="宋体" w:hAnsi="宋体" w:cs="宋体"/>
          <w:color w:val="auto"/>
          <w:szCs w:val="21"/>
          <w:highlight w:val="none"/>
        </w:rPr>
      </w:pPr>
    </w:p>
    <w:p w14:paraId="73C79FDB">
      <w:pPr>
        <w:snapToGrid w:val="0"/>
        <w:spacing w:before="50"/>
        <w:jc w:val="left"/>
        <w:rPr>
          <w:rFonts w:hint="eastAsia" w:ascii="宋体" w:hAnsi="宋体" w:cs="宋体"/>
          <w:color w:val="auto"/>
          <w:szCs w:val="21"/>
          <w:highlight w:val="none"/>
        </w:rPr>
      </w:pPr>
    </w:p>
    <w:p w14:paraId="2F77E4AF">
      <w:pPr>
        <w:snapToGrid w:val="0"/>
        <w:spacing w:before="50"/>
        <w:jc w:val="left"/>
        <w:rPr>
          <w:rFonts w:hint="eastAsia" w:ascii="宋体" w:hAnsi="宋体" w:cs="宋体"/>
          <w:color w:val="auto"/>
          <w:szCs w:val="21"/>
          <w:highlight w:val="none"/>
        </w:rPr>
      </w:pPr>
    </w:p>
    <w:p w14:paraId="707E6FC6">
      <w:pPr>
        <w:snapToGrid w:val="0"/>
        <w:spacing w:before="50"/>
        <w:jc w:val="left"/>
        <w:rPr>
          <w:rFonts w:hint="eastAsia" w:ascii="宋体" w:hAnsi="宋体" w:eastAsia="宋体" w:cs="宋体"/>
          <w:b/>
          <w:bCs/>
          <w:color w:val="auto"/>
          <w:sz w:val="24"/>
          <w:highlight w:val="none"/>
          <w:lang w:eastAsia="zh-CN"/>
        </w:rPr>
      </w:pPr>
      <w:r>
        <w:rPr>
          <w:rFonts w:hint="eastAsia" w:ascii="宋体" w:hAnsi="宋体" w:cs="宋体"/>
          <w:color w:val="auto"/>
          <w:szCs w:val="21"/>
          <w:highlight w:val="none"/>
        </w:rPr>
        <w:br w:type="page"/>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）选配件、专用耗材、售后服务优惠表格式：</w:t>
      </w:r>
    </w:p>
    <w:p w14:paraId="3F2C5C23">
      <w:pPr>
        <w:pStyle w:val="13"/>
        <w:spacing w:line="440" w:lineRule="exact"/>
        <w:ind w:firstLine="420"/>
        <w:jc w:val="center"/>
        <w:rPr>
          <w:rFonts w:hint="eastAsia" w:hAnsi="宋体"/>
          <w:b/>
          <w:color w:val="auto"/>
          <w:sz w:val="32"/>
          <w:highlight w:val="none"/>
        </w:rPr>
      </w:pPr>
    </w:p>
    <w:p w14:paraId="2497B6D2">
      <w:pPr>
        <w:pStyle w:val="13"/>
        <w:spacing w:line="440" w:lineRule="exact"/>
        <w:ind w:firstLine="420"/>
        <w:jc w:val="center"/>
        <w:rPr>
          <w:rFonts w:hint="eastAsia" w:hAnsi="宋体"/>
          <w:b/>
          <w:color w:val="auto"/>
          <w:sz w:val="32"/>
          <w:highlight w:val="none"/>
        </w:rPr>
      </w:pPr>
    </w:p>
    <w:p w14:paraId="7771A948">
      <w:pPr>
        <w:pStyle w:val="13"/>
        <w:spacing w:line="440" w:lineRule="exact"/>
        <w:ind w:firstLine="420"/>
        <w:jc w:val="center"/>
        <w:rPr>
          <w:rFonts w:hAnsi="宋体"/>
          <w:b/>
          <w:color w:val="auto"/>
          <w:sz w:val="32"/>
          <w:highlight w:val="none"/>
        </w:rPr>
      </w:pPr>
      <w:r>
        <w:rPr>
          <w:rFonts w:hint="eastAsia" w:hAnsi="宋体"/>
          <w:b/>
          <w:color w:val="auto"/>
          <w:sz w:val="32"/>
          <w:highlight w:val="none"/>
        </w:rPr>
        <w:t>选配件、专用耗材、售后服务优惠表</w:t>
      </w:r>
    </w:p>
    <w:p w14:paraId="3699E2F4">
      <w:pPr>
        <w:pStyle w:val="13"/>
        <w:spacing w:line="440" w:lineRule="exact"/>
        <w:ind w:firstLine="400" w:firstLineChars="200"/>
        <w:rPr>
          <w:rFonts w:hAnsi="宋体"/>
          <w:color w:val="auto"/>
          <w:highlight w:val="none"/>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3"/>
        <w:gridCol w:w="1803"/>
        <w:gridCol w:w="1803"/>
        <w:gridCol w:w="1803"/>
        <w:gridCol w:w="1804"/>
      </w:tblGrid>
      <w:tr w14:paraId="37BD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3EE3B086">
            <w:pPr>
              <w:pStyle w:val="13"/>
              <w:spacing w:line="440" w:lineRule="exact"/>
              <w:jc w:val="center"/>
              <w:rPr>
                <w:rFonts w:hAnsi="宋体"/>
                <w:b/>
                <w:bCs/>
                <w:color w:val="auto"/>
                <w:kern w:val="0"/>
                <w:highlight w:val="none"/>
              </w:rPr>
            </w:pPr>
            <w:r>
              <w:rPr>
                <w:rFonts w:hAnsi="宋体"/>
                <w:b/>
                <w:bCs/>
                <w:color w:val="auto"/>
                <w:highlight w:val="none"/>
              </w:rPr>
              <w:t>序号</w:t>
            </w:r>
          </w:p>
        </w:tc>
        <w:tc>
          <w:tcPr>
            <w:tcW w:w="1803" w:type="dxa"/>
            <w:noWrap w:val="0"/>
            <w:vAlign w:val="center"/>
          </w:tcPr>
          <w:p w14:paraId="52E1DDFA">
            <w:pPr>
              <w:pStyle w:val="13"/>
              <w:spacing w:line="440" w:lineRule="exact"/>
              <w:jc w:val="center"/>
              <w:rPr>
                <w:rFonts w:hAnsi="宋体"/>
                <w:b/>
                <w:bCs/>
                <w:color w:val="auto"/>
                <w:kern w:val="0"/>
                <w:highlight w:val="none"/>
              </w:rPr>
            </w:pPr>
            <w:r>
              <w:rPr>
                <w:rFonts w:hAnsi="宋体"/>
                <w:b/>
                <w:bCs/>
                <w:color w:val="auto"/>
                <w:highlight w:val="none"/>
              </w:rPr>
              <w:t>优惠内容</w:t>
            </w:r>
          </w:p>
        </w:tc>
        <w:tc>
          <w:tcPr>
            <w:tcW w:w="1803" w:type="dxa"/>
            <w:noWrap w:val="0"/>
            <w:vAlign w:val="center"/>
          </w:tcPr>
          <w:p w14:paraId="40FEAD5D">
            <w:pPr>
              <w:pStyle w:val="13"/>
              <w:spacing w:line="440" w:lineRule="exact"/>
              <w:jc w:val="center"/>
              <w:rPr>
                <w:rFonts w:hAnsi="宋体"/>
                <w:b/>
                <w:bCs/>
                <w:color w:val="auto"/>
                <w:kern w:val="0"/>
                <w:highlight w:val="none"/>
              </w:rPr>
            </w:pPr>
            <w:r>
              <w:rPr>
                <w:rFonts w:hAnsi="宋体"/>
                <w:b/>
                <w:bCs/>
                <w:color w:val="auto"/>
                <w:highlight w:val="none"/>
              </w:rPr>
              <w:t>适用机型</w:t>
            </w:r>
          </w:p>
        </w:tc>
        <w:tc>
          <w:tcPr>
            <w:tcW w:w="1803" w:type="dxa"/>
            <w:noWrap w:val="0"/>
            <w:vAlign w:val="center"/>
          </w:tcPr>
          <w:p w14:paraId="7597D49F">
            <w:pPr>
              <w:pStyle w:val="13"/>
              <w:spacing w:line="440" w:lineRule="exact"/>
              <w:jc w:val="center"/>
              <w:rPr>
                <w:rFonts w:hAnsi="宋体"/>
                <w:b/>
                <w:bCs/>
                <w:color w:val="auto"/>
                <w:kern w:val="0"/>
                <w:highlight w:val="none"/>
              </w:rPr>
            </w:pPr>
            <w:r>
              <w:rPr>
                <w:rFonts w:hAnsi="宋体"/>
                <w:b/>
                <w:bCs/>
                <w:color w:val="auto"/>
                <w:highlight w:val="none"/>
              </w:rPr>
              <w:t>单价</w:t>
            </w:r>
          </w:p>
        </w:tc>
        <w:tc>
          <w:tcPr>
            <w:tcW w:w="1804" w:type="dxa"/>
            <w:noWrap w:val="0"/>
            <w:vAlign w:val="center"/>
          </w:tcPr>
          <w:p w14:paraId="17289DF4">
            <w:pPr>
              <w:pStyle w:val="13"/>
              <w:spacing w:line="440" w:lineRule="exact"/>
              <w:jc w:val="center"/>
              <w:rPr>
                <w:rFonts w:hAnsi="宋体"/>
                <w:b/>
                <w:bCs/>
                <w:color w:val="auto"/>
                <w:kern w:val="0"/>
                <w:highlight w:val="none"/>
              </w:rPr>
            </w:pPr>
            <w:r>
              <w:rPr>
                <w:rFonts w:hAnsi="宋体"/>
                <w:b/>
                <w:bCs/>
                <w:color w:val="auto"/>
                <w:highlight w:val="none"/>
              </w:rPr>
              <w:t>比投标报价优惠率</w:t>
            </w:r>
          </w:p>
        </w:tc>
      </w:tr>
      <w:tr w14:paraId="2B38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5BB6B168">
            <w:pPr>
              <w:pStyle w:val="13"/>
              <w:spacing w:line="440" w:lineRule="exact"/>
              <w:rPr>
                <w:rFonts w:hAnsi="宋体"/>
                <w:color w:val="auto"/>
                <w:kern w:val="0"/>
                <w:highlight w:val="none"/>
              </w:rPr>
            </w:pPr>
          </w:p>
        </w:tc>
        <w:tc>
          <w:tcPr>
            <w:tcW w:w="1803" w:type="dxa"/>
            <w:noWrap w:val="0"/>
            <w:vAlign w:val="center"/>
          </w:tcPr>
          <w:p w14:paraId="61094A53">
            <w:pPr>
              <w:pStyle w:val="13"/>
              <w:spacing w:line="440" w:lineRule="exact"/>
              <w:rPr>
                <w:rFonts w:hAnsi="宋体"/>
                <w:color w:val="auto"/>
                <w:kern w:val="0"/>
                <w:highlight w:val="none"/>
              </w:rPr>
            </w:pPr>
          </w:p>
        </w:tc>
        <w:tc>
          <w:tcPr>
            <w:tcW w:w="1803" w:type="dxa"/>
            <w:noWrap w:val="0"/>
            <w:vAlign w:val="center"/>
          </w:tcPr>
          <w:p w14:paraId="7A3FC910">
            <w:pPr>
              <w:pStyle w:val="13"/>
              <w:spacing w:line="440" w:lineRule="exact"/>
              <w:rPr>
                <w:rFonts w:hAnsi="宋体"/>
                <w:color w:val="auto"/>
                <w:kern w:val="0"/>
                <w:highlight w:val="none"/>
              </w:rPr>
            </w:pPr>
          </w:p>
        </w:tc>
        <w:tc>
          <w:tcPr>
            <w:tcW w:w="1803" w:type="dxa"/>
            <w:noWrap w:val="0"/>
            <w:vAlign w:val="center"/>
          </w:tcPr>
          <w:p w14:paraId="7CE3738F">
            <w:pPr>
              <w:pStyle w:val="13"/>
              <w:spacing w:line="440" w:lineRule="exact"/>
              <w:rPr>
                <w:rFonts w:hAnsi="宋体"/>
                <w:color w:val="auto"/>
                <w:kern w:val="0"/>
                <w:highlight w:val="none"/>
              </w:rPr>
            </w:pPr>
          </w:p>
        </w:tc>
        <w:tc>
          <w:tcPr>
            <w:tcW w:w="1804" w:type="dxa"/>
            <w:noWrap w:val="0"/>
            <w:vAlign w:val="center"/>
          </w:tcPr>
          <w:p w14:paraId="48C99E5F">
            <w:pPr>
              <w:pStyle w:val="13"/>
              <w:spacing w:line="440" w:lineRule="exact"/>
              <w:rPr>
                <w:rFonts w:hAnsi="宋体"/>
                <w:color w:val="auto"/>
                <w:kern w:val="0"/>
                <w:highlight w:val="none"/>
              </w:rPr>
            </w:pPr>
          </w:p>
        </w:tc>
      </w:tr>
      <w:tr w14:paraId="1570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4EB414EC">
            <w:pPr>
              <w:pStyle w:val="13"/>
              <w:spacing w:line="440" w:lineRule="exact"/>
              <w:rPr>
                <w:rFonts w:hAnsi="宋体"/>
                <w:color w:val="auto"/>
                <w:kern w:val="0"/>
                <w:highlight w:val="none"/>
              </w:rPr>
            </w:pPr>
          </w:p>
        </w:tc>
        <w:tc>
          <w:tcPr>
            <w:tcW w:w="1803" w:type="dxa"/>
            <w:noWrap w:val="0"/>
            <w:vAlign w:val="center"/>
          </w:tcPr>
          <w:p w14:paraId="725800FD">
            <w:pPr>
              <w:pStyle w:val="13"/>
              <w:spacing w:line="440" w:lineRule="exact"/>
              <w:rPr>
                <w:rFonts w:hAnsi="宋体"/>
                <w:color w:val="auto"/>
                <w:kern w:val="0"/>
                <w:highlight w:val="none"/>
              </w:rPr>
            </w:pPr>
          </w:p>
        </w:tc>
        <w:tc>
          <w:tcPr>
            <w:tcW w:w="1803" w:type="dxa"/>
            <w:noWrap w:val="0"/>
            <w:vAlign w:val="center"/>
          </w:tcPr>
          <w:p w14:paraId="1CBF24B8">
            <w:pPr>
              <w:pStyle w:val="13"/>
              <w:spacing w:line="440" w:lineRule="exact"/>
              <w:rPr>
                <w:rFonts w:hAnsi="宋体"/>
                <w:color w:val="auto"/>
                <w:kern w:val="0"/>
                <w:highlight w:val="none"/>
              </w:rPr>
            </w:pPr>
          </w:p>
        </w:tc>
        <w:tc>
          <w:tcPr>
            <w:tcW w:w="1803" w:type="dxa"/>
            <w:noWrap w:val="0"/>
            <w:vAlign w:val="center"/>
          </w:tcPr>
          <w:p w14:paraId="0E3B5BD4">
            <w:pPr>
              <w:pStyle w:val="13"/>
              <w:spacing w:line="440" w:lineRule="exact"/>
              <w:rPr>
                <w:rFonts w:hAnsi="宋体"/>
                <w:color w:val="auto"/>
                <w:kern w:val="0"/>
                <w:highlight w:val="none"/>
              </w:rPr>
            </w:pPr>
          </w:p>
        </w:tc>
        <w:tc>
          <w:tcPr>
            <w:tcW w:w="1804" w:type="dxa"/>
            <w:noWrap w:val="0"/>
            <w:vAlign w:val="center"/>
          </w:tcPr>
          <w:p w14:paraId="781A0EB5">
            <w:pPr>
              <w:pStyle w:val="13"/>
              <w:spacing w:line="440" w:lineRule="exact"/>
              <w:rPr>
                <w:rFonts w:hAnsi="宋体"/>
                <w:color w:val="auto"/>
                <w:kern w:val="0"/>
                <w:highlight w:val="none"/>
              </w:rPr>
            </w:pPr>
          </w:p>
        </w:tc>
      </w:tr>
      <w:tr w14:paraId="2BA4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3" w:type="dxa"/>
            <w:noWrap w:val="0"/>
            <w:vAlign w:val="center"/>
          </w:tcPr>
          <w:p w14:paraId="180C9B7C">
            <w:pPr>
              <w:pStyle w:val="13"/>
              <w:spacing w:line="440" w:lineRule="exact"/>
              <w:rPr>
                <w:rFonts w:hAnsi="宋体"/>
                <w:color w:val="auto"/>
                <w:kern w:val="0"/>
                <w:highlight w:val="none"/>
              </w:rPr>
            </w:pPr>
          </w:p>
        </w:tc>
        <w:tc>
          <w:tcPr>
            <w:tcW w:w="1803" w:type="dxa"/>
            <w:noWrap w:val="0"/>
            <w:vAlign w:val="center"/>
          </w:tcPr>
          <w:p w14:paraId="1FCBD988">
            <w:pPr>
              <w:pStyle w:val="13"/>
              <w:spacing w:line="440" w:lineRule="exact"/>
              <w:rPr>
                <w:rFonts w:hAnsi="宋体"/>
                <w:color w:val="auto"/>
                <w:kern w:val="0"/>
                <w:highlight w:val="none"/>
              </w:rPr>
            </w:pPr>
          </w:p>
        </w:tc>
        <w:tc>
          <w:tcPr>
            <w:tcW w:w="1803" w:type="dxa"/>
            <w:noWrap w:val="0"/>
            <w:vAlign w:val="center"/>
          </w:tcPr>
          <w:p w14:paraId="3D5F403D">
            <w:pPr>
              <w:pStyle w:val="13"/>
              <w:spacing w:line="440" w:lineRule="exact"/>
              <w:rPr>
                <w:rFonts w:hAnsi="宋体"/>
                <w:color w:val="auto"/>
                <w:kern w:val="0"/>
                <w:highlight w:val="none"/>
              </w:rPr>
            </w:pPr>
          </w:p>
        </w:tc>
        <w:tc>
          <w:tcPr>
            <w:tcW w:w="1803" w:type="dxa"/>
            <w:noWrap w:val="0"/>
            <w:vAlign w:val="center"/>
          </w:tcPr>
          <w:p w14:paraId="51F963FC">
            <w:pPr>
              <w:pStyle w:val="13"/>
              <w:spacing w:line="440" w:lineRule="exact"/>
              <w:rPr>
                <w:rFonts w:hAnsi="宋体"/>
                <w:color w:val="auto"/>
                <w:kern w:val="0"/>
                <w:highlight w:val="none"/>
              </w:rPr>
            </w:pPr>
          </w:p>
        </w:tc>
        <w:tc>
          <w:tcPr>
            <w:tcW w:w="1804" w:type="dxa"/>
            <w:noWrap w:val="0"/>
            <w:vAlign w:val="center"/>
          </w:tcPr>
          <w:p w14:paraId="1E8F3880">
            <w:pPr>
              <w:pStyle w:val="13"/>
              <w:spacing w:line="440" w:lineRule="exact"/>
              <w:rPr>
                <w:rFonts w:hAnsi="宋体"/>
                <w:color w:val="auto"/>
                <w:kern w:val="0"/>
                <w:highlight w:val="none"/>
              </w:rPr>
            </w:pPr>
          </w:p>
        </w:tc>
      </w:tr>
    </w:tbl>
    <w:p w14:paraId="2AB5A6D1">
      <w:pPr>
        <w:pStyle w:val="13"/>
        <w:spacing w:line="360" w:lineRule="auto"/>
        <w:ind w:firstLine="1920" w:firstLineChars="800"/>
        <w:rPr>
          <w:rFonts w:hint="eastAsia" w:hAnsi="宋体" w:cs="宋体"/>
          <w:color w:val="auto"/>
          <w:sz w:val="24"/>
          <w:szCs w:val="24"/>
          <w:highlight w:val="none"/>
        </w:rPr>
      </w:pPr>
    </w:p>
    <w:p w14:paraId="134B9E0A">
      <w:pPr>
        <w:pStyle w:val="13"/>
        <w:spacing w:line="360" w:lineRule="auto"/>
        <w:ind w:firstLine="1920" w:firstLineChars="800"/>
        <w:rPr>
          <w:rFonts w:hint="eastAsia" w:hAnsi="宋体" w:cs="宋体"/>
          <w:color w:val="auto"/>
          <w:sz w:val="24"/>
          <w:szCs w:val="24"/>
          <w:highlight w:val="none"/>
        </w:rPr>
      </w:pPr>
    </w:p>
    <w:p w14:paraId="29996377">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528B02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9B35463">
      <w:pPr>
        <w:snapToGrid w:val="0"/>
        <w:spacing w:before="50" w:after="156" w:afterLines="50"/>
        <w:jc w:val="left"/>
        <w:rPr>
          <w:rFonts w:hint="eastAsia" w:ascii="宋体" w:hAnsi="宋体" w:cs="宋体"/>
          <w:color w:val="auto"/>
          <w:szCs w:val="21"/>
          <w:highlight w:val="none"/>
        </w:rPr>
      </w:pPr>
    </w:p>
    <w:p w14:paraId="278A7C23">
      <w:pPr>
        <w:snapToGrid w:val="0"/>
        <w:spacing w:before="50"/>
        <w:jc w:val="left"/>
        <w:rPr>
          <w:rFonts w:hint="eastAsia" w:ascii="宋体" w:hAnsi="宋体" w:cs="宋体"/>
          <w:color w:val="auto"/>
          <w:szCs w:val="21"/>
          <w:highlight w:val="none"/>
        </w:rPr>
      </w:pPr>
      <w:r>
        <w:rPr>
          <w:rFonts w:hint="eastAsia" w:ascii="宋体" w:hAnsi="宋体" w:eastAsia="宋体" w:cs="宋体"/>
          <w:b/>
          <w:bCs/>
          <w:color w:val="auto"/>
          <w:sz w:val="24"/>
          <w:highlight w:val="none"/>
        </w:rPr>
        <w:br w:type="page"/>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）投标人对本项目的合理化建议和改进措施（如有，格式自拟）</w:t>
      </w:r>
    </w:p>
    <w:p w14:paraId="0A35DA6C">
      <w:pPr>
        <w:pStyle w:val="13"/>
        <w:rPr>
          <w:rFonts w:hint="eastAsia" w:hAnsi="宋体" w:cs="宋体"/>
          <w:color w:val="auto"/>
          <w:sz w:val="21"/>
          <w:highlight w:val="none"/>
          <w:lang w:eastAsia="zh-CN"/>
        </w:rPr>
      </w:pPr>
      <w:r>
        <w:rPr>
          <w:rFonts w:hint="eastAsia" w:hAnsi="宋体" w:cs="宋体"/>
          <w:color w:val="auto"/>
          <w:sz w:val="21"/>
          <w:highlight w:val="none"/>
          <w:lang w:eastAsia="zh-CN"/>
        </w:rPr>
        <w:t xml:space="preserve"> </w:t>
      </w:r>
    </w:p>
    <w:p w14:paraId="5CA459DC">
      <w:pPr>
        <w:pStyle w:val="13"/>
        <w:rPr>
          <w:rFonts w:hint="eastAsia" w:hAnsi="宋体" w:cs="宋体"/>
          <w:color w:val="auto"/>
          <w:sz w:val="21"/>
          <w:highlight w:val="none"/>
          <w:lang w:eastAsia="zh-CN"/>
        </w:rPr>
      </w:pPr>
    </w:p>
    <w:p w14:paraId="07224263">
      <w:pPr>
        <w:pStyle w:val="13"/>
        <w:spacing w:line="360" w:lineRule="auto"/>
        <w:ind w:firstLine="2160" w:firstLineChars="9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408B22C0">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105F5D5">
      <w:pPr>
        <w:pStyle w:val="13"/>
        <w:ind w:firstLine="3300" w:firstLineChars="1650"/>
        <w:rPr>
          <w:rFonts w:hint="eastAsia" w:hAnsi="宋体" w:cs="宋体"/>
          <w:color w:val="auto"/>
          <w:highlight w:val="none"/>
        </w:rPr>
      </w:pPr>
    </w:p>
    <w:p w14:paraId="06ADD6BD">
      <w:pPr>
        <w:snapToGrid w:val="0"/>
        <w:spacing w:before="50" w:after="156" w:afterLines="50"/>
        <w:jc w:val="left"/>
        <w:rPr>
          <w:rFonts w:hint="eastAsia" w:ascii="宋体" w:hAnsi="宋体" w:cs="宋体"/>
          <w:color w:val="auto"/>
          <w:szCs w:val="21"/>
          <w:highlight w:val="none"/>
        </w:rPr>
      </w:pPr>
    </w:p>
    <w:p w14:paraId="04DE1319">
      <w:pPr>
        <w:pStyle w:val="19"/>
        <w:ind w:firstLine="0" w:firstLineChars="0"/>
        <w:rPr>
          <w:rFonts w:hint="eastAsia" w:ascii="宋体" w:hAnsi="宋体" w:eastAsia="宋体" w:cs="宋体"/>
          <w:color w:val="auto"/>
          <w:szCs w:val="21"/>
          <w:highlight w:val="none"/>
        </w:rPr>
      </w:pPr>
    </w:p>
    <w:p w14:paraId="0EA31612">
      <w:pPr>
        <w:snapToGrid w:val="0"/>
        <w:spacing w:before="50" w:after="156" w:afterLines="50"/>
        <w:jc w:val="left"/>
        <w:rPr>
          <w:rFonts w:hint="eastAsia" w:ascii="宋体" w:hAnsi="宋体" w:cs="宋体"/>
          <w:color w:val="auto"/>
          <w:szCs w:val="21"/>
          <w:highlight w:val="none"/>
        </w:rPr>
      </w:pPr>
    </w:p>
    <w:p w14:paraId="63B5FE08">
      <w:pPr>
        <w:snapToGrid w:val="0"/>
        <w:spacing w:before="50" w:after="156" w:afterLines="50"/>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）投标人需要说明的其他文件和说明（如有，格式自拟）</w:t>
      </w:r>
    </w:p>
    <w:p w14:paraId="4A0D120F">
      <w:pPr>
        <w:snapToGrid w:val="0"/>
        <w:spacing w:before="50" w:after="156" w:afterLines="50"/>
        <w:jc w:val="left"/>
        <w:rPr>
          <w:rFonts w:hint="eastAsia" w:ascii="宋体" w:hAnsi="宋体" w:cs="宋体"/>
          <w:color w:val="auto"/>
          <w:szCs w:val="21"/>
          <w:highlight w:val="none"/>
        </w:rPr>
      </w:pPr>
    </w:p>
    <w:p w14:paraId="0A0C2D76">
      <w:pPr>
        <w:snapToGrid w:val="0"/>
        <w:spacing w:before="50" w:after="156" w:afterLines="50"/>
        <w:jc w:val="left"/>
        <w:rPr>
          <w:rFonts w:hint="eastAsia" w:ascii="宋体" w:hAnsi="宋体" w:cs="宋体"/>
          <w:color w:val="auto"/>
          <w:szCs w:val="21"/>
          <w:highlight w:val="none"/>
        </w:rPr>
      </w:pPr>
    </w:p>
    <w:p w14:paraId="3B921792">
      <w:pPr>
        <w:pStyle w:val="13"/>
        <w:spacing w:line="360" w:lineRule="auto"/>
        <w:ind w:firstLine="1920" w:firstLineChars="800"/>
        <w:rPr>
          <w:rFonts w:hint="eastAsia" w:hAnsi="宋体" w:cs="宋体"/>
          <w:color w:val="auto"/>
          <w:sz w:val="24"/>
          <w:szCs w:val="24"/>
          <w:highlight w:val="none"/>
        </w:rPr>
      </w:pPr>
      <w:r>
        <w:rPr>
          <w:rFonts w:hint="eastAsia" w:hAnsi="宋体" w:cs="宋体"/>
          <w:color w:val="auto"/>
          <w:sz w:val="24"/>
          <w:szCs w:val="24"/>
          <w:highlight w:val="none"/>
        </w:rPr>
        <w:t>投标人（</w:t>
      </w:r>
      <w:r>
        <w:rPr>
          <w:rFonts w:hint="eastAsia" w:hAnsi="宋体" w:cs="宋体"/>
          <w:b/>
          <w:bCs/>
          <w:color w:val="auto"/>
          <w:sz w:val="24"/>
          <w:szCs w:val="24"/>
          <w:highlight w:val="none"/>
          <w:lang w:eastAsia="zh-CN"/>
        </w:rPr>
        <w:t>全称并加盖CA电子签章</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p>
    <w:p w14:paraId="3A7AF6F3">
      <w:pPr>
        <w:tabs>
          <w:tab w:val="left" w:pos="3870"/>
          <w:tab w:val="left" w:pos="4085"/>
        </w:tabs>
        <w:snapToGrid w:val="0"/>
        <w:spacing w:line="360" w:lineRule="auto"/>
        <w:ind w:firstLine="6000" w:firstLineChars="2500"/>
        <w:jc w:val="left"/>
        <w:rPr>
          <w:rFonts w:hint="eastAsia" w:ascii="宋体" w:hAnsi="宋体" w:cs="宋体"/>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244D3C46">
      <w:pPr>
        <w:snapToGrid w:val="0"/>
        <w:spacing w:before="50" w:after="156" w:afterLines="50"/>
        <w:jc w:val="left"/>
        <w:rPr>
          <w:rFonts w:hint="eastAsia" w:ascii="宋体" w:hAnsi="宋体" w:cs="宋体"/>
          <w:color w:val="auto"/>
          <w:szCs w:val="21"/>
          <w:highlight w:val="none"/>
        </w:rPr>
      </w:pPr>
    </w:p>
    <w:p w14:paraId="5940DA41">
      <w:pPr>
        <w:snapToGrid w:val="0"/>
        <w:spacing w:before="50" w:after="156" w:afterLines="50"/>
        <w:jc w:val="left"/>
        <w:rPr>
          <w:rFonts w:hint="eastAsia" w:ascii="宋体" w:hAnsi="宋体" w:cs="宋体"/>
          <w:color w:val="auto"/>
          <w:szCs w:val="21"/>
          <w:highlight w:val="none"/>
        </w:rPr>
      </w:pPr>
    </w:p>
    <w:p w14:paraId="2B8C17D1">
      <w:pPr>
        <w:rPr>
          <w:color w:val="auto"/>
        </w:rPr>
      </w:pPr>
    </w:p>
    <w:sectPr>
      <w:headerReference r:id="rId11" w:type="default"/>
      <w:footerReference r:id="rId12" w:type="default"/>
      <w:pgSz w:w="11906" w:h="16838"/>
      <w:pgMar w:top="1134" w:right="1247" w:bottom="1134"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48E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14EE5E">
                          <w:pPr>
                            <w:pStyle w:val="15"/>
                            <w:rPr>
                              <w:rStyle w:val="22"/>
                            </w:rPr>
                          </w:pPr>
                          <w:r>
                            <w:fldChar w:fldCharType="begin"/>
                          </w:r>
                          <w:r>
                            <w:rPr>
                              <w:rStyle w:val="22"/>
                            </w:rPr>
                            <w:instrText xml:space="preserve">PAGE  </w:instrText>
                          </w:r>
                          <w:r>
                            <w:fldChar w:fldCharType="separate"/>
                          </w:r>
                          <w:r>
                            <w:rPr>
                              <w:rStyle w:val="22"/>
                            </w:rP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14EE5E">
                    <w:pPr>
                      <w:pStyle w:val="15"/>
                      <w:rPr>
                        <w:rStyle w:val="22"/>
                      </w:rPr>
                    </w:pPr>
                    <w:r>
                      <w:fldChar w:fldCharType="begin"/>
                    </w:r>
                    <w:r>
                      <w:rPr>
                        <w:rStyle w:val="22"/>
                      </w:rPr>
                      <w:instrText xml:space="preserve">PAGE  </w:instrText>
                    </w:r>
                    <w:r>
                      <w:fldChar w:fldCharType="separate"/>
                    </w:r>
                    <w:r>
                      <w:rPr>
                        <w:rStyle w:val="22"/>
                      </w:rP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64C5">
    <w:pPr>
      <w:pStyle w:val="15"/>
      <w:framePr w:wrap="around" w:vAnchor="text" w:hAnchor="margin" w:xAlign="center" w:y="1"/>
      <w:rPr>
        <w:rStyle w:val="22"/>
      </w:rPr>
    </w:pPr>
    <w:r>
      <w:fldChar w:fldCharType="begin"/>
    </w:r>
    <w:r>
      <w:rPr>
        <w:rStyle w:val="22"/>
      </w:rPr>
      <w:instrText xml:space="preserve">PAGE  </w:instrText>
    </w:r>
    <w:r>
      <w:fldChar w:fldCharType="end"/>
    </w:r>
  </w:p>
  <w:p w14:paraId="24A8ADA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75D6">
    <w:pPr>
      <w:pStyle w:val="15"/>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E0C8">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8CCC">
    <w:pPr>
      <w:pStyle w:val="15"/>
      <w:ind w:right="360"/>
      <w:jc w:val="both"/>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0AC7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E00CC">
                          <w:pPr>
                            <w:pStyle w:val="15"/>
                            <w:rPr>
                              <w:rStyle w:val="22"/>
                            </w:rPr>
                          </w:pPr>
                          <w:r>
                            <w:fldChar w:fldCharType="begin"/>
                          </w:r>
                          <w:r>
                            <w:rPr>
                              <w:rStyle w:val="22"/>
                            </w:rPr>
                            <w:instrText xml:space="preserve">PAGE  </w:instrText>
                          </w:r>
                          <w:r>
                            <w:fldChar w:fldCharType="separate"/>
                          </w:r>
                          <w:r>
                            <w:rPr>
                              <w:rStyle w:val="22"/>
                            </w:rPr>
                            <w:t>- 46 -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F2E00CC">
                    <w:pPr>
                      <w:pStyle w:val="15"/>
                      <w:rPr>
                        <w:rStyle w:val="22"/>
                      </w:rPr>
                    </w:pPr>
                    <w:r>
                      <w:fldChar w:fldCharType="begin"/>
                    </w:r>
                    <w:r>
                      <w:rPr>
                        <w:rStyle w:val="22"/>
                      </w:rPr>
                      <w:instrText xml:space="preserve">PAGE  </w:instrText>
                    </w:r>
                    <w:r>
                      <w:fldChar w:fldCharType="separate"/>
                    </w:r>
                    <w:r>
                      <w:rPr>
                        <w:rStyle w:val="22"/>
                      </w:rPr>
                      <w:t>- 46 -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6DFA">
    <w:pPr>
      <w:pStyle w:val="15"/>
      <w:ind w:right="360"/>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5364">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ABEFBC">
                          <w:pPr>
                            <w:pStyle w:val="15"/>
                            <w:rPr>
                              <w:rStyle w:val="22"/>
                            </w:rPr>
                          </w:pPr>
                          <w:r>
                            <w:fldChar w:fldCharType="begin"/>
                          </w:r>
                          <w:r>
                            <w:rPr>
                              <w:rStyle w:val="22"/>
                            </w:rPr>
                            <w:instrText xml:space="preserve">PAGE  </w:instrText>
                          </w:r>
                          <w:r>
                            <w:fldChar w:fldCharType="separate"/>
                          </w:r>
                          <w:r>
                            <w:rPr>
                              <w:rStyle w:val="22"/>
                            </w:rPr>
                            <w:t>- 81 -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2ABEFBC">
                    <w:pPr>
                      <w:pStyle w:val="15"/>
                      <w:rPr>
                        <w:rStyle w:val="22"/>
                      </w:rPr>
                    </w:pPr>
                    <w:r>
                      <w:fldChar w:fldCharType="begin"/>
                    </w:r>
                    <w:r>
                      <w:rPr>
                        <w:rStyle w:val="22"/>
                      </w:rPr>
                      <w:instrText xml:space="preserve">PAGE  </w:instrText>
                    </w:r>
                    <w:r>
                      <w:fldChar w:fldCharType="separate"/>
                    </w:r>
                    <w:r>
                      <w:rPr>
                        <w:rStyle w:val="22"/>
                      </w:rPr>
                      <w:t>- 81 -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AFEE">
    <w:pPr>
      <w:pStyle w:val="16"/>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县城学校教学多媒体设备采购</w:t>
    </w:r>
    <w:r>
      <w:rPr>
        <w:rFonts w:hint="eastAsia" w:ascii="宋体" w:hAnsi="宋体"/>
      </w:rPr>
      <w:t>（</w:t>
    </w:r>
    <w:r>
      <w:rPr>
        <w:rFonts w:hint="eastAsia" w:ascii="宋体" w:hAnsi="宋体"/>
        <w:lang w:eastAsia="zh-CN"/>
      </w:rPr>
      <w:t>LZZC2025-G1-230036-GXXH</w:t>
    </w:r>
    <w:r>
      <w:rPr>
        <w:rFonts w:hint="eastAsia" w:ascii="宋体" w:hAnsi="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D25BD">
    <w:pPr>
      <w:pStyle w:val="16"/>
      <w:pBdr>
        <w:bottom w:val="single" w:color="auto" w:sz="6" w:space="0"/>
      </w:pBdr>
      <w:wordWrap w:val="0"/>
      <w:jc w:val="right"/>
      <w:rPr>
        <w:rFonts w:hint="eastAsia" w:ascii="宋体" w:hAnsi="宋体"/>
      </w:rPr>
    </w:pPr>
    <w:r>
      <w:rPr>
        <w:rFonts w:hint="eastAsia"/>
        <w:szCs w:val="21"/>
      </w:rPr>
      <w:t xml:space="preserve">                          </w:t>
    </w:r>
    <w:r>
      <w:rPr>
        <w:rFonts w:hint="eastAsia" w:ascii="宋体" w:hAnsi="宋体"/>
        <w:shd w:val="clear" w:color="auto" w:fill="FFFFFF"/>
        <w:lang w:eastAsia="zh-CN"/>
      </w:rPr>
      <w:t>县城学校教学多媒体设备采购</w:t>
    </w:r>
    <w:r>
      <w:rPr>
        <w:rFonts w:hint="eastAsia" w:ascii="宋体" w:hAnsi="宋体"/>
      </w:rPr>
      <w:t>（</w:t>
    </w:r>
    <w:r>
      <w:rPr>
        <w:rFonts w:hint="eastAsia" w:ascii="宋体" w:hAnsi="宋体"/>
        <w:lang w:eastAsia="zh-CN"/>
      </w:rPr>
      <w:t>LZZC2025-G1-230036-GXXH</w:t>
    </w:r>
    <w:r>
      <w:rPr>
        <w:rFonts w:hint="eastAsia" w:ascii="宋体" w:hAnsi="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0D232"/>
    <w:multiLevelType w:val="singleLevel"/>
    <w:tmpl w:val="BF30D232"/>
    <w:lvl w:ilvl="0" w:tentative="0">
      <w:start w:val="2"/>
      <w:numFmt w:val="decimal"/>
      <w:suff w:val="nothing"/>
      <w:lvlText w:val="%1、"/>
      <w:lvlJc w:val="left"/>
    </w:lvl>
  </w:abstractNum>
  <w:abstractNum w:abstractNumId="1">
    <w:nsid w:val="C794BA45"/>
    <w:multiLevelType w:val="singleLevel"/>
    <w:tmpl w:val="C794BA45"/>
    <w:lvl w:ilvl="0" w:tentative="0">
      <w:start w:val="2"/>
      <w:numFmt w:val="decimal"/>
      <w:suff w:val="nothing"/>
      <w:lvlText w:val="（%1）"/>
      <w:lvlJc w:val="left"/>
    </w:lvl>
  </w:abstractNum>
  <w:abstractNum w:abstractNumId="2">
    <w:nsid w:val="05DDB9D0"/>
    <w:multiLevelType w:val="singleLevel"/>
    <w:tmpl w:val="05DDB9D0"/>
    <w:lvl w:ilvl="0" w:tentative="0">
      <w:start w:val="2"/>
      <w:numFmt w:val="decimal"/>
      <w:suff w:val="nothing"/>
      <w:lvlText w:val="（%1）"/>
      <w:lvlJc w:val="left"/>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A30F117"/>
    <w:multiLevelType w:val="singleLevel"/>
    <w:tmpl w:val="4A30F117"/>
    <w:lvl w:ilvl="0" w:tentative="0">
      <w:start w:val="2"/>
      <w:numFmt w:val="decimal"/>
      <w:suff w:val="nothing"/>
      <w:lvlText w:val="（%1）"/>
      <w:lvlJc w:val="left"/>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FABD14B"/>
    <w:multiLevelType w:val="singleLevel"/>
    <w:tmpl w:val="5FABD14B"/>
    <w:lvl w:ilvl="0" w:tentative="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Lh3x0khoQ6NdGBbuWfi7THzNWuE=" w:salt="2XE30tY15NGfwicuJ4z9F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A4873"/>
    <w:rsid w:val="04874344"/>
    <w:rsid w:val="05E732EC"/>
    <w:rsid w:val="09B94F9F"/>
    <w:rsid w:val="0D215336"/>
    <w:rsid w:val="10994EC9"/>
    <w:rsid w:val="1562473D"/>
    <w:rsid w:val="18426D26"/>
    <w:rsid w:val="1AB01F5F"/>
    <w:rsid w:val="1E537319"/>
    <w:rsid w:val="22CE3D05"/>
    <w:rsid w:val="23DC1B5F"/>
    <w:rsid w:val="28BC1F5F"/>
    <w:rsid w:val="298567F4"/>
    <w:rsid w:val="2A1C0F07"/>
    <w:rsid w:val="2EDC6EB7"/>
    <w:rsid w:val="2EF90F9E"/>
    <w:rsid w:val="37007082"/>
    <w:rsid w:val="3B8F4BBD"/>
    <w:rsid w:val="3C5502A8"/>
    <w:rsid w:val="41BA4AE6"/>
    <w:rsid w:val="41DF2AEE"/>
    <w:rsid w:val="4E2B70BB"/>
    <w:rsid w:val="4FCB5F3D"/>
    <w:rsid w:val="53A0442A"/>
    <w:rsid w:val="5F1B1B43"/>
    <w:rsid w:val="6708058D"/>
    <w:rsid w:val="6F525BAF"/>
    <w:rsid w:val="72D60D96"/>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2"/>
    <w:next w:val="5"/>
    <w:qFormat/>
    <w:uiPriority w:val="0"/>
    <w:pPr>
      <w:keepNext/>
      <w:keepLines/>
      <w:spacing w:before="260" w:after="260" w:line="416" w:lineRule="auto"/>
      <w:outlineLvl w:val="2"/>
    </w:pPr>
    <w:rPr>
      <w:rFonts w:ascii="Times New Roman" w:hAnsi="Times New Roman" w:eastAsia="宋体"/>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index 4"/>
    <w:basedOn w:val="1"/>
    <w:next w:val="1"/>
    <w:qFormat/>
    <w:uiPriority w:val="0"/>
    <w:pPr>
      <w:ind w:firstLine="0" w:firstLineChars="0"/>
    </w:pPr>
  </w:style>
  <w:style w:type="paragraph" w:styleId="8">
    <w:name w:val="Normal Indent"/>
    <w:basedOn w:val="1"/>
    <w:qFormat/>
    <w:uiPriority w:val="0"/>
    <w:pPr>
      <w:ind w:firstLine="420"/>
    </w:pPr>
    <w:rPr>
      <w:szCs w:val="20"/>
    </w:rPr>
  </w:style>
  <w:style w:type="paragraph" w:styleId="9">
    <w:name w:val="annotation text"/>
    <w:basedOn w:val="1"/>
    <w:unhideWhenUsed/>
    <w:qFormat/>
    <w:uiPriority w:val="0"/>
    <w:pPr>
      <w:jc w:val="left"/>
    </w:pPr>
  </w:style>
  <w:style w:type="paragraph" w:styleId="10">
    <w:name w:val="Body Text"/>
    <w:basedOn w:val="1"/>
    <w:qFormat/>
    <w:uiPriority w:val="0"/>
    <w:pPr>
      <w:spacing w:line="380" w:lineRule="exact"/>
    </w:pPr>
    <w:rPr>
      <w:kern w:val="0"/>
      <w:sz w:val="24"/>
    </w:r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customStyle="1" w:styleId="1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3">
    <w:name w:val="Plain Text"/>
    <w:basedOn w:val="1"/>
    <w:next w:val="6"/>
    <w:qFormat/>
    <w:uiPriority w:val="0"/>
    <w:rPr>
      <w:rFonts w:ascii="宋体" w:hAnsi="Courier New"/>
      <w:kern w:val="0"/>
      <w:sz w:val="20"/>
      <w:szCs w:val="21"/>
    </w:rPr>
  </w:style>
  <w:style w:type="paragraph" w:styleId="14">
    <w:name w:val="Date"/>
    <w:basedOn w:val="1"/>
    <w:next w:val="1"/>
    <w:qFormat/>
    <w:uiPriority w:val="0"/>
    <w:pPr>
      <w:ind w:left="100" w:leftChars="2500"/>
    </w:pPr>
    <w:rPr>
      <w:rFonts w:ascii="宋体" w:hAnsi="Courier New"/>
      <w:kern w:val="0"/>
      <w:sz w:val="20"/>
      <w:szCs w:val="21"/>
    </w:rPr>
  </w:style>
  <w:style w:type="paragraph" w:styleId="15">
    <w:name w:val="footer"/>
    <w:basedOn w:val="1"/>
    <w:unhideWhenUsed/>
    <w:qFormat/>
    <w:uiPriority w:val="0"/>
    <w:pPr>
      <w:tabs>
        <w:tab w:val="center" w:pos="4153"/>
        <w:tab w:val="right" w:pos="8306"/>
      </w:tabs>
      <w:snapToGrid w:val="0"/>
      <w:jc w:val="left"/>
    </w:pPr>
    <w:rPr>
      <w:kern w:val="0"/>
      <w:sz w:val="18"/>
      <w:szCs w:val="18"/>
    </w:rPr>
  </w:style>
  <w:style w:type="paragraph" w:styleId="1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18">
    <w:name w:val="List"/>
    <w:basedOn w:val="1"/>
    <w:qFormat/>
    <w:uiPriority w:val="0"/>
    <w:pPr>
      <w:ind w:left="200" w:hanging="200" w:hangingChars="200"/>
    </w:pPr>
    <w:rPr>
      <w:sz w:val="28"/>
    </w:rPr>
  </w:style>
  <w:style w:type="paragraph" w:styleId="19">
    <w:name w:val="Body Text First Indent 2"/>
    <w:basedOn w:val="1"/>
    <w:unhideWhenUsed/>
    <w:qFormat/>
    <w:uiPriority w:val="99"/>
    <w:pPr>
      <w:ind w:firstLine="420" w:firstLineChars="200"/>
    </w:p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正文2"/>
    <w:basedOn w:val="1"/>
    <w:qFormat/>
    <w:uiPriority w:val="0"/>
    <w:pPr>
      <w:adjustRightInd w:val="0"/>
      <w:spacing w:before="156" w:line="360" w:lineRule="auto"/>
      <w:ind w:firstLine="510" w:firstLineChars="200"/>
    </w:pPr>
    <w:rPr>
      <w:sz w:val="24"/>
      <w:szCs w:val="20"/>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 w:type="paragraph" w:styleId="26">
    <w:name w:val="List Paragraph"/>
    <w:basedOn w:val="1"/>
    <w:qFormat/>
    <w:uiPriority w:val="34"/>
    <w:pPr>
      <w:ind w:firstLine="420" w:firstLineChars="200"/>
    </w:pPr>
  </w:style>
  <w:style w:type="paragraph" w:customStyle="1" w:styleId="27">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28">
    <w:name w:val="font41"/>
    <w:basedOn w:val="2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24784</Words>
  <Characters>26775</Characters>
  <Lines>0</Lines>
  <Paragraphs>0</Paragraphs>
  <TotalTime>2</TotalTime>
  <ScaleCrop>false</ScaleCrop>
  <LinksUpToDate>false</LinksUpToDate>
  <CharactersWithSpaces>26918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2025-05-15T07:44:00Z</dcterms:created>
  <dc:creator>Administrator</dc:creator>
  <cp:lastModifiedBy>PAPER</cp:lastModifiedBy>
  <dcterms:modified xsi:type="dcterms:W3CDTF">2025-05-20T02:28:32Z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eyJoZGlkIjoiNjYyZGVlZGE1Mzg2OTExNTJjMjgzMzc2NjU3NTA3MzIiLCJ1c2VySWQiOiIyMjY0MzA1MjYifQ==</vt:lpwstr>
  </property>
  <property fmtid="{D5CDD505-2E9C-101B-9397-08002B2CF9AE}" pid="4" name="ICV">
    <vt:lpwstr>B9E08CAE3596479DB2EFD83005265B5C_13</vt:lpwstr>
  </property>
</Properties>
</file>