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2AEF1FE">
      <w:pPr>
        <w:jc w:val="left"/>
        <w:rPr>
          <w:rFonts w:ascii="楷体_GB2312" w:hAnsi="宋体" w:eastAsia="楷体_GB2312"/>
          <w:b/>
          <w:sz w:val="48"/>
          <w:szCs w:val="48"/>
        </w:rPr>
      </w:pPr>
    </w:p>
    <w:p w14:paraId="2BEDB9E9">
      <w:pPr>
        <w:jc w:val="center"/>
        <w:rPr>
          <w:rFonts w:ascii="宋体" w:hAnsi="宋体" w:cs="宋体"/>
          <w:b/>
          <w:sz w:val="48"/>
          <w:szCs w:val="48"/>
        </w:rPr>
      </w:pPr>
    </w:p>
    <w:p w14:paraId="7BC4F6B5">
      <w:pPr>
        <w:jc w:val="center"/>
        <w:rPr>
          <w:rFonts w:ascii="宋体" w:hAnsi="宋体" w:cs="宋体"/>
          <w:b/>
          <w:sz w:val="48"/>
          <w:szCs w:val="48"/>
        </w:rPr>
      </w:pPr>
    </w:p>
    <w:p w14:paraId="3505ECE7">
      <w:pPr>
        <w:jc w:val="center"/>
        <w:rPr>
          <w:rFonts w:ascii="宋体" w:hAnsi="宋体" w:cs="宋体"/>
          <w:b/>
          <w:sz w:val="84"/>
          <w:szCs w:val="84"/>
        </w:rPr>
      </w:pPr>
      <w:r>
        <w:rPr>
          <w:rFonts w:hint="eastAsia" w:ascii="宋体" w:hAnsi="宋体" w:cs="宋体"/>
          <w:b/>
          <w:sz w:val="48"/>
          <w:szCs w:val="48"/>
        </w:rPr>
        <w:t>广西德元工程项目管理有限责任公司</w:t>
      </w:r>
    </w:p>
    <w:p w14:paraId="34EF7723">
      <w:pPr>
        <w:jc w:val="center"/>
        <w:rPr>
          <w:rFonts w:ascii="宋体" w:hAnsi="宋体"/>
          <w:b/>
          <w:bCs/>
          <w:sz w:val="28"/>
          <w:szCs w:val="28"/>
        </w:rPr>
      </w:pPr>
    </w:p>
    <w:p w14:paraId="67FC3B31">
      <w:pPr>
        <w:jc w:val="center"/>
        <w:rPr>
          <w:rFonts w:ascii="宋体" w:hAnsi="宋体"/>
          <w:b/>
          <w:bCs/>
          <w:sz w:val="28"/>
          <w:szCs w:val="28"/>
        </w:rPr>
      </w:pPr>
    </w:p>
    <w:p w14:paraId="30AA2529">
      <w:pPr>
        <w:jc w:val="center"/>
        <w:rPr>
          <w:rFonts w:ascii="宋体" w:hAnsi="宋体"/>
          <w:b/>
          <w:bCs/>
          <w:sz w:val="28"/>
          <w:szCs w:val="28"/>
        </w:rPr>
      </w:pPr>
    </w:p>
    <w:p w14:paraId="79399F25">
      <w:pPr>
        <w:jc w:val="center"/>
        <w:rPr>
          <w:rFonts w:ascii="宋体" w:hAnsi="宋体"/>
          <w:b/>
          <w:bCs/>
          <w:sz w:val="28"/>
          <w:szCs w:val="28"/>
        </w:rPr>
      </w:pPr>
    </w:p>
    <w:p w14:paraId="313BB5D8">
      <w:pPr>
        <w:jc w:val="center"/>
        <w:rPr>
          <w:rFonts w:ascii="宋体" w:hAnsi="宋体"/>
          <w:b/>
          <w:bCs/>
          <w:sz w:val="28"/>
          <w:szCs w:val="28"/>
        </w:rPr>
      </w:pPr>
    </w:p>
    <w:p w14:paraId="5EA23FA5">
      <w:pPr>
        <w:spacing w:before="120" w:beforeLines="50"/>
        <w:rPr>
          <w:rFonts w:ascii="宋体" w:hAnsi="宋体" w:cs="宋体"/>
          <w:b/>
          <w:sz w:val="48"/>
          <w:szCs w:val="48"/>
        </w:rPr>
      </w:pPr>
    </w:p>
    <w:p w14:paraId="042A4996">
      <w:pPr>
        <w:spacing w:before="120" w:beforeLines="50" w:line="720" w:lineRule="auto"/>
        <w:jc w:val="center"/>
        <w:rPr>
          <w:rFonts w:ascii="宋体" w:hAnsi="宋体" w:cs="宋体"/>
          <w:b/>
          <w:sz w:val="52"/>
          <w:szCs w:val="52"/>
        </w:rPr>
      </w:pPr>
      <w:r>
        <w:rPr>
          <w:rFonts w:hint="eastAsia" w:ascii="宋体" w:hAnsi="宋体" w:cs="宋体"/>
          <w:b/>
          <w:sz w:val="52"/>
          <w:szCs w:val="52"/>
        </w:rPr>
        <w:t>公开招标文件</w:t>
      </w:r>
      <w:bookmarkStart w:id="423" w:name="_GoBack"/>
      <w:bookmarkEnd w:id="423"/>
    </w:p>
    <w:p w14:paraId="276DA954">
      <w:pPr>
        <w:pStyle w:val="20"/>
        <w:ind w:firstLine="562"/>
        <w:rPr>
          <w:sz w:val="28"/>
          <w:szCs w:val="28"/>
        </w:rPr>
      </w:pPr>
    </w:p>
    <w:p w14:paraId="30B20A81">
      <w:pPr>
        <w:spacing w:line="360" w:lineRule="auto"/>
        <w:ind w:firstLine="964" w:firstLineChars="300"/>
        <w:rPr>
          <w:rFonts w:ascii="宋体" w:hAnsi="宋体"/>
          <w:b/>
          <w:sz w:val="32"/>
          <w:szCs w:val="32"/>
        </w:rPr>
      </w:pPr>
      <w:r>
        <w:rPr>
          <w:rFonts w:hint="eastAsia"/>
          <w:b/>
          <w:bCs/>
          <w:sz w:val="32"/>
          <w:szCs w:val="32"/>
        </w:rPr>
        <w:t>项目名称：</w:t>
      </w:r>
      <w:bookmarkStart w:id="0" w:name="OLE_LINK136"/>
      <w:r>
        <w:rPr>
          <w:rFonts w:hint="eastAsia"/>
          <w:b/>
          <w:bCs/>
          <w:sz w:val="32"/>
          <w:szCs w:val="32"/>
        </w:rPr>
        <w:t>梧州监狱2025-2026年罪犯生活物资采购项目</w:t>
      </w:r>
      <w:bookmarkEnd w:id="0"/>
    </w:p>
    <w:p w14:paraId="00912D9C">
      <w:pPr>
        <w:spacing w:line="360" w:lineRule="auto"/>
        <w:ind w:firstLine="964" w:firstLineChars="300"/>
        <w:rPr>
          <w:rFonts w:ascii="宋体" w:hAnsi="宋体"/>
          <w:b/>
          <w:sz w:val="32"/>
          <w:szCs w:val="32"/>
        </w:rPr>
      </w:pPr>
    </w:p>
    <w:p w14:paraId="740ACF6F">
      <w:pPr>
        <w:spacing w:line="360" w:lineRule="auto"/>
        <w:ind w:firstLine="964" w:firstLineChars="300"/>
        <w:rPr>
          <w:rFonts w:ascii="宋体" w:hAnsi="宋体"/>
          <w:b/>
          <w:sz w:val="32"/>
          <w:szCs w:val="32"/>
        </w:rPr>
      </w:pPr>
      <w:bookmarkStart w:id="1" w:name="OLE_LINK138"/>
      <w:r>
        <w:rPr>
          <w:rFonts w:hint="eastAsia" w:ascii="宋体" w:hAnsi="宋体"/>
          <w:b/>
          <w:sz w:val="32"/>
          <w:szCs w:val="32"/>
        </w:rPr>
        <w:t>项目编号：</w:t>
      </w:r>
      <w:bookmarkStart w:id="2" w:name="OLE_LINK89"/>
      <w:bookmarkStart w:id="3" w:name="OLE_LINK137"/>
      <w:r>
        <w:rPr>
          <w:rFonts w:hint="eastAsia" w:ascii="宋体" w:hAnsi="宋体"/>
          <w:b/>
          <w:sz w:val="32"/>
          <w:szCs w:val="32"/>
        </w:rPr>
        <w:t xml:space="preserve">GXZC2025-G1-001187-GXDY </w:t>
      </w:r>
      <w:bookmarkEnd w:id="1"/>
      <w:bookmarkEnd w:id="2"/>
      <w:r>
        <w:rPr>
          <w:rFonts w:hint="eastAsia" w:ascii="宋体" w:hAnsi="宋体"/>
          <w:b/>
          <w:sz w:val="32"/>
          <w:szCs w:val="32"/>
        </w:rPr>
        <w:t xml:space="preserve">  </w:t>
      </w:r>
    </w:p>
    <w:bookmarkEnd w:id="3"/>
    <w:p w14:paraId="50E5BA71">
      <w:pPr>
        <w:pStyle w:val="34"/>
        <w:ind w:firstLine="0" w:firstLineChars="0"/>
        <w:rPr>
          <w:rFonts w:hAnsi="宋体"/>
          <w:sz w:val="32"/>
          <w:szCs w:val="32"/>
        </w:rPr>
      </w:pPr>
    </w:p>
    <w:p w14:paraId="5B6C2075">
      <w:pPr>
        <w:spacing w:line="360" w:lineRule="auto"/>
        <w:ind w:firstLine="964" w:firstLineChars="300"/>
        <w:jc w:val="left"/>
        <w:rPr>
          <w:rFonts w:ascii="宋体" w:hAnsi="宋体"/>
          <w:b/>
          <w:sz w:val="32"/>
          <w:szCs w:val="32"/>
        </w:rPr>
      </w:pPr>
      <w:r>
        <w:rPr>
          <w:rFonts w:hint="eastAsia" w:ascii="宋体" w:hAnsi="宋体"/>
          <w:b/>
          <w:sz w:val="32"/>
          <w:szCs w:val="32"/>
        </w:rPr>
        <w:t>采 购 人：</w:t>
      </w:r>
      <w:bookmarkStart w:id="4" w:name="OLE_LINK90"/>
      <w:r>
        <w:rPr>
          <w:rFonts w:hint="eastAsia" w:ascii="宋体" w:hAnsi="宋体"/>
          <w:b/>
          <w:sz w:val="32"/>
          <w:szCs w:val="32"/>
        </w:rPr>
        <w:t>广西壮族自治区梧州监狱</w:t>
      </w:r>
      <w:bookmarkEnd w:id="4"/>
    </w:p>
    <w:p w14:paraId="299F894D">
      <w:pPr>
        <w:spacing w:line="360" w:lineRule="auto"/>
        <w:jc w:val="center"/>
        <w:rPr>
          <w:rFonts w:ascii="宋体" w:hAnsi="宋体"/>
          <w:b/>
          <w:sz w:val="32"/>
          <w:szCs w:val="32"/>
        </w:rPr>
      </w:pPr>
    </w:p>
    <w:p w14:paraId="724AF996">
      <w:pPr>
        <w:spacing w:line="360" w:lineRule="auto"/>
        <w:ind w:firstLine="964" w:firstLineChars="300"/>
        <w:rPr>
          <w:rFonts w:ascii="宋体" w:hAnsi="宋体"/>
          <w:b/>
          <w:sz w:val="32"/>
          <w:szCs w:val="32"/>
        </w:rPr>
      </w:pPr>
      <w:r>
        <w:rPr>
          <w:rFonts w:hint="eastAsia" w:ascii="宋体" w:hAnsi="宋体"/>
          <w:b/>
          <w:sz w:val="32"/>
          <w:szCs w:val="32"/>
        </w:rPr>
        <w:t>采购代理机构：</w:t>
      </w:r>
      <w:bookmarkStart w:id="5" w:name="OLE_LINK88"/>
      <w:r>
        <w:rPr>
          <w:rFonts w:hint="eastAsia" w:ascii="宋体" w:hAnsi="宋体"/>
          <w:b/>
          <w:sz w:val="32"/>
          <w:szCs w:val="32"/>
        </w:rPr>
        <w:t>广西德元工程项目管理有限责任公司</w:t>
      </w:r>
      <w:bookmarkEnd w:id="5"/>
      <w:r>
        <w:rPr>
          <w:rFonts w:hint="eastAsia" w:ascii="宋体" w:hAnsi="宋体"/>
          <w:b/>
          <w:sz w:val="32"/>
          <w:szCs w:val="32"/>
        </w:rPr>
        <w:t xml:space="preserve"> </w:t>
      </w:r>
    </w:p>
    <w:p w14:paraId="403AAE00">
      <w:pPr>
        <w:spacing w:line="360" w:lineRule="auto"/>
        <w:jc w:val="center"/>
        <w:rPr>
          <w:rFonts w:ascii="宋体" w:hAnsi="宋体"/>
          <w:b/>
          <w:sz w:val="32"/>
          <w:szCs w:val="32"/>
        </w:rPr>
      </w:pPr>
    </w:p>
    <w:p w14:paraId="7A20A1AF">
      <w:pPr>
        <w:spacing w:line="360" w:lineRule="auto"/>
        <w:jc w:val="center"/>
        <w:rPr>
          <w:rFonts w:ascii="宋体" w:hAnsi="宋体"/>
          <w:b/>
          <w:bCs/>
          <w:sz w:val="72"/>
          <w:szCs w:val="72"/>
        </w:rPr>
      </w:pPr>
      <w:r>
        <w:rPr>
          <w:rFonts w:hint="eastAsia" w:ascii="宋体" w:hAnsi="宋体"/>
          <w:b/>
          <w:sz w:val="32"/>
          <w:szCs w:val="32"/>
        </w:rPr>
        <w:t>日期：2025 年07月1</w:t>
      </w:r>
      <w:r>
        <w:rPr>
          <w:rFonts w:hint="eastAsia" w:ascii="宋体" w:hAnsi="宋体"/>
          <w:b/>
          <w:sz w:val="32"/>
          <w:szCs w:val="32"/>
          <w:lang w:val="en-US" w:eastAsia="zh-CN"/>
        </w:rPr>
        <w:t>5</w:t>
      </w:r>
      <w:r>
        <w:rPr>
          <w:rFonts w:hint="eastAsia" w:ascii="宋体" w:hAnsi="宋体"/>
          <w:b/>
          <w:sz w:val="32"/>
          <w:szCs w:val="32"/>
        </w:rPr>
        <w:t>日</w:t>
      </w:r>
    </w:p>
    <w:p w14:paraId="36B06042">
      <w:pPr>
        <w:pStyle w:val="20"/>
        <w:spacing w:line="360" w:lineRule="auto"/>
        <w:jc w:val="center"/>
        <w:rPr>
          <w:rFonts w:hAnsi="宋体"/>
          <w:b/>
          <w:sz w:val="44"/>
          <w:szCs w:val="44"/>
        </w:rPr>
        <w:sectPr>
          <w:headerReference r:id="rId3" w:type="first"/>
          <w:footerReference r:id="rId5" w:type="first"/>
          <w:footerReference r:id="rId4" w:type="default"/>
          <w:pgSz w:w="11906" w:h="16838"/>
          <w:pgMar w:top="1554" w:right="1312" w:bottom="1134" w:left="1354" w:header="454" w:footer="1020" w:gutter="0"/>
          <w:pgNumType w:start="1"/>
          <w:cols w:space="720" w:num="1"/>
          <w:titlePg/>
          <w:docGrid w:linePitch="312" w:charSpace="0"/>
        </w:sectPr>
      </w:pPr>
    </w:p>
    <w:p w14:paraId="4BA643A0"/>
    <w:p w14:paraId="09F7AA57">
      <w:pPr>
        <w:pStyle w:val="20"/>
        <w:snapToGrid w:val="0"/>
        <w:spacing w:before="50" w:after="120" w:line="360" w:lineRule="auto"/>
      </w:pPr>
      <w:r>
        <w:rPr>
          <w:rFonts w:hint="eastAsia"/>
          <w:b/>
          <w:bCs/>
          <w:sz w:val="52"/>
          <w:szCs w:val="52"/>
        </w:rPr>
        <w:t xml:space="preserve">              目     录</w:t>
      </w:r>
      <w:bookmarkStart w:id="6" w:name="_Toc532545041"/>
    </w:p>
    <w:p w14:paraId="166788BE">
      <w:pPr>
        <w:pStyle w:val="27"/>
        <w:tabs>
          <w:tab w:val="right" w:leader="dot" w:pos="9240"/>
        </w:tabs>
        <w:rPr>
          <w:sz w:val="28"/>
          <w:szCs w:val="28"/>
          <w:u w:val="none"/>
        </w:rPr>
      </w:pPr>
      <w:r>
        <w:rPr>
          <w:rFonts w:hint="eastAsia" w:ascii="宋体" w:hAnsi="宋体" w:cs="宋体"/>
          <w:sz w:val="28"/>
          <w:szCs w:val="28"/>
          <w:u w:val="none"/>
        </w:rPr>
        <w:fldChar w:fldCharType="begin"/>
      </w:r>
      <w:r>
        <w:rPr>
          <w:rFonts w:hint="eastAsia" w:ascii="宋体" w:hAnsi="宋体" w:cs="宋体"/>
          <w:sz w:val="28"/>
          <w:szCs w:val="28"/>
          <w:u w:val="none"/>
        </w:rPr>
        <w:instrText xml:space="preserve">TOC \o "1-3" \h \u </w:instrText>
      </w:r>
      <w:r>
        <w:rPr>
          <w:rFonts w:hint="eastAsia" w:ascii="宋体" w:hAnsi="宋体" w:cs="宋体"/>
          <w:sz w:val="28"/>
          <w:szCs w:val="28"/>
          <w:u w:val="none"/>
        </w:rPr>
        <w:fldChar w:fldCharType="separate"/>
      </w:r>
      <w:r>
        <w:fldChar w:fldCharType="begin"/>
      </w:r>
      <w:r>
        <w:instrText xml:space="preserve"> HYPERLINK \l "_Toc10793" </w:instrText>
      </w:r>
      <w:r>
        <w:fldChar w:fldCharType="separate"/>
      </w:r>
      <w:r>
        <w:rPr>
          <w:rFonts w:hint="eastAsia" w:hAnsi="宋体" w:cs="宋体"/>
          <w:sz w:val="28"/>
          <w:szCs w:val="28"/>
          <w:u w:val="none"/>
        </w:rPr>
        <w:t>第一章  招标公告</w:t>
      </w:r>
      <w:r>
        <w:rPr>
          <w:sz w:val="28"/>
          <w:szCs w:val="28"/>
          <w:u w:val="none"/>
        </w:rPr>
        <w:tab/>
      </w:r>
      <w:r>
        <w:rPr>
          <w:sz w:val="28"/>
          <w:szCs w:val="28"/>
          <w:u w:val="none"/>
        </w:rPr>
        <w:fldChar w:fldCharType="begin"/>
      </w:r>
      <w:r>
        <w:rPr>
          <w:sz w:val="28"/>
          <w:szCs w:val="28"/>
          <w:u w:val="none"/>
        </w:rPr>
        <w:instrText xml:space="preserve"> PAGEREF _Toc10793 </w:instrText>
      </w:r>
      <w:r>
        <w:rPr>
          <w:sz w:val="28"/>
          <w:szCs w:val="28"/>
          <w:u w:val="none"/>
        </w:rPr>
        <w:fldChar w:fldCharType="separate"/>
      </w:r>
      <w:r>
        <w:rPr>
          <w:sz w:val="28"/>
          <w:szCs w:val="28"/>
          <w:u w:val="none"/>
        </w:rPr>
        <w:t>1</w:t>
      </w:r>
      <w:r>
        <w:rPr>
          <w:sz w:val="28"/>
          <w:szCs w:val="28"/>
          <w:u w:val="none"/>
        </w:rPr>
        <w:fldChar w:fldCharType="end"/>
      </w:r>
      <w:r>
        <w:rPr>
          <w:sz w:val="28"/>
          <w:szCs w:val="28"/>
          <w:u w:val="none"/>
        </w:rPr>
        <w:fldChar w:fldCharType="end"/>
      </w:r>
    </w:p>
    <w:p w14:paraId="19AF9021">
      <w:pPr>
        <w:pStyle w:val="27"/>
        <w:tabs>
          <w:tab w:val="right" w:leader="dot" w:pos="9240"/>
        </w:tabs>
        <w:rPr>
          <w:sz w:val="28"/>
          <w:szCs w:val="28"/>
          <w:u w:val="none"/>
        </w:rPr>
      </w:pPr>
      <w:r>
        <w:fldChar w:fldCharType="begin"/>
      </w:r>
      <w:r>
        <w:instrText xml:space="preserve"> HYPERLINK \l "_Toc1050" </w:instrText>
      </w:r>
      <w:r>
        <w:fldChar w:fldCharType="separate"/>
      </w:r>
      <w:r>
        <w:rPr>
          <w:rFonts w:hint="eastAsia"/>
          <w:sz w:val="28"/>
          <w:szCs w:val="28"/>
          <w:u w:val="none"/>
        </w:rPr>
        <w:t>第二章  采购需求</w:t>
      </w:r>
      <w:r>
        <w:rPr>
          <w:sz w:val="28"/>
          <w:szCs w:val="28"/>
          <w:u w:val="none"/>
        </w:rPr>
        <w:tab/>
      </w:r>
      <w:r>
        <w:rPr>
          <w:sz w:val="28"/>
          <w:szCs w:val="28"/>
          <w:u w:val="none"/>
        </w:rPr>
        <w:fldChar w:fldCharType="begin"/>
      </w:r>
      <w:r>
        <w:rPr>
          <w:sz w:val="28"/>
          <w:szCs w:val="28"/>
          <w:u w:val="none"/>
        </w:rPr>
        <w:instrText xml:space="preserve"> PAGEREF _Toc1050 </w:instrText>
      </w:r>
      <w:r>
        <w:rPr>
          <w:sz w:val="28"/>
          <w:szCs w:val="28"/>
          <w:u w:val="none"/>
        </w:rPr>
        <w:fldChar w:fldCharType="separate"/>
      </w:r>
      <w:r>
        <w:rPr>
          <w:sz w:val="28"/>
          <w:szCs w:val="28"/>
          <w:u w:val="none"/>
        </w:rPr>
        <w:t>7</w:t>
      </w:r>
      <w:r>
        <w:rPr>
          <w:sz w:val="28"/>
          <w:szCs w:val="28"/>
          <w:u w:val="none"/>
        </w:rPr>
        <w:fldChar w:fldCharType="end"/>
      </w:r>
      <w:r>
        <w:rPr>
          <w:sz w:val="28"/>
          <w:szCs w:val="28"/>
          <w:u w:val="none"/>
        </w:rPr>
        <w:fldChar w:fldCharType="end"/>
      </w:r>
    </w:p>
    <w:p w14:paraId="183EC332">
      <w:pPr>
        <w:pStyle w:val="27"/>
        <w:tabs>
          <w:tab w:val="right" w:leader="dot" w:pos="9240"/>
        </w:tabs>
        <w:rPr>
          <w:sz w:val="28"/>
          <w:szCs w:val="28"/>
          <w:u w:val="none"/>
        </w:rPr>
      </w:pPr>
      <w:r>
        <w:fldChar w:fldCharType="begin"/>
      </w:r>
      <w:r>
        <w:instrText xml:space="preserve"> HYPERLINK \l "_Toc1526" </w:instrText>
      </w:r>
      <w:r>
        <w:fldChar w:fldCharType="separate"/>
      </w:r>
      <w:r>
        <w:rPr>
          <w:rFonts w:hint="eastAsia" w:hAnsi="宋体" w:cs="宋体"/>
          <w:sz w:val="28"/>
          <w:szCs w:val="28"/>
          <w:u w:val="none"/>
        </w:rPr>
        <w:t>第三章  投标人须知</w:t>
      </w:r>
      <w:r>
        <w:rPr>
          <w:sz w:val="28"/>
          <w:szCs w:val="28"/>
          <w:u w:val="none"/>
        </w:rPr>
        <w:tab/>
      </w:r>
      <w:r>
        <w:rPr>
          <w:sz w:val="28"/>
          <w:szCs w:val="28"/>
          <w:u w:val="none"/>
        </w:rPr>
        <w:fldChar w:fldCharType="begin"/>
      </w:r>
      <w:r>
        <w:rPr>
          <w:sz w:val="28"/>
          <w:szCs w:val="28"/>
          <w:u w:val="none"/>
        </w:rPr>
        <w:instrText xml:space="preserve"> PAGEREF _Toc1526 </w:instrText>
      </w:r>
      <w:r>
        <w:rPr>
          <w:sz w:val="28"/>
          <w:szCs w:val="28"/>
          <w:u w:val="none"/>
        </w:rPr>
        <w:fldChar w:fldCharType="separate"/>
      </w:r>
      <w:r>
        <w:rPr>
          <w:sz w:val="28"/>
          <w:szCs w:val="28"/>
          <w:u w:val="none"/>
        </w:rPr>
        <w:t>48</w:t>
      </w:r>
      <w:r>
        <w:rPr>
          <w:sz w:val="28"/>
          <w:szCs w:val="28"/>
          <w:u w:val="none"/>
        </w:rPr>
        <w:fldChar w:fldCharType="end"/>
      </w:r>
      <w:r>
        <w:rPr>
          <w:sz w:val="28"/>
          <w:szCs w:val="28"/>
          <w:u w:val="none"/>
        </w:rPr>
        <w:fldChar w:fldCharType="end"/>
      </w:r>
    </w:p>
    <w:p w14:paraId="2DF3B1A7">
      <w:pPr>
        <w:pStyle w:val="27"/>
        <w:tabs>
          <w:tab w:val="right" w:leader="dot" w:pos="9240"/>
        </w:tabs>
        <w:rPr>
          <w:sz w:val="28"/>
          <w:szCs w:val="28"/>
          <w:u w:val="none"/>
        </w:rPr>
      </w:pPr>
      <w:r>
        <w:fldChar w:fldCharType="begin"/>
      </w:r>
      <w:r>
        <w:instrText xml:space="preserve"> HYPERLINK \l "_Toc27056" </w:instrText>
      </w:r>
      <w:r>
        <w:fldChar w:fldCharType="separate"/>
      </w:r>
      <w:r>
        <w:rPr>
          <w:rFonts w:hint="eastAsia" w:hAnsi="宋体" w:cs="宋体"/>
          <w:sz w:val="28"/>
          <w:szCs w:val="28"/>
          <w:u w:val="none"/>
        </w:rPr>
        <w:t>第四章  评标方法及评分标准</w:t>
      </w:r>
      <w:r>
        <w:rPr>
          <w:sz w:val="28"/>
          <w:szCs w:val="28"/>
          <w:u w:val="none"/>
        </w:rPr>
        <w:tab/>
      </w:r>
      <w:r>
        <w:rPr>
          <w:sz w:val="28"/>
          <w:szCs w:val="28"/>
          <w:u w:val="none"/>
        </w:rPr>
        <w:fldChar w:fldCharType="begin"/>
      </w:r>
      <w:r>
        <w:rPr>
          <w:sz w:val="28"/>
          <w:szCs w:val="28"/>
          <w:u w:val="none"/>
        </w:rPr>
        <w:instrText xml:space="preserve"> PAGEREF _Toc27056 </w:instrText>
      </w:r>
      <w:r>
        <w:rPr>
          <w:sz w:val="28"/>
          <w:szCs w:val="28"/>
          <w:u w:val="none"/>
        </w:rPr>
        <w:fldChar w:fldCharType="separate"/>
      </w:r>
      <w:r>
        <w:rPr>
          <w:sz w:val="28"/>
          <w:szCs w:val="28"/>
          <w:u w:val="none"/>
        </w:rPr>
        <w:t>71</w:t>
      </w:r>
      <w:r>
        <w:rPr>
          <w:sz w:val="28"/>
          <w:szCs w:val="28"/>
          <w:u w:val="none"/>
        </w:rPr>
        <w:fldChar w:fldCharType="end"/>
      </w:r>
      <w:r>
        <w:rPr>
          <w:sz w:val="28"/>
          <w:szCs w:val="28"/>
          <w:u w:val="none"/>
        </w:rPr>
        <w:fldChar w:fldCharType="end"/>
      </w:r>
    </w:p>
    <w:p w14:paraId="5EFE699D">
      <w:pPr>
        <w:pStyle w:val="27"/>
        <w:tabs>
          <w:tab w:val="right" w:leader="dot" w:pos="9240"/>
        </w:tabs>
        <w:rPr>
          <w:sz w:val="28"/>
          <w:szCs w:val="28"/>
          <w:u w:val="none"/>
        </w:rPr>
      </w:pPr>
      <w:r>
        <w:fldChar w:fldCharType="begin"/>
      </w:r>
      <w:r>
        <w:instrText xml:space="preserve"> HYPERLINK \l "_Toc21166" </w:instrText>
      </w:r>
      <w:r>
        <w:fldChar w:fldCharType="separate"/>
      </w:r>
      <w:r>
        <w:rPr>
          <w:rFonts w:hint="eastAsia" w:hAnsi="宋体" w:cs="宋体"/>
          <w:sz w:val="28"/>
          <w:szCs w:val="28"/>
          <w:u w:val="none"/>
        </w:rPr>
        <w:t>第五章 拟签订的合同文本</w:t>
      </w:r>
      <w:r>
        <w:rPr>
          <w:sz w:val="28"/>
          <w:szCs w:val="28"/>
          <w:u w:val="none"/>
        </w:rPr>
        <w:tab/>
      </w:r>
      <w:r>
        <w:rPr>
          <w:sz w:val="28"/>
          <w:szCs w:val="28"/>
          <w:u w:val="none"/>
        </w:rPr>
        <w:fldChar w:fldCharType="begin"/>
      </w:r>
      <w:r>
        <w:rPr>
          <w:sz w:val="28"/>
          <w:szCs w:val="28"/>
          <w:u w:val="none"/>
        </w:rPr>
        <w:instrText xml:space="preserve"> PAGEREF _Toc21166 </w:instrText>
      </w:r>
      <w:r>
        <w:rPr>
          <w:sz w:val="28"/>
          <w:szCs w:val="28"/>
          <w:u w:val="none"/>
        </w:rPr>
        <w:fldChar w:fldCharType="separate"/>
      </w:r>
      <w:r>
        <w:rPr>
          <w:sz w:val="28"/>
          <w:szCs w:val="28"/>
          <w:u w:val="none"/>
        </w:rPr>
        <w:t>83</w:t>
      </w:r>
      <w:r>
        <w:rPr>
          <w:sz w:val="28"/>
          <w:szCs w:val="28"/>
          <w:u w:val="none"/>
        </w:rPr>
        <w:fldChar w:fldCharType="end"/>
      </w:r>
      <w:r>
        <w:rPr>
          <w:sz w:val="28"/>
          <w:szCs w:val="28"/>
          <w:u w:val="none"/>
        </w:rPr>
        <w:fldChar w:fldCharType="end"/>
      </w:r>
    </w:p>
    <w:p w14:paraId="79A6EDB3">
      <w:pPr>
        <w:pStyle w:val="27"/>
        <w:tabs>
          <w:tab w:val="right" w:leader="dot" w:pos="9240"/>
        </w:tabs>
        <w:rPr>
          <w:sz w:val="28"/>
          <w:szCs w:val="28"/>
          <w:u w:val="none"/>
        </w:rPr>
      </w:pPr>
      <w:r>
        <w:fldChar w:fldCharType="begin"/>
      </w:r>
      <w:r>
        <w:instrText xml:space="preserve"> HYPERLINK \l "_Toc16473" </w:instrText>
      </w:r>
      <w:r>
        <w:fldChar w:fldCharType="separate"/>
      </w:r>
      <w:r>
        <w:rPr>
          <w:rFonts w:hint="eastAsia" w:hAnsi="宋体" w:cs="宋体"/>
          <w:sz w:val="28"/>
          <w:szCs w:val="28"/>
          <w:u w:val="none"/>
        </w:rPr>
        <w:t>第六章 投标文件格式</w:t>
      </w:r>
      <w:r>
        <w:rPr>
          <w:sz w:val="28"/>
          <w:szCs w:val="28"/>
          <w:u w:val="none"/>
        </w:rPr>
        <w:tab/>
      </w:r>
      <w:r>
        <w:rPr>
          <w:sz w:val="28"/>
          <w:szCs w:val="28"/>
          <w:u w:val="none"/>
        </w:rPr>
        <w:fldChar w:fldCharType="begin"/>
      </w:r>
      <w:r>
        <w:rPr>
          <w:sz w:val="28"/>
          <w:szCs w:val="28"/>
          <w:u w:val="none"/>
        </w:rPr>
        <w:instrText xml:space="preserve"> PAGEREF _Toc16473 </w:instrText>
      </w:r>
      <w:r>
        <w:rPr>
          <w:sz w:val="28"/>
          <w:szCs w:val="28"/>
          <w:u w:val="none"/>
        </w:rPr>
        <w:fldChar w:fldCharType="separate"/>
      </w:r>
      <w:r>
        <w:rPr>
          <w:sz w:val="28"/>
          <w:szCs w:val="28"/>
          <w:u w:val="none"/>
        </w:rPr>
        <w:t>94</w:t>
      </w:r>
      <w:r>
        <w:rPr>
          <w:sz w:val="28"/>
          <w:szCs w:val="28"/>
          <w:u w:val="none"/>
        </w:rPr>
        <w:fldChar w:fldCharType="end"/>
      </w:r>
      <w:r>
        <w:rPr>
          <w:sz w:val="28"/>
          <w:szCs w:val="28"/>
          <w:u w:val="none"/>
        </w:rPr>
        <w:fldChar w:fldCharType="end"/>
      </w:r>
    </w:p>
    <w:p w14:paraId="6963B049">
      <w:pPr>
        <w:pStyle w:val="27"/>
        <w:tabs>
          <w:tab w:val="right" w:leader="dot" w:pos="9240"/>
        </w:tabs>
        <w:rPr>
          <w:sz w:val="28"/>
          <w:szCs w:val="28"/>
          <w:u w:val="none"/>
        </w:rPr>
      </w:pPr>
      <w:r>
        <w:fldChar w:fldCharType="begin"/>
      </w:r>
      <w:r>
        <w:instrText xml:space="preserve"> HYPERLINK \l "_Toc14328" </w:instrText>
      </w:r>
      <w:r>
        <w:fldChar w:fldCharType="separate"/>
      </w:r>
      <w:r>
        <w:rPr>
          <w:rFonts w:hint="eastAsia" w:hAnsi="宋体" w:cs="宋体"/>
          <w:sz w:val="28"/>
          <w:szCs w:val="28"/>
          <w:u w:val="none"/>
        </w:rPr>
        <w:t>第七章 质疑、投诉证明材料格式</w:t>
      </w:r>
      <w:r>
        <w:rPr>
          <w:sz w:val="28"/>
          <w:szCs w:val="28"/>
          <w:u w:val="none"/>
        </w:rPr>
        <w:tab/>
      </w:r>
      <w:r>
        <w:rPr>
          <w:sz w:val="28"/>
          <w:szCs w:val="28"/>
          <w:u w:val="none"/>
        </w:rPr>
        <w:fldChar w:fldCharType="begin"/>
      </w:r>
      <w:r>
        <w:rPr>
          <w:sz w:val="28"/>
          <w:szCs w:val="28"/>
          <w:u w:val="none"/>
        </w:rPr>
        <w:instrText xml:space="preserve"> PAGEREF _Toc14328 </w:instrText>
      </w:r>
      <w:r>
        <w:rPr>
          <w:sz w:val="28"/>
          <w:szCs w:val="28"/>
          <w:u w:val="none"/>
        </w:rPr>
        <w:fldChar w:fldCharType="separate"/>
      </w:r>
      <w:r>
        <w:rPr>
          <w:sz w:val="28"/>
          <w:szCs w:val="28"/>
          <w:u w:val="none"/>
        </w:rPr>
        <w:t>122</w:t>
      </w:r>
      <w:r>
        <w:rPr>
          <w:sz w:val="28"/>
          <w:szCs w:val="28"/>
          <w:u w:val="none"/>
        </w:rPr>
        <w:fldChar w:fldCharType="end"/>
      </w:r>
      <w:r>
        <w:rPr>
          <w:sz w:val="28"/>
          <w:szCs w:val="28"/>
          <w:u w:val="none"/>
        </w:rPr>
        <w:fldChar w:fldCharType="end"/>
      </w:r>
    </w:p>
    <w:p w14:paraId="6B83DFF9">
      <w:pPr>
        <w:pStyle w:val="27"/>
        <w:tabs>
          <w:tab w:val="right" w:leader="dot" w:pos="9240"/>
        </w:tabs>
      </w:pPr>
    </w:p>
    <w:p w14:paraId="49B65AAE">
      <w:pPr>
        <w:pStyle w:val="20"/>
        <w:spacing w:line="360" w:lineRule="auto"/>
        <w:jc w:val="center"/>
        <w:outlineLvl w:val="0"/>
        <w:rPr>
          <w:rFonts w:hAnsi="宋体" w:cs="宋体"/>
          <w:caps/>
          <w:szCs w:val="21"/>
          <w:u w:val="single"/>
        </w:rPr>
        <w:sectPr>
          <w:headerReference r:id="rId6" w:type="default"/>
          <w:footerReference r:id="rId7" w:type="default"/>
          <w:pgSz w:w="11906" w:h="16838"/>
          <w:pgMar w:top="1354" w:right="1312" w:bottom="1404" w:left="1354" w:header="720" w:footer="720" w:gutter="0"/>
          <w:pgNumType w:start="1"/>
          <w:cols w:space="720" w:num="1"/>
          <w:docGrid w:type="lines" w:linePitch="331" w:charSpace="0"/>
        </w:sectPr>
      </w:pPr>
      <w:r>
        <w:rPr>
          <w:rFonts w:hint="eastAsia" w:hAnsi="宋体" w:cs="宋体"/>
          <w:sz w:val="28"/>
          <w:szCs w:val="28"/>
        </w:rPr>
        <w:fldChar w:fldCharType="end"/>
      </w:r>
    </w:p>
    <w:p w14:paraId="33143D7E">
      <w:pPr>
        <w:pStyle w:val="20"/>
        <w:spacing w:line="360" w:lineRule="auto"/>
        <w:jc w:val="center"/>
        <w:outlineLvl w:val="0"/>
        <w:rPr>
          <w:rFonts w:hAnsi="宋体" w:cs="宋体"/>
          <w:b/>
          <w:sz w:val="36"/>
          <w:szCs w:val="36"/>
        </w:rPr>
      </w:pPr>
      <w:bookmarkStart w:id="7" w:name="_Toc10793"/>
      <w:bookmarkStart w:id="8" w:name="_Toc5013"/>
      <w:bookmarkStart w:id="9" w:name="_Toc7833"/>
      <w:bookmarkStart w:id="10" w:name="OLE_LINK141"/>
      <w:r>
        <w:rPr>
          <w:rFonts w:hint="eastAsia" w:hAnsi="宋体" w:cs="宋体"/>
          <w:b/>
          <w:sz w:val="36"/>
        </w:rPr>
        <w:t>第一章  招标公告</w:t>
      </w:r>
      <w:bookmarkEnd w:id="6"/>
      <w:bookmarkEnd w:id="7"/>
      <w:bookmarkEnd w:id="8"/>
      <w:bookmarkEnd w:id="9"/>
    </w:p>
    <w:bookmarkEnd w:id="10"/>
    <w:p w14:paraId="15799BF3">
      <w:pPr>
        <w:pStyle w:val="20"/>
        <w:jc w:val="center"/>
        <w:outlineLvl w:val="1"/>
        <w:rPr>
          <w:rFonts w:hAnsi="宋体" w:cs="宋体"/>
          <w:b/>
          <w:sz w:val="30"/>
          <w:szCs w:val="30"/>
        </w:rPr>
      </w:pPr>
      <w:bookmarkStart w:id="11" w:name="_Toc11571"/>
      <w:bookmarkStart w:id="12" w:name="_Toc11120"/>
      <w:bookmarkStart w:id="13" w:name="_Toc3571"/>
      <w:bookmarkStart w:id="14" w:name="OLE_LINK93"/>
      <w:r>
        <w:rPr>
          <w:rFonts w:hint="eastAsia" w:hAnsi="宋体" w:cs="宋体"/>
          <w:b/>
          <w:sz w:val="30"/>
          <w:szCs w:val="30"/>
        </w:rPr>
        <w:t>广西德元工程项目管理有限责任公司关于梧州监狱2025-2026年罪犯生活物资采购项目（GXZC2025-G1-001187-GXDY）的公开招标公告</w:t>
      </w:r>
      <w:bookmarkEnd w:id="11"/>
      <w:bookmarkEnd w:id="12"/>
      <w:bookmarkEnd w:id="13"/>
    </w:p>
    <w:p w14:paraId="54D82F57">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rPr>
      </w:pPr>
      <w:r>
        <w:rPr>
          <w:rFonts w:hint="eastAsia" w:ascii="宋体" w:hAnsi="宋体" w:cs="宋体"/>
          <w:szCs w:val="21"/>
        </w:rPr>
        <w:t>项目概况</w:t>
      </w:r>
    </w:p>
    <w:p w14:paraId="02BCDDE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u w:val="single"/>
        </w:rPr>
      </w:pPr>
      <w:r>
        <w:rPr>
          <w:rFonts w:hint="eastAsia" w:ascii="宋体" w:hAnsi="宋体" w:cs="宋体"/>
          <w:szCs w:val="21"/>
          <w:u w:val="single"/>
        </w:rPr>
        <w:t xml:space="preserve"> 梧州监狱2025-2026年罪犯生活物资采购项目 </w:t>
      </w:r>
      <w:r>
        <w:rPr>
          <w:rFonts w:hint="eastAsia" w:ascii="宋体" w:hAnsi="宋体" w:cs="宋体"/>
          <w:szCs w:val="21"/>
        </w:rPr>
        <w:t>招标项目的潜在投标人应在</w:t>
      </w:r>
      <w:r>
        <w:rPr>
          <w:rFonts w:hint="eastAsia" w:ascii="宋体" w:hAnsi="宋体" w:cs="宋体"/>
          <w:szCs w:val="21"/>
          <w:u w:val="single"/>
        </w:rPr>
        <w:t xml:space="preserve"> 广西政府采购云平台（https://www.gcy.zfcg.gxzf.gov.cn/） </w:t>
      </w:r>
      <w:r>
        <w:rPr>
          <w:rFonts w:hint="eastAsia" w:ascii="宋体" w:hAnsi="宋体" w:cs="宋体"/>
          <w:szCs w:val="21"/>
        </w:rPr>
        <w:t>获取招标文件，并于</w:t>
      </w:r>
      <w:bookmarkStart w:id="15" w:name="PO_3000001866_PM015"/>
      <w:r>
        <w:rPr>
          <w:rFonts w:hint="eastAsia" w:ascii="宋体" w:hAnsi="宋体" w:cs="宋体"/>
          <w:szCs w:val="21"/>
          <w:u w:val="single"/>
        </w:rPr>
        <w:t xml:space="preserve"> 2025 年08月0</w:t>
      </w:r>
      <w:r>
        <w:rPr>
          <w:rFonts w:hint="eastAsia" w:ascii="宋体" w:hAnsi="宋体" w:cs="宋体"/>
          <w:szCs w:val="21"/>
          <w:u w:val="single"/>
          <w:lang w:val="en-US" w:eastAsia="zh-CN"/>
        </w:rPr>
        <w:t>6</w:t>
      </w:r>
      <w:r>
        <w:rPr>
          <w:rFonts w:hint="eastAsia" w:ascii="宋体" w:hAnsi="宋体" w:cs="宋体"/>
          <w:szCs w:val="21"/>
          <w:u w:val="single"/>
        </w:rPr>
        <w:t>日09：30</w:t>
      </w:r>
      <w:bookmarkEnd w:id="15"/>
      <w:r>
        <w:rPr>
          <w:rFonts w:hint="eastAsia" w:ascii="宋体" w:hAnsi="宋体" w:cs="宋体"/>
          <w:bCs/>
          <w:szCs w:val="21"/>
        </w:rPr>
        <w:t>（北京时间）前</w:t>
      </w:r>
      <w:r>
        <w:rPr>
          <w:rFonts w:hint="eastAsia" w:ascii="宋体" w:hAnsi="宋体" w:cs="宋体"/>
          <w:szCs w:val="21"/>
        </w:rPr>
        <w:t>递交投标文件。</w:t>
      </w:r>
    </w:p>
    <w:p w14:paraId="7F8AB37F">
      <w:pPr>
        <w:spacing w:line="360" w:lineRule="auto"/>
        <w:outlineLvl w:val="1"/>
        <w:rPr>
          <w:rFonts w:ascii="宋体" w:hAnsi="宋体" w:cs="宋体"/>
          <w:b/>
          <w:bCs/>
          <w:sz w:val="24"/>
        </w:rPr>
      </w:pPr>
      <w:bookmarkStart w:id="16" w:name="_Toc35393621"/>
      <w:bookmarkStart w:id="17" w:name="_Toc18802"/>
      <w:bookmarkStart w:id="18" w:name="_Toc28359002"/>
      <w:bookmarkStart w:id="19" w:name="_Toc10952"/>
      <w:bookmarkStart w:id="20" w:name="_Toc23258"/>
      <w:bookmarkStart w:id="21" w:name="_Toc35393790"/>
      <w:bookmarkStart w:id="22" w:name="_Toc28359079"/>
      <w:bookmarkStart w:id="23" w:name="_Hlk24379207"/>
      <w:r>
        <w:rPr>
          <w:rFonts w:hint="eastAsia" w:ascii="宋体" w:hAnsi="宋体" w:cs="宋体"/>
          <w:b/>
          <w:bCs/>
          <w:sz w:val="24"/>
        </w:rPr>
        <w:t>一、项目基本情况</w:t>
      </w:r>
      <w:bookmarkEnd w:id="16"/>
      <w:bookmarkEnd w:id="17"/>
      <w:bookmarkEnd w:id="18"/>
      <w:bookmarkEnd w:id="19"/>
      <w:bookmarkEnd w:id="20"/>
      <w:bookmarkEnd w:id="21"/>
      <w:bookmarkEnd w:id="22"/>
    </w:p>
    <w:p w14:paraId="11314C13">
      <w:pPr>
        <w:spacing w:line="360" w:lineRule="auto"/>
        <w:ind w:firstLine="420" w:firstLineChars="200"/>
        <w:rPr>
          <w:rFonts w:ascii="宋体" w:hAnsi="宋体" w:cs="宋体"/>
          <w:szCs w:val="21"/>
        </w:rPr>
      </w:pPr>
      <w:r>
        <w:rPr>
          <w:rFonts w:hint="eastAsia" w:ascii="宋体" w:hAnsi="宋体" w:cs="宋体"/>
          <w:szCs w:val="21"/>
        </w:rPr>
        <w:t xml:space="preserve">项目编号：GXZC2025-G1-001187-GXDY    </w:t>
      </w:r>
    </w:p>
    <w:p w14:paraId="0574F0CE">
      <w:pPr>
        <w:spacing w:line="360" w:lineRule="auto"/>
        <w:ind w:firstLine="420" w:firstLineChars="200"/>
        <w:rPr>
          <w:rFonts w:ascii="宋体" w:hAnsi="宋体" w:cs="宋体"/>
          <w:szCs w:val="21"/>
        </w:rPr>
      </w:pPr>
      <w:r>
        <w:rPr>
          <w:rFonts w:hint="eastAsia" w:ascii="宋体" w:hAnsi="宋体" w:cs="宋体"/>
          <w:szCs w:val="21"/>
        </w:rPr>
        <w:t>项目名称：</w:t>
      </w:r>
      <w:bookmarkStart w:id="24" w:name="OLE_LINK75"/>
      <w:r>
        <w:rPr>
          <w:rFonts w:hint="eastAsia" w:ascii="宋体" w:hAnsi="宋体" w:cs="宋体"/>
          <w:szCs w:val="21"/>
        </w:rPr>
        <w:t>梧州监狱2025-2026年罪犯生活物资采购项目</w:t>
      </w:r>
    </w:p>
    <w:bookmarkEnd w:id="23"/>
    <w:bookmarkEnd w:id="24"/>
    <w:p w14:paraId="02B3366B">
      <w:pPr>
        <w:spacing w:line="360" w:lineRule="auto"/>
        <w:ind w:firstLine="420" w:firstLineChars="200"/>
        <w:rPr>
          <w:rFonts w:ascii="宋体" w:hAnsi="宋体" w:cs="宋体"/>
          <w:szCs w:val="21"/>
        </w:rPr>
      </w:pPr>
      <w:r>
        <w:rPr>
          <w:rFonts w:hint="eastAsia" w:ascii="宋体" w:hAnsi="宋体" w:cs="宋体"/>
          <w:szCs w:val="21"/>
        </w:rPr>
        <w:t>预算总金额</w:t>
      </w:r>
      <w:bookmarkStart w:id="25" w:name="OLE_LINK84"/>
      <w:r>
        <w:rPr>
          <w:rFonts w:hint="eastAsia" w:ascii="宋体" w:hAnsi="宋体" w:cs="宋体"/>
          <w:szCs w:val="21"/>
        </w:rPr>
        <w:t>（元）</w:t>
      </w:r>
      <w:bookmarkEnd w:id="25"/>
      <w:r>
        <w:rPr>
          <w:rFonts w:hint="eastAsia" w:ascii="宋体" w:hAnsi="宋体" w:cs="宋体"/>
          <w:szCs w:val="21"/>
        </w:rPr>
        <w:t>：8300000.00</w:t>
      </w:r>
    </w:p>
    <w:p w14:paraId="388530B9">
      <w:pPr>
        <w:spacing w:line="360" w:lineRule="auto"/>
        <w:ind w:firstLine="420" w:firstLineChars="200"/>
        <w:rPr>
          <w:rFonts w:ascii="宋体" w:hAnsi="宋体" w:cs="宋体"/>
          <w:szCs w:val="21"/>
        </w:rPr>
      </w:pPr>
      <w:r>
        <w:rPr>
          <w:rFonts w:hint="eastAsia" w:ascii="宋体" w:hAnsi="宋体" w:cs="宋体"/>
          <w:szCs w:val="21"/>
        </w:rPr>
        <w:t>最高限价（元）：8284133.00</w:t>
      </w:r>
    </w:p>
    <w:p w14:paraId="7058CBB6">
      <w:pPr>
        <w:spacing w:line="360" w:lineRule="auto"/>
        <w:ind w:firstLine="420" w:firstLineChars="200"/>
        <w:rPr>
          <w:rFonts w:ascii="宋体" w:hAnsi="宋体" w:cs="宋体"/>
          <w:szCs w:val="21"/>
        </w:rPr>
      </w:pPr>
      <w:r>
        <w:rPr>
          <w:rFonts w:hint="eastAsia" w:ascii="宋体" w:hAnsi="宋体" w:cs="宋体"/>
          <w:szCs w:val="21"/>
        </w:rPr>
        <w:t>采购需求：</w:t>
      </w:r>
      <w:bookmarkStart w:id="26" w:name="PO_3000001866_PM004"/>
      <w:r>
        <w:rPr>
          <w:rFonts w:hint="eastAsia" w:ascii="宋体" w:hAnsi="宋体" w:cs="宋体"/>
          <w:szCs w:val="21"/>
        </w:rPr>
        <w:t xml:space="preserve"> </w:t>
      </w:r>
    </w:p>
    <w:p w14:paraId="022B9B40">
      <w:pPr>
        <w:spacing w:line="360" w:lineRule="auto"/>
        <w:ind w:firstLine="422" w:firstLineChars="200"/>
        <w:rPr>
          <w:rFonts w:ascii="宋体" w:hAnsi="宋体" w:cs="宋体"/>
          <w:b/>
          <w:bCs/>
          <w:szCs w:val="21"/>
        </w:rPr>
      </w:pPr>
      <w:r>
        <w:rPr>
          <w:rFonts w:hint="eastAsia" w:ascii="宋体" w:hAnsi="宋体" w:cs="宋体"/>
          <w:b/>
          <w:bCs/>
          <w:szCs w:val="21"/>
        </w:rPr>
        <w:t>A分标：</w:t>
      </w:r>
    </w:p>
    <w:p w14:paraId="17E02BBA">
      <w:pPr>
        <w:spacing w:line="360" w:lineRule="auto"/>
        <w:ind w:firstLine="420" w:firstLineChars="200"/>
        <w:rPr>
          <w:rFonts w:ascii="宋体" w:hAnsi="宋体" w:cs="宋体"/>
          <w:szCs w:val="21"/>
        </w:rPr>
      </w:pPr>
      <w:r>
        <w:rPr>
          <w:rFonts w:hint="eastAsia" w:ascii="宋体" w:hAnsi="宋体" w:cs="宋体"/>
          <w:szCs w:val="21"/>
        </w:rPr>
        <w:t>标项名称:</w:t>
      </w:r>
      <w:bookmarkStart w:id="27" w:name="OLE_LINK76"/>
      <w:r>
        <w:rPr>
          <w:rFonts w:hint="eastAsia" w:ascii="宋体" w:hAnsi="宋体" w:cs="宋体"/>
          <w:szCs w:val="21"/>
        </w:rPr>
        <w:t>鸡鸭肉类</w:t>
      </w:r>
      <w:bookmarkEnd w:id="27"/>
      <w:r>
        <w:rPr>
          <w:rFonts w:hint="eastAsia" w:ascii="宋体" w:hAnsi="宋体" w:cs="宋体"/>
          <w:szCs w:val="21"/>
        </w:rPr>
        <w:t xml:space="preserve"> </w:t>
      </w:r>
    </w:p>
    <w:p w14:paraId="7AFDB0AB">
      <w:pPr>
        <w:spacing w:line="360" w:lineRule="auto"/>
        <w:ind w:firstLine="420" w:firstLineChars="200"/>
        <w:rPr>
          <w:rFonts w:ascii="宋体" w:hAnsi="宋体" w:cs="宋体"/>
          <w:szCs w:val="21"/>
        </w:rPr>
      </w:pPr>
      <w:r>
        <w:rPr>
          <w:rFonts w:hint="eastAsia" w:ascii="宋体" w:hAnsi="宋体" w:cs="宋体"/>
          <w:szCs w:val="21"/>
        </w:rPr>
        <w:t>数量:1批</w:t>
      </w:r>
    </w:p>
    <w:p w14:paraId="60769BD8">
      <w:pPr>
        <w:spacing w:line="360" w:lineRule="auto"/>
        <w:ind w:firstLine="420" w:firstLineChars="200"/>
        <w:rPr>
          <w:rFonts w:ascii="宋体" w:hAnsi="宋体" w:cs="宋体"/>
          <w:szCs w:val="21"/>
        </w:rPr>
      </w:pPr>
      <w:r>
        <w:rPr>
          <w:rFonts w:hint="eastAsia" w:ascii="宋体" w:hAnsi="宋体" w:cs="宋体"/>
          <w:szCs w:val="21"/>
        </w:rPr>
        <w:t>预算金额（元）:</w:t>
      </w:r>
      <w:bookmarkStart w:id="28" w:name="OLE_LINK1"/>
      <w:r>
        <w:rPr>
          <w:rFonts w:hint="eastAsia" w:ascii="宋体" w:hAnsi="宋体" w:cs="宋体"/>
          <w:szCs w:val="21"/>
        </w:rPr>
        <w:t>2404000.00</w:t>
      </w:r>
      <w:bookmarkEnd w:id="28"/>
      <w:r>
        <w:rPr>
          <w:rFonts w:hint="eastAsia" w:ascii="宋体" w:hAnsi="宋体" w:cs="宋体"/>
          <w:szCs w:val="21"/>
        </w:rPr>
        <w:t xml:space="preserve">  </w:t>
      </w:r>
    </w:p>
    <w:p w14:paraId="662D5E90">
      <w:pPr>
        <w:spacing w:line="360" w:lineRule="auto"/>
        <w:ind w:firstLine="420" w:firstLineChars="200"/>
        <w:rPr>
          <w:rFonts w:ascii="宋体" w:hAnsi="宋体" w:cs="宋体"/>
          <w:szCs w:val="21"/>
        </w:rPr>
      </w:pPr>
      <w:r>
        <w:rPr>
          <w:rFonts w:hint="eastAsia" w:ascii="宋体" w:hAnsi="宋体" w:cs="宋体"/>
          <w:szCs w:val="21"/>
        </w:rPr>
        <w:t>简要规格描述或项目基本概况介绍、用途：</w:t>
      </w:r>
      <w:bookmarkStart w:id="29" w:name="OLE_LINK2"/>
      <w:r>
        <w:rPr>
          <w:rFonts w:hint="eastAsia" w:ascii="宋体" w:hAnsi="宋体" w:cs="宋体"/>
          <w:szCs w:val="21"/>
        </w:rPr>
        <w:t>光鸡、光鸭、鲜鸡腿、鲜鸭腿等肉类1批，具体详见招标文件第二章采购需求。</w:t>
      </w:r>
    </w:p>
    <w:bookmarkEnd w:id="29"/>
    <w:p w14:paraId="131CC82F">
      <w:pPr>
        <w:spacing w:line="360" w:lineRule="auto"/>
        <w:ind w:firstLine="420" w:firstLineChars="200"/>
        <w:rPr>
          <w:rFonts w:ascii="宋体" w:hAnsi="宋体" w:cs="宋体"/>
          <w:szCs w:val="21"/>
        </w:rPr>
      </w:pPr>
      <w:r>
        <w:rPr>
          <w:rFonts w:hint="eastAsia" w:ascii="宋体" w:hAnsi="宋体" w:cs="宋体"/>
          <w:szCs w:val="21"/>
        </w:rPr>
        <w:t>最高限价（如有）：2404000.00 元</w:t>
      </w:r>
    </w:p>
    <w:p w14:paraId="5DAB0255">
      <w:pPr>
        <w:spacing w:line="360" w:lineRule="auto"/>
        <w:ind w:firstLine="420" w:firstLineChars="200"/>
        <w:rPr>
          <w:rFonts w:ascii="宋体" w:hAnsi="宋体" w:cs="宋体"/>
          <w:szCs w:val="21"/>
        </w:rPr>
      </w:pPr>
      <w:r>
        <w:rPr>
          <w:rFonts w:hint="eastAsia" w:ascii="宋体" w:hAnsi="宋体" w:cs="宋体"/>
          <w:szCs w:val="21"/>
        </w:rPr>
        <w:t xml:space="preserve">合同履约期限：自签订合同之日起一年。 </w:t>
      </w:r>
    </w:p>
    <w:p w14:paraId="661A32F7">
      <w:pPr>
        <w:spacing w:line="360" w:lineRule="auto"/>
        <w:ind w:firstLine="420" w:firstLineChars="200"/>
        <w:rPr>
          <w:rFonts w:ascii="宋体" w:hAnsi="宋体" w:cs="宋体"/>
          <w:szCs w:val="21"/>
        </w:rPr>
      </w:pPr>
      <w:bookmarkStart w:id="30" w:name="OLE_LINK3"/>
      <w:r>
        <w:rPr>
          <w:rFonts w:hint="eastAsia" w:ascii="宋体" w:hAnsi="宋体" w:cs="宋体"/>
          <w:szCs w:val="21"/>
        </w:rPr>
        <w:t>本标项（否）接受联合体投标</w:t>
      </w:r>
      <w:bookmarkEnd w:id="30"/>
    </w:p>
    <w:p w14:paraId="6F74B337">
      <w:pPr>
        <w:spacing w:line="360" w:lineRule="auto"/>
        <w:ind w:firstLine="420" w:firstLineChars="200"/>
        <w:rPr>
          <w:rFonts w:ascii="宋体" w:hAnsi="宋体" w:cs="宋体"/>
          <w:szCs w:val="21"/>
        </w:rPr>
      </w:pPr>
      <w:r>
        <w:rPr>
          <w:rFonts w:hint="eastAsia" w:ascii="宋体" w:hAnsi="宋体" w:cs="宋体"/>
          <w:szCs w:val="21"/>
        </w:rPr>
        <w:t>备注：/。</w:t>
      </w:r>
    </w:p>
    <w:p w14:paraId="29B66D20">
      <w:pPr>
        <w:snapToGrid w:val="0"/>
        <w:spacing w:line="360" w:lineRule="auto"/>
        <w:ind w:firstLine="422" w:firstLineChars="200"/>
        <w:jc w:val="left"/>
        <w:rPr>
          <w:rFonts w:ascii="宋体" w:hAnsi="宋体" w:cs="宋体"/>
          <w:b/>
          <w:szCs w:val="21"/>
        </w:rPr>
      </w:pPr>
      <w:r>
        <w:rPr>
          <w:rFonts w:hint="eastAsia" w:ascii="宋体" w:hAnsi="宋体" w:cs="宋体"/>
          <w:b/>
          <w:szCs w:val="21"/>
        </w:rPr>
        <w:t>B分标</w:t>
      </w:r>
    </w:p>
    <w:p w14:paraId="47FFA1F8">
      <w:pPr>
        <w:snapToGrid w:val="0"/>
        <w:spacing w:line="360" w:lineRule="auto"/>
        <w:ind w:firstLine="420" w:firstLineChars="200"/>
        <w:jc w:val="left"/>
        <w:rPr>
          <w:rFonts w:ascii="宋体" w:hAnsi="宋体" w:cs="宋体"/>
          <w:szCs w:val="21"/>
        </w:rPr>
      </w:pPr>
      <w:r>
        <w:rPr>
          <w:rFonts w:hint="eastAsia" w:ascii="宋体" w:hAnsi="宋体" w:cs="宋体"/>
          <w:szCs w:val="21"/>
        </w:rPr>
        <w:t>标项名称：</w:t>
      </w:r>
      <w:bookmarkStart w:id="31" w:name="OLE_LINK79"/>
      <w:bookmarkStart w:id="32" w:name="OLE_LINK77"/>
      <w:r>
        <w:rPr>
          <w:rFonts w:hint="eastAsia" w:ascii="宋体" w:hAnsi="宋体" w:cs="宋体"/>
          <w:szCs w:val="21"/>
        </w:rPr>
        <w:t>猪肉、牛肉、羊肉类</w:t>
      </w:r>
      <w:bookmarkEnd w:id="31"/>
    </w:p>
    <w:bookmarkEnd w:id="32"/>
    <w:p w14:paraId="4E12EDDB">
      <w:pPr>
        <w:snapToGrid w:val="0"/>
        <w:spacing w:line="360" w:lineRule="auto"/>
        <w:ind w:firstLine="420" w:firstLineChars="200"/>
        <w:jc w:val="left"/>
        <w:rPr>
          <w:rFonts w:ascii="宋体" w:hAnsi="宋体" w:cs="宋体"/>
          <w:szCs w:val="21"/>
        </w:rPr>
      </w:pPr>
      <w:r>
        <w:rPr>
          <w:rFonts w:hint="eastAsia" w:ascii="宋体" w:hAnsi="宋体" w:cs="宋体"/>
          <w:szCs w:val="21"/>
        </w:rPr>
        <w:t>数量：1批</w:t>
      </w:r>
    </w:p>
    <w:p w14:paraId="74511047">
      <w:pPr>
        <w:snapToGrid w:val="0"/>
        <w:spacing w:line="360" w:lineRule="auto"/>
        <w:ind w:firstLine="420" w:firstLineChars="200"/>
        <w:jc w:val="left"/>
        <w:rPr>
          <w:rFonts w:ascii="宋体" w:hAnsi="宋体" w:cs="宋体"/>
          <w:szCs w:val="21"/>
        </w:rPr>
      </w:pPr>
      <w:r>
        <w:rPr>
          <w:rFonts w:hint="eastAsia" w:ascii="宋体" w:hAnsi="宋体" w:cs="宋体"/>
          <w:szCs w:val="21"/>
        </w:rPr>
        <w:t>预算金额（元）：</w:t>
      </w:r>
      <w:bookmarkStart w:id="33" w:name="OLE_LINK56"/>
      <w:r>
        <w:rPr>
          <w:rFonts w:hint="eastAsia" w:ascii="宋体" w:hAnsi="宋体" w:cs="宋体"/>
          <w:szCs w:val="21"/>
        </w:rPr>
        <w:t xml:space="preserve">974000.00 </w:t>
      </w:r>
      <w:bookmarkEnd w:id="33"/>
      <w:r>
        <w:rPr>
          <w:rFonts w:hint="eastAsia" w:ascii="宋体" w:hAnsi="宋体" w:cs="宋体"/>
          <w:szCs w:val="21"/>
        </w:rPr>
        <w:t xml:space="preserve"> </w:t>
      </w:r>
    </w:p>
    <w:p w14:paraId="4FED993A">
      <w:pPr>
        <w:snapToGrid w:val="0"/>
        <w:spacing w:line="360" w:lineRule="auto"/>
        <w:ind w:firstLine="420" w:firstLineChars="200"/>
        <w:jc w:val="left"/>
        <w:rPr>
          <w:rFonts w:ascii="宋体" w:hAnsi="宋体" w:cs="宋体"/>
          <w:szCs w:val="21"/>
        </w:rPr>
      </w:pPr>
      <w:r>
        <w:rPr>
          <w:rFonts w:hint="eastAsia" w:ascii="宋体" w:hAnsi="宋体" w:cs="宋体"/>
          <w:szCs w:val="21"/>
        </w:rPr>
        <w:t>简要规格描述或项目基本概况介绍、用途：猪肉（边猪）、牛腩、牛肉、羊肉等肉类1批，具体详见招标文件第二章采购需求。</w:t>
      </w:r>
    </w:p>
    <w:p w14:paraId="2C0E26EC">
      <w:pPr>
        <w:snapToGrid w:val="0"/>
        <w:spacing w:line="360" w:lineRule="auto"/>
        <w:ind w:firstLine="420" w:firstLineChars="200"/>
        <w:jc w:val="left"/>
        <w:rPr>
          <w:rFonts w:ascii="宋体" w:hAnsi="宋体" w:cs="宋体"/>
          <w:szCs w:val="21"/>
        </w:rPr>
      </w:pPr>
      <w:r>
        <w:rPr>
          <w:rFonts w:hint="eastAsia" w:ascii="宋体" w:hAnsi="宋体" w:cs="宋体"/>
          <w:szCs w:val="21"/>
        </w:rPr>
        <w:t xml:space="preserve">最高限价（如有）：974000.00 元 </w:t>
      </w:r>
    </w:p>
    <w:p w14:paraId="251697E4">
      <w:pPr>
        <w:snapToGrid w:val="0"/>
        <w:spacing w:line="360" w:lineRule="auto"/>
        <w:ind w:firstLine="420" w:firstLineChars="200"/>
        <w:jc w:val="left"/>
        <w:rPr>
          <w:rFonts w:ascii="宋体" w:hAnsi="宋体" w:cs="宋体"/>
          <w:szCs w:val="21"/>
        </w:rPr>
      </w:pPr>
      <w:r>
        <w:rPr>
          <w:rFonts w:hint="eastAsia" w:ascii="宋体" w:hAnsi="宋体" w:cs="宋体"/>
          <w:szCs w:val="21"/>
        </w:rPr>
        <w:t>合同履约期限：自合同签订之日起一年。</w:t>
      </w:r>
    </w:p>
    <w:p w14:paraId="43CD99D0">
      <w:pPr>
        <w:snapToGrid w:val="0"/>
        <w:spacing w:line="360" w:lineRule="auto"/>
        <w:ind w:firstLine="420" w:firstLineChars="200"/>
        <w:jc w:val="left"/>
        <w:rPr>
          <w:rFonts w:ascii="宋体" w:hAnsi="宋体" w:cs="宋体"/>
          <w:szCs w:val="21"/>
        </w:rPr>
      </w:pPr>
      <w:r>
        <w:rPr>
          <w:rFonts w:hint="eastAsia" w:ascii="宋体" w:hAnsi="宋体" w:cs="宋体"/>
          <w:szCs w:val="21"/>
        </w:rPr>
        <w:t>本标项（否）接受联合体投标</w:t>
      </w:r>
    </w:p>
    <w:p w14:paraId="0100F9A6">
      <w:pPr>
        <w:snapToGrid w:val="0"/>
        <w:spacing w:line="360" w:lineRule="auto"/>
        <w:ind w:firstLine="420" w:firstLineChars="200"/>
        <w:jc w:val="left"/>
        <w:rPr>
          <w:rFonts w:ascii="宋体" w:hAnsi="宋体" w:cs="宋体"/>
          <w:szCs w:val="21"/>
        </w:rPr>
      </w:pPr>
      <w:r>
        <w:rPr>
          <w:rFonts w:hint="eastAsia" w:ascii="宋体" w:hAnsi="宋体" w:cs="宋体"/>
          <w:szCs w:val="21"/>
        </w:rPr>
        <w:t>备注： /</w:t>
      </w:r>
    </w:p>
    <w:p w14:paraId="5D07353A">
      <w:pPr>
        <w:snapToGrid w:val="0"/>
        <w:spacing w:line="360" w:lineRule="auto"/>
        <w:ind w:firstLine="422" w:firstLineChars="200"/>
        <w:jc w:val="left"/>
        <w:rPr>
          <w:rFonts w:ascii="宋体" w:hAnsi="宋体" w:cs="宋体"/>
          <w:b/>
          <w:szCs w:val="21"/>
        </w:rPr>
      </w:pPr>
      <w:r>
        <w:rPr>
          <w:rFonts w:hint="eastAsia" w:ascii="宋体" w:hAnsi="宋体" w:cs="宋体"/>
          <w:b/>
          <w:szCs w:val="21"/>
        </w:rPr>
        <w:t>C分标</w:t>
      </w:r>
    </w:p>
    <w:p w14:paraId="476CDF93">
      <w:pPr>
        <w:snapToGrid w:val="0"/>
        <w:spacing w:line="360" w:lineRule="auto"/>
        <w:ind w:firstLine="420" w:firstLineChars="200"/>
        <w:jc w:val="left"/>
        <w:rPr>
          <w:rFonts w:ascii="宋体" w:hAnsi="宋体" w:cs="宋体"/>
          <w:szCs w:val="21"/>
        </w:rPr>
      </w:pPr>
      <w:r>
        <w:rPr>
          <w:rFonts w:hint="eastAsia" w:ascii="宋体" w:hAnsi="宋体" w:cs="宋体"/>
          <w:szCs w:val="21"/>
        </w:rPr>
        <w:t>标项名称：</w:t>
      </w:r>
      <w:bookmarkStart w:id="34" w:name="OLE_LINK78"/>
      <w:r>
        <w:rPr>
          <w:rFonts w:hint="eastAsia" w:ascii="宋体" w:hAnsi="宋体" w:cs="宋体"/>
          <w:szCs w:val="21"/>
        </w:rPr>
        <w:t>鱼类</w:t>
      </w:r>
      <w:bookmarkEnd w:id="34"/>
    </w:p>
    <w:p w14:paraId="4FC5335A">
      <w:pPr>
        <w:snapToGrid w:val="0"/>
        <w:spacing w:line="360" w:lineRule="auto"/>
        <w:ind w:firstLine="420" w:firstLineChars="200"/>
        <w:jc w:val="left"/>
        <w:rPr>
          <w:rFonts w:ascii="宋体" w:hAnsi="宋体" w:cs="宋体"/>
          <w:szCs w:val="21"/>
        </w:rPr>
      </w:pPr>
      <w:r>
        <w:rPr>
          <w:rFonts w:hint="eastAsia" w:ascii="宋体" w:hAnsi="宋体" w:cs="宋体"/>
          <w:szCs w:val="21"/>
        </w:rPr>
        <w:t>数量：1批</w:t>
      </w:r>
    </w:p>
    <w:p w14:paraId="44A0B01E">
      <w:pPr>
        <w:snapToGrid w:val="0"/>
        <w:spacing w:line="360" w:lineRule="auto"/>
        <w:ind w:firstLine="420" w:firstLineChars="200"/>
        <w:jc w:val="left"/>
        <w:rPr>
          <w:rFonts w:ascii="宋体" w:hAnsi="宋体" w:cs="宋体"/>
          <w:szCs w:val="21"/>
        </w:rPr>
      </w:pPr>
      <w:r>
        <w:rPr>
          <w:rFonts w:hint="eastAsia" w:ascii="宋体" w:hAnsi="宋体" w:cs="宋体"/>
          <w:szCs w:val="21"/>
        </w:rPr>
        <w:t>预算金额（元）：</w:t>
      </w:r>
      <w:bookmarkStart w:id="35" w:name="OLE_LINK57"/>
      <w:r>
        <w:rPr>
          <w:rFonts w:hint="eastAsia" w:ascii="宋体" w:hAnsi="宋体" w:cs="宋体"/>
          <w:szCs w:val="21"/>
        </w:rPr>
        <w:t>298000.00</w:t>
      </w:r>
      <w:bookmarkEnd w:id="35"/>
      <w:r>
        <w:rPr>
          <w:rFonts w:hint="eastAsia" w:ascii="宋体" w:hAnsi="宋体" w:cs="宋体"/>
          <w:szCs w:val="21"/>
        </w:rPr>
        <w:t xml:space="preserve">  </w:t>
      </w:r>
    </w:p>
    <w:p w14:paraId="034D9D04">
      <w:pPr>
        <w:snapToGrid w:val="0"/>
        <w:spacing w:line="360" w:lineRule="auto"/>
        <w:ind w:firstLine="420" w:firstLineChars="200"/>
        <w:jc w:val="left"/>
        <w:rPr>
          <w:rFonts w:ascii="宋体" w:hAnsi="宋体" w:cs="宋体"/>
          <w:szCs w:val="21"/>
        </w:rPr>
      </w:pPr>
      <w:r>
        <w:rPr>
          <w:rFonts w:hint="eastAsia" w:ascii="宋体" w:hAnsi="宋体" w:cs="宋体"/>
          <w:szCs w:val="21"/>
        </w:rPr>
        <w:t>简要规格描述或项目基本概况介绍、用途：</w:t>
      </w:r>
      <w:bookmarkStart w:id="36" w:name="OLE_LINK96"/>
      <w:r>
        <w:rPr>
          <w:rFonts w:hint="eastAsia" w:ascii="宋体" w:hAnsi="宋体" w:cs="宋体"/>
          <w:szCs w:val="21"/>
        </w:rPr>
        <w:t>活鱼（鲢鱼）、活鱼（草鱼）等鱼类1批，具体详见招标文件第二章采购需求。</w:t>
      </w:r>
    </w:p>
    <w:bookmarkEnd w:id="36"/>
    <w:p w14:paraId="2FF334ED">
      <w:pPr>
        <w:snapToGrid w:val="0"/>
        <w:spacing w:line="360" w:lineRule="auto"/>
        <w:ind w:firstLine="420" w:firstLineChars="200"/>
        <w:jc w:val="left"/>
        <w:rPr>
          <w:rFonts w:ascii="宋体" w:hAnsi="宋体" w:cs="宋体"/>
          <w:szCs w:val="21"/>
        </w:rPr>
      </w:pPr>
      <w:r>
        <w:rPr>
          <w:rFonts w:hint="eastAsia" w:ascii="宋体" w:hAnsi="宋体" w:cs="宋体"/>
          <w:szCs w:val="21"/>
        </w:rPr>
        <w:t>最高限价（如有）：298000.00元</w:t>
      </w:r>
    </w:p>
    <w:p w14:paraId="06BB6047">
      <w:pPr>
        <w:snapToGrid w:val="0"/>
        <w:spacing w:line="360" w:lineRule="auto"/>
        <w:ind w:firstLine="420" w:firstLineChars="200"/>
        <w:jc w:val="left"/>
        <w:rPr>
          <w:rFonts w:ascii="宋体" w:hAnsi="宋体" w:cs="宋体"/>
          <w:szCs w:val="21"/>
        </w:rPr>
      </w:pPr>
      <w:r>
        <w:rPr>
          <w:rFonts w:hint="eastAsia" w:ascii="宋体" w:hAnsi="宋体" w:cs="宋体"/>
          <w:szCs w:val="21"/>
        </w:rPr>
        <w:t>合同履约期限：</w:t>
      </w:r>
      <w:bookmarkStart w:id="37" w:name="OLE_LINK101"/>
      <w:r>
        <w:rPr>
          <w:rFonts w:hint="eastAsia" w:ascii="宋体" w:hAnsi="宋体" w:cs="宋体"/>
          <w:szCs w:val="21"/>
        </w:rPr>
        <w:t>自合同签订之日起一年。</w:t>
      </w:r>
      <w:bookmarkEnd w:id="37"/>
    </w:p>
    <w:p w14:paraId="6A718AA3">
      <w:pPr>
        <w:snapToGrid w:val="0"/>
        <w:spacing w:line="360" w:lineRule="auto"/>
        <w:ind w:firstLine="420" w:firstLineChars="200"/>
        <w:jc w:val="left"/>
        <w:rPr>
          <w:rFonts w:ascii="宋体" w:hAnsi="宋体"/>
          <w:szCs w:val="21"/>
        </w:rPr>
      </w:pPr>
      <w:r>
        <w:rPr>
          <w:rFonts w:hint="eastAsia" w:ascii="宋体" w:hAnsi="宋体" w:cs="宋体"/>
          <w:szCs w:val="21"/>
        </w:rPr>
        <w:t>本标项（否）接受联合体投标</w:t>
      </w:r>
    </w:p>
    <w:p w14:paraId="6A4CEC4E">
      <w:pPr>
        <w:snapToGrid w:val="0"/>
        <w:spacing w:line="360" w:lineRule="auto"/>
        <w:ind w:firstLine="420" w:firstLineChars="200"/>
        <w:jc w:val="left"/>
        <w:rPr>
          <w:rFonts w:ascii="宋体" w:hAnsi="宋体" w:cs="宋体"/>
          <w:szCs w:val="21"/>
        </w:rPr>
      </w:pPr>
      <w:r>
        <w:rPr>
          <w:rFonts w:hint="eastAsia" w:ascii="宋体" w:hAnsi="宋体" w:cs="宋体"/>
          <w:szCs w:val="21"/>
        </w:rPr>
        <w:t>备注： /</w:t>
      </w:r>
    </w:p>
    <w:p w14:paraId="100B7E54">
      <w:pPr>
        <w:snapToGrid w:val="0"/>
        <w:spacing w:line="360" w:lineRule="auto"/>
        <w:ind w:firstLine="422" w:firstLineChars="200"/>
        <w:jc w:val="left"/>
        <w:rPr>
          <w:rFonts w:ascii="宋体" w:hAnsi="宋体" w:cs="宋体"/>
          <w:b/>
          <w:szCs w:val="21"/>
        </w:rPr>
      </w:pPr>
      <w:r>
        <w:rPr>
          <w:rFonts w:hint="eastAsia" w:ascii="宋体" w:hAnsi="宋体" w:cs="宋体"/>
          <w:b/>
          <w:szCs w:val="21"/>
        </w:rPr>
        <w:t>D分标</w:t>
      </w:r>
    </w:p>
    <w:p w14:paraId="35E47C51">
      <w:pPr>
        <w:snapToGrid w:val="0"/>
        <w:spacing w:line="360" w:lineRule="auto"/>
        <w:ind w:firstLine="420" w:firstLineChars="200"/>
        <w:jc w:val="left"/>
        <w:rPr>
          <w:rFonts w:ascii="宋体" w:hAnsi="宋体" w:cs="宋体"/>
          <w:szCs w:val="21"/>
        </w:rPr>
      </w:pPr>
      <w:r>
        <w:rPr>
          <w:rFonts w:hint="eastAsia" w:ascii="宋体" w:hAnsi="宋体" w:cs="宋体"/>
          <w:szCs w:val="21"/>
        </w:rPr>
        <w:t>标项名称：</w:t>
      </w:r>
      <w:bookmarkStart w:id="38" w:name="OLE_LINK80"/>
      <w:r>
        <w:rPr>
          <w:rFonts w:hint="eastAsia" w:ascii="宋体" w:hAnsi="宋体" w:cs="宋体"/>
          <w:szCs w:val="21"/>
        </w:rPr>
        <w:t>蔬菜类</w:t>
      </w:r>
    </w:p>
    <w:bookmarkEnd w:id="38"/>
    <w:p w14:paraId="3C789B7C">
      <w:pPr>
        <w:snapToGrid w:val="0"/>
        <w:spacing w:line="360" w:lineRule="auto"/>
        <w:ind w:firstLine="420" w:firstLineChars="200"/>
        <w:jc w:val="left"/>
        <w:rPr>
          <w:rFonts w:ascii="宋体" w:hAnsi="宋体" w:cs="宋体"/>
          <w:szCs w:val="21"/>
        </w:rPr>
      </w:pPr>
      <w:r>
        <w:rPr>
          <w:rFonts w:hint="eastAsia" w:ascii="宋体" w:hAnsi="宋体" w:cs="宋体"/>
          <w:szCs w:val="21"/>
        </w:rPr>
        <w:t>数量：1批</w:t>
      </w:r>
    </w:p>
    <w:p w14:paraId="7F0080BE">
      <w:pPr>
        <w:snapToGrid w:val="0"/>
        <w:spacing w:line="360" w:lineRule="auto"/>
        <w:ind w:firstLine="420" w:firstLineChars="200"/>
        <w:jc w:val="left"/>
        <w:rPr>
          <w:rFonts w:ascii="宋体" w:hAnsi="宋体" w:cs="宋体"/>
          <w:szCs w:val="21"/>
        </w:rPr>
      </w:pPr>
      <w:r>
        <w:rPr>
          <w:rFonts w:hint="eastAsia" w:ascii="宋体" w:hAnsi="宋体" w:cs="宋体"/>
          <w:szCs w:val="21"/>
        </w:rPr>
        <w:t>预算金额（元）：</w:t>
      </w:r>
      <w:bookmarkStart w:id="39" w:name="OLE_LINK58"/>
      <w:r>
        <w:rPr>
          <w:rFonts w:hint="eastAsia" w:ascii="宋体" w:hAnsi="宋体" w:cs="宋体"/>
          <w:szCs w:val="21"/>
        </w:rPr>
        <w:t>1432370.00</w:t>
      </w:r>
      <w:bookmarkEnd w:id="39"/>
      <w:r>
        <w:rPr>
          <w:rFonts w:hint="eastAsia" w:ascii="宋体" w:hAnsi="宋体" w:cs="宋体"/>
          <w:szCs w:val="21"/>
        </w:rPr>
        <w:t xml:space="preserve">  </w:t>
      </w:r>
    </w:p>
    <w:p w14:paraId="1EB49C88">
      <w:pPr>
        <w:snapToGrid w:val="0"/>
        <w:spacing w:line="360" w:lineRule="auto"/>
        <w:ind w:firstLine="420" w:firstLineChars="200"/>
        <w:jc w:val="left"/>
        <w:rPr>
          <w:rFonts w:ascii="宋体" w:hAnsi="宋体" w:cs="宋体"/>
          <w:szCs w:val="21"/>
        </w:rPr>
      </w:pPr>
      <w:r>
        <w:rPr>
          <w:rFonts w:hint="eastAsia" w:ascii="宋体" w:hAnsi="宋体" w:cs="宋体"/>
          <w:szCs w:val="21"/>
        </w:rPr>
        <w:t>简要规格描述或项目基本概况介绍、用途：大白菜、小白菜等蔬菜1批，具体详见招标文件第二章采购需求。</w:t>
      </w:r>
    </w:p>
    <w:p w14:paraId="4736350E">
      <w:pPr>
        <w:snapToGrid w:val="0"/>
        <w:spacing w:line="360" w:lineRule="auto"/>
        <w:ind w:firstLine="420" w:firstLineChars="200"/>
        <w:jc w:val="left"/>
        <w:rPr>
          <w:rFonts w:ascii="宋体" w:hAnsi="宋体" w:cs="宋体"/>
          <w:szCs w:val="21"/>
        </w:rPr>
      </w:pPr>
      <w:r>
        <w:rPr>
          <w:rFonts w:hint="eastAsia" w:ascii="宋体" w:hAnsi="宋体" w:cs="宋体"/>
          <w:szCs w:val="21"/>
        </w:rPr>
        <w:t>最高限价（如有）：1432370.00元</w:t>
      </w:r>
    </w:p>
    <w:p w14:paraId="08089539">
      <w:pPr>
        <w:snapToGrid w:val="0"/>
        <w:spacing w:line="360" w:lineRule="auto"/>
        <w:ind w:firstLine="420" w:firstLineChars="200"/>
        <w:jc w:val="left"/>
        <w:rPr>
          <w:rFonts w:ascii="宋体" w:hAnsi="宋体" w:cs="宋体"/>
          <w:szCs w:val="21"/>
        </w:rPr>
      </w:pPr>
      <w:r>
        <w:rPr>
          <w:rFonts w:hint="eastAsia" w:ascii="宋体" w:hAnsi="宋体" w:cs="宋体"/>
          <w:szCs w:val="21"/>
        </w:rPr>
        <w:t>合同履约期限：</w:t>
      </w:r>
      <w:bookmarkStart w:id="40" w:name="OLE_LINK102"/>
      <w:r>
        <w:rPr>
          <w:rFonts w:hint="eastAsia" w:ascii="宋体" w:hAnsi="宋体" w:cs="宋体"/>
          <w:szCs w:val="21"/>
        </w:rPr>
        <w:t>自合同签订之日起一年。</w:t>
      </w:r>
    </w:p>
    <w:bookmarkEnd w:id="40"/>
    <w:p w14:paraId="124AF3BB">
      <w:pPr>
        <w:snapToGrid w:val="0"/>
        <w:spacing w:line="360" w:lineRule="auto"/>
        <w:ind w:firstLine="420" w:firstLineChars="200"/>
        <w:jc w:val="left"/>
        <w:rPr>
          <w:rFonts w:ascii="宋体" w:hAnsi="宋体"/>
          <w:szCs w:val="21"/>
        </w:rPr>
      </w:pPr>
      <w:r>
        <w:rPr>
          <w:rFonts w:hint="eastAsia" w:ascii="宋体" w:hAnsi="宋体" w:cs="宋体"/>
          <w:szCs w:val="21"/>
        </w:rPr>
        <w:t>本标项（否）接受联合体投标</w:t>
      </w:r>
    </w:p>
    <w:p w14:paraId="0C269796">
      <w:pPr>
        <w:snapToGrid w:val="0"/>
        <w:spacing w:line="360" w:lineRule="auto"/>
        <w:ind w:firstLine="420" w:firstLineChars="200"/>
        <w:jc w:val="left"/>
        <w:rPr>
          <w:rFonts w:ascii="宋体" w:hAnsi="宋体" w:cs="宋体"/>
          <w:szCs w:val="21"/>
        </w:rPr>
      </w:pPr>
      <w:r>
        <w:rPr>
          <w:rFonts w:hint="eastAsia" w:ascii="宋体" w:hAnsi="宋体" w:cs="宋体"/>
          <w:szCs w:val="21"/>
        </w:rPr>
        <w:t>备注： /</w:t>
      </w:r>
    </w:p>
    <w:p w14:paraId="0DB6D3AD">
      <w:pPr>
        <w:snapToGrid w:val="0"/>
        <w:spacing w:line="360" w:lineRule="auto"/>
        <w:ind w:firstLine="422" w:firstLineChars="200"/>
        <w:jc w:val="left"/>
        <w:rPr>
          <w:rFonts w:ascii="宋体" w:hAnsi="宋体" w:cs="宋体"/>
          <w:b/>
          <w:szCs w:val="21"/>
        </w:rPr>
      </w:pPr>
      <w:r>
        <w:rPr>
          <w:rFonts w:hint="eastAsia" w:ascii="宋体" w:hAnsi="宋体" w:cs="宋体"/>
          <w:b/>
          <w:szCs w:val="21"/>
        </w:rPr>
        <w:t>E分标</w:t>
      </w:r>
    </w:p>
    <w:p w14:paraId="65295573">
      <w:pPr>
        <w:snapToGrid w:val="0"/>
        <w:spacing w:line="360" w:lineRule="auto"/>
        <w:ind w:firstLine="420" w:firstLineChars="200"/>
        <w:jc w:val="left"/>
        <w:rPr>
          <w:rFonts w:ascii="宋体" w:hAnsi="宋体" w:cs="宋体"/>
          <w:szCs w:val="21"/>
        </w:rPr>
      </w:pPr>
      <w:r>
        <w:rPr>
          <w:rFonts w:hint="eastAsia" w:ascii="宋体" w:hAnsi="宋体" w:cs="宋体"/>
          <w:szCs w:val="21"/>
        </w:rPr>
        <w:t>标项名称：</w:t>
      </w:r>
      <w:bookmarkStart w:id="41" w:name="OLE_LINK81"/>
      <w:r>
        <w:rPr>
          <w:rFonts w:hint="eastAsia" w:ascii="宋体" w:hAnsi="宋体" w:cs="宋体"/>
          <w:szCs w:val="21"/>
        </w:rPr>
        <w:t>豆制品、干货类</w:t>
      </w:r>
      <w:bookmarkEnd w:id="41"/>
    </w:p>
    <w:p w14:paraId="0F6B92CE">
      <w:pPr>
        <w:snapToGrid w:val="0"/>
        <w:spacing w:line="360" w:lineRule="auto"/>
        <w:ind w:firstLine="420" w:firstLineChars="200"/>
        <w:jc w:val="left"/>
        <w:rPr>
          <w:rFonts w:ascii="宋体" w:hAnsi="宋体" w:cs="宋体"/>
          <w:szCs w:val="21"/>
        </w:rPr>
      </w:pPr>
      <w:r>
        <w:rPr>
          <w:rFonts w:hint="eastAsia" w:ascii="宋体" w:hAnsi="宋体" w:cs="宋体"/>
          <w:szCs w:val="21"/>
        </w:rPr>
        <w:t>数量：1批</w:t>
      </w:r>
    </w:p>
    <w:p w14:paraId="3889F3EB">
      <w:pPr>
        <w:snapToGrid w:val="0"/>
        <w:spacing w:line="360" w:lineRule="auto"/>
        <w:ind w:firstLine="420" w:firstLineChars="200"/>
        <w:jc w:val="left"/>
        <w:rPr>
          <w:rFonts w:ascii="宋体" w:hAnsi="宋体" w:cs="宋体"/>
          <w:szCs w:val="21"/>
        </w:rPr>
      </w:pPr>
      <w:r>
        <w:rPr>
          <w:rFonts w:hint="eastAsia" w:ascii="宋体" w:hAnsi="宋体" w:cs="宋体"/>
          <w:szCs w:val="21"/>
        </w:rPr>
        <w:t>预算金额（元）：</w:t>
      </w:r>
      <w:bookmarkStart w:id="42" w:name="OLE_LINK59"/>
      <w:bookmarkStart w:id="43" w:name="OLE_LINK85"/>
      <w:r>
        <w:rPr>
          <w:rFonts w:hint="eastAsia" w:ascii="宋体" w:hAnsi="宋体" w:cs="宋体"/>
          <w:szCs w:val="21"/>
        </w:rPr>
        <w:t>1396625.00</w:t>
      </w:r>
      <w:bookmarkEnd w:id="42"/>
      <w:r>
        <w:rPr>
          <w:rFonts w:hint="eastAsia" w:ascii="宋体" w:hAnsi="宋体" w:cs="宋体"/>
          <w:szCs w:val="21"/>
        </w:rPr>
        <w:t xml:space="preserve"> </w:t>
      </w:r>
      <w:bookmarkEnd w:id="43"/>
      <w:r>
        <w:rPr>
          <w:rFonts w:hint="eastAsia" w:ascii="宋体" w:hAnsi="宋体" w:cs="宋体"/>
          <w:szCs w:val="21"/>
        </w:rPr>
        <w:t xml:space="preserve"> </w:t>
      </w:r>
    </w:p>
    <w:p w14:paraId="5A610E9C">
      <w:pPr>
        <w:snapToGrid w:val="0"/>
        <w:spacing w:line="360" w:lineRule="auto"/>
        <w:ind w:firstLine="420" w:firstLineChars="200"/>
        <w:jc w:val="left"/>
        <w:rPr>
          <w:rFonts w:ascii="宋体" w:hAnsi="宋体" w:cs="宋体"/>
          <w:szCs w:val="21"/>
        </w:rPr>
      </w:pPr>
      <w:r>
        <w:rPr>
          <w:rFonts w:hint="eastAsia" w:ascii="宋体" w:hAnsi="宋体" w:cs="宋体"/>
          <w:szCs w:val="21"/>
        </w:rPr>
        <w:t>简要规格描述或项目基本概况介绍、用途：腐竹、油豆腐（干）等豆制品、腊肠、干货1批，具体详见招标文件第二章采购需求。</w:t>
      </w:r>
    </w:p>
    <w:p w14:paraId="3203D2CA">
      <w:pPr>
        <w:snapToGrid w:val="0"/>
        <w:spacing w:line="360" w:lineRule="auto"/>
        <w:ind w:firstLine="420" w:firstLineChars="200"/>
        <w:jc w:val="left"/>
        <w:rPr>
          <w:rFonts w:ascii="宋体" w:hAnsi="宋体" w:cs="宋体"/>
          <w:szCs w:val="21"/>
        </w:rPr>
      </w:pPr>
      <w:r>
        <w:rPr>
          <w:rFonts w:hint="eastAsia" w:ascii="宋体" w:hAnsi="宋体" w:cs="宋体"/>
          <w:szCs w:val="21"/>
        </w:rPr>
        <w:t>最高限价（如有）：1396625.00元</w:t>
      </w:r>
    </w:p>
    <w:p w14:paraId="0FAB1B98">
      <w:pPr>
        <w:snapToGrid w:val="0"/>
        <w:spacing w:line="360" w:lineRule="auto"/>
        <w:ind w:firstLine="420" w:firstLineChars="200"/>
        <w:jc w:val="left"/>
        <w:rPr>
          <w:rFonts w:ascii="宋体" w:hAnsi="宋体" w:cs="宋体"/>
          <w:szCs w:val="21"/>
        </w:rPr>
      </w:pPr>
      <w:r>
        <w:rPr>
          <w:rFonts w:hint="eastAsia" w:ascii="宋体" w:hAnsi="宋体" w:cs="宋体"/>
          <w:szCs w:val="21"/>
        </w:rPr>
        <w:t>合同履约期限：</w:t>
      </w:r>
      <w:bookmarkStart w:id="44" w:name="OLE_LINK103"/>
      <w:r>
        <w:rPr>
          <w:rFonts w:hint="eastAsia" w:ascii="宋体" w:hAnsi="宋体" w:cs="宋体"/>
          <w:szCs w:val="21"/>
        </w:rPr>
        <w:t>自合同签订之日起一年。</w:t>
      </w:r>
      <w:bookmarkEnd w:id="44"/>
    </w:p>
    <w:p w14:paraId="6148EC47">
      <w:pPr>
        <w:snapToGrid w:val="0"/>
        <w:spacing w:line="360" w:lineRule="auto"/>
        <w:ind w:firstLine="420" w:firstLineChars="200"/>
        <w:jc w:val="left"/>
        <w:rPr>
          <w:rFonts w:ascii="宋体" w:hAnsi="宋体"/>
          <w:szCs w:val="21"/>
        </w:rPr>
      </w:pPr>
      <w:r>
        <w:rPr>
          <w:rFonts w:hint="eastAsia" w:ascii="宋体" w:hAnsi="宋体" w:cs="宋体"/>
          <w:szCs w:val="21"/>
        </w:rPr>
        <w:t>本标项（否）接受联合体投标</w:t>
      </w:r>
    </w:p>
    <w:p w14:paraId="53461716">
      <w:pPr>
        <w:snapToGrid w:val="0"/>
        <w:spacing w:line="360" w:lineRule="auto"/>
        <w:ind w:firstLine="420" w:firstLineChars="200"/>
        <w:jc w:val="left"/>
        <w:rPr>
          <w:rFonts w:ascii="宋体" w:hAnsi="宋体" w:cs="宋体"/>
          <w:szCs w:val="21"/>
        </w:rPr>
      </w:pPr>
      <w:r>
        <w:rPr>
          <w:rFonts w:hint="eastAsia" w:ascii="宋体" w:hAnsi="宋体" w:cs="宋体"/>
          <w:szCs w:val="21"/>
        </w:rPr>
        <w:t>备注： /</w:t>
      </w:r>
    </w:p>
    <w:p w14:paraId="06A4B9A9">
      <w:pPr>
        <w:snapToGrid w:val="0"/>
        <w:spacing w:line="360" w:lineRule="auto"/>
        <w:ind w:firstLine="422" w:firstLineChars="200"/>
        <w:jc w:val="left"/>
        <w:rPr>
          <w:rFonts w:ascii="宋体" w:hAnsi="宋体" w:cs="宋体"/>
          <w:b/>
          <w:szCs w:val="21"/>
        </w:rPr>
      </w:pPr>
      <w:r>
        <w:rPr>
          <w:rFonts w:hint="eastAsia" w:ascii="宋体" w:hAnsi="宋体" w:cs="宋体"/>
          <w:b/>
          <w:szCs w:val="21"/>
        </w:rPr>
        <w:t>F分标</w:t>
      </w:r>
    </w:p>
    <w:p w14:paraId="27FEA33F">
      <w:pPr>
        <w:snapToGrid w:val="0"/>
        <w:spacing w:line="360" w:lineRule="auto"/>
        <w:ind w:firstLine="420" w:firstLineChars="200"/>
        <w:jc w:val="left"/>
        <w:rPr>
          <w:rFonts w:ascii="宋体" w:hAnsi="宋体" w:cs="宋体"/>
          <w:szCs w:val="21"/>
        </w:rPr>
      </w:pPr>
      <w:r>
        <w:rPr>
          <w:rFonts w:hint="eastAsia" w:ascii="宋体" w:hAnsi="宋体" w:cs="宋体"/>
          <w:szCs w:val="21"/>
        </w:rPr>
        <w:t>标项名称：</w:t>
      </w:r>
      <w:bookmarkStart w:id="45" w:name="OLE_LINK82"/>
      <w:r>
        <w:rPr>
          <w:rFonts w:hint="eastAsia" w:ascii="宋体" w:hAnsi="宋体" w:cs="宋体"/>
          <w:szCs w:val="21"/>
        </w:rPr>
        <w:t>河粉、面粉类</w:t>
      </w:r>
      <w:bookmarkEnd w:id="45"/>
    </w:p>
    <w:p w14:paraId="1D9E5546">
      <w:pPr>
        <w:snapToGrid w:val="0"/>
        <w:spacing w:line="360" w:lineRule="auto"/>
        <w:ind w:firstLine="420" w:firstLineChars="200"/>
        <w:jc w:val="left"/>
        <w:rPr>
          <w:rFonts w:ascii="宋体" w:hAnsi="宋体" w:cs="宋体"/>
          <w:szCs w:val="21"/>
        </w:rPr>
      </w:pPr>
      <w:r>
        <w:rPr>
          <w:rFonts w:hint="eastAsia" w:ascii="宋体" w:hAnsi="宋体" w:cs="宋体"/>
          <w:szCs w:val="21"/>
        </w:rPr>
        <w:t>数量：1批</w:t>
      </w:r>
    </w:p>
    <w:p w14:paraId="7AAD1A60">
      <w:pPr>
        <w:snapToGrid w:val="0"/>
        <w:spacing w:line="360" w:lineRule="auto"/>
        <w:ind w:firstLine="420" w:firstLineChars="200"/>
        <w:jc w:val="left"/>
        <w:rPr>
          <w:rFonts w:ascii="宋体" w:hAnsi="宋体" w:cs="宋体"/>
          <w:szCs w:val="21"/>
        </w:rPr>
      </w:pPr>
      <w:r>
        <w:rPr>
          <w:rFonts w:hint="eastAsia" w:ascii="宋体" w:hAnsi="宋体" w:cs="宋体"/>
          <w:szCs w:val="21"/>
        </w:rPr>
        <w:t>预算金额（元）：</w:t>
      </w:r>
      <w:bookmarkStart w:id="46" w:name="OLE_LINK60"/>
      <w:r>
        <w:rPr>
          <w:rFonts w:hint="eastAsia" w:ascii="宋体" w:hAnsi="宋体" w:cs="宋体"/>
          <w:szCs w:val="21"/>
        </w:rPr>
        <w:t>1446600.00</w:t>
      </w:r>
      <w:bookmarkEnd w:id="46"/>
      <w:r>
        <w:rPr>
          <w:rFonts w:hint="eastAsia" w:ascii="宋体" w:hAnsi="宋体" w:cs="宋体"/>
          <w:szCs w:val="21"/>
        </w:rPr>
        <w:t xml:space="preserve">  </w:t>
      </w:r>
    </w:p>
    <w:p w14:paraId="67B0C16E">
      <w:pPr>
        <w:snapToGrid w:val="0"/>
        <w:spacing w:line="360" w:lineRule="auto"/>
        <w:ind w:firstLine="420" w:firstLineChars="200"/>
        <w:jc w:val="left"/>
        <w:rPr>
          <w:rFonts w:ascii="宋体" w:hAnsi="宋体" w:cs="宋体"/>
          <w:szCs w:val="21"/>
        </w:rPr>
      </w:pPr>
      <w:r>
        <w:rPr>
          <w:rFonts w:hint="eastAsia" w:ascii="宋体" w:hAnsi="宋体" w:cs="宋体"/>
          <w:szCs w:val="21"/>
        </w:rPr>
        <w:t>简要规格描述或项目基本概况介绍、用途：河粉、面粉1批，具体详见招标文件第二章采购需求。</w:t>
      </w:r>
    </w:p>
    <w:p w14:paraId="13C0031B">
      <w:pPr>
        <w:snapToGrid w:val="0"/>
        <w:spacing w:line="360" w:lineRule="auto"/>
        <w:ind w:firstLine="420" w:firstLineChars="200"/>
        <w:jc w:val="left"/>
        <w:rPr>
          <w:rFonts w:ascii="宋体" w:hAnsi="宋体" w:cs="宋体"/>
          <w:szCs w:val="21"/>
        </w:rPr>
      </w:pPr>
      <w:r>
        <w:rPr>
          <w:rFonts w:hint="eastAsia" w:ascii="宋体" w:hAnsi="宋体" w:cs="宋体"/>
          <w:szCs w:val="21"/>
        </w:rPr>
        <w:t>最高限价（如有）：1446600.00元</w:t>
      </w:r>
    </w:p>
    <w:p w14:paraId="01EFFFBD">
      <w:pPr>
        <w:snapToGrid w:val="0"/>
        <w:spacing w:line="360" w:lineRule="auto"/>
        <w:ind w:firstLine="420" w:firstLineChars="200"/>
        <w:jc w:val="left"/>
        <w:rPr>
          <w:rFonts w:ascii="宋体" w:hAnsi="宋体" w:cs="宋体"/>
          <w:szCs w:val="21"/>
        </w:rPr>
      </w:pPr>
      <w:r>
        <w:rPr>
          <w:rFonts w:hint="eastAsia" w:ascii="宋体" w:hAnsi="宋体" w:cs="宋体"/>
          <w:szCs w:val="21"/>
        </w:rPr>
        <w:t>合同履约期限：</w:t>
      </w:r>
      <w:bookmarkStart w:id="47" w:name="OLE_LINK104"/>
      <w:r>
        <w:rPr>
          <w:rFonts w:hint="eastAsia" w:ascii="宋体" w:hAnsi="宋体" w:cs="宋体"/>
          <w:szCs w:val="21"/>
        </w:rPr>
        <w:t>自合同签订之日起一年。</w:t>
      </w:r>
      <w:bookmarkEnd w:id="47"/>
    </w:p>
    <w:p w14:paraId="49FC92E9">
      <w:pPr>
        <w:snapToGrid w:val="0"/>
        <w:spacing w:line="360" w:lineRule="auto"/>
        <w:ind w:firstLine="420" w:firstLineChars="200"/>
        <w:jc w:val="left"/>
        <w:rPr>
          <w:rFonts w:ascii="宋体" w:hAnsi="宋体"/>
          <w:szCs w:val="21"/>
        </w:rPr>
      </w:pPr>
      <w:r>
        <w:rPr>
          <w:rFonts w:hint="eastAsia" w:ascii="宋体" w:hAnsi="宋体" w:cs="宋体"/>
          <w:szCs w:val="21"/>
        </w:rPr>
        <w:t>本标项（否）接受联合体投标</w:t>
      </w:r>
    </w:p>
    <w:p w14:paraId="0049B2DF">
      <w:pPr>
        <w:snapToGrid w:val="0"/>
        <w:spacing w:line="360" w:lineRule="auto"/>
        <w:ind w:firstLine="420" w:firstLineChars="200"/>
        <w:jc w:val="left"/>
        <w:rPr>
          <w:rFonts w:ascii="宋体" w:hAnsi="宋体" w:cs="宋体"/>
          <w:szCs w:val="21"/>
        </w:rPr>
      </w:pPr>
      <w:r>
        <w:rPr>
          <w:rFonts w:hint="eastAsia" w:ascii="宋体" w:hAnsi="宋体" w:cs="宋体"/>
          <w:szCs w:val="21"/>
        </w:rPr>
        <w:t>备注： /</w:t>
      </w:r>
    </w:p>
    <w:p w14:paraId="1C43CF51">
      <w:pPr>
        <w:snapToGrid w:val="0"/>
        <w:spacing w:line="360" w:lineRule="auto"/>
        <w:ind w:firstLine="422" w:firstLineChars="200"/>
        <w:jc w:val="left"/>
        <w:rPr>
          <w:rFonts w:ascii="宋体" w:hAnsi="宋体" w:cs="宋体"/>
          <w:b/>
          <w:szCs w:val="21"/>
        </w:rPr>
      </w:pPr>
      <w:r>
        <w:rPr>
          <w:rFonts w:hint="eastAsia" w:ascii="宋体" w:hAnsi="宋体" w:cs="宋体"/>
          <w:b/>
          <w:szCs w:val="21"/>
        </w:rPr>
        <w:t>G分标</w:t>
      </w:r>
    </w:p>
    <w:p w14:paraId="1964F836">
      <w:pPr>
        <w:snapToGrid w:val="0"/>
        <w:spacing w:line="360" w:lineRule="auto"/>
        <w:ind w:firstLine="420" w:firstLineChars="200"/>
        <w:jc w:val="left"/>
        <w:rPr>
          <w:rFonts w:ascii="宋体" w:hAnsi="宋体" w:cs="宋体"/>
          <w:szCs w:val="21"/>
        </w:rPr>
      </w:pPr>
      <w:r>
        <w:rPr>
          <w:rFonts w:hint="eastAsia" w:ascii="宋体" w:hAnsi="宋体" w:cs="宋体"/>
          <w:szCs w:val="21"/>
        </w:rPr>
        <w:t>标项名称：</w:t>
      </w:r>
      <w:bookmarkStart w:id="48" w:name="OLE_LINK83"/>
      <w:r>
        <w:rPr>
          <w:rFonts w:hint="eastAsia" w:ascii="宋体" w:hAnsi="宋体" w:cs="宋体"/>
          <w:szCs w:val="21"/>
        </w:rPr>
        <w:t>调味品类</w:t>
      </w:r>
      <w:bookmarkEnd w:id="48"/>
    </w:p>
    <w:p w14:paraId="492A05F7">
      <w:pPr>
        <w:snapToGrid w:val="0"/>
        <w:spacing w:line="360" w:lineRule="auto"/>
        <w:ind w:firstLine="420" w:firstLineChars="200"/>
        <w:jc w:val="left"/>
        <w:rPr>
          <w:rFonts w:ascii="宋体" w:hAnsi="宋体" w:cs="宋体"/>
          <w:szCs w:val="21"/>
        </w:rPr>
      </w:pPr>
      <w:r>
        <w:rPr>
          <w:rFonts w:hint="eastAsia" w:ascii="宋体" w:hAnsi="宋体" w:cs="宋体"/>
          <w:szCs w:val="21"/>
        </w:rPr>
        <w:t>数量：1批</w:t>
      </w:r>
    </w:p>
    <w:p w14:paraId="26564316">
      <w:pPr>
        <w:snapToGrid w:val="0"/>
        <w:spacing w:line="360" w:lineRule="auto"/>
        <w:ind w:firstLine="420" w:firstLineChars="200"/>
        <w:jc w:val="left"/>
        <w:rPr>
          <w:rFonts w:ascii="宋体" w:hAnsi="宋体" w:cs="宋体"/>
          <w:szCs w:val="21"/>
        </w:rPr>
      </w:pPr>
      <w:r>
        <w:rPr>
          <w:rFonts w:hint="eastAsia" w:ascii="宋体" w:hAnsi="宋体" w:cs="宋体"/>
          <w:szCs w:val="21"/>
        </w:rPr>
        <w:t>预算金额（元）：</w:t>
      </w:r>
      <w:bookmarkStart w:id="49" w:name="OLE_LINK87"/>
      <w:r>
        <w:rPr>
          <w:rFonts w:hint="eastAsia" w:ascii="宋体" w:hAnsi="宋体" w:cs="宋体"/>
          <w:szCs w:val="21"/>
        </w:rPr>
        <w:t xml:space="preserve">348405.00 </w:t>
      </w:r>
      <w:bookmarkEnd w:id="49"/>
    </w:p>
    <w:p w14:paraId="42E82AE8">
      <w:pPr>
        <w:snapToGrid w:val="0"/>
        <w:spacing w:line="360" w:lineRule="auto"/>
        <w:ind w:firstLine="420" w:firstLineChars="200"/>
        <w:jc w:val="left"/>
        <w:rPr>
          <w:rFonts w:ascii="宋体" w:hAnsi="宋体" w:cs="宋体"/>
          <w:szCs w:val="21"/>
        </w:rPr>
      </w:pPr>
      <w:r>
        <w:rPr>
          <w:rFonts w:hint="eastAsia" w:ascii="宋体" w:hAnsi="宋体" w:cs="宋体"/>
          <w:szCs w:val="21"/>
        </w:rPr>
        <w:t>简要规格描述或项目基本概况介绍、用途：食盐、蚝油等调味品1批，具体详见招标文件第二章采购需求。</w:t>
      </w:r>
    </w:p>
    <w:p w14:paraId="027976A8">
      <w:pPr>
        <w:snapToGrid w:val="0"/>
        <w:spacing w:line="360" w:lineRule="auto"/>
        <w:ind w:firstLine="420" w:firstLineChars="200"/>
        <w:jc w:val="left"/>
        <w:rPr>
          <w:rFonts w:ascii="宋体" w:hAnsi="宋体" w:cs="宋体"/>
          <w:szCs w:val="21"/>
        </w:rPr>
      </w:pPr>
      <w:r>
        <w:rPr>
          <w:rFonts w:hint="eastAsia" w:ascii="宋体" w:hAnsi="宋体" w:cs="宋体"/>
          <w:szCs w:val="21"/>
        </w:rPr>
        <w:t>最高限价（如有）：332538.00 元</w:t>
      </w:r>
    </w:p>
    <w:p w14:paraId="3D7E2D7F">
      <w:pPr>
        <w:snapToGrid w:val="0"/>
        <w:spacing w:line="360" w:lineRule="auto"/>
        <w:ind w:firstLine="420" w:firstLineChars="200"/>
        <w:jc w:val="left"/>
        <w:rPr>
          <w:rFonts w:ascii="宋体" w:hAnsi="宋体" w:cs="宋体"/>
          <w:szCs w:val="21"/>
        </w:rPr>
      </w:pPr>
      <w:r>
        <w:rPr>
          <w:rFonts w:hint="eastAsia" w:ascii="宋体" w:hAnsi="宋体" w:cs="宋体"/>
          <w:szCs w:val="21"/>
        </w:rPr>
        <w:t>合同履约期限：</w:t>
      </w:r>
      <w:bookmarkStart w:id="50" w:name="OLE_LINK105"/>
      <w:r>
        <w:rPr>
          <w:rFonts w:hint="eastAsia" w:ascii="宋体" w:hAnsi="宋体" w:cs="宋体"/>
          <w:szCs w:val="21"/>
        </w:rPr>
        <w:t>自合同签订之日起一年。</w:t>
      </w:r>
      <w:bookmarkEnd w:id="50"/>
    </w:p>
    <w:p w14:paraId="739B759D">
      <w:pPr>
        <w:snapToGrid w:val="0"/>
        <w:spacing w:line="360" w:lineRule="auto"/>
        <w:ind w:firstLine="420" w:firstLineChars="200"/>
        <w:jc w:val="left"/>
        <w:rPr>
          <w:rFonts w:ascii="宋体" w:hAnsi="宋体"/>
          <w:szCs w:val="21"/>
        </w:rPr>
      </w:pPr>
      <w:r>
        <w:rPr>
          <w:rFonts w:hint="eastAsia" w:ascii="宋体" w:hAnsi="宋体" w:cs="宋体"/>
          <w:szCs w:val="21"/>
        </w:rPr>
        <w:t>本标项（否）接受联合体投标</w:t>
      </w:r>
    </w:p>
    <w:p w14:paraId="1EB9559C">
      <w:pPr>
        <w:snapToGrid w:val="0"/>
        <w:spacing w:line="360" w:lineRule="auto"/>
        <w:ind w:firstLine="420" w:firstLineChars="200"/>
        <w:jc w:val="left"/>
        <w:rPr>
          <w:rFonts w:ascii="宋体" w:hAnsi="宋体" w:cs="宋体"/>
          <w:szCs w:val="21"/>
        </w:rPr>
      </w:pPr>
      <w:r>
        <w:rPr>
          <w:rFonts w:hint="eastAsia" w:ascii="宋体" w:hAnsi="宋体" w:cs="宋体"/>
          <w:szCs w:val="21"/>
        </w:rPr>
        <w:t>备注： /</w:t>
      </w:r>
    </w:p>
    <w:bookmarkEnd w:id="26"/>
    <w:p w14:paraId="78B18867">
      <w:pPr>
        <w:spacing w:line="460" w:lineRule="exact"/>
        <w:outlineLvl w:val="1"/>
        <w:rPr>
          <w:rFonts w:ascii="宋体" w:hAnsi="宋体" w:cs="宋体"/>
          <w:b/>
          <w:bCs/>
          <w:sz w:val="24"/>
        </w:rPr>
      </w:pPr>
      <w:bookmarkStart w:id="51" w:name="_Toc28359003"/>
      <w:bookmarkStart w:id="52" w:name="_Toc28359080"/>
      <w:bookmarkStart w:id="53" w:name="_Toc35393622"/>
      <w:bookmarkStart w:id="54" w:name="_Toc35393791"/>
      <w:bookmarkStart w:id="55" w:name="_Toc23182"/>
      <w:bookmarkStart w:id="56" w:name="_Toc5720"/>
      <w:bookmarkStart w:id="57" w:name="_Toc11090"/>
      <w:r>
        <w:rPr>
          <w:rFonts w:hint="eastAsia" w:ascii="宋体" w:hAnsi="宋体" w:cs="宋体"/>
          <w:b/>
          <w:bCs/>
          <w:sz w:val="24"/>
        </w:rPr>
        <w:t>二、投标人的资格要求：</w:t>
      </w:r>
      <w:bookmarkEnd w:id="51"/>
      <w:bookmarkEnd w:id="52"/>
      <w:bookmarkEnd w:id="53"/>
      <w:bookmarkEnd w:id="54"/>
      <w:bookmarkEnd w:id="55"/>
      <w:bookmarkEnd w:id="56"/>
      <w:bookmarkEnd w:id="57"/>
    </w:p>
    <w:p w14:paraId="11E26EFB">
      <w:pPr>
        <w:spacing w:line="460" w:lineRule="exact"/>
        <w:ind w:firstLine="420" w:firstLineChars="200"/>
        <w:rPr>
          <w:rFonts w:ascii="宋体" w:hAnsi="宋体" w:cs="宋体"/>
          <w:szCs w:val="21"/>
        </w:rPr>
      </w:pPr>
      <w:r>
        <w:rPr>
          <w:rFonts w:hint="eastAsia" w:ascii="宋体" w:hAnsi="宋体" w:cs="宋体"/>
          <w:szCs w:val="21"/>
        </w:rPr>
        <w:t>1.满足《中华人民共和国政府采购法》第二十二条规定；</w:t>
      </w:r>
    </w:p>
    <w:p w14:paraId="072D2688">
      <w:pPr>
        <w:spacing w:line="460" w:lineRule="exact"/>
        <w:ind w:firstLine="420" w:firstLineChars="200"/>
        <w:rPr>
          <w:rFonts w:ascii="宋体" w:hAnsi="宋体" w:cs="宋体"/>
          <w:szCs w:val="21"/>
        </w:rPr>
      </w:pPr>
      <w:bookmarkStart w:id="58" w:name="_Toc28359081"/>
      <w:bookmarkStart w:id="59" w:name="_Toc28359004"/>
      <w:r>
        <w:rPr>
          <w:rFonts w:hint="eastAsia" w:ascii="宋体" w:hAnsi="宋体" w:cs="宋体"/>
          <w:szCs w:val="21"/>
        </w:rPr>
        <w:t>2.落实政府采购政策需满足的资格要求：</w:t>
      </w:r>
    </w:p>
    <w:p w14:paraId="5FA162B8">
      <w:pPr>
        <w:spacing w:line="460" w:lineRule="exact"/>
        <w:ind w:firstLine="420" w:firstLineChars="200"/>
        <w:rPr>
          <w:rFonts w:ascii="宋体" w:hAnsi="宋体" w:cs="宋体"/>
          <w:szCs w:val="21"/>
        </w:rPr>
      </w:pPr>
      <w:r>
        <w:rPr>
          <w:rFonts w:hint="eastAsia" w:ascii="宋体" w:hAnsi="宋体" w:cs="宋体"/>
          <w:szCs w:val="21"/>
        </w:rPr>
        <w:t>A、G分标：非专门面向中小企业采购；</w:t>
      </w:r>
    </w:p>
    <w:p w14:paraId="0D3D73C7">
      <w:pPr>
        <w:spacing w:line="460" w:lineRule="exact"/>
        <w:ind w:firstLine="420" w:firstLineChars="200"/>
        <w:rPr>
          <w:rFonts w:ascii="宋体" w:hAnsi="宋体" w:cs="宋体"/>
          <w:szCs w:val="21"/>
        </w:rPr>
      </w:pPr>
      <w:r>
        <w:rPr>
          <w:rFonts w:hint="eastAsia" w:ascii="宋体" w:hAnsi="宋体" w:cs="宋体"/>
          <w:szCs w:val="21"/>
        </w:rPr>
        <w:t>B、C分标：专门面向中小微企业采购的项目（供应商应为中小微企业或监狱企业或残疾人福利性单位)；</w:t>
      </w:r>
    </w:p>
    <w:p w14:paraId="3DF0A457">
      <w:pPr>
        <w:spacing w:line="460" w:lineRule="exact"/>
        <w:ind w:firstLine="420" w:firstLineChars="200"/>
        <w:rPr>
          <w:rFonts w:ascii="宋体" w:hAnsi="宋体" w:cs="宋体"/>
          <w:szCs w:val="21"/>
        </w:rPr>
      </w:pPr>
      <w:r>
        <w:rPr>
          <w:rFonts w:hint="eastAsia" w:ascii="宋体" w:hAnsi="宋体" w:cs="宋体"/>
          <w:szCs w:val="21"/>
        </w:rPr>
        <w:t>D、E、F分标：专门面向小微企业采购的项目（供应商应为小微企业或监狱企业或残疾人福利性单位）；</w:t>
      </w:r>
    </w:p>
    <w:p w14:paraId="3AA24BF6">
      <w:pPr>
        <w:spacing w:line="460" w:lineRule="exact"/>
        <w:ind w:firstLine="420" w:firstLineChars="200"/>
        <w:rPr>
          <w:rFonts w:ascii="宋体" w:hAnsi="宋体" w:cs="宋体"/>
          <w:szCs w:val="21"/>
        </w:rPr>
      </w:pPr>
      <w:r>
        <w:rPr>
          <w:rFonts w:hint="eastAsia" w:ascii="宋体" w:hAnsi="宋体" w:cs="宋体"/>
          <w:szCs w:val="21"/>
        </w:rPr>
        <w:t>3.本项目的特定资格要求：</w:t>
      </w:r>
      <w:bookmarkStart w:id="60" w:name="OLE_LINK106"/>
      <w:r>
        <w:rPr>
          <w:rFonts w:hint="eastAsia" w:ascii="宋体" w:hAnsi="宋体" w:cs="宋体"/>
          <w:szCs w:val="21"/>
        </w:rPr>
        <w:t>所有分标投标人须具有有效的《食品经营许可证》或《食品生产许可证》。</w:t>
      </w:r>
    </w:p>
    <w:bookmarkEnd w:id="60"/>
    <w:p w14:paraId="62B67839">
      <w:pPr>
        <w:spacing w:line="460" w:lineRule="exact"/>
        <w:outlineLvl w:val="1"/>
        <w:rPr>
          <w:rFonts w:ascii="宋体" w:hAnsi="宋体" w:cs="宋体"/>
          <w:b/>
          <w:bCs/>
          <w:sz w:val="24"/>
        </w:rPr>
      </w:pPr>
      <w:bookmarkStart w:id="61" w:name="_Toc17743"/>
      <w:bookmarkStart w:id="62" w:name="_Toc4818"/>
      <w:bookmarkStart w:id="63" w:name="_Toc35393623"/>
      <w:bookmarkStart w:id="64" w:name="_Toc13276"/>
      <w:bookmarkStart w:id="65" w:name="_Toc35393792"/>
      <w:r>
        <w:rPr>
          <w:rFonts w:hint="eastAsia" w:ascii="宋体" w:hAnsi="宋体" w:cs="宋体"/>
          <w:b/>
          <w:bCs/>
          <w:sz w:val="24"/>
        </w:rPr>
        <w:t>三、获取招标文件</w:t>
      </w:r>
      <w:bookmarkEnd w:id="58"/>
      <w:bookmarkEnd w:id="59"/>
      <w:bookmarkEnd w:id="61"/>
      <w:bookmarkEnd w:id="62"/>
      <w:bookmarkEnd w:id="63"/>
      <w:bookmarkEnd w:id="64"/>
      <w:bookmarkEnd w:id="65"/>
    </w:p>
    <w:p w14:paraId="01D51B27">
      <w:pPr>
        <w:snapToGrid w:val="0"/>
        <w:spacing w:line="460" w:lineRule="exact"/>
        <w:ind w:firstLine="472" w:firstLineChars="225"/>
        <w:rPr>
          <w:rFonts w:ascii="宋体" w:hAnsi="宋体" w:cs="宋体"/>
          <w:szCs w:val="21"/>
        </w:rPr>
      </w:pPr>
      <w:bookmarkStart w:id="66" w:name="_Toc28359082"/>
      <w:bookmarkStart w:id="67" w:name="_Toc28359005"/>
      <w:bookmarkStart w:id="68" w:name="_Toc35393793"/>
      <w:bookmarkStart w:id="69" w:name="_Toc35393624"/>
      <w:r>
        <w:rPr>
          <w:rFonts w:hint="eastAsia" w:ascii="宋体" w:hAnsi="宋体" w:cs="宋体"/>
          <w:szCs w:val="21"/>
        </w:rPr>
        <w:t>时间： 2025 年07月1</w:t>
      </w:r>
      <w:r>
        <w:rPr>
          <w:rFonts w:hint="eastAsia" w:ascii="宋体" w:hAnsi="宋体" w:cs="宋体"/>
          <w:szCs w:val="21"/>
          <w:lang w:val="en-US" w:eastAsia="zh-CN"/>
        </w:rPr>
        <w:t>5</w:t>
      </w:r>
      <w:r>
        <w:rPr>
          <w:rFonts w:hint="eastAsia" w:ascii="宋体" w:hAnsi="宋体" w:cs="宋体"/>
          <w:szCs w:val="21"/>
        </w:rPr>
        <w:t>日至 2025 年07月2</w:t>
      </w:r>
      <w:r>
        <w:rPr>
          <w:rFonts w:hint="eastAsia" w:ascii="宋体" w:hAnsi="宋体" w:cs="宋体"/>
          <w:szCs w:val="21"/>
          <w:lang w:val="en-US" w:eastAsia="zh-CN"/>
        </w:rPr>
        <w:t>2</w:t>
      </w:r>
      <w:r>
        <w:rPr>
          <w:rFonts w:hint="eastAsia" w:ascii="宋体" w:hAnsi="宋体" w:cs="宋体"/>
          <w:szCs w:val="21"/>
        </w:rPr>
        <w:t>日，每天上午00时00分至12时00分；下午12时00分至23时59分（北京时间，法定节假日除外）。</w:t>
      </w:r>
    </w:p>
    <w:p w14:paraId="017D5843">
      <w:pPr>
        <w:spacing w:line="460" w:lineRule="exact"/>
        <w:ind w:firstLine="420" w:firstLineChars="200"/>
        <w:rPr>
          <w:rFonts w:ascii="宋体" w:hAnsi="宋体" w:cs="宋体"/>
          <w:szCs w:val="21"/>
        </w:rPr>
      </w:pPr>
      <w:r>
        <w:rPr>
          <w:rFonts w:hint="eastAsia" w:ascii="宋体" w:hAnsi="宋体" w:cs="宋体"/>
          <w:szCs w:val="21"/>
        </w:rPr>
        <w:t>地点（网址）：</w:t>
      </w:r>
      <w:bookmarkStart w:id="70" w:name="OLE_LINK107"/>
      <w:r>
        <w:rPr>
          <w:rFonts w:hint="eastAsia" w:ascii="宋体" w:hAnsi="宋体" w:cs="宋体"/>
          <w:szCs w:val="21"/>
        </w:rPr>
        <w:t xml:space="preserve">广西政府采购云平台（https://www.gcy.zfcg.gxzf.gov.cn/） </w:t>
      </w:r>
    </w:p>
    <w:bookmarkEnd w:id="70"/>
    <w:p w14:paraId="2EE540D4">
      <w:pPr>
        <w:spacing w:line="460" w:lineRule="exact"/>
        <w:ind w:firstLine="420" w:firstLineChars="200"/>
        <w:rPr>
          <w:rFonts w:ascii="宋体" w:hAnsi="宋体" w:cs="宋体"/>
          <w:b/>
          <w:bCs/>
          <w:sz w:val="24"/>
        </w:rPr>
      </w:pPr>
      <w:r>
        <w:rPr>
          <w:rFonts w:hint="eastAsia" w:ascii="宋体" w:hAnsi="宋体" w:cs="宋体"/>
          <w:szCs w:val="21"/>
        </w:rPr>
        <w:t>方式:请登录广西政府采购云平台（https://www.gcy.zfcg.gxzf.gov.cn/）进行报名并获取采购文件；未注册的供应商可在广西政府采购云平台完成注册后再行报名。如在操作过程中遇到问题或需技术支持，请致电广西政府采购云平台客服热线：95763。提示：供应商只有在“广西政府采购云平台”完成获取采购文件申请并下载了采购文件后才视作依法获取采购文件（法律法规所指的供应商获取采购文件时间以供应商完成获取采购文件申请后下载采购文件的时间为准）。</w:t>
      </w:r>
    </w:p>
    <w:p w14:paraId="09C68A60">
      <w:pPr>
        <w:snapToGrid w:val="0"/>
        <w:spacing w:line="460" w:lineRule="exact"/>
        <w:ind w:firstLine="472" w:firstLineChars="225"/>
        <w:rPr>
          <w:rFonts w:ascii="宋体" w:hAnsi="宋体" w:cs="宋体"/>
          <w:szCs w:val="21"/>
        </w:rPr>
      </w:pPr>
      <w:r>
        <w:rPr>
          <w:rFonts w:hint="eastAsia" w:ascii="宋体" w:hAnsi="宋体" w:cs="宋体"/>
          <w:szCs w:val="21"/>
        </w:rPr>
        <w:t>售价（元）：0</w:t>
      </w:r>
    </w:p>
    <w:p w14:paraId="5004239A">
      <w:pPr>
        <w:spacing w:line="460" w:lineRule="exact"/>
        <w:outlineLvl w:val="1"/>
        <w:rPr>
          <w:rFonts w:ascii="宋体" w:hAnsi="宋体" w:cs="宋体"/>
          <w:b/>
          <w:bCs/>
          <w:sz w:val="24"/>
        </w:rPr>
      </w:pPr>
      <w:bookmarkStart w:id="71" w:name="_Toc5702"/>
      <w:bookmarkStart w:id="72" w:name="_Toc6185"/>
      <w:bookmarkStart w:id="73" w:name="_Toc1915"/>
      <w:bookmarkStart w:id="74" w:name="OLE_LINK142"/>
      <w:r>
        <w:rPr>
          <w:rFonts w:hint="eastAsia" w:ascii="宋体" w:hAnsi="宋体" w:cs="宋体"/>
          <w:b/>
          <w:bCs/>
          <w:sz w:val="24"/>
        </w:rPr>
        <w:t>四、提交投标文件</w:t>
      </w:r>
      <w:bookmarkEnd w:id="66"/>
      <w:bookmarkEnd w:id="67"/>
      <w:r>
        <w:rPr>
          <w:rFonts w:hint="eastAsia" w:ascii="宋体" w:hAnsi="宋体" w:cs="宋体"/>
          <w:b/>
          <w:bCs/>
          <w:sz w:val="24"/>
        </w:rPr>
        <w:t>截止时间、开标时间和地点</w:t>
      </w:r>
      <w:bookmarkEnd w:id="68"/>
      <w:bookmarkEnd w:id="69"/>
      <w:bookmarkEnd w:id="71"/>
      <w:bookmarkEnd w:id="72"/>
      <w:bookmarkEnd w:id="73"/>
    </w:p>
    <w:bookmarkEnd w:id="74"/>
    <w:p w14:paraId="6C8683FF">
      <w:pPr>
        <w:spacing w:line="460" w:lineRule="exact"/>
        <w:ind w:firstLine="420" w:firstLineChars="200"/>
        <w:rPr>
          <w:rFonts w:ascii="宋体" w:hAnsi="宋体" w:cs="宋体"/>
          <w:bCs/>
          <w:szCs w:val="21"/>
        </w:rPr>
      </w:pPr>
      <w:bookmarkStart w:id="75" w:name="OLE_LINK143"/>
      <w:r>
        <w:rPr>
          <w:rFonts w:hint="eastAsia" w:ascii="宋体" w:hAnsi="宋体" w:cs="宋体"/>
          <w:bCs/>
          <w:szCs w:val="21"/>
        </w:rPr>
        <w:t>提交投标文件截止时间：</w:t>
      </w:r>
      <w:bookmarkStart w:id="76" w:name="PO_3000001866_PM015_1"/>
      <w:r>
        <w:rPr>
          <w:rFonts w:hint="eastAsia" w:ascii="宋体" w:hAnsi="宋体" w:cs="宋体"/>
          <w:bCs/>
          <w:szCs w:val="21"/>
        </w:rPr>
        <w:t>2025 年08月0</w:t>
      </w:r>
      <w:r>
        <w:rPr>
          <w:rFonts w:hint="eastAsia" w:ascii="宋体" w:hAnsi="宋体" w:cs="宋体"/>
          <w:bCs/>
          <w:szCs w:val="21"/>
          <w:lang w:val="en-US" w:eastAsia="zh-CN"/>
        </w:rPr>
        <w:t>6</w:t>
      </w:r>
      <w:r>
        <w:rPr>
          <w:rFonts w:hint="eastAsia" w:ascii="宋体" w:hAnsi="宋体" w:cs="宋体"/>
          <w:bCs/>
          <w:szCs w:val="21"/>
        </w:rPr>
        <w:t>日 09:30</w:t>
      </w:r>
      <w:bookmarkEnd w:id="76"/>
      <w:r>
        <w:rPr>
          <w:rFonts w:hint="eastAsia" w:ascii="宋体" w:hAnsi="宋体" w:cs="宋体"/>
          <w:bCs/>
          <w:szCs w:val="21"/>
        </w:rPr>
        <w:t>（北京时间）</w:t>
      </w:r>
    </w:p>
    <w:p w14:paraId="03052E0D">
      <w:pPr>
        <w:spacing w:line="460" w:lineRule="exact"/>
        <w:ind w:firstLine="420" w:firstLineChars="200"/>
        <w:rPr>
          <w:rFonts w:ascii="宋体" w:hAnsi="宋体" w:cs="宋体"/>
          <w:bCs/>
          <w:szCs w:val="21"/>
        </w:rPr>
      </w:pPr>
      <w:r>
        <w:rPr>
          <w:rFonts w:hint="eastAsia" w:ascii="宋体" w:hAnsi="宋体" w:cs="宋体"/>
          <w:bCs/>
          <w:szCs w:val="21"/>
        </w:rPr>
        <w:t>投标地点（网址）：</w:t>
      </w:r>
      <w:bookmarkStart w:id="77" w:name="OLE_LINK108"/>
      <w:r>
        <w:rPr>
          <w:rFonts w:hint="eastAsia" w:ascii="宋体" w:hAnsi="宋体" w:cs="宋体"/>
          <w:bCs/>
          <w:szCs w:val="21"/>
        </w:rPr>
        <w:t>广西政府采购云平台（https://www.gcy.zfcg.gxzf.gov.cn/）</w:t>
      </w:r>
      <w:bookmarkEnd w:id="77"/>
      <w:r>
        <w:rPr>
          <w:rFonts w:hint="eastAsia" w:ascii="宋体" w:hAnsi="宋体" w:cs="宋体"/>
          <w:bCs/>
          <w:szCs w:val="21"/>
        </w:rPr>
        <w:t>（本项目为全流程电子化项目，供应商应派法定代表人或委托代理人准时在线出席电子开评标会议，随时关注开评标进度，如在开评标过程中有电子询标，应在规定的时间内对电子询标函进行澄清回复。）</w:t>
      </w:r>
    </w:p>
    <w:p w14:paraId="5A77FD96">
      <w:pPr>
        <w:spacing w:line="460" w:lineRule="exact"/>
        <w:ind w:firstLine="420" w:firstLineChars="200"/>
        <w:rPr>
          <w:rFonts w:ascii="宋体" w:hAnsi="宋体" w:cs="宋体"/>
          <w:kern w:val="0"/>
          <w:szCs w:val="21"/>
        </w:rPr>
      </w:pPr>
      <w:r>
        <w:rPr>
          <w:rFonts w:hint="eastAsia" w:ascii="宋体" w:hAnsi="宋体" w:cs="宋体"/>
          <w:kern w:val="0"/>
          <w:szCs w:val="21"/>
        </w:rPr>
        <w:t>开标时间：</w:t>
      </w:r>
      <w:r>
        <w:rPr>
          <w:rFonts w:hint="eastAsia" w:ascii="宋体" w:hAnsi="宋体" w:cs="宋体"/>
          <w:bCs/>
          <w:szCs w:val="21"/>
        </w:rPr>
        <w:t>2025 年08月0</w:t>
      </w:r>
      <w:r>
        <w:rPr>
          <w:rFonts w:hint="eastAsia" w:ascii="宋体" w:hAnsi="宋体" w:cs="宋体"/>
          <w:bCs/>
          <w:szCs w:val="21"/>
          <w:lang w:val="en-US" w:eastAsia="zh-CN"/>
        </w:rPr>
        <w:t>6</w:t>
      </w:r>
      <w:r>
        <w:rPr>
          <w:rFonts w:hint="eastAsia" w:ascii="宋体" w:hAnsi="宋体" w:cs="宋体"/>
          <w:bCs/>
          <w:szCs w:val="21"/>
        </w:rPr>
        <w:t>日 09:30</w:t>
      </w:r>
      <w:r>
        <w:rPr>
          <w:rFonts w:hint="eastAsia" w:ascii="宋体" w:hAnsi="宋体" w:cs="宋体"/>
          <w:kern w:val="0"/>
          <w:szCs w:val="21"/>
        </w:rPr>
        <w:t xml:space="preserve"> </w:t>
      </w:r>
    </w:p>
    <w:p w14:paraId="7B08F6CE">
      <w:pPr>
        <w:spacing w:line="460" w:lineRule="exact"/>
        <w:ind w:firstLine="420" w:firstLineChars="200"/>
        <w:rPr>
          <w:rFonts w:ascii="宋体" w:hAnsi="宋体" w:cs="宋体"/>
          <w:kern w:val="0"/>
          <w:szCs w:val="21"/>
        </w:rPr>
      </w:pPr>
      <w:r>
        <w:rPr>
          <w:rFonts w:hint="eastAsia" w:ascii="宋体" w:hAnsi="宋体" w:cs="宋体"/>
          <w:kern w:val="0"/>
          <w:szCs w:val="21"/>
        </w:rPr>
        <w:t>开标地点：广西政府采购云平台电子开标大厅</w:t>
      </w:r>
    </w:p>
    <w:bookmarkEnd w:id="75"/>
    <w:p w14:paraId="0A58115B">
      <w:pPr>
        <w:spacing w:line="460" w:lineRule="exact"/>
        <w:outlineLvl w:val="1"/>
        <w:rPr>
          <w:rFonts w:ascii="宋体" w:hAnsi="宋体" w:cs="宋体"/>
          <w:b/>
          <w:bCs/>
          <w:sz w:val="24"/>
        </w:rPr>
      </w:pPr>
      <w:bookmarkStart w:id="78" w:name="_Toc7608"/>
      <w:bookmarkStart w:id="79" w:name="_Toc28359007"/>
      <w:bookmarkStart w:id="80" w:name="_Toc20480"/>
      <w:bookmarkStart w:id="81" w:name="_Toc35393625"/>
      <w:bookmarkStart w:id="82" w:name="_Toc35393794"/>
      <w:bookmarkStart w:id="83" w:name="_Toc8779"/>
      <w:bookmarkStart w:id="84" w:name="_Toc28359084"/>
      <w:r>
        <w:rPr>
          <w:rFonts w:hint="eastAsia" w:ascii="宋体" w:hAnsi="宋体" w:cs="宋体"/>
          <w:b/>
          <w:bCs/>
          <w:sz w:val="24"/>
        </w:rPr>
        <w:t>五、公告期限</w:t>
      </w:r>
      <w:bookmarkEnd w:id="78"/>
      <w:bookmarkEnd w:id="79"/>
      <w:bookmarkEnd w:id="80"/>
      <w:bookmarkEnd w:id="81"/>
      <w:bookmarkEnd w:id="82"/>
      <w:bookmarkEnd w:id="83"/>
      <w:bookmarkEnd w:id="84"/>
    </w:p>
    <w:p w14:paraId="56BA5C4F">
      <w:pPr>
        <w:spacing w:line="460" w:lineRule="exact"/>
        <w:ind w:firstLine="420" w:firstLineChars="200"/>
        <w:rPr>
          <w:rFonts w:ascii="宋体" w:hAnsi="宋体" w:cs="宋体"/>
          <w:kern w:val="0"/>
          <w:szCs w:val="21"/>
        </w:rPr>
      </w:pPr>
      <w:r>
        <w:rPr>
          <w:rFonts w:hint="eastAsia" w:ascii="宋体" w:hAnsi="宋体" w:cs="宋体"/>
          <w:kern w:val="0"/>
          <w:szCs w:val="21"/>
        </w:rPr>
        <w:t>自本公告发布之日起5个工作日。</w:t>
      </w:r>
    </w:p>
    <w:p w14:paraId="2228AE3B">
      <w:pPr>
        <w:spacing w:line="460" w:lineRule="exact"/>
        <w:outlineLvl w:val="1"/>
        <w:rPr>
          <w:rFonts w:ascii="宋体" w:hAnsi="宋体" w:cs="宋体"/>
          <w:b/>
          <w:bCs/>
          <w:sz w:val="24"/>
        </w:rPr>
      </w:pPr>
      <w:bookmarkStart w:id="85" w:name="_Toc16579"/>
      <w:bookmarkStart w:id="86" w:name="_Toc22020"/>
      <w:bookmarkStart w:id="87" w:name="_Toc35393795"/>
      <w:bookmarkStart w:id="88" w:name="_Toc22697"/>
      <w:bookmarkStart w:id="89" w:name="_Toc35393626"/>
      <w:r>
        <w:rPr>
          <w:rFonts w:hint="eastAsia" w:ascii="宋体" w:hAnsi="宋体" w:cs="宋体"/>
          <w:b/>
          <w:bCs/>
          <w:sz w:val="24"/>
        </w:rPr>
        <w:t>六、其他补充事宜</w:t>
      </w:r>
      <w:bookmarkEnd w:id="85"/>
      <w:bookmarkEnd w:id="86"/>
      <w:bookmarkEnd w:id="87"/>
      <w:bookmarkEnd w:id="88"/>
      <w:bookmarkEnd w:id="89"/>
    </w:p>
    <w:p w14:paraId="6D763A2C">
      <w:pPr>
        <w:spacing w:line="460" w:lineRule="exact"/>
        <w:ind w:firstLine="420" w:firstLineChars="200"/>
        <w:rPr>
          <w:rFonts w:ascii="宋体" w:hAnsi="宋体" w:cs="宋体"/>
          <w:szCs w:val="21"/>
        </w:rPr>
      </w:pPr>
      <w:bookmarkStart w:id="90" w:name="_Toc35393627"/>
      <w:bookmarkStart w:id="91" w:name="_Toc28359008"/>
      <w:bookmarkStart w:id="92" w:name="_Toc35393796"/>
      <w:bookmarkStart w:id="93" w:name="_Toc28359085"/>
      <w:r>
        <w:rPr>
          <w:rFonts w:hint="eastAsia" w:ascii="宋体" w:hAnsi="宋体" w:cs="宋体"/>
          <w:szCs w:val="21"/>
        </w:rPr>
        <w:t>1.投标保证金：</w:t>
      </w:r>
      <w:bookmarkStart w:id="94" w:name="OLE_LINK4"/>
      <w:bookmarkStart w:id="95" w:name="OLE_LINK63"/>
      <w:bookmarkStart w:id="96" w:name="OLE_LINK43"/>
      <w:bookmarkStart w:id="97" w:name="OLE_LINK44"/>
      <w:r>
        <w:rPr>
          <w:rFonts w:hint="eastAsia" w:ascii="宋体" w:hAnsi="宋体" w:cs="宋体"/>
          <w:szCs w:val="21"/>
        </w:rPr>
        <w:t>A分标</w:t>
      </w:r>
      <w:bookmarkEnd w:id="94"/>
      <w:r>
        <w:rPr>
          <w:rFonts w:hint="eastAsia" w:ascii="宋体" w:hAnsi="宋体" w:cs="宋体"/>
          <w:szCs w:val="21"/>
        </w:rPr>
        <w:t>：投标保证金人民币贰万肆仟元整（</w:t>
      </w:r>
      <w:bookmarkStart w:id="98" w:name="OLE_LINK61"/>
      <w:r>
        <w:rPr>
          <w:rFonts w:hint="eastAsia" w:ascii="宋体" w:hAnsi="宋体" w:cs="宋体"/>
          <w:szCs w:val="21"/>
        </w:rPr>
        <w:t>¥</w:t>
      </w:r>
      <w:bookmarkEnd w:id="98"/>
      <w:bookmarkStart w:id="99" w:name="OLE_LINK109"/>
      <w:r>
        <w:rPr>
          <w:rFonts w:hint="eastAsia" w:ascii="宋体" w:hAnsi="宋体" w:cs="宋体"/>
          <w:szCs w:val="21"/>
        </w:rPr>
        <w:t>24000.00</w:t>
      </w:r>
      <w:bookmarkEnd w:id="99"/>
      <w:r>
        <w:rPr>
          <w:rFonts w:hint="eastAsia" w:ascii="宋体" w:hAnsi="宋体" w:cs="宋体"/>
          <w:szCs w:val="21"/>
        </w:rPr>
        <w:t>）；</w:t>
      </w:r>
    </w:p>
    <w:p w14:paraId="321EB44F">
      <w:pPr>
        <w:spacing w:line="460" w:lineRule="exact"/>
        <w:ind w:firstLine="420" w:firstLineChars="200"/>
        <w:rPr>
          <w:rFonts w:ascii="宋体" w:hAnsi="宋体" w:cs="宋体"/>
          <w:szCs w:val="21"/>
        </w:rPr>
      </w:pPr>
      <w:r>
        <w:rPr>
          <w:rFonts w:hint="eastAsia" w:ascii="宋体" w:hAnsi="宋体" w:cs="宋体"/>
          <w:szCs w:val="21"/>
        </w:rPr>
        <w:t>B分标：投标保证金人民币玖仟元整</w:t>
      </w:r>
      <w:bookmarkStart w:id="100" w:name="OLE_LINK62"/>
      <w:r>
        <w:rPr>
          <w:rFonts w:hint="eastAsia" w:ascii="宋体" w:hAnsi="宋体" w:cs="宋体"/>
          <w:szCs w:val="21"/>
        </w:rPr>
        <w:t>（¥</w:t>
      </w:r>
      <w:bookmarkStart w:id="101" w:name="OLE_LINK110"/>
      <w:r>
        <w:rPr>
          <w:rFonts w:hint="eastAsia" w:ascii="宋体" w:hAnsi="宋体" w:cs="宋体"/>
          <w:szCs w:val="21"/>
        </w:rPr>
        <w:t>9000.00</w:t>
      </w:r>
      <w:bookmarkEnd w:id="101"/>
      <w:r>
        <w:rPr>
          <w:rFonts w:hint="eastAsia" w:ascii="宋体" w:hAnsi="宋体" w:cs="宋体"/>
          <w:szCs w:val="21"/>
        </w:rPr>
        <w:t>）</w:t>
      </w:r>
      <w:bookmarkEnd w:id="100"/>
      <w:r>
        <w:rPr>
          <w:rFonts w:hint="eastAsia" w:ascii="宋体" w:hAnsi="宋体" w:cs="宋体"/>
          <w:szCs w:val="21"/>
        </w:rPr>
        <w:t>；</w:t>
      </w:r>
    </w:p>
    <w:p w14:paraId="2832359F">
      <w:pPr>
        <w:spacing w:line="460" w:lineRule="exact"/>
        <w:ind w:firstLine="420" w:firstLineChars="200"/>
        <w:rPr>
          <w:rFonts w:ascii="宋体" w:hAnsi="宋体" w:cs="宋体"/>
          <w:szCs w:val="21"/>
        </w:rPr>
      </w:pPr>
      <w:r>
        <w:rPr>
          <w:rFonts w:hint="eastAsia" w:ascii="宋体" w:hAnsi="宋体" w:cs="宋体"/>
          <w:szCs w:val="21"/>
        </w:rPr>
        <w:t>C分标：投标保证金人民币贰仟玖佰元整（¥2900.00）；</w:t>
      </w:r>
    </w:p>
    <w:p w14:paraId="2803264B">
      <w:pPr>
        <w:spacing w:line="460" w:lineRule="exact"/>
        <w:ind w:firstLine="420" w:firstLineChars="200"/>
        <w:rPr>
          <w:rFonts w:ascii="宋体" w:hAnsi="宋体" w:cs="宋体"/>
          <w:szCs w:val="21"/>
        </w:rPr>
      </w:pPr>
      <w:r>
        <w:rPr>
          <w:rFonts w:hint="eastAsia" w:ascii="宋体" w:hAnsi="宋体" w:cs="宋体"/>
          <w:szCs w:val="21"/>
        </w:rPr>
        <w:t>D分标：投标保证金人民币壹万肆仟元整（¥14000.00）；</w:t>
      </w:r>
    </w:p>
    <w:p w14:paraId="06B0CC8F">
      <w:pPr>
        <w:spacing w:line="460" w:lineRule="exact"/>
        <w:ind w:firstLine="420" w:firstLineChars="200"/>
        <w:rPr>
          <w:rFonts w:ascii="宋体" w:hAnsi="宋体" w:cs="宋体"/>
          <w:szCs w:val="21"/>
        </w:rPr>
      </w:pPr>
      <w:r>
        <w:rPr>
          <w:rFonts w:hint="eastAsia" w:ascii="宋体" w:hAnsi="宋体" w:cs="宋体"/>
          <w:szCs w:val="21"/>
        </w:rPr>
        <w:t>E分标：投标保证金人民币壹万叁仟元整 （¥</w:t>
      </w:r>
      <w:bookmarkStart w:id="102" w:name="OLE_LINK111"/>
      <w:r>
        <w:rPr>
          <w:rFonts w:hint="eastAsia" w:ascii="宋体" w:hAnsi="宋体" w:cs="宋体"/>
          <w:szCs w:val="21"/>
        </w:rPr>
        <w:t>13000.00</w:t>
      </w:r>
      <w:bookmarkEnd w:id="102"/>
      <w:r>
        <w:rPr>
          <w:rFonts w:hint="eastAsia" w:ascii="宋体" w:hAnsi="宋体" w:cs="宋体"/>
          <w:szCs w:val="21"/>
        </w:rPr>
        <w:t>）；</w:t>
      </w:r>
    </w:p>
    <w:p w14:paraId="5DCDF1C1">
      <w:pPr>
        <w:spacing w:line="460" w:lineRule="exact"/>
        <w:ind w:firstLine="420" w:firstLineChars="200"/>
        <w:rPr>
          <w:rFonts w:ascii="宋体" w:hAnsi="宋体" w:cs="宋体"/>
          <w:szCs w:val="21"/>
        </w:rPr>
      </w:pPr>
      <w:r>
        <w:rPr>
          <w:rFonts w:hint="eastAsia" w:ascii="宋体" w:hAnsi="宋体" w:cs="宋体"/>
          <w:szCs w:val="21"/>
        </w:rPr>
        <w:t>F分标：投标保证金人民币壹万肆仟元整（¥</w:t>
      </w:r>
      <w:bookmarkStart w:id="103" w:name="OLE_LINK112"/>
      <w:r>
        <w:rPr>
          <w:rFonts w:hint="eastAsia" w:ascii="宋体" w:hAnsi="宋体" w:cs="宋体"/>
          <w:szCs w:val="21"/>
        </w:rPr>
        <w:t>14000.00</w:t>
      </w:r>
      <w:bookmarkEnd w:id="103"/>
      <w:r>
        <w:rPr>
          <w:rFonts w:hint="eastAsia" w:ascii="宋体" w:hAnsi="宋体" w:cs="宋体"/>
          <w:szCs w:val="21"/>
        </w:rPr>
        <w:t>）；</w:t>
      </w:r>
    </w:p>
    <w:p w14:paraId="5A92F4B6">
      <w:pPr>
        <w:spacing w:line="460" w:lineRule="exact"/>
        <w:ind w:firstLine="420" w:firstLineChars="200"/>
        <w:rPr>
          <w:rFonts w:ascii="宋体" w:hAnsi="宋体" w:cs="宋体"/>
          <w:szCs w:val="21"/>
        </w:rPr>
      </w:pPr>
      <w:r>
        <w:rPr>
          <w:rFonts w:hint="eastAsia" w:ascii="宋体" w:hAnsi="宋体" w:cs="宋体"/>
          <w:szCs w:val="21"/>
        </w:rPr>
        <w:t xml:space="preserve">G分标：投标保证金人民币叁仟叁佰元整 （¥3300.00）。  </w:t>
      </w:r>
      <w:bookmarkEnd w:id="95"/>
      <w:r>
        <w:rPr>
          <w:rFonts w:hint="eastAsia" w:ascii="宋体" w:hAnsi="宋体" w:cs="宋体"/>
          <w:szCs w:val="21"/>
        </w:rPr>
        <w:t xml:space="preserve">   </w:t>
      </w:r>
      <w:bookmarkEnd w:id="96"/>
      <w:bookmarkEnd w:id="97"/>
      <w:r>
        <w:rPr>
          <w:rFonts w:hint="eastAsia" w:ascii="宋体" w:hAnsi="宋体" w:cs="宋体"/>
          <w:szCs w:val="21"/>
        </w:rPr>
        <w:t xml:space="preserve"> </w:t>
      </w:r>
    </w:p>
    <w:p w14:paraId="101B9585">
      <w:pPr>
        <w:spacing w:line="460" w:lineRule="exact"/>
        <w:ind w:firstLine="420" w:firstLineChars="200"/>
        <w:rPr>
          <w:rFonts w:ascii="宋体" w:hAnsi="宋体" w:cs="宋体"/>
          <w:szCs w:val="21"/>
        </w:rPr>
      </w:pPr>
      <w:r>
        <w:rPr>
          <w:rFonts w:hint="eastAsia" w:ascii="宋体" w:hAnsi="宋体" w:cs="宋体"/>
          <w:szCs w:val="21"/>
        </w:rPr>
        <w:t>投标保证金的缴纳方式：银行转账、支票、汇票、本票或者金融、保险、担保机构出具的保函，禁止采用现金方式。采用银行转账方式的，在首次投标文件提交截止时间前交至采购代理机构指定账户并且到账。</w:t>
      </w:r>
    </w:p>
    <w:p w14:paraId="5C3A7CE3">
      <w:pPr>
        <w:spacing w:line="460" w:lineRule="exact"/>
        <w:ind w:firstLine="420" w:firstLineChars="200"/>
        <w:rPr>
          <w:rFonts w:ascii="宋体" w:hAnsi="宋体" w:cs="宋体"/>
          <w:szCs w:val="21"/>
        </w:rPr>
      </w:pPr>
      <w:bookmarkStart w:id="104" w:name="OLE_LINK72"/>
      <w:r>
        <w:rPr>
          <w:rFonts w:hint="eastAsia" w:ascii="宋体" w:hAnsi="宋体" w:cs="宋体"/>
          <w:szCs w:val="21"/>
        </w:rPr>
        <w:t>开户名称：</w:t>
      </w:r>
      <w:bookmarkStart w:id="105" w:name="OLE_LINK113"/>
      <w:r>
        <w:rPr>
          <w:rFonts w:hint="eastAsia" w:ascii="宋体" w:hAnsi="宋体" w:cs="宋体"/>
          <w:szCs w:val="21"/>
        </w:rPr>
        <w:t>广西德元工程项目管理有限责任公司</w:t>
      </w:r>
      <w:bookmarkEnd w:id="105"/>
    </w:p>
    <w:p w14:paraId="045B2EF0">
      <w:pPr>
        <w:spacing w:line="460" w:lineRule="exact"/>
        <w:ind w:firstLine="420" w:firstLineChars="200"/>
        <w:rPr>
          <w:rFonts w:ascii="宋体" w:hAnsi="宋体" w:cs="宋体"/>
          <w:szCs w:val="21"/>
        </w:rPr>
      </w:pPr>
      <w:r>
        <w:rPr>
          <w:rFonts w:hint="eastAsia" w:ascii="宋体" w:hAnsi="宋体" w:cs="宋体"/>
          <w:szCs w:val="21"/>
        </w:rPr>
        <w:t xml:space="preserve">开户银行： </w:t>
      </w:r>
      <w:bookmarkStart w:id="106" w:name="OLE_LINK114"/>
      <w:r>
        <w:rPr>
          <w:rFonts w:hint="eastAsia" w:ascii="宋体" w:hAnsi="宋体" w:cs="宋体"/>
          <w:szCs w:val="21"/>
        </w:rPr>
        <w:t>中国银行柳州市八一支行</w:t>
      </w:r>
      <w:bookmarkEnd w:id="106"/>
    </w:p>
    <w:p w14:paraId="11602BA3">
      <w:pPr>
        <w:spacing w:line="460" w:lineRule="exact"/>
        <w:ind w:firstLine="420" w:firstLineChars="200"/>
        <w:rPr>
          <w:rFonts w:ascii="宋体" w:hAnsi="宋体" w:cs="宋体"/>
          <w:szCs w:val="21"/>
        </w:rPr>
      </w:pPr>
      <w:r>
        <w:rPr>
          <w:rFonts w:hint="eastAsia" w:ascii="宋体" w:hAnsi="宋体" w:cs="宋体"/>
          <w:szCs w:val="21"/>
        </w:rPr>
        <w:t>银行账号：</w:t>
      </w:r>
      <w:bookmarkEnd w:id="104"/>
      <w:r>
        <w:rPr>
          <w:rFonts w:hint="eastAsia" w:ascii="宋体" w:hAnsi="宋体" w:cs="宋体"/>
          <w:szCs w:val="21"/>
        </w:rPr>
        <w:t>6158  6557  4841</w:t>
      </w:r>
    </w:p>
    <w:p w14:paraId="15F598E3">
      <w:pPr>
        <w:spacing w:line="460" w:lineRule="exact"/>
        <w:ind w:firstLine="420" w:firstLineChars="200"/>
        <w:rPr>
          <w:rFonts w:ascii="宋体" w:hAnsi="宋体" w:cs="宋体"/>
          <w:szCs w:val="21"/>
        </w:rPr>
      </w:pPr>
      <w:r>
        <w:rPr>
          <w:rFonts w:hint="eastAsia" w:ascii="宋体" w:hAnsi="宋体" w:cs="宋体"/>
          <w:szCs w:val="21"/>
        </w:rPr>
        <w:t>用途/备注：</w:t>
      </w:r>
      <w:bookmarkStart w:id="107" w:name="OLE_LINK46"/>
      <w:r>
        <w:rPr>
          <w:rFonts w:hint="eastAsia" w:ascii="宋体" w:hAnsi="宋体" w:cs="宋体"/>
          <w:szCs w:val="21"/>
        </w:rPr>
        <w:t>项目名称或项目编号（A分标或B分标） 投标保证金</w:t>
      </w:r>
      <w:bookmarkEnd w:id="107"/>
    </w:p>
    <w:p w14:paraId="05BB51C5">
      <w:pPr>
        <w:spacing w:line="460" w:lineRule="exact"/>
        <w:ind w:firstLine="420" w:firstLineChars="200"/>
        <w:rPr>
          <w:rFonts w:ascii="宋体" w:hAnsi="宋体" w:cs="宋体"/>
          <w:szCs w:val="21"/>
        </w:rPr>
      </w:pPr>
      <w:r>
        <w:rPr>
          <w:rFonts w:hint="eastAsia" w:ascii="宋体" w:hAnsi="宋体" w:cs="宋体"/>
          <w:szCs w:val="21"/>
        </w:rPr>
        <w:t>采用支票、汇票、本票或者保函等方式的，在首次投标文件提交截止时间前，投标人必须提交密封的支票、汇票、本票或者保函原件。否则视为无效投标保证金。</w:t>
      </w:r>
    </w:p>
    <w:p w14:paraId="4FB347AF">
      <w:pPr>
        <w:spacing w:line="460" w:lineRule="exact"/>
        <w:ind w:firstLine="420" w:firstLineChars="200"/>
        <w:rPr>
          <w:rFonts w:ascii="宋体" w:hAnsi="宋体" w:cs="宋体"/>
          <w:szCs w:val="21"/>
        </w:rPr>
      </w:pPr>
      <w:r>
        <w:rPr>
          <w:rFonts w:hint="eastAsia" w:ascii="宋体" w:hAnsi="宋体" w:cs="宋体"/>
          <w:szCs w:val="21"/>
        </w:rPr>
        <w:t>2.本项目需要落实的政府采购政策：</w:t>
      </w:r>
    </w:p>
    <w:p w14:paraId="6D84FDCF">
      <w:pPr>
        <w:spacing w:line="460" w:lineRule="exact"/>
        <w:ind w:firstLine="420" w:firstLineChars="200"/>
        <w:rPr>
          <w:rFonts w:ascii="宋体" w:hAnsi="宋体" w:cs="宋体"/>
          <w:szCs w:val="21"/>
        </w:rPr>
      </w:pPr>
      <w:r>
        <w:rPr>
          <w:rFonts w:hint="eastAsia" w:ascii="宋体" w:hAnsi="宋体" w:cs="宋体"/>
          <w:szCs w:val="21"/>
        </w:rPr>
        <w:t>（1）政府采购促进中小企业发展。</w:t>
      </w:r>
    </w:p>
    <w:p w14:paraId="4182915D">
      <w:pPr>
        <w:spacing w:line="460" w:lineRule="exact"/>
        <w:ind w:firstLine="420" w:firstLineChars="200"/>
        <w:rPr>
          <w:rFonts w:ascii="宋体" w:hAnsi="宋体" w:cs="宋体"/>
          <w:szCs w:val="21"/>
        </w:rPr>
      </w:pPr>
      <w:r>
        <w:rPr>
          <w:rFonts w:hint="eastAsia" w:ascii="宋体" w:hAnsi="宋体" w:cs="宋体"/>
          <w:szCs w:val="21"/>
        </w:rPr>
        <w:t>（2）政府采购支持采用本国产品的政策。</w:t>
      </w:r>
    </w:p>
    <w:p w14:paraId="657E25D3">
      <w:pPr>
        <w:spacing w:line="460" w:lineRule="exact"/>
        <w:ind w:firstLine="420" w:firstLineChars="200"/>
        <w:rPr>
          <w:rFonts w:ascii="宋体" w:hAnsi="宋体" w:cs="宋体"/>
          <w:szCs w:val="21"/>
        </w:rPr>
      </w:pPr>
      <w:r>
        <w:rPr>
          <w:rFonts w:hint="eastAsia" w:ascii="宋体" w:hAnsi="宋体" w:cs="宋体"/>
          <w:szCs w:val="21"/>
        </w:rPr>
        <w:t>（3）强制采购节能产品；优先采购节能产品、环境标志产品。</w:t>
      </w:r>
    </w:p>
    <w:p w14:paraId="183DBAA2">
      <w:pPr>
        <w:spacing w:line="460" w:lineRule="exact"/>
        <w:ind w:firstLine="420" w:firstLineChars="200"/>
        <w:rPr>
          <w:rFonts w:ascii="宋体" w:hAnsi="宋体" w:cs="宋体"/>
          <w:szCs w:val="21"/>
        </w:rPr>
      </w:pPr>
      <w:r>
        <w:rPr>
          <w:rFonts w:hint="eastAsia" w:ascii="宋体" w:hAnsi="宋体" w:cs="宋体"/>
          <w:szCs w:val="21"/>
        </w:rPr>
        <w:t>（4）政府采购促进残疾人就业政策。</w:t>
      </w:r>
    </w:p>
    <w:p w14:paraId="33EC96E3">
      <w:pPr>
        <w:spacing w:line="460" w:lineRule="exact"/>
        <w:ind w:firstLine="420" w:firstLineChars="200"/>
        <w:rPr>
          <w:rFonts w:ascii="宋体" w:hAnsi="宋体" w:cs="宋体"/>
          <w:szCs w:val="21"/>
        </w:rPr>
      </w:pPr>
      <w:r>
        <w:rPr>
          <w:rFonts w:hint="eastAsia" w:ascii="宋体" w:hAnsi="宋体" w:cs="宋体"/>
          <w:szCs w:val="21"/>
        </w:rPr>
        <w:t>（5）政府采购支持监狱企业发展。</w:t>
      </w:r>
    </w:p>
    <w:p w14:paraId="5DCD5B10">
      <w:pPr>
        <w:spacing w:line="460" w:lineRule="exact"/>
        <w:ind w:firstLine="420" w:firstLineChars="200"/>
        <w:rPr>
          <w:rFonts w:ascii="宋体" w:hAnsi="宋体" w:cs="宋体"/>
          <w:szCs w:val="21"/>
        </w:rPr>
      </w:pPr>
      <w:r>
        <w:rPr>
          <w:rFonts w:hint="eastAsia" w:ascii="宋体" w:hAnsi="宋体" w:cs="宋体"/>
          <w:szCs w:val="21"/>
        </w:rPr>
        <w:t>3.</w:t>
      </w:r>
      <w:bookmarkStart w:id="108" w:name="OLE_LINK41"/>
      <w:r>
        <w:rPr>
          <w:rFonts w:hint="eastAsia" w:ascii="宋体" w:hAnsi="宋体" w:cs="宋体"/>
          <w:szCs w:val="21"/>
        </w:rPr>
        <w:t>网上查询地址</w:t>
      </w:r>
    </w:p>
    <w:p w14:paraId="5389F801">
      <w:pPr>
        <w:spacing w:line="460" w:lineRule="exact"/>
        <w:ind w:firstLine="420" w:firstLineChars="200"/>
        <w:rPr>
          <w:rFonts w:ascii="宋体" w:hAnsi="宋体" w:cs="宋体"/>
          <w:szCs w:val="21"/>
        </w:rPr>
      </w:pPr>
      <w:r>
        <w:rPr>
          <w:rFonts w:hint="eastAsia" w:ascii="宋体" w:hAnsi="宋体" w:cs="宋体"/>
          <w:szCs w:val="21"/>
        </w:rPr>
        <w:t>http://www.ccgp.gov.cn（中国政府采购网）、http://zfcg.gxzf.gov.cn（广西壮族自治区政府采购网）、</w:t>
      </w:r>
      <w:bookmarkStart w:id="109" w:name="OLE_LINK100"/>
      <w:r>
        <w:rPr>
          <w:rFonts w:hint="eastAsia" w:ascii="宋体" w:hAnsi="宋体" w:cs="宋体"/>
          <w:szCs w:val="21"/>
        </w:rPr>
        <w:t>http://gxggzy.gxzf.gov.cn</w:t>
      </w:r>
      <w:bookmarkEnd w:id="109"/>
      <w:r>
        <w:rPr>
          <w:rFonts w:hint="eastAsia" w:ascii="宋体" w:hAnsi="宋体" w:cs="宋体"/>
          <w:szCs w:val="21"/>
        </w:rPr>
        <w:t>（广西壮族自治区公共资源交易中心）</w:t>
      </w:r>
    </w:p>
    <w:bookmarkEnd w:id="108"/>
    <w:p w14:paraId="633E0B55">
      <w:pPr>
        <w:spacing w:line="460" w:lineRule="exact"/>
        <w:ind w:firstLine="420" w:firstLineChars="200"/>
      </w:pPr>
      <w:r>
        <w:rPr>
          <w:rFonts w:hint="eastAsia" w:ascii="宋体" w:hAnsi="宋体" w:cs="宋体"/>
          <w:szCs w:val="21"/>
        </w:rPr>
        <w:t>4.</w:t>
      </w:r>
      <w:r>
        <w:t>投标人投标注意事项</w:t>
      </w:r>
    </w:p>
    <w:p w14:paraId="3B490557">
      <w:pPr>
        <w:spacing w:line="460" w:lineRule="exact"/>
        <w:ind w:firstLine="420" w:firstLineChars="200"/>
        <w:rPr>
          <w:rFonts w:ascii="宋体" w:hAnsi="宋体" w:cs="宋体"/>
          <w:szCs w:val="21"/>
        </w:rPr>
      </w:pPr>
      <w:r>
        <w:rPr>
          <w:rFonts w:hint="eastAsia" w:ascii="宋体" w:hAnsi="宋体" w:cs="宋体"/>
          <w:szCs w:val="21"/>
        </w:rPr>
        <w:t>（1）本项目为全流程电子化采购项目，通过“广西政府采购云平台”（https://www.gcy.zfcg.gxzf.gov.cn/）实行在线电子竞标，供应商应先安装“广西政府采购云平台客户端”（请自行前往“广西政府采购网—办事服务—下载专区”进行下载），并按照本项目招标文件和“广西政府采购云平台”的要求编制、加密后在提交响应文件截止时间前通过网络上传至 “广西政府采购云平台”，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7E1A7DB7">
      <w:pPr>
        <w:spacing w:line="460" w:lineRule="exact"/>
        <w:ind w:firstLine="420" w:firstLineChars="200"/>
        <w:rPr>
          <w:rFonts w:ascii="宋体" w:hAnsi="宋体" w:cs="宋体"/>
          <w:szCs w:val="21"/>
        </w:rPr>
      </w:pPr>
      <w:r>
        <w:rPr>
          <w:rFonts w:hint="eastAsia" w:ascii="宋体" w:hAnsi="宋体" w:cs="宋体"/>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广西政府采购云客服热线：95763）。</w:t>
      </w:r>
    </w:p>
    <w:p w14:paraId="47EEEEFE">
      <w:pPr>
        <w:spacing w:line="460" w:lineRule="exact"/>
        <w:ind w:firstLine="420" w:firstLineChars="200"/>
        <w:rPr>
          <w:rFonts w:ascii="宋体" w:hAnsi="宋体" w:cs="宋体"/>
          <w:szCs w:val="21"/>
        </w:rPr>
      </w:pPr>
      <w:r>
        <w:rPr>
          <w:rFonts w:hint="eastAsia" w:ascii="宋体" w:hAnsi="宋体" w:cs="宋体"/>
          <w:szCs w:val="21"/>
        </w:rPr>
        <w:t>（3）CA证书在线解密：首次响应文件开启时，需携带制作响应文件时用来加密的有效数字证书（CA认证）登录“广西政府采购云平台”电子开标大厅现场按规定时间对加密的响应文件进行解密，否则后果自负。</w:t>
      </w:r>
    </w:p>
    <w:p w14:paraId="4B194D7B">
      <w:pPr>
        <w:spacing w:line="460" w:lineRule="exact"/>
        <w:ind w:firstLine="420" w:firstLineChars="200"/>
        <w:rPr>
          <w:rFonts w:ascii="宋体" w:hAnsi="宋体" w:cs="宋体"/>
          <w:szCs w:val="21"/>
        </w:rPr>
      </w:pPr>
      <w:r>
        <w:rPr>
          <w:rFonts w:hint="eastAsia" w:ascii="宋体" w:hAnsi="宋体" w:cs="宋体"/>
          <w:szCs w:val="21"/>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36875B5B">
      <w:pPr>
        <w:spacing w:line="460" w:lineRule="exact"/>
        <w:ind w:firstLine="420" w:firstLineChars="200"/>
        <w:rPr>
          <w:rFonts w:ascii="宋体" w:hAnsi="宋体" w:cs="宋体"/>
          <w:szCs w:val="21"/>
        </w:rPr>
      </w:pPr>
      <w:r>
        <w:rPr>
          <w:rFonts w:hint="eastAsia" w:ascii="宋体" w:hAnsi="宋体" w:cs="宋体"/>
          <w:szCs w:val="21"/>
        </w:rPr>
        <w:t>（4）供应商需要在具备有摄像头及语音功能且互联网网络状况良好的电脑登录“广西政府采购云平台”远程开标大厅参与本次投标，否则后果自负。</w:t>
      </w:r>
    </w:p>
    <w:p w14:paraId="7A3D0E92">
      <w:pPr>
        <w:spacing w:line="460" w:lineRule="exact"/>
        <w:outlineLvl w:val="1"/>
        <w:rPr>
          <w:rFonts w:ascii="宋体" w:hAnsi="宋体" w:cs="宋体"/>
          <w:b/>
          <w:bCs/>
          <w:sz w:val="24"/>
        </w:rPr>
      </w:pPr>
      <w:bookmarkStart w:id="110" w:name="_Toc5653"/>
      <w:bookmarkStart w:id="111" w:name="_Toc23561"/>
      <w:bookmarkStart w:id="112" w:name="_Toc30190"/>
      <w:r>
        <w:rPr>
          <w:rFonts w:hint="eastAsia" w:ascii="宋体" w:hAnsi="宋体" w:cs="宋体"/>
          <w:b/>
          <w:bCs/>
          <w:sz w:val="24"/>
        </w:rPr>
        <w:t>七、对本次招标提出询问，请按以下方式联系。</w:t>
      </w:r>
      <w:bookmarkEnd w:id="90"/>
      <w:bookmarkEnd w:id="91"/>
      <w:bookmarkEnd w:id="92"/>
      <w:bookmarkEnd w:id="93"/>
      <w:bookmarkEnd w:id="110"/>
      <w:bookmarkEnd w:id="111"/>
      <w:bookmarkEnd w:id="112"/>
    </w:p>
    <w:p w14:paraId="496EC3AC">
      <w:pPr>
        <w:spacing w:line="460" w:lineRule="exact"/>
        <w:jc w:val="left"/>
        <w:outlineLvl w:val="2"/>
        <w:rPr>
          <w:rFonts w:ascii="宋体" w:hAnsi="宋体" w:cs="宋体"/>
          <w:szCs w:val="21"/>
        </w:rPr>
      </w:pPr>
      <w:r>
        <w:rPr>
          <w:rFonts w:hint="eastAsia" w:ascii="宋体" w:hAnsi="宋体" w:cs="宋体"/>
          <w:szCs w:val="21"/>
        </w:rPr>
        <w:t>　　　</w:t>
      </w:r>
      <w:bookmarkStart w:id="113" w:name="_Toc4250"/>
      <w:bookmarkStart w:id="114" w:name="_Toc28097"/>
      <w:bookmarkStart w:id="115" w:name="_Toc23293"/>
      <w:r>
        <w:rPr>
          <w:rFonts w:hint="eastAsia" w:ascii="宋体" w:hAnsi="宋体" w:cs="宋体"/>
          <w:szCs w:val="21"/>
        </w:rPr>
        <w:t>1.采购人信息</w:t>
      </w:r>
      <w:bookmarkEnd w:id="113"/>
      <w:bookmarkEnd w:id="114"/>
      <w:bookmarkEnd w:id="115"/>
    </w:p>
    <w:p w14:paraId="3CAE6F24">
      <w:pPr>
        <w:spacing w:line="460" w:lineRule="exact"/>
        <w:ind w:left="1041" w:leftChars="371" w:hanging="262" w:hangingChars="125"/>
        <w:jc w:val="left"/>
        <w:rPr>
          <w:rFonts w:ascii="宋体" w:hAnsi="宋体" w:cs="宋体"/>
          <w:szCs w:val="21"/>
        </w:rPr>
      </w:pPr>
      <w:r>
        <w:rPr>
          <w:rFonts w:hint="eastAsia" w:ascii="宋体" w:hAnsi="宋体" w:cs="宋体"/>
          <w:szCs w:val="21"/>
        </w:rPr>
        <w:t>名 称：</w:t>
      </w:r>
      <w:bookmarkStart w:id="116" w:name="OLE_LINK98"/>
      <w:bookmarkStart w:id="117" w:name="OLE_LINK94"/>
      <w:r>
        <w:rPr>
          <w:rFonts w:hint="eastAsia" w:ascii="宋体" w:hAnsi="宋体" w:cs="宋体"/>
          <w:szCs w:val="21"/>
        </w:rPr>
        <w:t>广西壮族自治区梧州监狱</w:t>
      </w:r>
      <w:bookmarkEnd w:id="116"/>
    </w:p>
    <w:bookmarkEnd w:id="117"/>
    <w:p w14:paraId="52E361A5">
      <w:pPr>
        <w:spacing w:line="460" w:lineRule="exact"/>
        <w:ind w:left="1041" w:leftChars="371" w:hanging="262" w:hangingChars="125"/>
        <w:jc w:val="left"/>
        <w:rPr>
          <w:rFonts w:ascii="宋体" w:hAnsi="宋体" w:cs="宋体"/>
          <w:szCs w:val="21"/>
        </w:rPr>
      </w:pPr>
      <w:r>
        <w:rPr>
          <w:rFonts w:hint="eastAsia" w:ascii="宋体" w:hAnsi="宋体" w:cs="宋体"/>
          <w:szCs w:val="21"/>
        </w:rPr>
        <w:t>地址：梧州市龙圩区龙城西路118号</w:t>
      </w:r>
    </w:p>
    <w:p w14:paraId="777F37BD">
      <w:pPr>
        <w:pStyle w:val="20"/>
        <w:spacing w:line="460" w:lineRule="exact"/>
        <w:ind w:firstLine="735" w:firstLineChars="350"/>
        <w:rPr>
          <w:rFonts w:hAnsi="宋体" w:cs="宋体"/>
        </w:rPr>
      </w:pPr>
      <w:r>
        <w:rPr>
          <w:rFonts w:hint="eastAsia" w:hAnsi="宋体" w:cs="宋体"/>
        </w:rPr>
        <w:t>项目联系人：</w:t>
      </w:r>
      <w:bookmarkStart w:id="118" w:name="OLE_LINK115"/>
      <w:bookmarkStart w:id="119" w:name="OLE_LINK139"/>
      <w:r>
        <w:rPr>
          <w:rFonts w:hint="eastAsia" w:hAnsi="宋体" w:cs="宋体"/>
        </w:rPr>
        <w:t>廖警官</w:t>
      </w:r>
      <w:bookmarkEnd w:id="118"/>
    </w:p>
    <w:p w14:paraId="4A165476">
      <w:pPr>
        <w:spacing w:line="460" w:lineRule="exact"/>
        <w:ind w:left="1041" w:leftChars="371" w:hanging="262" w:hangingChars="125"/>
        <w:jc w:val="left"/>
        <w:rPr>
          <w:rFonts w:ascii="宋体" w:hAnsi="宋体" w:cs="宋体"/>
          <w:szCs w:val="21"/>
        </w:rPr>
      </w:pPr>
      <w:r>
        <w:rPr>
          <w:rFonts w:hint="eastAsia" w:ascii="宋体" w:hAnsi="宋体" w:cs="宋体"/>
          <w:szCs w:val="21"/>
        </w:rPr>
        <w:t>联系电话：0774-2722825、18277235115</w:t>
      </w:r>
    </w:p>
    <w:bookmarkEnd w:id="119"/>
    <w:p w14:paraId="5D169870">
      <w:pPr>
        <w:spacing w:line="460" w:lineRule="exact"/>
        <w:ind w:left="1041" w:leftChars="371" w:hanging="262" w:hangingChars="125"/>
        <w:jc w:val="left"/>
        <w:outlineLvl w:val="2"/>
        <w:rPr>
          <w:rFonts w:ascii="宋体" w:hAnsi="宋体" w:cs="宋体"/>
          <w:szCs w:val="21"/>
        </w:rPr>
      </w:pPr>
      <w:bookmarkStart w:id="120" w:name="_Toc19099"/>
      <w:bookmarkStart w:id="121" w:name="_Toc3656"/>
      <w:bookmarkStart w:id="122" w:name="_Toc31687"/>
      <w:r>
        <w:rPr>
          <w:rFonts w:hint="eastAsia" w:ascii="宋体" w:hAnsi="宋体" w:cs="宋体"/>
          <w:szCs w:val="21"/>
        </w:rPr>
        <w:t>2.采购代理机构信息</w:t>
      </w:r>
      <w:bookmarkEnd w:id="120"/>
      <w:bookmarkEnd w:id="121"/>
      <w:bookmarkEnd w:id="122"/>
    </w:p>
    <w:p w14:paraId="5DB1898D">
      <w:pPr>
        <w:spacing w:line="460" w:lineRule="exact"/>
        <w:ind w:firstLine="735" w:firstLineChars="350"/>
        <w:rPr>
          <w:rFonts w:ascii="宋体" w:hAnsi="宋体" w:cs="宋体"/>
          <w:szCs w:val="21"/>
        </w:rPr>
      </w:pPr>
      <w:r>
        <w:rPr>
          <w:rFonts w:hint="eastAsia" w:ascii="宋体" w:hAnsi="宋体" w:cs="宋体"/>
          <w:szCs w:val="21"/>
        </w:rPr>
        <w:t>名 称：</w:t>
      </w:r>
      <w:bookmarkStart w:id="123" w:name="OLE_LINK95"/>
      <w:bookmarkStart w:id="124" w:name="OLE_LINK140"/>
      <w:r>
        <w:rPr>
          <w:rFonts w:hint="eastAsia" w:ascii="宋体" w:hAnsi="宋体" w:cs="宋体"/>
          <w:szCs w:val="21"/>
        </w:rPr>
        <w:t>广西德元工程项目管理有限责任公司</w:t>
      </w:r>
      <w:bookmarkEnd w:id="123"/>
    </w:p>
    <w:p w14:paraId="3B0CBAC6">
      <w:pPr>
        <w:spacing w:line="460" w:lineRule="exact"/>
        <w:ind w:firstLine="735" w:firstLineChars="350"/>
        <w:rPr>
          <w:rFonts w:ascii="宋体" w:hAnsi="宋体" w:cs="宋体"/>
          <w:szCs w:val="21"/>
        </w:rPr>
      </w:pPr>
      <w:r>
        <w:rPr>
          <w:rFonts w:hint="eastAsia" w:ascii="宋体" w:hAnsi="宋体" w:cs="宋体"/>
          <w:szCs w:val="21"/>
        </w:rPr>
        <w:t>地　址：南宁市良庆区凯旋路15号绿地中心7号楼8楼</w:t>
      </w:r>
    </w:p>
    <w:bookmarkEnd w:id="124"/>
    <w:p w14:paraId="4C1FB4B9">
      <w:pPr>
        <w:spacing w:line="460" w:lineRule="exact"/>
        <w:ind w:firstLine="735" w:firstLineChars="350"/>
        <w:rPr>
          <w:rFonts w:ascii="宋体" w:hAnsi="宋体" w:cs="宋体"/>
          <w:szCs w:val="21"/>
        </w:rPr>
      </w:pPr>
      <w:r>
        <w:rPr>
          <w:rFonts w:hint="eastAsia" w:ascii="宋体" w:hAnsi="宋体" w:cs="宋体"/>
          <w:szCs w:val="21"/>
        </w:rPr>
        <w:t>项目联系人：</w:t>
      </w:r>
      <w:bookmarkStart w:id="125" w:name="OLE_LINK91"/>
      <w:r>
        <w:rPr>
          <w:rFonts w:hint="eastAsia" w:ascii="宋体" w:hAnsi="宋体" w:cs="宋体"/>
          <w:szCs w:val="21"/>
        </w:rPr>
        <w:t>黄工</w:t>
      </w:r>
      <w:bookmarkEnd w:id="125"/>
    </w:p>
    <w:p w14:paraId="0578C271">
      <w:pPr>
        <w:spacing w:line="460" w:lineRule="exact"/>
        <w:ind w:firstLine="735" w:firstLineChars="350"/>
        <w:rPr>
          <w:rFonts w:ascii="宋体" w:hAnsi="宋体" w:cs="宋体"/>
          <w:szCs w:val="21"/>
        </w:rPr>
      </w:pPr>
      <w:r>
        <w:rPr>
          <w:rFonts w:hint="eastAsia" w:ascii="宋体" w:hAnsi="宋体" w:cs="宋体"/>
          <w:szCs w:val="21"/>
        </w:rPr>
        <w:t>项目联系方式：</w:t>
      </w:r>
      <w:bookmarkStart w:id="126" w:name="OLE_LINK97"/>
      <w:bookmarkStart w:id="127" w:name="OLE_LINK92"/>
      <w:bookmarkStart w:id="128" w:name="OLE_LINK99"/>
      <w:r>
        <w:rPr>
          <w:rFonts w:hint="eastAsia" w:ascii="宋体" w:hAnsi="宋体" w:cs="宋体"/>
          <w:szCs w:val="21"/>
        </w:rPr>
        <w:t>0771-5084767</w:t>
      </w:r>
      <w:bookmarkEnd w:id="126"/>
      <w:r>
        <w:rPr>
          <w:rFonts w:hint="eastAsia" w:ascii="宋体" w:hAnsi="宋体" w:cs="宋体"/>
          <w:szCs w:val="21"/>
        </w:rPr>
        <w:t>、</w:t>
      </w:r>
      <w:bookmarkStart w:id="129" w:name="OLE_LINK47"/>
      <w:r>
        <w:rPr>
          <w:rFonts w:hint="eastAsia" w:ascii="宋体" w:hAnsi="宋体" w:cs="宋体"/>
          <w:szCs w:val="21"/>
        </w:rPr>
        <w:t>17373191483</w:t>
      </w:r>
      <w:bookmarkEnd w:id="127"/>
      <w:bookmarkEnd w:id="129"/>
    </w:p>
    <w:bookmarkEnd w:id="128"/>
    <w:p w14:paraId="0D9201C8">
      <w:pPr>
        <w:spacing w:line="360" w:lineRule="auto"/>
        <w:jc w:val="right"/>
        <w:rPr>
          <w:rFonts w:ascii="宋体" w:hAnsi="宋体" w:cs="宋体"/>
          <w:szCs w:val="21"/>
        </w:rPr>
      </w:pPr>
      <w:bookmarkStart w:id="130" w:name="PO_3000001866_PM031_2"/>
    </w:p>
    <w:p w14:paraId="5B15F1D6">
      <w:pPr>
        <w:spacing w:line="360" w:lineRule="auto"/>
        <w:jc w:val="right"/>
        <w:rPr>
          <w:rFonts w:ascii="宋体" w:hAnsi="宋体" w:cs="宋体"/>
          <w:szCs w:val="21"/>
        </w:rPr>
      </w:pPr>
    </w:p>
    <w:p w14:paraId="06AFC1D9">
      <w:pPr>
        <w:spacing w:line="360" w:lineRule="auto"/>
        <w:jc w:val="right"/>
        <w:rPr>
          <w:rFonts w:ascii="宋体" w:hAnsi="宋体" w:cs="宋体"/>
          <w:szCs w:val="21"/>
        </w:rPr>
      </w:pPr>
      <w:r>
        <w:rPr>
          <w:rFonts w:hint="eastAsia" w:ascii="宋体" w:hAnsi="宋体" w:cs="宋体"/>
          <w:szCs w:val="21"/>
        </w:rPr>
        <w:t>采购代理机构：</w:t>
      </w:r>
      <w:bookmarkEnd w:id="130"/>
      <w:r>
        <w:rPr>
          <w:rFonts w:hint="eastAsia" w:ascii="宋体" w:hAnsi="宋体" w:cs="宋体"/>
          <w:szCs w:val="21"/>
        </w:rPr>
        <w:t>广西德元工程项目管理有限责任公司</w:t>
      </w:r>
    </w:p>
    <w:p w14:paraId="281B5303">
      <w:pPr>
        <w:spacing w:line="360" w:lineRule="auto"/>
        <w:ind w:firstLine="210" w:firstLineChars="100"/>
        <w:jc w:val="right"/>
        <w:rPr>
          <w:rFonts w:ascii="宋体" w:hAnsi="宋体" w:cs="宋体"/>
        </w:rPr>
      </w:pPr>
      <w:r>
        <w:rPr>
          <w:rFonts w:hint="eastAsia" w:ascii="宋体" w:hAnsi="宋体" w:cs="宋体"/>
          <w:szCs w:val="21"/>
        </w:rPr>
        <w:t xml:space="preserve"> 2025年07月1</w:t>
      </w:r>
      <w:r>
        <w:rPr>
          <w:rFonts w:hint="eastAsia" w:ascii="宋体" w:hAnsi="宋体" w:cs="宋体"/>
          <w:szCs w:val="21"/>
          <w:lang w:val="en-US" w:eastAsia="zh-CN"/>
        </w:rPr>
        <w:t>5</w:t>
      </w:r>
      <w:r>
        <w:rPr>
          <w:rFonts w:hint="eastAsia" w:ascii="宋体" w:hAnsi="宋体" w:cs="宋体"/>
          <w:szCs w:val="21"/>
        </w:rPr>
        <w:t xml:space="preserve"> 日</w:t>
      </w:r>
      <w:bookmarkEnd w:id="14"/>
    </w:p>
    <w:p w14:paraId="02FB7C37">
      <w:pPr>
        <w:snapToGrid w:val="0"/>
        <w:spacing w:line="360" w:lineRule="auto"/>
        <w:ind w:firstLine="420"/>
        <w:rPr>
          <w:rFonts w:ascii="宋体" w:hAnsi="宋体" w:cs="宋体"/>
          <w:sz w:val="24"/>
          <w:lang w:val="zh-CN"/>
        </w:rPr>
        <w:sectPr>
          <w:footerReference r:id="rId8" w:type="default"/>
          <w:pgSz w:w="11906" w:h="16838"/>
          <w:pgMar w:top="1354" w:right="1312" w:bottom="1404" w:left="1354" w:header="720" w:footer="720" w:gutter="0"/>
          <w:pgNumType w:start="1"/>
          <w:cols w:space="720" w:num="1"/>
          <w:docGrid w:type="lines" w:linePitch="331" w:charSpace="0"/>
        </w:sectPr>
      </w:pPr>
    </w:p>
    <w:p w14:paraId="049184AC">
      <w:pPr>
        <w:pStyle w:val="4"/>
        <w:keepNext w:val="0"/>
        <w:keepLines w:val="0"/>
        <w:tabs>
          <w:tab w:val="left" w:pos="0"/>
          <w:tab w:val="left" w:pos="3165"/>
          <w:tab w:val="center" w:pos="4153"/>
        </w:tabs>
        <w:autoSpaceDE w:val="0"/>
        <w:autoSpaceDN w:val="0"/>
        <w:adjustRightInd w:val="0"/>
        <w:spacing w:before="0" w:after="0" w:line="360" w:lineRule="auto"/>
        <w:jc w:val="center"/>
      </w:pPr>
      <w:bookmarkStart w:id="131" w:name="_Toc13662"/>
      <w:bookmarkStart w:id="132" w:name="_Toc1050"/>
      <w:bookmarkStart w:id="133" w:name="_Toc27979"/>
      <w:bookmarkStart w:id="134" w:name="_Toc23028"/>
      <w:bookmarkStart w:id="135" w:name="_Toc26245"/>
      <w:bookmarkStart w:id="136" w:name="_Toc532545042"/>
      <w:r>
        <w:rPr>
          <w:rFonts w:hint="eastAsia"/>
        </w:rPr>
        <w:t>第二章  采购需求</w:t>
      </w:r>
      <w:bookmarkEnd w:id="131"/>
      <w:bookmarkEnd w:id="132"/>
      <w:bookmarkEnd w:id="133"/>
      <w:bookmarkEnd w:id="134"/>
    </w:p>
    <w:p w14:paraId="2934E6DD">
      <w:pPr>
        <w:spacing w:line="360" w:lineRule="auto"/>
        <w:jc w:val="left"/>
        <w:rPr>
          <w:rFonts w:ascii="宋体" w:hAnsi="宋体" w:cs="宋体"/>
          <w:szCs w:val="21"/>
        </w:rPr>
      </w:pPr>
    </w:p>
    <w:p w14:paraId="3DCCA1C8">
      <w:pPr>
        <w:spacing w:line="360" w:lineRule="auto"/>
        <w:jc w:val="left"/>
        <w:rPr>
          <w:rFonts w:ascii="宋体" w:hAnsi="宋体" w:cs="宋体"/>
          <w:szCs w:val="21"/>
        </w:rPr>
      </w:pPr>
      <w:r>
        <w:rPr>
          <w:rFonts w:hint="eastAsia" w:ascii="宋体" w:hAnsi="宋体" w:cs="宋体"/>
          <w:szCs w:val="21"/>
        </w:rPr>
        <w:t>说明：</w:t>
      </w:r>
    </w:p>
    <w:p w14:paraId="4011F6C2">
      <w:pPr>
        <w:spacing w:line="360" w:lineRule="auto"/>
        <w:ind w:firstLine="420" w:firstLineChars="200"/>
        <w:jc w:val="left"/>
        <w:rPr>
          <w:rFonts w:ascii="宋体" w:hAnsi="宋体"/>
        </w:rPr>
      </w:pPr>
      <w:r>
        <w:rPr>
          <w:rFonts w:hint="eastAsia" w:ascii="宋体" w:hAnsi="宋体"/>
        </w:rPr>
        <w:t>1.为落实政府采购政策需满足的要求</w:t>
      </w:r>
    </w:p>
    <w:p w14:paraId="4E3DCFCB">
      <w:pPr>
        <w:spacing w:line="360" w:lineRule="auto"/>
        <w:ind w:firstLine="420" w:firstLineChars="200"/>
        <w:jc w:val="left"/>
        <w:rPr>
          <w:rFonts w:ascii="宋体" w:hAnsi="宋体" w:cs="宋体"/>
          <w:szCs w:val="21"/>
        </w:rPr>
      </w:pPr>
      <w:r>
        <w:rPr>
          <w:rFonts w:hint="eastAsia" w:ascii="宋体" w:hAnsi="宋体" w:cs="宋体"/>
          <w:szCs w:val="21"/>
        </w:rPr>
        <w:t>本招标文件所称中小企业必须符合《政府采购促进中小企业发展管理办法》（财库〔2020〕46号）的规定。</w:t>
      </w:r>
    </w:p>
    <w:p w14:paraId="10386E0C">
      <w:pPr>
        <w:spacing w:line="360" w:lineRule="auto"/>
        <w:ind w:firstLine="424" w:firstLineChars="202"/>
        <w:jc w:val="left"/>
        <w:rPr>
          <w:rFonts w:ascii="宋体" w:hAnsi="宋体" w:cs="宋体"/>
          <w:szCs w:val="21"/>
        </w:rPr>
      </w:pPr>
      <w:r>
        <w:rPr>
          <w:rFonts w:hint="eastAsia" w:ascii="宋体" w:hAnsi="宋体" w:cs="宋体"/>
          <w:szCs w:val="21"/>
        </w:rPr>
        <w:t>2.“实质性要求”是指招标文件中已经指明不满足则投标无效的条款，或者不能负偏离的条款，或者采购需求中带“▲”的条款。</w:t>
      </w:r>
    </w:p>
    <w:p w14:paraId="38449E9A">
      <w:pPr>
        <w:spacing w:line="360" w:lineRule="auto"/>
        <w:ind w:firstLine="426" w:firstLineChars="202"/>
        <w:jc w:val="left"/>
        <w:rPr>
          <w:rFonts w:ascii="宋体" w:hAnsi="宋体" w:cs="宋体"/>
          <w:b/>
          <w:szCs w:val="21"/>
        </w:rPr>
      </w:pPr>
      <w:r>
        <w:rPr>
          <w:rFonts w:hint="eastAsia" w:ascii="宋体" w:hAnsi="宋体" w:cs="宋体"/>
          <w:b/>
          <w:szCs w:val="21"/>
        </w:rPr>
        <w:t>本项目凡标注“▲”的条款或要求不响应或不满足的，投标文件即作无效处理。</w:t>
      </w:r>
    </w:p>
    <w:p w14:paraId="6ADAB6EC">
      <w:pPr>
        <w:spacing w:line="360" w:lineRule="auto"/>
        <w:ind w:firstLine="424" w:firstLineChars="202"/>
        <w:jc w:val="left"/>
        <w:rPr>
          <w:rFonts w:ascii="宋体" w:hAnsi="宋体"/>
        </w:rPr>
      </w:pPr>
      <w:bookmarkStart w:id="137" w:name="_Hlk155187626"/>
      <w:r>
        <w:rPr>
          <w:rFonts w:ascii="宋体" w:hAnsi="宋体" w:cs="宋体"/>
          <w:szCs w:val="21"/>
        </w:rPr>
        <w:t>3</w:t>
      </w:r>
      <w:r>
        <w:rPr>
          <w:rFonts w:hint="eastAsia" w:ascii="宋体" w:hAnsi="宋体" w:cs="宋体"/>
          <w:szCs w:val="21"/>
        </w:rPr>
        <w:t>.投标人应根据自身实际情况如实响应招标文件</w:t>
      </w:r>
      <w:r>
        <w:rPr>
          <w:rFonts w:hint="eastAsia" w:ascii="宋体" w:hAnsi="宋体"/>
          <w:szCs w:val="21"/>
        </w:rPr>
        <w:t>，</w:t>
      </w:r>
      <w:r>
        <w:rPr>
          <w:rFonts w:hint="eastAsia" w:ascii="宋体" w:hAnsi="宋体"/>
          <w:sz w:val="22"/>
          <w:szCs w:val="22"/>
        </w:rPr>
        <w:t>对招标文件提出的要求和条件作出明确响应，</w:t>
      </w:r>
      <w:r>
        <w:rPr>
          <w:rFonts w:hint="eastAsia" w:ascii="宋体" w:hAnsi="宋体"/>
          <w:b/>
          <w:bCs/>
          <w:szCs w:val="21"/>
        </w:rPr>
        <w:t>否则将作无效响应处理</w:t>
      </w:r>
      <w:r>
        <w:rPr>
          <w:rFonts w:hint="eastAsia" w:ascii="宋体" w:hAnsi="宋体"/>
          <w:szCs w:val="21"/>
        </w:rPr>
        <w:t>。</w:t>
      </w:r>
      <w:r>
        <w:rPr>
          <w:rFonts w:hint="eastAsia"/>
        </w:rPr>
        <w:t>对于重要技术条款或技术参数应当在投标文件中提供技术支持资料，技术支持资料以招标文件中规定的形式为准，</w:t>
      </w:r>
      <w:r>
        <w:rPr>
          <w:rFonts w:hint="eastAsia"/>
          <w:b/>
          <w:bCs/>
        </w:rPr>
        <w:t>否则将视为无效技术支持资料</w:t>
      </w:r>
      <w:r>
        <w:rPr>
          <w:rFonts w:hint="eastAsia" w:ascii="宋体" w:hAnsi="宋体"/>
        </w:rPr>
        <w:t>。</w:t>
      </w:r>
      <w:bookmarkEnd w:id="137"/>
    </w:p>
    <w:p w14:paraId="2DE4FFC8">
      <w:pPr>
        <w:spacing w:line="360" w:lineRule="auto"/>
        <w:ind w:firstLine="424" w:firstLineChars="202"/>
        <w:jc w:val="left"/>
        <w:rPr>
          <w:rFonts w:ascii="宋体" w:hAnsi="宋体"/>
        </w:rPr>
      </w:pPr>
      <w:r>
        <w:rPr>
          <w:rFonts w:hint="eastAsia" w:ascii="宋体" w:hAnsi="宋体"/>
        </w:rPr>
        <w:t>4.投标人必须自行为其投标产品侵犯他人的知识产权或者专利成果的行为承担相应法律责任。</w:t>
      </w:r>
    </w:p>
    <w:p w14:paraId="4C09A971">
      <w:pPr>
        <w:spacing w:line="360" w:lineRule="auto"/>
        <w:ind w:firstLine="424" w:firstLineChars="202"/>
        <w:jc w:val="left"/>
        <w:rPr>
          <w:rFonts w:ascii="宋体" w:hAnsi="宋体"/>
        </w:rPr>
      </w:pPr>
      <w:r>
        <w:rPr>
          <w:rFonts w:hint="eastAsia" w:ascii="宋体" w:hAnsi="宋体"/>
        </w:rPr>
        <w:t>5.所属行业依照《中小企业划型标准规定》（工信部联企业〔2011〕300号）及《国民经济行业分类》（GB/T4754-2017）的有关规定执行。</w:t>
      </w:r>
    </w:p>
    <w:p w14:paraId="6ABCF7AB">
      <w:pPr>
        <w:spacing w:line="360" w:lineRule="auto"/>
        <w:ind w:firstLine="426" w:firstLineChars="202"/>
        <w:jc w:val="left"/>
        <w:rPr>
          <w:rFonts w:ascii="宋体" w:hAnsi="宋体"/>
          <w:b/>
          <w:bCs/>
        </w:rPr>
      </w:pPr>
      <w:r>
        <w:rPr>
          <w:rFonts w:hint="eastAsia" w:ascii="宋体" w:hAnsi="宋体"/>
          <w:b/>
          <w:bCs/>
        </w:rPr>
        <w:t>6.评标委员会认为投标人的报价明显低于其他通过符合性审查投标人的报价，有可能影响其服务或产品质量或者不能诚信履约的，应当要求其在评标现场合理的时间内提供书面说明，必要时提交相关证明材料；投标人不能证明其报价合理性的，评标委员会应当将其作为无效投标处理。</w:t>
      </w:r>
    </w:p>
    <w:p w14:paraId="6E42363A">
      <w:pPr>
        <w:spacing w:line="360" w:lineRule="auto"/>
        <w:ind w:firstLine="426" w:firstLineChars="202"/>
        <w:jc w:val="left"/>
        <w:rPr>
          <w:rFonts w:ascii="宋体" w:hAnsi="宋体"/>
        </w:rPr>
      </w:pPr>
      <w:r>
        <w:rPr>
          <w:rFonts w:hint="eastAsia" w:ascii="宋体" w:hAnsi="宋体"/>
          <w:b/>
          <w:bCs/>
        </w:rPr>
        <w:t>7.本项目采购需求表中要求提供的证明文件材料或承诺书，请在《技术需求偏离表》或《商务要求偏离表》中应答时，注明相关文件材料或承诺书放置的页码。</w:t>
      </w:r>
    </w:p>
    <w:p w14:paraId="003AF6DB">
      <w:pPr>
        <w:spacing w:line="360" w:lineRule="auto"/>
        <w:ind w:firstLine="308" w:firstLineChars="147"/>
        <w:jc w:val="left"/>
        <w:rPr>
          <w:rFonts w:ascii="宋体" w:hAnsi="宋体"/>
        </w:rPr>
      </w:pPr>
    </w:p>
    <w:p w14:paraId="0E0A28D8">
      <w:pPr>
        <w:widowControl/>
        <w:spacing w:line="440" w:lineRule="exact"/>
        <w:jc w:val="left"/>
        <w:outlineLvl w:val="1"/>
        <w:rPr>
          <w:rFonts w:ascii="宋体" w:hAnsi="宋体" w:cs="宋体"/>
          <w:szCs w:val="21"/>
        </w:rPr>
      </w:pPr>
      <w:bookmarkStart w:id="138" w:name="_Toc1072"/>
      <w:bookmarkStart w:id="139" w:name="_Toc1474"/>
      <w:bookmarkStart w:id="140" w:name="_Toc8223"/>
      <w:r>
        <w:rPr>
          <w:rFonts w:hint="eastAsia" w:ascii="宋体" w:hAnsi="宋体" w:cs="Arial"/>
          <w:bCs/>
          <w:szCs w:val="21"/>
          <w:u w:val="single"/>
        </w:rPr>
        <w:t>A</w:t>
      </w:r>
      <w:r>
        <w:rPr>
          <w:rFonts w:hint="eastAsia" w:ascii="宋体" w:hAnsi="宋体"/>
          <w:b/>
          <w:szCs w:val="21"/>
        </w:rPr>
        <w:t xml:space="preserve">分标 ：鸡鸭肉类    </w:t>
      </w:r>
      <w:r>
        <w:rPr>
          <w:rFonts w:hint="eastAsia" w:ascii="宋体" w:hAnsi="宋体"/>
          <w:b/>
        </w:rPr>
        <w:t>采购预算（元）</w:t>
      </w:r>
      <w:r>
        <w:rPr>
          <w:rFonts w:hint="eastAsia" w:ascii="宋体" w:hAnsi="宋体" w:cs="Arial"/>
          <w:bCs/>
        </w:rPr>
        <w:t>：</w:t>
      </w:r>
      <w:r>
        <w:rPr>
          <w:rFonts w:hint="eastAsia" w:ascii="宋体" w:hAnsi="宋体" w:cs="Arial"/>
          <w:bCs/>
          <w:u w:val="single"/>
        </w:rPr>
        <w:t xml:space="preserve"> </w:t>
      </w:r>
      <w:bookmarkStart w:id="141" w:name="OLE_LINK64"/>
      <w:r>
        <w:rPr>
          <w:rFonts w:hint="eastAsia" w:ascii="宋体" w:hAnsi="宋体" w:cs="Arial"/>
          <w:bCs/>
          <w:u w:val="single"/>
        </w:rPr>
        <w:t>2404000.00</w:t>
      </w:r>
      <w:bookmarkEnd w:id="141"/>
      <w:r>
        <w:rPr>
          <w:rFonts w:hint="eastAsia" w:ascii="宋体" w:hAnsi="宋体" w:cs="Arial"/>
          <w:bCs/>
          <w:u w:val="single"/>
        </w:rPr>
        <w:t xml:space="preserve"> </w:t>
      </w:r>
      <w:r>
        <w:rPr>
          <w:rFonts w:hint="eastAsia" w:ascii="宋体" w:hAnsi="宋体" w:cs="Arial"/>
          <w:bCs/>
        </w:rPr>
        <w:t xml:space="preserve">    </w:t>
      </w:r>
      <w:r>
        <w:rPr>
          <w:rFonts w:hint="eastAsia" w:ascii="宋体" w:hAnsi="宋体"/>
          <w:b/>
        </w:rPr>
        <w:t>最高限价（元）</w:t>
      </w:r>
      <w:r>
        <w:rPr>
          <w:rFonts w:hint="eastAsia" w:ascii="宋体" w:hAnsi="宋体" w:cs="Arial"/>
          <w:bCs/>
        </w:rPr>
        <w:t>：</w:t>
      </w:r>
      <w:bookmarkEnd w:id="138"/>
      <w:bookmarkEnd w:id="139"/>
      <w:r>
        <w:rPr>
          <w:rFonts w:hint="eastAsia" w:ascii="宋体" w:hAnsi="宋体" w:cs="Arial"/>
          <w:bCs/>
          <w:u w:val="single"/>
        </w:rPr>
        <w:t xml:space="preserve"> 2404000.00</w:t>
      </w:r>
      <w:bookmarkEnd w:id="140"/>
      <w:r>
        <w:rPr>
          <w:rFonts w:hint="eastAsia" w:ascii="宋体" w:hAnsi="宋体" w:cs="Arial"/>
          <w:bCs/>
          <w:u w:val="single"/>
        </w:rPr>
        <w:t xml:space="preserve"> </w:t>
      </w:r>
    </w:p>
    <w:tbl>
      <w:tblPr>
        <w:tblStyle w:val="37"/>
        <w:tblW w:w="102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9"/>
        <w:gridCol w:w="516"/>
        <w:gridCol w:w="931"/>
        <w:gridCol w:w="745"/>
        <w:gridCol w:w="1125"/>
        <w:gridCol w:w="712"/>
        <w:gridCol w:w="4652"/>
        <w:gridCol w:w="1050"/>
      </w:tblGrid>
      <w:tr w14:paraId="2381F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210" w:type="dxa"/>
            <w:gridSpan w:val="8"/>
            <w:tcBorders>
              <w:top w:val="single" w:color="auto" w:sz="4" w:space="0"/>
              <w:left w:val="single" w:color="auto" w:sz="4" w:space="0"/>
              <w:right w:val="single" w:color="auto" w:sz="4" w:space="0"/>
            </w:tcBorders>
          </w:tcPr>
          <w:p w14:paraId="0B0819BB">
            <w:pPr>
              <w:tabs>
                <w:tab w:val="left" w:pos="3470"/>
                <w:tab w:val="left" w:pos="5909"/>
              </w:tabs>
              <w:spacing w:line="320" w:lineRule="exact"/>
              <w:jc w:val="center"/>
              <w:rPr>
                <w:rFonts w:ascii="仿宋_GB2312" w:hAnsi="宋体" w:eastAsia="仿宋_GB2312" w:cs="Arial"/>
                <w:b/>
                <w:sz w:val="32"/>
                <w:szCs w:val="32"/>
              </w:rPr>
            </w:pPr>
            <w:r>
              <w:rPr>
                <w:rFonts w:hint="eastAsia" w:ascii="仿宋_GB2312" w:hAnsi="宋体" w:eastAsia="仿宋_GB2312" w:cs="Arial"/>
                <w:b/>
                <w:sz w:val="28"/>
                <w:szCs w:val="28"/>
              </w:rPr>
              <w:t>货物需求一览表</w:t>
            </w:r>
          </w:p>
        </w:tc>
      </w:tr>
      <w:tr w14:paraId="50C69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79" w:type="dxa"/>
            <w:vMerge w:val="restart"/>
            <w:tcBorders>
              <w:top w:val="single" w:color="auto" w:sz="4" w:space="0"/>
              <w:left w:val="single" w:color="auto" w:sz="4" w:space="0"/>
              <w:right w:val="single" w:color="auto" w:sz="4" w:space="0"/>
            </w:tcBorders>
            <w:vAlign w:val="center"/>
          </w:tcPr>
          <w:p w14:paraId="7120646F">
            <w:pPr>
              <w:jc w:val="center"/>
              <w:rPr>
                <w:rFonts w:ascii="宋体" w:hAnsi="宋体" w:cs="宋体"/>
                <w:szCs w:val="21"/>
              </w:rPr>
            </w:pPr>
          </w:p>
          <w:p w14:paraId="20EE9906">
            <w:pPr>
              <w:jc w:val="center"/>
              <w:rPr>
                <w:rFonts w:ascii="宋体" w:hAnsi="宋体" w:cs="宋体"/>
                <w:szCs w:val="21"/>
              </w:rPr>
            </w:pPr>
          </w:p>
          <w:p w14:paraId="7D1E54BB">
            <w:pPr>
              <w:jc w:val="center"/>
              <w:rPr>
                <w:rFonts w:ascii="宋体" w:hAnsi="宋体" w:cs="宋体"/>
                <w:szCs w:val="21"/>
              </w:rPr>
            </w:pPr>
            <w:r>
              <w:rPr>
                <w:rFonts w:hint="eastAsia" w:ascii="宋体" w:hAnsi="宋体" w:cs="宋体"/>
                <w:szCs w:val="21"/>
              </w:rPr>
              <w:t>采购清单及货物参数</w:t>
            </w: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BA56E4B">
            <w:pPr>
              <w:jc w:val="center"/>
              <w:rPr>
                <w:rFonts w:ascii="宋体" w:hAnsi="宋体" w:cs="宋体"/>
                <w:szCs w:val="21"/>
              </w:rPr>
            </w:pPr>
            <w:r>
              <w:rPr>
                <w:rFonts w:hint="eastAsia" w:ascii="宋体" w:hAnsi="宋体" w:cs="宋体"/>
                <w:szCs w:val="21"/>
              </w:rPr>
              <w:t>序号</w:t>
            </w:r>
          </w:p>
        </w:tc>
        <w:tc>
          <w:tcPr>
            <w:tcW w:w="931" w:type="dxa"/>
            <w:tcBorders>
              <w:top w:val="single" w:color="auto" w:sz="4" w:space="0"/>
              <w:left w:val="single" w:color="auto" w:sz="4" w:space="0"/>
              <w:bottom w:val="single" w:color="auto" w:sz="4" w:space="0"/>
              <w:right w:val="single" w:color="auto" w:sz="4" w:space="0"/>
            </w:tcBorders>
            <w:vAlign w:val="center"/>
          </w:tcPr>
          <w:p w14:paraId="3E915A6B">
            <w:pPr>
              <w:jc w:val="center"/>
              <w:rPr>
                <w:rFonts w:ascii="宋体" w:hAnsi="宋体" w:cs="宋体"/>
                <w:szCs w:val="21"/>
              </w:rPr>
            </w:pPr>
            <w:r>
              <w:rPr>
                <w:rFonts w:hint="eastAsia" w:ascii="宋体" w:hAnsi="宋体" w:cs="宋体"/>
                <w:szCs w:val="21"/>
              </w:rPr>
              <w:t>标的</w:t>
            </w:r>
          </w:p>
          <w:p w14:paraId="56CB2C40">
            <w:pPr>
              <w:jc w:val="center"/>
              <w:rPr>
                <w:rFonts w:ascii="宋体" w:hAnsi="宋体" w:cs="宋体"/>
                <w:szCs w:val="21"/>
              </w:rPr>
            </w:pPr>
            <w:r>
              <w:rPr>
                <w:rFonts w:hint="eastAsia" w:ascii="宋体" w:hAnsi="宋体" w:cs="宋体"/>
                <w:szCs w:val="21"/>
              </w:rPr>
              <w:t>名称</w:t>
            </w:r>
          </w:p>
        </w:tc>
        <w:tc>
          <w:tcPr>
            <w:tcW w:w="745" w:type="dxa"/>
            <w:tcBorders>
              <w:top w:val="single" w:color="auto" w:sz="4" w:space="0"/>
              <w:left w:val="single" w:color="auto" w:sz="4" w:space="0"/>
              <w:bottom w:val="single" w:color="auto" w:sz="4" w:space="0"/>
              <w:right w:val="single" w:color="auto" w:sz="4" w:space="0"/>
            </w:tcBorders>
            <w:vAlign w:val="center"/>
          </w:tcPr>
          <w:p w14:paraId="14362C24">
            <w:pPr>
              <w:jc w:val="center"/>
              <w:rPr>
                <w:rFonts w:ascii="宋体" w:hAnsi="宋体" w:cs="宋体"/>
                <w:szCs w:val="21"/>
              </w:rPr>
            </w:pPr>
            <w:r>
              <w:rPr>
                <w:rFonts w:hint="eastAsia" w:ascii="宋体" w:hAnsi="宋体" w:cs="宋体"/>
                <w:szCs w:val="21"/>
              </w:rPr>
              <w:t>单位</w:t>
            </w:r>
          </w:p>
        </w:tc>
        <w:tc>
          <w:tcPr>
            <w:tcW w:w="1125" w:type="dxa"/>
            <w:tcBorders>
              <w:top w:val="single" w:color="auto" w:sz="4" w:space="0"/>
              <w:left w:val="single" w:color="auto" w:sz="4" w:space="0"/>
              <w:bottom w:val="single" w:color="auto" w:sz="4" w:space="0"/>
              <w:right w:val="single" w:color="auto" w:sz="4" w:space="0"/>
            </w:tcBorders>
            <w:vAlign w:val="center"/>
          </w:tcPr>
          <w:p w14:paraId="2438E89C">
            <w:pPr>
              <w:jc w:val="center"/>
              <w:rPr>
                <w:rFonts w:ascii="宋体" w:hAnsi="宋体" w:cs="宋体"/>
                <w:szCs w:val="21"/>
              </w:rPr>
            </w:pPr>
            <w:r>
              <w:rPr>
                <w:rFonts w:hint="eastAsia" w:ascii="宋体" w:hAnsi="宋体" w:cs="宋体"/>
                <w:szCs w:val="21"/>
              </w:rPr>
              <w:t>数量</w:t>
            </w:r>
          </w:p>
          <w:p w14:paraId="432D8DB6">
            <w:pPr>
              <w:jc w:val="center"/>
              <w:rPr>
                <w:rFonts w:ascii="宋体" w:hAnsi="宋体" w:cs="宋体"/>
                <w:szCs w:val="21"/>
              </w:rPr>
            </w:pPr>
            <w:r>
              <w:rPr>
                <w:rFonts w:hint="eastAsia" w:ascii="宋体" w:hAnsi="宋体" w:cs="宋体"/>
                <w:szCs w:val="21"/>
              </w:rPr>
              <w:t>（暂估）</w:t>
            </w:r>
          </w:p>
        </w:tc>
        <w:tc>
          <w:tcPr>
            <w:tcW w:w="712" w:type="dxa"/>
            <w:tcBorders>
              <w:top w:val="single" w:color="auto" w:sz="4" w:space="0"/>
              <w:left w:val="single" w:color="auto" w:sz="4" w:space="0"/>
              <w:bottom w:val="single" w:color="auto" w:sz="4" w:space="0"/>
              <w:right w:val="single" w:color="auto" w:sz="4" w:space="0"/>
            </w:tcBorders>
            <w:vAlign w:val="center"/>
          </w:tcPr>
          <w:p w14:paraId="5258C104">
            <w:pPr>
              <w:jc w:val="center"/>
              <w:rPr>
                <w:rFonts w:ascii="宋体" w:hAnsi="宋体" w:cs="宋体"/>
                <w:szCs w:val="21"/>
              </w:rPr>
            </w:pPr>
            <w:r>
              <w:rPr>
                <w:rFonts w:hint="eastAsia" w:ascii="宋体" w:hAnsi="宋体" w:cs="宋体"/>
                <w:szCs w:val="21"/>
              </w:rPr>
              <w:t>所属行业</w:t>
            </w:r>
          </w:p>
        </w:tc>
        <w:tc>
          <w:tcPr>
            <w:tcW w:w="4652" w:type="dxa"/>
            <w:tcBorders>
              <w:top w:val="single" w:color="auto" w:sz="4" w:space="0"/>
              <w:left w:val="single" w:color="auto" w:sz="4" w:space="0"/>
              <w:bottom w:val="single" w:color="auto" w:sz="4" w:space="0"/>
              <w:right w:val="single" w:color="auto" w:sz="4" w:space="0"/>
            </w:tcBorders>
            <w:vAlign w:val="center"/>
          </w:tcPr>
          <w:p w14:paraId="59F17447">
            <w:pPr>
              <w:jc w:val="center"/>
              <w:rPr>
                <w:rFonts w:ascii="宋体" w:hAnsi="宋体" w:cs="宋体"/>
                <w:szCs w:val="21"/>
              </w:rPr>
            </w:pPr>
            <w:r>
              <w:rPr>
                <w:rFonts w:hint="eastAsia" w:ascii="宋体" w:hAnsi="宋体" w:cs="宋体"/>
                <w:szCs w:val="21"/>
              </w:rPr>
              <w:t>货物参数</w:t>
            </w:r>
          </w:p>
        </w:tc>
        <w:tc>
          <w:tcPr>
            <w:tcW w:w="1050" w:type="dxa"/>
            <w:tcBorders>
              <w:top w:val="single" w:color="auto" w:sz="4" w:space="0"/>
              <w:left w:val="single" w:color="auto" w:sz="4" w:space="0"/>
              <w:bottom w:val="single" w:color="auto" w:sz="4" w:space="0"/>
              <w:right w:val="single" w:color="auto" w:sz="4" w:space="0"/>
            </w:tcBorders>
            <w:vAlign w:val="center"/>
          </w:tcPr>
          <w:p w14:paraId="0681159C">
            <w:pPr>
              <w:jc w:val="center"/>
              <w:rPr>
                <w:rFonts w:ascii="宋体" w:hAnsi="宋体" w:cs="宋体"/>
                <w:szCs w:val="21"/>
              </w:rPr>
            </w:pPr>
            <w:r>
              <w:rPr>
                <w:rFonts w:hint="eastAsia" w:ascii="宋体" w:hAnsi="宋体" w:cs="宋体"/>
                <w:szCs w:val="21"/>
              </w:rPr>
              <w:t>供应基准单价（元/公斤）</w:t>
            </w:r>
          </w:p>
        </w:tc>
      </w:tr>
      <w:tr w14:paraId="4C476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31" w:hRule="atLeast"/>
          <w:jc w:val="center"/>
        </w:trPr>
        <w:tc>
          <w:tcPr>
            <w:tcW w:w="479" w:type="dxa"/>
            <w:vMerge w:val="continue"/>
            <w:tcBorders>
              <w:left w:val="single" w:color="auto" w:sz="4" w:space="0"/>
              <w:right w:val="single" w:color="auto" w:sz="4" w:space="0"/>
            </w:tcBorders>
            <w:vAlign w:val="center"/>
          </w:tcPr>
          <w:p w14:paraId="0C55A43E">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06FADC0">
            <w:pPr>
              <w:jc w:val="center"/>
              <w:rPr>
                <w:rFonts w:ascii="宋体" w:hAnsi="宋体" w:cs="宋体"/>
                <w:szCs w:val="21"/>
              </w:rPr>
            </w:pPr>
            <w:r>
              <w:rPr>
                <w:rFonts w:hint="eastAsia" w:ascii="宋体" w:hAnsi="宋体" w:cs="宋体"/>
                <w:szCs w:val="21"/>
              </w:rPr>
              <w:t>1</w:t>
            </w:r>
          </w:p>
        </w:tc>
        <w:tc>
          <w:tcPr>
            <w:tcW w:w="931" w:type="dxa"/>
            <w:tcBorders>
              <w:top w:val="single" w:color="auto" w:sz="4" w:space="0"/>
              <w:left w:val="single" w:color="auto" w:sz="4" w:space="0"/>
              <w:bottom w:val="single" w:color="auto" w:sz="4" w:space="0"/>
              <w:right w:val="single" w:color="auto" w:sz="4" w:space="0"/>
            </w:tcBorders>
            <w:vAlign w:val="center"/>
          </w:tcPr>
          <w:p w14:paraId="0AB298DD">
            <w:pPr>
              <w:jc w:val="center"/>
              <w:rPr>
                <w:rFonts w:ascii="宋体" w:hAnsi="宋体" w:cs="宋体"/>
                <w:sz w:val="24"/>
              </w:rPr>
            </w:pPr>
            <w:r>
              <w:rPr>
                <w:rFonts w:hint="eastAsia"/>
              </w:rPr>
              <w:t>光鸡</w:t>
            </w:r>
          </w:p>
        </w:tc>
        <w:tc>
          <w:tcPr>
            <w:tcW w:w="745" w:type="dxa"/>
            <w:tcBorders>
              <w:top w:val="single" w:color="auto" w:sz="4" w:space="0"/>
              <w:left w:val="single" w:color="auto" w:sz="4" w:space="0"/>
              <w:bottom w:val="single" w:color="auto" w:sz="4" w:space="0"/>
              <w:right w:val="single" w:color="auto" w:sz="4" w:space="0"/>
            </w:tcBorders>
            <w:vAlign w:val="center"/>
          </w:tcPr>
          <w:p w14:paraId="115DDE53">
            <w:pPr>
              <w:jc w:val="center"/>
              <w:rPr>
                <w:rFonts w:ascii="宋体" w:hAnsi="宋体" w:cs="宋体"/>
                <w:sz w:val="24"/>
              </w:rP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18C24E4E">
            <w:pPr>
              <w:jc w:val="center"/>
            </w:pPr>
            <w:r>
              <w:t xml:space="preserve">55000.00 </w:t>
            </w:r>
          </w:p>
        </w:tc>
        <w:tc>
          <w:tcPr>
            <w:tcW w:w="712" w:type="dxa"/>
            <w:vMerge w:val="restart"/>
            <w:tcBorders>
              <w:top w:val="single" w:color="auto" w:sz="4" w:space="0"/>
              <w:left w:val="single" w:color="auto" w:sz="4" w:space="0"/>
              <w:right w:val="single" w:color="auto" w:sz="4" w:space="0"/>
            </w:tcBorders>
            <w:vAlign w:val="center"/>
          </w:tcPr>
          <w:p w14:paraId="2D7A382B">
            <w:pPr>
              <w:widowControl/>
              <w:jc w:val="center"/>
              <w:textAlignment w:val="center"/>
              <w:rPr>
                <w:rFonts w:ascii="宋体" w:hAnsi="宋体" w:cs="宋体"/>
                <w:kern w:val="0"/>
                <w:szCs w:val="21"/>
                <w:lang w:bidi="ar"/>
              </w:rPr>
            </w:pPr>
            <w:r>
              <w:rPr>
                <w:rFonts w:hint="eastAsia" w:ascii="宋体" w:hAnsi="宋体"/>
                <w:szCs w:val="21"/>
              </w:rPr>
              <w:t>批发业</w:t>
            </w:r>
          </w:p>
        </w:tc>
        <w:tc>
          <w:tcPr>
            <w:tcW w:w="4652" w:type="dxa"/>
            <w:vMerge w:val="restart"/>
            <w:tcBorders>
              <w:top w:val="single" w:color="auto" w:sz="4" w:space="0"/>
              <w:left w:val="single" w:color="auto" w:sz="4" w:space="0"/>
              <w:right w:val="single" w:color="auto" w:sz="4" w:space="0"/>
            </w:tcBorders>
            <w:vAlign w:val="center"/>
          </w:tcPr>
          <w:p w14:paraId="212EF630">
            <w:pPr>
              <w:tabs>
                <w:tab w:val="left" w:pos="534"/>
              </w:tabs>
              <w:spacing w:line="360" w:lineRule="auto"/>
              <w:ind w:leftChars="-72" w:hanging="151" w:hangingChars="72"/>
              <w:rPr>
                <w:rFonts w:ascii="宋体" w:hAnsi="宋体" w:cs="宋体"/>
              </w:rPr>
            </w:pPr>
            <w:r>
              <w:rPr>
                <w:rFonts w:hint="eastAsia" w:ascii="宋体" w:hAnsi="宋体" w:cs="宋体"/>
              </w:rPr>
              <w:t>▲1.肉品（光鸡、光鸭）必须有《动物产品检疫合格证明》及相应的验讫章；</w:t>
            </w:r>
          </w:p>
          <w:p w14:paraId="7EA140D8">
            <w:pPr>
              <w:tabs>
                <w:tab w:val="left" w:pos="534"/>
              </w:tabs>
              <w:spacing w:line="360" w:lineRule="auto"/>
              <w:ind w:leftChars="-72" w:hanging="151" w:hangingChars="72"/>
              <w:rPr>
                <w:rFonts w:ascii="宋体" w:hAnsi="宋体" w:cs="宋体"/>
              </w:rPr>
            </w:pPr>
            <w:r>
              <w:rPr>
                <w:rFonts w:hint="eastAsia" w:ascii="宋体" w:hAnsi="宋体" w:cs="宋体"/>
              </w:rPr>
              <w:t>▲2.符合国家GB18406.3-2001《农产品安全质量无公害畜禽肉安全要求》标准；</w:t>
            </w:r>
          </w:p>
          <w:p w14:paraId="542D7949">
            <w:pPr>
              <w:tabs>
                <w:tab w:val="left" w:pos="534"/>
              </w:tabs>
              <w:spacing w:line="360" w:lineRule="auto"/>
              <w:ind w:leftChars="-72" w:hanging="151" w:hangingChars="72"/>
              <w:rPr>
                <w:rFonts w:ascii="宋体" w:hAnsi="宋体" w:cs="宋体"/>
              </w:rPr>
            </w:pPr>
            <w:r>
              <w:rPr>
                <w:rFonts w:hint="eastAsia" w:ascii="宋体" w:hAnsi="宋体" w:cs="宋体"/>
              </w:rPr>
              <w:t>▲3.质量符合《中华人民共和国农产品质量安全法》 的要求；</w:t>
            </w:r>
          </w:p>
          <w:p w14:paraId="3122D8DE">
            <w:pPr>
              <w:tabs>
                <w:tab w:val="left" w:pos="534"/>
              </w:tabs>
              <w:spacing w:line="360" w:lineRule="auto"/>
              <w:ind w:leftChars="-72" w:hanging="151" w:hangingChars="72"/>
              <w:rPr>
                <w:rFonts w:ascii="宋体" w:hAnsi="宋体" w:cs="宋体"/>
              </w:rPr>
            </w:pPr>
            <w:r>
              <w:rPr>
                <w:rFonts w:hint="eastAsia" w:ascii="宋体" w:hAnsi="宋体" w:cs="宋体"/>
              </w:rPr>
              <w:t>▲4.光鸡、光鸭要求开膛（部位是肚子），外表干净无鸡毛、鸭毛，无肝、肺等内脏，无脚。无毒害，无腐烂、变质，无异味，无打水现象。宰杀时间不得超过6小时；</w:t>
            </w:r>
          </w:p>
          <w:p w14:paraId="4FD1B799">
            <w:pPr>
              <w:tabs>
                <w:tab w:val="left" w:pos="534"/>
              </w:tabs>
              <w:spacing w:line="360" w:lineRule="auto"/>
              <w:ind w:leftChars="-72" w:hanging="151" w:hangingChars="72"/>
              <w:rPr>
                <w:rFonts w:ascii="宋体" w:hAnsi="宋体" w:cs="宋体"/>
              </w:rPr>
            </w:pPr>
            <w:r>
              <w:rPr>
                <w:rFonts w:hint="eastAsia" w:ascii="宋体" w:hAnsi="宋体" w:cs="宋体"/>
              </w:rPr>
              <w:t>▲5.光鸡、光鸭1.5公斤以上/只；</w:t>
            </w:r>
          </w:p>
          <w:p w14:paraId="2105EA0C">
            <w:pPr>
              <w:tabs>
                <w:tab w:val="left" w:pos="534"/>
              </w:tabs>
              <w:spacing w:line="360" w:lineRule="auto"/>
              <w:ind w:leftChars="-72" w:hanging="151" w:hangingChars="72"/>
              <w:rPr>
                <w:rFonts w:ascii="宋体" w:hAnsi="宋体" w:cs="宋体"/>
              </w:rPr>
            </w:pPr>
            <w:r>
              <w:rPr>
                <w:rFonts w:hint="eastAsia" w:ascii="宋体" w:hAnsi="宋体" w:cs="宋体"/>
              </w:rPr>
              <w:t>▲6.本表中所列的采购数量均为暂估量，具体数量以食材供应期限内实际供应量结算。中标供应商不得因实际供应量与本表中暂估数量不一致提出异议。</w:t>
            </w:r>
          </w:p>
        </w:tc>
        <w:tc>
          <w:tcPr>
            <w:tcW w:w="1050" w:type="dxa"/>
            <w:tcBorders>
              <w:top w:val="single" w:color="auto" w:sz="4" w:space="0"/>
              <w:left w:val="single" w:color="auto" w:sz="4" w:space="0"/>
              <w:bottom w:val="single" w:color="auto" w:sz="4" w:space="0"/>
              <w:right w:val="single" w:color="auto" w:sz="4" w:space="0"/>
            </w:tcBorders>
            <w:vAlign w:val="center"/>
          </w:tcPr>
          <w:p w14:paraId="48FA9B37">
            <w:pPr>
              <w:widowControl/>
              <w:jc w:val="center"/>
            </w:pPr>
            <w:r>
              <w:rPr>
                <w:lang w:bidi="ar"/>
              </w:rPr>
              <w:t xml:space="preserve">24.00 </w:t>
            </w:r>
          </w:p>
        </w:tc>
      </w:tr>
      <w:tr w14:paraId="0A8EF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79" w:type="dxa"/>
            <w:vMerge w:val="continue"/>
            <w:tcBorders>
              <w:left w:val="single" w:color="auto" w:sz="4" w:space="0"/>
              <w:right w:val="single" w:color="auto" w:sz="4" w:space="0"/>
            </w:tcBorders>
            <w:vAlign w:val="center"/>
          </w:tcPr>
          <w:p w14:paraId="0BB49C11">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9011369">
            <w:pPr>
              <w:jc w:val="center"/>
              <w:rPr>
                <w:rFonts w:ascii="宋体" w:hAnsi="宋体" w:cs="宋体"/>
                <w:szCs w:val="21"/>
              </w:rPr>
            </w:pPr>
            <w:r>
              <w:rPr>
                <w:rFonts w:hint="eastAsia" w:ascii="宋体" w:hAnsi="宋体" w:cs="宋体"/>
                <w:szCs w:val="21"/>
              </w:rPr>
              <w:t>2</w:t>
            </w:r>
          </w:p>
        </w:tc>
        <w:tc>
          <w:tcPr>
            <w:tcW w:w="931" w:type="dxa"/>
            <w:tcBorders>
              <w:top w:val="single" w:color="auto" w:sz="4" w:space="0"/>
              <w:left w:val="single" w:color="auto" w:sz="4" w:space="0"/>
              <w:bottom w:val="single" w:color="auto" w:sz="4" w:space="0"/>
              <w:right w:val="single" w:color="auto" w:sz="4" w:space="0"/>
            </w:tcBorders>
            <w:vAlign w:val="center"/>
          </w:tcPr>
          <w:p w14:paraId="29E6F55A">
            <w:pPr>
              <w:jc w:val="center"/>
              <w:rPr>
                <w:rFonts w:ascii="宋体" w:hAnsi="宋体" w:cs="宋体"/>
                <w:sz w:val="24"/>
              </w:rPr>
            </w:pPr>
            <w:r>
              <w:rPr>
                <w:rFonts w:hint="eastAsia"/>
              </w:rPr>
              <w:t>光鸭</w:t>
            </w:r>
          </w:p>
        </w:tc>
        <w:tc>
          <w:tcPr>
            <w:tcW w:w="745" w:type="dxa"/>
            <w:tcBorders>
              <w:top w:val="single" w:color="auto" w:sz="4" w:space="0"/>
              <w:left w:val="single" w:color="auto" w:sz="4" w:space="0"/>
              <w:bottom w:val="single" w:color="auto" w:sz="4" w:space="0"/>
              <w:right w:val="single" w:color="auto" w:sz="4" w:space="0"/>
            </w:tcBorders>
            <w:vAlign w:val="center"/>
          </w:tcPr>
          <w:p w14:paraId="1447693E">
            <w:pPr>
              <w:jc w:val="center"/>
              <w:rPr>
                <w:rFonts w:ascii="宋体" w:hAnsi="宋体" w:cs="宋体"/>
                <w:sz w:val="24"/>
              </w:rP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36EDF033">
            <w:pPr>
              <w:jc w:val="center"/>
            </w:pPr>
            <w:r>
              <w:t xml:space="preserve">50000.00 </w:t>
            </w:r>
          </w:p>
        </w:tc>
        <w:tc>
          <w:tcPr>
            <w:tcW w:w="712" w:type="dxa"/>
            <w:vMerge w:val="continue"/>
            <w:tcBorders>
              <w:left w:val="single" w:color="auto" w:sz="4" w:space="0"/>
              <w:right w:val="single" w:color="auto" w:sz="4" w:space="0"/>
            </w:tcBorders>
            <w:vAlign w:val="center"/>
          </w:tcPr>
          <w:p w14:paraId="22D62659">
            <w:pPr>
              <w:spacing w:line="360" w:lineRule="auto"/>
              <w:jc w:val="center"/>
              <w:rPr>
                <w:rFonts w:ascii="宋体" w:hAnsi="宋体" w:cs="宋体"/>
              </w:rPr>
            </w:pPr>
          </w:p>
        </w:tc>
        <w:tc>
          <w:tcPr>
            <w:tcW w:w="4652" w:type="dxa"/>
            <w:vMerge w:val="continue"/>
            <w:tcBorders>
              <w:left w:val="single" w:color="auto" w:sz="4" w:space="0"/>
              <w:right w:val="single" w:color="auto" w:sz="4" w:space="0"/>
            </w:tcBorders>
            <w:vAlign w:val="center"/>
          </w:tcPr>
          <w:p w14:paraId="771B5431">
            <w:pPr>
              <w:spacing w:line="360" w:lineRule="auto"/>
              <w:rPr>
                <w:rFonts w:ascii="宋体" w:hAnsi="宋体" w:cs="宋体"/>
              </w:rPr>
            </w:pPr>
          </w:p>
        </w:tc>
        <w:tc>
          <w:tcPr>
            <w:tcW w:w="1050" w:type="dxa"/>
            <w:tcBorders>
              <w:top w:val="single" w:color="auto" w:sz="4" w:space="0"/>
              <w:left w:val="single" w:color="auto" w:sz="4" w:space="0"/>
              <w:bottom w:val="single" w:color="auto" w:sz="4" w:space="0"/>
              <w:right w:val="single" w:color="auto" w:sz="4" w:space="0"/>
            </w:tcBorders>
            <w:vAlign w:val="center"/>
          </w:tcPr>
          <w:p w14:paraId="06F8B6A8">
            <w:pPr>
              <w:widowControl/>
              <w:jc w:val="center"/>
            </w:pPr>
            <w:r>
              <w:rPr>
                <w:lang w:bidi="ar"/>
              </w:rPr>
              <w:t xml:space="preserve">21.00 </w:t>
            </w:r>
          </w:p>
        </w:tc>
      </w:tr>
      <w:tr w14:paraId="73ED3B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6" w:hRule="atLeast"/>
          <w:jc w:val="center"/>
        </w:trPr>
        <w:tc>
          <w:tcPr>
            <w:tcW w:w="479" w:type="dxa"/>
            <w:vMerge w:val="continue"/>
            <w:tcBorders>
              <w:left w:val="single" w:color="auto" w:sz="4" w:space="0"/>
              <w:right w:val="single" w:color="auto" w:sz="4" w:space="0"/>
            </w:tcBorders>
            <w:vAlign w:val="center"/>
          </w:tcPr>
          <w:p w14:paraId="7D83ACB3">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628C44B">
            <w:pPr>
              <w:jc w:val="center"/>
              <w:rPr>
                <w:rFonts w:ascii="宋体" w:hAnsi="宋体" w:cs="宋体"/>
                <w:szCs w:val="21"/>
              </w:rPr>
            </w:pPr>
            <w:r>
              <w:rPr>
                <w:rFonts w:hint="eastAsia" w:ascii="宋体" w:hAnsi="宋体" w:cs="宋体"/>
                <w:szCs w:val="21"/>
              </w:rPr>
              <w:t>3</w:t>
            </w:r>
          </w:p>
        </w:tc>
        <w:tc>
          <w:tcPr>
            <w:tcW w:w="931" w:type="dxa"/>
            <w:tcBorders>
              <w:top w:val="single" w:color="auto" w:sz="4" w:space="0"/>
              <w:left w:val="single" w:color="auto" w:sz="4" w:space="0"/>
              <w:bottom w:val="single" w:color="auto" w:sz="4" w:space="0"/>
              <w:right w:val="single" w:color="auto" w:sz="4" w:space="0"/>
            </w:tcBorders>
            <w:vAlign w:val="center"/>
          </w:tcPr>
          <w:p w14:paraId="525BD935">
            <w:pPr>
              <w:jc w:val="center"/>
              <w:rPr>
                <w:rFonts w:ascii="宋体" w:hAnsi="宋体" w:cs="宋体"/>
                <w:sz w:val="24"/>
              </w:rPr>
            </w:pPr>
            <w:r>
              <w:rPr>
                <w:rFonts w:hint="eastAsia"/>
              </w:rPr>
              <w:t>鲜鸡腿</w:t>
            </w:r>
          </w:p>
        </w:tc>
        <w:tc>
          <w:tcPr>
            <w:tcW w:w="745" w:type="dxa"/>
            <w:tcBorders>
              <w:top w:val="single" w:color="auto" w:sz="4" w:space="0"/>
              <w:left w:val="single" w:color="auto" w:sz="4" w:space="0"/>
              <w:bottom w:val="single" w:color="auto" w:sz="4" w:space="0"/>
              <w:right w:val="single" w:color="auto" w:sz="4" w:space="0"/>
            </w:tcBorders>
            <w:vAlign w:val="center"/>
          </w:tcPr>
          <w:p w14:paraId="26D1D755">
            <w:pPr>
              <w:jc w:val="center"/>
              <w:rPr>
                <w:rFonts w:ascii="宋体" w:hAnsi="宋体" w:cs="宋体"/>
                <w:sz w:val="24"/>
              </w:rP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2CFA4A57">
            <w:pPr>
              <w:jc w:val="center"/>
            </w:pPr>
            <w:r>
              <w:t xml:space="preserve">500.00 </w:t>
            </w:r>
          </w:p>
        </w:tc>
        <w:tc>
          <w:tcPr>
            <w:tcW w:w="712" w:type="dxa"/>
            <w:vMerge w:val="continue"/>
            <w:tcBorders>
              <w:left w:val="single" w:color="auto" w:sz="4" w:space="0"/>
              <w:right w:val="single" w:color="auto" w:sz="4" w:space="0"/>
            </w:tcBorders>
            <w:vAlign w:val="center"/>
          </w:tcPr>
          <w:p w14:paraId="53CE4B56">
            <w:pPr>
              <w:spacing w:line="360" w:lineRule="auto"/>
              <w:jc w:val="center"/>
              <w:rPr>
                <w:rFonts w:ascii="宋体" w:hAnsi="宋体" w:cs="宋体"/>
              </w:rPr>
            </w:pPr>
          </w:p>
        </w:tc>
        <w:tc>
          <w:tcPr>
            <w:tcW w:w="4652" w:type="dxa"/>
            <w:vMerge w:val="restart"/>
            <w:tcBorders>
              <w:top w:val="single" w:color="auto" w:sz="4" w:space="0"/>
              <w:left w:val="single" w:color="auto" w:sz="4" w:space="0"/>
              <w:right w:val="single" w:color="auto" w:sz="4" w:space="0"/>
            </w:tcBorders>
            <w:vAlign w:val="center"/>
          </w:tcPr>
          <w:p w14:paraId="63D0E636">
            <w:pPr>
              <w:spacing w:line="360" w:lineRule="auto"/>
              <w:rPr>
                <w:rFonts w:ascii="宋体" w:hAnsi="宋体" w:cs="宋体"/>
              </w:rPr>
            </w:pPr>
            <w:r>
              <w:rPr>
                <w:rFonts w:hint="eastAsia" w:ascii="宋体" w:hAnsi="宋体" w:cs="宋体"/>
              </w:rPr>
              <w:t>1.符合国家GB 20799-2016《食品安全国家标准肉和肉制品经营卫生规范》标准；                                                               2.质量符合我国《中华人民共和国食品安全法》和《中华人民共和国农产品质量安全法》的要求；                                                                3.鸡腿、鸭腿要求当天新鲜宰杀，无冰冻、外表干净无毛、无毒害，无腐烂、变质，无异味，无打水现象。</w:t>
            </w:r>
          </w:p>
          <w:p w14:paraId="103F1BB4">
            <w:pPr>
              <w:spacing w:line="360" w:lineRule="auto"/>
              <w:rPr>
                <w:rFonts w:ascii="宋体" w:hAnsi="宋体" w:cs="宋体"/>
              </w:rPr>
            </w:pPr>
            <w:r>
              <w:rPr>
                <w:rFonts w:hint="eastAsia" w:ascii="宋体" w:hAnsi="宋体" w:cs="宋体"/>
              </w:rPr>
              <w:t>▲4.本表中所列的采购数量均为暂估量，具体数量以食材供应期限内实际供应量结算。中标供应商不得因实际供应量与本表中暂估数量不一致提出异议。</w:t>
            </w:r>
          </w:p>
        </w:tc>
        <w:tc>
          <w:tcPr>
            <w:tcW w:w="1050" w:type="dxa"/>
            <w:tcBorders>
              <w:top w:val="single" w:color="auto" w:sz="4" w:space="0"/>
              <w:left w:val="single" w:color="auto" w:sz="4" w:space="0"/>
              <w:bottom w:val="single" w:color="auto" w:sz="4" w:space="0"/>
              <w:right w:val="single" w:color="auto" w:sz="4" w:space="0"/>
            </w:tcBorders>
            <w:vAlign w:val="center"/>
          </w:tcPr>
          <w:p w14:paraId="1E83C5E0">
            <w:pPr>
              <w:widowControl/>
              <w:jc w:val="center"/>
            </w:pPr>
            <w:r>
              <w:rPr>
                <w:lang w:bidi="ar"/>
              </w:rPr>
              <w:t xml:space="preserve">36.00 </w:t>
            </w:r>
          </w:p>
        </w:tc>
      </w:tr>
      <w:tr w14:paraId="37E37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6" w:hRule="atLeast"/>
          <w:jc w:val="center"/>
        </w:trPr>
        <w:tc>
          <w:tcPr>
            <w:tcW w:w="479" w:type="dxa"/>
            <w:vMerge w:val="continue"/>
            <w:tcBorders>
              <w:left w:val="single" w:color="auto" w:sz="4" w:space="0"/>
              <w:right w:val="single" w:color="auto" w:sz="4" w:space="0"/>
            </w:tcBorders>
            <w:vAlign w:val="center"/>
          </w:tcPr>
          <w:p w14:paraId="29F96BA6">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F91903C">
            <w:pPr>
              <w:jc w:val="center"/>
              <w:rPr>
                <w:rFonts w:ascii="宋体" w:hAnsi="宋体" w:cs="宋体"/>
                <w:szCs w:val="21"/>
              </w:rPr>
            </w:pPr>
            <w:r>
              <w:rPr>
                <w:rFonts w:hint="eastAsia" w:ascii="宋体" w:hAnsi="宋体" w:cs="宋体"/>
                <w:szCs w:val="21"/>
              </w:rPr>
              <w:t>4</w:t>
            </w:r>
          </w:p>
        </w:tc>
        <w:tc>
          <w:tcPr>
            <w:tcW w:w="931" w:type="dxa"/>
            <w:tcBorders>
              <w:top w:val="single" w:color="auto" w:sz="4" w:space="0"/>
              <w:left w:val="single" w:color="auto" w:sz="4" w:space="0"/>
              <w:bottom w:val="single" w:color="auto" w:sz="4" w:space="0"/>
              <w:right w:val="single" w:color="auto" w:sz="4" w:space="0"/>
            </w:tcBorders>
            <w:vAlign w:val="center"/>
          </w:tcPr>
          <w:p w14:paraId="1CFD307C">
            <w:pPr>
              <w:jc w:val="center"/>
              <w:rPr>
                <w:rFonts w:ascii="宋体" w:hAnsi="宋体" w:cs="宋体"/>
                <w:sz w:val="24"/>
              </w:rPr>
            </w:pPr>
            <w:r>
              <w:rPr>
                <w:rFonts w:hint="eastAsia"/>
              </w:rPr>
              <w:t>鲜鸭腿</w:t>
            </w:r>
          </w:p>
        </w:tc>
        <w:tc>
          <w:tcPr>
            <w:tcW w:w="745" w:type="dxa"/>
            <w:tcBorders>
              <w:top w:val="single" w:color="auto" w:sz="4" w:space="0"/>
              <w:left w:val="single" w:color="auto" w:sz="4" w:space="0"/>
              <w:bottom w:val="single" w:color="auto" w:sz="4" w:space="0"/>
              <w:right w:val="single" w:color="auto" w:sz="4" w:space="0"/>
            </w:tcBorders>
            <w:vAlign w:val="center"/>
          </w:tcPr>
          <w:p w14:paraId="204E26AE">
            <w:pPr>
              <w:jc w:val="center"/>
              <w:rPr>
                <w:rFonts w:ascii="宋体" w:hAnsi="宋体" w:cs="宋体"/>
                <w:sz w:val="24"/>
              </w:rP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03C54669">
            <w:pPr>
              <w:jc w:val="center"/>
            </w:pPr>
            <w:r>
              <w:t xml:space="preserve">500.00 </w:t>
            </w:r>
          </w:p>
        </w:tc>
        <w:tc>
          <w:tcPr>
            <w:tcW w:w="712" w:type="dxa"/>
            <w:vMerge w:val="continue"/>
            <w:tcBorders>
              <w:left w:val="single" w:color="auto" w:sz="4" w:space="0"/>
              <w:right w:val="single" w:color="auto" w:sz="4" w:space="0"/>
            </w:tcBorders>
            <w:vAlign w:val="center"/>
          </w:tcPr>
          <w:p w14:paraId="1DE3E3AD">
            <w:pPr>
              <w:widowControl/>
              <w:jc w:val="center"/>
              <w:textAlignment w:val="center"/>
              <w:rPr>
                <w:rFonts w:ascii="宋体" w:hAnsi="宋体" w:cs="宋体"/>
                <w:kern w:val="0"/>
                <w:szCs w:val="21"/>
                <w:lang w:bidi="ar"/>
              </w:rPr>
            </w:pPr>
          </w:p>
        </w:tc>
        <w:tc>
          <w:tcPr>
            <w:tcW w:w="4652" w:type="dxa"/>
            <w:vMerge w:val="continue"/>
            <w:tcBorders>
              <w:left w:val="single" w:color="auto" w:sz="4" w:space="0"/>
              <w:right w:val="single" w:color="auto" w:sz="4" w:space="0"/>
            </w:tcBorders>
            <w:vAlign w:val="center"/>
          </w:tcPr>
          <w:p w14:paraId="427CEAEE">
            <w:pPr>
              <w:widowControl/>
              <w:jc w:val="left"/>
              <w:textAlignment w:val="center"/>
              <w:rPr>
                <w:rFonts w:ascii="宋体" w:hAnsi="宋体" w:cs="宋体"/>
                <w:kern w:val="0"/>
                <w:szCs w:val="21"/>
                <w:lang w:bidi="ar"/>
              </w:rPr>
            </w:pPr>
          </w:p>
        </w:tc>
        <w:tc>
          <w:tcPr>
            <w:tcW w:w="1050" w:type="dxa"/>
            <w:tcBorders>
              <w:top w:val="single" w:color="auto" w:sz="4" w:space="0"/>
              <w:left w:val="single" w:color="auto" w:sz="4" w:space="0"/>
              <w:bottom w:val="single" w:color="auto" w:sz="4" w:space="0"/>
              <w:right w:val="single" w:color="auto" w:sz="4" w:space="0"/>
            </w:tcBorders>
            <w:vAlign w:val="center"/>
          </w:tcPr>
          <w:p w14:paraId="20B84C62">
            <w:pPr>
              <w:widowControl/>
              <w:jc w:val="center"/>
            </w:pPr>
            <w:r>
              <w:rPr>
                <w:lang w:bidi="ar"/>
              </w:rPr>
              <w:t xml:space="preserve">32.00 </w:t>
            </w:r>
          </w:p>
        </w:tc>
      </w:tr>
      <w:tr w14:paraId="2CCB4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479" w:type="dxa"/>
            <w:tcBorders>
              <w:top w:val="single" w:color="auto" w:sz="4" w:space="0"/>
              <w:left w:val="single" w:color="auto" w:sz="4" w:space="0"/>
              <w:bottom w:val="single" w:color="auto" w:sz="4" w:space="0"/>
              <w:right w:val="single" w:color="auto" w:sz="4" w:space="0"/>
            </w:tcBorders>
          </w:tcPr>
          <w:p w14:paraId="21B3C0A8">
            <w:pPr>
              <w:jc w:val="center"/>
              <w:rPr>
                <w:rFonts w:ascii="宋体" w:hAnsi="宋体"/>
                <w:szCs w:val="21"/>
              </w:rPr>
            </w:pPr>
          </w:p>
          <w:p w14:paraId="0EA96148">
            <w:pPr>
              <w:jc w:val="center"/>
              <w:rPr>
                <w:rFonts w:ascii="宋体" w:hAnsi="宋体"/>
                <w:szCs w:val="21"/>
              </w:rPr>
            </w:pPr>
          </w:p>
          <w:p w14:paraId="546E84FD">
            <w:pPr>
              <w:jc w:val="center"/>
              <w:rPr>
                <w:rFonts w:ascii="宋体" w:hAnsi="宋体"/>
                <w:szCs w:val="21"/>
              </w:rPr>
            </w:pPr>
            <w:r>
              <w:rPr>
                <w:rFonts w:hint="eastAsia" w:ascii="宋体" w:hAnsi="宋体"/>
                <w:szCs w:val="21"/>
              </w:rPr>
              <w:t>商务条款</w:t>
            </w:r>
          </w:p>
        </w:tc>
        <w:tc>
          <w:tcPr>
            <w:tcW w:w="9731" w:type="dxa"/>
            <w:gridSpan w:val="7"/>
            <w:tcBorders>
              <w:top w:val="single" w:color="auto" w:sz="4" w:space="0"/>
              <w:left w:val="single" w:color="auto" w:sz="4" w:space="0"/>
              <w:bottom w:val="single" w:color="auto" w:sz="4" w:space="0"/>
              <w:right w:val="single" w:color="auto" w:sz="4" w:space="0"/>
            </w:tcBorders>
          </w:tcPr>
          <w:p w14:paraId="28764602">
            <w:pPr>
              <w:numPr>
                <w:ilvl w:val="255"/>
                <w:numId w:val="0"/>
              </w:numPr>
              <w:spacing w:line="360" w:lineRule="auto"/>
              <w:rPr>
                <w:rFonts w:ascii="宋体" w:hAnsi="宋体" w:cs="宋体"/>
              </w:rPr>
            </w:pPr>
            <w:bookmarkStart w:id="142" w:name="OLE_LINK8"/>
            <w:r>
              <w:rPr>
                <w:rFonts w:hint="eastAsia" w:ascii="宋体" w:hAnsi="宋体" w:cs="宋体"/>
                <w:b/>
              </w:rPr>
              <w:t>一、合同签订期</w:t>
            </w:r>
            <w:r>
              <w:rPr>
                <w:rFonts w:hint="eastAsia" w:ascii="宋体" w:hAnsi="宋体" w:cs="宋体"/>
              </w:rPr>
              <w:t>：自中标通知书发出之日起25日内。</w:t>
            </w:r>
          </w:p>
          <w:p w14:paraId="3B4CBCEE">
            <w:pPr>
              <w:numPr>
                <w:ilvl w:val="255"/>
                <w:numId w:val="0"/>
              </w:numPr>
              <w:spacing w:line="360" w:lineRule="auto"/>
              <w:rPr>
                <w:rFonts w:ascii="宋体" w:hAnsi="宋体" w:cs="宋体"/>
                <w:b/>
                <w:bCs/>
              </w:rPr>
            </w:pPr>
            <w:r>
              <w:rPr>
                <w:rFonts w:hint="eastAsia" w:ascii="宋体" w:hAnsi="宋体" w:cs="宋体"/>
                <w:b/>
                <w:bCs/>
              </w:rPr>
              <w:t>二、交货要求</w:t>
            </w:r>
          </w:p>
          <w:p w14:paraId="7E90B439">
            <w:pPr>
              <w:spacing w:line="360" w:lineRule="auto"/>
              <w:rPr>
                <w:rFonts w:ascii="宋体" w:hAnsi="宋体" w:cs="宋体"/>
              </w:rPr>
            </w:pPr>
            <w:r>
              <w:rPr>
                <w:rFonts w:hint="eastAsia" w:ascii="宋体" w:hAnsi="宋体" w:cs="宋体"/>
              </w:rPr>
              <w:t>1.交货地点：</w:t>
            </w:r>
            <w:r>
              <w:rPr>
                <w:rFonts w:hint="eastAsia" w:ascii="宋体" w:hAnsi="宋体" w:cs="宋体"/>
                <w:szCs w:val="21"/>
              </w:rPr>
              <w:t>广西梧州市</w:t>
            </w:r>
            <w:r>
              <w:rPr>
                <w:rFonts w:hint="eastAsia" w:ascii="宋体" w:hAnsi="宋体" w:cs="宋体"/>
              </w:rPr>
              <w:t>采购人指定地点。</w:t>
            </w:r>
          </w:p>
          <w:p w14:paraId="0F80A0B4">
            <w:pPr>
              <w:spacing w:line="360" w:lineRule="auto"/>
              <w:rPr>
                <w:rFonts w:ascii="宋体" w:hAnsi="宋体" w:cs="宋体"/>
              </w:rPr>
            </w:pPr>
            <w:r>
              <w:rPr>
                <w:rFonts w:hint="eastAsia" w:ascii="宋体" w:hAnsi="宋体" w:cs="宋体"/>
              </w:rPr>
              <w:t>2.交货时间：</w:t>
            </w:r>
            <w:r>
              <w:rPr>
                <w:rFonts w:hint="eastAsia" w:ascii="宋体" w:hAnsi="宋体" w:cs="宋体"/>
                <w:szCs w:val="21"/>
              </w:rPr>
              <w:t>中标人向采购人供应食材为每天上午8:00前，确保一日一供，节假日正常供应，特殊情况双方协商确定。产品运输由中标人负责，运输及卸车费用由中标人承担</w:t>
            </w:r>
            <w:r>
              <w:rPr>
                <w:rFonts w:hint="eastAsia" w:ascii="宋体" w:hAnsi="宋体" w:cs="宋体"/>
              </w:rPr>
              <w:t>。</w:t>
            </w:r>
          </w:p>
          <w:p w14:paraId="0C9A7B7C">
            <w:pPr>
              <w:spacing w:line="360" w:lineRule="auto"/>
              <w:rPr>
                <w:rFonts w:ascii="宋体" w:hAnsi="宋体" w:cs="宋体"/>
              </w:rPr>
            </w:pPr>
            <w:r>
              <w:rPr>
                <w:rFonts w:hint="eastAsia" w:ascii="宋体" w:hAnsi="宋体" w:cs="宋体"/>
              </w:rPr>
              <w:t>3.交货方式：现场交货。</w:t>
            </w:r>
          </w:p>
          <w:p w14:paraId="77A65EF9">
            <w:pPr>
              <w:spacing w:line="360" w:lineRule="auto"/>
              <w:rPr>
                <w:rFonts w:ascii="宋体" w:hAnsi="宋体" w:cs="宋体"/>
              </w:rPr>
            </w:pPr>
            <w:r>
              <w:rPr>
                <w:rFonts w:hint="eastAsia" w:ascii="宋体" w:hAnsi="宋体" w:cs="宋体"/>
              </w:rPr>
              <w:t>4.合同履行期限：自合同签订之日起一年。</w:t>
            </w:r>
          </w:p>
          <w:p w14:paraId="63E427B5">
            <w:pPr>
              <w:numPr>
                <w:ilvl w:val="255"/>
                <w:numId w:val="0"/>
              </w:numPr>
              <w:spacing w:line="360" w:lineRule="auto"/>
              <w:rPr>
                <w:rFonts w:ascii="宋体" w:hAnsi="宋体" w:cs="宋体"/>
                <w:b/>
                <w:bCs/>
              </w:rPr>
            </w:pPr>
            <w:r>
              <w:rPr>
                <w:rFonts w:hint="eastAsia" w:ascii="宋体" w:hAnsi="宋体"/>
                <w:b/>
                <w:bCs/>
                <w:szCs w:val="21"/>
              </w:rPr>
              <w:t>三、质保期</w:t>
            </w:r>
          </w:p>
          <w:p w14:paraId="37B726C6">
            <w:pPr>
              <w:spacing w:line="360" w:lineRule="auto"/>
              <w:rPr>
                <w:rFonts w:ascii="宋体" w:hAnsi="宋体" w:cs="宋体"/>
                <w:b/>
                <w:bCs/>
              </w:rPr>
            </w:pPr>
            <w:r>
              <w:rPr>
                <w:rFonts w:hint="eastAsia" w:ascii="宋体" w:hAnsi="宋体" w:cs="Courier New"/>
                <w:szCs w:val="21"/>
              </w:rPr>
              <w:t>自每批次货物验收合格起计算，不少于24小时。</w:t>
            </w:r>
          </w:p>
          <w:p w14:paraId="0308EEE6">
            <w:pPr>
              <w:numPr>
                <w:ilvl w:val="255"/>
                <w:numId w:val="0"/>
              </w:numPr>
              <w:spacing w:line="360" w:lineRule="auto"/>
              <w:rPr>
                <w:rFonts w:ascii="宋体" w:hAnsi="宋体" w:cs="宋体"/>
                <w:b/>
                <w:bCs/>
              </w:rPr>
            </w:pPr>
            <w:r>
              <w:rPr>
                <w:rFonts w:hint="eastAsia" w:ascii="宋体" w:hAnsi="宋体" w:cs="宋体"/>
                <w:b/>
                <w:bCs/>
              </w:rPr>
              <w:t>四、供货要求</w:t>
            </w:r>
          </w:p>
          <w:p w14:paraId="0EDBF774">
            <w:pPr>
              <w:spacing w:line="360" w:lineRule="auto"/>
              <w:rPr>
                <w:rFonts w:ascii="宋体" w:hAnsi="宋体" w:cs="宋体"/>
              </w:rPr>
            </w:pPr>
            <w:r>
              <w:rPr>
                <w:rFonts w:hint="eastAsia" w:ascii="宋体" w:hAnsi="宋体" w:cs="宋体"/>
              </w:rPr>
              <w:t>1.一般供货要求：采购人根据实际需要，每天下午18时前列出一份第二天需要补充采购的食品请购清单，在收到采购人发出供货通知后，中标人最迟在次日上午8：00前提供当次物资。</w:t>
            </w:r>
          </w:p>
          <w:p w14:paraId="7BF2ABF6">
            <w:pPr>
              <w:spacing w:line="360" w:lineRule="auto"/>
              <w:rPr>
                <w:rFonts w:ascii="宋体" w:hAnsi="宋体" w:cs="宋体"/>
              </w:rPr>
            </w:pPr>
            <w:r>
              <w:rPr>
                <w:rFonts w:hint="eastAsia" w:ascii="宋体" w:hAnsi="宋体" w:cs="宋体"/>
              </w:rPr>
              <w:t>2.紧急供货要求：有紧急供货需求时，中标人在收到采购人发出紧急供货通知后，中标人最迟1小时内完成当次现场供货。</w:t>
            </w:r>
          </w:p>
          <w:p w14:paraId="517B9C11">
            <w:pPr>
              <w:spacing w:line="360" w:lineRule="auto"/>
              <w:rPr>
                <w:rFonts w:ascii="宋体" w:hAnsi="宋体" w:cs="宋体"/>
              </w:rPr>
            </w:pPr>
            <w:r>
              <w:rPr>
                <w:rFonts w:hint="eastAsia" w:ascii="宋体" w:hAnsi="宋体" w:cs="宋体"/>
              </w:rPr>
              <w:t>3.中标人不能满足供货要求时，应提前1个月通知采购人，采购人同意后方可终止合同。</w:t>
            </w:r>
          </w:p>
          <w:p w14:paraId="3B3F8670">
            <w:pPr>
              <w:spacing w:line="360" w:lineRule="auto"/>
              <w:rPr>
                <w:rFonts w:ascii="宋体" w:hAnsi="宋体" w:cs="宋体"/>
              </w:rPr>
            </w:pPr>
            <w:r>
              <w:rPr>
                <w:rFonts w:hint="eastAsia" w:ascii="宋体" w:hAnsi="宋体" w:cs="宋体"/>
              </w:rPr>
              <w:t>4.中标人提供的产品必须是经过质量监督管理部门检验，取得合格证明的产品，必须具有</w:t>
            </w:r>
            <w:r>
              <w:rPr>
                <w:rFonts w:hint="eastAsia" w:ascii="宋体" w:hAnsi="宋体" w:cs="宋体"/>
                <w:kern w:val="0"/>
                <w:szCs w:val="21"/>
              </w:rPr>
              <w:t>《</w:t>
            </w:r>
            <w:r>
              <w:rPr>
                <w:rFonts w:hint="eastAsia" w:ascii="宋体" w:hAnsi="宋体" w:cs="宋体"/>
              </w:rPr>
              <w:t>动物产品检疫合格证明》。严禁提供腐烂变质、污秽不洁、注水、含有毒、有害物质或对人体健康有害的食品等。</w:t>
            </w:r>
          </w:p>
          <w:p w14:paraId="3A0F3005">
            <w:pPr>
              <w:spacing w:line="360" w:lineRule="auto"/>
              <w:rPr>
                <w:rFonts w:ascii="宋体" w:hAnsi="宋体" w:cs="宋体"/>
              </w:rPr>
            </w:pPr>
            <w:r>
              <w:rPr>
                <w:rFonts w:hint="eastAsia" w:ascii="宋体" w:hAnsi="宋体" w:cs="宋体"/>
              </w:rPr>
              <w:t>5.需要切砍的货物须由中标人负责切砍后交货。</w:t>
            </w:r>
          </w:p>
          <w:p w14:paraId="5F65F994">
            <w:pPr>
              <w:spacing w:line="360" w:lineRule="auto"/>
              <w:rPr>
                <w:rFonts w:ascii="宋体" w:hAnsi="宋体" w:cs="宋体"/>
              </w:rPr>
            </w:pPr>
            <w:r>
              <w:rPr>
                <w:rFonts w:hint="eastAsia" w:ascii="宋体" w:hAnsi="宋体" w:cs="宋体"/>
              </w:rPr>
              <w:t>6.配送供应服务内容及要求详见附件一《配送供应内容及要求》。</w:t>
            </w:r>
          </w:p>
          <w:p w14:paraId="1590FEB2">
            <w:pPr>
              <w:numPr>
                <w:ilvl w:val="255"/>
                <w:numId w:val="0"/>
              </w:numPr>
              <w:spacing w:line="360" w:lineRule="auto"/>
              <w:rPr>
                <w:rFonts w:ascii="宋体" w:hAnsi="宋体" w:cs="宋体"/>
                <w:b/>
                <w:bCs/>
              </w:rPr>
            </w:pPr>
            <w:r>
              <w:rPr>
                <w:rFonts w:hint="eastAsia" w:ascii="宋体" w:hAnsi="宋体"/>
                <w:b/>
                <w:bCs/>
                <w:szCs w:val="21"/>
              </w:rPr>
              <w:t>五、售后服务要求</w:t>
            </w:r>
          </w:p>
          <w:p w14:paraId="55DD43BB">
            <w:pPr>
              <w:spacing w:line="360" w:lineRule="auto"/>
              <w:rPr>
                <w:rFonts w:ascii="宋体" w:hAnsi="宋体" w:cs="宋体"/>
              </w:rPr>
            </w:pPr>
            <w:r>
              <w:rPr>
                <w:rFonts w:hint="eastAsia" w:ascii="宋体" w:hAnsi="宋体" w:cs="宋体"/>
              </w:rPr>
              <w:t>1.中标人负责货物的供应、包装、运输、装卸、交货，以及途中冷链和售后服务等工作。</w:t>
            </w:r>
          </w:p>
          <w:p w14:paraId="4056D2DE">
            <w:pPr>
              <w:spacing w:line="360" w:lineRule="auto"/>
              <w:rPr>
                <w:rFonts w:ascii="宋体" w:hAnsi="宋体" w:cs="宋体"/>
              </w:rPr>
            </w:pPr>
            <w:r>
              <w:rPr>
                <w:rFonts w:hint="eastAsia" w:ascii="宋体" w:hAnsi="宋体" w:cs="宋体"/>
              </w:rPr>
              <w:t>2.保质保量，如在质保期内发现质量问题，中标人必须在接到采购人通知后1小时内响应并处理，如属质量问题的及时给予更换；</w:t>
            </w:r>
          </w:p>
          <w:p w14:paraId="3385FFF8">
            <w:pPr>
              <w:spacing w:line="360" w:lineRule="auto"/>
              <w:rPr>
                <w:rFonts w:ascii="宋体" w:hAnsi="宋体" w:cs="宋体"/>
              </w:rPr>
            </w:pPr>
            <w:r>
              <w:rPr>
                <w:rFonts w:hint="eastAsia" w:ascii="宋体" w:hAnsi="宋体" w:cs="宋体"/>
              </w:rPr>
              <w:t>3.投标人必须在投标文件中提供具体的“售后服务承诺书”；</w:t>
            </w:r>
          </w:p>
          <w:p w14:paraId="6B5BCE5E">
            <w:pPr>
              <w:spacing w:line="360" w:lineRule="auto"/>
              <w:rPr>
                <w:rFonts w:ascii="宋体" w:hAnsi="宋体" w:cs="宋体"/>
              </w:rPr>
            </w:pPr>
            <w:r>
              <w:rPr>
                <w:rFonts w:hint="eastAsia" w:ascii="宋体" w:hAnsi="宋体" w:cs="宋体"/>
              </w:rPr>
              <w:t>4.中标人必须严格按采购单位需要的数量和时间供货。</w:t>
            </w:r>
          </w:p>
          <w:p w14:paraId="6F667560">
            <w:pPr>
              <w:numPr>
                <w:ilvl w:val="255"/>
                <w:numId w:val="0"/>
              </w:numPr>
              <w:spacing w:line="360" w:lineRule="auto"/>
              <w:rPr>
                <w:rFonts w:ascii="宋体" w:hAnsi="宋体" w:cs="宋体"/>
                <w:b/>
                <w:bCs/>
              </w:rPr>
            </w:pPr>
            <w:r>
              <w:rPr>
                <w:rFonts w:hint="eastAsia" w:ascii="宋体" w:hAnsi="宋体" w:cs="宋体"/>
                <w:b/>
                <w:bCs/>
              </w:rPr>
              <w:t>六、验收方法</w:t>
            </w:r>
          </w:p>
          <w:p w14:paraId="720524B6">
            <w:pPr>
              <w:spacing w:line="360" w:lineRule="auto"/>
              <w:rPr>
                <w:rFonts w:ascii="宋体" w:hAnsi="宋体" w:cs="宋体"/>
              </w:rPr>
            </w:pPr>
            <w:r>
              <w:rPr>
                <w:rFonts w:hint="eastAsia" w:ascii="宋体" w:hAnsi="宋体" w:cs="宋体"/>
              </w:rPr>
              <w:t>1.货物的验收工作由采购人和</w:t>
            </w:r>
            <w:bookmarkStart w:id="143" w:name="OLE_LINK5"/>
            <w:r>
              <w:rPr>
                <w:rFonts w:hint="eastAsia" w:ascii="宋体" w:hAnsi="宋体" w:cs="宋体"/>
              </w:rPr>
              <w:t>中标人</w:t>
            </w:r>
            <w:bookmarkEnd w:id="143"/>
            <w:r>
              <w:rPr>
                <w:rFonts w:hint="eastAsia" w:ascii="宋体" w:hAnsi="宋体" w:cs="宋体"/>
              </w:rPr>
              <w:t>共同进行。中标人提供的产品须经过采购人的感官检验、外观检验，若产品外观、包装、形式、质量不符合要求或感官检验不能达到食品卫生要求，当即拒收；中标人不能满足食品的质、量及售后服务要求时，采购人有权进行处罚或终止合同。</w:t>
            </w:r>
          </w:p>
          <w:p w14:paraId="145A73BA">
            <w:pPr>
              <w:spacing w:line="360" w:lineRule="auto"/>
              <w:rPr>
                <w:rFonts w:ascii="宋体" w:hAnsi="宋体" w:cs="宋体"/>
              </w:rPr>
            </w:pPr>
            <w:r>
              <w:rPr>
                <w:rFonts w:hint="eastAsia" w:ascii="宋体" w:hAnsi="宋体" w:cs="宋体"/>
              </w:rPr>
              <w:t>2.验收工作的一般程序为：根据供货清单的具体要求，对所购物料进行清点、外观检查以及对物料的各项指标和性能进行实测，并逐项记录。检测结束后，验收人员在验收单上签字。对未能通过验收的，一律退货、更换直至验收合格。</w:t>
            </w:r>
          </w:p>
          <w:p w14:paraId="6E246964">
            <w:pPr>
              <w:numPr>
                <w:ilvl w:val="255"/>
                <w:numId w:val="0"/>
              </w:numPr>
              <w:spacing w:line="360" w:lineRule="auto"/>
              <w:rPr>
                <w:rFonts w:ascii="宋体" w:hAnsi="宋体" w:cs="宋体"/>
              </w:rPr>
            </w:pPr>
            <w:r>
              <w:rPr>
                <w:rFonts w:hint="eastAsia" w:ascii="宋体" w:hAnsi="宋体" w:cs="宋体"/>
                <w:b/>
                <w:bCs/>
              </w:rPr>
              <w:t>七、结算方式</w:t>
            </w:r>
          </w:p>
          <w:p w14:paraId="66E7431B">
            <w:pPr>
              <w:spacing w:line="360" w:lineRule="auto"/>
              <w:jc w:val="left"/>
              <w:rPr>
                <w:rFonts w:ascii="宋体" w:hAnsi="宋体" w:cs="宋体"/>
              </w:rPr>
            </w:pPr>
            <w:r>
              <w:rPr>
                <w:rFonts w:hint="eastAsia" w:ascii="宋体" w:hAnsi="宋体" w:cs="宋体"/>
              </w:rPr>
              <w:t>(1)本项目采用先供货后对账再结算方式。</w:t>
            </w:r>
          </w:p>
          <w:p w14:paraId="3ECBF21D">
            <w:pPr>
              <w:spacing w:line="360" w:lineRule="auto"/>
              <w:jc w:val="left"/>
              <w:rPr>
                <w:rFonts w:ascii="宋体" w:hAnsi="宋体" w:cs="宋体"/>
              </w:rPr>
            </w:pPr>
            <w:r>
              <w:rPr>
                <w:rFonts w:hint="eastAsia" w:ascii="宋体" w:hAnsi="宋体" w:cs="宋体"/>
              </w:rPr>
              <w:t>(2)食材价格调动机制：自合同生效之日起三个月后，如果市场价格出现10%以上波动的，由中标供应商或采购人生活卫生部门提出调价申请，由采购人面向市场主体选择不少于3家具有代表性的调查对象（从以下市场或超市中随机抽取三家：梧州市龙圩区大圆塘市场、梧州市新兴市场、梧州市大塘市场、梧州市龙圩区龙人超市、梧州市沃尔玛超市、梧州市大润发超市）开展市场价格调查或送审计造价公司审定，以市场调查的最低价格或审定价乘以95%后作为下月的基准单价（特价商品除外），拟定调整价格经采购人工作小组复核，报采购人单位党委审定，方可调整价格。原则上每三个月复核一次采购价格。投标人应充分考虑到供货期间物品供应基准单价上涨的风险（如有新的价格调动机制文件，按新的文件规定执行）。在调价申请未得到批复前，供应商必须按现行价格供货，否则视为单方违约，同时按违约进行处理。</w:t>
            </w:r>
          </w:p>
          <w:p w14:paraId="782DB890">
            <w:pPr>
              <w:spacing w:line="360" w:lineRule="auto"/>
              <w:rPr>
                <w:rFonts w:ascii="宋体" w:hAnsi="宋体" w:cs="宋体"/>
                <w:b/>
                <w:bCs/>
              </w:rPr>
            </w:pPr>
            <w:r>
              <w:rPr>
                <w:rFonts w:hint="eastAsia" w:ascii="宋体" w:hAnsi="宋体" w:cs="宋体"/>
                <w:szCs w:val="21"/>
              </w:rPr>
              <w:t>(3)食材供货期内，某一食材供应价款实际结算方式为：实际食材结算金额=供应基准单价×实际采购数量×中标折扣系数(%)。</w:t>
            </w:r>
          </w:p>
          <w:p w14:paraId="362B658D">
            <w:pPr>
              <w:numPr>
                <w:ilvl w:val="255"/>
                <w:numId w:val="0"/>
              </w:numPr>
              <w:spacing w:line="360" w:lineRule="auto"/>
              <w:rPr>
                <w:rFonts w:ascii="宋体" w:hAnsi="宋体" w:cs="宋体"/>
                <w:b/>
                <w:bCs/>
              </w:rPr>
            </w:pPr>
            <w:r>
              <w:rPr>
                <w:rFonts w:hint="eastAsia" w:ascii="宋体" w:hAnsi="宋体" w:cs="宋体"/>
                <w:b/>
                <w:bCs/>
              </w:rPr>
              <w:t>八、其他要求</w:t>
            </w:r>
          </w:p>
          <w:p w14:paraId="7D96D51D">
            <w:pPr>
              <w:spacing w:line="360" w:lineRule="auto"/>
              <w:rPr>
                <w:rFonts w:ascii="宋体" w:hAnsi="宋体" w:cs="宋体"/>
              </w:rPr>
            </w:pPr>
            <w:r>
              <w:rPr>
                <w:rFonts w:hint="eastAsia" w:ascii="宋体" w:hAnsi="宋体" w:cs="宋体"/>
              </w:rPr>
              <w:t>1.中标人必须遵守采购人有关管理规定，否则采购人有权终止合同。</w:t>
            </w:r>
          </w:p>
          <w:p w14:paraId="4119AB9F">
            <w:pPr>
              <w:spacing w:line="360" w:lineRule="auto"/>
              <w:rPr>
                <w:rFonts w:ascii="宋体" w:hAnsi="宋体" w:cs="宋体"/>
              </w:rPr>
            </w:pPr>
            <w:r>
              <w:rPr>
                <w:rFonts w:hint="eastAsia" w:ascii="宋体" w:hAnsi="宋体" w:cs="宋体"/>
              </w:rPr>
              <w:t>2.配送人员必须办理健康证，针对各分标投标文件中提供2名以上员工的健康证明、</w:t>
            </w:r>
            <w:r>
              <w:rPr>
                <w:rFonts w:hint="eastAsia" w:ascii="宋体" w:hAnsi="宋体" w:cs="宋体"/>
                <w:bCs/>
                <w:kern w:val="0"/>
                <w:szCs w:val="21"/>
              </w:rPr>
              <w:t>提供无犯罪证明材料</w:t>
            </w:r>
            <w:r>
              <w:rPr>
                <w:rFonts w:hint="eastAsia" w:ascii="宋体" w:hAnsi="宋体" w:cs="宋体"/>
              </w:rPr>
              <w:t>。如临时非固定人员送货，须取得采购人同意。</w:t>
            </w:r>
          </w:p>
          <w:p w14:paraId="4E948473">
            <w:pPr>
              <w:spacing w:line="360" w:lineRule="auto"/>
              <w:rPr>
                <w:rFonts w:ascii="宋体" w:hAnsi="宋体" w:cs="宋体"/>
              </w:rPr>
            </w:pPr>
            <w:r>
              <w:rPr>
                <w:rFonts w:hint="eastAsia" w:ascii="宋体" w:hAnsi="宋体" w:cs="宋体"/>
              </w:rPr>
              <w:t>3.投标人针对各分标必须拥有专用配送车辆（投标文件中提供如下证明资料：驾驶证、行驶证、车辆≥1辆、车辆照片），车厢内干净、整洁且能按采购人规定的时间及地点一次完成该批次货物的供应。</w:t>
            </w:r>
          </w:p>
          <w:p w14:paraId="0EEEE40F">
            <w:pPr>
              <w:spacing w:line="360" w:lineRule="auto"/>
              <w:rPr>
                <w:rFonts w:ascii="宋体" w:hAnsi="宋体" w:cs="宋体"/>
              </w:rPr>
            </w:pPr>
            <w:r>
              <w:rPr>
                <w:rFonts w:hint="eastAsia" w:ascii="宋体" w:hAnsi="宋体" w:cs="宋体"/>
              </w:rPr>
              <w:t>4.</w:t>
            </w:r>
            <w:bookmarkStart w:id="144" w:name="OLE_LINK37"/>
            <w:r>
              <w:rPr>
                <w:rFonts w:hint="eastAsia" w:ascii="宋体" w:hAnsi="宋体" w:cs="宋体"/>
                <w:b/>
              </w:rPr>
              <w:t>本项目采购需求中的要求均为实质性要求，投标人必须满足或优于，否则按投标无效处理</w:t>
            </w:r>
            <w:r>
              <w:rPr>
                <w:rFonts w:hint="eastAsia" w:ascii="宋体" w:hAnsi="宋体" w:cs="宋体"/>
              </w:rPr>
              <w:t>。</w:t>
            </w:r>
            <w:bookmarkEnd w:id="144"/>
            <w:r>
              <w:rPr>
                <w:rFonts w:hint="eastAsia" w:ascii="宋体" w:hAnsi="宋体" w:cs="宋体"/>
              </w:rPr>
              <w:t>实际数量为采购人根据实际需要；中标人不得因实际供应量提出异议。</w:t>
            </w:r>
          </w:p>
          <w:p w14:paraId="7D90B762">
            <w:pPr>
              <w:numPr>
                <w:ilvl w:val="255"/>
                <w:numId w:val="0"/>
              </w:numPr>
              <w:spacing w:line="360" w:lineRule="auto"/>
              <w:rPr>
                <w:rFonts w:ascii="宋体" w:hAnsi="宋体" w:cs="宋体"/>
                <w:b/>
                <w:bCs/>
              </w:rPr>
            </w:pPr>
            <w:r>
              <w:rPr>
                <w:rFonts w:hint="eastAsia" w:ascii="宋体" w:hAnsi="宋体" w:cs="宋体"/>
                <w:b/>
                <w:bCs/>
              </w:rPr>
              <w:t>九、安全责任</w:t>
            </w:r>
          </w:p>
          <w:p w14:paraId="2EB3AA10">
            <w:pPr>
              <w:spacing w:line="360" w:lineRule="auto"/>
              <w:rPr>
                <w:rFonts w:ascii="宋体" w:hAnsi="宋体" w:cs="宋体"/>
              </w:rPr>
            </w:pPr>
            <w:r>
              <w:rPr>
                <w:rFonts w:hint="eastAsia" w:ascii="宋体" w:hAnsi="宋体" w:cs="宋体"/>
              </w:rPr>
              <w:t>1.采购人有权随时对产品进行抽样送检，检测费用由中标人承担。中标人必须依法接受质量技术监督、卫生、市场监督管理局等职能部门的监督管理，并接受、配合相关职能部门的检测。因产品卫生和质量不合格而发生安全事故，</w:t>
            </w:r>
            <w:bookmarkStart w:id="145" w:name="OLE_LINK6"/>
            <w:r>
              <w:rPr>
                <w:rFonts w:hint="eastAsia" w:ascii="宋体" w:hAnsi="宋体" w:cs="宋体"/>
              </w:rPr>
              <w:t>中标人</w:t>
            </w:r>
            <w:bookmarkEnd w:id="145"/>
            <w:r>
              <w:rPr>
                <w:rFonts w:hint="eastAsia" w:ascii="宋体" w:hAnsi="宋体" w:cs="宋体"/>
              </w:rPr>
              <w:t>无条件承担全部责任，有关职能部门依法追究其责任，并取消中标人配送资格。</w:t>
            </w:r>
          </w:p>
          <w:p w14:paraId="692A9589">
            <w:pPr>
              <w:spacing w:line="360" w:lineRule="auto"/>
              <w:rPr>
                <w:rFonts w:ascii="宋体" w:hAnsi="宋体" w:cs="宋体"/>
              </w:rPr>
            </w:pPr>
            <w:r>
              <w:rPr>
                <w:rFonts w:hint="eastAsia" w:ascii="宋体" w:hAnsi="宋体" w:cs="宋体"/>
              </w:rPr>
              <w:t>2.中标人应严格遵守《中华人民共和国食品安全法》等相关规定，所提供的产品是合格安全的产品，一经发现供应以下食品，采购人除全部退货外，有权可取消中标人配送资格，没收全部履约保证金，中标人并承担由此造成的经济责任和法律责任。</w:t>
            </w:r>
          </w:p>
          <w:p w14:paraId="7B43E55D">
            <w:pPr>
              <w:spacing w:line="360" w:lineRule="auto"/>
              <w:rPr>
                <w:rFonts w:ascii="宋体" w:hAnsi="宋体" w:cs="宋体"/>
              </w:rPr>
            </w:pPr>
            <w:r>
              <w:rPr>
                <w:rFonts w:hint="eastAsia" w:ascii="宋体" w:hAnsi="宋体" w:cs="宋体"/>
              </w:rPr>
              <w:t>①腐败变质、油脂酸败、霉变、生虫、污秽不洁、混有异物或者其他感官性状异常，对人体健康有害的；</w:t>
            </w:r>
          </w:p>
          <w:p w14:paraId="6A3C6CCF">
            <w:pPr>
              <w:spacing w:line="360" w:lineRule="auto"/>
              <w:rPr>
                <w:rFonts w:ascii="宋体" w:hAnsi="宋体" w:cs="宋体"/>
              </w:rPr>
            </w:pPr>
            <w:r>
              <w:rPr>
                <w:rFonts w:hint="eastAsia" w:ascii="宋体" w:hAnsi="宋体" w:cs="宋体"/>
              </w:rPr>
              <w:t>②含有毒、有害物质或者被有害物质污染，对人体健康有害的；</w:t>
            </w:r>
          </w:p>
          <w:p w14:paraId="55503822">
            <w:pPr>
              <w:spacing w:line="360" w:lineRule="auto"/>
              <w:rPr>
                <w:rFonts w:ascii="宋体" w:hAnsi="宋体" w:cs="宋体"/>
              </w:rPr>
            </w:pPr>
            <w:r>
              <w:rPr>
                <w:rFonts w:hint="eastAsia" w:ascii="宋体" w:hAnsi="宋体" w:cs="宋体"/>
              </w:rPr>
              <w:t>③含有致病性寄生虫、微生物或者微生物含量超过国家限定标准的；</w:t>
            </w:r>
          </w:p>
          <w:p w14:paraId="620102CF">
            <w:pPr>
              <w:spacing w:line="360" w:lineRule="auto"/>
              <w:rPr>
                <w:rFonts w:ascii="宋体" w:hAnsi="宋体" w:cs="宋体"/>
              </w:rPr>
            </w:pPr>
            <w:r>
              <w:rPr>
                <w:rFonts w:hint="eastAsia" w:ascii="宋体" w:hAnsi="宋体" w:cs="宋体"/>
              </w:rPr>
              <w:t>④掺假、掺杂、伪造，影响营养、卫生的；</w:t>
            </w:r>
          </w:p>
          <w:p w14:paraId="06D5F08F">
            <w:pPr>
              <w:spacing w:line="360" w:lineRule="auto"/>
              <w:rPr>
                <w:rFonts w:ascii="宋体" w:hAnsi="宋体" w:cs="宋体"/>
              </w:rPr>
            </w:pPr>
            <w:r>
              <w:rPr>
                <w:rFonts w:hint="eastAsia" w:ascii="宋体" w:hAnsi="宋体" w:cs="宋体"/>
              </w:rPr>
              <w:t>⑤用非食品原料加工的，加入非食品用化学物质或者将非食品当作食品的；</w:t>
            </w:r>
          </w:p>
          <w:p w14:paraId="447DE6D5">
            <w:pPr>
              <w:spacing w:line="360" w:lineRule="auto"/>
              <w:rPr>
                <w:rFonts w:ascii="宋体" w:hAnsi="宋体" w:cs="宋体"/>
              </w:rPr>
            </w:pPr>
            <w:r>
              <w:rPr>
                <w:rFonts w:hint="eastAsia" w:ascii="宋体" w:hAnsi="宋体" w:cs="宋体"/>
              </w:rPr>
              <w:t>⑥超过保质期限的。</w:t>
            </w:r>
          </w:p>
          <w:p w14:paraId="2B9AD69C">
            <w:pPr>
              <w:spacing w:line="360" w:lineRule="auto"/>
              <w:rPr>
                <w:rFonts w:ascii="宋体" w:hAnsi="宋体" w:cs="宋体"/>
              </w:rPr>
            </w:pPr>
            <w:r>
              <w:rPr>
                <w:rFonts w:hint="eastAsia" w:ascii="宋体" w:hAnsi="宋体" w:cs="宋体"/>
              </w:rPr>
              <w:t>⑦病死、毒死或者死因不明的禽、畜、兽动物等及其制品；</w:t>
            </w:r>
          </w:p>
          <w:p w14:paraId="246C4AE9">
            <w:pPr>
              <w:spacing w:line="360" w:lineRule="auto"/>
            </w:pPr>
            <w:r>
              <w:rPr>
                <w:rFonts w:hint="eastAsia" w:ascii="宋体" w:hAnsi="宋体" w:cs="宋体"/>
              </w:rPr>
              <w:t>⑧</w:t>
            </w:r>
            <w:r>
              <w:rPr>
                <w:rFonts w:hint="eastAsia"/>
              </w:rPr>
              <w:t>食材没有合法供货来源的；</w:t>
            </w:r>
          </w:p>
          <w:p w14:paraId="12C6B035">
            <w:pPr>
              <w:spacing w:line="360" w:lineRule="auto"/>
              <w:rPr>
                <w:rFonts w:ascii="宋体" w:hAnsi="宋体" w:cs="宋体"/>
              </w:rPr>
            </w:pPr>
            <w:r>
              <w:rPr>
                <w:rFonts w:hint="eastAsia" w:ascii="宋体" w:hAnsi="宋体" w:cs="宋体"/>
                <w:szCs w:val="21"/>
              </w:rPr>
              <w:t>⑨</w:t>
            </w:r>
            <w:r>
              <w:rPr>
                <w:rFonts w:hint="eastAsia" w:ascii="宋体" w:hAnsi="宋体"/>
                <w:szCs w:val="21"/>
              </w:rPr>
              <w:t>未经检疫部门检疫、检验或者检疫、检验不合格的；</w:t>
            </w:r>
          </w:p>
          <w:p w14:paraId="5A16DC7E">
            <w:pPr>
              <w:spacing w:line="360" w:lineRule="auto"/>
              <w:rPr>
                <w:rFonts w:ascii="宋体" w:hAnsi="宋体" w:cs="宋体"/>
              </w:rPr>
            </w:pPr>
            <w:r>
              <w:rPr>
                <w:rFonts w:hint="eastAsia" w:ascii="宋体" w:hAnsi="宋体" w:cs="宋体"/>
              </w:rPr>
              <w:t>⑩其他不符合食品卫生标准的情形。</w:t>
            </w:r>
          </w:p>
          <w:p w14:paraId="72200949">
            <w:pPr>
              <w:spacing w:line="360" w:lineRule="auto"/>
              <w:rPr>
                <w:rFonts w:ascii="宋体" w:hAnsi="宋体" w:cs="宋体"/>
              </w:rPr>
            </w:pPr>
            <w:r>
              <w:rPr>
                <w:rFonts w:hint="eastAsia" w:ascii="宋体" w:hAnsi="宋体" w:cs="宋体"/>
              </w:rPr>
              <w:t>3.服务期限内，如有以下情形之一的，终止其配送资格。</w:t>
            </w:r>
          </w:p>
          <w:p w14:paraId="7254D9B2">
            <w:pPr>
              <w:spacing w:line="360" w:lineRule="auto"/>
              <w:rPr>
                <w:rFonts w:ascii="宋体" w:hAnsi="宋体" w:cs="宋体"/>
              </w:rPr>
            </w:pPr>
            <w:r>
              <w:rPr>
                <w:rFonts w:hint="eastAsia" w:ascii="宋体" w:hAnsi="宋体" w:cs="宋体"/>
              </w:rPr>
              <w:t>①严重违法违规，被食品安全监管部门或其他部门处罚的；</w:t>
            </w:r>
          </w:p>
          <w:p w14:paraId="4E8E3485">
            <w:pPr>
              <w:spacing w:line="360" w:lineRule="auto"/>
              <w:rPr>
                <w:rFonts w:ascii="宋体" w:hAnsi="宋体" w:cs="宋体"/>
              </w:rPr>
            </w:pPr>
            <w:r>
              <w:rPr>
                <w:rFonts w:hint="eastAsia" w:ascii="宋体" w:hAnsi="宋体" w:cs="宋体"/>
              </w:rPr>
              <w:t>②虚开发票，套取资金，被监察、审计、财政、物价等有关部门查实的；</w:t>
            </w:r>
          </w:p>
          <w:p w14:paraId="266784BD">
            <w:pPr>
              <w:spacing w:line="360" w:lineRule="auto"/>
              <w:rPr>
                <w:rFonts w:ascii="宋体" w:hAnsi="宋体" w:cs="宋体"/>
              </w:rPr>
            </w:pPr>
            <w:r>
              <w:rPr>
                <w:rFonts w:hint="eastAsia" w:ascii="宋体" w:hAnsi="宋体" w:cs="宋体"/>
              </w:rPr>
              <w:t>③因食品原材料问题而发生食品安全事故，造成不良后果的；</w:t>
            </w:r>
          </w:p>
          <w:p w14:paraId="00D09609">
            <w:pPr>
              <w:spacing w:line="360" w:lineRule="auto"/>
              <w:rPr>
                <w:rFonts w:ascii="宋体" w:hAnsi="宋体" w:cs="宋体"/>
              </w:rPr>
            </w:pPr>
            <w:r>
              <w:rPr>
                <w:rFonts w:hint="eastAsia" w:ascii="宋体" w:hAnsi="宋体" w:cs="宋体"/>
              </w:rPr>
              <w:t>④被</w:t>
            </w:r>
            <w:r>
              <w:rPr>
                <w:rFonts w:hint="eastAsia" w:ascii="宋体" w:hAnsi="宋体"/>
                <w:szCs w:val="21"/>
              </w:rPr>
              <w:t>市场监督管理局</w:t>
            </w:r>
            <w:r>
              <w:rPr>
                <w:rFonts w:hint="eastAsia" w:ascii="宋体" w:hAnsi="宋体" w:cs="宋体"/>
              </w:rPr>
              <w:t>、农业农村局抽检食品原材料发现存在严重质量问题的；</w:t>
            </w:r>
          </w:p>
          <w:p w14:paraId="3CA76D8C">
            <w:pPr>
              <w:spacing w:line="360" w:lineRule="auto"/>
              <w:rPr>
                <w:rFonts w:ascii="宋体" w:hAnsi="宋体" w:cs="宋体"/>
              </w:rPr>
            </w:pPr>
            <w:r>
              <w:rPr>
                <w:rFonts w:hint="eastAsia" w:ascii="宋体" w:hAnsi="宋体" w:cs="宋体"/>
              </w:rPr>
              <w:t>⑤被媒体曝光，造成不良影响的；</w:t>
            </w:r>
          </w:p>
          <w:p w14:paraId="0D129AB2">
            <w:pPr>
              <w:spacing w:line="360" w:lineRule="auto"/>
              <w:rPr>
                <w:rFonts w:ascii="宋体" w:hAnsi="宋体" w:cs="宋体"/>
              </w:rPr>
            </w:pPr>
            <w:r>
              <w:rPr>
                <w:rFonts w:hint="eastAsia" w:ascii="宋体" w:hAnsi="宋体" w:cs="宋体"/>
              </w:rPr>
              <w:t>⑥经查实，存在严重短斤缺两行为；</w:t>
            </w:r>
          </w:p>
          <w:p w14:paraId="5A17A681">
            <w:pPr>
              <w:widowControl/>
              <w:shd w:val="clear" w:color="auto" w:fill="FFFFFF"/>
              <w:spacing w:line="312" w:lineRule="auto"/>
              <w:jc w:val="left"/>
              <w:rPr>
                <w:rFonts w:ascii="宋体" w:hAnsi="宋体"/>
                <w:szCs w:val="21"/>
              </w:rPr>
            </w:pPr>
            <w:r>
              <w:rPr>
                <w:rFonts w:hint="eastAsia" w:ascii="宋体" w:hAnsi="宋体" w:cs="宋体"/>
              </w:rPr>
              <w:t>⑦</w:t>
            </w:r>
            <w:r>
              <w:rPr>
                <w:rFonts w:hint="eastAsia" w:ascii="宋体" w:hAnsi="宋体"/>
                <w:szCs w:val="21"/>
              </w:rPr>
              <w:t>被吊销或注销食品生产许可证或者食品经营许可证的；</w:t>
            </w:r>
          </w:p>
          <w:p w14:paraId="4351598F">
            <w:pPr>
              <w:spacing w:line="360" w:lineRule="auto"/>
              <w:rPr>
                <w:rFonts w:ascii="宋体" w:hAnsi="宋体"/>
                <w:szCs w:val="21"/>
              </w:rPr>
            </w:pPr>
            <w:r>
              <w:rPr>
                <w:rFonts w:hint="eastAsia" w:ascii="宋体" w:hAnsi="宋体" w:cs="宋体"/>
              </w:rPr>
              <w:t>⑧</w:t>
            </w:r>
            <w:r>
              <w:rPr>
                <w:rFonts w:hint="eastAsia" w:ascii="宋体" w:hAnsi="宋体"/>
                <w:szCs w:val="21"/>
              </w:rPr>
              <w:t>违反食堂食品原材料采购配送规定，上级主管部门认定应退出的；</w:t>
            </w:r>
          </w:p>
          <w:p w14:paraId="534FE6F5">
            <w:pPr>
              <w:spacing w:line="360" w:lineRule="auto"/>
              <w:rPr>
                <w:rFonts w:ascii="宋体" w:hAnsi="宋体"/>
                <w:szCs w:val="21"/>
              </w:rPr>
            </w:pPr>
            <w:r>
              <w:rPr>
                <w:rFonts w:hint="eastAsia" w:ascii="宋体" w:hAnsi="宋体" w:cs="宋体"/>
                <w:szCs w:val="21"/>
              </w:rPr>
              <w:t>⑨</w:t>
            </w:r>
            <w:r>
              <w:rPr>
                <w:rFonts w:hint="eastAsia" w:ascii="宋体" w:hAnsi="宋体"/>
                <w:szCs w:val="21"/>
              </w:rPr>
              <w:t>存在转包发包行为的。</w:t>
            </w:r>
          </w:p>
          <w:p w14:paraId="0F9C755F">
            <w:pPr>
              <w:numPr>
                <w:ilvl w:val="255"/>
                <w:numId w:val="0"/>
              </w:numPr>
              <w:spacing w:line="360" w:lineRule="auto"/>
              <w:jc w:val="left"/>
              <w:rPr>
                <w:rFonts w:ascii="宋体" w:hAnsi="宋体" w:cs="宋体"/>
                <w:b/>
                <w:bCs/>
              </w:rPr>
            </w:pPr>
            <w:r>
              <w:rPr>
                <w:rFonts w:hint="eastAsia" w:ascii="宋体" w:hAnsi="宋体" w:cs="宋体"/>
                <w:b/>
                <w:bCs/>
              </w:rPr>
              <w:t>十、报价要求</w:t>
            </w:r>
          </w:p>
          <w:p w14:paraId="2B9C904B">
            <w:pPr>
              <w:spacing w:line="360" w:lineRule="auto"/>
              <w:rPr>
                <w:rFonts w:ascii="宋体" w:hAnsi="宋体" w:cs="宋体"/>
                <w:szCs w:val="21"/>
              </w:rPr>
            </w:pPr>
            <w:r>
              <w:rPr>
                <w:rFonts w:hint="eastAsia" w:ascii="宋体" w:hAnsi="宋体" w:cs="宋体"/>
              </w:rPr>
              <w:t>1.</w:t>
            </w:r>
            <w:r>
              <w:rPr>
                <w:rFonts w:hint="eastAsia" w:ascii="宋体" w:hAnsi="宋体" w:cs="宋体"/>
                <w:szCs w:val="21"/>
              </w:rPr>
              <w:t xml:space="preserve"> 超出有效报价范围的视为投标无效；投标报价按综合折扣系数报价（保留小数点后2位），投标报价有效报价范围为：折扣系数≤100%，投标人的投标单价为供应基准单价×投标报价折扣系数。</w:t>
            </w:r>
          </w:p>
          <w:p w14:paraId="2044E9F7">
            <w:pPr>
              <w:spacing w:line="360" w:lineRule="auto"/>
              <w:rPr>
                <w:rFonts w:ascii="宋体" w:hAnsi="宋体" w:cs="宋体"/>
                <w:b/>
                <w:bCs/>
              </w:rPr>
            </w:pPr>
            <w:r>
              <w:rPr>
                <w:rFonts w:hint="eastAsia" w:ascii="宋体" w:hAnsi="宋体" w:cs="宋体"/>
              </w:rPr>
              <w:t>2.投标报价结合市场价格、成本及自身条件、市场风险考虑报出综合的折扣系数。</w:t>
            </w:r>
            <w:r>
              <w:rPr>
                <w:rFonts w:hint="eastAsia" w:ascii="宋体" w:hAnsi="宋体" w:cs="宋体"/>
                <w:b/>
                <w:bCs/>
              </w:rPr>
              <w:t>投标人一旦中标，中标折扣系数在合同服务期内不得改变。</w:t>
            </w:r>
          </w:p>
          <w:p w14:paraId="2944EE99">
            <w:pPr>
              <w:spacing w:line="360" w:lineRule="auto"/>
              <w:rPr>
                <w:rFonts w:ascii="宋体" w:hAnsi="宋体" w:cs="宋体"/>
              </w:rPr>
            </w:pPr>
            <w:r>
              <w:rPr>
                <w:rFonts w:hint="eastAsia" w:ascii="宋体" w:hAnsi="宋体" w:cs="宋体"/>
              </w:rPr>
              <w:t>3.报价必须含以下部分，包括：</w:t>
            </w:r>
          </w:p>
          <w:p w14:paraId="3AD838E7">
            <w:pPr>
              <w:spacing w:line="360" w:lineRule="auto"/>
              <w:rPr>
                <w:rFonts w:ascii="宋体" w:hAnsi="宋体" w:cs="宋体"/>
              </w:rPr>
            </w:pPr>
            <w:r>
              <w:rPr>
                <w:rFonts w:hint="eastAsia" w:ascii="宋体" w:hAnsi="宋体" w:cs="宋体"/>
              </w:rPr>
              <w:t>①货物、服务的价格；</w:t>
            </w:r>
          </w:p>
          <w:p w14:paraId="7E4AD29B">
            <w:pPr>
              <w:spacing w:line="360" w:lineRule="auto"/>
              <w:rPr>
                <w:rFonts w:ascii="宋体" w:hAnsi="宋体" w:cs="宋体"/>
              </w:rPr>
            </w:pPr>
            <w:r>
              <w:rPr>
                <w:rFonts w:hint="eastAsia" w:ascii="宋体" w:hAnsi="宋体" w:cs="宋体"/>
              </w:rPr>
              <w:t>②必要的保险费用和各项税金；</w:t>
            </w:r>
          </w:p>
          <w:p w14:paraId="3D388FA6">
            <w:pPr>
              <w:spacing w:line="360" w:lineRule="auto"/>
              <w:rPr>
                <w:rFonts w:ascii="宋体" w:hAnsi="宋体" w:cs="宋体"/>
              </w:rPr>
            </w:pPr>
            <w:r>
              <w:rPr>
                <w:rFonts w:hint="eastAsia" w:ascii="宋体" w:hAnsi="宋体" w:cs="宋体"/>
              </w:rPr>
              <w:t>③</w:t>
            </w:r>
            <w:r>
              <w:rPr>
                <w:rFonts w:hint="eastAsia" w:ascii="宋体" w:hAnsi="宋体"/>
                <w:szCs w:val="21"/>
              </w:rPr>
              <w:t>检验检测、</w:t>
            </w:r>
            <w:r>
              <w:rPr>
                <w:rFonts w:hint="eastAsia" w:ascii="宋体" w:hAnsi="宋体" w:cs="宋体"/>
              </w:rPr>
              <w:t>包装费、运输、搬运装卸、配件加工、</w:t>
            </w:r>
            <w:r>
              <w:rPr>
                <w:rFonts w:hint="eastAsia" w:ascii="宋体" w:hAnsi="宋体"/>
                <w:szCs w:val="21"/>
              </w:rPr>
              <w:t>仓储、人工费及配送费、</w:t>
            </w:r>
            <w:r>
              <w:rPr>
                <w:rFonts w:hint="eastAsia" w:ascii="宋体" w:hAnsi="宋体" w:cs="宋体"/>
              </w:rPr>
              <w:t>售后服务等费用；</w:t>
            </w:r>
          </w:p>
          <w:p w14:paraId="0A870CFD">
            <w:pPr>
              <w:spacing w:line="360" w:lineRule="auto"/>
              <w:rPr>
                <w:rFonts w:ascii="宋体" w:hAnsi="宋体" w:cs="宋体"/>
              </w:rPr>
            </w:pPr>
            <w:r>
              <w:rPr>
                <w:rFonts w:hint="eastAsia" w:ascii="宋体" w:hAnsi="宋体" w:cs="宋体"/>
              </w:rPr>
              <w:t>④招标文件所要求的相关服务以及合同所示全部责任、义务和一般风险等全过程产生的所有成本和费用以及税费与投标人认为应包含在本项目中的一切费用等有关费用。</w:t>
            </w:r>
          </w:p>
          <w:p w14:paraId="3FF00314">
            <w:pPr>
              <w:spacing w:line="360" w:lineRule="auto"/>
              <w:rPr>
                <w:rFonts w:ascii="宋体" w:hAnsi="宋体" w:cs="宋体"/>
              </w:rPr>
            </w:pPr>
            <w:r>
              <w:rPr>
                <w:rFonts w:hint="eastAsia" w:ascii="宋体" w:hAnsi="宋体" w:cs="宋体"/>
              </w:rPr>
              <w:t>4.采购人经市场多方面询价发现中标人在合同服务期内所提供的商品价格普遍比市场询价高的、提供假冒伪劣、质量缺陷、非正品的产品，采购人向中标人发出累计二次书面问责书后合同自动解除。</w:t>
            </w:r>
          </w:p>
          <w:p w14:paraId="30550E53">
            <w:pPr>
              <w:numPr>
                <w:ilvl w:val="255"/>
                <w:numId w:val="0"/>
              </w:numPr>
              <w:spacing w:line="360" w:lineRule="auto"/>
              <w:jc w:val="left"/>
              <w:rPr>
                <w:rFonts w:ascii="宋体" w:hAnsi="宋体" w:cs="宋体"/>
                <w:b/>
                <w:bCs/>
              </w:rPr>
            </w:pPr>
            <w:r>
              <w:rPr>
                <w:rFonts w:hint="eastAsia" w:ascii="宋体" w:hAnsi="宋体" w:cs="宋体"/>
                <w:b/>
                <w:bCs/>
              </w:rPr>
              <w:t>十一、付款方式：</w:t>
            </w:r>
          </w:p>
          <w:p w14:paraId="5F0986AF">
            <w:pPr>
              <w:spacing w:line="360" w:lineRule="auto"/>
              <w:ind w:firstLine="420" w:firstLineChars="200"/>
              <w:rPr>
                <w:szCs w:val="21"/>
              </w:rPr>
            </w:pPr>
            <w:bookmarkStart w:id="146" w:name="OLE_LINK7"/>
            <w:r>
              <w:rPr>
                <w:rFonts w:hint="eastAsia" w:ascii="宋体" w:hAnsi="宋体" w:cs="宋体"/>
                <w:szCs w:val="21"/>
              </w:rPr>
              <w:t>中标人</w:t>
            </w:r>
            <w:bookmarkEnd w:id="146"/>
            <w:r>
              <w:rPr>
                <w:rFonts w:hint="eastAsia" w:ascii="宋体" w:hAnsi="宋体" w:cs="宋体"/>
                <w:szCs w:val="21"/>
              </w:rPr>
              <w:t>每月26日与采购人核对本月的采购数量（结算周期：上月26日至本月25日为一个结算周期），每月27日提供当月供应食材的等额发票及供货单据结算货款，每月结算一次。采购人收到发票及相关票据后，以银行转账方式向中标人支付货款。中标人须按时足额提供发票及相关票据，否则采购人有权拒绝付款而不构成违约。中标人开具的发票必须真实、合法、有效，如中标人提供虚假发票，由此引发的一切责任由中标人负责。</w:t>
            </w:r>
          </w:p>
          <w:p w14:paraId="56E5CA0B">
            <w:pPr>
              <w:numPr>
                <w:ilvl w:val="255"/>
                <w:numId w:val="0"/>
              </w:numPr>
              <w:spacing w:line="360" w:lineRule="auto"/>
              <w:rPr>
                <w:szCs w:val="21"/>
              </w:rPr>
            </w:pPr>
            <w:r>
              <w:rPr>
                <w:rFonts w:hint="eastAsia" w:ascii="宋体" w:hAnsi="宋体" w:cs="宋体"/>
                <w:b/>
                <w:bCs/>
              </w:rPr>
              <w:t>十二、</w:t>
            </w:r>
            <w:r>
              <w:rPr>
                <w:rFonts w:hint="eastAsia" w:ascii="宋体" w:hAnsi="宋体" w:cs="宋体"/>
              </w:rPr>
              <w:t>采购人对中标人实施考核管理制度，详见附件二《广西监狱罪犯生活物资供货商考核管理办法》。投标人在投标文件中出具承诺函：承诺如中标即服从“广西监狱罪犯生活物资供货商考核管理办法”；承诺函格式自拟。</w:t>
            </w:r>
            <w:bookmarkEnd w:id="142"/>
          </w:p>
        </w:tc>
      </w:tr>
      <w:tr w14:paraId="43C77C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479" w:type="dxa"/>
            <w:tcBorders>
              <w:top w:val="single" w:color="auto" w:sz="4" w:space="0"/>
              <w:left w:val="single" w:color="auto" w:sz="4" w:space="0"/>
              <w:bottom w:val="single" w:color="auto" w:sz="4" w:space="0"/>
              <w:right w:val="single" w:color="auto" w:sz="4" w:space="0"/>
            </w:tcBorders>
            <w:vAlign w:val="center"/>
          </w:tcPr>
          <w:p w14:paraId="5F920B93">
            <w:pPr>
              <w:jc w:val="center"/>
              <w:rPr>
                <w:rFonts w:ascii="宋体" w:hAnsi="宋体"/>
                <w:szCs w:val="21"/>
              </w:rPr>
            </w:pPr>
            <w:r>
              <w:rPr>
                <w:rFonts w:hint="eastAsia" w:ascii="宋体" w:hAnsi="宋体"/>
                <w:szCs w:val="21"/>
              </w:rPr>
              <w:t>其他说明</w:t>
            </w:r>
          </w:p>
        </w:tc>
        <w:tc>
          <w:tcPr>
            <w:tcW w:w="9731" w:type="dxa"/>
            <w:gridSpan w:val="7"/>
            <w:tcBorders>
              <w:top w:val="single" w:color="auto" w:sz="4" w:space="0"/>
              <w:left w:val="single" w:color="auto" w:sz="4" w:space="0"/>
              <w:bottom w:val="single" w:color="auto" w:sz="4" w:space="0"/>
              <w:right w:val="single" w:color="auto" w:sz="4" w:space="0"/>
            </w:tcBorders>
          </w:tcPr>
          <w:p w14:paraId="29878D0F">
            <w:pPr>
              <w:widowControl/>
              <w:shd w:val="clear" w:color="auto" w:fill="FFFFFF"/>
              <w:spacing w:line="480" w:lineRule="exact"/>
              <w:rPr>
                <w:rFonts w:ascii="宋体" w:hAnsi="宋体"/>
                <w:szCs w:val="21"/>
              </w:rPr>
            </w:pPr>
            <w:r>
              <w:rPr>
                <w:rFonts w:hint="eastAsia" w:ascii="宋体" w:hAnsi="宋体"/>
                <w:szCs w:val="21"/>
              </w:rPr>
              <w:t>一、进口产品说明（根据项目实际情况选择）</w:t>
            </w:r>
          </w:p>
          <w:p w14:paraId="728ECB50">
            <w:pPr>
              <w:tabs>
                <w:tab w:val="left" w:pos="180"/>
                <w:tab w:val="left" w:pos="1620"/>
              </w:tabs>
              <w:spacing w:line="480" w:lineRule="exact"/>
              <w:ind w:firstLine="413" w:firstLineChars="197"/>
              <w:rPr>
                <w:rFonts w:ascii="宋体" w:hAnsi="宋体"/>
                <w:szCs w:val="21"/>
              </w:rPr>
            </w:pPr>
            <w:r>
              <w:rPr>
                <w:rFonts w:hint="eastAsia" w:ascii="宋体" w:hAnsi="宋体"/>
                <w:szCs w:val="21"/>
              </w:rPr>
              <w:t>本分标货物所涉及的货物不接受进口产品（即通过中国海关报关验放进入中国境内且产自关境外的产品）参与投标，</w:t>
            </w:r>
            <w:r>
              <w:rPr>
                <w:rFonts w:hint="eastAsia" w:ascii="宋体" w:hAnsi="宋体"/>
                <w:b/>
                <w:szCs w:val="21"/>
              </w:rPr>
              <w:t>如有进口产品参与投标的作无效标处理</w:t>
            </w:r>
            <w:r>
              <w:rPr>
                <w:rFonts w:hint="eastAsia" w:ascii="宋体" w:hAnsi="宋体"/>
                <w:szCs w:val="21"/>
              </w:rPr>
              <w:t>。</w:t>
            </w:r>
          </w:p>
          <w:p w14:paraId="400FAE32">
            <w:pPr>
              <w:widowControl/>
              <w:shd w:val="clear" w:color="auto" w:fill="FFFFFF"/>
              <w:spacing w:line="480" w:lineRule="exact"/>
              <w:rPr>
                <w:rFonts w:ascii="宋体" w:hAnsi="宋体"/>
                <w:szCs w:val="21"/>
              </w:rPr>
            </w:pPr>
            <w:r>
              <w:rPr>
                <w:rFonts w:hint="eastAsia" w:ascii="宋体" w:hAnsi="宋体"/>
                <w:szCs w:val="21"/>
              </w:rPr>
              <w:t>二、</w:t>
            </w:r>
            <w:r>
              <w:rPr>
                <w:rFonts w:hint="eastAsia" w:ascii="宋体" w:hAnsi="宋体" w:cs="宋体"/>
                <w:szCs w:val="21"/>
              </w:rPr>
              <w:t>偏离条款说明</w:t>
            </w:r>
          </w:p>
          <w:p w14:paraId="4813DB84">
            <w:pPr>
              <w:widowControl/>
              <w:shd w:val="clear" w:color="auto" w:fill="FFFFFF"/>
              <w:spacing w:line="480" w:lineRule="exact"/>
              <w:ind w:firstLine="422" w:firstLineChars="200"/>
            </w:pPr>
            <w:r>
              <w:rPr>
                <w:rFonts w:hint="eastAsia" w:ascii="宋体" w:hAnsi="宋体" w:cs="宋体"/>
                <w:b/>
                <w:szCs w:val="21"/>
              </w:rPr>
              <w:t>带“▲”系指实质性要求条款，投标产品必须满足，否则投标无效；单个项号的货物（产品）允许偏离的非“▲”技术指标或要求发生负偏离的项数达</w:t>
            </w:r>
            <w:r>
              <w:rPr>
                <w:rFonts w:hint="eastAsia" w:ascii="宋体" w:hAnsi="宋体" w:cs="宋体"/>
                <w:b/>
                <w:szCs w:val="21"/>
                <w:u w:val="single"/>
              </w:rPr>
              <w:t>1项（含1项）</w:t>
            </w:r>
            <w:r>
              <w:rPr>
                <w:rFonts w:hint="eastAsia" w:ascii="宋体" w:hAnsi="宋体" w:cs="宋体"/>
                <w:b/>
                <w:szCs w:val="21"/>
              </w:rPr>
              <w:t>以上的，按投标文件作无效处理</w:t>
            </w:r>
            <w:r>
              <w:rPr>
                <w:rFonts w:hint="eastAsia" w:ascii="宋体" w:hAnsi="宋体" w:cs="宋体"/>
                <w:bCs/>
                <w:szCs w:val="21"/>
              </w:rPr>
              <w:t>。</w:t>
            </w:r>
          </w:p>
        </w:tc>
      </w:tr>
    </w:tbl>
    <w:p w14:paraId="68774933">
      <w:pPr>
        <w:spacing w:line="360" w:lineRule="auto"/>
        <w:ind w:firstLine="308" w:firstLineChars="147"/>
        <w:jc w:val="left"/>
        <w:rPr>
          <w:rFonts w:ascii="宋体" w:hAnsi="宋体"/>
        </w:rPr>
      </w:pPr>
    </w:p>
    <w:p w14:paraId="677744F7">
      <w:pPr>
        <w:widowControl/>
        <w:spacing w:line="440" w:lineRule="exact"/>
        <w:jc w:val="left"/>
        <w:outlineLvl w:val="1"/>
        <w:rPr>
          <w:rFonts w:ascii="宋体" w:hAnsi="宋体" w:cs="宋体"/>
          <w:szCs w:val="21"/>
        </w:rPr>
      </w:pPr>
      <w:r>
        <w:rPr>
          <w:rFonts w:ascii="宋体" w:hAnsi="宋体"/>
          <w:b/>
          <w:szCs w:val="21"/>
          <w:u w:val="single"/>
        </w:rPr>
        <w:br w:type="page"/>
      </w:r>
      <w:bookmarkStart w:id="147" w:name="_Toc7723"/>
      <w:bookmarkStart w:id="148" w:name="_Toc22396"/>
      <w:bookmarkStart w:id="149" w:name="_Toc2176"/>
      <w:r>
        <w:rPr>
          <w:rFonts w:ascii="宋体" w:hAnsi="宋体"/>
          <w:b/>
          <w:szCs w:val="21"/>
          <w:u w:val="single"/>
        </w:rPr>
        <w:t>B</w:t>
      </w:r>
      <w:r>
        <w:rPr>
          <w:rFonts w:hint="eastAsia" w:ascii="宋体" w:hAnsi="宋体"/>
          <w:b/>
          <w:szCs w:val="21"/>
        </w:rPr>
        <w:t>分标：猪肉、牛肉、羊肉类      采购预算（元）：</w:t>
      </w:r>
      <w:bookmarkStart w:id="150" w:name="OLE_LINK65"/>
      <w:r>
        <w:rPr>
          <w:rFonts w:hint="eastAsia" w:ascii="宋体" w:hAnsi="宋体"/>
          <w:b/>
          <w:szCs w:val="21"/>
          <w:u w:val="single"/>
        </w:rPr>
        <w:t>974000.00</w:t>
      </w:r>
      <w:r>
        <w:rPr>
          <w:rFonts w:hint="eastAsia" w:ascii="宋体" w:hAnsi="宋体"/>
          <w:szCs w:val="21"/>
          <w:u w:val="single"/>
        </w:rPr>
        <w:t xml:space="preserve">  </w:t>
      </w:r>
      <w:bookmarkEnd w:id="150"/>
      <w:r>
        <w:rPr>
          <w:rFonts w:hint="eastAsia" w:ascii="宋体" w:hAnsi="宋体"/>
          <w:szCs w:val="21"/>
        </w:rPr>
        <w:t xml:space="preserve">   </w:t>
      </w:r>
      <w:r>
        <w:rPr>
          <w:rFonts w:hint="eastAsia" w:ascii="宋体" w:hAnsi="宋体" w:cs="Arial"/>
          <w:bCs/>
        </w:rPr>
        <w:t xml:space="preserve"> </w:t>
      </w:r>
      <w:r>
        <w:rPr>
          <w:rFonts w:hint="eastAsia" w:ascii="宋体" w:hAnsi="宋体"/>
          <w:b/>
          <w:szCs w:val="21"/>
        </w:rPr>
        <w:t>最高限价（元）：</w:t>
      </w:r>
      <w:bookmarkEnd w:id="147"/>
      <w:bookmarkEnd w:id="148"/>
      <w:r>
        <w:rPr>
          <w:rFonts w:hint="eastAsia" w:ascii="宋体" w:hAnsi="宋体"/>
          <w:b/>
          <w:szCs w:val="21"/>
          <w:u w:val="single"/>
        </w:rPr>
        <w:t>974000.00</w:t>
      </w:r>
      <w:bookmarkEnd w:id="149"/>
      <w:r>
        <w:rPr>
          <w:rFonts w:hint="eastAsia" w:ascii="宋体" w:hAnsi="宋体"/>
          <w:szCs w:val="21"/>
          <w:u w:val="single"/>
        </w:rPr>
        <w:t xml:space="preserve">  </w:t>
      </w:r>
    </w:p>
    <w:tbl>
      <w:tblPr>
        <w:tblStyle w:val="37"/>
        <w:tblW w:w="102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9"/>
        <w:gridCol w:w="516"/>
        <w:gridCol w:w="931"/>
        <w:gridCol w:w="745"/>
        <w:gridCol w:w="1202"/>
        <w:gridCol w:w="992"/>
        <w:gridCol w:w="4555"/>
        <w:gridCol w:w="838"/>
      </w:tblGrid>
      <w:tr w14:paraId="0F8F1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258" w:type="dxa"/>
            <w:gridSpan w:val="8"/>
            <w:tcBorders>
              <w:top w:val="single" w:color="auto" w:sz="4" w:space="0"/>
              <w:left w:val="single" w:color="auto" w:sz="4" w:space="0"/>
              <w:right w:val="single" w:color="auto" w:sz="4" w:space="0"/>
            </w:tcBorders>
          </w:tcPr>
          <w:p w14:paraId="38067E57">
            <w:pPr>
              <w:spacing w:line="320" w:lineRule="exact"/>
              <w:jc w:val="center"/>
              <w:rPr>
                <w:rFonts w:ascii="仿宋_GB2312" w:hAnsi="宋体" w:eastAsia="仿宋_GB2312" w:cs="Arial"/>
                <w:b/>
                <w:sz w:val="32"/>
                <w:szCs w:val="32"/>
              </w:rPr>
            </w:pPr>
            <w:r>
              <w:rPr>
                <w:rFonts w:hint="eastAsia" w:ascii="仿宋_GB2312" w:hAnsi="宋体" w:eastAsia="仿宋_GB2312" w:cs="Arial"/>
                <w:b/>
                <w:sz w:val="28"/>
                <w:szCs w:val="28"/>
              </w:rPr>
              <w:t>货物需求一览表</w:t>
            </w:r>
          </w:p>
        </w:tc>
      </w:tr>
      <w:tr w14:paraId="0C2DB7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79" w:type="dxa"/>
            <w:vMerge w:val="restart"/>
            <w:tcBorders>
              <w:top w:val="single" w:color="auto" w:sz="4" w:space="0"/>
              <w:left w:val="single" w:color="auto" w:sz="4" w:space="0"/>
              <w:right w:val="single" w:color="auto" w:sz="4" w:space="0"/>
            </w:tcBorders>
            <w:vAlign w:val="center"/>
          </w:tcPr>
          <w:p w14:paraId="1B01C780">
            <w:pPr>
              <w:jc w:val="center"/>
              <w:rPr>
                <w:rFonts w:ascii="宋体" w:hAnsi="宋体" w:cs="宋体"/>
                <w:szCs w:val="21"/>
              </w:rPr>
            </w:pPr>
            <w:r>
              <w:rPr>
                <w:rFonts w:hint="eastAsia" w:ascii="宋体" w:hAnsi="宋体" w:cs="宋体"/>
                <w:szCs w:val="21"/>
              </w:rPr>
              <w:t>采购清单及货物参数</w:t>
            </w: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F6B8D5F">
            <w:pPr>
              <w:jc w:val="center"/>
              <w:rPr>
                <w:rFonts w:ascii="宋体" w:hAnsi="宋体" w:cs="宋体"/>
                <w:szCs w:val="21"/>
              </w:rPr>
            </w:pPr>
            <w:r>
              <w:rPr>
                <w:rFonts w:hint="eastAsia" w:ascii="宋体" w:hAnsi="宋体" w:cs="宋体"/>
                <w:szCs w:val="21"/>
              </w:rPr>
              <w:t>序号</w:t>
            </w:r>
          </w:p>
        </w:tc>
        <w:tc>
          <w:tcPr>
            <w:tcW w:w="931" w:type="dxa"/>
            <w:tcBorders>
              <w:top w:val="single" w:color="auto" w:sz="4" w:space="0"/>
              <w:left w:val="single" w:color="auto" w:sz="4" w:space="0"/>
              <w:bottom w:val="single" w:color="auto" w:sz="4" w:space="0"/>
              <w:right w:val="single" w:color="auto" w:sz="4" w:space="0"/>
            </w:tcBorders>
            <w:vAlign w:val="center"/>
          </w:tcPr>
          <w:p w14:paraId="3D926A0C">
            <w:pPr>
              <w:jc w:val="center"/>
              <w:rPr>
                <w:rFonts w:ascii="宋体" w:hAnsi="宋体" w:cs="宋体"/>
                <w:szCs w:val="21"/>
              </w:rPr>
            </w:pPr>
            <w:r>
              <w:rPr>
                <w:rFonts w:hint="eastAsia" w:ascii="宋体" w:hAnsi="宋体" w:cs="宋体"/>
                <w:szCs w:val="21"/>
              </w:rPr>
              <w:t>标的</w:t>
            </w:r>
          </w:p>
          <w:p w14:paraId="3522CE9F">
            <w:pPr>
              <w:jc w:val="center"/>
              <w:rPr>
                <w:rFonts w:ascii="宋体" w:hAnsi="宋体" w:cs="宋体"/>
                <w:szCs w:val="21"/>
              </w:rPr>
            </w:pPr>
            <w:r>
              <w:rPr>
                <w:rFonts w:hint="eastAsia" w:ascii="宋体" w:hAnsi="宋体" w:cs="宋体"/>
                <w:szCs w:val="21"/>
              </w:rPr>
              <w:t>名称</w:t>
            </w:r>
          </w:p>
        </w:tc>
        <w:tc>
          <w:tcPr>
            <w:tcW w:w="745" w:type="dxa"/>
            <w:tcBorders>
              <w:top w:val="single" w:color="auto" w:sz="4" w:space="0"/>
              <w:left w:val="single" w:color="auto" w:sz="4" w:space="0"/>
              <w:bottom w:val="single" w:color="auto" w:sz="4" w:space="0"/>
              <w:right w:val="single" w:color="auto" w:sz="4" w:space="0"/>
            </w:tcBorders>
            <w:vAlign w:val="center"/>
          </w:tcPr>
          <w:p w14:paraId="296DADD4">
            <w:pPr>
              <w:jc w:val="center"/>
              <w:rPr>
                <w:rFonts w:ascii="宋体" w:hAnsi="宋体" w:cs="宋体"/>
                <w:szCs w:val="21"/>
              </w:rPr>
            </w:pPr>
            <w:r>
              <w:rPr>
                <w:rFonts w:hint="eastAsia" w:ascii="宋体" w:hAnsi="宋体" w:cs="宋体"/>
                <w:szCs w:val="21"/>
              </w:rPr>
              <w:t>单位</w:t>
            </w:r>
          </w:p>
        </w:tc>
        <w:tc>
          <w:tcPr>
            <w:tcW w:w="1202" w:type="dxa"/>
            <w:tcBorders>
              <w:top w:val="single" w:color="auto" w:sz="4" w:space="0"/>
              <w:left w:val="single" w:color="auto" w:sz="4" w:space="0"/>
              <w:bottom w:val="single" w:color="auto" w:sz="4" w:space="0"/>
              <w:right w:val="single" w:color="auto" w:sz="4" w:space="0"/>
            </w:tcBorders>
            <w:vAlign w:val="center"/>
          </w:tcPr>
          <w:p w14:paraId="15A10E00">
            <w:pPr>
              <w:jc w:val="center"/>
              <w:rPr>
                <w:rFonts w:ascii="宋体" w:hAnsi="宋体" w:cs="宋体"/>
                <w:szCs w:val="21"/>
              </w:rPr>
            </w:pPr>
            <w:r>
              <w:rPr>
                <w:rFonts w:hint="eastAsia" w:ascii="宋体" w:hAnsi="宋体" w:cs="宋体"/>
                <w:szCs w:val="21"/>
              </w:rPr>
              <w:t>数量</w:t>
            </w:r>
          </w:p>
          <w:p w14:paraId="38B9A951">
            <w:pPr>
              <w:jc w:val="center"/>
              <w:rPr>
                <w:rFonts w:ascii="宋体" w:hAnsi="宋体" w:cs="宋体"/>
                <w:szCs w:val="21"/>
              </w:rPr>
            </w:pPr>
            <w:r>
              <w:rPr>
                <w:rFonts w:hint="eastAsia" w:ascii="宋体" w:hAnsi="宋体" w:cs="宋体"/>
                <w:szCs w:val="21"/>
              </w:rPr>
              <w:t>（暂估）</w:t>
            </w:r>
          </w:p>
        </w:tc>
        <w:tc>
          <w:tcPr>
            <w:tcW w:w="992" w:type="dxa"/>
            <w:tcBorders>
              <w:top w:val="single" w:color="auto" w:sz="4" w:space="0"/>
              <w:left w:val="single" w:color="auto" w:sz="4" w:space="0"/>
              <w:bottom w:val="single" w:color="auto" w:sz="4" w:space="0"/>
              <w:right w:val="single" w:color="auto" w:sz="4" w:space="0"/>
            </w:tcBorders>
            <w:vAlign w:val="center"/>
          </w:tcPr>
          <w:p w14:paraId="64B9E4F7">
            <w:pPr>
              <w:jc w:val="center"/>
              <w:rPr>
                <w:rFonts w:ascii="宋体" w:hAnsi="宋体" w:cs="宋体"/>
                <w:szCs w:val="21"/>
              </w:rPr>
            </w:pPr>
            <w:r>
              <w:rPr>
                <w:rFonts w:hint="eastAsia" w:ascii="宋体" w:hAnsi="宋体" w:cs="宋体"/>
                <w:szCs w:val="21"/>
              </w:rPr>
              <w:t>所属行业</w:t>
            </w:r>
          </w:p>
        </w:tc>
        <w:tc>
          <w:tcPr>
            <w:tcW w:w="4555" w:type="dxa"/>
            <w:tcBorders>
              <w:top w:val="single" w:color="auto" w:sz="4" w:space="0"/>
              <w:left w:val="single" w:color="auto" w:sz="4" w:space="0"/>
              <w:bottom w:val="single" w:color="auto" w:sz="4" w:space="0"/>
              <w:right w:val="single" w:color="auto" w:sz="4" w:space="0"/>
            </w:tcBorders>
            <w:vAlign w:val="center"/>
          </w:tcPr>
          <w:p w14:paraId="224B6B1A">
            <w:pPr>
              <w:jc w:val="center"/>
              <w:rPr>
                <w:rFonts w:ascii="宋体" w:hAnsi="宋体" w:cs="宋体"/>
                <w:szCs w:val="21"/>
              </w:rPr>
            </w:pPr>
            <w:r>
              <w:rPr>
                <w:rFonts w:hint="eastAsia" w:ascii="宋体" w:hAnsi="宋体" w:cs="宋体"/>
                <w:szCs w:val="21"/>
              </w:rPr>
              <w:t>货物参数</w:t>
            </w:r>
          </w:p>
        </w:tc>
        <w:tc>
          <w:tcPr>
            <w:tcW w:w="838" w:type="dxa"/>
            <w:tcBorders>
              <w:top w:val="single" w:color="auto" w:sz="4" w:space="0"/>
              <w:left w:val="single" w:color="auto" w:sz="4" w:space="0"/>
              <w:bottom w:val="single" w:color="auto" w:sz="4" w:space="0"/>
              <w:right w:val="single" w:color="auto" w:sz="4" w:space="0"/>
            </w:tcBorders>
            <w:vAlign w:val="center"/>
          </w:tcPr>
          <w:p w14:paraId="1E7DDB15">
            <w:pPr>
              <w:jc w:val="center"/>
              <w:rPr>
                <w:rFonts w:ascii="宋体" w:hAnsi="宋体" w:cs="宋体"/>
                <w:szCs w:val="21"/>
              </w:rPr>
            </w:pPr>
            <w:r>
              <w:rPr>
                <w:rFonts w:hint="eastAsia" w:ascii="宋体" w:hAnsi="宋体" w:cs="宋体"/>
                <w:szCs w:val="21"/>
              </w:rPr>
              <w:t>供应基准单价（元/公斤）</w:t>
            </w:r>
          </w:p>
        </w:tc>
      </w:tr>
      <w:tr w14:paraId="70D30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479" w:type="dxa"/>
            <w:vMerge w:val="continue"/>
            <w:tcBorders>
              <w:left w:val="single" w:color="auto" w:sz="4" w:space="0"/>
              <w:right w:val="single" w:color="auto" w:sz="4" w:space="0"/>
            </w:tcBorders>
            <w:vAlign w:val="center"/>
          </w:tcPr>
          <w:p w14:paraId="7241291B">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CC17C72">
            <w:pPr>
              <w:jc w:val="center"/>
              <w:rPr>
                <w:rFonts w:ascii="宋体" w:hAnsi="宋体" w:cs="宋体"/>
                <w:sz w:val="24"/>
              </w:rPr>
            </w:pPr>
            <w:r>
              <w:rPr>
                <w:rFonts w:hint="eastAsia"/>
              </w:rPr>
              <w:t>1</w:t>
            </w:r>
          </w:p>
        </w:tc>
        <w:tc>
          <w:tcPr>
            <w:tcW w:w="931" w:type="dxa"/>
            <w:tcBorders>
              <w:top w:val="single" w:color="auto" w:sz="4" w:space="0"/>
              <w:left w:val="single" w:color="auto" w:sz="4" w:space="0"/>
              <w:bottom w:val="single" w:color="auto" w:sz="4" w:space="0"/>
              <w:right w:val="single" w:color="auto" w:sz="4" w:space="0"/>
            </w:tcBorders>
            <w:vAlign w:val="center"/>
          </w:tcPr>
          <w:p w14:paraId="3B07A25A">
            <w:pPr>
              <w:jc w:val="center"/>
            </w:pPr>
            <w:r>
              <w:rPr>
                <w:rFonts w:hint="eastAsia"/>
              </w:rPr>
              <w:t>猪肉（边猪）</w:t>
            </w:r>
          </w:p>
        </w:tc>
        <w:tc>
          <w:tcPr>
            <w:tcW w:w="745" w:type="dxa"/>
            <w:tcBorders>
              <w:top w:val="single" w:color="auto" w:sz="4" w:space="0"/>
              <w:left w:val="single" w:color="auto" w:sz="4" w:space="0"/>
              <w:bottom w:val="single" w:color="auto" w:sz="4" w:space="0"/>
              <w:right w:val="single" w:color="auto" w:sz="4" w:space="0"/>
            </w:tcBorders>
            <w:vAlign w:val="center"/>
          </w:tcPr>
          <w:p w14:paraId="1809E2CE">
            <w:pPr>
              <w:jc w:val="center"/>
            </w:pPr>
            <w:r>
              <w:rPr>
                <w:rFonts w:hint="eastAsia"/>
              </w:rPr>
              <w:t>公斤</w:t>
            </w:r>
          </w:p>
        </w:tc>
        <w:tc>
          <w:tcPr>
            <w:tcW w:w="1202" w:type="dxa"/>
            <w:tcBorders>
              <w:top w:val="single" w:color="auto" w:sz="4" w:space="0"/>
              <w:left w:val="single" w:color="auto" w:sz="4" w:space="0"/>
              <w:bottom w:val="single" w:color="auto" w:sz="4" w:space="0"/>
              <w:right w:val="single" w:color="auto" w:sz="4" w:space="0"/>
            </w:tcBorders>
            <w:vAlign w:val="center"/>
          </w:tcPr>
          <w:p w14:paraId="72ACCF19">
            <w:pPr>
              <w:jc w:val="center"/>
            </w:pPr>
            <w:r>
              <w:rPr>
                <w:rFonts w:hint="eastAsia"/>
              </w:rPr>
              <w:t xml:space="preserve">38000.00 </w:t>
            </w:r>
          </w:p>
        </w:tc>
        <w:tc>
          <w:tcPr>
            <w:tcW w:w="992" w:type="dxa"/>
            <w:vMerge w:val="restart"/>
            <w:tcBorders>
              <w:top w:val="single" w:color="auto" w:sz="4" w:space="0"/>
              <w:left w:val="single" w:color="auto" w:sz="4" w:space="0"/>
              <w:right w:val="single" w:color="auto" w:sz="4" w:space="0"/>
            </w:tcBorders>
            <w:vAlign w:val="center"/>
          </w:tcPr>
          <w:p w14:paraId="474DF892">
            <w:pPr>
              <w:widowControl/>
              <w:kinsoku w:val="0"/>
              <w:topLinePunct/>
              <w:autoSpaceDE w:val="0"/>
              <w:autoSpaceDN w:val="0"/>
              <w:adjustRightInd w:val="0"/>
              <w:snapToGrid w:val="0"/>
              <w:spacing w:before="60" w:line="218" w:lineRule="auto"/>
              <w:ind w:left="105" w:leftChars="50" w:right="10" w:rightChars="5"/>
              <w:jc w:val="center"/>
              <w:textAlignment w:val="baseline"/>
              <w:rPr>
                <w:rFonts w:ascii="宋体" w:hAnsi="宋体" w:cs="宋体"/>
                <w:spacing w:val="-1"/>
                <w:szCs w:val="21"/>
              </w:rPr>
            </w:pPr>
            <w:r>
              <w:rPr>
                <w:rFonts w:hint="eastAsia" w:ascii="宋体" w:hAnsi="宋体"/>
                <w:szCs w:val="21"/>
              </w:rPr>
              <w:t>批发业</w:t>
            </w:r>
          </w:p>
        </w:tc>
        <w:tc>
          <w:tcPr>
            <w:tcW w:w="4555" w:type="dxa"/>
            <w:tcBorders>
              <w:top w:val="single" w:color="auto" w:sz="4" w:space="0"/>
              <w:left w:val="single" w:color="auto" w:sz="4" w:space="0"/>
              <w:bottom w:val="single" w:color="auto" w:sz="4" w:space="0"/>
              <w:right w:val="single" w:color="auto" w:sz="4" w:space="0"/>
            </w:tcBorders>
            <w:vAlign w:val="center"/>
          </w:tcPr>
          <w:p w14:paraId="44DED4AF">
            <w:pPr>
              <w:widowControl/>
              <w:kinsoku w:val="0"/>
              <w:topLinePunct/>
              <w:autoSpaceDE w:val="0"/>
              <w:autoSpaceDN w:val="0"/>
              <w:adjustRightInd w:val="0"/>
              <w:snapToGrid w:val="0"/>
              <w:spacing w:before="60" w:line="218" w:lineRule="auto"/>
              <w:ind w:left="105" w:leftChars="50" w:right="10" w:rightChars="5"/>
              <w:textAlignment w:val="baseline"/>
              <w:rPr>
                <w:rFonts w:ascii="宋体" w:hAnsi="宋体" w:cs="宋体"/>
                <w:szCs w:val="21"/>
              </w:rPr>
            </w:pPr>
            <w:r>
              <w:rPr>
                <w:rFonts w:hint="eastAsia" w:ascii="宋体" w:hAnsi="宋体" w:cs="宋体"/>
                <w:spacing w:val="-1"/>
                <w:szCs w:val="21"/>
              </w:rPr>
              <w:t>▲一、食材</w:t>
            </w:r>
            <w:r>
              <w:rPr>
                <w:rFonts w:hint="eastAsia" w:ascii="宋体" w:hAnsi="宋体" w:cs="宋体"/>
                <w:szCs w:val="21"/>
              </w:rPr>
              <w:t>品质要求：</w:t>
            </w:r>
          </w:p>
          <w:p w14:paraId="018B409D">
            <w:pPr>
              <w:spacing w:line="360" w:lineRule="auto"/>
              <w:ind w:left="105" w:leftChars="50" w:right="10" w:rightChars="5"/>
              <w:rPr>
                <w:rFonts w:ascii="宋体" w:hAnsi="宋体" w:cs="宋体"/>
                <w:szCs w:val="21"/>
              </w:rPr>
            </w:pPr>
            <w:r>
              <w:rPr>
                <w:rFonts w:hint="eastAsia" w:ascii="宋体" w:hAnsi="宋体" w:cs="宋体"/>
                <w:szCs w:val="21"/>
              </w:rPr>
              <w:t>鲜猪肉标准要求：</w:t>
            </w:r>
          </w:p>
          <w:p w14:paraId="574F0F4E">
            <w:pPr>
              <w:spacing w:line="360" w:lineRule="auto"/>
              <w:ind w:left="105" w:leftChars="50" w:right="10" w:rightChars="5"/>
              <w:rPr>
                <w:rFonts w:ascii="宋体" w:hAnsi="宋体" w:cs="宋体"/>
                <w:szCs w:val="21"/>
              </w:rPr>
            </w:pPr>
            <w:r>
              <w:rPr>
                <w:rFonts w:hint="eastAsia" w:ascii="宋体" w:hAnsi="宋体" w:cs="宋体"/>
                <w:szCs w:val="21"/>
              </w:rPr>
              <w:t>1.必须符合最新鲜畜肉国家质量标准，保证无异味、无变质。</w:t>
            </w:r>
          </w:p>
          <w:p w14:paraId="5FFA7353">
            <w:pPr>
              <w:spacing w:line="360" w:lineRule="auto"/>
              <w:ind w:left="105" w:leftChars="50" w:right="10" w:rightChars="5"/>
              <w:rPr>
                <w:rFonts w:ascii="宋体" w:hAnsi="宋体" w:cs="宋体"/>
                <w:szCs w:val="21"/>
              </w:rPr>
            </w:pPr>
            <w:r>
              <w:rPr>
                <w:rFonts w:hint="eastAsia" w:ascii="宋体" w:hAnsi="宋体" w:cs="宋体"/>
                <w:szCs w:val="21"/>
              </w:rPr>
              <w:t>2.所供每批次鲜肉当天屠宰，必须有齐全的“两证两章”(《肉品品质检验合格证明》《动物产品检疫合格证明》《肉品品质检验合格验讫印章》和《动物产品检疫合格印章》)，采购人现场查验。</w:t>
            </w:r>
          </w:p>
          <w:p w14:paraId="37BEC147">
            <w:pPr>
              <w:spacing w:line="360" w:lineRule="auto"/>
              <w:ind w:left="105" w:leftChars="50" w:right="10" w:rightChars="5"/>
              <w:rPr>
                <w:rFonts w:ascii="宋体" w:hAnsi="宋体" w:cs="宋体"/>
                <w:szCs w:val="21"/>
              </w:rPr>
            </w:pPr>
            <w:r>
              <w:rPr>
                <w:rFonts w:hint="eastAsia" w:ascii="宋体" w:hAnsi="宋体" w:cs="宋体"/>
                <w:szCs w:val="21"/>
              </w:rPr>
              <w:t>3.色泽：肌肉有光泽，颜色均匀，脂肪乳白色；组织状态：纤维清晰，有坚韧性，指压后凹陷立即恢复，肉质紧密，有坚韧性。</w:t>
            </w:r>
          </w:p>
          <w:p w14:paraId="7C0EF7DF">
            <w:pPr>
              <w:spacing w:line="360" w:lineRule="auto"/>
              <w:ind w:left="105" w:leftChars="50" w:right="10" w:rightChars="5"/>
              <w:rPr>
                <w:rFonts w:ascii="宋体" w:hAnsi="宋体" w:cs="宋体"/>
                <w:szCs w:val="21"/>
              </w:rPr>
            </w:pPr>
            <w:r>
              <w:rPr>
                <w:rFonts w:hint="eastAsia" w:ascii="宋体" w:hAnsi="宋体" w:cs="宋体"/>
                <w:szCs w:val="21"/>
              </w:rPr>
              <w:t>4.粘度：外表湿润，不粘手，切面有渗出液，不粘手；气味：具有肉蛋类固有的气味，无异味，煮沸后肉汤澄清透明，脂肪团聚于表面澄清透明或稍有浑浊。</w:t>
            </w:r>
          </w:p>
          <w:p w14:paraId="67EEB1C3">
            <w:pPr>
              <w:spacing w:line="360" w:lineRule="auto"/>
              <w:ind w:left="105" w:leftChars="50" w:right="10" w:rightChars="5"/>
              <w:rPr>
                <w:rFonts w:ascii="宋体" w:hAnsi="宋体" w:cs="宋体"/>
                <w:szCs w:val="21"/>
              </w:rPr>
            </w:pPr>
            <w:r>
              <w:rPr>
                <w:rFonts w:hint="eastAsia" w:ascii="宋体" w:hAnsi="宋体" w:cs="宋体"/>
                <w:szCs w:val="21"/>
              </w:rPr>
              <w:t>5.脚、耳、头和带皮肉一定要把毛剃干净，达到皮面无毛无脏。不含内脏。</w:t>
            </w:r>
          </w:p>
          <w:p w14:paraId="2F005E18">
            <w:pPr>
              <w:spacing w:line="360" w:lineRule="auto"/>
              <w:ind w:left="105" w:leftChars="50" w:right="10" w:rightChars="5"/>
              <w:rPr>
                <w:rFonts w:ascii="宋体" w:hAnsi="宋体" w:cs="宋体"/>
                <w:szCs w:val="21"/>
              </w:rPr>
            </w:pPr>
            <w:r>
              <w:rPr>
                <w:rFonts w:hint="eastAsia" w:ascii="宋体" w:hAnsi="宋体" w:cs="宋体"/>
                <w:szCs w:val="21"/>
              </w:rPr>
              <w:t>6.猪头皮、下巴肉要新鲜无异味，加工烧净，洗割干净，无淋巴，无碎骨。</w:t>
            </w:r>
          </w:p>
          <w:p w14:paraId="2DDBBB89">
            <w:pPr>
              <w:spacing w:line="360" w:lineRule="auto"/>
              <w:ind w:left="105" w:leftChars="50" w:right="10" w:rightChars="5"/>
              <w:rPr>
                <w:rFonts w:ascii="宋体" w:hAnsi="宋体" w:cs="宋体"/>
                <w:szCs w:val="21"/>
              </w:rPr>
            </w:pPr>
            <w:r>
              <w:rPr>
                <w:rFonts w:hint="eastAsia" w:ascii="宋体" w:hAnsi="宋体" w:cs="宋体"/>
                <w:spacing w:val="-1"/>
                <w:szCs w:val="21"/>
              </w:rPr>
              <w:t>▲</w:t>
            </w:r>
            <w:r>
              <w:rPr>
                <w:rFonts w:hint="eastAsia" w:ascii="宋体" w:hAnsi="宋体" w:cs="宋体"/>
                <w:szCs w:val="21"/>
              </w:rPr>
              <w:t>（二）质量符合《中华人民共和国食品安全法》、《中华人民共和国农产品质量安全法》《中华人民共和国食品安全法实施条例》和其他对食品安全有关要求，确保饮食安全，严禁供应假冒伪劣产品和过期食品。</w:t>
            </w:r>
          </w:p>
          <w:p w14:paraId="34B41D0D">
            <w:pPr>
              <w:spacing w:line="360" w:lineRule="auto"/>
              <w:ind w:left="105" w:leftChars="50" w:right="10" w:rightChars="5"/>
              <w:rPr>
                <w:rFonts w:ascii="宋体" w:hAnsi="宋体" w:cs="宋体"/>
                <w:szCs w:val="21"/>
              </w:rPr>
            </w:pPr>
            <w:r>
              <w:rPr>
                <w:rFonts w:hint="eastAsia" w:ascii="宋体" w:hAnsi="宋体" w:cs="宋体"/>
                <w:szCs w:val="21"/>
              </w:rPr>
              <w:t>▲二、本表中所列的采购数量均为暂估量，具体数量以食材供应期限内实际供应量结算。中标人不得因实际供应量与本表中暂估数量不一致提出异议。</w:t>
            </w:r>
          </w:p>
        </w:tc>
        <w:tc>
          <w:tcPr>
            <w:tcW w:w="838" w:type="dxa"/>
            <w:tcBorders>
              <w:top w:val="single" w:color="auto" w:sz="4" w:space="0"/>
              <w:left w:val="single" w:color="auto" w:sz="4" w:space="0"/>
              <w:bottom w:val="single" w:color="auto" w:sz="4" w:space="0"/>
              <w:right w:val="single" w:color="auto" w:sz="4" w:space="0"/>
            </w:tcBorders>
            <w:vAlign w:val="center"/>
          </w:tcPr>
          <w:p w14:paraId="76D95584">
            <w:pPr>
              <w:widowControl/>
              <w:jc w:val="center"/>
            </w:pPr>
            <w:r>
              <w:rPr>
                <w:rFonts w:hint="eastAsia"/>
                <w:lang w:bidi="ar"/>
              </w:rPr>
              <w:t xml:space="preserve">23.00 </w:t>
            </w:r>
          </w:p>
        </w:tc>
      </w:tr>
      <w:tr w14:paraId="61AFB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6" w:hRule="atLeast"/>
          <w:jc w:val="center"/>
        </w:trPr>
        <w:tc>
          <w:tcPr>
            <w:tcW w:w="479" w:type="dxa"/>
            <w:vMerge w:val="continue"/>
            <w:tcBorders>
              <w:left w:val="single" w:color="auto" w:sz="4" w:space="0"/>
              <w:right w:val="single" w:color="auto" w:sz="4" w:space="0"/>
            </w:tcBorders>
            <w:vAlign w:val="center"/>
          </w:tcPr>
          <w:p w14:paraId="208CA811">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8F15475">
            <w:pPr>
              <w:jc w:val="center"/>
              <w:rPr>
                <w:rFonts w:ascii="宋体" w:hAnsi="宋体" w:cs="宋体"/>
                <w:sz w:val="24"/>
              </w:rPr>
            </w:pPr>
            <w:r>
              <w:rPr>
                <w:rFonts w:hint="eastAsia" w:ascii="宋体" w:hAnsi="宋体" w:cs="宋体"/>
                <w:sz w:val="24"/>
              </w:rPr>
              <w:t>2</w:t>
            </w:r>
          </w:p>
        </w:tc>
        <w:tc>
          <w:tcPr>
            <w:tcW w:w="931" w:type="dxa"/>
            <w:tcBorders>
              <w:top w:val="single" w:color="auto" w:sz="4" w:space="0"/>
              <w:left w:val="single" w:color="auto" w:sz="4" w:space="0"/>
              <w:bottom w:val="single" w:color="auto" w:sz="4" w:space="0"/>
              <w:right w:val="single" w:color="auto" w:sz="4" w:space="0"/>
            </w:tcBorders>
            <w:vAlign w:val="center"/>
          </w:tcPr>
          <w:p w14:paraId="3DEE555E">
            <w:pPr>
              <w:jc w:val="center"/>
            </w:pPr>
            <w:r>
              <w:rPr>
                <w:rFonts w:hint="eastAsia"/>
              </w:rPr>
              <w:t>牛腩</w:t>
            </w:r>
          </w:p>
        </w:tc>
        <w:tc>
          <w:tcPr>
            <w:tcW w:w="745" w:type="dxa"/>
            <w:tcBorders>
              <w:top w:val="single" w:color="auto" w:sz="4" w:space="0"/>
              <w:left w:val="single" w:color="auto" w:sz="4" w:space="0"/>
              <w:bottom w:val="single" w:color="auto" w:sz="4" w:space="0"/>
              <w:right w:val="single" w:color="auto" w:sz="4" w:space="0"/>
            </w:tcBorders>
            <w:vAlign w:val="center"/>
          </w:tcPr>
          <w:p w14:paraId="33246A51">
            <w:pPr>
              <w:jc w:val="center"/>
            </w:pPr>
            <w:r>
              <w:rPr>
                <w:rFonts w:hint="eastAsia"/>
              </w:rPr>
              <w:t>公斤</w:t>
            </w:r>
          </w:p>
        </w:tc>
        <w:tc>
          <w:tcPr>
            <w:tcW w:w="1202" w:type="dxa"/>
            <w:tcBorders>
              <w:top w:val="single" w:color="auto" w:sz="4" w:space="0"/>
              <w:left w:val="single" w:color="auto" w:sz="4" w:space="0"/>
              <w:bottom w:val="single" w:color="auto" w:sz="4" w:space="0"/>
              <w:right w:val="single" w:color="auto" w:sz="4" w:space="0"/>
            </w:tcBorders>
            <w:vAlign w:val="center"/>
          </w:tcPr>
          <w:p w14:paraId="504C1961">
            <w:pPr>
              <w:jc w:val="center"/>
            </w:pPr>
            <w:r>
              <w:rPr>
                <w:rFonts w:hint="eastAsia"/>
              </w:rPr>
              <w:t xml:space="preserve">500.00 </w:t>
            </w:r>
          </w:p>
        </w:tc>
        <w:tc>
          <w:tcPr>
            <w:tcW w:w="992" w:type="dxa"/>
            <w:vMerge w:val="continue"/>
            <w:tcBorders>
              <w:left w:val="single" w:color="auto" w:sz="4" w:space="0"/>
              <w:right w:val="single" w:color="auto" w:sz="4" w:space="0"/>
            </w:tcBorders>
            <w:vAlign w:val="center"/>
          </w:tcPr>
          <w:p w14:paraId="6C1B5A2B">
            <w:pPr>
              <w:jc w:val="center"/>
            </w:pPr>
          </w:p>
        </w:tc>
        <w:tc>
          <w:tcPr>
            <w:tcW w:w="4555" w:type="dxa"/>
            <w:tcBorders>
              <w:top w:val="single" w:color="auto" w:sz="4" w:space="0"/>
              <w:left w:val="single" w:color="auto" w:sz="4" w:space="0"/>
              <w:bottom w:val="single" w:color="auto" w:sz="4" w:space="0"/>
              <w:right w:val="single" w:color="auto" w:sz="4" w:space="0"/>
            </w:tcBorders>
            <w:vAlign w:val="center"/>
          </w:tcPr>
          <w:p w14:paraId="79029983">
            <w:pPr>
              <w:spacing w:line="360" w:lineRule="auto"/>
              <w:rPr>
                <w:rFonts w:ascii="宋体" w:hAnsi="宋体" w:cs="宋体"/>
              </w:rPr>
            </w:pPr>
            <w:r>
              <w:rPr>
                <w:rFonts w:hint="eastAsia" w:ascii="宋体" w:hAnsi="宋体" w:cs="宋体"/>
                <w:kern w:val="0"/>
                <w:szCs w:val="21"/>
              </w:rPr>
              <w:t>1.符合国家GB 20799-2016《食品安全国家标准肉和肉制品经营卫生规范》标准；                                                             2.质量符合我国《中华人民共和国食品安全法》和《中华人民共和国农产品质量安全法》的要求；                                                           3.牛腩应为当日宰杀的新鲜牛腩、无发水、变质、异味。</w:t>
            </w:r>
          </w:p>
        </w:tc>
        <w:tc>
          <w:tcPr>
            <w:tcW w:w="838" w:type="dxa"/>
            <w:tcBorders>
              <w:top w:val="single" w:color="auto" w:sz="4" w:space="0"/>
              <w:left w:val="single" w:color="auto" w:sz="4" w:space="0"/>
              <w:bottom w:val="single" w:color="auto" w:sz="4" w:space="0"/>
              <w:right w:val="single" w:color="auto" w:sz="4" w:space="0"/>
            </w:tcBorders>
            <w:vAlign w:val="center"/>
          </w:tcPr>
          <w:p w14:paraId="6361C0A4">
            <w:pPr>
              <w:widowControl/>
              <w:jc w:val="center"/>
            </w:pPr>
            <w:r>
              <w:rPr>
                <w:rFonts w:hint="eastAsia"/>
                <w:lang w:bidi="ar"/>
              </w:rPr>
              <w:t xml:space="preserve">60.00 </w:t>
            </w:r>
          </w:p>
        </w:tc>
      </w:tr>
      <w:tr w14:paraId="1C9C42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6" w:hRule="atLeast"/>
          <w:jc w:val="center"/>
        </w:trPr>
        <w:tc>
          <w:tcPr>
            <w:tcW w:w="479" w:type="dxa"/>
            <w:vMerge w:val="continue"/>
            <w:tcBorders>
              <w:left w:val="single" w:color="auto" w:sz="4" w:space="0"/>
              <w:right w:val="single" w:color="auto" w:sz="4" w:space="0"/>
            </w:tcBorders>
            <w:vAlign w:val="center"/>
          </w:tcPr>
          <w:p w14:paraId="1D78977E">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B858242">
            <w:pPr>
              <w:jc w:val="center"/>
              <w:rPr>
                <w:rFonts w:ascii="宋体" w:hAnsi="宋体" w:cs="宋体"/>
                <w:sz w:val="24"/>
              </w:rPr>
            </w:pPr>
            <w:r>
              <w:rPr>
                <w:rFonts w:hint="eastAsia" w:ascii="宋体" w:hAnsi="宋体" w:cs="宋体"/>
                <w:sz w:val="24"/>
              </w:rPr>
              <w:t>3</w:t>
            </w:r>
          </w:p>
        </w:tc>
        <w:tc>
          <w:tcPr>
            <w:tcW w:w="931" w:type="dxa"/>
            <w:tcBorders>
              <w:top w:val="single" w:color="auto" w:sz="4" w:space="0"/>
              <w:left w:val="single" w:color="auto" w:sz="4" w:space="0"/>
              <w:bottom w:val="single" w:color="auto" w:sz="4" w:space="0"/>
              <w:right w:val="single" w:color="auto" w:sz="4" w:space="0"/>
            </w:tcBorders>
            <w:vAlign w:val="center"/>
          </w:tcPr>
          <w:p w14:paraId="04F2636C">
            <w:pPr>
              <w:jc w:val="center"/>
            </w:pPr>
            <w:r>
              <w:rPr>
                <w:rFonts w:hint="eastAsia"/>
              </w:rPr>
              <w:t>牛肉</w:t>
            </w:r>
          </w:p>
        </w:tc>
        <w:tc>
          <w:tcPr>
            <w:tcW w:w="745" w:type="dxa"/>
            <w:tcBorders>
              <w:top w:val="single" w:color="auto" w:sz="4" w:space="0"/>
              <w:left w:val="single" w:color="auto" w:sz="4" w:space="0"/>
              <w:bottom w:val="single" w:color="auto" w:sz="4" w:space="0"/>
              <w:right w:val="single" w:color="auto" w:sz="4" w:space="0"/>
            </w:tcBorders>
            <w:vAlign w:val="center"/>
          </w:tcPr>
          <w:p w14:paraId="681DD90B">
            <w:pPr>
              <w:jc w:val="center"/>
            </w:pPr>
            <w:r>
              <w:rPr>
                <w:rFonts w:hint="eastAsia"/>
              </w:rPr>
              <w:t>公斤</w:t>
            </w:r>
          </w:p>
        </w:tc>
        <w:tc>
          <w:tcPr>
            <w:tcW w:w="1202" w:type="dxa"/>
            <w:tcBorders>
              <w:top w:val="single" w:color="auto" w:sz="4" w:space="0"/>
              <w:left w:val="single" w:color="auto" w:sz="4" w:space="0"/>
              <w:bottom w:val="single" w:color="auto" w:sz="4" w:space="0"/>
              <w:right w:val="single" w:color="auto" w:sz="4" w:space="0"/>
            </w:tcBorders>
            <w:vAlign w:val="center"/>
          </w:tcPr>
          <w:p w14:paraId="3E5F0D49">
            <w:pPr>
              <w:jc w:val="center"/>
            </w:pPr>
            <w:r>
              <w:rPr>
                <w:rFonts w:hint="eastAsia"/>
              </w:rPr>
              <w:t xml:space="preserve">500.00 </w:t>
            </w:r>
          </w:p>
        </w:tc>
        <w:tc>
          <w:tcPr>
            <w:tcW w:w="992" w:type="dxa"/>
            <w:vMerge w:val="continue"/>
            <w:tcBorders>
              <w:left w:val="single" w:color="auto" w:sz="4" w:space="0"/>
              <w:right w:val="single" w:color="auto" w:sz="4" w:space="0"/>
            </w:tcBorders>
            <w:vAlign w:val="center"/>
          </w:tcPr>
          <w:p w14:paraId="7D2D1CB8">
            <w:pPr>
              <w:jc w:val="center"/>
            </w:pPr>
          </w:p>
        </w:tc>
        <w:tc>
          <w:tcPr>
            <w:tcW w:w="4555" w:type="dxa"/>
            <w:tcBorders>
              <w:top w:val="single" w:color="auto" w:sz="4" w:space="0"/>
              <w:left w:val="single" w:color="auto" w:sz="4" w:space="0"/>
              <w:bottom w:val="single" w:color="auto" w:sz="4" w:space="0"/>
              <w:right w:val="single" w:color="auto" w:sz="4" w:space="0"/>
            </w:tcBorders>
            <w:vAlign w:val="center"/>
          </w:tcPr>
          <w:p w14:paraId="612CBCFF">
            <w:pPr>
              <w:spacing w:line="360" w:lineRule="auto"/>
              <w:rPr>
                <w:rFonts w:ascii="宋体" w:hAnsi="宋体" w:cs="宋体"/>
                <w:kern w:val="0"/>
                <w:szCs w:val="21"/>
              </w:rPr>
            </w:pPr>
            <w:r>
              <w:rPr>
                <w:rFonts w:hint="eastAsia" w:ascii="宋体" w:hAnsi="宋体" w:cs="宋体"/>
                <w:kern w:val="0"/>
                <w:szCs w:val="21"/>
              </w:rPr>
              <w:t>1.符合国家GB 20799-2016《食品安全国家标准肉和肉制品经营卫生规范》标准；                                                             2.质量符合我国《中华人民共和国食品安全法》和《中华人民共和国农产品质量安全法》的要求；                                                              3.牛肉应为当日宰杀的新鲜牛肉、无发水、变质、异味。</w:t>
            </w:r>
          </w:p>
        </w:tc>
        <w:tc>
          <w:tcPr>
            <w:tcW w:w="838" w:type="dxa"/>
            <w:tcBorders>
              <w:top w:val="single" w:color="auto" w:sz="4" w:space="0"/>
              <w:left w:val="single" w:color="auto" w:sz="4" w:space="0"/>
              <w:bottom w:val="single" w:color="auto" w:sz="4" w:space="0"/>
              <w:right w:val="single" w:color="auto" w:sz="4" w:space="0"/>
            </w:tcBorders>
            <w:vAlign w:val="center"/>
          </w:tcPr>
          <w:p w14:paraId="51A4A0BD">
            <w:pPr>
              <w:widowControl/>
              <w:jc w:val="center"/>
            </w:pPr>
            <w:r>
              <w:rPr>
                <w:rFonts w:hint="eastAsia"/>
                <w:lang w:bidi="ar"/>
              </w:rPr>
              <w:t xml:space="preserve">84.00 </w:t>
            </w:r>
          </w:p>
        </w:tc>
      </w:tr>
      <w:tr w14:paraId="14EE14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6" w:hRule="atLeast"/>
          <w:jc w:val="center"/>
        </w:trPr>
        <w:tc>
          <w:tcPr>
            <w:tcW w:w="479" w:type="dxa"/>
            <w:vMerge w:val="continue"/>
            <w:tcBorders>
              <w:left w:val="single" w:color="auto" w:sz="4" w:space="0"/>
              <w:right w:val="single" w:color="auto" w:sz="4" w:space="0"/>
            </w:tcBorders>
            <w:vAlign w:val="center"/>
          </w:tcPr>
          <w:p w14:paraId="06D61771">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C81A35F">
            <w:pPr>
              <w:jc w:val="center"/>
              <w:rPr>
                <w:rFonts w:ascii="宋体" w:hAnsi="宋体" w:cs="宋体"/>
                <w:sz w:val="24"/>
              </w:rPr>
            </w:pPr>
            <w:r>
              <w:rPr>
                <w:rFonts w:hint="eastAsia" w:ascii="宋体" w:hAnsi="宋体" w:cs="宋体"/>
                <w:sz w:val="24"/>
              </w:rPr>
              <w:t>4</w:t>
            </w:r>
          </w:p>
        </w:tc>
        <w:tc>
          <w:tcPr>
            <w:tcW w:w="931" w:type="dxa"/>
            <w:tcBorders>
              <w:top w:val="single" w:color="auto" w:sz="4" w:space="0"/>
              <w:left w:val="single" w:color="auto" w:sz="4" w:space="0"/>
              <w:bottom w:val="single" w:color="auto" w:sz="4" w:space="0"/>
              <w:right w:val="single" w:color="auto" w:sz="4" w:space="0"/>
            </w:tcBorders>
            <w:vAlign w:val="center"/>
          </w:tcPr>
          <w:p w14:paraId="10E71F47">
            <w:pPr>
              <w:jc w:val="center"/>
            </w:pPr>
            <w:r>
              <w:rPr>
                <w:rFonts w:hint="eastAsia"/>
              </w:rPr>
              <w:t>羊肉</w:t>
            </w:r>
          </w:p>
        </w:tc>
        <w:tc>
          <w:tcPr>
            <w:tcW w:w="745" w:type="dxa"/>
            <w:tcBorders>
              <w:top w:val="single" w:color="auto" w:sz="4" w:space="0"/>
              <w:left w:val="single" w:color="auto" w:sz="4" w:space="0"/>
              <w:bottom w:val="single" w:color="auto" w:sz="4" w:space="0"/>
              <w:right w:val="single" w:color="auto" w:sz="4" w:space="0"/>
            </w:tcBorders>
            <w:vAlign w:val="center"/>
          </w:tcPr>
          <w:p w14:paraId="314BBA74">
            <w:pPr>
              <w:jc w:val="center"/>
            </w:pPr>
            <w:r>
              <w:rPr>
                <w:rFonts w:hint="eastAsia"/>
              </w:rPr>
              <w:t>公斤</w:t>
            </w:r>
          </w:p>
        </w:tc>
        <w:tc>
          <w:tcPr>
            <w:tcW w:w="1202" w:type="dxa"/>
            <w:tcBorders>
              <w:top w:val="single" w:color="auto" w:sz="4" w:space="0"/>
              <w:left w:val="single" w:color="auto" w:sz="4" w:space="0"/>
              <w:bottom w:val="single" w:color="auto" w:sz="4" w:space="0"/>
              <w:right w:val="single" w:color="auto" w:sz="4" w:space="0"/>
            </w:tcBorders>
            <w:vAlign w:val="center"/>
          </w:tcPr>
          <w:p w14:paraId="208430D6">
            <w:pPr>
              <w:jc w:val="center"/>
            </w:pPr>
            <w:r>
              <w:rPr>
                <w:rFonts w:hint="eastAsia"/>
              </w:rPr>
              <w:t xml:space="preserve">500.00 </w:t>
            </w:r>
          </w:p>
        </w:tc>
        <w:tc>
          <w:tcPr>
            <w:tcW w:w="992" w:type="dxa"/>
            <w:vMerge w:val="continue"/>
            <w:tcBorders>
              <w:left w:val="single" w:color="auto" w:sz="4" w:space="0"/>
              <w:right w:val="single" w:color="auto" w:sz="4" w:space="0"/>
            </w:tcBorders>
            <w:vAlign w:val="center"/>
          </w:tcPr>
          <w:p w14:paraId="77BD7FBD">
            <w:pPr>
              <w:jc w:val="center"/>
            </w:pPr>
          </w:p>
        </w:tc>
        <w:tc>
          <w:tcPr>
            <w:tcW w:w="4555" w:type="dxa"/>
            <w:tcBorders>
              <w:top w:val="single" w:color="auto" w:sz="4" w:space="0"/>
              <w:left w:val="single" w:color="auto" w:sz="4" w:space="0"/>
              <w:right w:val="single" w:color="auto" w:sz="4" w:space="0"/>
            </w:tcBorders>
            <w:vAlign w:val="center"/>
          </w:tcPr>
          <w:p w14:paraId="16CD09B7">
            <w:pPr>
              <w:widowControl/>
              <w:spacing w:line="360" w:lineRule="auto"/>
              <w:jc w:val="left"/>
              <w:rPr>
                <w:rFonts w:ascii="宋体" w:hAnsi="宋体" w:cs="宋体"/>
                <w:kern w:val="0"/>
                <w:szCs w:val="21"/>
                <w:lang w:bidi="ar"/>
              </w:rPr>
            </w:pPr>
            <w:r>
              <w:rPr>
                <w:rFonts w:hint="eastAsia" w:ascii="宋体" w:hAnsi="宋体" w:cs="宋体"/>
                <w:kern w:val="0"/>
                <w:szCs w:val="21"/>
              </w:rPr>
              <w:t>1.符合国家GB 20799-2016《食品安全国家标准肉和肉制品经营卫生规范》标准；                                                             2.质量符合我国《中华人民共和国食品安全法》和《中华人民共和国农产品质量安全法》的要求；                                                                3.羊肉应为当日宰杀的新鲜羊肉，整头无内脏，无注水、变质、异味。</w:t>
            </w:r>
          </w:p>
        </w:tc>
        <w:tc>
          <w:tcPr>
            <w:tcW w:w="838" w:type="dxa"/>
            <w:tcBorders>
              <w:top w:val="single" w:color="auto" w:sz="4" w:space="0"/>
              <w:left w:val="single" w:color="auto" w:sz="4" w:space="0"/>
              <w:bottom w:val="single" w:color="auto" w:sz="4" w:space="0"/>
              <w:right w:val="single" w:color="auto" w:sz="4" w:space="0"/>
            </w:tcBorders>
            <w:vAlign w:val="center"/>
          </w:tcPr>
          <w:p w14:paraId="04977231">
            <w:pPr>
              <w:widowControl/>
              <w:jc w:val="center"/>
            </w:pPr>
            <w:r>
              <w:rPr>
                <w:rFonts w:hint="eastAsia"/>
                <w:lang w:bidi="ar"/>
              </w:rPr>
              <w:t xml:space="preserve">56.00 </w:t>
            </w:r>
          </w:p>
        </w:tc>
      </w:tr>
      <w:tr w14:paraId="7FA33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479" w:type="dxa"/>
            <w:tcBorders>
              <w:top w:val="single" w:color="auto" w:sz="4" w:space="0"/>
              <w:left w:val="single" w:color="auto" w:sz="4" w:space="0"/>
              <w:bottom w:val="single" w:color="auto" w:sz="4" w:space="0"/>
              <w:right w:val="single" w:color="auto" w:sz="4" w:space="0"/>
            </w:tcBorders>
          </w:tcPr>
          <w:p w14:paraId="268C72B4">
            <w:pPr>
              <w:jc w:val="center"/>
              <w:rPr>
                <w:rFonts w:ascii="宋体" w:hAnsi="宋体"/>
                <w:szCs w:val="21"/>
              </w:rPr>
            </w:pPr>
          </w:p>
          <w:p w14:paraId="15AA93EB">
            <w:pPr>
              <w:jc w:val="center"/>
              <w:rPr>
                <w:rFonts w:ascii="宋体" w:hAnsi="宋体"/>
                <w:szCs w:val="21"/>
              </w:rPr>
            </w:pPr>
          </w:p>
          <w:p w14:paraId="4E129727">
            <w:pPr>
              <w:jc w:val="center"/>
              <w:rPr>
                <w:rFonts w:ascii="宋体" w:hAnsi="宋体"/>
                <w:szCs w:val="21"/>
              </w:rPr>
            </w:pPr>
            <w:r>
              <w:rPr>
                <w:rFonts w:hint="eastAsia" w:ascii="宋体" w:hAnsi="宋体"/>
                <w:szCs w:val="21"/>
              </w:rPr>
              <w:t>商务条款</w:t>
            </w:r>
          </w:p>
        </w:tc>
        <w:tc>
          <w:tcPr>
            <w:tcW w:w="9779" w:type="dxa"/>
            <w:gridSpan w:val="7"/>
            <w:tcBorders>
              <w:top w:val="single" w:color="auto" w:sz="4" w:space="0"/>
              <w:left w:val="single" w:color="auto" w:sz="4" w:space="0"/>
              <w:bottom w:val="single" w:color="auto" w:sz="4" w:space="0"/>
              <w:right w:val="single" w:color="auto" w:sz="4" w:space="0"/>
            </w:tcBorders>
          </w:tcPr>
          <w:p w14:paraId="0E8A08AF">
            <w:pPr>
              <w:numPr>
                <w:ilvl w:val="255"/>
                <w:numId w:val="0"/>
              </w:numPr>
              <w:spacing w:line="360" w:lineRule="auto"/>
              <w:rPr>
                <w:rFonts w:ascii="宋体" w:hAnsi="宋体" w:cs="宋体"/>
              </w:rPr>
            </w:pPr>
            <w:bookmarkStart w:id="151" w:name="OLE_LINK9"/>
            <w:r>
              <w:rPr>
                <w:rFonts w:hint="eastAsia" w:ascii="宋体" w:hAnsi="宋体" w:cs="宋体"/>
                <w:b/>
              </w:rPr>
              <w:t>一、合同签订期</w:t>
            </w:r>
            <w:r>
              <w:rPr>
                <w:rFonts w:hint="eastAsia" w:ascii="宋体" w:hAnsi="宋体" w:cs="宋体"/>
              </w:rPr>
              <w:t>：自中标通知书发出之日起25日内。</w:t>
            </w:r>
          </w:p>
          <w:p w14:paraId="3DA8D83B">
            <w:pPr>
              <w:numPr>
                <w:ilvl w:val="255"/>
                <w:numId w:val="0"/>
              </w:numPr>
              <w:spacing w:line="360" w:lineRule="auto"/>
              <w:rPr>
                <w:rFonts w:ascii="宋体" w:hAnsi="宋体" w:cs="宋体"/>
                <w:b/>
                <w:bCs/>
              </w:rPr>
            </w:pPr>
            <w:r>
              <w:rPr>
                <w:rFonts w:hint="eastAsia" w:ascii="宋体" w:hAnsi="宋体" w:cs="宋体"/>
                <w:b/>
                <w:bCs/>
              </w:rPr>
              <w:t>二、交货要求</w:t>
            </w:r>
          </w:p>
          <w:p w14:paraId="6E4B5E93">
            <w:pPr>
              <w:spacing w:line="360" w:lineRule="auto"/>
              <w:rPr>
                <w:rFonts w:ascii="宋体" w:hAnsi="宋体" w:cs="宋体"/>
              </w:rPr>
            </w:pPr>
            <w:r>
              <w:rPr>
                <w:rFonts w:hint="eastAsia" w:ascii="宋体" w:hAnsi="宋体" w:cs="宋体"/>
              </w:rPr>
              <w:t>1.交货地点：</w:t>
            </w:r>
            <w:r>
              <w:rPr>
                <w:rFonts w:hint="eastAsia" w:ascii="宋体" w:hAnsi="宋体" w:cs="宋体"/>
                <w:szCs w:val="21"/>
              </w:rPr>
              <w:t>广西梧州市</w:t>
            </w:r>
            <w:r>
              <w:rPr>
                <w:rFonts w:hint="eastAsia" w:ascii="宋体" w:hAnsi="宋体" w:cs="宋体"/>
              </w:rPr>
              <w:t>采购人指定地点。</w:t>
            </w:r>
          </w:p>
          <w:p w14:paraId="3227D67E">
            <w:pPr>
              <w:spacing w:line="360" w:lineRule="auto"/>
              <w:rPr>
                <w:rFonts w:ascii="宋体" w:hAnsi="宋体" w:cs="宋体"/>
              </w:rPr>
            </w:pPr>
            <w:r>
              <w:rPr>
                <w:rFonts w:hint="eastAsia" w:ascii="宋体" w:hAnsi="宋体" w:cs="宋体"/>
              </w:rPr>
              <w:t>2.交货时间：</w:t>
            </w:r>
            <w:r>
              <w:rPr>
                <w:rFonts w:hint="eastAsia" w:ascii="宋体" w:hAnsi="宋体" w:cs="宋体"/>
                <w:szCs w:val="21"/>
              </w:rPr>
              <w:t>中标人向采购人供应食材为每天上午8:00前，确保一日一供，节假日正常供应，特殊情况双方协商确定。产品运输由中标人负责，运输及卸车费用由中标人承担</w:t>
            </w:r>
            <w:r>
              <w:rPr>
                <w:rFonts w:hint="eastAsia" w:ascii="宋体" w:hAnsi="宋体" w:cs="宋体"/>
              </w:rPr>
              <w:t>。</w:t>
            </w:r>
          </w:p>
          <w:p w14:paraId="3587E44E">
            <w:pPr>
              <w:spacing w:line="360" w:lineRule="auto"/>
              <w:rPr>
                <w:rFonts w:ascii="宋体" w:hAnsi="宋体" w:cs="宋体"/>
              </w:rPr>
            </w:pPr>
            <w:r>
              <w:rPr>
                <w:rFonts w:hint="eastAsia" w:ascii="宋体" w:hAnsi="宋体" w:cs="宋体"/>
              </w:rPr>
              <w:t>3.交货方式：现场交货。</w:t>
            </w:r>
          </w:p>
          <w:p w14:paraId="14106DDA">
            <w:pPr>
              <w:spacing w:line="360" w:lineRule="auto"/>
              <w:rPr>
                <w:rFonts w:ascii="宋体" w:hAnsi="宋体" w:cs="宋体"/>
              </w:rPr>
            </w:pPr>
            <w:r>
              <w:rPr>
                <w:rFonts w:hint="eastAsia" w:ascii="宋体" w:hAnsi="宋体" w:cs="宋体"/>
              </w:rPr>
              <w:t>4.合同履行期限：自合同签订之日起一年。</w:t>
            </w:r>
          </w:p>
          <w:p w14:paraId="46B3A32C">
            <w:pPr>
              <w:numPr>
                <w:ilvl w:val="255"/>
                <w:numId w:val="0"/>
              </w:numPr>
              <w:spacing w:line="360" w:lineRule="auto"/>
              <w:rPr>
                <w:rFonts w:ascii="宋体" w:hAnsi="宋体" w:cs="宋体"/>
                <w:b/>
                <w:bCs/>
              </w:rPr>
            </w:pPr>
            <w:r>
              <w:rPr>
                <w:rFonts w:hint="eastAsia" w:ascii="宋体" w:hAnsi="宋体"/>
                <w:b/>
                <w:bCs/>
                <w:szCs w:val="21"/>
              </w:rPr>
              <w:t>三、质保期</w:t>
            </w:r>
          </w:p>
          <w:p w14:paraId="6DB0F57E">
            <w:pPr>
              <w:spacing w:line="360" w:lineRule="auto"/>
              <w:rPr>
                <w:rFonts w:ascii="宋体" w:hAnsi="宋体" w:cs="宋体"/>
                <w:b/>
                <w:bCs/>
              </w:rPr>
            </w:pPr>
            <w:r>
              <w:rPr>
                <w:rFonts w:hint="eastAsia" w:ascii="宋体" w:hAnsi="宋体" w:cs="Courier New"/>
                <w:szCs w:val="21"/>
              </w:rPr>
              <w:t>自每批次货物验收合格起计算，不少于24小时。</w:t>
            </w:r>
          </w:p>
          <w:p w14:paraId="020EDF8C">
            <w:pPr>
              <w:numPr>
                <w:ilvl w:val="255"/>
                <w:numId w:val="0"/>
              </w:numPr>
              <w:spacing w:line="360" w:lineRule="auto"/>
              <w:rPr>
                <w:rFonts w:ascii="宋体" w:hAnsi="宋体" w:cs="宋体"/>
                <w:b/>
                <w:bCs/>
              </w:rPr>
            </w:pPr>
            <w:r>
              <w:rPr>
                <w:rFonts w:hint="eastAsia" w:ascii="宋体" w:hAnsi="宋体" w:cs="宋体"/>
                <w:b/>
                <w:bCs/>
              </w:rPr>
              <w:t>四、供货要求</w:t>
            </w:r>
          </w:p>
          <w:p w14:paraId="4F33E5FF">
            <w:pPr>
              <w:spacing w:line="360" w:lineRule="auto"/>
              <w:rPr>
                <w:rFonts w:ascii="宋体" w:hAnsi="宋体" w:cs="宋体"/>
              </w:rPr>
            </w:pPr>
            <w:r>
              <w:rPr>
                <w:rFonts w:hint="eastAsia" w:ascii="宋体" w:hAnsi="宋体" w:cs="宋体"/>
              </w:rPr>
              <w:t>1.一般供货要求：采购人根据实际需要，每天下午18时前列出一份第二天需要补充采购的食品请购清单，在收到采购人发出供货通知后，中标人最迟在次日上午8：00前提供当次物资。</w:t>
            </w:r>
          </w:p>
          <w:p w14:paraId="16D41769">
            <w:pPr>
              <w:spacing w:line="360" w:lineRule="auto"/>
              <w:rPr>
                <w:rFonts w:ascii="宋体" w:hAnsi="宋体" w:cs="宋体"/>
              </w:rPr>
            </w:pPr>
            <w:r>
              <w:rPr>
                <w:rFonts w:hint="eastAsia" w:ascii="宋体" w:hAnsi="宋体" w:cs="宋体"/>
              </w:rPr>
              <w:t>2.紧急供货要求：有紧急供货需求时，中标人在收到采购人发出紧急供货通知后，中标人最迟1小时内完成当次现场供货。</w:t>
            </w:r>
          </w:p>
          <w:p w14:paraId="2AEE88C1">
            <w:pPr>
              <w:spacing w:line="360" w:lineRule="auto"/>
              <w:rPr>
                <w:rFonts w:ascii="宋体" w:hAnsi="宋体" w:cs="宋体"/>
              </w:rPr>
            </w:pPr>
            <w:r>
              <w:rPr>
                <w:rFonts w:hint="eastAsia" w:ascii="宋体" w:hAnsi="宋体" w:cs="宋体"/>
              </w:rPr>
              <w:t>3.中标人不能满足供货要求时，应提前1个月通知采购人，采购人同意后方可终止合同。</w:t>
            </w:r>
          </w:p>
          <w:p w14:paraId="2E04CE82">
            <w:pPr>
              <w:spacing w:line="360" w:lineRule="auto"/>
              <w:rPr>
                <w:rFonts w:ascii="宋体" w:hAnsi="宋体" w:cs="宋体"/>
              </w:rPr>
            </w:pPr>
            <w:r>
              <w:rPr>
                <w:rFonts w:hint="eastAsia" w:ascii="宋体" w:hAnsi="宋体" w:cs="宋体"/>
              </w:rPr>
              <w:t>4.中标人提供的产品必须是经过质量监督管理部门检验，取得合格证明的产品，必须具有</w:t>
            </w:r>
            <w:r>
              <w:rPr>
                <w:rFonts w:hint="eastAsia" w:ascii="宋体" w:hAnsi="宋体" w:cs="宋体"/>
                <w:kern w:val="0"/>
                <w:szCs w:val="21"/>
              </w:rPr>
              <w:t>《</w:t>
            </w:r>
            <w:r>
              <w:rPr>
                <w:rFonts w:hint="eastAsia" w:ascii="宋体" w:hAnsi="宋体" w:cs="宋体"/>
              </w:rPr>
              <w:t>动物产品检疫合格证明》。严禁提供腐烂变质、污秽不洁、注水、含有毒、有害物质或对人体健康有害的食品等。</w:t>
            </w:r>
          </w:p>
          <w:p w14:paraId="1F345C2E">
            <w:pPr>
              <w:spacing w:line="360" w:lineRule="auto"/>
              <w:rPr>
                <w:rFonts w:ascii="宋体" w:hAnsi="宋体" w:cs="宋体"/>
              </w:rPr>
            </w:pPr>
            <w:r>
              <w:rPr>
                <w:rFonts w:hint="eastAsia" w:ascii="宋体" w:hAnsi="宋体" w:cs="宋体"/>
              </w:rPr>
              <w:t>5.需要切砍的货物须由中标人负责切砍后交货。</w:t>
            </w:r>
          </w:p>
          <w:p w14:paraId="1F77EAA8">
            <w:pPr>
              <w:spacing w:line="360" w:lineRule="auto"/>
              <w:rPr>
                <w:rFonts w:ascii="宋体" w:hAnsi="宋体" w:cs="宋体"/>
              </w:rPr>
            </w:pPr>
            <w:r>
              <w:rPr>
                <w:rFonts w:hint="eastAsia" w:ascii="宋体" w:hAnsi="宋体" w:cs="宋体"/>
              </w:rPr>
              <w:t>6.配送供应服务内容及要求详见附件一《配送供应内容及要求》。</w:t>
            </w:r>
          </w:p>
          <w:p w14:paraId="0FDDDCF8">
            <w:pPr>
              <w:numPr>
                <w:ilvl w:val="255"/>
                <w:numId w:val="0"/>
              </w:numPr>
              <w:spacing w:line="360" w:lineRule="auto"/>
              <w:rPr>
                <w:rFonts w:ascii="宋体" w:hAnsi="宋体" w:cs="宋体"/>
                <w:b/>
                <w:bCs/>
              </w:rPr>
            </w:pPr>
            <w:r>
              <w:rPr>
                <w:rFonts w:hint="eastAsia" w:ascii="宋体" w:hAnsi="宋体"/>
                <w:b/>
                <w:bCs/>
                <w:szCs w:val="21"/>
              </w:rPr>
              <w:t>五、售后服务要求</w:t>
            </w:r>
          </w:p>
          <w:p w14:paraId="603508F3">
            <w:pPr>
              <w:spacing w:line="360" w:lineRule="auto"/>
              <w:rPr>
                <w:rFonts w:ascii="宋体" w:hAnsi="宋体" w:cs="宋体"/>
              </w:rPr>
            </w:pPr>
            <w:r>
              <w:rPr>
                <w:rFonts w:hint="eastAsia" w:ascii="宋体" w:hAnsi="宋体" w:cs="宋体"/>
              </w:rPr>
              <w:t>1.中标人负责货物的供应、包装、运输、装卸、交货，以及途中冷链和售后服务等工作。</w:t>
            </w:r>
          </w:p>
          <w:p w14:paraId="277693F6">
            <w:pPr>
              <w:spacing w:line="360" w:lineRule="auto"/>
              <w:rPr>
                <w:rFonts w:ascii="宋体" w:hAnsi="宋体" w:cs="宋体"/>
              </w:rPr>
            </w:pPr>
            <w:r>
              <w:rPr>
                <w:rFonts w:hint="eastAsia" w:ascii="宋体" w:hAnsi="宋体" w:cs="宋体"/>
              </w:rPr>
              <w:t>2.保质保量，如在质保期内发现质量问题，中标人必须在接到采购人通知后1小时内响应并处理，如属质量问题的及时给予更换；</w:t>
            </w:r>
          </w:p>
          <w:p w14:paraId="2B4967E0">
            <w:pPr>
              <w:spacing w:line="360" w:lineRule="auto"/>
              <w:rPr>
                <w:rFonts w:ascii="宋体" w:hAnsi="宋体" w:cs="宋体"/>
              </w:rPr>
            </w:pPr>
            <w:r>
              <w:rPr>
                <w:rFonts w:hint="eastAsia" w:ascii="宋体" w:hAnsi="宋体" w:cs="宋体"/>
              </w:rPr>
              <w:t>3.投标人必须在投标文件中提供具体的“售后服务承诺书”；</w:t>
            </w:r>
          </w:p>
          <w:p w14:paraId="561C2043">
            <w:pPr>
              <w:spacing w:line="360" w:lineRule="auto"/>
              <w:rPr>
                <w:rFonts w:ascii="宋体" w:hAnsi="宋体" w:cs="宋体"/>
              </w:rPr>
            </w:pPr>
            <w:r>
              <w:rPr>
                <w:rFonts w:hint="eastAsia" w:ascii="宋体" w:hAnsi="宋体" w:cs="宋体"/>
              </w:rPr>
              <w:t>4.中标人必须严格按采购单位需要的数量和时间供货。</w:t>
            </w:r>
          </w:p>
          <w:p w14:paraId="72110765">
            <w:pPr>
              <w:numPr>
                <w:ilvl w:val="255"/>
                <w:numId w:val="0"/>
              </w:numPr>
              <w:spacing w:line="360" w:lineRule="auto"/>
              <w:rPr>
                <w:rFonts w:ascii="宋体" w:hAnsi="宋体" w:cs="宋体"/>
                <w:b/>
                <w:bCs/>
              </w:rPr>
            </w:pPr>
            <w:r>
              <w:rPr>
                <w:rFonts w:hint="eastAsia" w:ascii="宋体" w:hAnsi="宋体" w:cs="宋体"/>
                <w:b/>
                <w:bCs/>
              </w:rPr>
              <w:t>六、验收方法</w:t>
            </w:r>
          </w:p>
          <w:p w14:paraId="62DC8B14">
            <w:pPr>
              <w:spacing w:line="360" w:lineRule="auto"/>
              <w:rPr>
                <w:rFonts w:ascii="宋体" w:hAnsi="宋体" w:cs="宋体"/>
              </w:rPr>
            </w:pPr>
            <w:r>
              <w:rPr>
                <w:rFonts w:hint="eastAsia" w:ascii="宋体" w:hAnsi="宋体" w:cs="宋体"/>
              </w:rPr>
              <w:t>1.货物的验收工作由采购人和中标人共同进行。中标人提供的产品须经过采购人的感官检验、外观检验，若产品外观、包装、形式、质量不符合要求或感官检验不能达到食品卫生要求，当即拒收；中标人不能满足食品的质、量及售后服务要求时，采购人有权进行处罚或终止合同。</w:t>
            </w:r>
          </w:p>
          <w:p w14:paraId="568378BD">
            <w:pPr>
              <w:spacing w:line="360" w:lineRule="auto"/>
              <w:rPr>
                <w:rFonts w:ascii="宋体" w:hAnsi="宋体" w:cs="宋体"/>
              </w:rPr>
            </w:pPr>
            <w:r>
              <w:rPr>
                <w:rFonts w:hint="eastAsia" w:ascii="宋体" w:hAnsi="宋体" w:cs="宋体"/>
              </w:rPr>
              <w:t>2.验收工作的一般程序为：根据供货清单的具体要求，对所购物料进行清点、外观检查以及对物料的各项指标和性能进行实测，并逐项记录。检测结束后，验收人员在验收单上签字。对未能通过验收的，一律退货、更换直至验收合格。</w:t>
            </w:r>
          </w:p>
          <w:p w14:paraId="0AAC923C">
            <w:pPr>
              <w:numPr>
                <w:ilvl w:val="255"/>
                <w:numId w:val="0"/>
              </w:numPr>
              <w:spacing w:line="360" w:lineRule="auto"/>
              <w:rPr>
                <w:rFonts w:ascii="宋体" w:hAnsi="宋体" w:cs="宋体"/>
              </w:rPr>
            </w:pPr>
            <w:r>
              <w:rPr>
                <w:rFonts w:hint="eastAsia" w:ascii="宋体" w:hAnsi="宋体" w:cs="宋体"/>
                <w:b/>
                <w:bCs/>
              </w:rPr>
              <w:t>七、结算方式</w:t>
            </w:r>
          </w:p>
          <w:p w14:paraId="72E0BC99">
            <w:pPr>
              <w:spacing w:line="360" w:lineRule="auto"/>
              <w:jc w:val="left"/>
              <w:rPr>
                <w:rFonts w:ascii="宋体" w:hAnsi="宋体" w:cs="宋体"/>
              </w:rPr>
            </w:pPr>
            <w:r>
              <w:rPr>
                <w:rFonts w:hint="eastAsia" w:ascii="宋体" w:hAnsi="宋体" w:cs="宋体"/>
              </w:rPr>
              <w:t>(1)本项目采用先供货后对账再结算方式。</w:t>
            </w:r>
          </w:p>
          <w:p w14:paraId="06F08D36">
            <w:pPr>
              <w:spacing w:line="360" w:lineRule="auto"/>
              <w:jc w:val="left"/>
              <w:rPr>
                <w:rFonts w:ascii="宋体" w:hAnsi="宋体" w:cs="宋体"/>
              </w:rPr>
            </w:pPr>
            <w:r>
              <w:rPr>
                <w:rFonts w:hint="eastAsia" w:ascii="宋体" w:hAnsi="宋体" w:cs="宋体"/>
              </w:rPr>
              <w:t>(2)食材价格调动机制：自合同生效之日起三个月后，如果市场价格出现10%以上波动的，由中标供应商或采购人生活卫生部门提出调价申请，由采购人面向市场主体选择不少于3家具有代表性的调查对象（从以下市场或超市中随机抽取三家：梧州市龙圩区大圆塘市场、梧州市新兴市场、梧州市大塘市场、梧州市龙圩区龙人超市、梧州市沃尔玛超市、梧州市大润发超市）开展市场价格调查或送审计造价公司审定，以市场调查的最低价格或审定价乘以95%后作为下月的基准单价（特价商品除外），拟定调整价格经采购人工作小组复核，报采购人单位党委审定，方可调整价格。原则上每三个月复核一次采购价格。投标人应充分考虑到供货期间物品供应基准单价上涨的风险（如有新的价格调动机制文件，按新的文件规定执行）。在调价申请未得到批复前，供应商必须按现行价格供货，否则视为单方违约，同时按违约进行处理。</w:t>
            </w:r>
          </w:p>
          <w:p w14:paraId="43BA1156">
            <w:pPr>
              <w:spacing w:line="360" w:lineRule="auto"/>
              <w:rPr>
                <w:rFonts w:ascii="宋体" w:hAnsi="宋体" w:cs="宋体"/>
                <w:b/>
                <w:bCs/>
              </w:rPr>
            </w:pPr>
            <w:r>
              <w:rPr>
                <w:rFonts w:hint="eastAsia" w:ascii="宋体" w:hAnsi="宋体" w:cs="宋体"/>
                <w:szCs w:val="21"/>
              </w:rPr>
              <w:t>(3)食材供货期内，某一食材供应价款实际结算方式为：实际食材结算金额=供应基准单价×实际采购数量×中标折扣系数(%)。</w:t>
            </w:r>
          </w:p>
          <w:p w14:paraId="5A7F20C1">
            <w:pPr>
              <w:numPr>
                <w:ilvl w:val="255"/>
                <w:numId w:val="0"/>
              </w:numPr>
              <w:spacing w:line="360" w:lineRule="auto"/>
              <w:rPr>
                <w:rFonts w:ascii="宋体" w:hAnsi="宋体" w:cs="宋体"/>
                <w:b/>
                <w:bCs/>
              </w:rPr>
            </w:pPr>
            <w:r>
              <w:rPr>
                <w:rFonts w:hint="eastAsia" w:ascii="宋体" w:hAnsi="宋体" w:cs="宋体"/>
                <w:b/>
                <w:bCs/>
              </w:rPr>
              <w:t>八、其他要求</w:t>
            </w:r>
          </w:p>
          <w:p w14:paraId="29A0AC07">
            <w:pPr>
              <w:spacing w:line="360" w:lineRule="auto"/>
              <w:rPr>
                <w:rFonts w:ascii="宋体" w:hAnsi="宋体" w:cs="宋体"/>
              </w:rPr>
            </w:pPr>
            <w:r>
              <w:rPr>
                <w:rFonts w:hint="eastAsia" w:ascii="宋体" w:hAnsi="宋体" w:cs="宋体"/>
              </w:rPr>
              <w:t>1.中标人必须遵守采购人有关管理规定，否则采购人有权终止合同。</w:t>
            </w:r>
          </w:p>
          <w:p w14:paraId="6E1E2CFD">
            <w:pPr>
              <w:spacing w:line="360" w:lineRule="auto"/>
              <w:rPr>
                <w:rFonts w:ascii="宋体" w:hAnsi="宋体" w:cs="宋体"/>
              </w:rPr>
            </w:pPr>
            <w:r>
              <w:rPr>
                <w:rFonts w:hint="eastAsia" w:ascii="宋体" w:hAnsi="宋体" w:cs="宋体"/>
              </w:rPr>
              <w:t>2.配送人员必须办理健康证，针对各分标投标文件中提供2名以上员工的健康证明、</w:t>
            </w:r>
            <w:r>
              <w:rPr>
                <w:rFonts w:hint="eastAsia" w:ascii="宋体" w:hAnsi="宋体" w:cs="宋体"/>
                <w:bCs/>
                <w:kern w:val="0"/>
                <w:szCs w:val="21"/>
              </w:rPr>
              <w:t>提供无犯罪证明材料</w:t>
            </w:r>
            <w:r>
              <w:rPr>
                <w:rFonts w:hint="eastAsia" w:ascii="宋体" w:hAnsi="宋体" w:cs="宋体"/>
              </w:rPr>
              <w:t>。如临时非固定人员送货，须取得采购人同意。</w:t>
            </w:r>
          </w:p>
          <w:p w14:paraId="5FF24D16">
            <w:pPr>
              <w:spacing w:line="360" w:lineRule="auto"/>
              <w:rPr>
                <w:rFonts w:ascii="宋体" w:hAnsi="宋体" w:cs="宋体"/>
              </w:rPr>
            </w:pPr>
            <w:r>
              <w:rPr>
                <w:rFonts w:hint="eastAsia" w:ascii="宋体" w:hAnsi="宋体" w:cs="宋体"/>
              </w:rPr>
              <w:t>3.投标人针对各分标必须拥有专用配送车辆（投标文件中提供如下证明资料：驾驶证、行驶证、车辆≥1辆、车辆照片），车厢内干净、整洁且能按采购人规定的时间及地点一次完成该批次货物的供应。</w:t>
            </w:r>
          </w:p>
          <w:p w14:paraId="7C508142">
            <w:pPr>
              <w:spacing w:line="360" w:lineRule="auto"/>
              <w:rPr>
                <w:rFonts w:ascii="宋体" w:hAnsi="宋体" w:cs="宋体"/>
              </w:rPr>
            </w:pPr>
            <w:r>
              <w:rPr>
                <w:rFonts w:hint="eastAsia" w:ascii="宋体" w:hAnsi="宋体" w:cs="宋体"/>
              </w:rPr>
              <w:t>4.</w:t>
            </w:r>
            <w:r>
              <w:rPr>
                <w:rFonts w:hint="eastAsia" w:ascii="宋体" w:hAnsi="宋体" w:cs="宋体"/>
                <w:b/>
              </w:rPr>
              <w:t>本项目采购需求中的要求均为实质性要求，投标人必须满足或优于，否则按投标无效处理</w:t>
            </w:r>
            <w:r>
              <w:rPr>
                <w:rFonts w:hint="eastAsia" w:ascii="宋体" w:hAnsi="宋体" w:cs="宋体"/>
              </w:rPr>
              <w:t>。实际数量为采购人根据实际需要；中标人不得因实际供应量提出异议。</w:t>
            </w:r>
          </w:p>
          <w:p w14:paraId="1F8AC20E">
            <w:pPr>
              <w:numPr>
                <w:ilvl w:val="255"/>
                <w:numId w:val="0"/>
              </w:numPr>
              <w:spacing w:line="360" w:lineRule="auto"/>
              <w:rPr>
                <w:rFonts w:ascii="宋体" w:hAnsi="宋体" w:cs="宋体"/>
                <w:b/>
                <w:bCs/>
              </w:rPr>
            </w:pPr>
            <w:r>
              <w:rPr>
                <w:rFonts w:hint="eastAsia" w:ascii="宋体" w:hAnsi="宋体" w:cs="宋体"/>
                <w:b/>
                <w:bCs/>
              </w:rPr>
              <w:t>九、安全责任</w:t>
            </w:r>
          </w:p>
          <w:p w14:paraId="0905263C">
            <w:pPr>
              <w:spacing w:line="360" w:lineRule="auto"/>
              <w:rPr>
                <w:rFonts w:ascii="宋体" w:hAnsi="宋体" w:cs="宋体"/>
              </w:rPr>
            </w:pPr>
            <w:r>
              <w:rPr>
                <w:rFonts w:hint="eastAsia" w:ascii="宋体" w:hAnsi="宋体" w:cs="宋体"/>
              </w:rPr>
              <w:t>1.采购人有权随时对产品进行抽样送检，检测费用由中标人承担。中标人必须依法接受质量技术监督、卫生、市场监督管理局等职能部门的监督管理，并接受、配合相关职能部门的检测。因产品卫生和质量不合格而发生安全事故，中标人无条件承担全部责任，有关职能部门依法追究其责任，并取消中标人配送资格。</w:t>
            </w:r>
          </w:p>
          <w:p w14:paraId="30B59A6E">
            <w:pPr>
              <w:spacing w:line="360" w:lineRule="auto"/>
              <w:rPr>
                <w:rFonts w:ascii="宋体" w:hAnsi="宋体" w:cs="宋体"/>
              </w:rPr>
            </w:pPr>
            <w:r>
              <w:rPr>
                <w:rFonts w:hint="eastAsia" w:ascii="宋体" w:hAnsi="宋体" w:cs="宋体"/>
              </w:rPr>
              <w:t>2.中标人应严格遵守《中华人民共和国食品安全法》等相关规定，所提供的产品是合格安全的产品，一经发现供应以下食品，采购人除全部退货外，有权可取消中标人配送资格，没收全部履约保证金，中标人并承担由此造成的经济责任和法律责任。</w:t>
            </w:r>
          </w:p>
          <w:p w14:paraId="03570B51">
            <w:pPr>
              <w:spacing w:line="360" w:lineRule="auto"/>
              <w:rPr>
                <w:rFonts w:ascii="宋体" w:hAnsi="宋体" w:cs="宋体"/>
              </w:rPr>
            </w:pPr>
            <w:r>
              <w:rPr>
                <w:rFonts w:hint="eastAsia" w:ascii="宋体" w:hAnsi="宋体" w:cs="宋体"/>
              </w:rPr>
              <w:t>①腐败变质、油脂酸败、霉变、生虫、污秽不洁、混有异物或者其他感官性状异常，对人体健康有害的；</w:t>
            </w:r>
          </w:p>
          <w:p w14:paraId="4598C45B">
            <w:pPr>
              <w:spacing w:line="360" w:lineRule="auto"/>
              <w:rPr>
                <w:rFonts w:ascii="宋体" w:hAnsi="宋体" w:cs="宋体"/>
              </w:rPr>
            </w:pPr>
            <w:r>
              <w:rPr>
                <w:rFonts w:hint="eastAsia" w:ascii="宋体" w:hAnsi="宋体" w:cs="宋体"/>
              </w:rPr>
              <w:t>②含有毒、有害物质或者被有害物质污染，对人体健康有害的；</w:t>
            </w:r>
          </w:p>
          <w:p w14:paraId="2AF4E39B">
            <w:pPr>
              <w:spacing w:line="360" w:lineRule="auto"/>
              <w:rPr>
                <w:rFonts w:ascii="宋体" w:hAnsi="宋体" w:cs="宋体"/>
              </w:rPr>
            </w:pPr>
            <w:r>
              <w:rPr>
                <w:rFonts w:hint="eastAsia" w:ascii="宋体" w:hAnsi="宋体" w:cs="宋体"/>
              </w:rPr>
              <w:t>③含有致病性寄生虫、微生物或者微生物含量超过国家限定标准的；</w:t>
            </w:r>
          </w:p>
          <w:p w14:paraId="16EE3762">
            <w:pPr>
              <w:spacing w:line="360" w:lineRule="auto"/>
              <w:rPr>
                <w:rFonts w:ascii="宋体" w:hAnsi="宋体" w:cs="宋体"/>
              </w:rPr>
            </w:pPr>
            <w:r>
              <w:rPr>
                <w:rFonts w:hint="eastAsia" w:ascii="宋体" w:hAnsi="宋体" w:cs="宋体"/>
              </w:rPr>
              <w:t>④掺假、掺杂、伪造，影响营养、卫生的；</w:t>
            </w:r>
          </w:p>
          <w:p w14:paraId="52C52F43">
            <w:pPr>
              <w:spacing w:line="360" w:lineRule="auto"/>
              <w:rPr>
                <w:rFonts w:ascii="宋体" w:hAnsi="宋体" w:cs="宋体"/>
              </w:rPr>
            </w:pPr>
            <w:r>
              <w:rPr>
                <w:rFonts w:hint="eastAsia" w:ascii="宋体" w:hAnsi="宋体" w:cs="宋体"/>
              </w:rPr>
              <w:t>⑤用非食品原料加工的，加入非食品用化学物质或者将非食品当作食品的；</w:t>
            </w:r>
          </w:p>
          <w:p w14:paraId="32B875AE">
            <w:pPr>
              <w:spacing w:line="360" w:lineRule="auto"/>
              <w:rPr>
                <w:rFonts w:ascii="宋体" w:hAnsi="宋体" w:cs="宋体"/>
              </w:rPr>
            </w:pPr>
            <w:r>
              <w:rPr>
                <w:rFonts w:hint="eastAsia" w:ascii="宋体" w:hAnsi="宋体" w:cs="宋体"/>
              </w:rPr>
              <w:t>⑥超过保质期限的。</w:t>
            </w:r>
          </w:p>
          <w:p w14:paraId="17510556">
            <w:pPr>
              <w:spacing w:line="360" w:lineRule="auto"/>
              <w:rPr>
                <w:rFonts w:ascii="宋体" w:hAnsi="宋体" w:cs="宋体"/>
              </w:rPr>
            </w:pPr>
            <w:r>
              <w:rPr>
                <w:rFonts w:hint="eastAsia" w:ascii="宋体" w:hAnsi="宋体" w:cs="宋体"/>
              </w:rPr>
              <w:t>⑦病死、毒死或者死因不明的禽、畜、兽动物等及其制品；</w:t>
            </w:r>
          </w:p>
          <w:p w14:paraId="1EA98B5B">
            <w:pPr>
              <w:spacing w:line="360" w:lineRule="auto"/>
            </w:pPr>
            <w:r>
              <w:rPr>
                <w:rFonts w:hint="eastAsia" w:ascii="宋体" w:hAnsi="宋体" w:cs="宋体"/>
              </w:rPr>
              <w:t>⑧</w:t>
            </w:r>
            <w:r>
              <w:rPr>
                <w:rFonts w:hint="eastAsia"/>
              </w:rPr>
              <w:t>食材没有合法供货来源的；</w:t>
            </w:r>
          </w:p>
          <w:p w14:paraId="787742F7">
            <w:pPr>
              <w:spacing w:line="360" w:lineRule="auto"/>
              <w:rPr>
                <w:rFonts w:ascii="宋体" w:hAnsi="宋体" w:cs="宋体"/>
              </w:rPr>
            </w:pPr>
            <w:r>
              <w:rPr>
                <w:rFonts w:hint="eastAsia" w:ascii="宋体" w:hAnsi="宋体" w:cs="宋体"/>
                <w:szCs w:val="21"/>
              </w:rPr>
              <w:t>⑨</w:t>
            </w:r>
            <w:r>
              <w:rPr>
                <w:rFonts w:hint="eastAsia" w:ascii="宋体" w:hAnsi="宋体"/>
                <w:szCs w:val="21"/>
              </w:rPr>
              <w:t>未经检疫部门检疫、检验或者检疫、检验不合格的；</w:t>
            </w:r>
          </w:p>
          <w:p w14:paraId="5C4C3841">
            <w:pPr>
              <w:spacing w:line="360" w:lineRule="auto"/>
              <w:rPr>
                <w:rFonts w:ascii="宋体" w:hAnsi="宋体" w:cs="宋体"/>
              </w:rPr>
            </w:pPr>
            <w:r>
              <w:rPr>
                <w:rFonts w:hint="eastAsia" w:ascii="宋体" w:hAnsi="宋体" w:cs="宋体"/>
              </w:rPr>
              <w:t>⑩其他不符合食品卫生标准的情形。</w:t>
            </w:r>
          </w:p>
          <w:p w14:paraId="22C902A5">
            <w:pPr>
              <w:spacing w:line="360" w:lineRule="auto"/>
              <w:rPr>
                <w:rFonts w:ascii="宋体" w:hAnsi="宋体" w:cs="宋体"/>
              </w:rPr>
            </w:pPr>
            <w:r>
              <w:rPr>
                <w:rFonts w:hint="eastAsia" w:ascii="宋体" w:hAnsi="宋体" w:cs="宋体"/>
              </w:rPr>
              <w:t>3.服务期限内，如有以下情形之一的，终止其配送资格。</w:t>
            </w:r>
          </w:p>
          <w:p w14:paraId="6EA5BA4E">
            <w:pPr>
              <w:spacing w:line="360" w:lineRule="auto"/>
              <w:rPr>
                <w:rFonts w:ascii="宋体" w:hAnsi="宋体" w:cs="宋体"/>
              </w:rPr>
            </w:pPr>
            <w:r>
              <w:rPr>
                <w:rFonts w:hint="eastAsia" w:ascii="宋体" w:hAnsi="宋体" w:cs="宋体"/>
              </w:rPr>
              <w:t>①严重违法违规，被食品安全监管部门或其他部门处罚的；</w:t>
            </w:r>
          </w:p>
          <w:p w14:paraId="590C87F5">
            <w:pPr>
              <w:spacing w:line="360" w:lineRule="auto"/>
              <w:rPr>
                <w:rFonts w:ascii="宋体" w:hAnsi="宋体" w:cs="宋体"/>
              </w:rPr>
            </w:pPr>
            <w:r>
              <w:rPr>
                <w:rFonts w:hint="eastAsia" w:ascii="宋体" w:hAnsi="宋体" w:cs="宋体"/>
              </w:rPr>
              <w:t>②虚开发票，套取资金，被监察、审计、财政、物价等有关部门查实的；</w:t>
            </w:r>
          </w:p>
          <w:p w14:paraId="237C4191">
            <w:pPr>
              <w:spacing w:line="360" w:lineRule="auto"/>
              <w:rPr>
                <w:rFonts w:ascii="宋体" w:hAnsi="宋体" w:cs="宋体"/>
              </w:rPr>
            </w:pPr>
            <w:r>
              <w:rPr>
                <w:rFonts w:hint="eastAsia" w:ascii="宋体" w:hAnsi="宋体" w:cs="宋体"/>
              </w:rPr>
              <w:t>③因食品原材料问题而发生食品安全事故，造成不良后果的；</w:t>
            </w:r>
          </w:p>
          <w:p w14:paraId="7FA660E2">
            <w:pPr>
              <w:spacing w:line="360" w:lineRule="auto"/>
              <w:rPr>
                <w:rFonts w:ascii="宋体" w:hAnsi="宋体" w:cs="宋体"/>
              </w:rPr>
            </w:pPr>
            <w:r>
              <w:rPr>
                <w:rFonts w:hint="eastAsia" w:ascii="宋体" w:hAnsi="宋体" w:cs="宋体"/>
              </w:rPr>
              <w:t>④被</w:t>
            </w:r>
            <w:r>
              <w:rPr>
                <w:rFonts w:hint="eastAsia" w:ascii="宋体" w:hAnsi="宋体"/>
                <w:szCs w:val="21"/>
              </w:rPr>
              <w:t>市场监督管理局</w:t>
            </w:r>
            <w:r>
              <w:rPr>
                <w:rFonts w:hint="eastAsia" w:ascii="宋体" w:hAnsi="宋体" w:cs="宋体"/>
              </w:rPr>
              <w:t>、农业农村局抽检食品原材料发现存在严重质量问题的；</w:t>
            </w:r>
          </w:p>
          <w:p w14:paraId="3FC4BF43">
            <w:pPr>
              <w:spacing w:line="360" w:lineRule="auto"/>
              <w:rPr>
                <w:rFonts w:ascii="宋体" w:hAnsi="宋体" w:cs="宋体"/>
              </w:rPr>
            </w:pPr>
            <w:r>
              <w:rPr>
                <w:rFonts w:hint="eastAsia" w:ascii="宋体" w:hAnsi="宋体" w:cs="宋体"/>
              </w:rPr>
              <w:t>⑤被媒体曝光，造成不良影响的；</w:t>
            </w:r>
          </w:p>
          <w:p w14:paraId="174C0BD3">
            <w:pPr>
              <w:spacing w:line="360" w:lineRule="auto"/>
              <w:rPr>
                <w:rFonts w:ascii="宋体" w:hAnsi="宋体" w:cs="宋体"/>
              </w:rPr>
            </w:pPr>
            <w:r>
              <w:rPr>
                <w:rFonts w:hint="eastAsia" w:ascii="宋体" w:hAnsi="宋体" w:cs="宋体"/>
              </w:rPr>
              <w:t>⑥经查实，存在严重短斤缺两行为；</w:t>
            </w:r>
          </w:p>
          <w:p w14:paraId="4D8462B3">
            <w:pPr>
              <w:widowControl/>
              <w:shd w:val="clear" w:color="auto" w:fill="FFFFFF"/>
              <w:spacing w:line="312" w:lineRule="auto"/>
              <w:jc w:val="left"/>
              <w:rPr>
                <w:rFonts w:ascii="宋体" w:hAnsi="宋体"/>
                <w:szCs w:val="21"/>
              </w:rPr>
            </w:pPr>
            <w:r>
              <w:rPr>
                <w:rFonts w:hint="eastAsia" w:ascii="宋体" w:hAnsi="宋体" w:cs="宋体"/>
              </w:rPr>
              <w:t>⑦</w:t>
            </w:r>
            <w:r>
              <w:rPr>
                <w:rFonts w:hint="eastAsia" w:ascii="宋体" w:hAnsi="宋体"/>
                <w:szCs w:val="21"/>
              </w:rPr>
              <w:t>被吊销或注销食品生产许可证或者食品经营许可证的；</w:t>
            </w:r>
          </w:p>
          <w:p w14:paraId="3572636D">
            <w:pPr>
              <w:spacing w:line="360" w:lineRule="auto"/>
              <w:rPr>
                <w:rFonts w:ascii="宋体" w:hAnsi="宋体"/>
                <w:szCs w:val="21"/>
              </w:rPr>
            </w:pPr>
            <w:r>
              <w:rPr>
                <w:rFonts w:hint="eastAsia" w:ascii="宋体" w:hAnsi="宋体" w:cs="宋体"/>
              </w:rPr>
              <w:t>⑧</w:t>
            </w:r>
            <w:r>
              <w:rPr>
                <w:rFonts w:hint="eastAsia" w:ascii="宋体" w:hAnsi="宋体"/>
                <w:szCs w:val="21"/>
              </w:rPr>
              <w:t>违反食堂食品原材料采购配送规定，上级主管部门认定应退出的；</w:t>
            </w:r>
          </w:p>
          <w:p w14:paraId="331C4DF8">
            <w:pPr>
              <w:spacing w:line="360" w:lineRule="auto"/>
              <w:rPr>
                <w:rFonts w:ascii="宋体" w:hAnsi="宋体"/>
                <w:szCs w:val="21"/>
              </w:rPr>
            </w:pPr>
            <w:r>
              <w:rPr>
                <w:rFonts w:hint="eastAsia" w:ascii="宋体" w:hAnsi="宋体" w:cs="宋体"/>
                <w:szCs w:val="21"/>
              </w:rPr>
              <w:t>⑨</w:t>
            </w:r>
            <w:r>
              <w:rPr>
                <w:rFonts w:hint="eastAsia" w:ascii="宋体" w:hAnsi="宋体"/>
                <w:szCs w:val="21"/>
              </w:rPr>
              <w:t>存在转包发包行为的。</w:t>
            </w:r>
          </w:p>
          <w:p w14:paraId="78BF44F1">
            <w:pPr>
              <w:numPr>
                <w:ilvl w:val="255"/>
                <w:numId w:val="0"/>
              </w:numPr>
              <w:spacing w:line="360" w:lineRule="auto"/>
              <w:jc w:val="left"/>
              <w:rPr>
                <w:rFonts w:ascii="宋体" w:hAnsi="宋体" w:cs="宋体"/>
                <w:b/>
                <w:bCs/>
              </w:rPr>
            </w:pPr>
            <w:r>
              <w:rPr>
                <w:rFonts w:hint="eastAsia" w:ascii="宋体" w:hAnsi="宋体" w:cs="宋体"/>
                <w:b/>
                <w:bCs/>
              </w:rPr>
              <w:t>十、报价要求</w:t>
            </w:r>
          </w:p>
          <w:p w14:paraId="27EFC7B2">
            <w:pPr>
              <w:spacing w:line="360" w:lineRule="auto"/>
              <w:rPr>
                <w:rFonts w:ascii="宋体" w:hAnsi="宋体" w:cs="宋体"/>
                <w:szCs w:val="21"/>
              </w:rPr>
            </w:pPr>
            <w:r>
              <w:rPr>
                <w:rFonts w:hint="eastAsia" w:ascii="宋体" w:hAnsi="宋体" w:cs="宋体"/>
              </w:rPr>
              <w:t>1.</w:t>
            </w:r>
            <w:r>
              <w:rPr>
                <w:rFonts w:hint="eastAsia" w:ascii="宋体" w:hAnsi="宋体" w:cs="宋体"/>
                <w:szCs w:val="21"/>
              </w:rPr>
              <w:t xml:space="preserve"> 超出有效报价范围的视为投标无效；投标报价按综合折扣系数报价（保留小数点后2位），投标报价有效报价范围为：折扣系数≤100%，投标人的投标单价为供应基准单价×投标报价折扣系数。</w:t>
            </w:r>
          </w:p>
          <w:p w14:paraId="3111991F">
            <w:pPr>
              <w:spacing w:line="360" w:lineRule="auto"/>
              <w:rPr>
                <w:rFonts w:ascii="宋体" w:hAnsi="宋体" w:cs="宋体"/>
                <w:b/>
                <w:bCs/>
              </w:rPr>
            </w:pPr>
            <w:r>
              <w:rPr>
                <w:rFonts w:hint="eastAsia" w:ascii="宋体" w:hAnsi="宋体" w:cs="宋体"/>
              </w:rPr>
              <w:t>2.投标报价结合市场价格、成本及自身条件、市场风险考虑报出综合的折扣系数。</w:t>
            </w:r>
            <w:r>
              <w:rPr>
                <w:rFonts w:hint="eastAsia" w:ascii="宋体" w:hAnsi="宋体" w:cs="宋体"/>
                <w:b/>
                <w:bCs/>
              </w:rPr>
              <w:t>投标人一旦中标，中标折扣系数在合同服务期内不得改变。</w:t>
            </w:r>
          </w:p>
          <w:p w14:paraId="636FFA84">
            <w:pPr>
              <w:spacing w:line="360" w:lineRule="auto"/>
              <w:rPr>
                <w:rFonts w:ascii="宋体" w:hAnsi="宋体" w:cs="宋体"/>
              </w:rPr>
            </w:pPr>
            <w:r>
              <w:rPr>
                <w:rFonts w:hint="eastAsia" w:ascii="宋体" w:hAnsi="宋体" w:cs="宋体"/>
              </w:rPr>
              <w:t>3.报价必须含以下部分，包括：</w:t>
            </w:r>
          </w:p>
          <w:p w14:paraId="4196034F">
            <w:pPr>
              <w:spacing w:line="360" w:lineRule="auto"/>
              <w:rPr>
                <w:rFonts w:ascii="宋体" w:hAnsi="宋体" w:cs="宋体"/>
              </w:rPr>
            </w:pPr>
            <w:r>
              <w:rPr>
                <w:rFonts w:hint="eastAsia" w:ascii="宋体" w:hAnsi="宋体" w:cs="宋体"/>
              </w:rPr>
              <w:t>①货物、服务的价格；</w:t>
            </w:r>
          </w:p>
          <w:p w14:paraId="54E5883A">
            <w:pPr>
              <w:spacing w:line="360" w:lineRule="auto"/>
              <w:rPr>
                <w:rFonts w:ascii="宋体" w:hAnsi="宋体" w:cs="宋体"/>
              </w:rPr>
            </w:pPr>
            <w:r>
              <w:rPr>
                <w:rFonts w:hint="eastAsia" w:ascii="宋体" w:hAnsi="宋体" w:cs="宋体"/>
              </w:rPr>
              <w:t>②必要的保险费用和各项税金；</w:t>
            </w:r>
          </w:p>
          <w:p w14:paraId="0E6DE4C9">
            <w:pPr>
              <w:spacing w:line="360" w:lineRule="auto"/>
              <w:rPr>
                <w:rFonts w:ascii="宋体" w:hAnsi="宋体" w:cs="宋体"/>
              </w:rPr>
            </w:pPr>
            <w:r>
              <w:rPr>
                <w:rFonts w:hint="eastAsia" w:ascii="宋体" w:hAnsi="宋体" w:cs="宋体"/>
              </w:rPr>
              <w:t>③</w:t>
            </w:r>
            <w:r>
              <w:rPr>
                <w:rFonts w:hint="eastAsia" w:ascii="宋体" w:hAnsi="宋体"/>
                <w:szCs w:val="21"/>
              </w:rPr>
              <w:t>检验检测、</w:t>
            </w:r>
            <w:r>
              <w:rPr>
                <w:rFonts w:hint="eastAsia" w:ascii="宋体" w:hAnsi="宋体" w:cs="宋体"/>
              </w:rPr>
              <w:t>包装费、运输、搬运装卸、配件加工、</w:t>
            </w:r>
            <w:r>
              <w:rPr>
                <w:rFonts w:hint="eastAsia" w:ascii="宋体" w:hAnsi="宋体"/>
                <w:szCs w:val="21"/>
              </w:rPr>
              <w:t>仓储、人工费及配送费、</w:t>
            </w:r>
            <w:r>
              <w:rPr>
                <w:rFonts w:hint="eastAsia" w:ascii="宋体" w:hAnsi="宋体" w:cs="宋体"/>
              </w:rPr>
              <w:t>售后服务等费用；</w:t>
            </w:r>
          </w:p>
          <w:p w14:paraId="40B63CE8">
            <w:pPr>
              <w:spacing w:line="360" w:lineRule="auto"/>
              <w:rPr>
                <w:rFonts w:ascii="宋体" w:hAnsi="宋体" w:cs="宋体"/>
              </w:rPr>
            </w:pPr>
            <w:r>
              <w:rPr>
                <w:rFonts w:hint="eastAsia" w:ascii="宋体" w:hAnsi="宋体" w:cs="宋体"/>
              </w:rPr>
              <w:t>④招标文件所要求的相关服务以及合同所示全部责任、义务和一般风险等全过程产生的所有成本和费用以及税费与投标人认为应包含在本项目中的一切费用等有关费用。</w:t>
            </w:r>
          </w:p>
          <w:p w14:paraId="49080C2A">
            <w:pPr>
              <w:spacing w:line="360" w:lineRule="auto"/>
              <w:rPr>
                <w:rFonts w:ascii="宋体" w:hAnsi="宋体" w:cs="宋体"/>
              </w:rPr>
            </w:pPr>
            <w:r>
              <w:rPr>
                <w:rFonts w:hint="eastAsia" w:ascii="宋体" w:hAnsi="宋体" w:cs="宋体"/>
              </w:rPr>
              <w:t>4.采购人经市场多方面询价发现中标人在合同服务期内所提供的商品价格普遍比市场询价高的、提供假冒伪劣、质量缺陷、非正品的产品，采购人向中标人发出累计二次书面问责书后合同自动解除。</w:t>
            </w:r>
          </w:p>
          <w:p w14:paraId="2763E11D">
            <w:pPr>
              <w:numPr>
                <w:ilvl w:val="255"/>
                <w:numId w:val="0"/>
              </w:numPr>
              <w:spacing w:line="360" w:lineRule="auto"/>
              <w:jc w:val="left"/>
              <w:rPr>
                <w:rFonts w:ascii="宋体" w:hAnsi="宋体" w:cs="宋体"/>
                <w:b/>
                <w:bCs/>
              </w:rPr>
            </w:pPr>
            <w:r>
              <w:rPr>
                <w:rFonts w:hint="eastAsia" w:ascii="宋体" w:hAnsi="宋体" w:cs="宋体"/>
                <w:b/>
                <w:bCs/>
              </w:rPr>
              <w:t>十一、付款方式：</w:t>
            </w:r>
          </w:p>
          <w:p w14:paraId="3DF4406C">
            <w:pPr>
              <w:spacing w:line="360" w:lineRule="auto"/>
              <w:ind w:firstLine="420" w:firstLineChars="200"/>
              <w:rPr>
                <w:szCs w:val="21"/>
              </w:rPr>
            </w:pPr>
            <w:r>
              <w:rPr>
                <w:rFonts w:hint="eastAsia" w:ascii="宋体" w:hAnsi="宋体" w:cs="宋体"/>
                <w:szCs w:val="21"/>
              </w:rPr>
              <w:t>中标人每月26日与采购人核对本月的采购数量（结算周期：上月26日至本月25日为一个结算周期），每月27日提供当月供应食材的等额发票及供货单据结算货款，每月结算一次。采购人收到发票及相关票据后，以银行转账方式向中标人支付货款。中标人须按时足额提供发票及相关票据，否则采购人有权拒绝付款而不构成违约。中标人开具的发票必须真实、合法、有效，如中标人提供虚假发票，由此引发的一切责任由中标人负责。</w:t>
            </w:r>
          </w:p>
          <w:p w14:paraId="7DCBC546">
            <w:pPr>
              <w:numPr>
                <w:ilvl w:val="255"/>
                <w:numId w:val="0"/>
              </w:numPr>
              <w:spacing w:line="360" w:lineRule="auto"/>
              <w:rPr>
                <w:rFonts w:ascii="宋体" w:hAnsi="宋体" w:cs="宋体"/>
              </w:rPr>
            </w:pPr>
            <w:r>
              <w:rPr>
                <w:rFonts w:hint="eastAsia" w:ascii="宋体" w:hAnsi="宋体" w:cs="宋体"/>
                <w:b/>
                <w:bCs/>
              </w:rPr>
              <w:t>十二、</w:t>
            </w:r>
            <w:r>
              <w:rPr>
                <w:rFonts w:hint="eastAsia" w:ascii="宋体" w:hAnsi="宋体" w:cs="宋体"/>
              </w:rPr>
              <w:t>采购人对中标人实施考核管理制度，详见附件二《广西监狱罪犯生活物资供货商考核管理办法》。投标人在投标文件中出具承诺函：承诺如中标即服从“广西监狱罪犯生活物资供货商考核管理办法”；承诺函格式自拟。</w:t>
            </w:r>
            <w:bookmarkEnd w:id="151"/>
          </w:p>
        </w:tc>
      </w:tr>
      <w:tr w14:paraId="782376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44" w:hRule="atLeast"/>
          <w:jc w:val="center"/>
        </w:trPr>
        <w:tc>
          <w:tcPr>
            <w:tcW w:w="479" w:type="dxa"/>
            <w:tcBorders>
              <w:top w:val="single" w:color="auto" w:sz="4" w:space="0"/>
              <w:left w:val="single" w:color="auto" w:sz="4" w:space="0"/>
              <w:bottom w:val="single" w:color="auto" w:sz="4" w:space="0"/>
              <w:right w:val="single" w:color="auto" w:sz="4" w:space="0"/>
            </w:tcBorders>
            <w:vAlign w:val="center"/>
          </w:tcPr>
          <w:p w14:paraId="76DFCD62">
            <w:pPr>
              <w:jc w:val="center"/>
              <w:rPr>
                <w:rFonts w:ascii="宋体" w:hAnsi="宋体"/>
                <w:szCs w:val="21"/>
              </w:rPr>
            </w:pPr>
            <w:r>
              <w:rPr>
                <w:rFonts w:hint="eastAsia" w:ascii="宋体" w:hAnsi="宋体"/>
                <w:szCs w:val="21"/>
              </w:rPr>
              <w:t>其他说明</w:t>
            </w:r>
          </w:p>
        </w:tc>
        <w:tc>
          <w:tcPr>
            <w:tcW w:w="9779" w:type="dxa"/>
            <w:gridSpan w:val="7"/>
            <w:tcBorders>
              <w:top w:val="single" w:color="auto" w:sz="4" w:space="0"/>
              <w:left w:val="single" w:color="auto" w:sz="4" w:space="0"/>
              <w:bottom w:val="single" w:color="auto" w:sz="4" w:space="0"/>
              <w:right w:val="single" w:color="auto" w:sz="4" w:space="0"/>
            </w:tcBorders>
          </w:tcPr>
          <w:p w14:paraId="5C7078A9">
            <w:pPr>
              <w:widowControl/>
              <w:shd w:val="clear" w:color="auto" w:fill="FFFFFF"/>
              <w:spacing w:line="480" w:lineRule="exact"/>
              <w:rPr>
                <w:rFonts w:ascii="宋体" w:hAnsi="宋体"/>
                <w:szCs w:val="21"/>
              </w:rPr>
            </w:pPr>
            <w:r>
              <w:rPr>
                <w:rFonts w:hint="eastAsia" w:ascii="宋体" w:hAnsi="宋体"/>
                <w:szCs w:val="21"/>
              </w:rPr>
              <w:t>一、进口产品说明（根据项目实际情况选择）</w:t>
            </w:r>
          </w:p>
          <w:p w14:paraId="0FA6FA2A">
            <w:pPr>
              <w:tabs>
                <w:tab w:val="left" w:pos="180"/>
                <w:tab w:val="left" w:pos="1620"/>
              </w:tabs>
              <w:spacing w:line="480" w:lineRule="exact"/>
              <w:ind w:firstLine="413" w:firstLineChars="197"/>
              <w:rPr>
                <w:rFonts w:ascii="宋体" w:hAnsi="宋体"/>
                <w:szCs w:val="21"/>
              </w:rPr>
            </w:pPr>
            <w:r>
              <w:rPr>
                <w:rFonts w:hint="eastAsia" w:ascii="宋体" w:hAnsi="宋体"/>
                <w:szCs w:val="21"/>
              </w:rPr>
              <w:t>本分标货物所涉及的货物不接受进口产品（即通过中国海关报关验放进入中国境内且产自关境外的产品）参与投标，</w:t>
            </w:r>
            <w:r>
              <w:rPr>
                <w:rFonts w:hint="eastAsia" w:ascii="宋体" w:hAnsi="宋体"/>
                <w:b/>
                <w:szCs w:val="21"/>
              </w:rPr>
              <w:t>如有进口产品参与投标的作无效标处理</w:t>
            </w:r>
            <w:r>
              <w:rPr>
                <w:rFonts w:hint="eastAsia" w:ascii="宋体" w:hAnsi="宋体"/>
                <w:szCs w:val="21"/>
              </w:rPr>
              <w:t>。</w:t>
            </w:r>
          </w:p>
          <w:p w14:paraId="075CCC2A">
            <w:pPr>
              <w:widowControl/>
              <w:shd w:val="clear" w:color="auto" w:fill="FFFFFF"/>
              <w:spacing w:line="480" w:lineRule="exact"/>
              <w:rPr>
                <w:rFonts w:ascii="宋体" w:hAnsi="宋体"/>
                <w:szCs w:val="21"/>
              </w:rPr>
            </w:pPr>
            <w:r>
              <w:rPr>
                <w:rFonts w:hint="eastAsia" w:ascii="宋体" w:hAnsi="宋体"/>
                <w:szCs w:val="21"/>
              </w:rPr>
              <w:t>二</w:t>
            </w:r>
            <w:r>
              <w:rPr>
                <w:rFonts w:hint="eastAsia" w:ascii="宋体" w:hAnsi="宋体" w:cs="宋体"/>
                <w:szCs w:val="21"/>
              </w:rPr>
              <w:t>、偏离条款说明</w:t>
            </w:r>
          </w:p>
          <w:p w14:paraId="4CD041F7">
            <w:pPr>
              <w:widowControl/>
              <w:shd w:val="clear" w:color="auto" w:fill="FFFFFF"/>
              <w:spacing w:line="480" w:lineRule="exact"/>
              <w:ind w:firstLine="422" w:firstLineChars="200"/>
            </w:pPr>
            <w:r>
              <w:rPr>
                <w:rFonts w:hint="eastAsia" w:ascii="宋体" w:hAnsi="宋体" w:cs="宋体"/>
                <w:b/>
                <w:szCs w:val="21"/>
              </w:rPr>
              <w:t>带“▲”系指实质性要求条款，投标产品必须满足，否则投标无效；单个项号的货物（产品）允许偏离的非“▲”技术指标或要求发生负偏离的项数达</w:t>
            </w:r>
            <w:r>
              <w:rPr>
                <w:rFonts w:hint="eastAsia" w:ascii="宋体" w:hAnsi="宋体" w:cs="宋体"/>
                <w:b/>
                <w:szCs w:val="21"/>
                <w:u w:val="single"/>
              </w:rPr>
              <w:t>1项（含1项）</w:t>
            </w:r>
            <w:r>
              <w:rPr>
                <w:rFonts w:hint="eastAsia" w:ascii="宋体" w:hAnsi="宋体" w:cs="宋体"/>
                <w:b/>
                <w:szCs w:val="21"/>
              </w:rPr>
              <w:t>以上的，按投标文件作无效处理</w:t>
            </w:r>
            <w:r>
              <w:rPr>
                <w:rFonts w:hint="eastAsia" w:ascii="宋体" w:hAnsi="宋体" w:cs="宋体"/>
                <w:bCs/>
                <w:szCs w:val="21"/>
              </w:rPr>
              <w:t>。</w:t>
            </w:r>
          </w:p>
        </w:tc>
      </w:tr>
    </w:tbl>
    <w:p w14:paraId="24D76D07">
      <w:pPr>
        <w:widowControl/>
        <w:spacing w:line="440" w:lineRule="exact"/>
        <w:jc w:val="left"/>
        <w:outlineLvl w:val="1"/>
        <w:rPr>
          <w:rFonts w:ascii="宋体" w:hAnsi="宋体" w:cs="宋体"/>
          <w:szCs w:val="21"/>
        </w:rPr>
      </w:pPr>
      <w:r>
        <w:rPr>
          <w:rFonts w:ascii="宋体" w:hAnsi="宋体" w:cs="Arial"/>
          <w:bCs/>
          <w:u w:val="single"/>
        </w:rPr>
        <w:br w:type="page"/>
      </w:r>
    </w:p>
    <w:p w14:paraId="226A5076">
      <w:pPr>
        <w:widowControl/>
        <w:spacing w:line="440" w:lineRule="exact"/>
        <w:jc w:val="left"/>
        <w:outlineLvl w:val="1"/>
        <w:rPr>
          <w:rFonts w:ascii="宋体" w:hAnsi="宋体" w:cs="宋体"/>
          <w:szCs w:val="21"/>
        </w:rPr>
      </w:pPr>
      <w:bookmarkStart w:id="152" w:name="_Toc31437"/>
      <w:bookmarkStart w:id="153" w:name="_Toc1238"/>
      <w:bookmarkStart w:id="154" w:name="_Toc18368"/>
      <w:r>
        <w:rPr>
          <w:rFonts w:hint="eastAsia" w:ascii="宋体" w:hAnsi="宋体"/>
          <w:b/>
          <w:szCs w:val="21"/>
          <w:u w:val="single"/>
        </w:rPr>
        <w:t>C</w:t>
      </w:r>
      <w:r>
        <w:rPr>
          <w:rFonts w:hint="eastAsia" w:ascii="宋体" w:hAnsi="宋体"/>
          <w:b/>
          <w:szCs w:val="21"/>
        </w:rPr>
        <w:t>分标：鱼类           采购预算（元）：</w:t>
      </w:r>
      <w:r>
        <w:rPr>
          <w:rFonts w:hint="eastAsia" w:ascii="宋体" w:hAnsi="宋体"/>
          <w:szCs w:val="21"/>
          <w:u w:val="single"/>
        </w:rPr>
        <w:t xml:space="preserve"> </w:t>
      </w:r>
      <w:bookmarkStart w:id="155" w:name="OLE_LINK66"/>
      <w:r>
        <w:rPr>
          <w:rFonts w:hint="eastAsia" w:ascii="宋体" w:hAnsi="宋体"/>
          <w:szCs w:val="21"/>
          <w:u w:val="single"/>
        </w:rPr>
        <w:t>298000.00</w:t>
      </w:r>
      <w:bookmarkEnd w:id="155"/>
      <w:r>
        <w:rPr>
          <w:rFonts w:hint="eastAsia" w:ascii="宋体" w:hAnsi="宋体"/>
          <w:szCs w:val="21"/>
          <w:u w:val="single"/>
        </w:rPr>
        <w:t xml:space="preserve">  </w:t>
      </w:r>
      <w:r>
        <w:rPr>
          <w:rFonts w:hint="eastAsia" w:ascii="宋体" w:hAnsi="宋体"/>
          <w:szCs w:val="21"/>
        </w:rPr>
        <w:t xml:space="preserve">     </w:t>
      </w:r>
      <w:r>
        <w:rPr>
          <w:rFonts w:hint="eastAsia" w:ascii="宋体" w:hAnsi="宋体"/>
          <w:b/>
          <w:szCs w:val="21"/>
        </w:rPr>
        <w:t xml:space="preserve"> 最高限价（元）：</w:t>
      </w:r>
      <w:bookmarkEnd w:id="152"/>
      <w:bookmarkEnd w:id="153"/>
      <w:r>
        <w:rPr>
          <w:rFonts w:hint="eastAsia" w:ascii="宋体" w:hAnsi="宋体"/>
          <w:szCs w:val="21"/>
          <w:u w:val="single"/>
        </w:rPr>
        <w:t>298000.00</w:t>
      </w:r>
      <w:bookmarkEnd w:id="154"/>
      <w:r>
        <w:rPr>
          <w:rFonts w:hint="eastAsia" w:ascii="宋体" w:hAnsi="宋体"/>
          <w:szCs w:val="21"/>
          <w:u w:val="single"/>
        </w:rPr>
        <w:t xml:space="preserve"> </w:t>
      </w:r>
    </w:p>
    <w:tbl>
      <w:tblPr>
        <w:tblStyle w:val="37"/>
        <w:tblW w:w="102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9"/>
        <w:gridCol w:w="516"/>
        <w:gridCol w:w="931"/>
        <w:gridCol w:w="745"/>
        <w:gridCol w:w="1111"/>
        <w:gridCol w:w="1054"/>
        <w:gridCol w:w="4555"/>
        <w:gridCol w:w="838"/>
      </w:tblGrid>
      <w:tr w14:paraId="59F052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229" w:type="dxa"/>
            <w:gridSpan w:val="8"/>
            <w:tcBorders>
              <w:top w:val="single" w:color="auto" w:sz="4" w:space="0"/>
              <w:left w:val="single" w:color="auto" w:sz="4" w:space="0"/>
              <w:right w:val="single" w:color="auto" w:sz="4" w:space="0"/>
            </w:tcBorders>
          </w:tcPr>
          <w:p w14:paraId="6A2B6EFC">
            <w:pPr>
              <w:spacing w:line="320" w:lineRule="exact"/>
              <w:jc w:val="center"/>
              <w:rPr>
                <w:rFonts w:ascii="仿宋_GB2312" w:hAnsi="宋体" w:eastAsia="仿宋_GB2312" w:cs="Arial"/>
                <w:b/>
                <w:sz w:val="32"/>
                <w:szCs w:val="32"/>
              </w:rPr>
            </w:pPr>
            <w:r>
              <w:rPr>
                <w:rFonts w:hint="eastAsia" w:ascii="仿宋_GB2312" w:hAnsi="宋体" w:eastAsia="仿宋_GB2312" w:cs="Arial"/>
                <w:b/>
                <w:sz w:val="28"/>
                <w:szCs w:val="28"/>
              </w:rPr>
              <w:t>货物需求一览表</w:t>
            </w:r>
          </w:p>
        </w:tc>
      </w:tr>
      <w:tr w14:paraId="0DFC7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4" w:hRule="atLeast"/>
          <w:jc w:val="center"/>
        </w:trPr>
        <w:tc>
          <w:tcPr>
            <w:tcW w:w="479" w:type="dxa"/>
            <w:vMerge w:val="restart"/>
            <w:tcBorders>
              <w:top w:val="single" w:color="auto" w:sz="4" w:space="0"/>
              <w:left w:val="single" w:color="auto" w:sz="4" w:space="0"/>
              <w:right w:val="single" w:color="auto" w:sz="4" w:space="0"/>
            </w:tcBorders>
            <w:vAlign w:val="center"/>
          </w:tcPr>
          <w:p w14:paraId="7D7EF6B9">
            <w:pPr>
              <w:jc w:val="center"/>
              <w:rPr>
                <w:rFonts w:ascii="宋体" w:hAnsi="宋体" w:cs="宋体"/>
                <w:szCs w:val="21"/>
              </w:rPr>
            </w:pPr>
            <w:r>
              <w:rPr>
                <w:rFonts w:hint="eastAsia" w:ascii="宋体" w:hAnsi="宋体" w:cs="宋体"/>
                <w:szCs w:val="21"/>
              </w:rPr>
              <w:t>采购清单及货物参数</w:t>
            </w: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048FF21">
            <w:pPr>
              <w:jc w:val="center"/>
              <w:rPr>
                <w:rFonts w:ascii="宋体" w:hAnsi="宋体" w:cs="宋体"/>
                <w:szCs w:val="21"/>
              </w:rPr>
            </w:pPr>
            <w:r>
              <w:rPr>
                <w:rFonts w:hint="eastAsia" w:ascii="宋体" w:hAnsi="宋体" w:cs="宋体"/>
                <w:szCs w:val="21"/>
              </w:rPr>
              <w:t>序号</w:t>
            </w:r>
          </w:p>
        </w:tc>
        <w:tc>
          <w:tcPr>
            <w:tcW w:w="931" w:type="dxa"/>
            <w:tcBorders>
              <w:top w:val="single" w:color="auto" w:sz="4" w:space="0"/>
              <w:left w:val="single" w:color="auto" w:sz="4" w:space="0"/>
              <w:bottom w:val="single" w:color="auto" w:sz="4" w:space="0"/>
              <w:right w:val="single" w:color="auto" w:sz="4" w:space="0"/>
            </w:tcBorders>
            <w:vAlign w:val="center"/>
          </w:tcPr>
          <w:p w14:paraId="7342948D">
            <w:pPr>
              <w:jc w:val="center"/>
              <w:rPr>
                <w:rFonts w:ascii="宋体" w:hAnsi="宋体" w:cs="宋体"/>
                <w:szCs w:val="21"/>
              </w:rPr>
            </w:pPr>
            <w:r>
              <w:rPr>
                <w:rFonts w:hint="eastAsia" w:ascii="宋体" w:hAnsi="宋体" w:cs="宋体"/>
                <w:szCs w:val="21"/>
              </w:rPr>
              <w:t>标的</w:t>
            </w:r>
          </w:p>
          <w:p w14:paraId="21D7636E">
            <w:pPr>
              <w:jc w:val="center"/>
              <w:rPr>
                <w:rFonts w:ascii="宋体" w:hAnsi="宋体" w:cs="宋体"/>
                <w:szCs w:val="21"/>
              </w:rPr>
            </w:pPr>
            <w:r>
              <w:rPr>
                <w:rFonts w:hint="eastAsia" w:ascii="宋体" w:hAnsi="宋体" w:cs="宋体"/>
                <w:szCs w:val="21"/>
              </w:rPr>
              <w:t>名称</w:t>
            </w:r>
          </w:p>
        </w:tc>
        <w:tc>
          <w:tcPr>
            <w:tcW w:w="745" w:type="dxa"/>
            <w:tcBorders>
              <w:top w:val="single" w:color="auto" w:sz="4" w:space="0"/>
              <w:left w:val="single" w:color="auto" w:sz="4" w:space="0"/>
              <w:bottom w:val="single" w:color="auto" w:sz="4" w:space="0"/>
              <w:right w:val="single" w:color="auto" w:sz="4" w:space="0"/>
            </w:tcBorders>
            <w:vAlign w:val="center"/>
          </w:tcPr>
          <w:p w14:paraId="555DD151">
            <w:pPr>
              <w:jc w:val="center"/>
              <w:rPr>
                <w:rFonts w:ascii="宋体" w:hAnsi="宋体" w:cs="宋体"/>
                <w:szCs w:val="21"/>
              </w:rPr>
            </w:pPr>
            <w:r>
              <w:rPr>
                <w:rFonts w:hint="eastAsia" w:ascii="宋体" w:hAnsi="宋体" w:cs="宋体"/>
                <w:szCs w:val="21"/>
              </w:rPr>
              <w:t>单位</w:t>
            </w:r>
          </w:p>
        </w:tc>
        <w:tc>
          <w:tcPr>
            <w:tcW w:w="1111" w:type="dxa"/>
            <w:tcBorders>
              <w:top w:val="single" w:color="auto" w:sz="4" w:space="0"/>
              <w:left w:val="single" w:color="auto" w:sz="4" w:space="0"/>
              <w:bottom w:val="single" w:color="auto" w:sz="4" w:space="0"/>
              <w:right w:val="single" w:color="auto" w:sz="4" w:space="0"/>
            </w:tcBorders>
            <w:vAlign w:val="center"/>
          </w:tcPr>
          <w:p w14:paraId="5AE42D37">
            <w:pPr>
              <w:jc w:val="center"/>
              <w:rPr>
                <w:rFonts w:ascii="宋体" w:hAnsi="宋体" w:cs="宋体"/>
                <w:szCs w:val="21"/>
              </w:rPr>
            </w:pPr>
            <w:r>
              <w:rPr>
                <w:rFonts w:hint="eastAsia" w:ascii="宋体" w:hAnsi="宋体" w:cs="宋体"/>
                <w:szCs w:val="21"/>
              </w:rPr>
              <w:t>数量</w:t>
            </w:r>
          </w:p>
          <w:p w14:paraId="5D323DE5">
            <w:pPr>
              <w:jc w:val="center"/>
              <w:rPr>
                <w:rFonts w:ascii="宋体" w:hAnsi="宋体" w:cs="宋体"/>
                <w:szCs w:val="21"/>
              </w:rPr>
            </w:pPr>
            <w:r>
              <w:rPr>
                <w:rFonts w:hint="eastAsia" w:ascii="宋体" w:hAnsi="宋体" w:cs="宋体"/>
                <w:szCs w:val="21"/>
              </w:rPr>
              <w:t>（暂估）</w:t>
            </w:r>
          </w:p>
        </w:tc>
        <w:tc>
          <w:tcPr>
            <w:tcW w:w="1054" w:type="dxa"/>
            <w:tcBorders>
              <w:top w:val="single" w:color="auto" w:sz="4" w:space="0"/>
              <w:left w:val="single" w:color="auto" w:sz="4" w:space="0"/>
              <w:bottom w:val="single" w:color="auto" w:sz="4" w:space="0"/>
              <w:right w:val="single" w:color="auto" w:sz="4" w:space="0"/>
            </w:tcBorders>
            <w:vAlign w:val="center"/>
          </w:tcPr>
          <w:p w14:paraId="2D77DFC8">
            <w:pPr>
              <w:jc w:val="center"/>
              <w:rPr>
                <w:rFonts w:ascii="宋体" w:hAnsi="宋体" w:cs="宋体"/>
                <w:szCs w:val="21"/>
              </w:rPr>
            </w:pPr>
            <w:r>
              <w:rPr>
                <w:rFonts w:hint="eastAsia" w:ascii="宋体" w:hAnsi="宋体" w:cs="宋体"/>
                <w:szCs w:val="21"/>
              </w:rPr>
              <w:t>所属行业</w:t>
            </w:r>
          </w:p>
        </w:tc>
        <w:tc>
          <w:tcPr>
            <w:tcW w:w="4555" w:type="dxa"/>
            <w:tcBorders>
              <w:top w:val="single" w:color="auto" w:sz="4" w:space="0"/>
              <w:left w:val="single" w:color="auto" w:sz="4" w:space="0"/>
              <w:bottom w:val="single" w:color="auto" w:sz="4" w:space="0"/>
              <w:right w:val="single" w:color="auto" w:sz="4" w:space="0"/>
            </w:tcBorders>
            <w:vAlign w:val="center"/>
          </w:tcPr>
          <w:p w14:paraId="47F5137D">
            <w:pPr>
              <w:jc w:val="center"/>
              <w:rPr>
                <w:rFonts w:ascii="宋体" w:hAnsi="宋体" w:cs="宋体"/>
                <w:szCs w:val="21"/>
              </w:rPr>
            </w:pPr>
            <w:r>
              <w:rPr>
                <w:rFonts w:hint="eastAsia" w:ascii="宋体" w:hAnsi="宋体" w:cs="宋体"/>
                <w:szCs w:val="21"/>
              </w:rPr>
              <w:t>货物参数</w:t>
            </w:r>
          </w:p>
        </w:tc>
        <w:tc>
          <w:tcPr>
            <w:tcW w:w="838" w:type="dxa"/>
            <w:tcBorders>
              <w:top w:val="single" w:color="auto" w:sz="4" w:space="0"/>
              <w:left w:val="single" w:color="auto" w:sz="4" w:space="0"/>
              <w:bottom w:val="single" w:color="auto" w:sz="4" w:space="0"/>
              <w:right w:val="single" w:color="auto" w:sz="4" w:space="0"/>
            </w:tcBorders>
            <w:vAlign w:val="center"/>
          </w:tcPr>
          <w:p w14:paraId="7C6499EE">
            <w:pPr>
              <w:jc w:val="center"/>
              <w:rPr>
                <w:rFonts w:ascii="宋体" w:hAnsi="宋体" w:cs="宋体"/>
                <w:szCs w:val="21"/>
              </w:rPr>
            </w:pPr>
            <w:r>
              <w:rPr>
                <w:rFonts w:hint="eastAsia" w:ascii="宋体" w:hAnsi="宋体" w:cs="宋体"/>
                <w:szCs w:val="21"/>
              </w:rPr>
              <w:t>供应基准单价（元/公斤）</w:t>
            </w:r>
          </w:p>
        </w:tc>
      </w:tr>
      <w:tr w14:paraId="45622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4" w:hRule="atLeast"/>
          <w:jc w:val="center"/>
        </w:trPr>
        <w:tc>
          <w:tcPr>
            <w:tcW w:w="479" w:type="dxa"/>
            <w:vMerge w:val="continue"/>
            <w:tcBorders>
              <w:left w:val="single" w:color="auto" w:sz="4" w:space="0"/>
              <w:right w:val="single" w:color="auto" w:sz="4" w:space="0"/>
            </w:tcBorders>
            <w:vAlign w:val="center"/>
          </w:tcPr>
          <w:p w14:paraId="585AA4DD">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8510C05">
            <w:pPr>
              <w:jc w:val="center"/>
              <w:rPr>
                <w:rFonts w:ascii="宋体" w:hAnsi="宋体" w:cs="宋体"/>
                <w:sz w:val="24"/>
              </w:rPr>
            </w:pPr>
            <w:r>
              <w:rPr>
                <w:rFonts w:hint="eastAsia"/>
              </w:rPr>
              <w:t>1</w:t>
            </w:r>
          </w:p>
        </w:tc>
        <w:tc>
          <w:tcPr>
            <w:tcW w:w="931" w:type="dxa"/>
            <w:tcBorders>
              <w:top w:val="single" w:color="auto" w:sz="4" w:space="0"/>
              <w:left w:val="single" w:color="auto" w:sz="4" w:space="0"/>
              <w:bottom w:val="single" w:color="auto" w:sz="4" w:space="0"/>
              <w:right w:val="single" w:color="auto" w:sz="4" w:space="0"/>
            </w:tcBorders>
            <w:vAlign w:val="center"/>
          </w:tcPr>
          <w:p w14:paraId="4B91027C">
            <w:pPr>
              <w:jc w:val="center"/>
              <w:rPr>
                <w:rFonts w:ascii="宋体" w:hAnsi="宋体" w:cs="宋体"/>
                <w:sz w:val="24"/>
              </w:rPr>
            </w:pPr>
            <w:r>
              <w:rPr>
                <w:rFonts w:hint="eastAsia"/>
              </w:rPr>
              <w:t>活鱼（鲢鱼）</w:t>
            </w:r>
          </w:p>
        </w:tc>
        <w:tc>
          <w:tcPr>
            <w:tcW w:w="745" w:type="dxa"/>
            <w:tcBorders>
              <w:top w:val="single" w:color="auto" w:sz="4" w:space="0"/>
              <w:left w:val="single" w:color="auto" w:sz="4" w:space="0"/>
              <w:bottom w:val="single" w:color="auto" w:sz="4" w:space="0"/>
              <w:right w:val="single" w:color="auto" w:sz="4" w:space="0"/>
            </w:tcBorders>
            <w:vAlign w:val="center"/>
          </w:tcPr>
          <w:p w14:paraId="7A487F4F">
            <w:pPr>
              <w:jc w:val="center"/>
              <w:rPr>
                <w:rFonts w:ascii="宋体" w:hAnsi="宋体" w:cs="宋体"/>
                <w:sz w:val="24"/>
              </w:rPr>
            </w:pPr>
            <w:r>
              <w:rPr>
                <w:rFonts w:hint="eastAsia"/>
              </w:rPr>
              <w:t>公斤</w:t>
            </w:r>
          </w:p>
        </w:tc>
        <w:tc>
          <w:tcPr>
            <w:tcW w:w="1111" w:type="dxa"/>
            <w:tcBorders>
              <w:top w:val="single" w:color="auto" w:sz="4" w:space="0"/>
              <w:left w:val="single" w:color="auto" w:sz="4" w:space="0"/>
              <w:bottom w:val="single" w:color="auto" w:sz="4" w:space="0"/>
              <w:right w:val="single" w:color="auto" w:sz="4" w:space="0"/>
            </w:tcBorders>
            <w:vAlign w:val="center"/>
          </w:tcPr>
          <w:p w14:paraId="0BAC38B3">
            <w:pPr>
              <w:jc w:val="center"/>
              <w:rPr>
                <w:rFonts w:ascii="宋体" w:hAnsi="宋体" w:cs="宋体"/>
                <w:sz w:val="24"/>
              </w:rPr>
            </w:pPr>
            <w:r>
              <w:rPr>
                <w:rFonts w:hint="eastAsia"/>
              </w:rPr>
              <w:t xml:space="preserve">5000.00 </w:t>
            </w:r>
          </w:p>
        </w:tc>
        <w:tc>
          <w:tcPr>
            <w:tcW w:w="1054" w:type="dxa"/>
            <w:vMerge w:val="restart"/>
            <w:tcBorders>
              <w:top w:val="single" w:color="auto" w:sz="4" w:space="0"/>
              <w:left w:val="single" w:color="auto" w:sz="4" w:space="0"/>
              <w:right w:val="single" w:color="auto" w:sz="4" w:space="0"/>
            </w:tcBorders>
            <w:vAlign w:val="center"/>
          </w:tcPr>
          <w:p w14:paraId="15A90674">
            <w:pPr>
              <w:jc w:val="center"/>
              <w:rPr>
                <w:rFonts w:ascii="宋体" w:hAnsi="宋体" w:cs="宋体"/>
                <w:szCs w:val="21"/>
              </w:rPr>
            </w:pPr>
            <w:r>
              <w:rPr>
                <w:rFonts w:hint="eastAsia" w:ascii="宋体" w:hAnsi="宋体" w:cs="宋体"/>
                <w:szCs w:val="21"/>
              </w:rPr>
              <w:t>批发业</w:t>
            </w:r>
          </w:p>
          <w:p w14:paraId="0EB1056B">
            <w:pPr>
              <w:ind w:left="105" w:leftChars="50" w:right="10" w:rightChars="5"/>
              <w:jc w:val="center"/>
              <w:rPr>
                <w:rFonts w:ascii="宋体" w:hAnsi="宋体" w:cs="宋体"/>
                <w:szCs w:val="21"/>
              </w:rPr>
            </w:pPr>
          </w:p>
        </w:tc>
        <w:tc>
          <w:tcPr>
            <w:tcW w:w="4555" w:type="dxa"/>
            <w:vMerge w:val="restart"/>
            <w:tcBorders>
              <w:top w:val="single" w:color="auto" w:sz="4" w:space="0"/>
              <w:left w:val="single" w:color="auto" w:sz="4" w:space="0"/>
              <w:right w:val="single" w:color="auto" w:sz="4" w:space="0"/>
            </w:tcBorders>
            <w:vAlign w:val="center"/>
          </w:tcPr>
          <w:p w14:paraId="5D7F8D30">
            <w:pPr>
              <w:spacing w:line="360" w:lineRule="auto"/>
              <w:ind w:left="105" w:leftChars="50" w:right="10" w:rightChars="5"/>
              <w:rPr>
                <w:rFonts w:ascii="宋体" w:hAnsi="宋体" w:cs="宋体"/>
                <w:kern w:val="0"/>
                <w:szCs w:val="21"/>
                <w:lang w:bidi="ar"/>
              </w:rPr>
            </w:pPr>
            <w:r>
              <w:rPr>
                <w:rFonts w:hint="eastAsia" w:ascii="宋体" w:hAnsi="宋体" w:cs="宋体"/>
                <w:kern w:val="0"/>
                <w:szCs w:val="21"/>
                <w:lang w:bidi="ar"/>
              </w:rPr>
              <w:t>1. 新鲜鲢鱼1.25公斤以上/条、草鱼1.5公斤以上/条、罗非鱼及骨鱼0.75公斤以上/条、，须同时符合国家GB 2733-2015《食品安全国家标准鲜、冻动物性水产品》标准；</w:t>
            </w:r>
          </w:p>
          <w:p w14:paraId="4FBB96FE">
            <w:pPr>
              <w:spacing w:line="360" w:lineRule="auto"/>
              <w:ind w:left="105" w:leftChars="50" w:right="10" w:rightChars="5"/>
              <w:rPr>
                <w:rFonts w:ascii="宋体" w:hAnsi="宋体" w:cs="宋体"/>
                <w:kern w:val="0"/>
                <w:szCs w:val="21"/>
                <w:lang w:bidi="ar"/>
              </w:rPr>
            </w:pPr>
            <w:r>
              <w:rPr>
                <w:rFonts w:hint="eastAsia" w:ascii="宋体" w:hAnsi="宋体" w:cs="宋体"/>
                <w:kern w:val="0"/>
                <w:szCs w:val="21"/>
                <w:lang w:bidi="ar"/>
              </w:rPr>
              <w:t>2. 必须是活鱼。鱼的形态正常，无畸形，体态匀称，无伤痕；体表具有正常的体色和光泽，鳞片完整紧密，不易脱落，无病灶；眼球明亮饱满，角膜清晰；鳃丝清晰，呈鲜红或紫红色，无异味，无粘液或有少量透明黏液；鱼的肌肉紧密，有弹性，整体有鲜鱼固有的腥气味。</w:t>
            </w:r>
          </w:p>
          <w:p w14:paraId="1D26A207">
            <w:pPr>
              <w:spacing w:line="360" w:lineRule="auto"/>
              <w:ind w:left="105" w:leftChars="50" w:right="10" w:rightChars="5"/>
              <w:rPr>
                <w:rFonts w:ascii="宋体" w:hAnsi="宋体" w:cs="宋体"/>
                <w:kern w:val="0"/>
                <w:szCs w:val="21"/>
                <w:lang w:bidi="ar"/>
              </w:rPr>
            </w:pPr>
            <w:r>
              <w:rPr>
                <w:rFonts w:hint="eastAsia" w:ascii="宋体" w:hAnsi="宋体" w:cs="宋体"/>
                <w:kern w:val="0"/>
                <w:szCs w:val="21"/>
                <w:lang w:bidi="ar"/>
              </w:rPr>
              <w:t>3. 本表中所列的采购数量均为暂估量，具体数量以食材供应期限内实际供应量结算。中标供应商不得因实际供应量与本表中暂估数量不一致提出异议。</w:t>
            </w:r>
          </w:p>
          <w:p w14:paraId="61A0429D">
            <w:pPr>
              <w:spacing w:line="360" w:lineRule="auto"/>
              <w:ind w:left="105" w:leftChars="50" w:right="10" w:rightChars="5"/>
              <w:rPr>
                <w:rFonts w:ascii="宋体" w:hAnsi="宋体" w:cs="宋体"/>
                <w:szCs w:val="21"/>
              </w:rPr>
            </w:pPr>
          </w:p>
        </w:tc>
        <w:tc>
          <w:tcPr>
            <w:tcW w:w="838" w:type="dxa"/>
            <w:tcBorders>
              <w:top w:val="single" w:color="auto" w:sz="4" w:space="0"/>
              <w:left w:val="single" w:color="auto" w:sz="4" w:space="0"/>
              <w:bottom w:val="single" w:color="auto" w:sz="4" w:space="0"/>
              <w:right w:val="single" w:color="auto" w:sz="4" w:space="0"/>
            </w:tcBorders>
            <w:vAlign w:val="center"/>
          </w:tcPr>
          <w:p w14:paraId="230D5E96">
            <w:pPr>
              <w:widowControl/>
              <w:jc w:val="center"/>
            </w:pPr>
            <w:r>
              <w:rPr>
                <w:rFonts w:hint="eastAsia"/>
                <w:lang w:bidi="ar"/>
              </w:rPr>
              <w:t xml:space="preserve">14.00 </w:t>
            </w:r>
          </w:p>
        </w:tc>
      </w:tr>
      <w:tr w14:paraId="511FD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5" w:hRule="atLeast"/>
          <w:jc w:val="center"/>
        </w:trPr>
        <w:tc>
          <w:tcPr>
            <w:tcW w:w="479" w:type="dxa"/>
            <w:vMerge w:val="continue"/>
            <w:tcBorders>
              <w:left w:val="single" w:color="auto" w:sz="4" w:space="0"/>
              <w:right w:val="single" w:color="auto" w:sz="4" w:space="0"/>
            </w:tcBorders>
            <w:vAlign w:val="center"/>
          </w:tcPr>
          <w:p w14:paraId="40B1D38A">
            <w:pPr>
              <w:jc w:val="center"/>
              <w:rPr>
                <w:rFonts w:ascii="宋体" w:hAnsi="宋体" w:cs="宋体"/>
                <w:szCs w:val="21"/>
              </w:rPr>
            </w:pPr>
          </w:p>
        </w:tc>
        <w:tc>
          <w:tcPr>
            <w:tcW w:w="516" w:type="dxa"/>
            <w:tcBorders>
              <w:top w:val="single" w:color="auto" w:sz="4" w:space="0"/>
              <w:left w:val="single" w:color="auto" w:sz="4" w:space="0"/>
              <w:right w:val="single" w:color="auto" w:sz="4" w:space="0"/>
            </w:tcBorders>
            <w:tcMar>
              <w:top w:w="0" w:type="dxa"/>
              <w:left w:w="0" w:type="dxa"/>
              <w:bottom w:w="0" w:type="dxa"/>
              <w:right w:w="0" w:type="dxa"/>
            </w:tcMar>
            <w:vAlign w:val="center"/>
          </w:tcPr>
          <w:p w14:paraId="2BEAF014">
            <w:pPr>
              <w:jc w:val="center"/>
              <w:rPr>
                <w:rFonts w:ascii="宋体" w:hAnsi="宋体" w:cs="宋体"/>
                <w:sz w:val="24"/>
              </w:rPr>
            </w:pPr>
            <w:r>
              <w:rPr>
                <w:rFonts w:hint="eastAsia"/>
              </w:rPr>
              <w:t>2</w:t>
            </w:r>
          </w:p>
        </w:tc>
        <w:tc>
          <w:tcPr>
            <w:tcW w:w="931" w:type="dxa"/>
            <w:tcBorders>
              <w:top w:val="single" w:color="auto" w:sz="4" w:space="0"/>
              <w:left w:val="single" w:color="auto" w:sz="4" w:space="0"/>
              <w:right w:val="single" w:color="auto" w:sz="4" w:space="0"/>
            </w:tcBorders>
            <w:vAlign w:val="center"/>
          </w:tcPr>
          <w:p w14:paraId="34AA55AA">
            <w:pPr>
              <w:jc w:val="center"/>
              <w:rPr>
                <w:rFonts w:ascii="宋体" w:hAnsi="宋体" w:cs="宋体"/>
                <w:sz w:val="24"/>
              </w:rPr>
            </w:pPr>
            <w:r>
              <w:rPr>
                <w:rFonts w:hint="eastAsia"/>
              </w:rPr>
              <w:t>活鱼（草鱼）</w:t>
            </w:r>
          </w:p>
        </w:tc>
        <w:tc>
          <w:tcPr>
            <w:tcW w:w="745" w:type="dxa"/>
            <w:tcBorders>
              <w:top w:val="single" w:color="auto" w:sz="4" w:space="0"/>
              <w:left w:val="single" w:color="auto" w:sz="4" w:space="0"/>
              <w:right w:val="single" w:color="auto" w:sz="4" w:space="0"/>
            </w:tcBorders>
            <w:vAlign w:val="center"/>
          </w:tcPr>
          <w:p w14:paraId="5963A286">
            <w:pPr>
              <w:jc w:val="center"/>
              <w:rPr>
                <w:rFonts w:ascii="宋体" w:hAnsi="宋体" w:cs="宋体"/>
                <w:sz w:val="24"/>
              </w:rPr>
            </w:pPr>
            <w:r>
              <w:rPr>
                <w:rFonts w:hint="eastAsia"/>
              </w:rPr>
              <w:t>公斤</w:t>
            </w:r>
          </w:p>
        </w:tc>
        <w:tc>
          <w:tcPr>
            <w:tcW w:w="1111" w:type="dxa"/>
            <w:tcBorders>
              <w:top w:val="single" w:color="auto" w:sz="4" w:space="0"/>
              <w:left w:val="single" w:color="auto" w:sz="4" w:space="0"/>
              <w:bottom w:val="single" w:color="auto" w:sz="4" w:space="0"/>
              <w:right w:val="single" w:color="auto" w:sz="4" w:space="0"/>
            </w:tcBorders>
            <w:vAlign w:val="center"/>
          </w:tcPr>
          <w:p w14:paraId="4BD26E90">
            <w:pPr>
              <w:jc w:val="center"/>
              <w:rPr>
                <w:rFonts w:ascii="宋体" w:hAnsi="宋体" w:cs="宋体"/>
                <w:sz w:val="24"/>
              </w:rPr>
            </w:pPr>
            <w:r>
              <w:rPr>
                <w:rFonts w:hint="eastAsia"/>
              </w:rPr>
              <w:t xml:space="preserve">10000.00 </w:t>
            </w:r>
          </w:p>
        </w:tc>
        <w:tc>
          <w:tcPr>
            <w:tcW w:w="1054" w:type="dxa"/>
            <w:vMerge w:val="continue"/>
            <w:tcBorders>
              <w:left w:val="single" w:color="auto" w:sz="4" w:space="0"/>
              <w:right w:val="single" w:color="auto" w:sz="4" w:space="0"/>
            </w:tcBorders>
            <w:vAlign w:val="center"/>
          </w:tcPr>
          <w:p w14:paraId="22911054">
            <w:pPr>
              <w:jc w:val="center"/>
              <w:rPr>
                <w:rFonts w:ascii="宋体" w:hAnsi="宋体" w:cs="宋体"/>
                <w:szCs w:val="21"/>
              </w:rPr>
            </w:pPr>
          </w:p>
        </w:tc>
        <w:tc>
          <w:tcPr>
            <w:tcW w:w="4555" w:type="dxa"/>
            <w:vMerge w:val="continue"/>
            <w:tcBorders>
              <w:left w:val="single" w:color="auto" w:sz="4" w:space="0"/>
              <w:right w:val="single" w:color="auto" w:sz="4" w:space="0"/>
            </w:tcBorders>
            <w:vAlign w:val="center"/>
          </w:tcPr>
          <w:p w14:paraId="28584062">
            <w:pPr>
              <w:spacing w:line="360" w:lineRule="auto"/>
              <w:rPr>
                <w:rFonts w:ascii="宋体" w:hAnsi="宋体" w:cs="宋体"/>
              </w:rPr>
            </w:pPr>
          </w:p>
        </w:tc>
        <w:tc>
          <w:tcPr>
            <w:tcW w:w="838" w:type="dxa"/>
            <w:tcBorders>
              <w:top w:val="single" w:color="auto" w:sz="4" w:space="0"/>
              <w:left w:val="single" w:color="auto" w:sz="4" w:space="0"/>
              <w:right w:val="single" w:color="auto" w:sz="4" w:space="0"/>
            </w:tcBorders>
            <w:vAlign w:val="center"/>
          </w:tcPr>
          <w:p w14:paraId="0728182A">
            <w:pPr>
              <w:widowControl/>
              <w:jc w:val="center"/>
            </w:pPr>
            <w:r>
              <w:rPr>
                <w:rFonts w:hint="eastAsia"/>
                <w:lang w:bidi="ar"/>
              </w:rPr>
              <w:t xml:space="preserve">17.00 </w:t>
            </w:r>
          </w:p>
        </w:tc>
      </w:tr>
      <w:tr w14:paraId="59B2BF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4" w:hRule="atLeast"/>
          <w:jc w:val="center"/>
        </w:trPr>
        <w:tc>
          <w:tcPr>
            <w:tcW w:w="479" w:type="dxa"/>
            <w:vMerge w:val="continue"/>
            <w:tcBorders>
              <w:left w:val="single" w:color="auto" w:sz="4" w:space="0"/>
              <w:right w:val="single" w:color="auto" w:sz="4" w:space="0"/>
            </w:tcBorders>
            <w:vAlign w:val="center"/>
          </w:tcPr>
          <w:p w14:paraId="2FAE7B81">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968D8EB">
            <w:pPr>
              <w:jc w:val="center"/>
              <w:rPr>
                <w:rFonts w:ascii="宋体" w:hAnsi="宋体" w:cs="宋体"/>
                <w:sz w:val="24"/>
              </w:rPr>
            </w:pPr>
            <w:r>
              <w:rPr>
                <w:rFonts w:hint="eastAsia"/>
              </w:rPr>
              <w:t>3</w:t>
            </w:r>
          </w:p>
        </w:tc>
        <w:tc>
          <w:tcPr>
            <w:tcW w:w="931" w:type="dxa"/>
            <w:tcBorders>
              <w:top w:val="single" w:color="auto" w:sz="4" w:space="0"/>
              <w:left w:val="single" w:color="auto" w:sz="4" w:space="0"/>
              <w:bottom w:val="single" w:color="auto" w:sz="4" w:space="0"/>
              <w:right w:val="single" w:color="auto" w:sz="4" w:space="0"/>
            </w:tcBorders>
            <w:vAlign w:val="center"/>
          </w:tcPr>
          <w:p w14:paraId="4DC14BBA">
            <w:pPr>
              <w:jc w:val="center"/>
              <w:rPr>
                <w:rFonts w:ascii="宋体" w:hAnsi="宋体" w:cs="宋体"/>
                <w:sz w:val="24"/>
              </w:rPr>
            </w:pPr>
            <w:r>
              <w:rPr>
                <w:rFonts w:hint="eastAsia"/>
              </w:rPr>
              <w:t>活鱼（罗非鱼）</w:t>
            </w:r>
          </w:p>
        </w:tc>
        <w:tc>
          <w:tcPr>
            <w:tcW w:w="745" w:type="dxa"/>
            <w:tcBorders>
              <w:top w:val="single" w:color="auto" w:sz="4" w:space="0"/>
              <w:left w:val="single" w:color="auto" w:sz="4" w:space="0"/>
              <w:bottom w:val="single" w:color="auto" w:sz="4" w:space="0"/>
              <w:right w:val="single" w:color="auto" w:sz="4" w:space="0"/>
            </w:tcBorders>
            <w:vAlign w:val="center"/>
          </w:tcPr>
          <w:p w14:paraId="4EB6889B">
            <w:pPr>
              <w:jc w:val="center"/>
              <w:rPr>
                <w:rFonts w:ascii="宋体" w:hAnsi="宋体" w:cs="宋体"/>
                <w:sz w:val="24"/>
              </w:rPr>
            </w:pPr>
            <w:r>
              <w:rPr>
                <w:rFonts w:hint="eastAsia"/>
              </w:rPr>
              <w:t>公斤</w:t>
            </w:r>
          </w:p>
        </w:tc>
        <w:tc>
          <w:tcPr>
            <w:tcW w:w="1111" w:type="dxa"/>
            <w:tcBorders>
              <w:top w:val="single" w:color="auto" w:sz="4" w:space="0"/>
              <w:left w:val="single" w:color="auto" w:sz="4" w:space="0"/>
              <w:bottom w:val="single" w:color="auto" w:sz="4" w:space="0"/>
              <w:right w:val="single" w:color="auto" w:sz="4" w:space="0"/>
            </w:tcBorders>
            <w:vAlign w:val="center"/>
          </w:tcPr>
          <w:p w14:paraId="128FDC01">
            <w:pPr>
              <w:jc w:val="center"/>
              <w:rPr>
                <w:rFonts w:ascii="宋体" w:hAnsi="宋体" w:cs="宋体"/>
                <w:sz w:val="24"/>
              </w:rPr>
            </w:pPr>
            <w:r>
              <w:rPr>
                <w:rFonts w:hint="eastAsia"/>
              </w:rPr>
              <w:t>1000.00</w:t>
            </w:r>
          </w:p>
        </w:tc>
        <w:tc>
          <w:tcPr>
            <w:tcW w:w="1054" w:type="dxa"/>
            <w:vMerge w:val="continue"/>
            <w:tcBorders>
              <w:left w:val="single" w:color="auto" w:sz="4" w:space="0"/>
              <w:right w:val="single" w:color="auto" w:sz="4" w:space="0"/>
            </w:tcBorders>
            <w:vAlign w:val="center"/>
          </w:tcPr>
          <w:p w14:paraId="25673BB9">
            <w:pPr>
              <w:jc w:val="center"/>
              <w:rPr>
                <w:rFonts w:ascii="宋体" w:hAnsi="宋体" w:cs="宋体"/>
                <w:szCs w:val="21"/>
              </w:rPr>
            </w:pPr>
          </w:p>
        </w:tc>
        <w:tc>
          <w:tcPr>
            <w:tcW w:w="4555" w:type="dxa"/>
            <w:vMerge w:val="continue"/>
            <w:tcBorders>
              <w:left w:val="single" w:color="auto" w:sz="4" w:space="0"/>
              <w:right w:val="single" w:color="auto" w:sz="4" w:space="0"/>
            </w:tcBorders>
            <w:vAlign w:val="center"/>
          </w:tcPr>
          <w:p w14:paraId="2FD5DF0B">
            <w:pPr>
              <w:spacing w:line="360" w:lineRule="auto"/>
              <w:rPr>
                <w:rFonts w:ascii="宋体" w:hAnsi="宋体" w:cs="宋体"/>
              </w:rPr>
            </w:pPr>
          </w:p>
        </w:tc>
        <w:tc>
          <w:tcPr>
            <w:tcW w:w="838" w:type="dxa"/>
            <w:tcBorders>
              <w:top w:val="single" w:color="auto" w:sz="4" w:space="0"/>
              <w:left w:val="single" w:color="auto" w:sz="4" w:space="0"/>
              <w:bottom w:val="single" w:color="auto" w:sz="4" w:space="0"/>
              <w:right w:val="single" w:color="auto" w:sz="4" w:space="0"/>
            </w:tcBorders>
            <w:vAlign w:val="center"/>
          </w:tcPr>
          <w:p w14:paraId="1C3CF300">
            <w:pPr>
              <w:widowControl/>
              <w:jc w:val="center"/>
            </w:pPr>
            <w:r>
              <w:rPr>
                <w:rFonts w:hint="eastAsia"/>
                <w:lang w:bidi="ar"/>
              </w:rPr>
              <w:t xml:space="preserve">16.00 </w:t>
            </w:r>
          </w:p>
        </w:tc>
      </w:tr>
      <w:tr w14:paraId="14FA9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5" w:hRule="atLeast"/>
          <w:jc w:val="center"/>
        </w:trPr>
        <w:tc>
          <w:tcPr>
            <w:tcW w:w="479" w:type="dxa"/>
            <w:vMerge w:val="continue"/>
            <w:tcBorders>
              <w:left w:val="single" w:color="auto" w:sz="4" w:space="0"/>
              <w:right w:val="single" w:color="auto" w:sz="4" w:space="0"/>
            </w:tcBorders>
            <w:vAlign w:val="center"/>
          </w:tcPr>
          <w:p w14:paraId="104BB95B">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C2486A7">
            <w:pPr>
              <w:jc w:val="center"/>
              <w:rPr>
                <w:rFonts w:ascii="宋体" w:hAnsi="宋体" w:cs="宋体"/>
                <w:sz w:val="24"/>
              </w:rPr>
            </w:pPr>
            <w:r>
              <w:rPr>
                <w:rFonts w:hint="eastAsia"/>
              </w:rPr>
              <w:t>4</w:t>
            </w:r>
          </w:p>
        </w:tc>
        <w:tc>
          <w:tcPr>
            <w:tcW w:w="931" w:type="dxa"/>
            <w:tcBorders>
              <w:top w:val="single" w:color="auto" w:sz="4" w:space="0"/>
              <w:left w:val="single" w:color="auto" w:sz="4" w:space="0"/>
              <w:bottom w:val="single" w:color="auto" w:sz="4" w:space="0"/>
              <w:right w:val="single" w:color="auto" w:sz="4" w:space="0"/>
            </w:tcBorders>
            <w:vAlign w:val="center"/>
          </w:tcPr>
          <w:p w14:paraId="6E4895F3">
            <w:pPr>
              <w:jc w:val="center"/>
              <w:rPr>
                <w:rFonts w:ascii="宋体" w:hAnsi="宋体" w:cs="宋体"/>
                <w:sz w:val="24"/>
              </w:rPr>
            </w:pPr>
            <w:r>
              <w:rPr>
                <w:rFonts w:hint="eastAsia"/>
              </w:rPr>
              <w:t>活鱼（骨鱼）</w:t>
            </w:r>
          </w:p>
        </w:tc>
        <w:tc>
          <w:tcPr>
            <w:tcW w:w="745" w:type="dxa"/>
            <w:tcBorders>
              <w:top w:val="single" w:color="auto" w:sz="4" w:space="0"/>
              <w:left w:val="single" w:color="auto" w:sz="4" w:space="0"/>
              <w:bottom w:val="single" w:color="auto" w:sz="4" w:space="0"/>
              <w:right w:val="single" w:color="auto" w:sz="4" w:space="0"/>
            </w:tcBorders>
            <w:vAlign w:val="center"/>
          </w:tcPr>
          <w:p w14:paraId="7CDDBC1A">
            <w:pPr>
              <w:jc w:val="center"/>
            </w:pPr>
            <w:r>
              <w:rPr>
                <w:rFonts w:hint="eastAsia"/>
              </w:rPr>
              <w:t>公斤</w:t>
            </w:r>
          </w:p>
        </w:tc>
        <w:tc>
          <w:tcPr>
            <w:tcW w:w="1111" w:type="dxa"/>
            <w:tcBorders>
              <w:top w:val="single" w:color="auto" w:sz="4" w:space="0"/>
              <w:left w:val="single" w:color="auto" w:sz="4" w:space="0"/>
              <w:bottom w:val="single" w:color="auto" w:sz="4" w:space="0"/>
              <w:right w:val="single" w:color="auto" w:sz="4" w:space="0"/>
            </w:tcBorders>
            <w:vAlign w:val="center"/>
          </w:tcPr>
          <w:p w14:paraId="5B3DB95C">
            <w:pPr>
              <w:jc w:val="center"/>
              <w:rPr>
                <w:rFonts w:ascii="宋体" w:hAnsi="宋体" w:cs="宋体"/>
                <w:sz w:val="24"/>
              </w:rPr>
            </w:pPr>
            <w:r>
              <w:rPr>
                <w:rFonts w:hint="eastAsia"/>
              </w:rPr>
              <w:t xml:space="preserve">2000.00 </w:t>
            </w:r>
          </w:p>
        </w:tc>
        <w:tc>
          <w:tcPr>
            <w:tcW w:w="1054" w:type="dxa"/>
            <w:vMerge w:val="continue"/>
            <w:tcBorders>
              <w:left w:val="single" w:color="auto" w:sz="4" w:space="0"/>
              <w:bottom w:val="single" w:color="auto" w:sz="4" w:space="0"/>
              <w:right w:val="single" w:color="auto" w:sz="4" w:space="0"/>
            </w:tcBorders>
            <w:vAlign w:val="center"/>
          </w:tcPr>
          <w:p w14:paraId="4E56E124">
            <w:pPr>
              <w:jc w:val="center"/>
              <w:rPr>
                <w:rFonts w:ascii="宋体" w:hAnsi="宋体" w:cs="宋体"/>
                <w:szCs w:val="21"/>
              </w:rPr>
            </w:pPr>
          </w:p>
        </w:tc>
        <w:tc>
          <w:tcPr>
            <w:tcW w:w="4555" w:type="dxa"/>
            <w:vMerge w:val="continue"/>
            <w:tcBorders>
              <w:left w:val="single" w:color="auto" w:sz="4" w:space="0"/>
              <w:bottom w:val="single" w:color="auto" w:sz="4" w:space="0"/>
              <w:right w:val="single" w:color="auto" w:sz="4" w:space="0"/>
            </w:tcBorders>
            <w:vAlign w:val="center"/>
          </w:tcPr>
          <w:p w14:paraId="03452DE8">
            <w:pPr>
              <w:spacing w:line="360" w:lineRule="auto"/>
              <w:rPr>
                <w:rFonts w:ascii="宋体" w:hAnsi="宋体" w:cs="宋体"/>
              </w:rPr>
            </w:pPr>
          </w:p>
        </w:tc>
        <w:tc>
          <w:tcPr>
            <w:tcW w:w="838" w:type="dxa"/>
            <w:tcBorders>
              <w:top w:val="single" w:color="auto" w:sz="4" w:space="0"/>
              <w:left w:val="single" w:color="auto" w:sz="4" w:space="0"/>
              <w:bottom w:val="single" w:color="auto" w:sz="4" w:space="0"/>
              <w:right w:val="single" w:color="auto" w:sz="4" w:space="0"/>
            </w:tcBorders>
            <w:vAlign w:val="center"/>
          </w:tcPr>
          <w:p w14:paraId="286558B3">
            <w:pPr>
              <w:widowControl/>
              <w:jc w:val="center"/>
            </w:pPr>
            <w:r>
              <w:rPr>
                <w:rFonts w:hint="eastAsia"/>
                <w:lang w:bidi="ar"/>
              </w:rPr>
              <w:t xml:space="preserve">21.00 </w:t>
            </w:r>
          </w:p>
        </w:tc>
      </w:tr>
      <w:tr w14:paraId="495E6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479" w:type="dxa"/>
            <w:tcBorders>
              <w:top w:val="single" w:color="auto" w:sz="4" w:space="0"/>
              <w:left w:val="single" w:color="auto" w:sz="4" w:space="0"/>
              <w:bottom w:val="single" w:color="auto" w:sz="4" w:space="0"/>
              <w:right w:val="single" w:color="auto" w:sz="4" w:space="0"/>
            </w:tcBorders>
          </w:tcPr>
          <w:p w14:paraId="1E40C0D2">
            <w:pPr>
              <w:jc w:val="center"/>
              <w:rPr>
                <w:rFonts w:ascii="宋体" w:hAnsi="宋体"/>
                <w:szCs w:val="21"/>
              </w:rPr>
            </w:pPr>
          </w:p>
          <w:p w14:paraId="2433C86F">
            <w:pPr>
              <w:jc w:val="center"/>
              <w:rPr>
                <w:rFonts w:ascii="宋体" w:hAnsi="宋体"/>
                <w:szCs w:val="21"/>
              </w:rPr>
            </w:pPr>
          </w:p>
          <w:p w14:paraId="264F65D2">
            <w:pPr>
              <w:jc w:val="center"/>
              <w:rPr>
                <w:rFonts w:ascii="宋体" w:hAnsi="宋体"/>
                <w:szCs w:val="21"/>
              </w:rPr>
            </w:pPr>
            <w:r>
              <w:rPr>
                <w:rFonts w:hint="eastAsia" w:ascii="宋体" w:hAnsi="宋体"/>
                <w:szCs w:val="21"/>
              </w:rPr>
              <w:t>商务条款</w:t>
            </w:r>
          </w:p>
        </w:tc>
        <w:tc>
          <w:tcPr>
            <w:tcW w:w="9750" w:type="dxa"/>
            <w:gridSpan w:val="7"/>
            <w:tcBorders>
              <w:top w:val="single" w:color="auto" w:sz="4" w:space="0"/>
              <w:left w:val="single" w:color="auto" w:sz="4" w:space="0"/>
              <w:bottom w:val="single" w:color="auto" w:sz="4" w:space="0"/>
              <w:right w:val="single" w:color="auto" w:sz="4" w:space="0"/>
            </w:tcBorders>
          </w:tcPr>
          <w:p w14:paraId="23586316">
            <w:pPr>
              <w:numPr>
                <w:ilvl w:val="255"/>
                <w:numId w:val="0"/>
              </w:numPr>
              <w:spacing w:line="360" w:lineRule="auto"/>
              <w:rPr>
                <w:rFonts w:ascii="宋体" w:hAnsi="宋体" w:cs="宋体"/>
              </w:rPr>
            </w:pPr>
            <w:bookmarkStart w:id="156" w:name="OLE_LINK13"/>
            <w:r>
              <w:rPr>
                <w:rFonts w:hint="eastAsia" w:ascii="宋体" w:hAnsi="宋体" w:cs="宋体"/>
                <w:b/>
              </w:rPr>
              <w:t>一、合同签订期</w:t>
            </w:r>
            <w:r>
              <w:rPr>
                <w:rFonts w:hint="eastAsia" w:ascii="宋体" w:hAnsi="宋体" w:cs="宋体"/>
              </w:rPr>
              <w:t>：自中标通知书发出之日起25日内。</w:t>
            </w:r>
          </w:p>
          <w:p w14:paraId="55A5AB19">
            <w:pPr>
              <w:numPr>
                <w:ilvl w:val="255"/>
                <w:numId w:val="0"/>
              </w:numPr>
              <w:spacing w:line="360" w:lineRule="auto"/>
              <w:rPr>
                <w:rFonts w:ascii="宋体" w:hAnsi="宋体" w:cs="宋体"/>
                <w:b/>
                <w:bCs/>
              </w:rPr>
            </w:pPr>
            <w:r>
              <w:rPr>
                <w:rFonts w:hint="eastAsia" w:ascii="宋体" w:hAnsi="宋体" w:cs="宋体"/>
                <w:b/>
                <w:bCs/>
              </w:rPr>
              <w:t>二、交货要求</w:t>
            </w:r>
          </w:p>
          <w:p w14:paraId="40BB202B">
            <w:pPr>
              <w:spacing w:line="360" w:lineRule="auto"/>
              <w:rPr>
                <w:rFonts w:ascii="宋体" w:hAnsi="宋体" w:cs="宋体"/>
              </w:rPr>
            </w:pPr>
            <w:r>
              <w:rPr>
                <w:rFonts w:hint="eastAsia" w:ascii="宋体" w:hAnsi="宋体" w:cs="宋体"/>
              </w:rPr>
              <w:t>1.交货地点：</w:t>
            </w:r>
            <w:r>
              <w:rPr>
                <w:rFonts w:hint="eastAsia" w:ascii="宋体" w:hAnsi="宋体" w:cs="宋体"/>
                <w:szCs w:val="21"/>
              </w:rPr>
              <w:t>广西梧州市</w:t>
            </w:r>
            <w:r>
              <w:rPr>
                <w:rFonts w:hint="eastAsia" w:ascii="宋体" w:hAnsi="宋体" w:cs="宋体"/>
              </w:rPr>
              <w:t>采购人指定地点。</w:t>
            </w:r>
          </w:p>
          <w:p w14:paraId="4AC3AB0F">
            <w:pPr>
              <w:spacing w:line="360" w:lineRule="auto"/>
              <w:rPr>
                <w:rFonts w:ascii="宋体" w:hAnsi="宋体" w:cs="宋体"/>
              </w:rPr>
            </w:pPr>
            <w:r>
              <w:rPr>
                <w:rFonts w:hint="eastAsia" w:ascii="宋体" w:hAnsi="宋体" w:cs="宋体"/>
              </w:rPr>
              <w:t>2.交货时间：</w:t>
            </w:r>
            <w:r>
              <w:rPr>
                <w:rFonts w:hint="eastAsia" w:ascii="宋体" w:hAnsi="宋体" w:cs="宋体"/>
                <w:szCs w:val="21"/>
              </w:rPr>
              <w:t>中标人向采购人供应食材为每天上午8:00前，确保一日一供，节假日正常供应，特殊情况双方协商确定。产品运输由中标人负责，运输及卸车费用由中标人承担</w:t>
            </w:r>
            <w:r>
              <w:rPr>
                <w:rFonts w:hint="eastAsia" w:ascii="宋体" w:hAnsi="宋体" w:cs="宋体"/>
              </w:rPr>
              <w:t>。</w:t>
            </w:r>
          </w:p>
          <w:p w14:paraId="7FA2A9C4">
            <w:pPr>
              <w:spacing w:line="360" w:lineRule="auto"/>
              <w:rPr>
                <w:rFonts w:ascii="宋体" w:hAnsi="宋体" w:cs="宋体"/>
              </w:rPr>
            </w:pPr>
            <w:r>
              <w:rPr>
                <w:rFonts w:hint="eastAsia" w:ascii="宋体" w:hAnsi="宋体" w:cs="宋体"/>
              </w:rPr>
              <w:t>3.交货方式：现场交货。</w:t>
            </w:r>
          </w:p>
          <w:p w14:paraId="1E9AA6DD">
            <w:pPr>
              <w:spacing w:line="360" w:lineRule="auto"/>
              <w:rPr>
                <w:rFonts w:ascii="宋体" w:hAnsi="宋体" w:cs="宋体"/>
              </w:rPr>
            </w:pPr>
            <w:r>
              <w:rPr>
                <w:rFonts w:hint="eastAsia" w:ascii="宋体" w:hAnsi="宋体" w:cs="宋体"/>
              </w:rPr>
              <w:t>4.合同履行期限：自合同签订之日起一年。</w:t>
            </w:r>
          </w:p>
          <w:p w14:paraId="397C8450">
            <w:pPr>
              <w:numPr>
                <w:ilvl w:val="255"/>
                <w:numId w:val="0"/>
              </w:numPr>
              <w:spacing w:line="360" w:lineRule="auto"/>
              <w:rPr>
                <w:rFonts w:ascii="宋体" w:hAnsi="宋体" w:cs="宋体"/>
                <w:b/>
                <w:bCs/>
              </w:rPr>
            </w:pPr>
            <w:r>
              <w:rPr>
                <w:rFonts w:hint="eastAsia" w:ascii="宋体" w:hAnsi="宋体"/>
                <w:b/>
                <w:bCs/>
                <w:szCs w:val="21"/>
              </w:rPr>
              <w:t>三、质保期</w:t>
            </w:r>
          </w:p>
          <w:p w14:paraId="7661AE9A">
            <w:pPr>
              <w:spacing w:line="360" w:lineRule="auto"/>
              <w:rPr>
                <w:rFonts w:ascii="宋体" w:hAnsi="宋体" w:cs="宋体"/>
                <w:b/>
                <w:bCs/>
              </w:rPr>
            </w:pPr>
            <w:r>
              <w:rPr>
                <w:rFonts w:hint="eastAsia" w:ascii="宋体" w:hAnsi="宋体" w:cs="Courier New"/>
                <w:szCs w:val="21"/>
              </w:rPr>
              <w:t>自每批次货物验收合格起计算，不少于24小时。</w:t>
            </w:r>
          </w:p>
          <w:p w14:paraId="444505C7">
            <w:pPr>
              <w:numPr>
                <w:ilvl w:val="255"/>
                <w:numId w:val="0"/>
              </w:numPr>
              <w:spacing w:line="360" w:lineRule="auto"/>
              <w:rPr>
                <w:rFonts w:ascii="宋体" w:hAnsi="宋体" w:cs="宋体"/>
                <w:b/>
                <w:bCs/>
              </w:rPr>
            </w:pPr>
            <w:r>
              <w:rPr>
                <w:rFonts w:hint="eastAsia" w:ascii="宋体" w:hAnsi="宋体" w:cs="宋体"/>
                <w:b/>
                <w:bCs/>
              </w:rPr>
              <w:t>四、供货要求</w:t>
            </w:r>
          </w:p>
          <w:p w14:paraId="4F3790FB">
            <w:pPr>
              <w:spacing w:line="360" w:lineRule="auto"/>
              <w:rPr>
                <w:rFonts w:ascii="宋体" w:hAnsi="宋体" w:cs="宋体"/>
              </w:rPr>
            </w:pPr>
            <w:r>
              <w:rPr>
                <w:rFonts w:hint="eastAsia" w:ascii="宋体" w:hAnsi="宋体" w:cs="宋体"/>
              </w:rPr>
              <w:t>1.一般供货要求：采购人根据实际需要，每天下午18时前列出一份第二天需要补充采购的食品请购清单，在收到采购人发出供货通知后，中标人最迟在次日上午8：00前提供当次物资。</w:t>
            </w:r>
          </w:p>
          <w:p w14:paraId="041E67AC">
            <w:pPr>
              <w:spacing w:line="360" w:lineRule="auto"/>
              <w:rPr>
                <w:rFonts w:ascii="宋体" w:hAnsi="宋体" w:cs="宋体"/>
              </w:rPr>
            </w:pPr>
            <w:r>
              <w:rPr>
                <w:rFonts w:hint="eastAsia" w:ascii="宋体" w:hAnsi="宋体" w:cs="宋体"/>
              </w:rPr>
              <w:t>2.紧急供货要求：有紧急供货需求时，中标人在收到采购人发出紧急供货通知后，中标人最迟1小时内完成当次现场供货。</w:t>
            </w:r>
          </w:p>
          <w:p w14:paraId="32D2298A">
            <w:pPr>
              <w:spacing w:line="360" w:lineRule="auto"/>
              <w:rPr>
                <w:rFonts w:ascii="宋体" w:hAnsi="宋体" w:cs="宋体"/>
              </w:rPr>
            </w:pPr>
            <w:r>
              <w:rPr>
                <w:rFonts w:hint="eastAsia" w:ascii="宋体" w:hAnsi="宋体" w:cs="宋体"/>
              </w:rPr>
              <w:t>3.中标人不能满足供货要求时，应提前1个月通知采购人，采购人同意后方可终止合同。</w:t>
            </w:r>
          </w:p>
          <w:p w14:paraId="516CF72D">
            <w:pPr>
              <w:spacing w:line="360" w:lineRule="auto"/>
              <w:rPr>
                <w:rFonts w:ascii="宋体" w:hAnsi="宋体" w:cs="宋体"/>
              </w:rPr>
            </w:pPr>
            <w:r>
              <w:rPr>
                <w:rFonts w:hint="eastAsia" w:ascii="宋体" w:hAnsi="宋体" w:cs="宋体"/>
              </w:rPr>
              <w:t>4.中标人提供的产品必须是经过质量监督管理部门检验，取得合格证明的产品，必须具有</w:t>
            </w:r>
            <w:r>
              <w:rPr>
                <w:rFonts w:hint="eastAsia" w:ascii="宋体" w:hAnsi="宋体" w:cs="宋体"/>
                <w:kern w:val="0"/>
                <w:szCs w:val="21"/>
              </w:rPr>
              <w:t>《</w:t>
            </w:r>
            <w:r>
              <w:rPr>
                <w:rFonts w:hint="eastAsia" w:ascii="宋体" w:hAnsi="宋体" w:cs="宋体"/>
              </w:rPr>
              <w:t>动物产品检疫合格证明》。严禁提供腐烂变质、污秽不洁、注水、含有毒、有害物质或对人体健康有害的食品等。</w:t>
            </w:r>
          </w:p>
          <w:p w14:paraId="07EB09E1">
            <w:pPr>
              <w:spacing w:line="360" w:lineRule="auto"/>
              <w:rPr>
                <w:rFonts w:ascii="宋体" w:hAnsi="宋体" w:cs="宋体"/>
              </w:rPr>
            </w:pPr>
            <w:r>
              <w:rPr>
                <w:rFonts w:hint="eastAsia" w:ascii="宋体" w:hAnsi="宋体" w:cs="宋体"/>
              </w:rPr>
              <w:t>5.需要切砍的货物须由中标人负责切砍后交货。</w:t>
            </w:r>
          </w:p>
          <w:p w14:paraId="5EC55A35">
            <w:pPr>
              <w:spacing w:line="360" w:lineRule="auto"/>
              <w:rPr>
                <w:rFonts w:ascii="宋体" w:hAnsi="宋体" w:cs="宋体"/>
              </w:rPr>
            </w:pPr>
            <w:r>
              <w:rPr>
                <w:rFonts w:hint="eastAsia" w:ascii="宋体" w:hAnsi="宋体" w:cs="宋体"/>
              </w:rPr>
              <w:t>6.配送供应服务内容及要求详见附件一《配送供应内容及要求》。</w:t>
            </w:r>
          </w:p>
          <w:p w14:paraId="09524D06">
            <w:pPr>
              <w:numPr>
                <w:ilvl w:val="255"/>
                <w:numId w:val="0"/>
              </w:numPr>
              <w:spacing w:line="360" w:lineRule="auto"/>
              <w:rPr>
                <w:rFonts w:ascii="宋体" w:hAnsi="宋体" w:cs="宋体"/>
                <w:b/>
                <w:bCs/>
              </w:rPr>
            </w:pPr>
            <w:r>
              <w:rPr>
                <w:rFonts w:hint="eastAsia" w:ascii="宋体" w:hAnsi="宋体"/>
                <w:b/>
                <w:bCs/>
                <w:szCs w:val="21"/>
              </w:rPr>
              <w:t>五、售后服务要求</w:t>
            </w:r>
          </w:p>
          <w:p w14:paraId="7F8EB8CB">
            <w:pPr>
              <w:spacing w:line="360" w:lineRule="auto"/>
              <w:rPr>
                <w:rFonts w:ascii="宋体" w:hAnsi="宋体" w:cs="宋体"/>
              </w:rPr>
            </w:pPr>
            <w:r>
              <w:rPr>
                <w:rFonts w:hint="eastAsia" w:ascii="宋体" w:hAnsi="宋体" w:cs="宋体"/>
              </w:rPr>
              <w:t>1.中标人负责货物的供应、包装、运输、装卸、交货，以及途中冷链和售后服务等工作。</w:t>
            </w:r>
          </w:p>
          <w:p w14:paraId="05E7F156">
            <w:pPr>
              <w:spacing w:line="360" w:lineRule="auto"/>
              <w:rPr>
                <w:rFonts w:ascii="宋体" w:hAnsi="宋体" w:cs="宋体"/>
              </w:rPr>
            </w:pPr>
            <w:r>
              <w:rPr>
                <w:rFonts w:hint="eastAsia" w:ascii="宋体" w:hAnsi="宋体" w:cs="宋体"/>
              </w:rPr>
              <w:t>2.保质保量，如在质保期内发现质量问题，中标人必须在接到采购人通知后1小时内响应并处理，如属质量问题的及时给予更换；</w:t>
            </w:r>
          </w:p>
          <w:p w14:paraId="5377BB11">
            <w:pPr>
              <w:spacing w:line="360" w:lineRule="auto"/>
              <w:rPr>
                <w:rFonts w:ascii="宋体" w:hAnsi="宋体" w:cs="宋体"/>
              </w:rPr>
            </w:pPr>
            <w:r>
              <w:rPr>
                <w:rFonts w:hint="eastAsia" w:ascii="宋体" w:hAnsi="宋体" w:cs="宋体"/>
              </w:rPr>
              <w:t>3.投标人必须在投标文件中提供具体的“售后服务承诺书”；</w:t>
            </w:r>
          </w:p>
          <w:p w14:paraId="77383E17">
            <w:pPr>
              <w:spacing w:line="360" w:lineRule="auto"/>
              <w:rPr>
                <w:rFonts w:ascii="宋体" w:hAnsi="宋体" w:cs="宋体"/>
              </w:rPr>
            </w:pPr>
            <w:r>
              <w:rPr>
                <w:rFonts w:hint="eastAsia" w:ascii="宋体" w:hAnsi="宋体" w:cs="宋体"/>
              </w:rPr>
              <w:t>4.中标人必须严格按采购单位需要的数量和时间供货。</w:t>
            </w:r>
          </w:p>
          <w:p w14:paraId="17E9469B">
            <w:pPr>
              <w:numPr>
                <w:ilvl w:val="255"/>
                <w:numId w:val="0"/>
              </w:numPr>
              <w:spacing w:line="360" w:lineRule="auto"/>
              <w:rPr>
                <w:rFonts w:ascii="宋体" w:hAnsi="宋体" w:cs="宋体"/>
                <w:b/>
                <w:bCs/>
              </w:rPr>
            </w:pPr>
            <w:r>
              <w:rPr>
                <w:rFonts w:hint="eastAsia" w:ascii="宋体" w:hAnsi="宋体" w:cs="宋体"/>
                <w:b/>
                <w:bCs/>
              </w:rPr>
              <w:t>六、验收方法</w:t>
            </w:r>
          </w:p>
          <w:p w14:paraId="25B76BB8">
            <w:pPr>
              <w:spacing w:line="360" w:lineRule="auto"/>
              <w:rPr>
                <w:rFonts w:ascii="宋体" w:hAnsi="宋体" w:cs="宋体"/>
              </w:rPr>
            </w:pPr>
            <w:r>
              <w:rPr>
                <w:rFonts w:hint="eastAsia" w:ascii="宋体" w:hAnsi="宋体" w:cs="宋体"/>
              </w:rPr>
              <w:t>1.货物的验收工作由采购人和中标人共同进行。中标人提供的产品须经过采购人的感官检验、外观检验，若产品外观、包装、形式、质量不符合要求或感官检验不能达到食品卫生要求，当即拒收；中标人不能满足食品的质、量及售后服务要求时，采购人有权进行处罚或终止合同。</w:t>
            </w:r>
          </w:p>
          <w:p w14:paraId="0F904563">
            <w:pPr>
              <w:spacing w:line="360" w:lineRule="auto"/>
              <w:rPr>
                <w:rFonts w:ascii="宋体" w:hAnsi="宋体" w:cs="宋体"/>
              </w:rPr>
            </w:pPr>
            <w:r>
              <w:rPr>
                <w:rFonts w:hint="eastAsia" w:ascii="宋体" w:hAnsi="宋体" w:cs="宋体"/>
              </w:rPr>
              <w:t>2.验收工作的一般程序为：根据供货清单的具体要求，对所购物料进行清点、外观检查以及对物料的各项指标和性能进行实测，并逐项记录。检测结束后，验收人员在验收单上签字。对未能通过验收的，一律退货、更换直至验收合格。</w:t>
            </w:r>
          </w:p>
          <w:p w14:paraId="1BA8D341">
            <w:pPr>
              <w:numPr>
                <w:ilvl w:val="255"/>
                <w:numId w:val="0"/>
              </w:numPr>
              <w:spacing w:line="360" w:lineRule="auto"/>
              <w:rPr>
                <w:rFonts w:ascii="宋体" w:hAnsi="宋体" w:cs="宋体"/>
              </w:rPr>
            </w:pPr>
            <w:r>
              <w:rPr>
                <w:rFonts w:hint="eastAsia" w:ascii="宋体" w:hAnsi="宋体" w:cs="宋体"/>
                <w:b/>
                <w:bCs/>
              </w:rPr>
              <w:t>七、结算方式</w:t>
            </w:r>
          </w:p>
          <w:p w14:paraId="663711F2">
            <w:pPr>
              <w:spacing w:line="360" w:lineRule="auto"/>
              <w:jc w:val="left"/>
              <w:rPr>
                <w:rFonts w:ascii="宋体" w:hAnsi="宋体" w:cs="宋体"/>
              </w:rPr>
            </w:pPr>
            <w:r>
              <w:rPr>
                <w:rFonts w:hint="eastAsia" w:ascii="宋体" w:hAnsi="宋体" w:cs="宋体"/>
              </w:rPr>
              <w:t>(1)本项目采用先供货后对账再结算方式。</w:t>
            </w:r>
          </w:p>
          <w:p w14:paraId="74277A6C">
            <w:pPr>
              <w:spacing w:line="360" w:lineRule="auto"/>
              <w:jc w:val="left"/>
              <w:rPr>
                <w:rFonts w:ascii="宋体" w:hAnsi="宋体" w:cs="宋体"/>
              </w:rPr>
            </w:pPr>
            <w:r>
              <w:rPr>
                <w:rFonts w:hint="eastAsia" w:ascii="宋体" w:hAnsi="宋体" w:cs="宋体"/>
              </w:rPr>
              <w:t>(2)食材价格调动机制：自合同生效之日起三个月后，如果市场价格出现10%以上波动的，由中标供应商或采购人生活卫生部门提出调价申请，由采购人面向市场主体选择不少于3家具有代表性的调查对象（从以下市场或超市中随机抽取三家：梧州市龙圩区大圆塘市场、梧州市新兴市场、梧州市大塘市场、梧州市龙圩区龙人超市、梧州市沃尔玛超市、梧州市大润发超市）开展市场价格调查或送审计造价公司审定，以市场调查的最低价格或审定价乘以95%后作为下月的基准单价（特价商品除外），拟定调整价格经采购人工作小组复核，报采购人单位党委审定，方可调整价格。原则上每三个月复核一次采购价格。投标人应充分考虑到供货期间物品供应基准单价上涨的风险（如有新的价格调动机制文件，按新的文件规定执行）。在调价申请未得到批复前，供应商必须按现行价格供货，否则视为单方违约，同时按违约进行处理。</w:t>
            </w:r>
          </w:p>
          <w:p w14:paraId="56E2F55A">
            <w:pPr>
              <w:spacing w:line="360" w:lineRule="auto"/>
              <w:rPr>
                <w:rFonts w:ascii="宋体" w:hAnsi="宋体" w:cs="宋体"/>
                <w:b/>
                <w:bCs/>
              </w:rPr>
            </w:pPr>
            <w:r>
              <w:rPr>
                <w:rFonts w:hint="eastAsia" w:ascii="宋体" w:hAnsi="宋体" w:cs="宋体"/>
                <w:szCs w:val="21"/>
              </w:rPr>
              <w:t>(3)食材供货期内，某一食材供应价款实际结算方式为：实际食材结算金额=供应基准单价×实际采购数量×中标折扣系数(%)。</w:t>
            </w:r>
          </w:p>
          <w:p w14:paraId="1ECFA613">
            <w:pPr>
              <w:numPr>
                <w:ilvl w:val="255"/>
                <w:numId w:val="0"/>
              </w:numPr>
              <w:spacing w:line="360" w:lineRule="auto"/>
              <w:rPr>
                <w:rFonts w:ascii="宋体" w:hAnsi="宋体" w:cs="宋体"/>
                <w:b/>
                <w:bCs/>
              </w:rPr>
            </w:pPr>
            <w:r>
              <w:rPr>
                <w:rFonts w:hint="eastAsia" w:ascii="宋体" w:hAnsi="宋体" w:cs="宋体"/>
                <w:b/>
                <w:bCs/>
              </w:rPr>
              <w:t>八、其他要求</w:t>
            </w:r>
          </w:p>
          <w:p w14:paraId="1FB53C69">
            <w:pPr>
              <w:spacing w:line="360" w:lineRule="auto"/>
              <w:rPr>
                <w:rFonts w:ascii="宋体" w:hAnsi="宋体" w:cs="宋体"/>
              </w:rPr>
            </w:pPr>
            <w:r>
              <w:rPr>
                <w:rFonts w:hint="eastAsia" w:ascii="宋体" w:hAnsi="宋体" w:cs="宋体"/>
              </w:rPr>
              <w:t>1.中标人必须遵守采购人有关管理规定，否则采购人有权终止合同。</w:t>
            </w:r>
          </w:p>
          <w:p w14:paraId="5AF74BB1">
            <w:pPr>
              <w:spacing w:line="360" w:lineRule="auto"/>
              <w:rPr>
                <w:rFonts w:ascii="宋体" w:hAnsi="宋体" w:cs="宋体"/>
              </w:rPr>
            </w:pPr>
            <w:r>
              <w:rPr>
                <w:rFonts w:hint="eastAsia" w:ascii="宋体" w:hAnsi="宋体" w:cs="宋体"/>
              </w:rPr>
              <w:t>2.配送人员必须办理健康证，针对各分标投标文件中提供2名以上员工的健康证明、</w:t>
            </w:r>
            <w:r>
              <w:rPr>
                <w:rFonts w:hint="eastAsia" w:ascii="宋体" w:hAnsi="宋体" w:cs="宋体"/>
                <w:bCs/>
                <w:kern w:val="0"/>
                <w:szCs w:val="21"/>
              </w:rPr>
              <w:t>提供无犯罪证明材料</w:t>
            </w:r>
            <w:r>
              <w:rPr>
                <w:rFonts w:hint="eastAsia" w:ascii="宋体" w:hAnsi="宋体" w:cs="宋体"/>
              </w:rPr>
              <w:t>。如临时非固定人员送货，须取得采购人同意。</w:t>
            </w:r>
          </w:p>
          <w:p w14:paraId="3B144641">
            <w:pPr>
              <w:spacing w:line="360" w:lineRule="auto"/>
              <w:rPr>
                <w:rFonts w:ascii="宋体" w:hAnsi="宋体" w:cs="宋体"/>
              </w:rPr>
            </w:pPr>
            <w:r>
              <w:rPr>
                <w:rFonts w:hint="eastAsia" w:ascii="宋体" w:hAnsi="宋体" w:cs="宋体"/>
              </w:rPr>
              <w:t>3.投标人针对各分标必须拥有专用配送车辆（投标文件中提供如下证明资料：驾驶证、行驶证、车辆≥1辆、车辆照片），车厢内干净、整洁且能按采购人规定的时间及地点一次完成该批次货物的供应。</w:t>
            </w:r>
          </w:p>
          <w:p w14:paraId="1293C2EF">
            <w:pPr>
              <w:spacing w:line="360" w:lineRule="auto"/>
              <w:rPr>
                <w:rFonts w:ascii="宋体" w:hAnsi="宋体" w:cs="宋体"/>
              </w:rPr>
            </w:pPr>
            <w:r>
              <w:rPr>
                <w:rFonts w:hint="eastAsia" w:ascii="宋体" w:hAnsi="宋体" w:cs="宋体"/>
              </w:rPr>
              <w:t>4.</w:t>
            </w:r>
            <w:r>
              <w:rPr>
                <w:rFonts w:hint="eastAsia" w:ascii="宋体" w:hAnsi="宋体" w:cs="宋体"/>
                <w:b/>
              </w:rPr>
              <w:t>本项目采购需求中的要求均为实质性要求，投标人必须满足或优于，否则按投标无效处理</w:t>
            </w:r>
            <w:r>
              <w:rPr>
                <w:rFonts w:hint="eastAsia" w:ascii="宋体" w:hAnsi="宋体" w:cs="宋体"/>
              </w:rPr>
              <w:t>。实际数量为采购人根据实际需要；中标人不得因实际供应量提出异议。</w:t>
            </w:r>
          </w:p>
          <w:p w14:paraId="686B7CF4">
            <w:pPr>
              <w:numPr>
                <w:ilvl w:val="255"/>
                <w:numId w:val="0"/>
              </w:numPr>
              <w:spacing w:line="360" w:lineRule="auto"/>
              <w:rPr>
                <w:rFonts w:ascii="宋体" w:hAnsi="宋体" w:cs="宋体"/>
                <w:b/>
                <w:bCs/>
              </w:rPr>
            </w:pPr>
            <w:r>
              <w:rPr>
                <w:rFonts w:hint="eastAsia" w:ascii="宋体" w:hAnsi="宋体" w:cs="宋体"/>
                <w:b/>
                <w:bCs/>
              </w:rPr>
              <w:t>九、安全责任</w:t>
            </w:r>
          </w:p>
          <w:p w14:paraId="698F2708">
            <w:pPr>
              <w:spacing w:line="360" w:lineRule="auto"/>
              <w:rPr>
                <w:rFonts w:ascii="宋体" w:hAnsi="宋体" w:cs="宋体"/>
              </w:rPr>
            </w:pPr>
            <w:r>
              <w:rPr>
                <w:rFonts w:hint="eastAsia" w:ascii="宋体" w:hAnsi="宋体" w:cs="宋体"/>
              </w:rPr>
              <w:t>1.采购人有权随时对产品进行抽样送检，检测费用由中标人承担。中标人必须依法接受质量技术监督、卫生、市场监督管理局等职能部门的监督管理，并接受、配合相关职能部门的检测。因产品卫生和质量不合格而发生安全事故，中标人无条件承担全部责任，有关职能部门依法追究其责任，并取消中标人配送资格。</w:t>
            </w:r>
          </w:p>
          <w:p w14:paraId="77F5B8F9">
            <w:pPr>
              <w:spacing w:line="360" w:lineRule="auto"/>
              <w:rPr>
                <w:rFonts w:ascii="宋体" w:hAnsi="宋体" w:cs="宋体"/>
              </w:rPr>
            </w:pPr>
            <w:r>
              <w:rPr>
                <w:rFonts w:hint="eastAsia" w:ascii="宋体" w:hAnsi="宋体" w:cs="宋体"/>
              </w:rPr>
              <w:t>2.中标人应严格遵守《中华人民共和国食品安全法》等相关规定，所提供的产品是合格安全的产品，一经发现供应以下食品，采购人除全部退货外，有权可取消中标人配送资格，没收全部履约保证金，中标人并承担由此造成的经济责任和法律责任。</w:t>
            </w:r>
          </w:p>
          <w:p w14:paraId="16B87477">
            <w:pPr>
              <w:spacing w:line="360" w:lineRule="auto"/>
              <w:rPr>
                <w:rFonts w:ascii="宋体" w:hAnsi="宋体" w:cs="宋体"/>
              </w:rPr>
            </w:pPr>
            <w:r>
              <w:rPr>
                <w:rFonts w:hint="eastAsia" w:ascii="宋体" w:hAnsi="宋体" w:cs="宋体"/>
              </w:rPr>
              <w:t>①腐败变质、油脂酸败、霉变、生虫、污秽不洁、混有异物或者其他感官性状异常，对人体健康有害的；</w:t>
            </w:r>
          </w:p>
          <w:p w14:paraId="0A040531">
            <w:pPr>
              <w:spacing w:line="360" w:lineRule="auto"/>
              <w:rPr>
                <w:rFonts w:ascii="宋体" w:hAnsi="宋体" w:cs="宋体"/>
              </w:rPr>
            </w:pPr>
            <w:r>
              <w:rPr>
                <w:rFonts w:hint="eastAsia" w:ascii="宋体" w:hAnsi="宋体" w:cs="宋体"/>
              </w:rPr>
              <w:t>②含有毒、有害物质或者被有害物质污染，对人体健康有害的；</w:t>
            </w:r>
          </w:p>
          <w:p w14:paraId="3888D470">
            <w:pPr>
              <w:spacing w:line="360" w:lineRule="auto"/>
              <w:rPr>
                <w:rFonts w:ascii="宋体" w:hAnsi="宋体" w:cs="宋体"/>
              </w:rPr>
            </w:pPr>
            <w:r>
              <w:rPr>
                <w:rFonts w:hint="eastAsia" w:ascii="宋体" w:hAnsi="宋体" w:cs="宋体"/>
              </w:rPr>
              <w:t>③含有致病性寄生虫、微生物或者微生物含量超过国家限定标准的；</w:t>
            </w:r>
          </w:p>
          <w:p w14:paraId="0921BFC1">
            <w:pPr>
              <w:spacing w:line="360" w:lineRule="auto"/>
              <w:rPr>
                <w:rFonts w:ascii="宋体" w:hAnsi="宋体" w:cs="宋体"/>
              </w:rPr>
            </w:pPr>
            <w:r>
              <w:rPr>
                <w:rFonts w:hint="eastAsia" w:ascii="宋体" w:hAnsi="宋体" w:cs="宋体"/>
              </w:rPr>
              <w:t>④掺假、掺杂、伪造，影响营养、卫生的；</w:t>
            </w:r>
          </w:p>
          <w:p w14:paraId="6361AB0F">
            <w:pPr>
              <w:spacing w:line="360" w:lineRule="auto"/>
              <w:rPr>
                <w:rFonts w:ascii="宋体" w:hAnsi="宋体" w:cs="宋体"/>
              </w:rPr>
            </w:pPr>
            <w:r>
              <w:rPr>
                <w:rFonts w:hint="eastAsia" w:ascii="宋体" w:hAnsi="宋体" w:cs="宋体"/>
              </w:rPr>
              <w:t>⑤用非食品原料加工的，加入非食品用化学物质或者将非食品当作食品的；</w:t>
            </w:r>
          </w:p>
          <w:p w14:paraId="19D28038">
            <w:pPr>
              <w:spacing w:line="360" w:lineRule="auto"/>
              <w:rPr>
                <w:rFonts w:ascii="宋体" w:hAnsi="宋体" w:cs="宋体"/>
              </w:rPr>
            </w:pPr>
            <w:r>
              <w:rPr>
                <w:rFonts w:hint="eastAsia" w:ascii="宋体" w:hAnsi="宋体" w:cs="宋体"/>
              </w:rPr>
              <w:t>⑥超过保质期限的。</w:t>
            </w:r>
          </w:p>
          <w:p w14:paraId="553F813E">
            <w:pPr>
              <w:spacing w:line="360" w:lineRule="auto"/>
              <w:rPr>
                <w:rFonts w:ascii="宋体" w:hAnsi="宋体" w:cs="宋体"/>
              </w:rPr>
            </w:pPr>
            <w:r>
              <w:rPr>
                <w:rFonts w:hint="eastAsia" w:ascii="宋体" w:hAnsi="宋体" w:cs="宋体"/>
              </w:rPr>
              <w:t>⑦病死、毒死或者死因不明的禽、畜、兽动物等及其制品；</w:t>
            </w:r>
          </w:p>
          <w:p w14:paraId="491F1629">
            <w:pPr>
              <w:spacing w:line="360" w:lineRule="auto"/>
            </w:pPr>
            <w:r>
              <w:rPr>
                <w:rFonts w:hint="eastAsia" w:ascii="宋体" w:hAnsi="宋体" w:cs="宋体"/>
              </w:rPr>
              <w:t>⑧</w:t>
            </w:r>
            <w:r>
              <w:rPr>
                <w:rFonts w:hint="eastAsia"/>
              </w:rPr>
              <w:t>食材没有合法供货来源的；</w:t>
            </w:r>
          </w:p>
          <w:p w14:paraId="27180915">
            <w:pPr>
              <w:spacing w:line="360" w:lineRule="auto"/>
              <w:rPr>
                <w:rFonts w:ascii="宋体" w:hAnsi="宋体" w:cs="宋体"/>
              </w:rPr>
            </w:pPr>
            <w:r>
              <w:rPr>
                <w:rFonts w:hint="eastAsia" w:ascii="宋体" w:hAnsi="宋体" w:cs="宋体"/>
                <w:szCs w:val="21"/>
              </w:rPr>
              <w:t>⑨</w:t>
            </w:r>
            <w:r>
              <w:rPr>
                <w:rFonts w:hint="eastAsia" w:ascii="宋体" w:hAnsi="宋体"/>
                <w:szCs w:val="21"/>
              </w:rPr>
              <w:t>未经检疫部门检疫、检验或者检疫、检验不合格的；</w:t>
            </w:r>
          </w:p>
          <w:p w14:paraId="2D32C15E">
            <w:pPr>
              <w:spacing w:line="360" w:lineRule="auto"/>
              <w:rPr>
                <w:rFonts w:ascii="宋体" w:hAnsi="宋体" w:cs="宋体"/>
              </w:rPr>
            </w:pPr>
            <w:r>
              <w:rPr>
                <w:rFonts w:hint="eastAsia" w:ascii="宋体" w:hAnsi="宋体" w:cs="宋体"/>
              </w:rPr>
              <w:t>⑩其他不符合食品卫生标准的情形。</w:t>
            </w:r>
          </w:p>
          <w:p w14:paraId="06F11405">
            <w:pPr>
              <w:spacing w:line="360" w:lineRule="auto"/>
              <w:rPr>
                <w:rFonts w:ascii="宋体" w:hAnsi="宋体" w:cs="宋体"/>
              </w:rPr>
            </w:pPr>
            <w:r>
              <w:rPr>
                <w:rFonts w:hint="eastAsia" w:ascii="宋体" w:hAnsi="宋体" w:cs="宋体"/>
              </w:rPr>
              <w:t>3.服务期限内，如有以下情形之一的，终止其配送资格。</w:t>
            </w:r>
          </w:p>
          <w:p w14:paraId="61B7DD9A">
            <w:pPr>
              <w:spacing w:line="360" w:lineRule="auto"/>
              <w:rPr>
                <w:rFonts w:ascii="宋体" w:hAnsi="宋体" w:cs="宋体"/>
              </w:rPr>
            </w:pPr>
            <w:r>
              <w:rPr>
                <w:rFonts w:hint="eastAsia" w:ascii="宋体" w:hAnsi="宋体" w:cs="宋体"/>
              </w:rPr>
              <w:t>①严重违法违规，被食品安全监管部门或其他部门处罚的；</w:t>
            </w:r>
          </w:p>
          <w:p w14:paraId="6FCB94EC">
            <w:pPr>
              <w:spacing w:line="360" w:lineRule="auto"/>
              <w:rPr>
                <w:rFonts w:ascii="宋体" w:hAnsi="宋体" w:cs="宋体"/>
              </w:rPr>
            </w:pPr>
            <w:r>
              <w:rPr>
                <w:rFonts w:hint="eastAsia" w:ascii="宋体" w:hAnsi="宋体" w:cs="宋体"/>
              </w:rPr>
              <w:t>②虚开发票，套取资金，被监察、审计、财政、物价等有关部门查实的；</w:t>
            </w:r>
          </w:p>
          <w:p w14:paraId="04655983">
            <w:pPr>
              <w:spacing w:line="360" w:lineRule="auto"/>
              <w:rPr>
                <w:rFonts w:ascii="宋体" w:hAnsi="宋体" w:cs="宋体"/>
              </w:rPr>
            </w:pPr>
            <w:r>
              <w:rPr>
                <w:rFonts w:hint="eastAsia" w:ascii="宋体" w:hAnsi="宋体" w:cs="宋体"/>
              </w:rPr>
              <w:t>③因食品原材料问题而发生食品安全事故，造成不良后果的；</w:t>
            </w:r>
          </w:p>
          <w:p w14:paraId="746EA7D4">
            <w:pPr>
              <w:spacing w:line="360" w:lineRule="auto"/>
              <w:rPr>
                <w:rFonts w:ascii="宋体" w:hAnsi="宋体" w:cs="宋体"/>
              </w:rPr>
            </w:pPr>
            <w:r>
              <w:rPr>
                <w:rFonts w:hint="eastAsia" w:ascii="宋体" w:hAnsi="宋体" w:cs="宋体"/>
              </w:rPr>
              <w:t>④被</w:t>
            </w:r>
            <w:r>
              <w:rPr>
                <w:rFonts w:hint="eastAsia" w:ascii="宋体" w:hAnsi="宋体"/>
                <w:szCs w:val="21"/>
              </w:rPr>
              <w:t>市场监督管理局</w:t>
            </w:r>
            <w:r>
              <w:rPr>
                <w:rFonts w:hint="eastAsia" w:ascii="宋体" w:hAnsi="宋体" w:cs="宋体"/>
              </w:rPr>
              <w:t>、农业农村局抽检食品原材料发现存在严重质量问题的；</w:t>
            </w:r>
          </w:p>
          <w:p w14:paraId="51D0BF99">
            <w:pPr>
              <w:spacing w:line="360" w:lineRule="auto"/>
              <w:rPr>
                <w:rFonts w:ascii="宋体" w:hAnsi="宋体" w:cs="宋体"/>
              </w:rPr>
            </w:pPr>
            <w:r>
              <w:rPr>
                <w:rFonts w:hint="eastAsia" w:ascii="宋体" w:hAnsi="宋体" w:cs="宋体"/>
              </w:rPr>
              <w:t>⑤被媒体曝光，造成不良影响的；</w:t>
            </w:r>
          </w:p>
          <w:p w14:paraId="2FFEE1BB">
            <w:pPr>
              <w:spacing w:line="360" w:lineRule="auto"/>
              <w:rPr>
                <w:rFonts w:ascii="宋体" w:hAnsi="宋体" w:cs="宋体"/>
              </w:rPr>
            </w:pPr>
            <w:r>
              <w:rPr>
                <w:rFonts w:hint="eastAsia" w:ascii="宋体" w:hAnsi="宋体" w:cs="宋体"/>
              </w:rPr>
              <w:t>⑥经查实，存在严重短斤缺两行为；</w:t>
            </w:r>
          </w:p>
          <w:p w14:paraId="4A6F21DC">
            <w:pPr>
              <w:widowControl/>
              <w:shd w:val="clear" w:color="auto" w:fill="FFFFFF"/>
              <w:spacing w:line="312" w:lineRule="auto"/>
              <w:jc w:val="left"/>
              <w:rPr>
                <w:rFonts w:ascii="宋体" w:hAnsi="宋体"/>
                <w:szCs w:val="21"/>
              </w:rPr>
            </w:pPr>
            <w:r>
              <w:rPr>
                <w:rFonts w:hint="eastAsia" w:ascii="宋体" w:hAnsi="宋体" w:cs="宋体"/>
              </w:rPr>
              <w:t>⑦</w:t>
            </w:r>
            <w:r>
              <w:rPr>
                <w:rFonts w:hint="eastAsia" w:ascii="宋体" w:hAnsi="宋体"/>
                <w:szCs w:val="21"/>
              </w:rPr>
              <w:t>被吊销或注销食品生产许可证或者食品经营许可证的；</w:t>
            </w:r>
          </w:p>
          <w:p w14:paraId="1E5065D6">
            <w:pPr>
              <w:spacing w:line="360" w:lineRule="auto"/>
              <w:rPr>
                <w:rFonts w:ascii="宋体" w:hAnsi="宋体"/>
                <w:szCs w:val="21"/>
              </w:rPr>
            </w:pPr>
            <w:r>
              <w:rPr>
                <w:rFonts w:hint="eastAsia" w:ascii="宋体" w:hAnsi="宋体" w:cs="宋体"/>
              </w:rPr>
              <w:t>⑧</w:t>
            </w:r>
            <w:r>
              <w:rPr>
                <w:rFonts w:hint="eastAsia" w:ascii="宋体" w:hAnsi="宋体"/>
                <w:szCs w:val="21"/>
              </w:rPr>
              <w:t>违反食堂食品原材料采购配送规定，上级主管部门认定应退出的；</w:t>
            </w:r>
          </w:p>
          <w:p w14:paraId="1A43C3A7">
            <w:pPr>
              <w:spacing w:line="360" w:lineRule="auto"/>
              <w:rPr>
                <w:rFonts w:ascii="宋体" w:hAnsi="宋体"/>
                <w:szCs w:val="21"/>
              </w:rPr>
            </w:pPr>
            <w:r>
              <w:rPr>
                <w:rFonts w:hint="eastAsia" w:ascii="宋体" w:hAnsi="宋体" w:cs="宋体"/>
                <w:szCs w:val="21"/>
              </w:rPr>
              <w:t>⑨</w:t>
            </w:r>
            <w:r>
              <w:rPr>
                <w:rFonts w:hint="eastAsia" w:ascii="宋体" w:hAnsi="宋体"/>
                <w:szCs w:val="21"/>
              </w:rPr>
              <w:t>存在转包发包行为的。</w:t>
            </w:r>
          </w:p>
          <w:p w14:paraId="41A6B265">
            <w:pPr>
              <w:numPr>
                <w:ilvl w:val="255"/>
                <w:numId w:val="0"/>
              </w:numPr>
              <w:spacing w:line="360" w:lineRule="auto"/>
              <w:jc w:val="left"/>
              <w:rPr>
                <w:rFonts w:ascii="宋体" w:hAnsi="宋体" w:cs="宋体"/>
                <w:b/>
                <w:bCs/>
              </w:rPr>
            </w:pPr>
            <w:r>
              <w:rPr>
                <w:rFonts w:hint="eastAsia" w:ascii="宋体" w:hAnsi="宋体" w:cs="宋体"/>
                <w:b/>
                <w:bCs/>
              </w:rPr>
              <w:t>十、报价要求</w:t>
            </w:r>
          </w:p>
          <w:p w14:paraId="6B77C560">
            <w:pPr>
              <w:spacing w:line="360" w:lineRule="auto"/>
              <w:rPr>
                <w:rFonts w:ascii="宋体" w:hAnsi="宋体" w:cs="宋体"/>
                <w:szCs w:val="21"/>
              </w:rPr>
            </w:pPr>
            <w:r>
              <w:rPr>
                <w:rFonts w:hint="eastAsia" w:ascii="宋体" w:hAnsi="宋体" w:cs="宋体"/>
              </w:rPr>
              <w:t>1.</w:t>
            </w:r>
            <w:r>
              <w:rPr>
                <w:rFonts w:hint="eastAsia" w:ascii="宋体" w:hAnsi="宋体" w:cs="宋体"/>
                <w:szCs w:val="21"/>
              </w:rPr>
              <w:t xml:space="preserve"> 超出有效报价范围的视为投标无效；投标报价按综合折扣系数报价（保留小数点后2位），投标报价有效报价范围为：折扣系数≤100%，投标人的投标单价为供应基准单价×投标报价折扣系数。</w:t>
            </w:r>
          </w:p>
          <w:p w14:paraId="3F9013CA">
            <w:pPr>
              <w:spacing w:line="360" w:lineRule="auto"/>
              <w:rPr>
                <w:rFonts w:ascii="宋体" w:hAnsi="宋体" w:cs="宋体"/>
                <w:b/>
                <w:bCs/>
              </w:rPr>
            </w:pPr>
            <w:r>
              <w:rPr>
                <w:rFonts w:hint="eastAsia" w:ascii="宋体" w:hAnsi="宋体" w:cs="宋体"/>
              </w:rPr>
              <w:t>2.投标报价结合市场价格、成本及自身条件、市场风险考虑报出综合的折扣系数。</w:t>
            </w:r>
            <w:r>
              <w:rPr>
                <w:rFonts w:hint="eastAsia" w:ascii="宋体" w:hAnsi="宋体" w:cs="宋体"/>
                <w:b/>
                <w:bCs/>
              </w:rPr>
              <w:t>投标人一旦中标，中标折扣系数在合同服务期内不得改变。</w:t>
            </w:r>
          </w:p>
          <w:p w14:paraId="130E3C76">
            <w:pPr>
              <w:spacing w:line="360" w:lineRule="auto"/>
              <w:rPr>
                <w:rFonts w:ascii="宋体" w:hAnsi="宋体" w:cs="宋体"/>
              </w:rPr>
            </w:pPr>
            <w:r>
              <w:rPr>
                <w:rFonts w:hint="eastAsia" w:ascii="宋体" w:hAnsi="宋体" w:cs="宋体"/>
              </w:rPr>
              <w:t>3.报价必须含以下部分，包括：</w:t>
            </w:r>
          </w:p>
          <w:p w14:paraId="08B207AA">
            <w:pPr>
              <w:spacing w:line="360" w:lineRule="auto"/>
              <w:rPr>
                <w:rFonts w:ascii="宋体" w:hAnsi="宋体" w:cs="宋体"/>
              </w:rPr>
            </w:pPr>
            <w:r>
              <w:rPr>
                <w:rFonts w:hint="eastAsia" w:ascii="宋体" w:hAnsi="宋体" w:cs="宋体"/>
              </w:rPr>
              <w:t>①货物、服务的价格；</w:t>
            </w:r>
          </w:p>
          <w:p w14:paraId="53C88443">
            <w:pPr>
              <w:spacing w:line="360" w:lineRule="auto"/>
              <w:rPr>
                <w:rFonts w:ascii="宋体" w:hAnsi="宋体" w:cs="宋体"/>
              </w:rPr>
            </w:pPr>
            <w:r>
              <w:rPr>
                <w:rFonts w:hint="eastAsia" w:ascii="宋体" w:hAnsi="宋体" w:cs="宋体"/>
              </w:rPr>
              <w:t>②必要的保险费用和各项税金；</w:t>
            </w:r>
          </w:p>
          <w:p w14:paraId="2F1B846E">
            <w:pPr>
              <w:spacing w:line="360" w:lineRule="auto"/>
              <w:rPr>
                <w:rFonts w:ascii="宋体" w:hAnsi="宋体" w:cs="宋体"/>
              </w:rPr>
            </w:pPr>
            <w:r>
              <w:rPr>
                <w:rFonts w:hint="eastAsia" w:ascii="宋体" w:hAnsi="宋体" w:cs="宋体"/>
              </w:rPr>
              <w:t>③</w:t>
            </w:r>
            <w:r>
              <w:rPr>
                <w:rFonts w:hint="eastAsia" w:ascii="宋体" w:hAnsi="宋体"/>
                <w:szCs w:val="21"/>
              </w:rPr>
              <w:t>检验检测、</w:t>
            </w:r>
            <w:r>
              <w:rPr>
                <w:rFonts w:hint="eastAsia" w:ascii="宋体" w:hAnsi="宋体" w:cs="宋体"/>
              </w:rPr>
              <w:t>包装费、运输、搬运装卸、配件加工、</w:t>
            </w:r>
            <w:r>
              <w:rPr>
                <w:rFonts w:hint="eastAsia" w:ascii="宋体" w:hAnsi="宋体"/>
                <w:szCs w:val="21"/>
              </w:rPr>
              <w:t>仓储、人工费及配送费、</w:t>
            </w:r>
            <w:r>
              <w:rPr>
                <w:rFonts w:hint="eastAsia" w:ascii="宋体" w:hAnsi="宋体" w:cs="宋体"/>
              </w:rPr>
              <w:t>售后服务等费用；</w:t>
            </w:r>
          </w:p>
          <w:p w14:paraId="03207EC0">
            <w:pPr>
              <w:spacing w:line="360" w:lineRule="auto"/>
              <w:rPr>
                <w:rFonts w:ascii="宋体" w:hAnsi="宋体" w:cs="宋体"/>
              </w:rPr>
            </w:pPr>
            <w:r>
              <w:rPr>
                <w:rFonts w:hint="eastAsia" w:ascii="宋体" w:hAnsi="宋体" w:cs="宋体"/>
              </w:rPr>
              <w:t>④招标文件所要求的相关服务以及合同所示全部责任、义务和一般风险等全过程产生的所有成本和费用以及税费与投标人认为应包含在本项目中的一切费用等有关费用。</w:t>
            </w:r>
          </w:p>
          <w:p w14:paraId="69C25EC1">
            <w:pPr>
              <w:spacing w:line="360" w:lineRule="auto"/>
              <w:rPr>
                <w:rFonts w:ascii="宋体" w:hAnsi="宋体" w:cs="宋体"/>
              </w:rPr>
            </w:pPr>
            <w:r>
              <w:rPr>
                <w:rFonts w:hint="eastAsia" w:ascii="宋体" w:hAnsi="宋体" w:cs="宋体"/>
              </w:rPr>
              <w:t>4.采购人经市场多方面询价发现中标人在合同服务期内所提供的商品价格普遍比市场询价高的、提供假冒伪劣、质量缺陷、非正品的产品，采购人向中标人发出累计二次书面问责书后合同自动解除。</w:t>
            </w:r>
          </w:p>
          <w:p w14:paraId="4E2D8ED7">
            <w:pPr>
              <w:numPr>
                <w:ilvl w:val="255"/>
                <w:numId w:val="0"/>
              </w:numPr>
              <w:spacing w:line="360" w:lineRule="auto"/>
              <w:jc w:val="left"/>
              <w:rPr>
                <w:rFonts w:ascii="宋体" w:hAnsi="宋体" w:cs="宋体"/>
                <w:b/>
                <w:bCs/>
              </w:rPr>
            </w:pPr>
            <w:r>
              <w:rPr>
                <w:rFonts w:hint="eastAsia" w:ascii="宋体" w:hAnsi="宋体" w:cs="宋体"/>
                <w:b/>
                <w:bCs/>
              </w:rPr>
              <w:t>十一、付款方式：</w:t>
            </w:r>
          </w:p>
          <w:p w14:paraId="513C1BD7">
            <w:pPr>
              <w:spacing w:line="360" w:lineRule="auto"/>
              <w:ind w:firstLine="420" w:firstLineChars="200"/>
              <w:rPr>
                <w:szCs w:val="21"/>
              </w:rPr>
            </w:pPr>
            <w:r>
              <w:rPr>
                <w:rFonts w:hint="eastAsia" w:ascii="宋体" w:hAnsi="宋体" w:cs="宋体"/>
                <w:szCs w:val="21"/>
              </w:rPr>
              <w:t>中标人每月26日与采购人核对本月的采购数量（结算周期：上月26日至本月25日为一个结算周期），每月27日提供当月供应食材的等额发票及供货单据结算货款，每月结算一次。采购人收到发票及相关票据后，以银行转账方式向中标人支付货款。中标人须按时足额提供发票及相关票据，否则采购人有权拒绝付款而不构成违约。中标人开具的发票必须真实、合法、有效，如中标人提供虚假发票，由此引发的一切责任由中标人负责。</w:t>
            </w:r>
          </w:p>
          <w:p w14:paraId="501AD3F6">
            <w:pPr>
              <w:numPr>
                <w:ilvl w:val="255"/>
                <w:numId w:val="0"/>
              </w:numPr>
              <w:spacing w:line="360" w:lineRule="auto"/>
              <w:rPr>
                <w:szCs w:val="21"/>
              </w:rPr>
            </w:pPr>
            <w:r>
              <w:rPr>
                <w:rFonts w:hint="eastAsia" w:ascii="宋体" w:hAnsi="宋体" w:cs="宋体"/>
                <w:b/>
                <w:bCs/>
              </w:rPr>
              <w:t>十二、</w:t>
            </w:r>
            <w:r>
              <w:rPr>
                <w:rFonts w:hint="eastAsia" w:ascii="宋体" w:hAnsi="宋体" w:cs="宋体"/>
              </w:rPr>
              <w:t>采购人对中标人实施考核管理制度，详见附件二《广西监狱罪犯生活物资供货商考核管理办法》。投标人在投标文件中出具承诺函：承诺如中标即服从“广西监狱罪犯生活物资供货商考核管理办法”；承诺函格式自拟。</w:t>
            </w:r>
            <w:bookmarkEnd w:id="156"/>
          </w:p>
        </w:tc>
      </w:tr>
      <w:tr w14:paraId="4F9142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79" w:type="dxa"/>
            <w:tcBorders>
              <w:top w:val="single" w:color="auto" w:sz="4" w:space="0"/>
              <w:left w:val="single" w:color="auto" w:sz="4" w:space="0"/>
              <w:bottom w:val="single" w:color="auto" w:sz="4" w:space="0"/>
              <w:right w:val="single" w:color="auto" w:sz="4" w:space="0"/>
            </w:tcBorders>
            <w:vAlign w:val="center"/>
          </w:tcPr>
          <w:p w14:paraId="768037CE">
            <w:pPr>
              <w:jc w:val="center"/>
              <w:rPr>
                <w:rFonts w:ascii="宋体" w:hAnsi="宋体"/>
                <w:szCs w:val="21"/>
              </w:rPr>
            </w:pPr>
            <w:r>
              <w:rPr>
                <w:rFonts w:hint="eastAsia" w:ascii="宋体" w:hAnsi="宋体"/>
                <w:szCs w:val="21"/>
              </w:rPr>
              <w:t>其他说明</w:t>
            </w:r>
          </w:p>
        </w:tc>
        <w:tc>
          <w:tcPr>
            <w:tcW w:w="9750" w:type="dxa"/>
            <w:gridSpan w:val="7"/>
            <w:tcBorders>
              <w:top w:val="single" w:color="auto" w:sz="4" w:space="0"/>
              <w:left w:val="single" w:color="auto" w:sz="4" w:space="0"/>
              <w:bottom w:val="single" w:color="auto" w:sz="4" w:space="0"/>
              <w:right w:val="single" w:color="auto" w:sz="4" w:space="0"/>
            </w:tcBorders>
          </w:tcPr>
          <w:p w14:paraId="5ECB39F1">
            <w:pPr>
              <w:widowControl/>
              <w:shd w:val="clear" w:color="auto" w:fill="FFFFFF"/>
              <w:spacing w:line="480" w:lineRule="exact"/>
              <w:rPr>
                <w:rFonts w:ascii="宋体" w:hAnsi="宋体"/>
                <w:szCs w:val="21"/>
              </w:rPr>
            </w:pPr>
            <w:r>
              <w:rPr>
                <w:rFonts w:hint="eastAsia" w:ascii="宋体" w:hAnsi="宋体"/>
                <w:szCs w:val="21"/>
              </w:rPr>
              <w:t>一、进口产品说明（根据项目实际情况选择）</w:t>
            </w:r>
          </w:p>
          <w:p w14:paraId="5C25FB02">
            <w:pPr>
              <w:tabs>
                <w:tab w:val="left" w:pos="180"/>
                <w:tab w:val="left" w:pos="1620"/>
              </w:tabs>
              <w:spacing w:line="480" w:lineRule="exact"/>
              <w:ind w:firstLine="413" w:firstLineChars="197"/>
              <w:rPr>
                <w:rFonts w:ascii="宋体" w:hAnsi="宋体"/>
                <w:szCs w:val="21"/>
              </w:rPr>
            </w:pPr>
            <w:r>
              <w:rPr>
                <w:rFonts w:hint="eastAsia" w:ascii="宋体" w:hAnsi="宋体"/>
                <w:szCs w:val="21"/>
              </w:rPr>
              <w:t>本分标货物所涉及的货物不接受进口产品（即通过中国海关报关验放进入中国境内且产自关境外的产品）参与投标，</w:t>
            </w:r>
            <w:r>
              <w:rPr>
                <w:rFonts w:hint="eastAsia" w:ascii="宋体" w:hAnsi="宋体"/>
                <w:b/>
                <w:szCs w:val="21"/>
              </w:rPr>
              <w:t>如有进口产品参与投标的作无效标处理</w:t>
            </w:r>
            <w:r>
              <w:rPr>
                <w:rFonts w:hint="eastAsia" w:ascii="宋体" w:hAnsi="宋体"/>
                <w:szCs w:val="21"/>
              </w:rPr>
              <w:t>。</w:t>
            </w:r>
          </w:p>
          <w:p w14:paraId="3ECC0D2F">
            <w:pPr>
              <w:widowControl/>
              <w:shd w:val="clear" w:color="auto" w:fill="FFFFFF"/>
              <w:spacing w:line="480" w:lineRule="exact"/>
              <w:rPr>
                <w:rFonts w:ascii="宋体" w:hAnsi="宋体"/>
                <w:szCs w:val="21"/>
              </w:rPr>
            </w:pPr>
            <w:r>
              <w:rPr>
                <w:rFonts w:hint="eastAsia" w:ascii="宋体" w:hAnsi="宋体"/>
                <w:szCs w:val="21"/>
              </w:rPr>
              <w:t>二、</w:t>
            </w:r>
            <w:r>
              <w:rPr>
                <w:rFonts w:hint="eastAsia" w:ascii="宋体" w:hAnsi="宋体" w:cs="宋体"/>
                <w:szCs w:val="21"/>
              </w:rPr>
              <w:t>偏离条款说明</w:t>
            </w:r>
          </w:p>
          <w:p w14:paraId="14268383">
            <w:pPr>
              <w:widowControl/>
              <w:shd w:val="clear" w:color="auto" w:fill="FFFFFF"/>
              <w:spacing w:line="480" w:lineRule="exact"/>
              <w:ind w:firstLine="422" w:firstLineChars="200"/>
            </w:pPr>
            <w:r>
              <w:rPr>
                <w:rFonts w:hint="eastAsia" w:ascii="宋体" w:hAnsi="宋体" w:cs="宋体"/>
                <w:b/>
                <w:szCs w:val="21"/>
              </w:rPr>
              <w:t>带“▲”系指实质性要求条款，投标产品必须满足，否则投标无效；单个项号的货物（产品）允许偏离的非“▲”技术指标或要求发生负偏离的项数达</w:t>
            </w:r>
            <w:r>
              <w:rPr>
                <w:rFonts w:hint="eastAsia" w:ascii="宋体" w:hAnsi="宋体" w:cs="宋体"/>
                <w:b/>
                <w:szCs w:val="21"/>
                <w:u w:val="single"/>
              </w:rPr>
              <w:t>1项（含1项）</w:t>
            </w:r>
            <w:r>
              <w:rPr>
                <w:rFonts w:hint="eastAsia" w:ascii="宋体" w:hAnsi="宋体" w:cs="宋体"/>
                <w:b/>
                <w:szCs w:val="21"/>
              </w:rPr>
              <w:t>以上的，按投标文件作无效处理</w:t>
            </w:r>
            <w:r>
              <w:rPr>
                <w:rFonts w:hint="eastAsia" w:ascii="宋体" w:hAnsi="宋体" w:cs="宋体"/>
                <w:bCs/>
                <w:szCs w:val="21"/>
              </w:rPr>
              <w:t>。</w:t>
            </w:r>
          </w:p>
        </w:tc>
      </w:tr>
    </w:tbl>
    <w:p w14:paraId="5CACDE43">
      <w:pPr>
        <w:spacing w:line="360" w:lineRule="auto"/>
        <w:ind w:firstLine="310" w:firstLineChars="147"/>
        <w:jc w:val="left"/>
        <w:rPr>
          <w:rFonts w:ascii="宋体" w:hAnsi="宋体"/>
          <w:b/>
          <w:szCs w:val="21"/>
          <w:u w:val="single"/>
        </w:rPr>
      </w:pPr>
    </w:p>
    <w:p w14:paraId="6546A583">
      <w:pPr>
        <w:widowControl/>
        <w:spacing w:line="440" w:lineRule="exact"/>
        <w:jc w:val="left"/>
        <w:outlineLvl w:val="1"/>
        <w:rPr>
          <w:rFonts w:ascii="宋体" w:hAnsi="宋体" w:cs="宋体"/>
          <w:szCs w:val="21"/>
        </w:rPr>
      </w:pPr>
      <w:r>
        <w:rPr>
          <w:rFonts w:ascii="宋体" w:hAnsi="宋体"/>
          <w:b/>
          <w:szCs w:val="21"/>
          <w:u w:val="single"/>
        </w:rPr>
        <w:br w:type="page"/>
      </w:r>
      <w:bookmarkStart w:id="157" w:name="_Toc16267"/>
      <w:bookmarkStart w:id="158" w:name="_Toc6960"/>
      <w:bookmarkStart w:id="159" w:name="_Toc22476"/>
      <w:r>
        <w:rPr>
          <w:rFonts w:ascii="宋体" w:hAnsi="宋体"/>
          <w:b/>
          <w:szCs w:val="21"/>
          <w:u w:val="single"/>
        </w:rPr>
        <w:t>D</w:t>
      </w:r>
      <w:r>
        <w:rPr>
          <w:rFonts w:hint="eastAsia" w:ascii="宋体" w:hAnsi="宋体"/>
          <w:b/>
          <w:szCs w:val="21"/>
        </w:rPr>
        <w:t>分标：蔬菜类     采购预算(元)</w:t>
      </w:r>
      <w:r>
        <w:rPr>
          <w:rFonts w:hint="eastAsia" w:ascii="宋体" w:hAnsi="宋体"/>
          <w:szCs w:val="21"/>
        </w:rPr>
        <w:t>：</w:t>
      </w:r>
      <w:bookmarkStart w:id="160" w:name="OLE_LINK67"/>
      <w:r>
        <w:rPr>
          <w:rFonts w:hint="eastAsia" w:ascii="宋体" w:hAnsi="宋体"/>
          <w:szCs w:val="21"/>
          <w:u w:val="single"/>
        </w:rPr>
        <w:t xml:space="preserve"> 1432370.00</w:t>
      </w:r>
      <w:bookmarkEnd w:id="160"/>
      <w:r>
        <w:rPr>
          <w:rFonts w:hint="eastAsia" w:ascii="宋体" w:hAnsi="宋体"/>
          <w:szCs w:val="21"/>
          <w:u w:val="single"/>
        </w:rPr>
        <w:t xml:space="preserve">  </w:t>
      </w:r>
      <w:r>
        <w:rPr>
          <w:rFonts w:hint="eastAsia" w:ascii="宋体" w:hAnsi="宋体"/>
          <w:szCs w:val="21"/>
        </w:rPr>
        <w:t xml:space="preserve">      </w:t>
      </w:r>
      <w:r>
        <w:rPr>
          <w:rFonts w:hint="eastAsia" w:ascii="宋体" w:hAnsi="宋体"/>
          <w:b/>
          <w:szCs w:val="21"/>
        </w:rPr>
        <w:t>最高限价(元)</w:t>
      </w:r>
      <w:r>
        <w:rPr>
          <w:rFonts w:hint="eastAsia" w:ascii="宋体" w:hAnsi="宋体"/>
          <w:szCs w:val="21"/>
        </w:rPr>
        <w:t>：</w:t>
      </w:r>
      <w:bookmarkEnd w:id="157"/>
      <w:bookmarkEnd w:id="158"/>
      <w:r>
        <w:rPr>
          <w:rFonts w:hint="eastAsia" w:ascii="宋体" w:hAnsi="宋体"/>
          <w:szCs w:val="21"/>
          <w:u w:val="single"/>
        </w:rPr>
        <w:t xml:space="preserve">  1432370.00</w:t>
      </w:r>
      <w:bookmarkEnd w:id="159"/>
      <w:r>
        <w:rPr>
          <w:rFonts w:ascii="宋体" w:hAnsi="宋体"/>
          <w:szCs w:val="21"/>
          <w:u w:val="single"/>
        </w:rPr>
        <w:t xml:space="preserve"> </w:t>
      </w:r>
      <w:r>
        <w:rPr>
          <w:rFonts w:hint="eastAsia" w:ascii="宋体" w:hAnsi="宋体"/>
          <w:szCs w:val="21"/>
        </w:rPr>
        <w:t xml:space="preserve"> </w:t>
      </w:r>
    </w:p>
    <w:tbl>
      <w:tblPr>
        <w:tblStyle w:val="37"/>
        <w:tblW w:w="105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9"/>
        <w:gridCol w:w="516"/>
        <w:gridCol w:w="931"/>
        <w:gridCol w:w="745"/>
        <w:gridCol w:w="1125"/>
        <w:gridCol w:w="1125"/>
        <w:gridCol w:w="4588"/>
        <w:gridCol w:w="1029"/>
      </w:tblGrid>
      <w:tr w14:paraId="65E368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538" w:type="dxa"/>
            <w:gridSpan w:val="8"/>
            <w:tcBorders>
              <w:top w:val="single" w:color="auto" w:sz="4" w:space="0"/>
              <w:left w:val="single" w:color="auto" w:sz="4" w:space="0"/>
              <w:right w:val="single" w:color="auto" w:sz="4" w:space="0"/>
            </w:tcBorders>
          </w:tcPr>
          <w:p w14:paraId="357998C4">
            <w:pPr>
              <w:spacing w:line="320" w:lineRule="exact"/>
              <w:jc w:val="center"/>
              <w:rPr>
                <w:rFonts w:ascii="仿宋_GB2312" w:hAnsi="宋体" w:eastAsia="仿宋_GB2312" w:cs="Arial"/>
                <w:b/>
                <w:sz w:val="32"/>
                <w:szCs w:val="32"/>
              </w:rPr>
            </w:pPr>
            <w:r>
              <w:rPr>
                <w:rFonts w:hint="eastAsia" w:ascii="仿宋_GB2312" w:hAnsi="宋体" w:eastAsia="仿宋_GB2312" w:cs="Arial"/>
                <w:b/>
                <w:sz w:val="28"/>
                <w:szCs w:val="28"/>
              </w:rPr>
              <w:t>货物需求一览表</w:t>
            </w:r>
          </w:p>
        </w:tc>
      </w:tr>
      <w:tr w14:paraId="000E4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restart"/>
            <w:tcBorders>
              <w:top w:val="single" w:color="auto" w:sz="4" w:space="0"/>
              <w:left w:val="single" w:color="auto" w:sz="4" w:space="0"/>
              <w:right w:val="single" w:color="auto" w:sz="4" w:space="0"/>
            </w:tcBorders>
            <w:vAlign w:val="center"/>
          </w:tcPr>
          <w:p w14:paraId="2EC21DC1">
            <w:pPr>
              <w:jc w:val="center"/>
              <w:rPr>
                <w:rFonts w:ascii="宋体" w:hAnsi="宋体" w:cs="宋体"/>
                <w:szCs w:val="21"/>
              </w:rPr>
            </w:pPr>
            <w:r>
              <w:rPr>
                <w:rFonts w:hint="eastAsia" w:ascii="宋体" w:hAnsi="宋体" w:cs="宋体"/>
                <w:szCs w:val="21"/>
              </w:rPr>
              <w:t>采购清单及货物参数</w:t>
            </w: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B928C91">
            <w:pPr>
              <w:jc w:val="center"/>
              <w:rPr>
                <w:rFonts w:ascii="宋体" w:hAnsi="宋体" w:cs="宋体"/>
                <w:szCs w:val="21"/>
              </w:rPr>
            </w:pPr>
            <w:r>
              <w:rPr>
                <w:rFonts w:hint="eastAsia" w:ascii="宋体" w:hAnsi="宋体" w:cs="宋体"/>
                <w:szCs w:val="21"/>
              </w:rPr>
              <w:t>序号</w:t>
            </w:r>
          </w:p>
        </w:tc>
        <w:tc>
          <w:tcPr>
            <w:tcW w:w="931" w:type="dxa"/>
            <w:tcBorders>
              <w:top w:val="single" w:color="auto" w:sz="4" w:space="0"/>
              <w:left w:val="single" w:color="auto" w:sz="4" w:space="0"/>
              <w:bottom w:val="single" w:color="auto" w:sz="4" w:space="0"/>
              <w:right w:val="single" w:color="auto" w:sz="4" w:space="0"/>
            </w:tcBorders>
            <w:vAlign w:val="center"/>
          </w:tcPr>
          <w:p w14:paraId="1C39E680">
            <w:pPr>
              <w:jc w:val="center"/>
              <w:rPr>
                <w:rFonts w:ascii="宋体" w:hAnsi="宋体" w:cs="宋体"/>
                <w:szCs w:val="21"/>
              </w:rPr>
            </w:pPr>
            <w:r>
              <w:rPr>
                <w:rFonts w:hint="eastAsia" w:ascii="宋体" w:hAnsi="宋体" w:cs="宋体"/>
                <w:szCs w:val="21"/>
              </w:rPr>
              <w:t>标的</w:t>
            </w:r>
          </w:p>
          <w:p w14:paraId="4660E872">
            <w:pPr>
              <w:jc w:val="center"/>
              <w:rPr>
                <w:rFonts w:ascii="宋体" w:hAnsi="宋体" w:cs="宋体"/>
                <w:szCs w:val="21"/>
              </w:rPr>
            </w:pPr>
            <w:r>
              <w:rPr>
                <w:rFonts w:hint="eastAsia" w:ascii="宋体" w:hAnsi="宋体" w:cs="宋体"/>
                <w:szCs w:val="21"/>
              </w:rPr>
              <w:t>名称</w:t>
            </w:r>
          </w:p>
        </w:tc>
        <w:tc>
          <w:tcPr>
            <w:tcW w:w="745" w:type="dxa"/>
            <w:tcBorders>
              <w:top w:val="single" w:color="auto" w:sz="4" w:space="0"/>
              <w:left w:val="single" w:color="auto" w:sz="4" w:space="0"/>
              <w:bottom w:val="single" w:color="auto" w:sz="4" w:space="0"/>
              <w:right w:val="single" w:color="auto" w:sz="4" w:space="0"/>
            </w:tcBorders>
            <w:vAlign w:val="center"/>
          </w:tcPr>
          <w:p w14:paraId="1C8FD877">
            <w:pPr>
              <w:jc w:val="center"/>
              <w:rPr>
                <w:rFonts w:ascii="宋体" w:hAnsi="宋体" w:cs="宋体"/>
                <w:szCs w:val="21"/>
              </w:rPr>
            </w:pPr>
            <w:r>
              <w:rPr>
                <w:rFonts w:hint="eastAsia" w:ascii="宋体" w:hAnsi="宋体" w:cs="宋体"/>
                <w:szCs w:val="21"/>
              </w:rPr>
              <w:t>单位</w:t>
            </w:r>
          </w:p>
        </w:tc>
        <w:tc>
          <w:tcPr>
            <w:tcW w:w="1125" w:type="dxa"/>
            <w:tcBorders>
              <w:top w:val="single" w:color="auto" w:sz="4" w:space="0"/>
              <w:left w:val="single" w:color="auto" w:sz="4" w:space="0"/>
              <w:bottom w:val="single" w:color="auto" w:sz="4" w:space="0"/>
              <w:right w:val="single" w:color="auto" w:sz="4" w:space="0"/>
            </w:tcBorders>
            <w:vAlign w:val="center"/>
          </w:tcPr>
          <w:p w14:paraId="68369AEF">
            <w:pPr>
              <w:jc w:val="center"/>
              <w:rPr>
                <w:rFonts w:ascii="宋体" w:hAnsi="宋体" w:cs="宋体"/>
                <w:szCs w:val="21"/>
              </w:rPr>
            </w:pPr>
            <w:r>
              <w:rPr>
                <w:rFonts w:hint="eastAsia" w:ascii="宋体" w:hAnsi="宋体" w:cs="宋体"/>
                <w:szCs w:val="21"/>
              </w:rPr>
              <w:t>数量</w:t>
            </w:r>
          </w:p>
          <w:p w14:paraId="1ED4ED90">
            <w:pPr>
              <w:jc w:val="center"/>
              <w:rPr>
                <w:rFonts w:ascii="宋体" w:hAnsi="宋体" w:cs="宋体"/>
                <w:szCs w:val="21"/>
              </w:rPr>
            </w:pPr>
            <w:r>
              <w:rPr>
                <w:rFonts w:hint="eastAsia" w:ascii="宋体" w:hAnsi="宋体" w:cs="宋体"/>
                <w:szCs w:val="21"/>
              </w:rPr>
              <w:t>（暂估）</w:t>
            </w:r>
          </w:p>
        </w:tc>
        <w:tc>
          <w:tcPr>
            <w:tcW w:w="1125" w:type="dxa"/>
            <w:tcBorders>
              <w:top w:val="single" w:color="auto" w:sz="4" w:space="0"/>
              <w:left w:val="single" w:color="auto" w:sz="4" w:space="0"/>
              <w:bottom w:val="single" w:color="auto" w:sz="4" w:space="0"/>
              <w:right w:val="single" w:color="auto" w:sz="4" w:space="0"/>
            </w:tcBorders>
            <w:vAlign w:val="center"/>
          </w:tcPr>
          <w:p w14:paraId="66FF3FDD">
            <w:pPr>
              <w:jc w:val="center"/>
              <w:rPr>
                <w:rFonts w:ascii="宋体" w:hAnsi="宋体" w:cs="宋体"/>
                <w:szCs w:val="21"/>
              </w:rPr>
            </w:pPr>
            <w:r>
              <w:rPr>
                <w:rFonts w:hint="eastAsia" w:ascii="宋体" w:hAnsi="宋体"/>
                <w:b/>
                <w:szCs w:val="21"/>
              </w:rPr>
              <w:t>所属行业</w:t>
            </w:r>
          </w:p>
        </w:tc>
        <w:tc>
          <w:tcPr>
            <w:tcW w:w="4588" w:type="dxa"/>
            <w:tcBorders>
              <w:top w:val="single" w:color="auto" w:sz="4" w:space="0"/>
              <w:left w:val="single" w:color="auto" w:sz="4" w:space="0"/>
              <w:bottom w:val="single" w:color="auto" w:sz="4" w:space="0"/>
              <w:right w:val="single" w:color="auto" w:sz="4" w:space="0"/>
            </w:tcBorders>
            <w:vAlign w:val="center"/>
          </w:tcPr>
          <w:p w14:paraId="61744F7B">
            <w:pPr>
              <w:jc w:val="center"/>
              <w:rPr>
                <w:rFonts w:ascii="宋体" w:hAnsi="宋体" w:cs="宋体"/>
                <w:szCs w:val="21"/>
              </w:rPr>
            </w:pPr>
            <w:r>
              <w:rPr>
                <w:rFonts w:hint="eastAsia" w:ascii="宋体" w:hAnsi="宋体" w:cs="宋体"/>
                <w:szCs w:val="21"/>
              </w:rPr>
              <w:t>货物参数</w:t>
            </w:r>
          </w:p>
        </w:tc>
        <w:tc>
          <w:tcPr>
            <w:tcW w:w="1029" w:type="dxa"/>
            <w:tcBorders>
              <w:top w:val="single" w:color="auto" w:sz="4" w:space="0"/>
              <w:left w:val="single" w:color="auto" w:sz="4" w:space="0"/>
              <w:bottom w:val="single" w:color="auto" w:sz="4" w:space="0"/>
              <w:right w:val="single" w:color="auto" w:sz="4" w:space="0"/>
            </w:tcBorders>
            <w:vAlign w:val="center"/>
          </w:tcPr>
          <w:p w14:paraId="0200E161">
            <w:pPr>
              <w:jc w:val="center"/>
              <w:rPr>
                <w:rFonts w:ascii="宋体" w:hAnsi="宋体" w:cs="宋体"/>
                <w:szCs w:val="21"/>
              </w:rPr>
            </w:pPr>
            <w:r>
              <w:rPr>
                <w:rFonts w:hint="eastAsia" w:ascii="宋体" w:hAnsi="宋体" w:cs="宋体"/>
                <w:szCs w:val="21"/>
              </w:rPr>
              <w:t>供应基准单价（元/公斤）</w:t>
            </w:r>
          </w:p>
        </w:tc>
      </w:tr>
      <w:tr w14:paraId="78D2EE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14:paraId="3F656B2F">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E721957">
            <w:pPr>
              <w:jc w:val="center"/>
              <w:rPr>
                <w:rFonts w:ascii="宋体" w:hAnsi="宋体" w:cs="宋体"/>
                <w:sz w:val="24"/>
              </w:rPr>
            </w:pPr>
            <w:r>
              <w:rPr>
                <w:rFonts w:hint="eastAsia"/>
              </w:rPr>
              <w:t>1</w:t>
            </w:r>
          </w:p>
        </w:tc>
        <w:tc>
          <w:tcPr>
            <w:tcW w:w="931" w:type="dxa"/>
            <w:tcBorders>
              <w:top w:val="single" w:color="auto" w:sz="4" w:space="0"/>
              <w:left w:val="single" w:color="auto" w:sz="4" w:space="0"/>
              <w:bottom w:val="single" w:color="auto" w:sz="4" w:space="0"/>
              <w:right w:val="single" w:color="auto" w:sz="4" w:space="0"/>
            </w:tcBorders>
            <w:vAlign w:val="center"/>
          </w:tcPr>
          <w:p w14:paraId="63A45A60">
            <w:pPr>
              <w:widowControl/>
              <w:jc w:val="center"/>
            </w:pPr>
            <w:r>
              <w:rPr>
                <w:rFonts w:hint="eastAsia"/>
                <w:lang w:bidi="ar"/>
              </w:rPr>
              <w:t>大白菜</w:t>
            </w:r>
          </w:p>
        </w:tc>
        <w:tc>
          <w:tcPr>
            <w:tcW w:w="745" w:type="dxa"/>
            <w:tcBorders>
              <w:top w:val="single" w:color="auto" w:sz="4" w:space="0"/>
              <w:left w:val="single" w:color="auto" w:sz="4" w:space="0"/>
              <w:bottom w:val="single" w:color="auto" w:sz="4" w:space="0"/>
              <w:right w:val="single" w:color="auto" w:sz="4" w:space="0"/>
            </w:tcBorders>
            <w:vAlign w:val="center"/>
          </w:tcPr>
          <w:p w14:paraId="3EC52A9B">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5EF8D642">
            <w:pPr>
              <w:widowControl/>
              <w:jc w:val="center"/>
            </w:pPr>
            <w:r>
              <w:rPr>
                <w:rFonts w:hint="eastAsia"/>
                <w:lang w:bidi="ar"/>
              </w:rPr>
              <w:t>100000</w:t>
            </w:r>
            <w:bookmarkStart w:id="161" w:name="OLE_LINK12"/>
            <w:r>
              <w:rPr>
                <w:rFonts w:hint="eastAsia"/>
                <w:lang w:bidi="ar"/>
              </w:rPr>
              <w:t>.00</w:t>
            </w:r>
            <w:bookmarkEnd w:id="161"/>
          </w:p>
        </w:tc>
        <w:tc>
          <w:tcPr>
            <w:tcW w:w="1125" w:type="dxa"/>
            <w:vMerge w:val="restart"/>
            <w:tcBorders>
              <w:top w:val="single" w:color="auto" w:sz="4" w:space="0"/>
              <w:left w:val="single" w:color="auto" w:sz="4" w:space="0"/>
              <w:right w:val="single" w:color="auto" w:sz="4" w:space="0"/>
            </w:tcBorders>
            <w:vAlign w:val="center"/>
          </w:tcPr>
          <w:p w14:paraId="2328F0FA">
            <w:pPr>
              <w:jc w:val="center"/>
            </w:pPr>
            <w:r>
              <w:rPr>
                <w:rFonts w:hint="eastAsia" w:ascii="宋体" w:hAnsi="宋体"/>
                <w:szCs w:val="21"/>
              </w:rPr>
              <w:t>批发业</w:t>
            </w:r>
          </w:p>
        </w:tc>
        <w:tc>
          <w:tcPr>
            <w:tcW w:w="4588" w:type="dxa"/>
            <w:vMerge w:val="restart"/>
            <w:tcBorders>
              <w:top w:val="single" w:color="auto" w:sz="4" w:space="0"/>
              <w:left w:val="single" w:color="auto" w:sz="4" w:space="0"/>
              <w:right w:val="single" w:color="auto" w:sz="4" w:space="0"/>
            </w:tcBorders>
            <w:vAlign w:val="center"/>
          </w:tcPr>
          <w:p w14:paraId="2FA92780">
            <w:pPr>
              <w:spacing w:line="360" w:lineRule="auto"/>
              <w:ind w:left="105" w:leftChars="50" w:right="42" w:rightChars="20"/>
              <w:rPr>
                <w:rFonts w:ascii="宋体" w:hAnsi="宋体" w:cs="宋体"/>
                <w:szCs w:val="21"/>
              </w:rPr>
            </w:pPr>
            <w:r>
              <w:rPr>
                <w:rFonts w:hint="eastAsia" w:ascii="宋体" w:hAnsi="宋体" w:cs="宋体"/>
                <w:szCs w:val="21"/>
              </w:rPr>
              <w:t>▲一、食材品质要求：</w:t>
            </w:r>
          </w:p>
          <w:p w14:paraId="5609E3CC">
            <w:pPr>
              <w:spacing w:line="360" w:lineRule="auto"/>
              <w:ind w:left="105" w:leftChars="50" w:right="42" w:rightChars="20"/>
              <w:rPr>
                <w:rFonts w:ascii="宋体" w:hAnsi="宋体" w:cs="宋体"/>
                <w:szCs w:val="21"/>
              </w:rPr>
            </w:pPr>
            <w:r>
              <w:rPr>
                <w:rFonts w:hint="eastAsia" w:ascii="宋体" w:hAnsi="宋体" w:cs="宋体"/>
                <w:szCs w:val="21"/>
              </w:rPr>
              <w:t>1.蔬菜要求新鲜，干净无杂质，无腐烂变质，可食率达 95%以上。</w:t>
            </w:r>
          </w:p>
          <w:p w14:paraId="4EE14AEE">
            <w:pPr>
              <w:spacing w:line="360" w:lineRule="auto"/>
              <w:ind w:left="105" w:leftChars="50" w:right="42" w:rightChars="20"/>
              <w:rPr>
                <w:rFonts w:ascii="宋体" w:hAnsi="宋体" w:cs="宋体"/>
                <w:szCs w:val="21"/>
              </w:rPr>
            </w:pPr>
            <w:r>
              <w:rPr>
                <w:rFonts w:hint="eastAsia" w:ascii="宋体" w:hAnsi="宋体" w:cs="宋体"/>
                <w:szCs w:val="21"/>
              </w:rPr>
              <w:t>2.蔬菜残留农药检测合格。</w:t>
            </w:r>
          </w:p>
          <w:p w14:paraId="115FF1A4">
            <w:pPr>
              <w:spacing w:line="360" w:lineRule="auto"/>
              <w:ind w:left="105" w:leftChars="50" w:right="42" w:rightChars="20"/>
              <w:rPr>
                <w:rFonts w:ascii="宋体" w:hAnsi="宋体" w:cs="宋体"/>
                <w:szCs w:val="21"/>
              </w:rPr>
            </w:pPr>
            <w:r>
              <w:rPr>
                <w:rFonts w:hint="eastAsia" w:ascii="宋体" w:hAnsi="宋体" w:cs="宋体"/>
                <w:szCs w:val="21"/>
              </w:rPr>
              <w:t>3.瓜类果实整洁，成熟度适中，无裂果及空洞现象，茄果不能有裂蒂及果皮变硬现象，无疤点，无断裂，无腐烂、异味，无明显机械伤。</w:t>
            </w:r>
          </w:p>
          <w:p w14:paraId="44CAA708">
            <w:pPr>
              <w:spacing w:line="360" w:lineRule="auto"/>
              <w:ind w:left="105" w:leftChars="50" w:right="42" w:rightChars="20"/>
              <w:rPr>
                <w:rFonts w:ascii="宋体" w:hAnsi="宋体" w:cs="宋体"/>
                <w:szCs w:val="21"/>
              </w:rPr>
            </w:pPr>
            <w:r>
              <w:rPr>
                <w:rFonts w:hint="eastAsia" w:ascii="宋体" w:hAnsi="宋体" w:cs="宋体"/>
                <w:szCs w:val="21"/>
              </w:rPr>
              <w:t>4.带叶蔬菜类肉质鲜嫩形态好，色泽正常，茎基部削平，无枯黄叶、病叶、泥土、明显机械伤和病虫害伤，无烧心焦边、腐烂等现象，无异味，结球叶菜要结球适度。</w:t>
            </w:r>
          </w:p>
          <w:p w14:paraId="7F86D061">
            <w:pPr>
              <w:spacing w:line="360" w:lineRule="auto"/>
              <w:ind w:left="105" w:leftChars="50" w:right="42" w:rightChars="20"/>
              <w:rPr>
                <w:rFonts w:ascii="宋体" w:hAnsi="宋体" w:cs="宋体"/>
                <w:szCs w:val="21"/>
              </w:rPr>
            </w:pPr>
            <w:r>
              <w:rPr>
                <w:rFonts w:hint="eastAsia" w:ascii="宋体" w:hAnsi="宋体" w:cs="宋体"/>
                <w:szCs w:val="21"/>
              </w:rPr>
              <w:t>5.萝卜类要求皮细光滑，肉质脆嫩致密新鲜，无腐烂、裂痕、糠心、异味，不带泥沙，不带茎叶和须根。</w:t>
            </w:r>
          </w:p>
          <w:p w14:paraId="2B24D95B">
            <w:pPr>
              <w:spacing w:line="360" w:lineRule="auto"/>
              <w:ind w:left="105" w:leftChars="50" w:right="42" w:rightChars="20"/>
              <w:rPr>
                <w:rFonts w:ascii="宋体" w:hAnsi="宋体" w:cs="宋体"/>
                <w:szCs w:val="21"/>
              </w:rPr>
            </w:pPr>
            <w:r>
              <w:rPr>
                <w:rFonts w:hint="eastAsia" w:ascii="宋体" w:hAnsi="宋体" w:cs="宋体"/>
                <w:szCs w:val="21"/>
              </w:rPr>
              <w:t>6.豆类要求颗粒饱满均匀，干净无杂质，无腐烂变质。</w:t>
            </w:r>
          </w:p>
          <w:p w14:paraId="6584BA6D">
            <w:pPr>
              <w:spacing w:line="360" w:lineRule="auto"/>
              <w:ind w:left="105" w:leftChars="50" w:right="42" w:rightChars="20"/>
              <w:rPr>
                <w:rFonts w:ascii="宋体" w:hAnsi="宋体" w:cs="宋体"/>
                <w:szCs w:val="21"/>
              </w:rPr>
            </w:pPr>
            <w:r>
              <w:rPr>
                <w:rFonts w:hint="eastAsia" w:ascii="宋体" w:hAnsi="宋体" w:cs="宋体"/>
                <w:szCs w:val="21"/>
              </w:rPr>
              <w:t>7.质量符合《中华人民共和国食品安全法》《中华人民共和国农产品质量安全法》《中华人民共和国食品安全法实施条例》和其他对食品安全有关要求，确保饮食安全，严禁供应假冒伪劣产品和过期食品。</w:t>
            </w:r>
          </w:p>
          <w:p w14:paraId="747BA819">
            <w:pPr>
              <w:spacing w:line="360" w:lineRule="auto"/>
              <w:ind w:left="105" w:leftChars="50" w:right="42" w:rightChars="20"/>
              <w:rPr>
                <w:rFonts w:ascii="宋体" w:hAnsi="宋体" w:cs="宋体"/>
                <w:szCs w:val="21"/>
              </w:rPr>
            </w:pPr>
            <w:r>
              <w:rPr>
                <w:rFonts w:hint="eastAsia" w:ascii="宋体" w:hAnsi="宋体" w:cs="宋体"/>
                <w:szCs w:val="21"/>
              </w:rPr>
              <w:t>▲二、本表中所列蔬菜品种均为采购人常用的品种，在项目实施过程中，采购人可以根据所需食材的实际情况进行调整。</w:t>
            </w:r>
          </w:p>
          <w:p w14:paraId="625C0DC1">
            <w:pPr>
              <w:spacing w:line="360" w:lineRule="auto"/>
              <w:ind w:left="105" w:leftChars="50" w:right="42" w:rightChars="20"/>
              <w:rPr>
                <w:rFonts w:ascii="宋体" w:hAnsi="宋体" w:cs="宋体"/>
                <w:szCs w:val="21"/>
              </w:rPr>
            </w:pPr>
            <w:r>
              <w:rPr>
                <w:rFonts w:hint="eastAsia" w:ascii="宋体" w:hAnsi="宋体" w:cs="宋体"/>
                <w:szCs w:val="21"/>
              </w:rPr>
              <w:t>▲三、本表中所列的采购数量均为暂估量，具体数量以食材供应期限内实际供应量结算。中标供应商不得因实际供应量与本表中暂估数量不一致提出异议。</w:t>
            </w:r>
          </w:p>
          <w:p w14:paraId="3153B678">
            <w:pPr>
              <w:spacing w:line="360" w:lineRule="auto"/>
              <w:ind w:left="105" w:leftChars="50" w:right="10" w:rightChars="5"/>
              <w:rPr>
                <w:rFonts w:ascii="宋体" w:hAnsi="宋体" w:cs="宋体"/>
                <w:szCs w:val="21"/>
              </w:rPr>
            </w:pPr>
          </w:p>
        </w:tc>
        <w:tc>
          <w:tcPr>
            <w:tcW w:w="1029" w:type="dxa"/>
            <w:tcBorders>
              <w:top w:val="single" w:color="auto" w:sz="4" w:space="0"/>
              <w:left w:val="single" w:color="auto" w:sz="4" w:space="0"/>
              <w:bottom w:val="single" w:color="auto" w:sz="4" w:space="0"/>
              <w:right w:val="single" w:color="auto" w:sz="4" w:space="0"/>
            </w:tcBorders>
            <w:vAlign w:val="center"/>
          </w:tcPr>
          <w:p w14:paraId="0B76C1F3">
            <w:pPr>
              <w:widowControl/>
              <w:jc w:val="center"/>
              <w:rPr>
                <w:lang w:bidi="ar"/>
              </w:rPr>
            </w:pPr>
            <w:r>
              <w:rPr>
                <w:rFonts w:hint="eastAsia"/>
                <w:lang w:bidi="ar"/>
              </w:rPr>
              <w:t xml:space="preserve">2.30 </w:t>
            </w:r>
          </w:p>
        </w:tc>
      </w:tr>
      <w:tr w14:paraId="18564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14:paraId="2F7E5C04">
            <w:pPr>
              <w:jc w:val="center"/>
              <w:rPr>
                <w:rFonts w:ascii="宋体" w:hAnsi="宋体" w:cs="宋体"/>
                <w:szCs w:val="21"/>
              </w:rPr>
            </w:pPr>
            <w:bookmarkStart w:id="162" w:name="OLE_LINK11" w:colFirst="5" w:colLast="5"/>
          </w:p>
        </w:tc>
        <w:tc>
          <w:tcPr>
            <w:tcW w:w="516" w:type="dxa"/>
            <w:tcBorders>
              <w:top w:val="single" w:color="auto" w:sz="4" w:space="0"/>
              <w:left w:val="single" w:color="auto" w:sz="4" w:space="0"/>
              <w:right w:val="single" w:color="auto" w:sz="4" w:space="0"/>
            </w:tcBorders>
            <w:tcMar>
              <w:top w:w="0" w:type="dxa"/>
              <w:left w:w="0" w:type="dxa"/>
              <w:bottom w:w="0" w:type="dxa"/>
              <w:right w:w="0" w:type="dxa"/>
            </w:tcMar>
            <w:vAlign w:val="center"/>
          </w:tcPr>
          <w:p w14:paraId="2FC3E98E">
            <w:pPr>
              <w:jc w:val="center"/>
              <w:rPr>
                <w:rFonts w:ascii="宋体" w:hAnsi="宋体" w:cs="宋体"/>
                <w:sz w:val="24"/>
              </w:rPr>
            </w:pPr>
            <w:r>
              <w:rPr>
                <w:rFonts w:hint="eastAsia"/>
              </w:rPr>
              <w:t>2</w:t>
            </w:r>
          </w:p>
        </w:tc>
        <w:tc>
          <w:tcPr>
            <w:tcW w:w="931" w:type="dxa"/>
            <w:tcBorders>
              <w:top w:val="single" w:color="auto" w:sz="4" w:space="0"/>
              <w:left w:val="single" w:color="auto" w:sz="4" w:space="0"/>
              <w:right w:val="single" w:color="auto" w:sz="4" w:space="0"/>
            </w:tcBorders>
            <w:vAlign w:val="center"/>
          </w:tcPr>
          <w:p w14:paraId="4217D9D9">
            <w:pPr>
              <w:widowControl/>
              <w:jc w:val="center"/>
            </w:pPr>
            <w:r>
              <w:rPr>
                <w:rFonts w:hint="eastAsia"/>
                <w:lang w:bidi="ar"/>
              </w:rPr>
              <w:t>小白菜</w:t>
            </w:r>
          </w:p>
        </w:tc>
        <w:tc>
          <w:tcPr>
            <w:tcW w:w="745" w:type="dxa"/>
            <w:tcBorders>
              <w:top w:val="single" w:color="auto" w:sz="4" w:space="0"/>
              <w:left w:val="single" w:color="auto" w:sz="4" w:space="0"/>
              <w:right w:val="single" w:color="auto" w:sz="4" w:space="0"/>
            </w:tcBorders>
            <w:vAlign w:val="center"/>
          </w:tcPr>
          <w:p w14:paraId="2ADEEB98">
            <w:pPr>
              <w:jc w:val="center"/>
            </w:pPr>
            <w:r>
              <w:rPr>
                <w:rFonts w:hint="eastAsia"/>
              </w:rPr>
              <w:t>公斤</w:t>
            </w:r>
          </w:p>
        </w:tc>
        <w:tc>
          <w:tcPr>
            <w:tcW w:w="1125" w:type="dxa"/>
            <w:tcBorders>
              <w:top w:val="single" w:color="auto" w:sz="4" w:space="0"/>
              <w:left w:val="single" w:color="auto" w:sz="4" w:space="0"/>
              <w:right w:val="single" w:color="auto" w:sz="4" w:space="0"/>
            </w:tcBorders>
            <w:vAlign w:val="center"/>
          </w:tcPr>
          <w:p w14:paraId="28B2CA88">
            <w:pPr>
              <w:widowControl/>
              <w:jc w:val="center"/>
            </w:pPr>
            <w:r>
              <w:rPr>
                <w:rFonts w:hint="eastAsia"/>
                <w:lang w:bidi="ar"/>
              </w:rPr>
              <w:t>10000.00</w:t>
            </w:r>
          </w:p>
        </w:tc>
        <w:tc>
          <w:tcPr>
            <w:tcW w:w="1125" w:type="dxa"/>
            <w:vMerge w:val="continue"/>
            <w:tcBorders>
              <w:left w:val="single" w:color="auto" w:sz="4" w:space="0"/>
              <w:right w:val="single" w:color="auto" w:sz="4" w:space="0"/>
            </w:tcBorders>
          </w:tcPr>
          <w:p w14:paraId="764ACE03"/>
        </w:tc>
        <w:tc>
          <w:tcPr>
            <w:tcW w:w="4588" w:type="dxa"/>
            <w:vMerge w:val="continue"/>
            <w:tcBorders>
              <w:left w:val="single" w:color="auto" w:sz="4" w:space="0"/>
              <w:right w:val="single" w:color="auto" w:sz="4" w:space="0"/>
            </w:tcBorders>
            <w:vAlign w:val="center"/>
          </w:tcPr>
          <w:p w14:paraId="6CE5B923">
            <w:pPr>
              <w:spacing w:line="360" w:lineRule="auto"/>
              <w:rPr>
                <w:rFonts w:ascii="宋体" w:hAnsi="宋体" w:cs="宋体"/>
              </w:rPr>
            </w:pPr>
          </w:p>
        </w:tc>
        <w:tc>
          <w:tcPr>
            <w:tcW w:w="1029" w:type="dxa"/>
            <w:tcBorders>
              <w:top w:val="single" w:color="auto" w:sz="4" w:space="0"/>
              <w:left w:val="single" w:color="auto" w:sz="4" w:space="0"/>
              <w:right w:val="single" w:color="auto" w:sz="4" w:space="0"/>
            </w:tcBorders>
            <w:vAlign w:val="center"/>
          </w:tcPr>
          <w:p w14:paraId="1BE2104C">
            <w:pPr>
              <w:widowControl/>
              <w:jc w:val="center"/>
              <w:rPr>
                <w:lang w:bidi="ar"/>
              </w:rPr>
            </w:pPr>
            <w:r>
              <w:rPr>
                <w:rFonts w:hint="eastAsia"/>
                <w:lang w:bidi="ar"/>
              </w:rPr>
              <w:t xml:space="preserve">3.70 </w:t>
            </w:r>
          </w:p>
        </w:tc>
      </w:tr>
      <w:tr w14:paraId="5E9AB7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14:paraId="2B30E875">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F945EE1">
            <w:pPr>
              <w:jc w:val="center"/>
              <w:rPr>
                <w:rFonts w:ascii="宋体" w:hAnsi="宋体" w:cs="宋体"/>
                <w:sz w:val="24"/>
              </w:rPr>
            </w:pPr>
            <w:r>
              <w:rPr>
                <w:rFonts w:hint="eastAsia"/>
              </w:rPr>
              <w:t>3</w:t>
            </w:r>
          </w:p>
        </w:tc>
        <w:tc>
          <w:tcPr>
            <w:tcW w:w="931" w:type="dxa"/>
            <w:tcBorders>
              <w:top w:val="single" w:color="auto" w:sz="4" w:space="0"/>
              <w:left w:val="single" w:color="auto" w:sz="4" w:space="0"/>
              <w:bottom w:val="single" w:color="auto" w:sz="4" w:space="0"/>
              <w:right w:val="single" w:color="auto" w:sz="4" w:space="0"/>
            </w:tcBorders>
            <w:vAlign w:val="center"/>
          </w:tcPr>
          <w:p w14:paraId="10A70E06">
            <w:pPr>
              <w:widowControl/>
              <w:jc w:val="center"/>
            </w:pPr>
            <w:r>
              <w:rPr>
                <w:rFonts w:hint="eastAsia"/>
                <w:lang w:bidi="ar"/>
              </w:rPr>
              <w:t>卷同菜</w:t>
            </w:r>
          </w:p>
        </w:tc>
        <w:tc>
          <w:tcPr>
            <w:tcW w:w="745" w:type="dxa"/>
            <w:tcBorders>
              <w:top w:val="single" w:color="auto" w:sz="4" w:space="0"/>
              <w:left w:val="single" w:color="auto" w:sz="4" w:space="0"/>
              <w:bottom w:val="single" w:color="auto" w:sz="4" w:space="0"/>
              <w:right w:val="single" w:color="auto" w:sz="4" w:space="0"/>
            </w:tcBorders>
            <w:vAlign w:val="center"/>
          </w:tcPr>
          <w:p w14:paraId="6F3C193D">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42C7B7EA">
            <w:pPr>
              <w:widowControl/>
              <w:jc w:val="center"/>
            </w:pPr>
            <w:r>
              <w:rPr>
                <w:rFonts w:hint="eastAsia"/>
                <w:lang w:bidi="ar"/>
              </w:rPr>
              <w:t>3000.00</w:t>
            </w:r>
          </w:p>
        </w:tc>
        <w:tc>
          <w:tcPr>
            <w:tcW w:w="1125" w:type="dxa"/>
            <w:vMerge w:val="continue"/>
            <w:tcBorders>
              <w:left w:val="single" w:color="auto" w:sz="4" w:space="0"/>
              <w:right w:val="single" w:color="auto" w:sz="4" w:space="0"/>
            </w:tcBorders>
          </w:tcPr>
          <w:p w14:paraId="0C3F9573"/>
        </w:tc>
        <w:tc>
          <w:tcPr>
            <w:tcW w:w="4588" w:type="dxa"/>
            <w:vMerge w:val="continue"/>
            <w:tcBorders>
              <w:left w:val="single" w:color="auto" w:sz="4" w:space="0"/>
              <w:right w:val="single" w:color="auto" w:sz="4" w:space="0"/>
            </w:tcBorders>
            <w:vAlign w:val="center"/>
          </w:tcPr>
          <w:p w14:paraId="2535DD07">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14:paraId="58152593">
            <w:pPr>
              <w:widowControl/>
              <w:jc w:val="center"/>
              <w:rPr>
                <w:lang w:bidi="ar"/>
              </w:rPr>
            </w:pPr>
            <w:r>
              <w:rPr>
                <w:rFonts w:hint="eastAsia"/>
                <w:lang w:bidi="ar"/>
              </w:rPr>
              <w:t xml:space="preserve">3.80 </w:t>
            </w:r>
          </w:p>
        </w:tc>
      </w:tr>
      <w:bookmarkEnd w:id="162"/>
      <w:tr w14:paraId="5679A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14:paraId="17B627F6">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3799DCF">
            <w:pPr>
              <w:jc w:val="center"/>
              <w:rPr>
                <w:rFonts w:ascii="宋体" w:hAnsi="宋体" w:cs="宋体"/>
                <w:sz w:val="24"/>
              </w:rPr>
            </w:pPr>
            <w:r>
              <w:rPr>
                <w:rFonts w:hint="eastAsia"/>
              </w:rPr>
              <w:t>4</w:t>
            </w:r>
          </w:p>
        </w:tc>
        <w:tc>
          <w:tcPr>
            <w:tcW w:w="931" w:type="dxa"/>
            <w:tcBorders>
              <w:top w:val="single" w:color="auto" w:sz="4" w:space="0"/>
              <w:left w:val="single" w:color="auto" w:sz="4" w:space="0"/>
              <w:bottom w:val="single" w:color="auto" w:sz="4" w:space="0"/>
              <w:right w:val="single" w:color="auto" w:sz="4" w:space="0"/>
            </w:tcBorders>
            <w:vAlign w:val="center"/>
          </w:tcPr>
          <w:p w14:paraId="647591BD">
            <w:pPr>
              <w:widowControl/>
              <w:jc w:val="center"/>
            </w:pPr>
            <w:r>
              <w:rPr>
                <w:rFonts w:hint="eastAsia"/>
                <w:lang w:bidi="ar"/>
              </w:rPr>
              <w:t>上海青</w:t>
            </w:r>
          </w:p>
        </w:tc>
        <w:tc>
          <w:tcPr>
            <w:tcW w:w="745" w:type="dxa"/>
            <w:tcBorders>
              <w:top w:val="single" w:color="auto" w:sz="4" w:space="0"/>
              <w:left w:val="single" w:color="auto" w:sz="4" w:space="0"/>
              <w:bottom w:val="single" w:color="auto" w:sz="4" w:space="0"/>
              <w:right w:val="single" w:color="auto" w:sz="4" w:space="0"/>
            </w:tcBorders>
            <w:vAlign w:val="center"/>
          </w:tcPr>
          <w:p w14:paraId="42A6E0B1">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38C5254F">
            <w:pPr>
              <w:widowControl/>
              <w:jc w:val="center"/>
            </w:pPr>
            <w:r>
              <w:rPr>
                <w:rFonts w:hint="eastAsia"/>
                <w:lang w:bidi="ar"/>
              </w:rPr>
              <w:t>10000.00</w:t>
            </w:r>
          </w:p>
        </w:tc>
        <w:tc>
          <w:tcPr>
            <w:tcW w:w="1125" w:type="dxa"/>
            <w:vMerge w:val="continue"/>
            <w:tcBorders>
              <w:left w:val="single" w:color="auto" w:sz="4" w:space="0"/>
              <w:right w:val="single" w:color="auto" w:sz="4" w:space="0"/>
            </w:tcBorders>
          </w:tcPr>
          <w:p w14:paraId="337B58D4"/>
        </w:tc>
        <w:tc>
          <w:tcPr>
            <w:tcW w:w="4588" w:type="dxa"/>
            <w:vMerge w:val="continue"/>
            <w:tcBorders>
              <w:left w:val="single" w:color="auto" w:sz="4" w:space="0"/>
              <w:right w:val="single" w:color="auto" w:sz="4" w:space="0"/>
            </w:tcBorders>
            <w:vAlign w:val="center"/>
          </w:tcPr>
          <w:p w14:paraId="029F9742">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14:paraId="5D736E29">
            <w:pPr>
              <w:widowControl/>
              <w:jc w:val="center"/>
              <w:rPr>
                <w:lang w:bidi="ar"/>
              </w:rPr>
            </w:pPr>
            <w:r>
              <w:rPr>
                <w:rFonts w:hint="eastAsia"/>
                <w:lang w:bidi="ar"/>
              </w:rPr>
              <w:t xml:space="preserve">4.00 </w:t>
            </w:r>
          </w:p>
        </w:tc>
      </w:tr>
      <w:tr w14:paraId="3ABE2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14:paraId="3FFD3B19">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10C2FE0">
            <w:pPr>
              <w:jc w:val="center"/>
              <w:rPr>
                <w:rFonts w:ascii="宋体" w:hAnsi="宋体" w:cs="宋体"/>
                <w:sz w:val="24"/>
              </w:rPr>
            </w:pPr>
            <w:r>
              <w:rPr>
                <w:rFonts w:hint="eastAsia"/>
              </w:rPr>
              <w:t>5</w:t>
            </w:r>
          </w:p>
        </w:tc>
        <w:tc>
          <w:tcPr>
            <w:tcW w:w="931" w:type="dxa"/>
            <w:tcBorders>
              <w:top w:val="single" w:color="auto" w:sz="4" w:space="0"/>
              <w:left w:val="single" w:color="auto" w:sz="4" w:space="0"/>
              <w:bottom w:val="single" w:color="auto" w:sz="4" w:space="0"/>
              <w:right w:val="single" w:color="auto" w:sz="4" w:space="0"/>
            </w:tcBorders>
            <w:vAlign w:val="center"/>
          </w:tcPr>
          <w:p w14:paraId="3530335F">
            <w:pPr>
              <w:widowControl/>
              <w:jc w:val="center"/>
            </w:pPr>
            <w:r>
              <w:rPr>
                <w:rFonts w:hint="eastAsia"/>
                <w:lang w:bidi="ar"/>
              </w:rPr>
              <w:t>芥菜</w:t>
            </w:r>
          </w:p>
        </w:tc>
        <w:tc>
          <w:tcPr>
            <w:tcW w:w="745" w:type="dxa"/>
            <w:tcBorders>
              <w:top w:val="single" w:color="auto" w:sz="4" w:space="0"/>
              <w:left w:val="single" w:color="auto" w:sz="4" w:space="0"/>
              <w:bottom w:val="single" w:color="auto" w:sz="4" w:space="0"/>
              <w:right w:val="single" w:color="auto" w:sz="4" w:space="0"/>
            </w:tcBorders>
            <w:vAlign w:val="center"/>
          </w:tcPr>
          <w:p w14:paraId="7579BE7A">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39DEDC67">
            <w:pPr>
              <w:widowControl/>
              <w:jc w:val="center"/>
            </w:pPr>
            <w:r>
              <w:rPr>
                <w:rFonts w:hint="eastAsia"/>
                <w:lang w:bidi="ar"/>
              </w:rPr>
              <w:t>10000.00</w:t>
            </w:r>
          </w:p>
        </w:tc>
        <w:tc>
          <w:tcPr>
            <w:tcW w:w="1125" w:type="dxa"/>
            <w:vMerge w:val="continue"/>
            <w:tcBorders>
              <w:left w:val="single" w:color="auto" w:sz="4" w:space="0"/>
              <w:right w:val="single" w:color="auto" w:sz="4" w:space="0"/>
            </w:tcBorders>
          </w:tcPr>
          <w:p w14:paraId="4483E3CB"/>
        </w:tc>
        <w:tc>
          <w:tcPr>
            <w:tcW w:w="4588" w:type="dxa"/>
            <w:vMerge w:val="continue"/>
            <w:tcBorders>
              <w:left w:val="single" w:color="auto" w:sz="4" w:space="0"/>
              <w:right w:val="single" w:color="auto" w:sz="4" w:space="0"/>
            </w:tcBorders>
            <w:vAlign w:val="center"/>
          </w:tcPr>
          <w:p w14:paraId="771176D9">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14:paraId="4A9DFDBB">
            <w:pPr>
              <w:widowControl/>
              <w:jc w:val="center"/>
              <w:rPr>
                <w:lang w:bidi="ar"/>
              </w:rPr>
            </w:pPr>
            <w:r>
              <w:rPr>
                <w:rFonts w:hint="eastAsia"/>
                <w:lang w:bidi="ar"/>
              </w:rPr>
              <w:t xml:space="preserve">3.80 </w:t>
            </w:r>
          </w:p>
        </w:tc>
      </w:tr>
      <w:tr w14:paraId="1602F7D8">
        <w:tblPrEx>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14:paraId="3BD7BB77">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1A0F82F">
            <w:pPr>
              <w:jc w:val="center"/>
              <w:rPr>
                <w:rFonts w:ascii="宋体" w:hAnsi="宋体" w:cs="宋体"/>
                <w:sz w:val="24"/>
              </w:rPr>
            </w:pPr>
            <w:r>
              <w:rPr>
                <w:rFonts w:hint="eastAsia"/>
              </w:rPr>
              <w:t>6</w:t>
            </w:r>
          </w:p>
        </w:tc>
        <w:tc>
          <w:tcPr>
            <w:tcW w:w="931" w:type="dxa"/>
            <w:tcBorders>
              <w:top w:val="single" w:color="auto" w:sz="4" w:space="0"/>
              <w:left w:val="single" w:color="auto" w:sz="4" w:space="0"/>
              <w:bottom w:val="single" w:color="auto" w:sz="4" w:space="0"/>
              <w:right w:val="single" w:color="auto" w:sz="4" w:space="0"/>
            </w:tcBorders>
            <w:vAlign w:val="center"/>
          </w:tcPr>
          <w:p w14:paraId="0DB7DE75">
            <w:pPr>
              <w:widowControl/>
              <w:jc w:val="center"/>
            </w:pPr>
            <w:r>
              <w:rPr>
                <w:rFonts w:hint="eastAsia"/>
                <w:lang w:bidi="ar"/>
              </w:rPr>
              <w:t>空心菜</w:t>
            </w:r>
          </w:p>
        </w:tc>
        <w:tc>
          <w:tcPr>
            <w:tcW w:w="745" w:type="dxa"/>
            <w:tcBorders>
              <w:top w:val="single" w:color="auto" w:sz="4" w:space="0"/>
              <w:left w:val="single" w:color="auto" w:sz="4" w:space="0"/>
              <w:bottom w:val="single" w:color="auto" w:sz="4" w:space="0"/>
              <w:right w:val="single" w:color="auto" w:sz="4" w:space="0"/>
            </w:tcBorders>
            <w:vAlign w:val="center"/>
          </w:tcPr>
          <w:p w14:paraId="7FE631C5">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59C04E5F">
            <w:pPr>
              <w:widowControl/>
              <w:jc w:val="center"/>
            </w:pPr>
            <w:r>
              <w:rPr>
                <w:rFonts w:hint="eastAsia"/>
                <w:lang w:bidi="ar"/>
              </w:rPr>
              <w:t>10000.00</w:t>
            </w:r>
          </w:p>
        </w:tc>
        <w:tc>
          <w:tcPr>
            <w:tcW w:w="1125" w:type="dxa"/>
            <w:vMerge w:val="continue"/>
            <w:tcBorders>
              <w:left w:val="single" w:color="auto" w:sz="4" w:space="0"/>
              <w:right w:val="single" w:color="auto" w:sz="4" w:space="0"/>
            </w:tcBorders>
          </w:tcPr>
          <w:p w14:paraId="51541312"/>
        </w:tc>
        <w:tc>
          <w:tcPr>
            <w:tcW w:w="4588" w:type="dxa"/>
            <w:vMerge w:val="continue"/>
            <w:tcBorders>
              <w:left w:val="single" w:color="auto" w:sz="4" w:space="0"/>
              <w:right w:val="single" w:color="auto" w:sz="4" w:space="0"/>
            </w:tcBorders>
            <w:vAlign w:val="center"/>
          </w:tcPr>
          <w:p w14:paraId="1AD5954D">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14:paraId="72643E9D">
            <w:pPr>
              <w:widowControl/>
              <w:jc w:val="center"/>
              <w:rPr>
                <w:lang w:bidi="ar"/>
              </w:rPr>
            </w:pPr>
            <w:r>
              <w:rPr>
                <w:rFonts w:hint="eastAsia"/>
                <w:lang w:bidi="ar"/>
              </w:rPr>
              <w:t xml:space="preserve">5.00 </w:t>
            </w:r>
          </w:p>
        </w:tc>
      </w:tr>
      <w:tr w14:paraId="0402C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14:paraId="4DC93AAC">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86D5F21">
            <w:pPr>
              <w:jc w:val="center"/>
              <w:rPr>
                <w:rFonts w:ascii="宋体" w:hAnsi="宋体" w:cs="宋体"/>
                <w:sz w:val="24"/>
              </w:rPr>
            </w:pPr>
            <w:r>
              <w:rPr>
                <w:rFonts w:hint="eastAsia"/>
              </w:rPr>
              <w:t>7</w:t>
            </w:r>
          </w:p>
        </w:tc>
        <w:tc>
          <w:tcPr>
            <w:tcW w:w="931" w:type="dxa"/>
            <w:tcBorders>
              <w:top w:val="single" w:color="auto" w:sz="4" w:space="0"/>
              <w:left w:val="single" w:color="auto" w:sz="4" w:space="0"/>
              <w:bottom w:val="single" w:color="auto" w:sz="4" w:space="0"/>
              <w:right w:val="single" w:color="auto" w:sz="4" w:space="0"/>
            </w:tcBorders>
            <w:vAlign w:val="center"/>
          </w:tcPr>
          <w:p w14:paraId="50FEE76E">
            <w:pPr>
              <w:widowControl/>
              <w:jc w:val="center"/>
            </w:pPr>
            <w:r>
              <w:rPr>
                <w:rFonts w:hint="eastAsia"/>
                <w:lang w:bidi="ar"/>
              </w:rPr>
              <w:t>油麻菜</w:t>
            </w:r>
          </w:p>
        </w:tc>
        <w:tc>
          <w:tcPr>
            <w:tcW w:w="745" w:type="dxa"/>
            <w:tcBorders>
              <w:top w:val="single" w:color="auto" w:sz="4" w:space="0"/>
              <w:left w:val="single" w:color="auto" w:sz="4" w:space="0"/>
              <w:bottom w:val="single" w:color="auto" w:sz="4" w:space="0"/>
              <w:right w:val="single" w:color="auto" w:sz="4" w:space="0"/>
            </w:tcBorders>
            <w:vAlign w:val="center"/>
          </w:tcPr>
          <w:p w14:paraId="4FF55726">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770E6DFF">
            <w:pPr>
              <w:widowControl/>
              <w:jc w:val="center"/>
            </w:pPr>
            <w:r>
              <w:rPr>
                <w:rFonts w:hint="eastAsia"/>
                <w:lang w:bidi="ar"/>
              </w:rPr>
              <w:t>15000.00</w:t>
            </w:r>
          </w:p>
        </w:tc>
        <w:tc>
          <w:tcPr>
            <w:tcW w:w="1125" w:type="dxa"/>
            <w:vMerge w:val="continue"/>
            <w:tcBorders>
              <w:left w:val="single" w:color="auto" w:sz="4" w:space="0"/>
              <w:right w:val="single" w:color="auto" w:sz="4" w:space="0"/>
            </w:tcBorders>
          </w:tcPr>
          <w:p w14:paraId="0D7889CD"/>
        </w:tc>
        <w:tc>
          <w:tcPr>
            <w:tcW w:w="4588" w:type="dxa"/>
            <w:vMerge w:val="continue"/>
            <w:tcBorders>
              <w:left w:val="single" w:color="auto" w:sz="4" w:space="0"/>
              <w:right w:val="single" w:color="auto" w:sz="4" w:space="0"/>
            </w:tcBorders>
            <w:vAlign w:val="center"/>
          </w:tcPr>
          <w:p w14:paraId="29847ABC">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14:paraId="4BF62828">
            <w:pPr>
              <w:widowControl/>
              <w:jc w:val="center"/>
              <w:rPr>
                <w:lang w:bidi="ar"/>
              </w:rPr>
            </w:pPr>
            <w:r>
              <w:rPr>
                <w:rFonts w:hint="eastAsia"/>
                <w:lang w:bidi="ar"/>
              </w:rPr>
              <w:t xml:space="preserve">4.00 </w:t>
            </w:r>
          </w:p>
        </w:tc>
      </w:tr>
      <w:tr w14:paraId="208B65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14:paraId="24597E26">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2AC34E4">
            <w:pPr>
              <w:jc w:val="center"/>
              <w:rPr>
                <w:rFonts w:ascii="宋体" w:hAnsi="宋体" w:cs="宋体"/>
                <w:sz w:val="24"/>
              </w:rPr>
            </w:pPr>
            <w:r>
              <w:rPr>
                <w:rFonts w:hint="eastAsia"/>
              </w:rPr>
              <w:t>8</w:t>
            </w:r>
          </w:p>
        </w:tc>
        <w:tc>
          <w:tcPr>
            <w:tcW w:w="931" w:type="dxa"/>
            <w:tcBorders>
              <w:top w:val="single" w:color="auto" w:sz="4" w:space="0"/>
              <w:left w:val="single" w:color="auto" w:sz="4" w:space="0"/>
              <w:bottom w:val="single" w:color="auto" w:sz="4" w:space="0"/>
              <w:right w:val="single" w:color="auto" w:sz="4" w:space="0"/>
            </w:tcBorders>
            <w:vAlign w:val="center"/>
          </w:tcPr>
          <w:p w14:paraId="4837DDBA">
            <w:pPr>
              <w:widowControl/>
              <w:jc w:val="center"/>
            </w:pPr>
            <w:r>
              <w:rPr>
                <w:rFonts w:hint="eastAsia"/>
                <w:lang w:bidi="ar"/>
              </w:rPr>
              <w:t>苦麦菜</w:t>
            </w:r>
          </w:p>
        </w:tc>
        <w:tc>
          <w:tcPr>
            <w:tcW w:w="745" w:type="dxa"/>
            <w:tcBorders>
              <w:top w:val="single" w:color="auto" w:sz="4" w:space="0"/>
              <w:left w:val="single" w:color="auto" w:sz="4" w:space="0"/>
              <w:bottom w:val="single" w:color="auto" w:sz="4" w:space="0"/>
              <w:right w:val="single" w:color="auto" w:sz="4" w:space="0"/>
            </w:tcBorders>
            <w:vAlign w:val="center"/>
          </w:tcPr>
          <w:p w14:paraId="1CD46628">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60B4D8F1">
            <w:pPr>
              <w:widowControl/>
              <w:jc w:val="center"/>
            </w:pPr>
            <w:r>
              <w:rPr>
                <w:rFonts w:hint="eastAsia"/>
                <w:lang w:bidi="ar"/>
              </w:rPr>
              <w:t>10000.00</w:t>
            </w:r>
          </w:p>
        </w:tc>
        <w:tc>
          <w:tcPr>
            <w:tcW w:w="1125" w:type="dxa"/>
            <w:vMerge w:val="continue"/>
            <w:tcBorders>
              <w:left w:val="single" w:color="auto" w:sz="4" w:space="0"/>
              <w:right w:val="single" w:color="auto" w:sz="4" w:space="0"/>
            </w:tcBorders>
          </w:tcPr>
          <w:p w14:paraId="543AED84"/>
        </w:tc>
        <w:tc>
          <w:tcPr>
            <w:tcW w:w="4588" w:type="dxa"/>
            <w:vMerge w:val="continue"/>
            <w:tcBorders>
              <w:left w:val="single" w:color="auto" w:sz="4" w:space="0"/>
              <w:right w:val="single" w:color="auto" w:sz="4" w:space="0"/>
            </w:tcBorders>
            <w:vAlign w:val="center"/>
          </w:tcPr>
          <w:p w14:paraId="583A7246">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14:paraId="11D724A4">
            <w:pPr>
              <w:widowControl/>
              <w:jc w:val="center"/>
              <w:rPr>
                <w:lang w:bidi="ar"/>
              </w:rPr>
            </w:pPr>
            <w:r>
              <w:rPr>
                <w:rFonts w:hint="eastAsia"/>
                <w:lang w:bidi="ar"/>
              </w:rPr>
              <w:t xml:space="preserve">3.80 </w:t>
            </w:r>
          </w:p>
        </w:tc>
      </w:tr>
      <w:tr w14:paraId="3BE2A6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14:paraId="2432568C">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6D76B3A">
            <w:pPr>
              <w:jc w:val="center"/>
              <w:rPr>
                <w:rFonts w:ascii="宋体" w:hAnsi="宋体" w:cs="宋体"/>
                <w:sz w:val="24"/>
              </w:rPr>
            </w:pPr>
            <w:r>
              <w:rPr>
                <w:rFonts w:hint="eastAsia"/>
              </w:rPr>
              <w:t>9</w:t>
            </w:r>
          </w:p>
        </w:tc>
        <w:tc>
          <w:tcPr>
            <w:tcW w:w="931" w:type="dxa"/>
            <w:tcBorders>
              <w:top w:val="single" w:color="auto" w:sz="4" w:space="0"/>
              <w:left w:val="single" w:color="auto" w:sz="4" w:space="0"/>
              <w:bottom w:val="single" w:color="auto" w:sz="4" w:space="0"/>
              <w:right w:val="single" w:color="auto" w:sz="4" w:space="0"/>
            </w:tcBorders>
            <w:vAlign w:val="center"/>
          </w:tcPr>
          <w:p w14:paraId="5788473A">
            <w:pPr>
              <w:widowControl/>
              <w:jc w:val="center"/>
            </w:pPr>
            <w:r>
              <w:rPr>
                <w:rFonts w:hint="eastAsia"/>
                <w:lang w:bidi="ar"/>
              </w:rPr>
              <w:t>豆芽</w:t>
            </w:r>
          </w:p>
        </w:tc>
        <w:tc>
          <w:tcPr>
            <w:tcW w:w="745" w:type="dxa"/>
            <w:tcBorders>
              <w:top w:val="single" w:color="auto" w:sz="4" w:space="0"/>
              <w:left w:val="single" w:color="auto" w:sz="4" w:space="0"/>
              <w:bottom w:val="single" w:color="auto" w:sz="4" w:space="0"/>
              <w:right w:val="single" w:color="auto" w:sz="4" w:space="0"/>
            </w:tcBorders>
            <w:vAlign w:val="center"/>
          </w:tcPr>
          <w:p w14:paraId="5D26A312">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00AA7478">
            <w:pPr>
              <w:widowControl/>
              <w:jc w:val="center"/>
            </w:pPr>
            <w:r>
              <w:rPr>
                <w:rFonts w:hint="eastAsia"/>
                <w:lang w:bidi="ar"/>
              </w:rPr>
              <w:t>30000.00</w:t>
            </w:r>
          </w:p>
        </w:tc>
        <w:tc>
          <w:tcPr>
            <w:tcW w:w="1125" w:type="dxa"/>
            <w:vMerge w:val="continue"/>
            <w:tcBorders>
              <w:left w:val="single" w:color="auto" w:sz="4" w:space="0"/>
              <w:right w:val="single" w:color="auto" w:sz="4" w:space="0"/>
            </w:tcBorders>
          </w:tcPr>
          <w:p w14:paraId="3AAB1760"/>
        </w:tc>
        <w:tc>
          <w:tcPr>
            <w:tcW w:w="4588" w:type="dxa"/>
            <w:vMerge w:val="continue"/>
            <w:tcBorders>
              <w:left w:val="single" w:color="auto" w:sz="4" w:space="0"/>
              <w:right w:val="single" w:color="auto" w:sz="4" w:space="0"/>
            </w:tcBorders>
            <w:vAlign w:val="center"/>
          </w:tcPr>
          <w:p w14:paraId="48C489F0">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14:paraId="09CECECA">
            <w:pPr>
              <w:widowControl/>
              <w:jc w:val="center"/>
              <w:rPr>
                <w:lang w:bidi="ar"/>
              </w:rPr>
            </w:pPr>
            <w:r>
              <w:rPr>
                <w:rFonts w:hint="eastAsia"/>
                <w:lang w:bidi="ar"/>
              </w:rPr>
              <w:t xml:space="preserve">3.36 </w:t>
            </w:r>
          </w:p>
        </w:tc>
      </w:tr>
      <w:tr w14:paraId="7F689F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14:paraId="0DF06830">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4FD7A33">
            <w:pPr>
              <w:jc w:val="center"/>
              <w:rPr>
                <w:rFonts w:ascii="宋体" w:hAnsi="宋体" w:cs="宋体"/>
                <w:sz w:val="24"/>
              </w:rPr>
            </w:pPr>
            <w:r>
              <w:rPr>
                <w:rFonts w:hint="eastAsia"/>
              </w:rPr>
              <w:t>10</w:t>
            </w:r>
          </w:p>
        </w:tc>
        <w:tc>
          <w:tcPr>
            <w:tcW w:w="931" w:type="dxa"/>
            <w:tcBorders>
              <w:top w:val="single" w:color="auto" w:sz="4" w:space="0"/>
              <w:left w:val="single" w:color="auto" w:sz="4" w:space="0"/>
              <w:bottom w:val="single" w:color="auto" w:sz="4" w:space="0"/>
              <w:right w:val="single" w:color="auto" w:sz="4" w:space="0"/>
            </w:tcBorders>
            <w:vAlign w:val="center"/>
          </w:tcPr>
          <w:p w14:paraId="2FE49CB6">
            <w:pPr>
              <w:widowControl/>
              <w:jc w:val="center"/>
            </w:pPr>
            <w:r>
              <w:rPr>
                <w:rFonts w:hint="eastAsia"/>
                <w:lang w:bidi="ar"/>
              </w:rPr>
              <w:t>白萝卜</w:t>
            </w:r>
          </w:p>
        </w:tc>
        <w:tc>
          <w:tcPr>
            <w:tcW w:w="745" w:type="dxa"/>
            <w:tcBorders>
              <w:top w:val="single" w:color="auto" w:sz="4" w:space="0"/>
              <w:left w:val="single" w:color="auto" w:sz="4" w:space="0"/>
              <w:bottom w:val="single" w:color="auto" w:sz="4" w:space="0"/>
              <w:right w:val="single" w:color="auto" w:sz="4" w:space="0"/>
            </w:tcBorders>
            <w:vAlign w:val="center"/>
          </w:tcPr>
          <w:p w14:paraId="4B362BA4">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551A73D1">
            <w:pPr>
              <w:widowControl/>
              <w:jc w:val="center"/>
            </w:pPr>
            <w:r>
              <w:rPr>
                <w:rFonts w:hint="eastAsia"/>
                <w:lang w:bidi="ar"/>
              </w:rPr>
              <w:t>30000.00</w:t>
            </w:r>
          </w:p>
        </w:tc>
        <w:tc>
          <w:tcPr>
            <w:tcW w:w="1125" w:type="dxa"/>
            <w:vMerge w:val="continue"/>
            <w:tcBorders>
              <w:left w:val="single" w:color="auto" w:sz="4" w:space="0"/>
              <w:right w:val="single" w:color="auto" w:sz="4" w:space="0"/>
            </w:tcBorders>
          </w:tcPr>
          <w:p w14:paraId="1FB45E97"/>
        </w:tc>
        <w:tc>
          <w:tcPr>
            <w:tcW w:w="4588" w:type="dxa"/>
            <w:vMerge w:val="continue"/>
            <w:tcBorders>
              <w:left w:val="single" w:color="auto" w:sz="4" w:space="0"/>
              <w:right w:val="single" w:color="auto" w:sz="4" w:space="0"/>
            </w:tcBorders>
            <w:vAlign w:val="center"/>
          </w:tcPr>
          <w:p w14:paraId="62959C22">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14:paraId="6416DA05">
            <w:pPr>
              <w:widowControl/>
              <w:jc w:val="center"/>
              <w:rPr>
                <w:lang w:bidi="ar"/>
              </w:rPr>
            </w:pPr>
            <w:r>
              <w:rPr>
                <w:rFonts w:hint="eastAsia"/>
                <w:lang w:bidi="ar"/>
              </w:rPr>
              <w:t xml:space="preserve">2.30 </w:t>
            </w:r>
          </w:p>
        </w:tc>
      </w:tr>
      <w:tr w14:paraId="7BD0C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14:paraId="1D9289A9">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016FD50">
            <w:pPr>
              <w:jc w:val="center"/>
              <w:rPr>
                <w:rFonts w:ascii="宋体" w:hAnsi="宋体" w:cs="宋体"/>
                <w:sz w:val="24"/>
              </w:rPr>
            </w:pPr>
            <w:r>
              <w:rPr>
                <w:rFonts w:hint="eastAsia"/>
              </w:rPr>
              <w:t>11</w:t>
            </w:r>
          </w:p>
        </w:tc>
        <w:tc>
          <w:tcPr>
            <w:tcW w:w="931" w:type="dxa"/>
            <w:tcBorders>
              <w:top w:val="single" w:color="auto" w:sz="4" w:space="0"/>
              <w:left w:val="single" w:color="auto" w:sz="4" w:space="0"/>
              <w:bottom w:val="single" w:color="auto" w:sz="4" w:space="0"/>
              <w:right w:val="single" w:color="auto" w:sz="4" w:space="0"/>
            </w:tcBorders>
            <w:vAlign w:val="center"/>
          </w:tcPr>
          <w:p w14:paraId="3D3C6E87">
            <w:pPr>
              <w:widowControl/>
              <w:jc w:val="center"/>
            </w:pPr>
            <w:r>
              <w:rPr>
                <w:rFonts w:hint="eastAsia"/>
                <w:lang w:bidi="ar"/>
              </w:rPr>
              <w:t>茄子</w:t>
            </w:r>
          </w:p>
        </w:tc>
        <w:tc>
          <w:tcPr>
            <w:tcW w:w="745" w:type="dxa"/>
            <w:tcBorders>
              <w:top w:val="single" w:color="auto" w:sz="4" w:space="0"/>
              <w:left w:val="single" w:color="auto" w:sz="4" w:space="0"/>
              <w:bottom w:val="single" w:color="auto" w:sz="4" w:space="0"/>
              <w:right w:val="single" w:color="auto" w:sz="4" w:space="0"/>
            </w:tcBorders>
            <w:vAlign w:val="center"/>
          </w:tcPr>
          <w:p w14:paraId="365C0A75">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22F29CE6">
            <w:pPr>
              <w:widowControl/>
              <w:jc w:val="center"/>
            </w:pPr>
            <w:r>
              <w:rPr>
                <w:rFonts w:hint="eastAsia"/>
                <w:lang w:bidi="ar"/>
              </w:rPr>
              <w:t>20000.00</w:t>
            </w:r>
          </w:p>
        </w:tc>
        <w:tc>
          <w:tcPr>
            <w:tcW w:w="1125" w:type="dxa"/>
            <w:vMerge w:val="continue"/>
            <w:tcBorders>
              <w:left w:val="single" w:color="auto" w:sz="4" w:space="0"/>
              <w:right w:val="single" w:color="auto" w:sz="4" w:space="0"/>
            </w:tcBorders>
          </w:tcPr>
          <w:p w14:paraId="71982D09"/>
        </w:tc>
        <w:tc>
          <w:tcPr>
            <w:tcW w:w="4588" w:type="dxa"/>
            <w:vMerge w:val="continue"/>
            <w:tcBorders>
              <w:left w:val="single" w:color="auto" w:sz="4" w:space="0"/>
              <w:right w:val="single" w:color="auto" w:sz="4" w:space="0"/>
            </w:tcBorders>
            <w:vAlign w:val="center"/>
          </w:tcPr>
          <w:p w14:paraId="2B7A7A23">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14:paraId="5981EF65">
            <w:pPr>
              <w:widowControl/>
              <w:jc w:val="center"/>
              <w:rPr>
                <w:lang w:bidi="ar"/>
              </w:rPr>
            </w:pPr>
            <w:r>
              <w:rPr>
                <w:rFonts w:hint="eastAsia"/>
                <w:lang w:bidi="ar"/>
              </w:rPr>
              <w:t xml:space="preserve">3.60 </w:t>
            </w:r>
          </w:p>
        </w:tc>
      </w:tr>
      <w:tr w14:paraId="6A08A5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14:paraId="4AF2F150">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DA70D3C">
            <w:pPr>
              <w:jc w:val="center"/>
              <w:rPr>
                <w:rFonts w:ascii="宋体" w:hAnsi="宋体" w:cs="宋体"/>
                <w:sz w:val="24"/>
              </w:rPr>
            </w:pPr>
            <w:r>
              <w:rPr>
                <w:rFonts w:hint="eastAsia"/>
              </w:rPr>
              <w:t>12</w:t>
            </w:r>
          </w:p>
        </w:tc>
        <w:tc>
          <w:tcPr>
            <w:tcW w:w="931" w:type="dxa"/>
            <w:tcBorders>
              <w:top w:val="single" w:color="auto" w:sz="4" w:space="0"/>
              <w:left w:val="single" w:color="auto" w:sz="4" w:space="0"/>
              <w:bottom w:val="single" w:color="auto" w:sz="4" w:space="0"/>
              <w:right w:val="single" w:color="auto" w:sz="4" w:space="0"/>
            </w:tcBorders>
            <w:vAlign w:val="center"/>
          </w:tcPr>
          <w:p w14:paraId="3626ED5F">
            <w:pPr>
              <w:widowControl/>
              <w:jc w:val="center"/>
            </w:pPr>
            <w:r>
              <w:rPr>
                <w:rFonts w:hint="eastAsia"/>
                <w:lang w:bidi="ar"/>
              </w:rPr>
              <w:t>黄瓜</w:t>
            </w:r>
          </w:p>
        </w:tc>
        <w:tc>
          <w:tcPr>
            <w:tcW w:w="745" w:type="dxa"/>
            <w:tcBorders>
              <w:top w:val="single" w:color="auto" w:sz="4" w:space="0"/>
              <w:left w:val="single" w:color="auto" w:sz="4" w:space="0"/>
              <w:bottom w:val="single" w:color="auto" w:sz="4" w:space="0"/>
              <w:right w:val="single" w:color="auto" w:sz="4" w:space="0"/>
            </w:tcBorders>
            <w:vAlign w:val="center"/>
          </w:tcPr>
          <w:p w14:paraId="7F9B8D84">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24735197">
            <w:pPr>
              <w:widowControl/>
              <w:jc w:val="center"/>
            </w:pPr>
            <w:r>
              <w:rPr>
                <w:rFonts w:hint="eastAsia"/>
                <w:lang w:bidi="ar"/>
              </w:rPr>
              <w:t>20000.00</w:t>
            </w:r>
          </w:p>
        </w:tc>
        <w:tc>
          <w:tcPr>
            <w:tcW w:w="1125" w:type="dxa"/>
            <w:vMerge w:val="continue"/>
            <w:tcBorders>
              <w:left w:val="single" w:color="auto" w:sz="4" w:space="0"/>
              <w:right w:val="single" w:color="auto" w:sz="4" w:space="0"/>
            </w:tcBorders>
          </w:tcPr>
          <w:p w14:paraId="0DA533C4"/>
        </w:tc>
        <w:tc>
          <w:tcPr>
            <w:tcW w:w="4588" w:type="dxa"/>
            <w:vMerge w:val="continue"/>
            <w:tcBorders>
              <w:left w:val="single" w:color="auto" w:sz="4" w:space="0"/>
              <w:right w:val="single" w:color="auto" w:sz="4" w:space="0"/>
            </w:tcBorders>
            <w:vAlign w:val="center"/>
          </w:tcPr>
          <w:p w14:paraId="67E91207">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14:paraId="2F167C6C">
            <w:pPr>
              <w:widowControl/>
              <w:jc w:val="center"/>
              <w:rPr>
                <w:lang w:bidi="ar"/>
              </w:rPr>
            </w:pPr>
            <w:r>
              <w:rPr>
                <w:rFonts w:hint="eastAsia"/>
                <w:lang w:bidi="ar"/>
              </w:rPr>
              <w:t xml:space="preserve">3.20 </w:t>
            </w:r>
          </w:p>
        </w:tc>
      </w:tr>
      <w:tr w14:paraId="1888E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14:paraId="230421A6">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03F2F09">
            <w:pPr>
              <w:jc w:val="center"/>
              <w:rPr>
                <w:rFonts w:ascii="宋体" w:hAnsi="宋体" w:cs="宋体"/>
                <w:sz w:val="24"/>
              </w:rPr>
            </w:pPr>
            <w:r>
              <w:rPr>
                <w:rFonts w:hint="eastAsia"/>
              </w:rPr>
              <w:t>13</w:t>
            </w:r>
          </w:p>
        </w:tc>
        <w:tc>
          <w:tcPr>
            <w:tcW w:w="931" w:type="dxa"/>
            <w:tcBorders>
              <w:top w:val="single" w:color="auto" w:sz="4" w:space="0"/>
              <w:left w:val="single" w:color="auto" w:sz="4" w:space="0"/>
              <w:bottom w:val="single" w:color="auto" w:sz="4" w:space="0"/>
              <w:right w:val="single" w:color="auto" w:sz="4" w:space="0"/>
            </w:tcBorders>
            <w:vAlign w:val="center"/>
          </w:tcPr>
          <w:p w14:paraId="4014263E">
            <w:pPr>
              <w:widowControl/>
              <w:jc w:val="center"/>
            </w:pPr>
            <w:r>
              <w:rPr>
                <w:rFonts w:hint="eastAsia"/>
                <w:lang w:bidi="ar"/>
              </w:rPr>
              <w:t>南瓜</w:t>
            </w:r>
          </w:p>
        </w:tc>
        <w:tc>
          <w:tcPr>
            <w:tcW w:w="745" w:type="dxa"/>
            <w:tcBorders>
              <w:top w:val="single" w:color="auto" w:sz="4" w:space="0"/>
              <w:left w:val="single" w:color="auto" w:sz="4" w:space="0"/>
              <w:bottom w:val="single" w:color="auto" w:sz="4" w:space="0"/>
              <w:right w:val="single" w:color="auto" w:sz="4" w:space="0"/>
            </w:tcBorders>
            <w:vAlign w:val="center"/>
          </w:tcPr>
          <w:p w14:paraId="5AF4CBAB">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4CF63ACD">
            <w:pPr>
              <w:widowControl/>
              <w:jc w:val="center"/>
            </w:pPr>
            <w:r>
              <w:rPr>
                <w:rFonts w:hint="eastAsia"/>
                <w:lang w:bidi="ar"/>
              </w:rPr>
              <w:t>20000.00</w:t>
            </w:r>
          </w:p>
        </w:tc>
        <w:tc>
          <w:tcPr>
            <w:tcW w:w="1125" w:type="dxa"/>
            <w:vMerge w:val="continue"/>
            <w:tcBorders>
              <w:left w:val="single" w:color="auto" w:sz="4" w:space="0"/>
              <w:right w:val="single" w:color="auto" w:sz="4" w:space="0"/>
            </w:tcBorders>
          </w:tcPr>
          <w:p w14:paraId="51C5A169"/>
        </w:tc>
        <w:tc>
          <w:tcPr>
            <w:tcW w:w="4588" w:type="dxa"/>
            <w:vMerge w:val="continue"/>
            <w:tcBorders>
              <w:left w:val="single" w:color="auto" w:sz="4" w:space="0"/>
              <w:right w:val="single" w:color="auto" w:sz="4" w:space="0"/>
            </w:tcBorders>
            <w:vAlign w:val="center"/>
          </w:tcPr>
          <w:p w14:paraId="168B8318">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14:paraId="58E9103E">
            <w:pPr>
              <w:widowControl/>
              <w:jc w:val="center"/>
              <w:rPr>
                <w:lang w:bidi="ar"/>
              </w:rPr>
            </w:pPr>
            <w:r>
              <w:rPr>
                <w:rFonts w:hint="eastAsia"/>
                <w:lang w:bidi="ar"/>
              </w:rPr>
              <w:t xml:space="preserve">3.60 </w:t>
            </w:r>
          </w:p>
        </w:tc>
      </w:tr>
      <w:tr w14:paraId="2BEF30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14:paraId="3AF4B944">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53F307C">
            <w:pPr>
              <w:jc w:val="center"/>
              <w:rPr>
                <w:rFonts w:ascii="宋体" w:hAnsi="宋体" w:cs="宋体"/>
                <w:sz w:val="24"/>
              </w:rPr>
            </w:pPr>
            <w:r>
              <w:rPr>
                <w:rFonts w:hint="eastAsia"/>
              </w:rPr>
              <w:t>14</w:t>
            </w:r>
          </w:p>
        </w:tc>
        <w:tc>
          <w:tcPr>
            <w:tcW w:w="931" w:type="dxa"/>
            <w:tcBorders>
              <w:top w:val="single" w:color="auto" w:sz="4" w:space="0"/>
              <w:left w:val="single" w:color="auto" w:sz="4" w:space="0"/>
              <w:bottom w:val="single" w:color="auto" w:sz="4" w:space="0"/>
              <w:right w:val="single" w:color="auto" w:sz="4" w:space="0"/>
            </w:tcBorders>
            <w:vAlign w:val="center"/>
          </w:tcPr>
          <w:p w14:paraId="430B4FEF">
            <w:pPr>
              <w:widowControl/>
              <w:jc w:val="center"/>
            </w:pPr>
            <w:r>
              <w:rPr>
                <w:rFonts w:hint="eastAsia"/>
                <w:lang w:bidi="ar"/>
              </w:rPr>
              <w:t>冬瓜</w:t>
            </w:r>
          </w:p>
        </w:tc>
        <w:tc>
          <w:tcPr>
            <w:tcW w:w="745" w:type="dxa"/>
            <w:tcBorders>
              <w:top w:val="single" w:color="auto" w:sz="4" w:space="0"/>
              <w:left w:val="single" w:color="auto" w:sz="4" w:space="0"/>
              <w:bottom w:val="single" w:color="auto" w:sz="4" w:space="0"/>
              <w:right w:val="single" w:color="auto" w:sz="4" w:space="0"/>
            </w:tcBorders>
            <w:vAlign w:val="center"/>
          </w:tcPr>
          <w:p w14:paraId="59140655">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65A130E7">
            <w:pPr>
              <w:widowControl/>
              <w:jc w:val="center"/>
            </w:pPr>
            <w:r>
              <w:rPr>
                <w:rFonts w:hint="eastAsia"/>
                <w:lang w:bidi="ar"/>
              </w:rPr>
              <w:t>2000.00</w:t>
            </w:r>
          </w:p>
        </w:tc>
        <w:tc>
          <w:tcPr>
            <w:tcW w:w="1125" w:type="dxa"/>
            <w:vMerge w:val="continue"/>
            <w:tcBorders>
              <w:left w:val="single" w:color="auto" w:sz="4" w:space="0"/>
              <w:right w:val="single" w:color="auto" w:sz="4" w:space="0"/>
            </w:tcBorders>
          </w:tcPr>
          <w:p w14:paraId="2FF1E526"/>
        </w:tc>
        <w:tc>
          <w:tcPr>
            <w:tcW w:w="4588" w:type="dxa"/>
            <w:vMerge w:val="continue"/>
            <w:tcBorders>
              <w:left w:val="single" w:color="auto" w:sz="4" w:space="0"/>
              <w:right w:val="single" w:color="auto" w:sz="4" w:space="0"/>
            </w:tcBorders>
            <w:vAlign w:val="center"/>
          </w:tcPr>
          <w:p w14:paraId="53A92CD9">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14:paraId="7BBC293E">
            <w:pPr>
              <w:widowControl/>
              <w:jc w:val="center"/>
              <w:rPr>
                <w:lang w:bidi="ar"/>
              </w:rPr>
            </w:pPr>
            <w:r>
              <w:rPr>
                <w:rFonts w:hint="eastAsia"/>
                <w:lang w:bidi="ar"/>
              </w:rPr>
              <w:t xml:space="preserve">2.80 </w:t>
            </w:r>
          </w:p>
        </w:tc>
      </w:tr>
      <w:tr w14:paraId="32CB7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14:paraId="608A1949">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91EDD21">
            <w:pPr>
              <w:jc w:val="center"/>
              <w:rPr>
                <w:rFonts w:ascii="宋体" w:hAnsi="宋体" w:cs="宋体"/>
                <w:sz w:val="24"/>
              </w:rPr>
            </w:pPr>
            <w:r>
              <w:rPr>
                <w:rFonts w:hint="eastAsia"/>
              </w:rPr>
              <w:t>15</w:t>
            </w:r>
          </w:p>
        </w:tc>
        <w:tc>
          <w:tcPr>
            <w:tcW w:w="931" w:type="dxa"/>
            <w:tcBorders>
              <w:top w:val="single" w:color="auto" w:sz="4" w:space="0"/>
              <w:left w:val="single" w:color="auto" w:sz="4" w:space="0"/>
              <w:bottom w:val="single" w:color="auto" w:sz="4" w:space="0"/>
              <w:right w:val="single" w:color="auto" w:sz="4" w:space="0"/>
            </w:tcBorders>
            <w:vAlign w:val="center"/>
          </w:tcPr>
          <w:p w14:paraId="4AEAEB48">
            <w:pPr>
              <w:widowControl/>
              <w:jc w:val="center"/>
            </w:pPr>
            <w:r>
              <w:rPr>
                <w:rFonts w:hint="eastAsia"/>
                <w:lang w:bidi="ar"/>
              </w:rPr>
              <w:t>节瓜</w:t>
            </w:r>
          </w:p>
        </w:tc>
        <w:tc>
          <w:tcPr>
            <w:tcW w:w="745" w:type="dxa"/>
            <w:tcBorders>
              <w:top w:val="single" w:color="auto" w:sz="4" w:space="0"/>
              <w:left w:val="single" w:color="auto" w:sz="4" w:space="0"/>
              <w:bottom w:val="single" w:color="auto" w:sz="4" w:space="0"/>
              <w:right w:val="single" w:color="auto" w:sz="4" w:space="0"/>
            </w:tcBorders>
            <w:vAlign w:val="center"/>
          </w:tcPr>
          <w:p w14:paraId="5C899DBD">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730D1A36">
            <w:pPr>
              <w:widowControl/>
              <w:jc w:val="center"/>
            </w:pPr>
            <w:r>
              <w:rPr>
                <w:rFonts w:hint="eastAsia"/>
                <w:lang w:bidi="ar"/>
              </w:rPr>
              <w:t>5000.00</w:t>
            </w:r>
          </w:p>
        </w:tc>
        <w:tc>
          <w:tcPr>
            <w:tcW w:w="1125" w:type="dxa"/>
            <w:vMerge w:val="continue"/>
            <w:tcBorders>
              <w:left w:val="single" w:color="auto" w:sz="4" w:space="0"/>
              <w:right w:val="single" w:color="auto" w:sz="4" w:space="0"/>
            </w:tcBorders>
          </w:tcPr>
          <w:p w14:paraId="21EE9D76"/>
        </w:tc>
        <w:tc>
          <w:tcPr>
            <w:tcW w:w="4588" w:type="dxa"/>
            <w:vMerge w:val="continue"/>
            <w:tcBorders>
              <w:left w:val="single" w:color="auto" w:sz="4" w:space="0"/>
              <w:right w:val="single" w:color="auto" w:sz="4" w:space="0"/>
            </w:tcBorders>
            <w:vAlign w:val="center"/>
          </w:tcPr>
          <w:p w14:paraId="72377F14">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14:paraId="1BD54D4D">
            <w:pPr>
              <w:widowControl/>
              <w:jc w:val="center"/>
              <w:rPr>
                <w:lang w:bidi="ar"/>
              </w:rPr>
            </w:pPr>
            <w:r>
              <w:rPr>
                <w:rFonts w:hint="eastAsia"/>
                <w:lang w:bidi="ar"/>
              </w:rPr>
              <w:t xml:space="preserve">2.76 </w:t>
            </w:r>
          </w:p>
        </w:tc>
      </w:tr>
      <w:tr w14:paraId="3C4F9D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14:paraId="400A9324">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AC17C26">
            <w:pPr>
              <w:jc w:val="center"/>
              <w:rPr>
                <w:rFonts w:ascii="宋体" w:hAnsi="宋体" w:cs="宋体"/>
                <w:sz w:val="24"/>
              </w:rPr>
            </w:pPr>
            <w:r>
              <w:rPr>
                <w:rFonts w:hint="eastAsia"/>
              </w:rPr>
              <w:t>16</w:t>
            </w:r>
          </w:p>
        </w:tc>
        <w:tc>
          <w:tcPr>
            <w:tcW w:w="931" w:type="dxa"/>
            <w:tcBorders>
              <w:top w:val="single" w:color="auto" w:sz="4" w:space="0"/>
              <w:left w:val="single" w:color="auto" w:sz="4" w:space="0"/>
              <w:bottom w:val="single" w:color="auto" w:sz="4" w:space="0"/>
              <w:right w:val="single" w:color="auto" w:sz="4" w:space="0"/>
            </w:tcBorders>
            <w:vAlign w:val="center"/>
          </w:tcPr>
          <w:p w14:paraId="656B1D2D">
            <w:pPr>
              <w:widowControl/>
              <w:jc w:val="center"/>
            </w:pPr>
            <w:r>
              <w:rPr>
                <w:rFonts w:hint="eastAsia"/>
                <w:lang w:bidi="ar"/>
              </w:rPr>
              <w:t>青瓜</w:t>
            </w:r>
          </w:p>
        </w:tc>
        <w:tc>
          <w:tcPr>
            <w:tcW w:w="745" w:type="dxa"/>
            <w:tcBorders>
              <w:top w:val="single" w:color="auto" w:sz="4" w:space="0"/>
              <w:left w:val="single" w:color="auto" w:sz="4" w:space="0"/>
              <w:bottom w:val="single" w:color="auto" w:sz="4" w:space="0"/>
              <w:right w:val="single" w:color="auto" w:sz="4" w:space="0"/>
            </w:tcBorders>
            <w:vAlign w:val="center"/>
          </w:tcPr>
          <w:p w14:paraId="1CF0385C">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6F0D02D1">
            <w:pPr>
              <w:widowControl/>
              <w:jc w:val="center"/>
            </w:pPr>
            <w:r>
              <w:rPr>
                <w:rFonts w:hint="eastAsia"/>
                <w:lang w:bidi="ar"/>
              </w:rPr>
              <w:t>3000.00</w:t>
            </w:r>
          </w:p>
        </w:tc>
        <w:tc>
          <w:tcPr>
            <w:tcW w:w="1125" w:type="dxa"/>
            <w:vMerge w:val="continue"/>
            <w:tcBorders>
              <w:left w:val="single" w:color="auto" w:sz="4" w:space="0"/>
              <w:right w:val="single" w:color="auto" w:sz="4" w:space="0"/>
            </w:tcBorders>
          </w:tcPr>
          <w:p w14:paraId="26CAC451"/>
        </w:tc>
        <w:tc>
          <w:tcPr>
            <w:tcW w:w="4588" w:type="dxa"/>
            <w:vMerge w:val="continue"/>
            <w:tcBorders>
              <w:left w:val="single" w:color="auto" w:sz="4" w:space="0"/>
              <w:right w:val="single" w:color="auto" w:sz="4" w:space="0"/>
            </w:tcBorders>
            <w:vAlign w:val="center"/>
          </w:tcPr>
          <w:p w14:paraId="6544EAC0">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14:paraId="5E9EFA30">
            <w:pPr>
              <w:widowControl/>
              <w:jc w:val="center"/>
              <w:rPr>
                <w:lang w:bidi="ar"/>
              </w:rPr>
            </w:pPr>
            <w:r>
              <w:rPr>
                <w:rFonts w:hint="eastAsia"/>
                <w:lang w:bidi="ar"/>
              </w:rPr>
              <w:t xml:space="preserve">3.60 </w:t>
            </w:r>
          </w:p>
        </w:tc>
      </w:tr>
      <w:tr w14:paraId="0EF7E9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14:paraId="02DCB2AF">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5AE9808">
            <w:pPr>
              <w:jc w:val="center"/>
              <w:rPr>
                <w:rFonts w:ascii="宋体" w:hAnsi="宋体" w:cs="宋体"/>
                <w:sz w:val="24"/>
              </w:rPr>
            </w:pPr>
            <w:r>
              <w:rPr>
                <w:rFonts w:hint="eastAsia"/>
              </w:rPr>
              <w:t>17</w:t>
            </w:r>
          </w:p>
        </w:tc>
        <w:tc>
          <w:tcPr>
            <w:tcW w:w="931" w:type="dxa"/>
            <w:tcBorders>
              <w:top w:val="single" w:color="auto" w:sz="4" w:space="0"/>
              <w:left w:val="single" w:color="auto" w:sz="4" w:space="0"/>
              <w:bottom w:val="single" w:color="auto" w:sz="4" w:space="0"/>
              <w:right w:val="single" w:color="auto" w:sz="4" w:space="0"/>
            </w:tcBorders>
            <w:vAlign w:val="center"/>
          </w:tcPr>
          <w:p w14:paraId="5780F372">
            <w:pPr>
              <w:widowControl/>
              <w:jc w:val="center"/>
            </w:pPr>
            <w:r>
              <w:rPr>
                <w:rFonts w:hint="eastAsia"/>
                <w:lang w:bidi="ar"/>
              </w:rPr>
              <w:t>西红柿</w:t>
            </w:r>
          </w:p>
        </w:tc>
        <w:tc>
          <w:tcPr>
            <w:tcW w:w="745" w:type="dxa"/>
            <w:tcBorders>
              <w:top w:val="single" w:color="auto" w:sz="4" w:space="0"/>
              <w:left w:val="single" w:color="auto" w:sz="4" w:space="0"/>
              <w:bottom w:val="single" w:color="auto" w:sz="4" w:space="0"/>
              <w:right w:val="single" w:color="auto" w:sz="4" w:space="0"/>
            </w:tcBorders>
            <w:vAlign w:val="center"/>
          </w:tcPr>
          <w:p w14:paraId="273D953A">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4D2BEB25">
            <w:pPr>
              <w:widowControl/>
              <w:jc w:val="center"/>
            </w:pPr>
            <w:r>
              <w:rPr>
                <w:rFonts w:hint="eastAsia"/>
                <w:lang w:bidi="ar"/>
              </w:rPr>
              <w:t>2500.00</w:t>
            </w:r>
          </w:p>
        </w:tc>
        <w:tc>
          <w:tcPr>
            <w:tcW w:w="1125" w:type="dxa"/>
            <w:vMerge w:val="continue"/>
            <w:tcBorders>
              <w:left w:val="single" w:color="auto" w:sz="4" w:space="0"/>
              <w:right w:val="single" w:color="auto" w:sz="4" w:space="0"/>
            </w:tcBorders>
          </w:tcPr>
          <w:p w14:paraId="02C2E83F"/>
        </w:tc>
        <w:tc>
          <w:tcPr>
            <w:tcW w:w="4588" w:type="dxa"/>
            <w:vMerge w:val="continue"/>
            <w:tcBorders>
              <w:left w:val="single" w:color="auto" w:sz="4" w:space="0"/>
              <w:right w:val="single" w:color="auto" w:sz="4" w:space="0"/>
            </w:tcBorders>
            <w:vAlign w:val="center"/>
          </w:tcPr>
          <w:p w14:paraId="23BC5771">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14:paraId="3D1C83CF">
            <w:pPr>
              <w:widowControl/>
              <w:jc w:val="center"/>
              <w:rPr>
                <w:lang w:bidi="ar"/>
              </w:rPr>
            </w:pPr>
            <w:r>
              <w:rPr>
                <w:rFonts w:hint="eastAsia"/>
                <w:lang w:bidi="ar"/>
              </w:rPr>
              <w:t xml:space="preserve">4.70 </w:t>
            </w:r>
          </w:p>
        </w:tc>
      </w:tr>
      <w:tr w14:paraId="272DC82F">
        <w:tblPrEx>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14:paraId="3E5E2FAA">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66225B4">
            <w:pPr>
              <w:jc w:val="center"/>
              <w:rPr>
                <w:rFonts w:ascii="宋体" w:hAnsi="宋体" w:cs="宋体"/>
                <w:sz w:val="24"/>
              </w:rPr>
            </w:pPr>
            <w:r>
              <w:rPr>
                <w:rFonts w:hint="eastAsia"/>
              </w:rPr>
              <w:t>18</w:t>
            </w:r>
          </w:p>
        </w:tc>
        <w:tc>
          <w:tcPr>
            <w:tcW w:w="931" w:type="dxa"/>
            <w:tcBorders>
              <w:top w:val="single" w:color="auto" w:sz="4" w:space="0"/>
              <w:left w:val="single" w:color="auto" w:sz="4" w:space="0"/>
              <w:bottom w:val="single" w:color="auto" w:sz="4" w:space="0"/>
              <w:right w:val="single" w:color="auto" w:sz="4" w:space="0"/>
            </w:tcBorders>
            <w:vAlign w:val="center"/>
          </w:tcPr>
          <w:p w14:paraId="318452BC">
            <w:pPr>
              <w:widowControl/>
              <w:jc w:val="center"/>
            </w:pPr>
            <w:r>
              <w:rPr>
                <w:rFonts w:hint="eastAsia"/>
                <w:lang w:bidi="ar"/>
              </w:rPr>
              <w:t>豆角</w:t>
            </w:r>
          </w:p>
        </w:tc>
        <w:tc>
          <w:tcPr>
            <w:tcW w:w="745" w:type="dxa"/>
            <w:tcBorders>
              <w:top w:val="single" w:color="auto" w:sz="4" w:space="0"/>
              <w:left w:val="single" w:color="auto" w:sz="4" w:space="0"/>
              <w:bottom w:val="single" w:color="auto" w:sz="4" w:space="0"/>
              <w:right w:val="single" w:color="auto" w:sz="4" w:space="0"/>
            </w:tcBorders>
            <w:vAlign w:val="center"/>
          </w:tcPr>
          <w:p w14:paraId="294BE453">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0CF28747">
            <w:pPr>
              <w:widowControl/>
              <w:jc w:val="center"/>
            </w:pPr>
            <w:r>
              <w:rPr>
                <w:rFonts w:hint="eastAsia"/>
                <w:lang w:bidi="ar"/>
              </w:rPr>
              <w:t>5000.00</w:t>
            </w:r>
          </w:p>
        </w:tc>
        <w:tc>
          <w:tcPr>
            <w:tcW w:w="1125" w:type="dxa"/>
            <w:vMerge w:val="continue"/>
            <w:tcBorders>
              <w:left w:val="single" w:color="auto" w:sz="4" w:space="0"/>
              <w:right w:val="single" w:color="auto" w:sz="4" w:space="0"/>
            </w:tcBorders>
          </w:tcPr>
          <w:p w14:paraId="43974A61"/>
        </w:tc>
        <w:tc>
          <w:tcPr>
            <w:tcW w:w="4588" w:type="dxa"/>
            <w:vMerge w:val="continue"/>
            <w:tcBorders>
              <w:left w:val="single" w:color="auto" w:sz="4" w:space="0"/>
              <w:right w:val="single" w:color="auto" w:sz="4" w:space="0"/>
            </w:tcBorders>
            <w:vAlign w:val="center"/>
          </w:tcPr>
          <w:p w14:paraId="18B9D272">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14:paraId="461C6BCA">
            <w:pPr>
              <w:widowControl/>
              <w:jc w:val="center"/>
              <w:rPr>
                <w:lang w:bidi="ar"/>
              </w:rPr>
            </w:pPr>
            <w:r>
              <w:rPr>
                <w:rFonts w:hint="eastAsia"/>
                <w:lang w:bidi="ar"/>
              </w:rPr>
              <w:t xml:space="preserve">7.00 </w:t>
            </w:r>
          </w:p>
        </w:tc>
      </w:tr>
      <w:tr w14:paraId="77B77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14:paraId="748048A1">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D10F807">
            <w:pPr>
              <w:jc w:val="center"/>
              <w:rPr>
                <w:rFonts w:ascii="宋体" w:hAnsi="宋体" w:cs="宋体"/>
                <w:sz w:val="24"/>
              </w:rPr>
            </w:pPr>
            <w:r>
              <w:rPr>
                <w:rFonts w:hint="eastAsia"/>
              </w:rPr>
              <w:t>19</w:t>
            </w:r>
          </w:p>
        </w:tc>
        <w:tc>
          <w:tcPr>
            <w:tcW w:w="931" w:type="dxa"/>
            <w:tcBorders>
              <w:top w:val="single" w:color="auto" w:sz="4" w:space="0"/>
              <w:left w:val="single" w:color="auto" w:sz="4" w:space="0"/>
              <w:bottom w:val="single" w:color="auto" w:sz="4" w:space="0"/>
              <w:right w:val="single" w:color="auto" w:sz="4" w:space="0"/>
            </w:tcBorders>
            <w:vAlign w:val="center"/>
          </w:tcPr>
          <w:p w14:paraId="61D59A05">
            <w:pPr>
              <w:widowControl/>
              <w:jc w:val="center"/>
            </w:pPr>
            <w:r>
              <w:rPr>
                <w:rFonts w:hint="eastAsia"/>
                <w:lang w:bidi="ar"/>
              </w:rPr>
              <w:t>洋  葱</w:t>
            </w:r>
          </w:p>
        </w:tc>
        <w:tc>
          <w:tcPr>
            <w:tcW w:w="745" w:type="dxa"/>
            <w:tcBorders>
              <w:top w:val="single" w:color="auto" w:sz="4" w:space="0"/>
              <w:left w:val="single" w:color="auto" w:sz="4" w:space="0"/>
              <w:bottom w:val="single" w:color="auto" w:sz="4" w:space="0"/>
              <w:right w:val="single" w:color="auto" w:sz="4" w:space="0"/>
            </w:tcBorders>
            <w:vAlign w:val="center"/>
          </w:tcPr>
          <w:p w14:paraId="2E911234">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43CF7545">
            <w:pPr>
              <w:widowControl/>
              <w:jc w:val="center"/>
            </w:pPr>
            <w:r>
              <w:rPr>
                <w:rFonts w:hint="eastAsia"/>
                <w:lang w:bidi="ar"/>
              </w:rPr>
              <w:t>5000.00</w:t>
            </w:r>
          </w:p>
        </w:tc>
        <w:tc>
          <w:tcPr>
            <w:tcW w:w="1125" w:type="dxa"/>
            <w:vMerge w:val="continue"/>
            <w:tcBorders>
              <w:left w:val="single" w:color="auto" w:sz="4" w:space="0"/>
              <w:right w:val="single" w:color="auto" w:sz="4" w:space="0"/>
            </w:tcBorders>
          </w:tcPr>
          <w:p w14:paraId="67E09330"/>
        </w:tc>
        <w:tc>
          <w:tcPr>
            <w:tcW w:w="4588" w:type="dxa"/>
            <w:vMerge w:val="continue"/>
            <w:tcBorders>
              <w:left w:val="single" w:color="auto" w:sz="4" w:space="0"/>
              <w:right w:val="single" w:color="auto" w:sz="4" w:space="0"/>
            </w:tcBorders>
            <w:vAlign w:val="center"/>
          </w:tcPr>
          <w:p w14:paraId="57689D87">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14:paraId="7623D4B0">
            <w:pPr>
              <w:widowControl/>
              <w:jc w:val="center"/>
              <w:rPr>
                <w:lang w:bidi="ar"/>
              </w:rPr>
            </w:pPr>
            <w:r>
              <w:rPr>
                <w:rFonts w:hint="eastAsia"/>
                <w:lang w:bidi="ar"/>
              </w:rPr>
              <w:t xml:space="preserve">3.00 </w:t>
            </w:r>
          </w:p>
        </w:tc>
      </w:tr>
      <w:tr w14:paraId="132DB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14:paraId="5D662BCA">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E4D28BA">
            <w:pPr>
              <w:jc w:val="center"/>
              <w:rPr>
                <w:rFonts w:ascii="宋体" w:hAnsi="宋体" w:cs="宋体"/>
                <w:sz w:val="24"/>
              </w:rPr>
            </w:pPr>
            <w:r>
              <w:rPr>
                <w:rFonts w:hint="eastAsia"/>
              </w:rPr>
              <w:t>20</w:t>
            </w:r>
          </w:p>
        </w:tc>
        <w:tc>
          <w:tcPr>
            <w:tcW w:w="931" w:type="dxa"/>
            <w:tcBorders>
              <w:top w:val="single" w:color="auto" w:sz="4" w:space="0"/>
              <w:left w:val="single" w:color="auto" w:sz="4" w:space="0"/>
              <w:bottom w:val="single" w:color="auto" w:sz="4" w:space="0"/>
              <w:right w:val="single" w:color="auto" w:sz="4" w:space="0"/>
            </w:tcBorders>
            <w:vAlign w:val="center"/>
          </w:tcPr>
          <w:p w14:paraId="5666377D">
            <w:pPr>
              <w:widowControl/>
              <w:jc w:val="center"/>
            </w:pPr>
            <w:r>
              <w:rPr>
                <w:rFonts w:hint="eastAsia"/>
                <w:lang w:bidi="ar"/>
              </w:rPr>
              <w:t>大蒜头</w:t>
            </w:r>
          </w:p>
        </w:tc>
        <w:tc>
          <w:tcPr>
            <w:tcW w:w="745" w:type="dxa"/>
            <w:tcBorders>
              <w:top w:val="single" w:color="auto" w:sz="4" w:space="0"/>
              <w:left w:val="single" w:color="auto" w:sz="4" w:space="0"/>
              <w:bottom w:val="single" w:color="auto" w:sz="4" w:space="0"/>
              <w:right w:val="single" w:color="auto" w:sz="4" w:space="0"/>
            </w:tcBorders>
            <w:vAlign w:val="center"/>
          </w:tcPr>
          <w:p w14:paraId="3555BF2B">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2F925F66">
            <w:pPr>
              <w:widowControl/>
              <w:jc w:val="center"/>
            </w:pPr>
            <w:r>
              <w:rPr>
                <w:rFonts w:hint="eastAsia"/>
                <w:lang w:bidi="ar"/>
              </w:rPr>
              <w:t>2000.00</w:t>
            </w:r>
          </w:p>
        </w:tc>
        <w:tc>
          <w:tcPr>
            <w:tcW w:w="1125" w:type="dxa"/>
            <w:vMerge w:val="continue"/>
            <w:tcBorders>
              <w:left w:val="single" w:color="auto" w:sz="4" w:space="0"/>
              <w:right w:val="single" w:color="auto" w:sz="4" w:space="0"/>
            </w:tcBorders>
          </w:tcPr>
          <w:p w14:paraId="5F9AC625"/>
        </w:tc>
        <w:tc>
          <w:tcPr>
            <w:tcW w:w="4588" w:type="dxa"/>
            <w:vMerge w:val="continue"/>
            <w:tcBorders>
              <w:left w:val="single" w:color="auto" w:sz="4" w:space="0"/>
              <w:right w:val="single" w:color="auto" w:sz="4" w:space="0"/>
            </w:tcBorders>
            <w:vAlign w:val="center"/>
          </w:tcPr>
          <w:p w14:paraId="2FA54228">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14:paraId="69181C5D">
            <w:pPr>
              <w:widowControl/>
              <w:jc w:val="center"/>
              <w:rPr>
                <w:lang w:bidi="ar"/>
              </w:rPr>
            </w:pPr>
            <w:r>
              <w:rPr>
                <w:rFonts w:hint="eastAsia"/>
                <w:lang w:bidi="ar"/>
              </w:rPr>
              <w:t xml:space="preserve">9.76 </w:t>
            </w:r>
          </w:p>
        </w:tc>
      </w:tr>
      <w:tr w14:paraId="0D216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14:paraId="72762A03">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6E72263">
            <w:pPr>
              <w:jc w:val="center"/>
              <w:rPr>
                <w:rFonts w:ascii="宋体" w:hAnsi="宋体" w:cs="宋体"/>
                <w:sz w:val="24"/>
              </w:rPr>
            </w:pPr>
            <w:r>
              <w:rPr>
                <w:rFonts w:hint="eastAsia"/>
              </w:rPr>
              <w:t>21</w:t>
            </w:r>
          </w:p>
        </w:tc>
        <w:tc>
          <w:tcPr>
            <w:tcW w:w="931" w:type="dxa"/>
            <w:tcBorders>
              <w:top w:val="single" w:color="auto" w:sz="4" w:space="0"/>
              <w:left w:val="single" w:color="auto" w:sz="4" w:space="0"/>
              <w:bottom w:val="single" w:color="auto" w:sz="4" w:space="0"/>
              <w:right w:val="single" w:color="auto" w:sz="4" w:space="0"/>
            </w:tcBorders>
            <w:vAlign w:val="center"/>
          </w:tcPr>
          <w:p w14:paraId="21B9CBA3">
            <w:pPr>
              <w:widowControl/>
              <w:jc w:val="center"/>
            </w:pPr>
            <w:r>
              <w:rPr>
                <w:rFonts w:hint="eastAsia"/>
                <w:lang w:bidi="ar"/>
              </w:rPr>
              <w:t>西兰花</w:t>
            </w:r>
          </w:p>
        </w:tc>
        <w:tc>
          <w:tcPr>
            <w:tcW w:w="745" w:type="dxa"/>
            <w:tcBorders>
              <w:top w:val="single" w:color="auto" w:sz="4" w:space="0"/>
              <w:left w:val="single" w:color="auto" w:sz="4" w:space="0"/>
              <w:bottom w:val="single" w:color="auto" w:sz="4" w:space="0"/>
              <w:right w:val="single" w:color="auto" w:sz="4" w:space="0"/>
            </w:tcBorders>
            <w:vAlign w:val="center"/>
          </w:tcPr>
          <w:p w14:paraId="35E16003">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1604AB17">
            <w:pPr>
              <w:widowControl/>
              <w:jc w:val="center"/>
            </w:pPr>
            <w:r>
              <w:rPr>
                <w:rFonts w:hint="eastAsia"/>
                <w:lang w:bidi="ar"/>
              </w:rPr>
              <w:t>2000.00</w:t>
            </w:r>
          </w:p>
        </w:tc>
        <w:tc>
          <w:tcPr>
            <w:tcW w:w="1125" w:type="dxa"/>
            <w:vMerge w:val="continue"/>
            <w:tcBorders>
              <w:left w:val="single" w:color="auto" w:sz="4" w:space="0"/>
              <w:right w:val="single" w:color="auto" w:sz="4" w:space="0"/>
            </w:tcBorders>
          </w:tcPr>
          <w:p w14:paraId="7A35C248"/>
        </w:tc>
        <w:tc>
          <w:tcPr>
            <w:tcW w:w="4588" w:type="dxa"/>
            <w:vMerge w:val="continue"/>
            <w:tcBorders>
              <w:left w:val="single" w:color="auto" w:sz="4" w:space="0"/>
              <w:right w:val="single" w:color="auto" w:sz="4" w:space="0"/>
            </w:tcBorders>
            <w:vAlign w:val="center"/>
          </w:tcPr>
          <w:p w14:paraId="287CD667">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14:paraId="211C65D9">
            <w:pPr>
              <w:widowControl/>
              <w:jc w:val="center"/>
              <w:rPr>
                <w:lang w:bidi="ar"/>
              </w:rPr>
            </w:pPr>
            <w:r>
              <w:rPr>
                <w:rFonts w:hint="eastAsia"/>
                <w:lang w:bidi="ar"/>
              </w:rPr>
              <w:t xml:space="preserve">7.00 </w:t>
            </w:r>
          </w:p>
        </w:tc>
      </w:tr>
      <w:tr w14:paraId="06287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14:paraId="7F66FC5E">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97038F7">
            <w:pPr>
              <w:jc w:val="center"/>
              <w:rPr>
                <w:rFonts w:ascii="宋体" w:hAnsi="宋体" w:cs="宋体"/>
                <w:sz w:val="24"/>
              </w:rPr>
            </w:pPr>
            <w:r>
              <w:rPr>
                <w:rFonts w:hint="eastAsia"/>
              </w:rPr>
              <w:t>22</w:t>
            </w:r>
          </w:p>
        </w:tc>
        <w:tc>
          <w:tcPr>
            <w:tcW w:w="931" w:type="dxa"/>
            <w:tcBorders>
              <w:top w:val="single" w:color="auto" w:sz="4" w:space="0"/>
              <w:left w:val="single" w:color="auto" w:sz="4" w:space="0"/>
              <w:bottom w:val="single" w:color="auto" w:sz="4" w:space="0"/>
              <w:right w:val="single" w:color="auto" w:sz="4" w:space="0"/>
            </w:tcBorders>
            <w:vAlign w:val="center"/>
          </w:tcPr>
          <w:p w14:paraId="07FE39B0">
            <w:pPr>
              <w:widowControl/>
              <w:jc w:val="center"/>
            </w:pPr>
            <w:r>
              <w:rPr>
                <w:rFonts w:hint="eastAsia"/>
                <w:lang w:bidi="ar"/>
              </w:rPr>
              <w:t>红萝卜</w:t>
            </w:r>
          </w:p>
        </w:tc>
        <w:tc>
          <w:tcPr>
            <w:tcW w:w="745" w:type="dxa"/>
            <w:tcBorders>
              <w:top w:val="single" w:color="auto" w:sz="4" w:space="0"/>
              <w:left w:val="single" w:color="auto" w:sz="4" w:space="0"/>
              <w:bottom w:val="single" w:color="auto" w:sz="4" w:space="0"/>
              <w:right w:val="single" w:color="auto" w:sz="4" w:space="0"/>
            </w:tcBorders>
            <w:vAlign w:val="center"/>
          </w:tcPr>
          <w:p w14:paraId="1527682C">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02F3983A">
            <w:pPr>
              <w:widowControl/>
              <w:jc w:val="center"/>
            </w:pPr>
            <w:r>
              <w:rPr>
                <w:rFonts w:hint="eastAsia"/>
                <w:lang w:bidi="ar"/>
              </w:rPr>
              <w:t>5000.00</w:t>
            </w:r>
          </w:p>
        </w:tc>
        <w:tc>
          <w:tcPr>
            <w:tcW w:w="1125" w:type="dxa"/>
            <w:vMerge w:val="continue"/>
            <w:tcBorders>
              <w:left w:val="single" w:color="auto" w:sz="4" w:space="0"/>
              <w:right w:val="single" w:color="auto" w:sz="4" w:space="0"/>
            </w:tcBorders>
          </w:tcPr>
          <w:p w14:paraId="4A4BB0F5"/>
        </w:tc>
        <w:tc>
          <w:tcPr>
            <w:tcW w:w="4588" w:type="dxa"/>
            <w:vMerge w:val="continue"/>
            <w:tcBorders>
              <w:left w:val="single" w:color="auto" w:sz="4" w:space="0"/>
              <w:right w:val="single" w:color="auto" w:sz="4" w:space="0"/>
            </w:tcBorders>
            <w:vAlign w:val="center"/>
          </w:tcPr>
          <w:p w14:paraId="24F1DA5E">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14:paraId="317E068E">
            <w:pPr>
              <w:widowControl/>
              <w:jc w:val="center"/>
              <w:rPr>
                <w:lang w:bidi="ar"/>
              </w:rPr>
            </w:pPr>
            <w:r>
              <w:rPr>
                <w:rFonts w:hint="eastAsia"/>
                <w:lang w:bidi="ar"/>
              </w:rPr>
              <w:t xml:space="preserve">4.00 </w:t>
            </w:r>
          </w:p>
        </w:tc>
      </w:tr>
      <w:tr w14:paraId="10A542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14:paraId="11FC565D">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AF4169A">
            <w:pPr>
              <w:jc w:val="center"/>
              <w:rPr>
                <w:rFonts w:ascii="宋体" w:hAnsi="宋体" w:cs="宋体"/>
                <w:sz w:val="24"/>
              </w:rPr>
            </w:pPr>
            <w:r>
              <w:rPr>
                <w:rFonts w:hint="eastAsia"/>
              </w:rPr>
              <w:t>23</w:t>
            </w:r>
          </w:p>
        </w:tc>
        <w:tc>
          <w:tcPr>
            <w:tcW w:w="931" w:type="dxa"/>
            <w:tcBorders>
              <w:top w:val="single" w:color="auto" w:sz="4" w:space="0"/>
              <w:left w:val="single" w:color="auto" w:sz="4" w:space="0"/>
              <w:bottom w:val="single" w:color="auto" w:sz="4" w:space="0"/>
              <w:right w:val="single" w:color="auto" w:sz="4" w:space="0"/>
            </w:tcBorders>
            <w:vAlign w:val="center"/>
          </w:tcPr>
          <w:p w14:paraId="53154A69">
            <w:pPr>
              <w:widowControl/>
              <w:jc w:val="center"/>
            </w:pPr>
            <w:r>
              <w:rPr>
                <w:rFonts w:hint="eastAsia"/>
                <w:lang w:bidi="ar"/>
              </w:rPr>
              <w:t>芹菜</w:t>
            </w:r>
          </w:p>
        </w:tc>
        <w:tc>
          <w:tcPr>
            <w:tcW w:w="745" w:type="dxa"/>
            <w:tcBorders>
              <w:top w:val="single" w:color="auto" w:sz="4" w:space="0"/>
              <w:left w:val="single" w:color="auto" w:sz="4" w:space="0"/>
              <w:bottom w:val="single" w:color="auto" w:sz="4" w:space="0"/>
              <w:right w:val="single" w:color="auto" w:sz="4" w:space="0"/>
            </w:tcBorders>
            <w:vAlign w:val="center"/>
          </w:tcPr>
          <w:p w14:paraId="389AA3B5">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7C7F90A1">
            <w:pPr>
              <w:widowControl/>
              <w:jc w:val="center"/>
            </w:pPr>
            <w:r>
              <w:rPr>
                <w:rFonts w:hint="eastAsia"/>
                <w:lang w:bidi="ar"/>
              </w:rPr>
              <w:t>5000.00</w:t>
            </w:r>
          </w:p>
        </w:tc>
        <w:tc>
          <w:tcPr>
            <w:tcW w:w="1125" w:type="dxa"/>
            <w:vMerge w:val="continue"/>
            <w:tcBorders>
              <w:left w:val="single" w:color="auto" w:sz="4" w:space="0"/>
              <w:right w:val="single" w:color="auto" w:sz="4" w:space="0"/>
            </w:tcBorders>
          </w:tcPr>
          <w:p w14:paraId="1EA375E6"/>
        </w:tc>
        <w:tc>
          <w:tcPr>
            <w:tcW w:w="4588" w:type="dxa"/>
            <w:vMerge w:val="continue"/>
            <w:tcBorders>
              <w:left w:val="single" w:color="auto" w:sz="4" w:space="0"/>
              <w:right w:val="single" w:color="auto" w:sz="4" w:space="0"/>
            </w:tcBorders>
            <w:vAlign w:val="center"/>
          </w:tcPr>
          <w:p w14:paraId="74D55774">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14:paraId="5791A9BB">
            <w:pPr>
              <w:widowControl/>
              <w:jc w:val="center"/>
              <w:rPr>
                <w:lang w:bidi="ar"/>
              </w:rPr>
            </w:pPr>
            <w:r>
              <w:rPr>
                <w:rFonts w:hint="eastAsia"/>
                <w:lang w:bidi="ar"/>
              </w:rPr>
              <w:t xml:space="preserve">5.00 </w:t>
            </w:r>
          </w:p>
        </w:tc>
      </w:tr>
      <w:tr w14:paraId="26F85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14:paraId="106EC54E">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55D01C2">
            <w:pPr>
              <w:jc w:val="center"/>
              <w:rPr>
                <w:rFonts w:ascii="宋体" w:hAnsi="宋体" w:cs="宋体"/>
                <w:sz w:val="24"/>
              </w:rPr>
            </w:pPr>
            <w:r>
              <w:rPr>
                <w:rFonts w:hint="eastAsia"/>
              </w:rPr>
              <w:t>24</w:t>
            </w:r>
          </w:p>
        </w:tc>
        <w:tc>
          <w:tcPr>
            <w:tcW w:w="931" w:type="dxa"/>
            <w:tcBorders>
              <w:top w:val="single" w:color="auto" w:sz="4" w:space="0"/>
              <w:left w:val="single" w:color="auto" w:sz="4" w:space="0"/>
              <w:bottom w:val="single" w:color="auto" w:sz="4" w:space="0"/>
              <w:right w:val="single" w:color="auto" w:sz="4" w:space="0"/>
            </w:tcBorders>
            <w:vAlign w:val="center"/>
          </w:tcPr>
          <w:p w14:paraId="5C36883A">
            <w:pPr>
              <w:widowControl/>
              <w:jc w:val="center"/>
            </w:pPr>
            <w:r>
              <w:rPr>
                <w:rFonts w:hint="eastAsia"/>
                <w:lang w:bidi="ar"/>
              </w:rPr>
              <w:t>马铃薯</w:t>
            </w:r>
          </w:p>
        </w:tc>
        <w:tc>
          <w:tcPr>
            <w:tcW w:w="745" w:type="dxa"/>
            <w:tcBorders>
              <w:top w:val="single" w:color="auto" w:sz="4" w:space="0"/>
              <w:left w:val="single" w:color="auto" w:sz="4" w:space="0"/>
              <w:bottom w:val="single" w:color="auto" w:sz="4" w:space="0"/>
              <w:right w:val="single" w:color="auto" w:sz="4" w:space="0"/>
            </w:tcBorders>
            <w:vAlign w:val="center"/>
          </w:tcPr>
          <w:p w14:paraId="4C805D07">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7F532AF2">
            <w:pPr>
              <w:widowControl/>
              <w:jc w:val="center"/>
            </w:pPr>
            <w:r>
              <w:rPr>
                <w:rFonts w:hint="eastAsia"/>
                <w:lang w:bidi="ar"/>
              </w:rPr>
              <w:t>10000.00</w:t>
            </w:r>
          </w:p>
        </w:tc>
        <w:tc>
          <w:tcPr>
            <w:tcW w:w="1125" w:type="dxa"/>
            <w:vMerge w:val="continue"/>
            <w:tcBorders>
              <w:left w:val="single" w:color="auto" w:sz="4" w:space="0"/>
              <w:right w:val="single" w:color="auto" w:sz="4" w:space="0"/>
            </w:tcBorders>
          </w:tcPr>
          <w:p w14:paraId="1CAB8F0A"/>
        </w:tc>
        <w:tc>
          <w:tcPr>
            <w:tcW w:w="4588" w:type="dxa"/>
            <w:vMerge w:val="continue"/>
            <w:tcBorders>
              <w:left w:val="single" w:color="auto" w:sz="4" w:space="0"/>
              <w:right w:val="single" w:color="auto" w:sz="4" w:space="0"/>
            </w:tcBorders>
            <w:vAlign w:val="center"/>
          </w:tcPr>
          <w:p w14:paraId="501D382A">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14:paraId="28C967BF">
            <w:pPr>
              <w:widowControl/>
              <w:jc w:val="center"/>
              <w:rPr>
                <w:lang w:bidi="ar"/>
              </w:rPr>
            </w:pPr>
            <w:r>
              <w:rPr>
                <w:rFonts w:hint="eastAsia"/>
                <w:lang w:bidi="ar"/>
              </w:rPr>
              <w:t xml:space="preserve">3.60 </w:t>
            </w:r>
          </w:p>
        </w:tc>
      </w:tr>
      <w:tr w14:paraId="351C5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14:paraId="0C7E5CE9">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EBD30DD">
            <w:pPr>
              <w:jc w:val="center"/>
              <w:rPr>
                <w:rFonts w:ascii="宋体" w:hAnsi="宋体" w:cs="宋体"/>
                <w:sz w:val="24"/>
              </w:rPr>
            </w:pPr>
            <w:r>
              <w:rPr>
                <w:rFonts w:hint="eastAsia"/>
              </w:rPr>
              <w:t>25</w:t>
            </w:r>
          </w:p>
        </w:tc>
        <w:tc>
          <w:tcPr>
            <w:tcW w:w="931" w:type="dxa"/>
            <w:tcBorders>
              <w:top w:val="single" w:color="auto" w:sz="4" w:space="0"/>
              <w:left w:val="single" w:color="auto" w:sz="4" w:space="0"/>
              <w:bottom w:val="single" w:color="auto" w:sz="4" w:space="0"/>
              <w:right w:val="single" w:color="auto" w:sz="4" w:space="0"/>
            </w:tcBorders>
            <w:vAlign w:val="center"/>
          </w:tcPr>
          <w:p w14:paraId="5E806733">
            <w:pPr>
              <w:widowControl/>
              <w:jc w:val="center"/>
            </w:pPr>
            <w:r>
              <w:rPr>
                <w:rFonts w:hint="eastAsia"/>
                <w:lang w:bidi="ar"/>
              </w:rPr>
              <w:t>凉薯</w:t>
            </w:r>
          </w:p>
        </w:tc>
        <w:tc>
          <w:tcPr>
            <w:tcW w:w="745" w:type="dxa"/>
            <w:tcBorders>
              <w:top w:val="single" w:color="auto" w:sz="4" w:space="0"/>
              <w:left w:val="single" w:color="auto" w:sz="4" w:space="0"/>
              <w:bottom w:val="single" w:color="auto" w:sz="4" w:space="0"/>
              <w:right w:val="single" w:color="auto" w:sz="4" w:space="0"/>
            </w:tcBorders>
            <w:vAlign w:val="center"/>
          </w:tcPr>
          <w:p w14:paraId="248A8013">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7DB14993">
            <w:pPr>
              <w:widowControl/>
              <w:jc w:val="center"/>
            </w:pPr>
            <w:r>
              <w:rPr>
                <w:rFonts w:hint="eastAsia"/>
                <w:lang w:bidi="ar"/>
              </w:rPr>
              <w:t>1500.00</w:t>
            </w:r>
          </w:p>
        </w:tc>
        <w:tc>
          <w:tcPr>
            <w:tcW w:w="1125" w:type="dxa"/>
            <w:vMerge w:val="continue"/>
            <w:tcBorders>
              <w:left w:val="single" w:color="auto" w:sz="4" w:space="0"/>
              <w:right w:val="single" w:color="auto" w:sz="4" w:space="0"/>
            </w:tcBorders>
          </w:tcPr>
          <w:p w14:paraId="7AE5F42E"/>
        </w:tc>
        <w:tc>
          <w:tcPr>
            <w:tcW w:w="4588" w:type="dxa"/>
            <w:vMerge w:val="continue"/>
            <w:tcBorders>
              <w:left w:val="single" w:color="auto" w:sz="4" w:space="0"/>
              <w:right w:val="single" w:color="auto" w:sz="4" w:space="0"/>
            </w:tcBorders>
            <w:vAlign w:val="center"/>
          </w:tcPr>
          <w:p w14:paraId="348C76AC">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14:paraId="0E05C283">
            <w:pPr>
              <w:widowControl/>
              <w:jc w:val="center"/>
              <w:rPr>
                <w:lang w:bidi="ar"/>
              </w:rPr>
            </w:pPr>
            <w:r>
              <w:rPr>
                <w:rFonts w:hint="eastAsia"/>
                <w:lang w:bidi="ar"/>
              </w:rPr>
              <w:t xml:space="preserve">4.76 </w:t>
            </w:r>
          </w:p>
        </w:tc>
      </w:tr>
      <w:tr w14:paraId="08A53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14:paraId="4A3B9861">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8971E32">
            <w:pPr>
              <w:jc w:val="center"/>
              <w:rPr>
                <w:rFonts w:ascii="宋体" w:hAnsi="宋体" w:cs="宋体"/>
                <w:sz w:val="24"/>
              </w:rPr>
            </w:pPr>
            <w:r>
              <w:rPr>
                <w:rFonts w:hint="eastAsia"/>
              </w:rPr>
              <w:t>26</w:t>
            </w:r>
          </w:p>
        </w:tc>
        <w:tc>
          <w:tcPr>
            <w:tcW w:w="931" w:type="dxa"/>
            <w:tcBorders>
              <w:top w:val="single" w:color="auto" w:sz="4" w:space="0"/>
              <w:left w:val="single" w:color="auto" w:sz="4" w:space="0"/>
              <w:bottom w:val="single" w:color="auto" w:sz="4" w:space="0"/>
              <w:right w:val="single" w:color="auto" w:sz="4" w:space="0"/>
            </w:tcBorders>
            <w:vAlign w:val="center"/>
          </w:tcPr>
          <w:p w14:paraId="70254954">
            <w:pPr>
              <w:widowControl/>
              <w:jc w:val="center"/>
            </w:pPr>
            <w:r>
              <w:rPr>
                <w:rFonts w:hint="eastAsia"/>
                <w:lang w:bidi="ar"/>
              </w:rPr>
              <w:t>莲藕</w:t>
            </w:r>
          </w:p>
        </w:tc>
        <w:tc>
          <w:tcPr>
            <w:tcW w:w="745" w:type="dxa"/>
            <w:tcBorders>
              <w:top w:val="single" w:color="auto" w:sz="4" w:space="0"/>
              <w:left w:val="single" w:color="auto" w:sz="4" w:space="0"/>
              <w:bottom w:val="single" w:color="auto" w:sz="4" w:space="0"/>
              <w:right w:val="single" w:color="auto" w:sz="4" w:space="0"/>
            </w:tcBorders>
            <w:vAlign w:val="center"/>
          </w:tcPr>
          <w:p w14:paraId="04BBBABE">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2C2DC361">
            <w:pPr>
              <w:widowControl/>
              <w:jc w:val="center"/>
            </w:pPr>
            <w:r>
              <w:rPr>
                <w:rFonts w:hint="eastAsia"/>
                <w:lang w:bidi="ar"/>
              </w:rPr>
              <w:t>1000.00</w:t>
            </w:r>
          </w:p>
        </w:tc>
        <w:tc>
          <w:tcPr>
            <w:tcW w:w="1125" w:type="dxa"/>
            <w:vMerge w:val="continue"/>
            <w:tcBorders>
              <w:left w:val="single" w:color="auto" w:sz="4" w:space="0"/>
              <w:right w:val="single" w:color="auto" w:sz="4" w:space="0"/>
            </w:tcBorders>
          </w:tcPr>
          <w:p w14:paraId="0BB0A6DD"/>
        </w:tc>
        <w:tc>
          <w:tcPr>
            <w:tcW w:w="4588" w:type="dxa"/>
            <w:vMerge w:val="continue"/>
            <w:tcBorders>
              <w:left w:val="single" w:color="auto" w:sz="4" w:space="0"/>
              <w:right w:val="single" w:color="auto" w:sz="4" w:space="0"/>
            </w:tcBorders>
            <w:vAlign w:val="center"/>
          </w:tcPr>
          <w:p w14:paraId="72282BB6">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14:paraId="4AE3DEF5">
            <w:pPr>
              <w:widowControl/>
              <w:jc w:val="center"/>
              <w:rPr>
                <w:lang w:bidi="ar"/>
              </w:rPr>
            </w:pPr>
            <w:r>
              <w:rPr>
                <w:rFonts w:hint="eastAsia"/>
                <w:lang w:bidi="ar"/>
              </w:rPr>
              <w:t xml:space="preserve">9.00 </w:t>
            </w:r>
          </w:p>
        </w:tc>
      </w:tr>
      <w:tr w14:paraId="2DBBA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479" w:type="dxa"/>
            <w:vMerge w:val="continue"/>
            <w:tcBorders>
              <w:left w:val="single" w:color="auto" w:sz="4" w:space="0"/>
              <w:right w:val="single" w:color="auto" w:sz="4" w:space="0"/>
            </w:tcBorders>
            <w:vAlign w:val="center"/>
          </w:tcPr>
          <w:p w14:paraId="637B5C54">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2884887">
            <w:pPr>
              <w:jc w:val="center"/>
              <w:rPr>
                <w:rFonts w:ascii="宋体" w:hAnsi="宋体" w:cs="宋体"/>
                <w:sz w:val="24"/>
              </w:rPr>
            </w:pPr>
            <w:r>
              <w:rPr>
                <w:rFonts w:hint="eastAsia"/>
              </w:rPr>
              <w:t>27</w:t>
            </w:r>
          </w:p>
        </w:tc>
        <w:tc>
          <w:tcPr>
            <w:tcW w:w="931" w:type="dxa"/>
            <w:tcBorders>
              <w:top w:val="single" w:color="auto" w:sz="4" w:space="0"/>
              <w:left w:val="single" w:color="auto" w:sz="4" w:space="0"/>
              <w:bottom w:val="single" w:color="auto" w:sz="4" w:space="0"/>
              <w:right w:val="single" w:color="auto" w:sz="4" w:space="0"/>
            </w:tcBorders>
            <w:vAlign w:val="center"/>
          </w:tcPr>
          <w:p w14:paraId="51D252D1">
            <w:pPr>
              <w:widowControl/>
              <w:jc w:val="center"/>
            </w:pPr>
            <w:r>
              <w:rPr>
                <w:rFonts w:hint="eastAsia"/>
                <w:lang w:bidi="ar"/>
              </w:rPr>
              <w:t>韭菜</w:t>
            </w:r>
          </w:p>
        </w:tc>
        <w:tc>
          <w:tcPr>
            <w:tcW w:w="745" w:type="dxa"/>
            <w:tcBorders>
              <w:top w:val="single" w:color="auto" w:sz="4" w:space="0"/>
              <w:left w:val="single" w:color="auto" w:sz="4" w:space="0"/>
              <w:bottom w:val="single" w:color="auto" w:sz="4" w:space="0"/>
              <w:right w:val="single" w:color="auto" w:sz="4" w:space="0"/>
            </w:tcBorders>
            <w:vAlign w:val="center"/>
          </w:tcPr>
          <w:p w14:paraId="6F9B927A">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369C8C9D">
            <w:pPr>
              <w:widowControl/>
              <w:jc w:val="center"/>
            </w:pPr>
            <w:r>
              <w:rPr>
                <w:rFonts w:hint="eastAsia"/>
                <w:lang w:bidi="ar"/>
              </w:rPr>
              <w:t>2000.00</w:t>
            </w:r>
          </w:p>
        </w:tc>
        <w:tc>
          <w:tcPr>
            <w:tcW w:w="1125" w:type="dxa"/>
            <w:vMerge w:val="continue"/>
            <w:tcBorders>
              <w:left w:val="single" w:color="auto" w:sz="4" w:space="0"/>
              <w:right w:val="single" w:color="auto" w:sz="4" w:space="0"/>
            </w:tcBorders>
          </w:tcPr>
          <w:p w14:paraId="61F45FC8"/>
        </w:tc>
        <w:tc>
          <w:tcPr>
            <w:tcW w:w="4588" w:type="dxa"/>
            <w:vMerge w:val="continue"/>
            <w:tcBorders>
              <w:left w:val="single" w:color="auto" w:sz="4" w:space="0"/>
              <w:right w:val="single" w:color="auto" w:sz="4" w:space="0"/>
            </w:tcBorders>
            <w:vAlign w:val="center"/>
          </w:tcPr>
          <w:p w14:paraId="1F3FF9F3">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14:paraId="5A0E6F42">
            <w:pPr>
              <w:widowControl/>
              <w:jc w:val="center"/>
              <w:rPr>
                <w:lang w:bidi="ar"/>
              </w:rPr>
            </w:pPr>
            <w:r>
              <w:rPr>
                <w:rFonts w:hint="eastAsia"/>
                <w:lang w:bidi="ar"/>
              </w:rPr>
              <w:t xml:space="preserve">9.00 </w:t>
            </w:r>
          </w:p>
        </w:tc>
      </w:tr>
      <w:tr w14:paraId="7D39C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14:paraId="28B012D9">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9F48DB9">
            <w:pPr>
              <w:jc w:val="center"/>
              <w:rPr>
                <w:rFonts w:ascii="宋体" w:hAnsi="宋体" w:cs="宋体"/>
                <w:sz w:val="24"/>
              </w:rPr>
            </w:pPr>
            <w:r>
              <w:rPr>
                <w:rFonts w:hint="eastAsia"/>
              </w:rPr>
              <w:t>28</w:t>
            </w:r>
          </w:p>
        </w:tc>
        <w:tc>
          <w:tcPr>
            <w:tcW w:w="931" w:type="dxa"/>
            <w:tcBorders>
              <w:top w:val="single" w:color="auto" w:sz="4" w:space="0"/>
              <w:left w:val="single" w:color="auto" w:sz="4" w:space="0"/>
              <w:bottom w:val="single" w:color="auto" w:sz="4" w:space="0"/>
              <w:right w:val="single" w:color="auto" w:sz="4" w:space="0"/>
            </w:tcBorders>
            <w:vAlign w:val="center"/>
          </w:tcPr>
          <w:p w14:paraId="3A9E0478">
            <w:pPr>
              <w:widowControl/>
              <w:jc w:val="center"/>
            </w:pPr>
            <w:r>
              <w:rPr>
                <w:rFonts w:hint="eastAsia"/>
                <w:lang w:bidi="ar"/>
              </w:rPr>
              <w:t>青辣椒</w:t>
            </w:r>
          </w:p>
        </w:tc>
        <w:tc>
          <w:tcPr>
            <w:tcW w:w="745" w:type="dxa"/>
            <w:tcBorders>
              <w:top w:val="single" w:color="auto" w:sz="4" w:space="0"/>
              <w:left w:val="single" w:color="auto" w:sz="4" w:space="0"/>
              <w:bottom w:val="single" w:color="auto" w:sz="4" w:space="0"/>
              <w:right w:val="single" w:color="auto" w:sz="4" w:space="0"/>
            </w:tcBorders>
            <w:vAlign w:val="center"/>
          </w:tcPr>
          <w:p w14:paraId="4E7AA2B4">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48336E6B">
            <w:pPr>
              <w:widowControl/>
              <w:jc w:val="center"/>
            </w:pPr>
            <w:r>
              <w:rPr>
                <w:rFonts w:hint="eastAsia"/>
                <w:lang w:bidi="ar"/>
              </w:rPr>
              <w:t>3000.00</w:t>
            </w:r>
          </w:p>
        </w:tc>
        <w:tc>
          <w:tcPr>
            <w:tcW w:w="1125" w:type="dxa"/>
            <w:vMerge w:val="continue"/>
            <w:tcBorders>
              <w:left w:val="single" w:color="auto" w:sz="4" w:space="0"/>
              <w:right w:val="single" w:color="auto" w:sz="4" w:space="0"/>
            </w:tcBorders>
          </w:tcPr>
          <w:p w14:paraId="244E0923"/>
        </w:tc>
        <w:tc>
          <w:tcPr>
            <w:tcW w:w="4588" w:type="dxa"/>
            <w:vMerge w:val="continue"/>
            <w:tcBorders>
              <w:left w:val="single" w:color="auto" w:sz="4" w:space="0"/>
              <w:right w:val="single" w:color="auto" w:sz="4" w:space="0"/>
            </w:tcBorders>
            <w:vAlign w:val="center"/>
          </w:tcPr>
          <w:p w14:paraId="5326277C">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14:paraId="64B25472">
            <w:pPr>
              <w:widowControl/>
              <w:jc w:val="center"/>
              <w:rPr>
                <w:lang w:bidi="ar"/>
              </w:rPr>
            </w:pPr>
            <w:r>
              <w:rPr>
                <w:rFonts w:hint="eastAsia"/>
                <w:lang w:bidi="ar"/>
              </w:rPr>
              <w:t xml:space="preserve">5.60 </w:t>
            </w:r>
          </w:p>
        </w:tc>
      </w:tr>
      <w:tr w14:paraId="0CB3C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14:paraId="0DA4D36F">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97E7A17">
            <w:pPr>
              <w:jc w:val="center"/>
              <w:rPr>
                <w:rFonts w:ascii="宋体" w:hAnsi="宋体" w:cs="宋体"/>
                <w:sz w:val="24"/>
              </w:rPr>
            </w:pPr>
            <w:r>
              <w:rPr>
                <w:rFonts w:hint="eastAsia"/>
              </w:rPr>
              <w:t>29</w:t>
            </w:r>
          </w:p>
        </w:tc>
        <w:tc>
          <w:tcPr>
            <w:tcW w:w="931" w:type="dxa"/>
            <w:tcBorders>
              <w:top w:val="single" w:color="auto" w:sz="4" w:space="0"/>
              <w:left w:val="single" w:color="auto" w:sz="4" w:space="0"/>
              <w:bottom w:val="single" w:color="auto" w:sz="4" w:space="0"/>
              <w:right w:val="single" w:color="auto" w:sz="4" w:space="0"/>
            </w:tcBorders>
            <w:vAlign w:val="center"/>
          </w:tcPr>
          <w:p w14:paraId="30B9EEA2">
            <w:pPr>
              <w:widowControl/>
              <w:jc w:val="center"/>
            </w:pPr>
            <w:r>
              <w:rPr>
                <w:rFonts w:hint="eastAsia"/>
                <w:lang w:bidi="ar"/>
              </w:rPr>
              <w:t>生  姜</w:t>
            </w:r>
          </w:p>
        </w:tc>
        <w:tc>
          <w:tcPr>
            <w:tcW w:w="745" w:type="dxa"/>
            <w:tcBorders>
              <w:top w:val="single" w:color="auto" w:sz="4" w:space="0"/>
              <w:left w:val="single" w:color="auto" w:sz="4" w:space="0"/>
              <w:bottom w:val="single" w:color="auto" w:sz="4" w:space="0"/>
              <w:right w:val="single" w:color="auto" w:sz="4" w:space="0"/>
            </w:tcBorders>
            <w:vAlign w:val="center"/>
          </w:tcPr>
          <w:p w14:paraId="681825E6">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3719C22D">
            <w:pPr>
              <w:widowControl/>
              <w:jc w:val="center"/>
            </w:pPr>
            <w:r>
              <w:rPr>
                <w:rFonts w:hint="eastAsia"/>
                <w:lang w:bidi="ar"/>
              </w:rPr>
              <w:t>5000.00</w:t>
            </w:r>
          </w:p>
        </w:tc>
        <w:tc>
          <w:tcPr>
            <w:tcW w:w="1125" w:type="dxa"/>
            <w:vMerge w:val="continue"/>
            <w:tcBorders>
              <w:left w:val="single" w:color="auto" w:sz="4" w:space="0"/>
              <w:right w:val="single" w:color="auto" w:sz="4" w:space="0"/>
            </w:tcBorders>
          </w:tcPr>
          <w:p w14:paraId="0EC4E76F"/>
        </w:tc>
        <w:tc>
          <w:tcPr>
            <w:tcW w:w="4588" w:type="dxa"/>
            <w:vMerge w:val="continue"/>
            <w:tcBorders>
              <w:left w:val="single" w:color="auto" w:sz="4" w:space="0"/>
              <w:right w:val="single" w:color="auto" w:sz="4" w:space="0"/>
            </w:tcBorders>
            <w:vAlign w:val="center"/>
          </w:tcPr>
          <w:p w14:paraId="3C9A38CA">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14:paraId="098E3A83">
            <w:pPr>
              <w:widowControl/>
              <w:jc w:val="center"/>
              <w:rPr>
                <w:lang w:bidi="ar"/>
              </w:rPr>
            </w:pPr>
            <w:r>
              <w:rPr>
                <w:rFonts w:hint="eastAsia"/>
                <w:lang w:bidi="ar"/>
              </w:rPr>
              <w:t xml:space="preserve">11.00 </w:t>
            </w:r>
          </w:p>
        </w:tc>
      </w:tr>
      <w:tr w14:paraId="41A33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14:paraId="304874D0">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AC96BDF">
            <w:pPr>
              <w:jc w:val="center"/>
              <w:rPr>
                <w:rFonts w:ascii="宋体" w:hAnsi="宋体" w:cs="宋体"/>
                <w:sz w:val="24"/>
              </w:rPr>
            </w:pPr>
            <w:r>
              <w:rPr>
                <w:rFonts w:hint="eastAsia"/>
              </w:rPr>
              <w:t>30</w:t>
            </w:r>
          </w:p>
        </w:tc>
        <w:tc>
          <w:tcPr>
            <w:tcW w:w="931" w:type="dxa"/>
            <w:tcBorders>
              <w:top w:val="single" w:color="auto" w:sz="4" w:space="0"/>
              <w:left w:val="single" w:color="auto" w:sz="4" w:space="0"/>
              <w:bottom w:val="single" w:color="auto" w:sz="4" w:space="0"/>
              <w:right w:val="single" w:color="auto" w:sz="4" w:space="0"/>
            </w:tcBorders>
            <w:vAlign w:val="center"/>
          </w:tcPr>
          <w:p w14:paraId="18BC8F8E">
            <w:pPr>
              <w:widowControl/>
              <w:jc w:val="center"/>
            </w:pPr>
            <w:r>
              <w:rPr>
                <w:rFonts w:hint="eastAsia"/>
                <w:lang w:bidi="ar"/>
              </w:rPr>
              <w:t>葱花</w:t>
            </w:r>
          </w:p>
        </w:tc>
        <w:tc>
          <w:tcPr>
            <w:tcW w:w="745" w:type="dxa"/>
            <w:tcBorders>
              <w:top w:val="single" w:color="auto" w:sz="4" w:space="0"/>
              <w:left w:val="single" w:color="auto" w:sz="4" w:space="0"/>
              <w:bottom w:val="single" w:color="auto" w:sz="4" w:space="0"/>
              <w:right w:val="single" w:color="auto" w:sz="4" w:space="0"/>
            </w:tcBorders>
            <w:vAlign w:val="center"/>
          </w:tcPr>
          <w:p w14:paraId="74A65F23">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227BBBB2">
            <w:pPr>
              <w:widowControl/>
              <w:jc w:val="center"/>
            </w:pPr>
            <w:r>
              <w:rPr>
                <w:rFonts w:hint="eastAsia"/>
                <w:lang w:bidi="ar"/>
              </w:rPr>
              <w:t>1500.00</w:t>
            </w:r>
          </w:p>
        </w:tc>
        <w:tc>
          <w:tcPr>
            <w:tcW w:w="1125" w:type="dxa"/>
            <w:vMerge w:val="continue"/>
            <w:tcBorders>
              <w:left w:val="single" w:color="auto" w:sz="4" w:space="0"/>
              <w:right w:val="single" w:color="auto" w:sz="4" w:space="0"/>
            </w:tcBorders>
          </w:tcPr>
          <w:p w14:paraId="2C0CA20F"/>
        </w:tc>
        <w:tc>
          <w:tcPr>
            <w:tcW w:w="4588" w:type="dxa"/>
            <w:vMerge w:val="continue"/>
            <w:tcBorders>
              <w:left w:val="single" w:color="auto" w:sz="4" w:space="0"/>
              <w:right w:val="single" w:color="auto" w:sz="4" w:space="0"/>
            </w:tcBorders>
            <w:vAlign w:val="center"/>
          </w:tcPr>
          <w:p w14:paraId="2078821E">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14:paraId="1EC57334">
            <w:pPr>
              <w:widowControl/>
              <w:jc w:val="center"/>
              <w:rPr>
                <w:lang w:bidi="ar"/>
              </w:rPr>
            </w:pPr>
            <w:r>
              <w:rPr>
                <w:rFonts w:hint="eastAsia"/>
                <w:lang w:bidi="ar"/>
              </w:rPr>
              <w:t xml:space="preserve">9.00 </w:t>
            </w:r>
          </w:p>
        </w:tc>
      </w:tr>
      <w:tr w14:paraId="14B986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14:paraId="41016602">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38F868F">
            <w:pPr>
              <w:jc w:val="center"/>
              <w:rPr>
                <w:rFonts w:ascii="宋体" w:hAnsi="宋体" w:cs="宋体"/>
                <w:sz w:val="24"/>
              </w:rPr>
            </w:pPr>
            <w:r>
              <w:rPr>
                <w:rFonts w:hint="eastAsia"/>
              </w:rPr>
              <w:t>31</w:t>
            </w:r>
          </w:p>
        </w:tc>
        <w:tc>
          <w:tcPr>
            <w:tcW w:w="931" w:type="dxa"/>
            <w:tcBorders>
              <w:top w:val="single" w:color="auto" w:sz="4" w:space="0"/>
              <w:left w:val="single" w:color="auto" w:sz="4" w:space="0"/>
              <w:bottom w:val="single" w:color="auto" w:sz="4" w:space="0"/>
              <w:right w:val="single" w:color="auto" w:sz="4" w:space="0"/>
            </w:tcBorders>
            <w:vAlign w:val="center"/>
          </w:tcPr>
          <w:p w14:paraId="0E0B801D">
            <w:pPr>
              <w:widowControl/>
              <w:jc w:val="center"/>
            </w:pPr>
            <w:r>
              <w:rPr>
                <w:rFonts w:hint="eastAsia"/>
                <w:lang w:bidi="ar"/>
              </w:rPr>
              <w:t>大蒜苗</w:t>
            </w:r>
          </w:p>
        </w:tc>
        <w:tc>
          <w:tcPr>
            <w:tcW w:w="745" w:type="dxa"/>
            <w:tcBorders>
              <w:top w:val="single" w:color="auto" w:sz="4" w:space="0"/>
              <w:left w:val="single" w:color="auto" w:sz="4" w:space="0"/>
              <w:bottom w:val="single" w:color="auto" w:sz="4" w:space="0"/>
              <w:right w:val="single" w:color="auto" w:sz="4" w:space="0"/>
            </w:tcBorders>
            <w:vAlign w:val="center"/>
          </w:tcPr>
          <w:p w14:paraId="55863D6D">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75D2456B">
            <w:pPr>
              <w:widowControl/>
              <w:jc w:val="center"/>
            </w:pPr>
            <w:r>
              <w:rPr>
                <w:rFonts w:hint="eastAsia"/>
                <w:lang w:bidi="ar"/>
              </w:rPr>
              <w:t>5000.00</w:t>
            </w:r>
          </w:p>
        </w:tc>
        <w:tc>
          <w:tcPr>
            <w:tcW w:w="1125" w:type="dxa"/>
            <w:vMerge w:val="continue"/>
            <w:tcBorders>
              <w:left w:val="single" w:color="auto" w:sz="4" w:space="0"/>
              <w:right w:val="single" w:color="auto" w:sz="4" w:space="0"/>
            </w:tcBorders>
          </w:tcPr>
          <w:p w14:paraId="087D2EDA"/>
        </w:tc>
        <w:tc>
          <w:tcPr>
            <w:tcW w:w="4588" w:type="dxa"/>
            <w:vMerge w:val="continue"/>
            <w:tcBorders>
              <w:left w:val="single" w:color="auto" w:sz="4" w:space="0"/>
              <w:right w:val="single" w:color="auto" w:sz="4" w:space="0"/>
            </w:tcBorders>
            <w:vAlign w:val="center"/>
          </w:tcPr>
          <w:p w14:paraId="4E907E09">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14:paraId="7C0845FC">
            <w:pPr>
              <w:widowControl/>
              <w:jc w:val="center"/>
              <w:rPr>
                <w:lang w:bidi="ar"/>
              </w:rPr>
            </w:pPr>
            <w:r>
              <w:rPr>
                <w:rFonts w:hint="eastAsia"/>
                <w:lang w:bidi="ar"/>
              </w:rPr>
              <w:t xml:space="preserve">9.00 </w:t>
            </w:r>
          </w:p>
        </w:tc>
      </w:tr>
      <w:tr w14:paraId="1D27F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14:paraId="5E99C563">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A427F8D">
            <w:pPr>
              <w:jc w:val="center"/>
              <w:rPr>
                <w:rFonts w:ascii="宋体" w:hAnsi="宋体" w:cs="宋体"/>
                <w:sz w:val="24"/>
              </w:rPr>
            </w:pPr>
            <w:r>
              <w:rPr>
                <w:rFonts w:hint="eastAsia"/>
              </w:rPr>
              <w:t>32</w:t>
            </w:r>
          </w:p>
        </w:tc>
        <w:tc>
          <w:tcPr>
            <w:tcW w:w="931" w:type="dxa"/>
            <w:tcBorders>
              <w:top w:val="single" w:color="auto" w:sz="4" w:space="0"/>
              <w:left w:val="single" w:color="auto" w:sz="4" w:space="0"/>
              <w:bottom w:val="single" w:color="auto" w:sz="4" w:space="0"/>
              <w:right w:val="single" w:color="auto" w:sz="4" w:space="0"/>
            </w:tcBorders>
            <w:vAlign w:val="center"/>
          </w:tcPr>
          <w:p w14:paraId="6324CA1C">
            <w:pPr>
              <w:widowControl/>
              <w:jc w:val="center"/>
            </w:pPr>
            <w:r>
              <w:rPr>
                <w:rFonts w:hint="eastAsia"/>
                <w:lang w:bidi="ar"/>
              </w:rPr>
              <w:t>萝卜干</w:t>
            </w:r>
          </w:p>
        </w:tc>
        <w:tc>
          <w:tcPr>
            <w:tcW w:w="745" w:type="dxa"/>
            <w:tcBorders>
              <w:top w:val="single" w:color="auto" w:sz="4" w:space="0"/>
              <w:left w:val="single" w:color="auto" w:sz="4" w:space="0"/>
              <w:bottom w:val="single" w:color="auto" w:sz="4" w:space="0"/>
              <w:right w:val="single" w:color="auto" w:sz="4" w:space="0"/>
            </w:tcBorders>
            <w:vAlign w:val="center"/>
          </w:tcPr>
          <w:p w14:paraId="359EDDC1">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6DEDBA4A">
            <w:pPr>
              <w:widowControl/>
              <w:jc w:val="center"/>
            </w:pPr>
            <w:r>
              <w:rPr>
                <w:rFonts w:hint="eastAsia"/>
                <w:lang w:bidi="ar"/>
              </w:rPr>
              <w:t>3000.00</w:t>
            </w:r>
          </w:p>
        </w:tc>
        <w:tc>
          <w:tcPr>
            <w:tcW w:w="1125" w:type="dxa"/>
            <w:vMerge w:val="continue"/>
            <w:tcBorders>
              <w:left w:val="single" w:color="auto" w:sz="4" w:space="0"/>
              <w:right w:val="single" w:color="auto" w:sz="4" w:space="0"/>
            </w:tcBorders>
          </w:tcPr>
          <w:p w14:paraId="0B38B2B8"/>
        </w:tc>
        <w:tc>
          <w:tcPr>
            <w:tcW w:w="4588" w:type="dxa"/>
            <w:vMerge w:val="continue"/>
            <w:tcBorders>
              <w:left w:val="single" w:color="auto" w:sz="4" w:space="0"/>
              <w:right w:val="single" w:color="auto" w:sz="4" w:space="0"/>
            </w:tcBorders>
            <w:vAlign w:val="center"/>
          </w:tcPr>
          <w:p w14:paraId="4C6A222C">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14:paraId="38B83323">
            <w:pPr>
              <w:widowControl/>
              <w:jc w:val="center"/>
              <w:rPr>
                <w:lang w:bidi="ar"/>
              </w:rPr>
            </w:pPr>
            <w:r>
              <w:rPr>
                <w:rFonts w:hint="eastAsia"/>
                <w:lang w:bidi="ar"/>
              </w:rPr>
              <w:t xml:space="preserve">15.00 </w:t>
            </w:r>
          </w:p>
        </w:tc>
      </w:tr>
      <w:tr w14:paraId="0FC643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14:paraId="27D41672">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639F485">
            <w:pPr>
              <w:jc w:val="center"/>
              <w:rPr>
                <w:rFonts w:ascii="宋体" w:hAnsi="宋体" w:cs="宋体"/>
                <w:sz w:val="24"/>
              </w:rPr>
            </w:pPr>
            <w:r>
              <w:rPr>
                <w:rFonts w:hint="eastAsia"/>
              </w:rPr>
              <w:t>33</w:t>
            </w:r>
          </w:p>
        </w:tc>
        <w:tc>
          <w:tcPr>
            <w:tcW w:w="931" w:type="dxa"/>
            <w:tcBorders>
              <w:top w:val="single" w:color="auto" w:sz="4" w:space="0"/>
              <w:left w:val="single" w:color="auto" w:sz="4" w:space="0"/>
              <w:bottom w:val="single" w:color="auto" w:sz="4" w:space="0"/>
              <w:right w:val="single" w:color="auto" w:sz="4" w:space="0"/>
            </w:tcBorders>
            <w:vAlign w:val="center"/>
          </w:tcPr>
          <w:p w14:paraId="5832BEAA">
            <w:pPr>
              <w:widowControl/>
              <w:jc w:val="center"/>
            </w:pPr>
            <w:r>
              <w:rPr>
                <w:rFonts w:hint="eastAsia"/>
                <w:lang w:bidi="ar"/>
              </w:rPr>
              <w:t>小红椒</w:t>
            </w:r>
          </w:p>
        </w:tc>
        <w:tc>
          <w:tcPr>
            <w:tcW w:w="745" w:type="dxa"/>
            <w:tcBorders>
              <w:top w:val="single" w:color="auto" w:sz="4" w:space="0"/>
              <w:left w:val="single" w:color="auto" w:sz="4" w:space="0"/>
              <w:bottom w:val="single" w:color="auto" w:sz="4" w:space="0"/>
              <w:right w:val="single" w:color="auto" w:sz="4" w:space="0"/>
            </w:tcBorders>
            <w:vAlign w:val="center"/>
          </w:tcPr>
          <w:p w14:paraId="79599FDA">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5D125BAA">
            <w:pPr>
              <w:widowControl/>
              <w:jc w:val="center"/>
            </w:pPr>
            <w:r>
              <w:rPr>
                <w:rFonts w:hint="eastAsia"/>
                <w:lang w:bidi="ar"/>
              </w:rPr>
              <w:t>1500.00</w:t>
            </w:r>
          </w:p>
        </w:tc>
        <w:tc>
          <w:tcPr>
            <w:tcW w:w="1125" w:type="dxa"/>
            <w:vMerge w:val="continue"/>
            <w:tcBorders>
              <w:left w:val="single" w:color="auto" w:sz="4" w:space="0"/>
              <w:right w:val="single" w:color="auto" w:sz="4" w:space="0"/>
            </w:tcBorders>
          </w:tcPr>
          <w:p w14:paraId="29EE86CD"/>
        </w:tc>
        <w:tc>
          <w:tcPr>
            <w:tcW w:w="4588" w:type="dxa"/>
            <w:vMerge w:val="continue"/>
            <w:tcBorders>
              <w:left w:val="single" w:color="auto" w:sz="4" w:space="0"/>
              <w:right w:val="single" w:color="auto" w:sz="4" w:space="0"/>
            </w:tcBorders>
            <w:vAlign w:val="center"/>
          </w:tcPr>
          <w:p w14:paraId="59C474BE">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14:paraId="6FDE27EF">
            <w:pPr>
              <w:widowControl/>
              <w:jc w:val="center"/>
              <w:rPr>
                <w:lang w:bidi="ar"/>
              </w:rPr>
            </w:pPr>
            <w:r>
              <w:rPr>
                <w:rFonts w:hint="eastAsia"/>
                <w:lang w:bidi="ar"/>
              </w:rPr>
              <w:t xml:space="preserve">14.00 </w:t>
            </w:r>
          </w:p>
        </w:tc>
      </w:tr>
      <w:tr w14:paraId="416D25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14:paraId="54B1E27B">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3D2E50A">
            <w:pPr>
              <w:jc w:val="center"/>
              <w:rPr>
                <w:rFonts w:ascii="宋体" w:hAnsi="宋体" w:cs="宋体"/>
                <w:sz w:val="24"/>
              </w:rPr>
            </w:pPr>
            <w:r>
              <w:rPr>
                <w:rFonts w:hint="eastAsia"/>
              </w:rPr>
              <w:t>34</w:t>
            </w:r>
          </w:p>
        </w:tc>
        <w:tc>
          <w:tcPr>
            <w:tcW w:w="931" w:type="dxa"/>
            <w:tcBorders>
              <w:top w:val="single" w:color="auto" w:sz="4" w:space="0"/>
              <w:left w:val="single" w:color="auto" w:sz="4" w:space="0"/>
              <w:bottom w:val="single" w:color="auto" w:sz="4" w:space="0"/>
              <w:right w:val="single" w:color="auto" w:sz="4" w:space="0"/>
            </w:tcBorders>
            <w:vAlign w:val="center"/>
          </w:tcPr>
          <w:p w14:paraId="1FF7DD73">
            <w:pPr>
              <w:widowControl/>
              <w:jc w:val="center"/>
            </w:pPr>
            <w:r>
              <w:rPr>
                <w:rFonts w:hint="eastAsia"/>
                <w:lang w:bidi="ar"/>
              </w:rPr>
              <w:t>酸菜</w:t>
            </w:r>
          </w:p>
        </w:tc>
        <w:tc>
          <w:tcPr>
            <w:tcW w:w="745" w:type="dxa"/>
            <w:tcBorders>
              <w:top w:val="single" w:color="auto" w:sz="4" w:space="0"/>
              <w:left w:val="single" w:color="auto" w:sz="4" w:space="0"/>
              <w:bottom w:val="single" w:color="auto" w:sz="4" w:space="0"/>
              <w:right w:val="single" w:color="auto" w:sz="4" w:space="0"/>
            </w:tcBorders>
            <w:vAlign w:val="center"/>
          </w:tcPr>
          <w:p w14:paraId="43C805AF">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0302E26A">
            <w:pPr>
              <w:widowControl/>
              <w:jc w:val="center"/>
            </w:pPr>
            <w:r>
              <w:rPr>
                <w:rFonts w:hint="eastAsia"/>
                <w:lang w:bidi="ar"/>
              </w:rPr>
              <w:t>1500.00</w:t>
            </w:r>
          </w:p>
        </w:tc>
        <w:tc>
          <w:tcPr>
            <w:tcW w:w="1125" w:type="dxa"/>
            <w:vMerge w:val="continue"/>
            <w:tcBorders>
              <w:left w:val="single" w:color="auto" w:sz="4" w:space="0"/>
              <w:right w:val="single" w:color="auto" w:sz="4" w:space="0"/>
            </w:tcBorders>
          </w:tcPr>
          <w:p w14:paraId="1039601A"/>
        </w:tc>
        <w:tc>
          <w:tcPr>
            <w:tcW w:w="4588" w:type="dxa"/>
            <w:vMerge w:val="continue"/>
            <w:tcBorders>
              <w:left w:val="single" w:color="auto" w:sz="4" w:space="0"/>
              <w:right w:val="single" w:color="auto" w:sz="4" w:space="0"/>
            </w:tcBorders>
            <w:vAlign w:val="center"/>
          </w:tcPr>
          <w:p w14:paraId="392358F6">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14:paraId="64AF86FF">
            <w:pPr>
              <w:widowControl/>
              <w:jc w:val="center"/>
              <w:rPr>
                <w:lang w:bidi="ar"/>
              </w:rPr>
            </w:pPr>
            <w:r>
              <w:rPr>
                <w:rFonts w:hint="eastAsia"/>
                <w:lang w:bidi="ar"/>
              </w:rPr>
              <w:t xml:space="preserve">8.40 </w:t>
            </w:r>
          </w:p>
        </w:tc>
      </w:tr>
      <w:tr w14:paraId="191E2B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14:paraId="10ECCCEB">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7401270">
            <w:pPr>
              <w:jc w:val="center"/>
              <w:rPr>
                <w:rFonts w:ascii="宋体" w:hAnsi="宋体" w:cs="宋体"/>
                <w:sz w:val="24"/>
              </w:rPr>
            </w:pPr>
            <w:r>
              <w:rPr>
                <w:rFonts w:hint="eastAsia"/>
              </w:rPr>
              <w:t>35</w:t>
            </w:r>
          </w:p>
        </w:tc>
        <w:tc>
          <w:tcPr>
            <w:tcW w:w="931" w:type="dxa"/>
            <w:tcBorders>
              <w:top w:val="single" w:color="auto" w:sz="4" w:space="0"/>
              <w:left w:val="single" w:color="auto" w:sz="4" w:space="0"/>
              <w:bottom w:val="single" w:color="auto" w:sz="4" w:space="0"/>
              <w:right w:val="single" w:color="auto" w:sz="4" w:space="0"/>
            </w:tcBorders>
            <w:vAlign w:val="center"/>
          </w:tcPr>
          <w:p w14:paraId="18D8B13D">
            <w:pPr>
              <w:widowControl/>
              <w:jc w:val="center"/>
            </w:pPr>
            <w:r>
              <w:rPr>
                <w:rFonts w:hint="eastAsia"/>
                <w:lang w:bidi="ar"/>
              </w:rPr>
              <w:t>酸笋</w:t>
            </w:r>
          </w:p>
        </w:tc>
        <w:tc>
          <w:tcPr>
            <w:tcW w:w="745" w:type="dxa"/>
            <w:tcBorders>
              <w:top w:val="single" w:color="auto" w:sz="4" w:space="0"/>
              <w:left w:val="single" w:color="auto" w:sz="4" w:space="0"/>
              <w:bottom w:val="single" w:color="auto" w:sz="4" w:space="0"/>
              <w:right w:val="single" w:color="auto" w:sz="4" w:space="0"/>
            </w:tcBorders>
            <w:vAlign w:val="center"/>
          </w:tcPr>
          <w:p w14:paraId="27E0C742">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60F453E0">
            <w:pPr>
              <w:widowControl/>
              <w:jc w:val="center"/>
            </w:pPr>
            <w:r>
              <w:rPr>
                <w:rFonts w:hint="eastAsia"/>
                <w:lang w:bidi="ar"/>
              </w:rPr>
              <w:t>1500.00</w:t>
            </w:r>
          </w:p>
        </w:tc>
        <w:tc>
          <w:tcPr>
            <w:tcW w:w="1125" w:type="dxa"/>
            <w:vMerge w:val="continue"/>
            <w:tcBorders>
              <w:left w:val="single" w:color="auto" w:sz="4" w:space="0"/>
              <w:right w:val="single" w:color="auto" w:sz="4" w:space="0"/>
            </w:tcBorders>
          </w:tcPr>
          <w:p w14:paraId="22BD7DB9"/>
        </w:tc>
        <w:tc>
          <w:tcPr>
            <w:tcW w:w="4588" w:type="dxa"/>
            <w:vMerge w:val="continue"/>
            <w:tcBorders>
              <w:left w:val="single" w:color="auto" w:sz="4" w:space="0"/>
              <w:right w:val="single" w:color="auto" w:sz="4" w:space="0"/>
            </w:tcBorders>
            <w:vAlign w:val="center"/>
          </w:tcPr>
          <w:p w14:paraId="214B205D">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14:paraId="5F854959">
            <w:pPr>
              <w:widowControl/>
              <w:jc w:val="center"/>
              <w:rPr>
                <w:lang w:bidi="ar"/>
              </w:rPr>
            </w:pPr>
            <w:r>
              <w:rPr>
                <w:rFonts w:hint="eastAsia"/>
                <w:lang w:bidi="ar"/>
              </w:rPr>
              <w:t xml:space="preserve">9.00 </w:t>
            </w:r>
          </w:p>
        </w:tc>
      </w:tr>
      <w:tr w14:paraId="29159D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14:paraId="4823E9BC">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60ECC15">
            <w:pPr>
              <w:jc w:val="center"/>
              <w:rPr>
                <w:rFonts w:ascii="宋体" w:hAnsi="宋体" w:cs="宋体"/>
                <w:sz w:val="24"/>
              </w:rPr>
            </w:pPr>
            <w:r>
              <w:rPr>
                <w:rFonts w:hint="eastAsia"/>
              </w:rPr>
              <w:t>36</w:t>
            </w:r>
          </w:p>
        </w:tc>
        <w:tc>
          <w:tcPr>
            <w:tcW w:w="931" w:type="dxa"/>
            <w:tcBorders>
              <w:top w:val="single" w:color="auto" w:sz="4" w:space="0"/>
              <w:left w:val="single" w:color="auto" w:sz="4" w:space="0"/>
              <w:bottom w:val="single" w:color="auto" w:sz="4" w:space="0"/>
              <w:right w:val="single" w:color="auto" w:sz="4" w:space="0"/>
            </w:tcBorders>
            <w:vAlign w:val="center"/>
          </w:tcPr>
          <w:p w14:paraId="24FC2727">
            <w:pPr>
              <w:widowControl/>
              <w:jc w:val="center"/>
            </w:pPr>
            <w:r>
              <w:rPr>
                <w:rFonts w:hint="eastAsia"/>
                <w:lang w:bidi="ar"/>
              </w:rPr>
              <w:t>酸豆角</w:t>
            </w:r>
          </w:p>
        </w:tc>
        <w:tc>
          <w:tcPr>
            <w:tcW w:w="745" w:type="dxa"/>
            <w:tcBorders>
              <w:top w:val="single" w:color="auto" w:sz="4" w:space="0"/>
              <w:left w:val="single" w:color="auto" w:sz="4" w:space="0"/>
              <w:bottom w:val="single" w:color="auto" w:sz="4" w:space="0"/>
              <w:right w:val="single" w:color="auto" w:sz="4" w:space="0"/>
            </w:tcBorders>
            <w:vAlign w:val="center"/>
          </w:tcPr>
          <w:p w14:paraId="15DBA3B5">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2323ECBF">
            <w:pPr>
              <w:widowControl/>
              <w:jc w:val="center"/>
            </w:pPr>
            <w:r>
              <w:rPr>
                <w:rFonts w:hint="eastAsia"/>
                <w:lang w:bidi="ar"/>
              </w:rPr>
              <w:t>1500.00</w:t>
            </w:r>
          </w:p>
        </w:tc>
        <w:tc>
          <w:tcPr>
            <w:tcW w:w="1125" w:type="dxa"/>
            <w:vMerge w:val="continue"/>
            <w:tcBorders>
              <w:left w:val="single" w:color="auto" w:sz="4" w:space="0"/>
              <w:right w:val="single" w:color="auto" w:sz="4" w:space="0"/>
            </w:tcBorders>
          </w:tcPr>
          <w:p w14:paraId="50098FED"/>
        </w:tc>
        <w:tc>
          <w:tcPr>
            <w:tcW w:w="4588" w:type="dxa"/>
            <w:vMerge w:val="continue"/>
            <w:tcBorders>
              <w:left w:val="single" w:color="auto" w:sz="4" w:space="0"/>
              <w:right w:val="single" w:color="auto" w:sz="4" w:space="0"/>
            </w:tcBorders>
            <w:vAlign w:val="center"/>
          </w:tcPr>
          <w:p w14:paraId="07924595">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14:paraId="0DD04E1E">
            <w:pPr>
              <w:widowControl/>
              <w:jc w:val="center"/>
              <w:rPr>
                <w:lang w:bidi="ar"/>
              </w:rPr>
            </w:pPr>
            <w:r>
              <w:rPr>
                <w:rFonts w:hint="eastAsia"/>
                <w:lang w:bidi="ar"/>
              </w:rPr>
              <w:t xml:space="preserve">8.00 </w:t>
            </w:r>
          </w:p>
        </w:tc>
      </w:tr>
      <w:tr w14:paraId="4BB50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14:paraId="03F46347">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0365F4C">
            <w:pPr>
              <w:jc w:val="center"/>
              <w:rPr>
                <w:rFonts w:ascii="宋体" w:hAnsi="宋体" w:cs="宋体"/>
                <w:sz w:val="24"/>
              </w:rPr>
            </w:pPr>
            <w:r>
              <w:rPr>
                <w:rFonts w:hint="eastAsia"/>
              </w:rPr>
              <w:t>37</w:t>
            </w:r>
          </w:p>
        </w:tc>
        <w:tc>
          <w:tcPr>
            <w:tcW w:w="931" w:type="dxa"/>
            <w:tcBorders>
              <w:top w:val="single" w:color="auto" w:sz="4" w:space="0"/>
              <w:left w:val="single" w:color="auto" w:sz="4" w:space="0"/>
              <w:bottom w:val="single" w:color="auto" w:sz="4" w:space="0"/>
              <w:right w:val="single" w:color="auto" w:sz="4" w:space="0"/>
            </w:tcBorders>
            <w:vAlign w:val="center"/>
          </w:tcPr>
          <w:p w14:paraId="5438CB08">
            <w:pPr>
              <w:widowControl/>
              <w:jc w:val="center"/>
            </w:pPr>
            <w:r>
              <w:rPr>
                <w:rFonts w:hint="eastAsia"/>
                <w:lang w:bidi="ar"/>
              </w:rPr>
              <w:t>包菜</w:t>
            </w:r>
          </w:p>
        </w:tc>
        <w:tc>
          <w:tcPr>
            <w:tcW w:w="745" w:type="dxa"/>
            <w:tcBorders>
              <w:top w:val="single" w:color="auto" w:sz="4" w:space="0"/>
              <w:left w:val="single" w:color="auto" w:sz="4" w:space="0"/>
              <w:bottom w:val="single" w:color="auto" w:sz="4" w:space="0"/>
              <w:right w:val="single" w:color="auto" w:sz="4" w:space="0"/>
            </w:tcBorders>
            <w:vAlign w:val="center"/>
          </w:tcPr>
          <w:p w14:paraId="5BFBD19F">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7EE332D5">
            <w:pPr>
              <w:widowControl/>
              <w:jc w:val="center"/>
            </w:pPr>
            <w:r>
              <w:rPr>
                <w:rFonts w:hint="eastAsia"/>
                <w:lang w:bidi="ar"/>
              </w:rPr>
              <w:t>3000.00</w:t>
            </w:r>
          </w:p>
        </w:tc>
        <w:tc>
          <w:tcPr>
            <w:tcW w:w="1125" w:type="dxa"/>
            <w:vMerge w:val="continue"/>
            <w:tcBorders>
              <w:left w:val="single" w:color="auto" w:sz="4" w:space="0"/>
              <w:right w:val="single" w:color="auto" w:sz="4" w:space="0"/>
            </w:tcBorders>
          </w:tcPr>
          <w:p w14:paraId="494B5E0C"/>
        </w:tc>
        <w:tc>
          <w:tcPr>
            <w:tcW w:w="4588" w:type="dxa"/>
            <w:vMerge w:val="continue"/>
            <w:tcBorders>
              <w:left w:val="single" w:color="auto" w:sz="4" w:space="0"/>
              <w:right w:val="single" w:color="auto" w:sz="4" w:space="0"/>
            </w:tcBorders>
            <w:vAlign w:val="center"/>
          </w:tcPr>
          <w:p w14:paraId="36047DF8">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14:paraId="4E10922E">
            <w:pPr>
              <w:widowControl/>
              <w:jc w:val="center"/>
              <w:rPr>
                <w:lang w:bidi="ar"/>
              </w:rPr>
            </w:pPr>
            <w:r>
              <w:rPr>
                <w:rFonts w:hint="eastAsia"/>
                <w:lang w:bidi="ar"/>
              </w:rPr>
              <w:t xml:space="preserve">3.20 </w:t>
            </w:r>
          </w:p>
        </w:tc>
      </w:tr>
      <w:tr w14:paraId="4D0B2E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14:paraId="5557633F">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AF99C96">
            <w:pPr>
              <w:jc w:val="center"/>
              <w:rPr>
                <w:rFonts w:ascii="宋体" w:hAnsi="宋体" w:cs="宋体"/>
                <w:sz w:val="24"/>
              </w:rPr>
            </w:pPr>
            <w:r>
              <w:rPr>
                <w:rFonts w:hint="eastAsia"/>
              </w:rPr>
              <w:t>38</w:t>
            </w:r>
          </w:p>
        </w:tc>
        <w:tc>
          <w:tcPr>
            <w:tcW w:w="931" w:type="dxa"/>
            <w:tcBorders>
              <w:top w:val="single" w:color="auto" w:sz="4" w:space="0"/>
              <w:left w:val="single" w:color="auto" w:sz="4" w:space="0"/>
              <w:bottom w:val="single" w:color="auto" w:sz="4" w:space="0"/>
              <w:right w:val="single" w:color="auto" w:sz="4" w:space="0"/>
            </w:tcBorders>
            <w:vAlign w:val="center"/>
          </w:tcPr>
          <w:p w14:paraId="29BFC091">
            <w:pPr>
              <w:widowControl/>
              <w:jc w:val="center"/>
            </w:pPr>
            <w:r>
              <w:rPr>
                <w:rFonts w:hint="eastAsia"/>
                <w:lang w:bidi="ar"/>
              </w:rPr>
              <w:t>蛋黄青</w:t>
            </w:r>
          </w:p>
        </w:tc>
        <w:tc>
          <w:tcPr>
            <w:tcW w:w="745" w:type="dxa"/>
            <w:tcBorders>
              <w:top w:val="single" w:color="auto" w:sz="4" w:space="0"/>
              <w:left w:val="single" w:color="auto" w:sz="4" w:space="0"/>
              <w:bottom w:val="single" w:color="auto" w:sz="4" w:space="0"/>
              <w:right w:val="single" w:color="auto" w:sz="4" w:space="0"/>
            </w:tcBorders>
            <w:vAlign w:val="center"/>
          </w:tcPr>
          <w:p w14:paraId="353F3F27">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53E4FD76">
            <w:pPr>
              <w:widowControl/>
              <w:jc w:val="center"/>
            </w:pPr>
            <w:r>
              <w:rPr>
                <w:rFonts w:hint="eastAsia"/>
                <w:lang w:bidi="ar"/>
              </w:rPr>
              <w:t>1000.00</w:t>
            </w:r>
          </w:p>
        </w:tc>
        <w:tc>
          <w:tcPr>
            <w:tcW w:w="1125" w:type="dxa"/>
            <w:vMerge w:val="continue"/>
            <w:tcBorders>
              <w:left w:val="single" w:color="auto" w:sz="4" w:space="0"/>
              <w:right w:val="single" w:color="auto" w:sz="4" w:space="0"/>
            </w:tcBorders>
          </w:tcPr>
          <w:p w14:paraId="40B73601"/>
        </w:tc>
        <w:tc>
          <w:tcPr>
            <w:tcW w:w="4588" w:type="dxa"/>
            <w:vMerge w:val="continue"/>
            <w:tcBorders>
              <w:left w:val="single" w:color="auto" w:sz="4" w:space="0"/>
              <w:right w:val="single" w:color="auto" w:sz="4" w:space="0"/>
            </w:tcBorders>
            <w:vAlign w:val="center"/>
          </w:tcPr>
          <w:p w14:paraId="4B8CA1BE">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14:paraId="0EC3F0D9">
            <w:pPr>
              <w:widowControl/>
              <w:jc w:val="center"/>
              <w:rPr>
                <w:lang w:bidi="ar"/>
              </w:rPr>
            </w:pPr>
            <w:r>
              <w:rPr>
                <w:rFonts w:hint="eastAsia"/>
                <w:lang w:bidi="ar"/>
              </w:rPr>
              <w:t xml:space="preserve">3.96 </w:t>
            </w:r>
          </w:p>
        </w:tc>
      </w:tr>
      <w:tr w14:paraId="3B3B4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14:paraId="6AEE30C8">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20DB7D8">
            <w:pPr>
              <w:jc w:val="center"/>
              <w:rPr>
                <w:rFonts w:ascii="宋体" w:hAnsi="宋体" w:cs="宋体"/>
                <w:sz w:val="24"/>
              </w:rPr>
            </w:pPr>
            <w:r>
              <w:rPr>
                <w:rFonts w:hint="eastAsia"/>
              </w:rPr>
              <w:t>39</w:t>
            </w:r>
          </w:p>
        </w:tc>
        <w:tc>
          <w:tcPr>
            <w:tcW w:w="931" w:type="dxa"/>
            <w:tcBorders>
              <w:top w:val="single" w:color="auto" w:sz="4" w:space="0"/>
              <w:left w:val="single" w:color="auto" w:sz="4" w:space="0"/>
              <w:bottom w:val="single" w:color="auto" w:sz="4" w:space="0"/>
              <w:right w:val="single" w:color="auto" w:sz="4" w:space="0"/>
            </w:tcBorders>
            <w:vAlign w:val="center"/>
          </w:tcPr>
          <w:p w14:paraId="0FCEABDA">
            <w:pPr>
              <w:widowControl/>
              <w:jc w:val="center"/>
            </w:pPr>
            <w:r>
              <w:rPr>
                <w:rFonts w:hint="eastAsia"/>
                <w:lang w:bidi="ar"/>
              </w:rPr>
              <w:t>生菜</w:t>
            </w:r>
          </w:p>
        </w:tc>
        <w:tc>
          <w:tcPr>
            <w:tcW w:w="745" w:type="dxa"/>
            <w:tcBorders>
              <w:top w:val="single" w:color="auto" w:sz="4" w:space="0"/>
              <w:left w:val="single" w:color="auto" w:sz="4" w:space="0"/>
              <w:bottom w:val="single" w:color="auto" w:sz="4" w:space="0"/>
              <w:right w:val="single" w:color="auto" w:sz="4" w:space="0"/>
            </w:tcBorders>
            <w:vAlign w:val="center"/>
          </w:tcPr>
          <w:p w14:paraId="15467585">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42DFB844">
            <w:pPr>
              <w:widowControl/>
              <w:jc w:val="center"/>
            </w:pPr>
            <w:r>
              <w:rPr>
                <w:rFonts w:hint="eastAsia"/>
                <w:lang w:bidi="ar"/>
              </w:rPr>
              <w:t>3000.00</w:t>
            </w:r>
          </w:p>
        </w:tc>
        <w:tc>
          <w:tcPr>
            <w:tcW w:w="1125" w:type="dxa"/>
            <w:vMerge w:val="continue"/>
            <w:tcBorders>
              <w:left w:val="single" w:color="auto" w:sz="4" w:space="0"/>
              <w:right w:val="single" w:color="auto" w:sz="4" w:space="0"/>
            </w:tcBorders>
          </w:tcPr>
          <w:p w14:paraId="704068AA"/>
        </w:tc>
        <w:tc>
          <w:tcPr>
            <w:tcW w:w="4588" w:type="dxa"/>
            <w:vMerge w:val="continue"/>
            <w:tcBorders>
              <w:left w:val="single" w:color="auto" w:sz="4" w:space="0"/>
              <w:right w:val="single" w:color="auto" w:sz="4" w:space="0"/>
            </w:tcBorders>
            <w:vAlign w:val="center"/>
          </w:tcPr>
          <w:p w14:paraId="2E02FE4B">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14:paraId="3E96093A">
            <w:pPr>
              <w:widowControl/>
              <w:jc w:val="center"/>
              <w:rPr>
                <w:lang w:bidi="ar"/>
              </w:rPr>
            </w:pPr>
            <w:r>
              <w:rPr>
                <w:rFonts w:hint="eastAsia"/>
                <w:lang w:bidi="ar"/>
              </w:rPr>
              <w:t xml:space="preserve">5.20 </w:t>
            </w:r>
          </w:p>
        </w:tc>
      </w:tr>
      <w:tr w14:paraId="57830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14:paraId="47527CC8">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D750123">
            <w:pPr>
              <w:jc w:val="center"/>
              <w:rPr>
                <w:rFonts w:ascii="宋体" w:hAnsi="宋体" w:cs="宋体"/>
                <w:sz w:val="24"/>
              </w:rPr>
            </w:pPr>
            <w:r>
              <w:rPr>
                <w:rFonts w:hint="eastAsia"/>
              </w:rPr>
              <w:t>40</w:t>
            </w:r>
          </w:p>
        </w:tc>
        <w:tc>
          <w:tcPr>
            <w:tcW w:w="931" w:type="dxa"/>
            <w:tcBorders>
              <w:top w:val="single" w:color="auto" w:sz="4" w:space="0"/>
              <w:left w:val="single" w:color="auto" w:sz="4" w:space="0"/>
              <w:bottom w:val="single" w:color="auto" w:sz="4" w:space="0"/>
              <w:right w:val="single" w:color="auto" w:sz="4" w:space="0"/>
            </w:tcBorders>
            <w:vAlign w:val="center"/>
          </w:tcPr>
          <w:p w14:paraId="6F78A6E0">
            <w:pPr>
              <w:widowControl/>
              <w:jc w:val="center"/>
            </w:pPr>
            <w:r>
              <w:rPr>
                <w:rFonts w:hint="eastAsia"/>
                <w:lang w:bidi="ar"/>
              </w:rPr>
              <w:t>白菜花</w:t>
            </w:r>
          </w:p>
        </w:tc>
        <w:tc>
          <w:tcPr>
            <w:tcW w:w="745" w:type="dxa"/>
            <w:tcBorders>
              <w:top w:val="single" w:color="auto" w:sz="4" w:space="0"/>
              <w:left w:val="single" w:color="auto" w:sz="4" w:space="0"/>
              <w:bottom w:val="single" w:color="auto" w:sz="4" w:space="0"/>
              <w:right w:val="single" w:color="auto" w:sz="4" w:space="0"/>
            </w:tcBorders>
            <w:vAlign w:val="center"/>
          </w:tcPr>
          <w:p w14:paraId="6AAB5A78">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734F52B9">
            <w:pPr>
              <w:widowControl/>
              <w:jc w:val="center"/>
            </w:pPr>
            <w:r>
              <w:rPr>
                <w:rFonts w:hint="eastAsia"/>
                <w:lang w:bidi="ar"/>
              </w:rPr>
              <w:t>1000.00</w:t>
            </w:r>
          </w:p>
        </w:tc>
        <w:tc>
          <w:tcPr>
            <w:tcW w:w="1125" w:type="dxa"/>
            <w:vMerge w:val="continue"/>
            <w:tcBorders>
              <w:left w:val="single" w:color="auto" w:sz="4" w:space="0"/>
              <w:right w:val="single" w:color="auto" w:sz="4" w:space="0"/>
            </w:tcBorders>
          </w:tcPr>
          <w:p w14:paraId="39F7815B"/>
        </w:tc>
        <w:tc>
          <w:tcPr>
            <w:tcW w:w="4588" w:type="dxa"/>
            <w:vMerge w:val="continue"/>
            <w:tcBorders>
              <w:left w:val="single" w:color="auto" w:sz="4" w:space="0"/>
              <w:right w:val="single" w:color="auto" w:sz="4" w:space="0"/>
            </w:tcBorders>
            <w:vAlign w:val="center"/>
          </w:tcPr>
          <w:p w14:paraId="61540855">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14:paraId="5B9574F1">
            <w:pPr>
              <w:widowControl/>
              <w:jc w:val="center"/>
              <w:rPr>
                <w:lang w:bidi="ar"/>
              </w:rPr>
            </w:pPr>
            <w:r>
              <w:rPr>
                <w:rFonts w:hint="eastAsia"/>
                <w:lang w:bidi="ar"/>
              </w:rPr>
              <w:t xml:space="preserve">5.00 </w:t>
            </w:r>
          </w:p>
        </w:tc>
      </w:tr>
      <w:tr w14:paraId="5475B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14:paraId="5FF8724B">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0E8962F">
            <w:pPr>
              <w:jc w:val="center"/>
              <w:rPr>
                <w:rFonts w:ascii="宋体" w:hAnsi="宋体" w:cs="宋体"/>
                <w:sz w:val="24"/>
              </w:rPr>
            </w:pPr>
            <w:r>
              <w:rPr>
                <w:rFonts w:hint="eastAsia"/>
              </w:rPr>
              <w:t>41</w:t>
            </w:r>
          </w:p>
        </w:tc>
        <w:tc>
          <w:tcPr>
            <w:tcW w:w="931" w:type="dxa"/>
            <w:tcBorders>
              <w:top w:val="single" w:color="auto" w:sz="4" w:space="0"/>
              <w:left w:val="single" w:color="auto" w:sz="4" w:space="0"/>
              <w:bottom w:val="single" w:color="auto" w:sz="4" w:space="0"/>
              <w:right w:val="single" w:color="auto" w:sz="4" w:space="0"/>
            </w:tcBorders>
            <w:vAlign w:val="center"/>
          </w:tcPr>
          <w:p w14:paraId="45C355CD">
            <w:pPr>
              <w:widowControl/>
              <w:jc w:val="center"/>
            </w:pPr>
            <w:r>
              <w:rPr>
                <w:rFonts w:hint="eastAsia"/>
                <w:lang w:bidi="ar"/>
              </w:rPr>
              <w:t>葫芦瓜</w:t>
            </w:r>
          </w:p>
        </w:tc>
        <w:tc>
          <w:tcPr>
            <w:tcW w:w="745" w:type="dxa"/>
            <w:tcBorders>
              <w:top w:val="single" w:color="auto" w:sz="4" w:space="0"/>
              <w:left w:val="single" w:color="auto" w:sz="4" w:space="0"/>
              <w:bottom w:val="single" w:color="auto" w:sz="4" w:space="0"/>
              <w:right w:val="single" w:color="auto" w:sz="4" w:space="0"/>
            </w:tcBorders>
            <w:vAlign w:val="center"/>
          </w:tcPr>
          <w:p w14:paraId="478A7AC5">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7D56E8B0">
            <w:pPr>
              <w:widowControl/>
              <w:jc w:val="center"/>
            </w:pPr>
            <w:r>
              <w:rPr>
                <w:rFonts w:hint="eastAsia"/>
                <w:lang w:bidi="ar"/>
              </w:rPr>
              <w:t>1000.00</w:t>
            </w:r>
          </w:p>
        </w:tc>
        <w:tc>
          <w:tcPr>
            <w:tcW w:w="1125" w:type="dxa"/>
            <w:vMerge w:val="continue"/>
            <w:tcBorders>
              <w:left w:val="single" w:color="auto" w:sz="4" w:space="0"/>
              <w:right w:val="single" w:color="auto" w:sz="4" w:space="0"/>
            </w:tcBorders>
          </w:tcPr>
          <w:p w14:paraId="5FC031F4"/>
        </w:tc>
        <w:tc>
          <w:tcPr>
            <w:tcW w:w="4588" w:type="dxa"/>
            <w:vMerge w:val="continue"/>
            <w:tcBorders>
              <w:left w:val="single" w:color="auto" w:sz="4" w:space="0"/>
              <w:right w:val="single" w:color="auto" w:sz="4" w:space="0"/>
            </w:tcBorders>
            <w:vAlign w:val="center"/>
          </w:tcPr>
          <w:p w14:paraId="6B9D14F7">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14:paraId="0089F7AB">
            <w:pPr>
              <w:widowControl/>
              <w:jc w:val="center"/>
              <w:rPr>
                <w:lang w:bidi="ar"/>
              </w:rPr>
            </w:pPr>
            <w:r>
              <w:rPr>
                <w:rFonts w:hint="eastAsia"/>
                <w:lang w:bidi="ar"/>
              </w:rPr>
              <w:t xml:space="preserve">3.60 </w:t>
            </w:r>
          </w:p>
        </w:tc>
      </w:tr>
      <w:tr w14:paraId="27E4E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14:paraId="5F49C2B6">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627B542">
            <w:pPr>
              <w:jc w:val="center"/>
              <w:rPr>
                <w:rFonts w:ascii="宋体" w:hAnsi="宋体" w:cs="宋体"/>
                <w:sz w:val="24"/>
              </w:rPr>
            </w:pPr>
            <w:r>
              <w:rPr>
                <w:rFonts w:hint="eastAsia"/>
              </w:rPr>
              <w:t>42</w:t>
            </w:r>
          </w:p>
        </w:tc>
        <w:tc>
          <w:tcPr>
            <w:tcW w:w="931" w:type="dxa"/>
            <w:tcBorders>
              <w:top w:val="single" w:color="auto" w:sz="4" w:space="0"/>
              <w:left w:val="single" w:color="auto" w:sz="4" w:space="0"/>
              <w:bottom w:val="single" w:color="auto" w:sz="4" w:space="0"/>
              <w:right w:val="single" w:color="auto" w:sz="4" w:space="0"/>
            </w:tcBorders>
            <w:vAlign w:val="center"/>
          </w:tcPr>
          <w:p w14:paraId="0C093EDB">
            <w:pPr>
              <w:widowControl/>
              <w:jc w:val="center"/>
            </w:pPr>
            <w:r>
              <w:rPr>
                <w:rFonts w:hint="eastAsia"/>
                <w:lang w:bidi="ar"/>
              </w:rPr>
              <w:t>菜心</w:t>
            </w:r>
          </w:p>
        </w:tc>
        <w:tc>
          <w:tcPr>
            <w:tcW w:w="745" w:type="dxa"/>
            <w:tcBorders>
              <w:top w:val="single" w:color="auto" w:sz="4" w:space="0"/>
              <w:left w:val="single" w:color="auto" w:sz="4" w:space="0"/>
              <w:bottom w:val="single" w:color="auto" w:sz="4" w:space="0"/>
              <w:right w:val="single" w:color="auto" w:sz="4" w:space="0"/>
            </w:tcBorders>
            <w:vAlign w:val="center"/>
          </w:tcPr>
          <w:p w14:paraId="16AC2E05">
            <w:pPr>
              <w:jc w:val="center"/>
            </w:pPr>
            <w:bookmarkStart w:id="163" w:name="OLE_LINK10"/>
            <w:r>
              <w:rPr>
                <w:rFonts w:hint="eastAsia"/>
              </w:rPr>
              <w:t>公斤</w:t>
            </w:r>
            <w:bookmarkEnd w:id="163"/>
          </w:p>
        </w:tc>
        <w:tc>
          <w:tcPr>
            <w:tcW w:w="1125" w:type="dxa"/>
            <w:tcBorders>
              <w:top w:val="single" w:color="auto" w:sz="4" w:space="0"/>
              <w:left w:val="single" w:color="auto" w:sz="4" w:space="0"/>
              <w:bottom w:val="single" w:color="auto" w:sz="4" w:space="0"/>
              <w:right w:val="single" w:color="auto" w:sz="4" w:space="0"/>
            </w:tcBorders>
            <w:vAlign w:val="center"/>
          </w:tcPr>
          <w:p w14:paraId="4FA44CE4">
            <w:pPr>
              <w:widowControl/>
              <w:jc w:val="center"/>
            </w:pPr>
            <w:r>
              <w:rPr>
                <w:rFonts w:hint="eastAsia"/>
                <w:lang w:bidi="ar"/>
              </w:rPr>
              <w:t>3000.00</w:t>
            </w:r>
          </w:p>
        </w:tc>
        <w:tc>
          <w:tcPr>
            <w:tcW w:w="1125" w:type="dxa"/>
            <w:vMerge w:val="continue"/>
            <w:tcBorders>
              <w:left w:val="single" w:color="auto" w:sz="4" w:space="0"/>
              <w:right w:val="single" w:color="auto" w:sz="4" w:space="0"/>
            </w:tcBorders>
          </w:tcPr>
          <w:p w14:paraId="13C9F304"/>
        </w:tc>
        <w:tc>
          <w:tcPr>
            <w:tcW w:w="4588" w:type="dxa"/>
            <w:vMerge w:val="continue"/>
            <w:tcBorders>
              <w:left w:val="single" w:color="auto" w:sz="4" w:space="0"/>
              <w:right w:val="single" w:color="auto" w:sz="4" w:space="0"/>
            </w:tcBorders>
            <w:vAlign w:val="center"/>
          </w:tcPr>
          <w:p w14:paraId="74DB9A96">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14:paraId="0DD5D572">
            <w:pPr>
              <w:widowControl/>
              <w:jc w:val="center"/>
              <w:rPr>
                <w:lang w:bidi="ar"/>
              </w:rPr>
            </w:pPr>
            <w:r>
              <w:rPr>
                <w:rFonts w:hint="eastAsia"/>
                <w:lang w:bidi="ar"/>
              </w:rPr>
              <w:t xml:space="preserve">4.80 </w:t>
            </w:r>
          </w:p>
        </w:tc>
      </w:tr>
      <w:tr w14:paraId="15EDE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continue"/>
            <w:tcBorders>
              <w:left w:val="single" w:color="auto" w:sz="4" w:space="0"/>
              <w:right w:val="single" w:color="auto" w:sz="4" w:space="0"/>
            </w:tcBorders>
            <w:vAlign w:val="center"/>
          </w:tcPr>
          <w:p w14:paraId="1F12BA81">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B593AFE">
            <w:pPr>
              <w:jc w:val="center"/>
            </w:pPr>
            <w:r>
              <w:rPr>
                <w:rFonts w:hint="eastAsia"/>
              </w:rPr>
              <w:t>43</w:t>
            </w:r>
          </w:p>
        </w:tc>
        <w:tc>
          <w:tcPr>
            <w:tcW w:w="931" w:type="dxa"/>
            <w:tcBorders>
              <w:top w:val="single" w:color="auto" w:sz="4" w:space="0"/>
              <w:left w:val="single" w:color="auto" w:sz="4" w:space="0"/>
              <w:bottom w:val="single" w:color="auto" w:sz="4" w:space="0"/>
              <w:right w:val="single" w:color="auto" w:sz="4" w:space="0"/>
            </w:tcBorders>
            <w:vAlign w:val="center"/>
          </w:tcPr>
          <w:p w14:paraId="24D45BD6">
            <w:pPr>
              <w:widowControl/>
              <w:jc w:val="center"/>
              <w:rPr>
                <w:lang w:bidi="ar"/>
              </w:rPr>
            </w:pPr>
            <w:r>
              <w:rPr>
                <w:rFonts w:hint="eastAsia"/>
                <w:lang w:bidi="ar"/>
              </w:rPr>
              <w:t>莴笋</w:t>
            </w:r>
          </w:p>
        </w:tc>
        <w:tc>
          <w:tcPr>
            <w:tcW w:w="745" w:type="dxa"/>
            <w:tcBorders>
              <w:top w:val="single" w:color="auto" w:sz="4" w:space="0"/>
              <w:left w:val="single" w:color="auto" w:sz="4" w:space="0"/>
              <w:bottom w:val="single" w:color="auto" w:sz="4" w:space="0"/>
              <w:right w:val="single" w:color="auto" w:sz="4" w:space="0"/>
            </w:tcBorders>
            <w:vAlign w:val="center"/>
          </w:tcPr>
          <w:p w14:paraId="1455FBD2">
            <w:pPr>
              <w:jc w:val="cente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6D6EAA0F">
            <w:pPr>
              <w:widowControl/>
              <w:jc w:val="center"/>
            </w:pPr>
            <w:r>
              <w:rPr>
                <w:rFonts w:hint="eastAsia"/>
                <w:lang w:bidi="ar"/>
              </w:rPr>
              <w:t>5000.00</w:t>
            </w:r>
          </w:p>
        </w:tc>
        <w:tc>
          <w:tcPr>
            <w:tcW w:w="1125" w:type="dxa"/>
            <w:vMerge w:val="continue"/>
            <w:tcBorders>
              <w:left w:val="single" w:color="auto" w:sz="4" w:space="0"/>
              <w:bottom w:val="single" w:color="auto" w:sz="4" w:space="0"/>
              <w:right w:val="single" w:color="auto" w:sz="4" w:space="0"/>
            </w:tcBorders>
          </w:tcPr>
          <w:p w14:paraId="231B4951">
            <w:pPr>
              <w:rPr>
                <w:rFonts w:ascii="宋体" w:hAnsi="宋体"/>
                <w:szCs w:val="21"/>
              </w:rPr>
            </w:pPr>
          </w:p>
        </w:tc>
        <w:tc>
          <w:tcPr>
            <w:tcW w:w="4588" w:type="dxa"/>
            <w:vMerge w:val="continue"/>
            <w:tcBorders>
              <w:left w:val="single" w:color="auto" w:sz="4" w:space="0"/>
              <w:bottom w:val="single" w:color="auto" w:sz="4" w:space="0"/>
              <w:right w:val="single" w:color="auto" w:sz="4" w:space="0"/>
            </w:tcBorders>
            <w:vAlign w:val="center"/>
          </w:tcPr>
          <w:p w14:paraId="6FD24688">
            <w:pPr>
              <w:spacing w:line="360" w:lineRule="auto"/>
              <w:rPr>
                <w:rFonts w:ascii="宋体" w:hAnsi="宋体" w:cs="宋体"/>
              </w:rPr>
            </w:pPr>
          </w:p>
        </w:tc>
        <w:tc>
          <w:tcPr>
            <w:tcW w:w="1029" w:type="dxa"/>
            <w:tcBorders>
              <w:top w:val="single" w:color="auto" w:sz="4" w:space="0"/>
              <w:left w:val="single" w:color="auto" w:sz="4" w:space="0"/>
              <w:bottom w:val="single" w:color="auto" w:sz="4" w:space="0"/>
              <w:right w:val="single" w:color="auto" w:sz="4" w:space="0"/>
            </w:tcBorders>
            <w:vAlign w:val="center"/>
          </w:tcPr>
          <w:p w14:paraId="58589C31">
            <w:pPr>
              <w:widowControl/>
              <w:jc w:val="center"/>
              <w:rPr>
                <w:lang w:bidi="ar"/>
              </w:rPr>
            </w:pPr>
            <w:r>
              <w:rPr>
                <w:rFonts w:hint="eastAsia"/>
                <w:lang w:bidi="ar"/>
              </w:rPr>
              <w:t xml:space="preserve">4.60 </w:t>
            </w:r>
          </w:p>
        </w:tc>
      </w:tr>
      <w:tr w14:paraId="634E3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479" w:type="dxa"/>
            <w:tcBorders>
              <w:top w:val="single" w:color="auto" w:sz="4" w:space="0"/>
              <w:left w:val="single" w:color="auto" w:sz="4" w:space="0"/>
              <w:bottom w:val="single" w:color="auto" w:sz="4" w:space="0"/>
              <w:right w:val="single" w:color="auto" w:sz="4" w:space="0"/>
            </w:tcBorders>
          </w:tcPr>
          <w:p w14:paraId="146FEEA3">
            <w:pPr>
              <w:jc w:val="center"/>
              <w:rPr>
                <w:rFonts w:ascii="宋体" w:hAnsi="宋体"/>
                <w:szCs w:val="21"/>
              </w:rPr>
            </w:pPr>
          </w:p>
          <w:p w14:paraId="510433D1">
            <w:pPr>
              <w:jc w:val="center"/>
              <w:rPr>
                <w:rFonts w:ascii="宋体" w:hAnsi="宋体"/>
                <w:szCs w:val="21"/>
              </w:rPr>
            </w:pPr>
          </w:p>
          <w:p w14:paraId="1F896EA4">
            <w:pPr>
              <w:jc w:val="center"/>
              <w:rPr>
                <w:rFonts w:ascii="宋体" w:hAnsi="宋体"/>
                <w:szCs w:val="21"/>
              </w:rPr>
            </w:pPr>
            <w:r>
              <w:rPr>
                <w:rFonts w:hint="eastAsia" w:ascii="宋体" w:hAnsi="宋体"/>
                <w:szCs w:val="21"/>
              </w:rPr>
              <w:t>商务条款</w:t>
            </w:r>
          </w:p>
        </w:tc>
        <w:tc>
          <w:tcPr>
            <w:tcW w:w="10059" w:type="dxa"/>
            <w:gridSpan w:val="7"/>
            <w:tcBorders>
              <w:top w:val="single" w:color="auto" w:sz="4" w:space="0"/>
              <w:left w:val="single" w:color="auto" w:sz="4" w:space="0"/>
              <w:bottom w:val="single" w:color="auto" w:sz="4" w:space="0"/>
              <w:right w:val="single" w:color="auto" w:sz="4" w:space="0"/>
            </w:tcBorders>
          </w:tcPr>
          <w:p w14:paraId="36CAC1EC">
            <w:pPr>
              <w:numPr>
                <w:ilvl w:val="255"/>
                <w:numId w:val="0"/>
              </w:numPr>
              <w:spacing w:line="360" w:lineRule="auto"/>
              <w:rPr>
                <w:rFonts w:ascii="宋体" w:hAnsi="宋体" w:cs="宋体"/>
              </w:rPr>
            </w:pPr>
            <w:r>
              <w:rPr>
                <w:rFonts w:hint="eastAsia" w:ascii="宋体" w:hAnsi="宋体" w:cs="宋体"/>
                <w:b/>
              </w:rPr>
              <w:t>一、合同签订期</w:t>
            </w:r>
            <w:r>
              <w:rPr>
                <w:rFonts w:hint="eastAsia" w:ascii="宋体" w:hAnsi="宋体" w:cs="宋体"/>
              </w:rPr>
              <w:t>：自中标通知书发出之日起25日内。</w:t>
            </w:r>
          </w:p>
          <w:p w14:paraId="55FC7DE2">
            <w:pPr>
              <w:numPr>
                <w:ilvl w:val="255"/>
                <w:numId w:val="0"/>
              </w:numPr>
              <w:spacing w:line="360" w:lineRule="auto"/>
              <w:rPr>
                <w:rFonts w:ascii="宋体" w:hAnsi="宋体" w:cs="宋体"/>
                <w:b/>
                <w:bCs/>
              </w:rPr>
            </w:pPr>
            <w:r>
              <w:rPr>
                <w:rFonts w:hint="eastAsia" w:ascii="宋体" w:hAnsi="宋体" w:cs="宋体"/>
                <w:b/>
                <w:bCs/>
              </w:rPr>
              <w:t>二、交货要求</w:t>
            </w:r>
          </w:p>
          <w:p w14:paraId="53F86696">
            <w:pPr>
              <w:spacing w:line="360" w:lineRule="auto"/>
              <w:rPr>
                <w:rFonts w:ascii="宋体" w:hAnsi="宋体" w:cs="宋体"/>
              </w:rPr>
            </w:pPr>
            <w:r>
              <w:rPr>
                <w:rFonts w:hint="eastAsia" w:ascii="宋体" w:hAnsi="宋体" w:cs="宋体"/>
              </w:rPr>
              <w:t>1.交货地点：</w:t>
            </w:r>
            <w:r>
              <w:rPr>
                <w:rFonts w:hint="eastAsia" w:ascii="宋体" w:hAnsi="宋体" w:cs="宋体"/>
                <w:szCs w:val="21"/>
              </w:rPr>
              <w:t>广西梧州市</w:t>
            </w:r>
            <w:r>
              <w:rPr>
                <w:rFonts w:hint="eastAsia" w:ascii="宋体" w:hAnsi="宋体" w:cs="宋体"/>
              </w:rPr>
              <w:t>采购人指定地点。</w:t>
            </w:r>
          </w:p>
          <w:p w14:paraId="318634BB">
            <w:pPr>
              <w:spacing w:line="360" w:lineRule="auto"/>
              <w:rPr>
                <w:rFonts w:ascii="宋体" w:hAnsi="宋体" w:cs="宋体"/>
              </w:rPr>
            </w:pPr>
            <w:r>
              <w:rPr>
                <w:rFonts w:hint="eastAsia" w:ascii="宋体" w:hAnsi="宋体" w:cs="宋体"/>
              </w:rPr>
              <w:t>2.交货时间：</w:t>
            </w:r>
            <w:r>
              <w:rPr>
                <w:rFonts w:hint="eastAsia" w:ascii="宋体" w:hAnsi="宋体" w:cs="宋体"/>
                <w:szCs w:val="21"/>
              </w:rPr>
              <w:t>中标人向采购人供应食材为每天上午8:00前，确保一日一供，节假日正常供应，特殊情况双方协商确定。产品运输由中标人负责，运输及卸车费用由中标人承担</w:t>
            </w:r>
            <w:r>
              <w:rPr>
                <w:rFonts w:hint="eastAsia" w:ascii="宋体" w:hAnsi="宋体" w:cs="宋体"/>
              </w:rPr>
              <w:t>。</w:t>
            </w:r>
          </w:p>
          <w:p w14:paraId="2EBEF25A">
            <w:pPr>
              <w:spacing w:line="360" w:lineRule="auto"/>
              <w:rPr>
                <w:rFonts w:ascii="宋体" w:hAnsi="宋体" w:cs="宋体"/>
              </w:rPr>
            </w:pPr>
            <w:r>
              <w:rPr>
                <w:rFonts w:hint="eastAsia" w:ascii="宋体" w:hAnsi="宋体" w:cs="宋体"/>
              </w:rPr>
              <w:t>3.交货方式：现场交货。</w:t>
            </w:r>
          </w:p>
          <w:p w14:paraId="50EB9340">
            <w:pPr>
              <w:spacing w:line="360" w:lineRule="auto"/>
              <w:rPr>
                <w:rFonts w:ascii="宋体" w:hAnsi="宋体" w:cs="宋体"/>
              </w:rPr>
            </w:pPr>
            <w:r>
              <w:rPr>
                <w:rFonts w:hint="eastAsia" w:ascii="宋体" w:hAnsi="宋体" w:cs="宋体"/>
              </w:rPr>
              <w:t>4.合同履行期限：自合同签订之日起一年。</w:t>
            </w:r>
          </w:p>
          <w:p w14:paraId="34555481">
            <w:pPr>
              <w:numPr>
                <w:ilvl w:val="255"/>
                <w:numId w:val="0"/>
              </w:numPr>
              <w:spacing w:line="360" w:lineRule="auto"/>
              <w:rPr>
                <w:rFonts w:ascii="宋体" w:hAnsi="宋体" w:cs="宋体"/>
                <w:b/>
                <w:bCs/>
              </w:rPr>
            </w:pPr>
            <w:r>
              <w:rPr>
                <w:rFonts w:hint="eastAsia" w:ascii="宋体" w:hAnsi="宋体"/>
                <w:b/>
                <w:bCs/>
                <w:szCs w:val="21"/>
              </w:rPr>
              <w:t>三、质保期</w:t>
            </w:r>
          </w:p>
          <w:p w14:paraId="2842C3E7">
            <w:pPr>
              <w:spacing w:line="360" w:lineRule="auto"/>
              <w:rPr>
                <w:rFonts w:ascii="宋体" w:hAnsi="宋体" w:cs="宋体"/>
                <w:b/>
                <w:bCs/>
              </w:rPr>
            </w:pPr>
            <w:r>
              <w:rPr>
                <w:rFonts w:hint="eastAsia" w:ascii="宋体" w:hAnsi="宋体" w:cs="Courier New"/>
                <w:szCs w:val="21"/>
              </w:rPr>
              <w:t>自每批次货物验收合格起计算，不少于24小时。</w:t>
            </w:r>
          </w:p>
          <w:p w14:paraId="60B4159F">
            <w:pPr>
              <w:numPr>
                <w:ilvl w:val="255"/>
                <w:numId w:val="0"/>
              </w:numPr>
              <w:spacing w:line="360" w:lineRule="auto"/>
              <w:rPr>
                <w:rFonts w:ascii="宋体" w:hAnsi="宋体" w:cs="宋体"/>
                <w:b/>
                <w:bCs/>
              </w:rPr>
            </w:pPr>
            <w:r>
              <w:rPr>
                <w:rFonts w:hint="eastAsia" w:ascii="宋体" w:hAnsi="宋体" w:cs="宋体"/>
                <w:b/>
                <w:bCs/>
              </w:rPr>
              <w:t>四、供货要求</w:t>
            </w:r>
          </w:p>
          <w:p w14:paraId="11F12BE4">
            <w:pPr>
              <w:spacing w:line="360" w:lineRule="auto"/>
              <w:rPr>
                <w:rFonts w:ascii="宋体" w:hAnsi="宋体" w:cs="宋体"/>
              </w:rPr>
            </w:pPr>
            <w:r>
              <w:rPr>
                <w:rFonts w:hint="eastAsia" w:ascii="宋体" w:hAnsi="宋体" w:cs="宋体"/>
              </w:rPr>
              <w:t>1.一般供货要求：采购人根据实际需要，每天下午18时前列出一份第二天需要补充采购的食品请购清单，在收到采购人发出供货通知后，中标人最迟在次日上午8：00前提供当次物资。</w:t>
            </w:r>
          </w:p>
          <w:p w14:paraId="76C6212E">
            <w:pPr>
              <w:spacing w:line="360" w:lineRule="auto"/>
              <w:rPr>
                <w:rFonts w:ascii="宋体" w:hAnsi="宋体" w:cs="宋体"/>
              </w:rPr>
            </w:pPr>
            <w:r>
              <w:rPr>
                <w:rFonts w:hint="eastAsia" w:ascii="宋体" w:hAnsi="宋体" w:cs="宋体"/>
              </w:rPr>
              <w:t>2.紧急供货要求：有紧急供货需求时，中标人在收到采购人发出紧急供货通知后，中标人最迟1小时内完成当次现场供货。</w:t>
            </w:r>
          </w:p>
          <w:p w14:paraId="437B2295">
            <w:pPr>
              <w:spacing w:line="360" w:lineRule="auto"/>
              <w:rPr>
                <w:rFonts w:ascii="宋体" w:hAnsi="宋体" w:cs="宋体"/>
              </w:rPr>
            </w:pPr>
            <w:r>
              <w:rPr>
                <w:rFonts w:hint="eastAsia" w:ascii="宋体" w:hAnsi="宋体" w:cs="宋体"/>
              </w:rPr>
              <w:t>3.中标人不能满足供货要求时，应提前1个月通知采购人，采购人同意后方可终止合同。</w:t>
            </w:r>
          </w:p>
          <w:p w14:paraId="7F03BFAB">
            <w:pPr>
              <w:spacing w:line="360" w:lineRule="auto"/>
              <w:rPr>
                <w:rFonts w:ascii="宋体" w:hAnsi="宋体" w:cs="宋体"/>
              </w:rPr>
            </w:pPr>
            <w:r>
              <w:rPr>
                <w:rFonts w:hint="eastAsia" w:ascii="宋体" w:hAnsi="宋体" w:cs="宋体"/>
              </w:rPr>
              <w:t>4.中标人提供的产品</w:t>
            </w:r>
            <w:r>
              <w:rPr>
                <w:rFonts w:hint="eastAsia" w:ascii="宋体" w:hAnsi="宋体" w:cs="宋体"/>
                <w:szCs w:val="21"/>
              </w:rPr>
              <w:t>必须提供相关的质量安全检验合格证明，并附有农药残留检测证明</w:t>
            </w:r>
            <w:r>
              <w:rPr>
                <w:rFonts w:hint="eastAsia" w:ascii="宋体" w:hAnsi="宋体" w:cs="宋体"/>
              </w:rPr>
              <w:t>。严禁提供腐烂变质、污秽不洁、注水、含有毒、有害物质或对人体健康有害的食品等。</w:t>
            </w:r>
          </w:p>
          <w:p w14:paraId="4F32E146">
            <w:pPr>
              <w:spacing w:line="360" w:lineRule="auto"/>
              <w:rPr>
                <w:rFonts w:ascii="宋体" w:hAnsi="宋体" w:cs="宋体"/>
              </w:rPr>
            </w:pPr>
            <w:r>
              <w:rPr>
                <w:rFonts w:hint="eastAsia" w:ascii="宋体" w:hAnsi="宋体" w:cs="宋体"/>
              </w:rPr>
              <w:t>5.需要切砍的货物须由中标人负责切砍后交货。</w:t>
            </w:r>
          </w:p>
          <w:p w14:paraId="676B40F6">
            <w:pPr>
              <w:spacing w:line="360" w:lineRule="auto"/>
              <w:rPr>
                <w:rFonts w:ascii="宋体" w:hAnsi="宋体" w:cs="宋体"/>
              </w:rPr>
            </w:pPr>
            <w:r>
              <w:rPr>
                <w:rFonts w:hint="eastAsia" w:ascii="宋体" w:hAnsi="宋体" w:cs="宋体"/>
              </w:rPr>
              <w:t>6. 配送供应服务内容及要求详见附件一《配送供应内容及要求》。</w:t>
            </w:r>
          </w:p>
          <w:p w14:paraId="21A938B5">
            <w:pPr>
              <w:numPr>
                <w:ilvl w:val="255"/>
                <w:numId w:val="0"/>
              </w:numPr>
              <w:spacing w:line="360" w:lineRule="auto"/>
              <w:rPr>
                <w:rFonts w:ascii="宋体" w:hAnsi="宋体" w:cs="宋体"/>
                <w:b/>
                <w:bCs/>
              </w:rPr>
            </w:pPr>
            <w:r>
              <w:rPr>
                <w:rFonts w:hint="eastAsia" w:ascii="宋体" w:hAnsi="宋体"/>
                <w:b/>
                <w:bCs/>
                <w:szCs w:val="21"/>
              </w:rPr>
              <w:t>五、售后服务要求</w:t>
            </w:r>
          </w:p>
          <w:p w14:paraId="2281BF29">
            <w:pPr>
              <w:spacing w:line="360" w:lineRule="auto"/>
              <w:rPr>
                <w:rFonts w:ascii="宋体" w:hAnsi="宋体" w:cs="宋体"/>
              </w:rPr>
            </w:pPr>
            <w:r>
              <w:rPr>
                <w:rFonts w:hint="eastAsia" w:ascii="宋体" w:hAnsi="宋体" w:cs="宋体"/>
              </w:rPr>
              <w:t>1.中标人负责货物的供应、包装、运输、装卸、交货，以及途中冷链和售后服务等工作。</w:t>
            </w:r>
          </w:p>
          <w:p w14:paraId="27A6CD03">
            <w:pPr>
              <w:spacing w:line="360" w:lineRule="auto"/>
              <w:rPr>
                <w:rFonts w:ascii="宋体" w:hAnsi="宋体" w:cs="宋体"/>
              </w:rPr>
            </w:pPr>
            <w:r>
              <w:rPr>
                <w:rFonts w:hint="eastAsia" w:ascii="宋体" w:hAnsi="宋体" w:cs="宋体"/>
              </w:rPr>
              <w:t>2.保质保量，如在质保期内发现质量问题，中标人必须在接到采购人通知后1小时内响应并处理，如属质量问题的及时给予更换；</w:t>
            </w:r>
          </w:p>
          <w:p w14:paraId="76F9BC64">
            <w:pPr>
              <w:spacing w:line="360" w:lineRule="auto"/>
              <w:rPr>
                <w:rFonts w:ascii="宋体" w:hAnsi="宋体" w:cs="宋体"/>
              </w:rPr>
            </w:pPr>
            <w:r>
              <w:rPr>
                <w:rFonts w:hint="eastAsia" w:ascii="宋体" w:hAnsi="宋体" w:cs="宋体"/>
              </w:rPr>
              <w:t>3.投标人必须在投标文件中提供具体的“售后服务承诺书”；</w:t>
            </w:r>
          </w:p>
          <w:p w14:paraId="6FF09C8F">
            <w:pPr>
              <w:spacing w:line="360" w:lineRule="auto"/>
              <w:rPr>
                <w:rFonts w:ascii="宋体" w:hAnsi="宋体" w:cs="宋体"/>
              </w:rPr>
            </w:pPr>
            <w:r>
              <w:rPr>
                <w:rFonts w:hint="eastAsia" w:ascii="宋体" w:hAnsi="宋体" w:cs="宋体"/>
              </w:rPr>
              <w:t>4.中标人必须严格按采购单位需要的数量和时间供货。</w:t>
            </w:r>
          </w:p>
          <w:p w14:paraId="3D5CCE14">
            <w:pPr>
              <w:numPr>
                <w:ilvl w:val="255"/>
                <w:numId w:val="0"/>
              </w:numPr>
              <w:spacing w:line="360" w:lineRule="auto"/>
              <w:rPr>
                <w:rFonts w:ascii="宋体" w:hAnsi="宋体" w:cs="宋体"/>
                <w:b/>
                <w:bCs/>
              </w:rPr>
            </w:pPr>
            <w:r>
              <w:rPr>
                <w:rFonts w:hint="eastAsia" w:ascii="宋体" w:hAnsi="宋体" w:cs="宋体"/>
                <w:b/>
                <w:bCs/>
              </w:rPr>
              <w:t>六、验收方法</w:t>
            </w:r>
          </w:p>
          <w:p w14:paraId="555A351A">
            <w:pPr>
              <w:spacing w:line="360" w:lineRule="auto"/>
              <w:rPr>
                <w:rFonts w:ascii="宋体" w:hAnsi="宋体" w:cs="宋体"/>
              </w:rPr>
            </w:pPr>
            <w:r>
              <w:rPr>
                <w:rFonts w:hint="eastAsia" w:ascii="宋体" w:hAnsi="宋体" w:cs="宋体"/>
              </w:rPr>
              <w:t>1.货物的验收工作由采购人和中标人共同进行。中标人提供的产品须经过采购人的感官检验、外观检验，若产品外观、包装、形式、质量不符合要求或感官检验不能达到食品卫生要求，当即拒收；中标人不能满足食品的质、量及售后服务要求时，采购人有权进行处罚或终止合同。</w:t>
            </w:r>
          </w:p>
          <w:p w14:paraId="1BA0BEC5">
            <w:pPr>
              <w:spacing w:line="360" w:lineRule="auto"/>
              <w:rPr>
                <w:rFonts w:ascii="宋体" w:hAnsi="宋体" w:cs="宋体"/>
              </w:rPr>
            </w:pPr>
            <w:r>
              <w:rPr>
                <w:rFonts w:hint="eastAsia" w:ascii="宋体" w:hAnsi="宋体" w:cs="宋体"/>
              </w:rPr>
              <w:t>2.验收工作的一般程序为：根据供货清单的具体要求，对所购物料进行清点、外观检查以及对物料的各项指标和性能进行实测，并逐项记录。检测结束后，验收人员在验收单上签字。对未能通过验收的，一律退货、更换直至验收合格。</w:t>
            </w:r>
          </w:p>
          <w:p w14:paraId="39D90EF7">
            <w:pPr>
              <w:numPr>
                <w:ilvl w:val="255"/>
                <w:numId w:val="0"/>
              </w:numPr>
              <w:spacing w:line="360" w:lineRule="auto"/>
              <w:rPr>
                <w:rFonts w:ascii="宋体" w:hAnsi="宋体" w:cs="宋体"/>
              </w:rPr>
            </w:pPr>
            <w:r>
              <w:rPr>
                <w:rFonts w:hint="eastAsia" w:ascii="宋体" w:hAnsi="宋体" w:cs="宋体"/>
                <w:b/>
                <w:bCs/>
              </w:rPr>
              <w:t>七、结算方式</w:t>
            </w:r>
          </w:p>
          <w:p w14:paraId="43C7E1BF">
            <w:pPr>
              <w:spacing w:line="360" w:lineRule="auto"/>
              <w:jc w:val="left"/>
              <w:rPr>
                <w:rFonts w:ascii="宋体" w:hAnsi="宋体" w:cs="宋体"/>
              </w:rPr>
            </w:pPr>
            <w:r>
              <w:rPr>
                <w:rFonts w:hint="eastAsia" w:ascii="宋体" w:hAnsi="宋体" w:cs="宋体"/>
              </w:rPr>
              <w:t>(1)本项目采用先供货后对账再结算方式。</w:t>
            </w:r>
          </w:p>
          <w:p w14:paraId="4870C507">
            <w:pPr>
              <w:spacing w:line="360" w:lineRule="auto"/>
              <w:jc w:val="left"/>
              <w:rPr>
                <w:rFonts w:ascii="宋体" w:hAnsi="宋体" w:cs="宋体"/>
              </w:rPr>
            </w:pPr>
            <w:r>
              <w:rPr>
                <w:rFonts w:hint="eastAsia" w:ascii="宋体" w:hAnsi="宋体" w:cs="宋体"/>
              </w:rPr>
              <w:t>(2)食材价格调动机制：自合同生效之日起三个月后，如果市场价格出现10%以上波动的，由中标供应商或采购人生活卫生部门提出调价申请，由采购人面向市场主体选择不少于3家具有代表性的调查对象（从以下市场或超市中随机抽取三家：梧州市龙圩区大圆塘市场、梧州市新兴市场、梧州市大塘市场、梧州市龙圩区龙人超市、梧州市沃尔玛超市、梧州市大润发超市）开展市场价格调查或送审计造价公司审定，以市场调查的最低价格或审定价乘以95%后作为下月的基准单价（特价商品除外），拟定调整价格经采购人工作小组复核，报采购人单位党委审定，方可调整价格。原则上每三个月复核一次采购价格。投标人应充分考虑到供货期间物品供应基准单价上涨的风险（如有新的价格调动机制文件，按新的文件规定执行）。在调价申请未得到批复前，供应商必须按现行价格供货，否则视为单方违约，同时按违约进行处理。</w:t>
            </w:r>
          </w:p>
          <w:p w14:paraId="6A8F97F7">
            <w:pPr>
              <w:spacing w:line="360" w:lineRule="auto"/>
              <w:rPr>
                <w:rFonts w:ascii="宋体" w:hAnsi="宋体" w:cs="宋体"/>
                <w:b/>
                <w:bCs/>
              </w:rPr>
            </w:pPr>
            <w:r>
              <w:rPr>
                <w:rFonts w:hint="eastAsia" w:ascii="宋体" w:hAnsi="宋体" w:cs="宋体"/>
                <w:szCs w:val="21"/>
              </w:rPr>
              <w:t>(3)食材供货期内，某一食材供应价款实际结算方式为：实际食材结算金额=供应基准单价×实际采购数量×中标折扣系数(%)。</w:t>
            </w:r>
          </w:p>
          <w:p w14:paraId="55E8FE29">
            <w:pPr>
              <w:numPr>
                <w:ilvl w:val="255"/>
                <w:numId w:val="0"/>
              </w:numPr>
              <w:spacing w:line="360" w:lineRule="auto"/>
              <w:rPr>
                <w:rFonts w:ascii="宋体" w:hAnsi="宋体" w:cs="宋体"/>
                <w:b/>
                <w:bCs/>
              </w:rPr>
            </w:pPr>
            <w:r>
              <w:rPr>
                <w:rFonts w:hint="eastAsia" w:ascii="宋体" w:hAnsi="宋体" w:cs="宋体"/>
                <w:b/>
                <w:bCs/>
              </w:rPr>
              <w:t>八、其他要求</w:t>
            </w:r>
          </w:p>
          <w:p w14:paraId="51EDFE44">
            <w:pPr>
              <w:spacing w:line="360" w:lineRule="auto"/>
              <w:rPr>
                <w:rFonts w:ascii="宋体" w:hAnsi="宋体" w:cs="宋体"/>
              </w:rPr>
            </w:pPr>
            <w:r>
              <w:rPr>
                <w:rFonts w:hint="eastAsia" w:ascii="宋体" w:hAnsi="宋体" w:cs="宋体"/>
              </w:rPr>
              <w:t>1.中标人必须遵守采购人有关管理规定，否则采购人有权终止合同。</w:t>
            </w:r>
          </w:p>
          <w:p w14:paraId="4C83DD7F">
            <w:pPr>
              <w:spacing w:line="360" w:lineRule="auto"/>
              <w:rPr>
                <w:rFonts w:ascii="宋体" w:hAnsi="宋体" w:cs="宋体"/>
              </w:rPr>
            </w:pPr>
            <w:r>
              <w:rPr>
                <w:rFonts w:hint="eastAsia" w:ascii="宋体" w:hAnsi="宋体" w:cs="宋体"/>
              </w:rPr>
              <w:t>2.配送人员必须办理健康证，针对各分标投标文件中提供2名以上员工的健康证明、</w:t>
            </w:r>
            <w:r>
              <w:rPr>
                <w:rFonts w:hint="eastAsia" w:ascii="宋体" w:hAnsi="宋体" w:cs="宋体"/>
                <w:bCs/>
                <w:kern w:val="0"/>
                <w:szCs w:val="21"/>
              </w:rPr>
              <w:t>提供无犯罪证明材料</w:t>
            </w:r>
            <w:r>
              <w:rPr>
                <w:rFonts w:hint="eastAsia" w:ascii="宋体" w:hAnsi="宋体" w:cs="宋体"/>
              </w:rPr>
              <w:t>。如临时非固定人员送货，须取得采购人同意。</w:t>
            </w:r>
          </w:p>
          <w:p w14:paraId="402F44F3">
            <w:pPr>
              <w:spacing w:line="360" w:lineRule="auto"/>
              <w:rPr>
                <w:rFonts w:ascii="宋体" w:hAnsi="宋体" w:cs="宋体"/>
              </w:rPr>
            </w:pPr>
            <w:r>
              <w:rPr>
                <w:rFonts w:hint="eastAsia" w:ascii="宋体" w:hAnsi="宋体" w:cs="宋体"/>
              </w:rPr>
              <w:t>3.投标人针对各分标必须拥有专用配送车辆（投标文件中提供如下证明资料：驾驶证、行驶证、车辆≥1辆、车辆照片），车厢内干净、整洁且能按采购人规定的时间及地点一次完成该批次货物的供应。</w:t>
            </w:r>
          </w:p>
          <w:p w14:paraId="0CC88D42">
            <w:pPr>
              <w:spacing w:line="360" w:lineRule="auto"/>
              <w:rPr>
                <w:rFonts w:ascii="宋体" w:hAnsi="宋体" w:cs="宋体"/>
              </w:rPr>
            </w:pPr>
            <w:r>
              <w:rPr>
                <w:rFonts w:hint="eastAsia" w:ascii="宋体" w:hAnsi="宋体" w:cs="宋体"/>
              </w:rPr>
              <w:t>4.</w:t>
            </w:r>
            <w:r>
              <w:rPr>
                <w:rFonts w:hint="eastAsia" w:ascii="宋体" w:hAnsi="宋体" w:cs="宋体"/>
                <w:b/>
              </w:rPr>
              <w:t>本项目采购需求中的要求均为实质性要求，投标人必须满足或优于，否则按投标无效处理</w:t>
            </w:r>
            <w:r>
              <w:rPr>
                <w:rFonts w:hint="eastAsia" w:ascii="宋体" w:hAnsi="宋体" w:cs="宋体"/>
              </w:rPr>
              <w:t>。实际数量为采购人根据实际需要；中标人不得因实际供应量提出异议。</w:t>
            </w:r>
          </w:p>
          <w:p w14:paraId="23929698">
            <w:pPr>
              <w:numPr>
                <w:ilvl w:val="255"/>
                <w:numId w:val="0"/>
              </w:numPr>
              <w:spacing w:line="360" w:lineRule="auto"/>
              <w:rPr>
                <w:rFonts w:ascii="宋体" w:hAnsi="宋体" w:cs="宋体"/>
                <w:b/>
                <w:bCs/>
              </w:rPr>
            </w:pPr>
            <w:r>
              <w:rPr>
                <w:rFonts w:hint="eastAsia" w:ascii="宋体" w:hAnsi="宋体" w:cs="宋体"/>
                <w:b/>
                <w:bCs/>
              </w:rPr>
              <w:t>九、安全责任</w:t>
            </w:r>
          </w:p>
          <w:p w14:paraId="1765BAA3">
            <w:pPr>
              <w:spacing w:line="360" w:lineRule="auto"/>
              <w:rPr>
                <w:rFonts w:ascii="宋体" w:hAnsi="宋体" w:cs="宋体"/>
              </w:rPr>
            </w:pPr>
            <w:r>
              <w:rPr>
                <w:rFonts w:hint="eastAsia" w:ascii="宋体" w:hAnsi="宋体" w:cs="宋体"/>
              </w:rPr>
              <w:t>1.采购人有权随时对产品进行抽样送检，检测费用由中标人承担。中标人必须依法接受质量技术监督、卫生、市场监督管理局等职能部门的监督管理，并接受、配合相关职能部门的检测。因产品卫生和质量不合格而发生安全事故，中标人无条件承担全部责任，有关职能部门依法追究其责任，并取消中标人配送资格。</w:t>
            </w:r>
          </w:p>
          <w:p w14:paraId="12799EC2">
            <w:pPr>
              <w:spacing w:line="360" w:lineRule="auto"/>
              <w:rPr>
                <w:rFonts w:ascii="宋体" w:hAnsi="宋体" w:cs="宋体"/>
              </w:rPr>
            </w:pPr>
            <w:r>
              <w:rPr>
                <w:rFonts w:hint="eastAsia" w:ascii="宋体" w:hAnsi="宋体" w:cs="宋体"/>
              </w:rPr>
              <w:t>2.中标人应严格遵守《中华人民共和国食品安全法》等相关规定，所提供的产品是合格安全的产品，一经发现供应以下食品，采购人除全部退货外，有权可取消中标人配送资格，没收全部履约保证金，中标人并承担由此造成的经济责任和法律责任。</w:t>
            </w:r>
          </w:p>
          <w:p w14:paraId="1E288ECB">
            <w:pPr>
              <w:spacing w:line="360" w:lineRule="auto"/>
              <w:rPr>
                <w:rFonts w:ascii="宋体" w:hAnsi="宋体" w:cs="宋体"/>
              </w:rPr>
            </w:pPr>
            <w:r>
              <w:rPr>
                <w:rFonts w:hint="eastAsia" w:ascii="宋体" w:hAnsi="宋体" w:cs="宋体"/>
              </w:rPr>
              <w:t>①腐败变质、油脂酸败、霉变、生虫、污秽不洁、混有异物或者其他感官性状异常，对人体健康有害的；</w:t>
            </w:r>
          </w:p>
          <w:p w14:paraId="1B673D6E">
            <w:pPr>
              <w:spacing w:line="360" w:lineRule="auto"/>
              <w:rPr>
                <w:rFonts w:ascii="宋体" w:hAnsi="宋体" w:cs="宋体"/>
              </w:rPr>
            </w:pPr>
            <w:r>
              <w:rPr>
                <w:rFonts w:hint="eastAsia" w:ascii="宋体" w:hAnsi="宋体" w:cs="宋体"/>
              </w:rPr>
              <w:t>②含有毒、有害物质或者被有害物质污染，对人体健康有害的；</w:t>
            </w:r>
          </w:p>
          <w:p w14:paraId="0F0A4F4F">
            <w:pPr>
              <w:spacing w:line="360" w:lineRule="auto"/>
              <w:rPr>
                <w:rFonts w:ascii="宋体" w:hAnsi="宋体" w:cs="宋体"/>
              </w:rPr>
            </w:pPr>
            <w:r>
              <w:rPr>
                <w:rFonts w:hint="eastAsia" w:ascii="宋体" w:hAnsi="宋体" w:cs="宋体"/>
              </w:rPr>
              <w:t>③含有致病性寄生虫、微生物或者微生物含量超过国家限定标准的；</w:t>
            </w:r>
          </w:p>
          <w:p w14:paraId="52EC94B1">
            <w:pPr>
              <w:spacing w:line="360" w:lineRule="auto"/>
              <w:rPr>
                <w:rFonts w:ascii="宋体" w:hAnsi="宋体" w:cs="宋体"/>
              </w:rPr>
            </w:pPr>
            <w:r>
              <w:rPr>
                <w:rFonts w:hint="eastAsia" w:ascii="宋体" w:hAnsi="宋体" w:cs="宋体"/>
              </w:rPr>
              <w:t>④掺假、掺杂、伪造，影响营养、卫生的；</w:t>
            </w:r>
          </w:p>
          <w:p w14:paraId="11B55664">
            <w:pPr>
              <w:spacing w:line="360" w:lineRule="auto"/>
              <w:rPr>
                <w:rFonts w:ascii="宋体" w:hAnsi="宋体" w:cs="宋体"/>
              </w:rPr>
            </w:pPr>
            <w:r>
              <w:rPr>
                <w:rFonts w:hint="eastAsia" w:ascii="宋体" w:hAnsi="宋体" w:cs="宋体"/>
              </w:rPr>
              <w:t>⑤用非食品原料加工的，加入非食品用化学物质或者将非食品当作食品的；</w:t>
            </w:r>
          </w:p>
          <w:p w14:paraId="0AFE89CD">
            <w:pPr>
              <w:spacing w:line="360" w:lineRule="auto"/>
              <w:rPr>
                <w:rFonts w:ascii="宋体" w:hAnsi="宋体" w:cs="宋体"/>
              </w:rPr>
            </w:pPr>
            <w:r>
              <w:rPr>
                <w:rFonts w:hint="eastAsia" w:ascii="宋体" w:hAnsi="宋体" w:cs="宋体"/>
              </w:rPr>
              <w:t>⑥超过保质期限的。</w:t>
            </w:r>
          </w:p>
          <w:p w14:paraId="7C0B4DFE">
            <w:pPr>
              <w:spacing w:line="360" w:lineRule="auto"/>
              <w:rPr>
                <w:rFonts w:ascii="宋体" w:hAnsi="宋体" w:cs="宋体"/>
              </w:rPr>
            </w:pPr>
            <w:r>
              <w:rPr>
                <w:rFonts w:hint="eastAsia" w:ascii="宋体" w:hAnsi="宋体" w:cs="宋体"/>
              </w:rPr>
              <w:t>⑦病死、毒死或者死因不明的禽、畜、兽动物等及其制品；</w:t>
            </w:r>
          </w:p>
          <w:p w14:paraId="1FE62E16">
            <w:pPr>
              <w:spacing w:line="360" w:lineRule="auto"/>
            </w:pPr>
            <w:r>
              <w:rPr>
                <w:rFonts w:hint="eastAsia" w:ascii="宋体" w:hAnsi="宋体" w:cs="宋体"/>
              </w:rPr>
              <w:t>⑧</w:t>
            </w:r>
            <w:r>
              <w:rPr>
                <w:rFonts w:hint="eastAsia"/>
              </w:rPr>
              <w:t>食材没有合法供货来源的；</w:t>
            </w:r>
          </w:p>
          <w:p w14:paraId="45191266">
            <w:pPr>
              <w:spacing w:line="360" w:lineRule="auto"/>
              <w:rPr>
                <w:rFonts w:ascii="宋体" w:hAnsi="宋体" w:cs="宋体"/>
              </w:rPr>
            </w:pPr>
            <w:r>
              <w:rPr>
                <w:rFonts w:hint="eastAsia" w:ascii="宋体" w:hAnsi="宋体" w:cs="宋体"/>
                <w:szCs w:val="21"/>
              </w:rPr>
              <w:t>⑨</w:t>
            </w:r>
            <w:r>
              <w:rPr>
                <w:rFonts w:hint="eastAsia" w:ascii="宋体" w:hAnsi="宋体"/>
                <w:szCs w:val="21"/>
              </w:rPr>
              <w:t>未经检疫部门检疫、检验或者检疫、检验不合格的；</w:t>
            </w:r>
          </w:p>
          <w:p w14:paraId="529A627A">
            <w:pPr>
              <w:spacing w:line="360" w:lineRule="auto"/>
              <w:rPr>
                <w:rFonts w:ascii="宋体" w:hAnsi="宋体" w:cs="宋体"/>
              </w:rPr>
            </w:pPr>
            <w:r>
              <w:rPr>
                <w:rFonts w:hint="eastAsia" w:ascii="宋体" w:hAnsi="宋体" w:cs="宋体"/>
              </w:rPr>
              <w:t>⑩其他不符合食品卫生标准的情形。</w:t>
            </w:r>
          </w:p>
          <w:p w14:paraId="1A6F0FB6">
            <w:pPr>
              <w:spacing w:line="360" w:lineRule="auto"/>
              <w:rPr>
                <w:rFonts w:ascii="宋体" w:hAnsi="宋体" w:cs="宋体"/>
              </w:rPr>
            </w:pPr>
            <w:r>
              <w:rPr>
                <w:rFonts w:hint="eastAsia" w:ascii="宋体" w:hAnsi="宋体" w:cs="宋体"/>
              </w:rPr>
              <w:t>3.服务期限内，如有以下情形之一的，终止其配送资格。</w:t>
            </w:r>
          </w:p>
          <w:p w14:paraId="532A518B">
            <w:pPr>
              <w:spacing w:line="360" w:lineRule="auto"/>
              <w:rPr>
                <w:rFonts w:ascii="宋体" w:hAnsi="宋体" w:cs="宋体"/>
              </w:rPr>
            </w:pPr>
            <w:r>
              <w:rPr>
                <w:rFonts w:hint="eastAsia" w:ascii="宋体" w:hAnsi="宋体" w:cs="宋体"/>
              </w:rPr>
              <w:t>①严重违法违规，被食品安全监管部门或其他部门处罚的；</w:t>
            </w:r>
          </w:p>
          <w:p w14:paraId="54B27A7F">
            <w:pPr>
              <w:spacing w:line="360" w:lineRule="auto"/>
              <w:rPr>
                <w:rFonts w:ascii="宋体" w:hAnsi="宋体" w:cs="宋体"/>
              </w:rPr>
            </w:pPr>
            <w:r>
              <w:rPr>
                <w:rFonts w:hint="eastAsia" w:ascii="宋体" w:hAnsi="宋体" w:cs="宋体"/>
              </w:rPr>
              <w:t>②虚开发票，套取资金，被监察、审计、财政、物价等有关部门查实的；</w:t>
            </w:r>
          </w:p>
          <w:p w14:paraId="2F9ECE6D">
            <w:pPr>
              <w:spacing w:line="360" w:lineRule="auto"/>
              <w:rPr>
                <w:rFonts w:ascii="宋体" w:hAnsi="宋体" w:cs="宋体"/>
              </w:rPr>
            </w:pPr>
            <w:r>
              <w:rPr>
                <w:rFonts w:hint="eastAsia" w:ascii="宋体" w:hAnsi="宋体" w:cs="宋体"/>
              </w:rPr>
              <w:t>③因食品原材料问题而发生食品安全事故，造成不良后果的；</w:t>
            </w:r>
          </w:p>
          <w:p w14:paraId="25521D69">
            <w:pPr>
              <w:spacing w:line="360" w:lineRule="auto"/>
              <w:rPr>
                <w:rFonts w:ascii="宋体" w:hAnsi="宋体" w:cs="宋体"/>
              </w:rPr>
            </w:pPr>
            <w:r>
              <w:rPr>
                <w:rFonts w:hint="eastAsia" w:ascii="宋体" w:hAnsi="宋体" w:cs="宋体"/>
              </w:rPr>
              <w:t>④被</w:t>
            </w:r>
            <w:r>
              <w:rPr>
                <w:rFonts w:hint="eastAsia" w:ascii="宋体" w:hAnsi="宋体"/>
                <w:szCs w:val="21"/>
              </w:rPr>
              <w:t>市场监督管理局</w:t>
            </w:r>
            <w:r>
              <w:rPr>
                <w:rFonts w:hint="eastAsia" w:ascii="宋体" w:hAnsi="宋体" w:cs="宋体"/>
              </w:rPr>
              <w:t>、农业农村局抽检食品原材料发现存在严重质量问题的；</w:t>
            </w:r>
          </w:p>
          <w:p w14:paraId="49997FBB">
            <w:pPr>
              <w:spacing w:line="360" w:lineRule="auto"/>
              <w:rPr>
                <w:rFonts w:ascii="宋体" w:hAnsi="宋体" w:cs="宋体"/>
              </w:rPr>
            </w:pPr>
            <w:r>
              <w:rPr>
                <w:rFonts w:hint="eastAsia" w:ascii="宋体" w:hAnsi="宋体" w:cs="宋体"/>
              </w:rPr>
              <w:t>⑤被媒体曝光，造成不良影响的；</w:t>
            </w:r>
          </w:p>
          <w:p w14:paraId="46F9D2F1">
            <w:pPr>
              <w:spacing w:line="360" w:lineRule="auto"/>
              <w:rPr>
                <w:rFonts w:ascii="宋体" w:hAnsi="宋体" w:cs="宋体"/>
              </w:rPr>
            </w:pPr>
            <w:r>
              <w:rPr>
                <w:rFonts w:hint="eastAsia" w:ascii="宋体" w:hAnsi="宋体" w:cs="宋体"/>
              </w:rPr>
              <w:t>⑥经查实，存在严重短斤缺两行为；</w:t>
            </w:r>
          </w:p>
          <w:p w14:paraId="3D30803C">
            <w:pPr>
              <w:widowControl/>
              <w:shd w:val="clear" w:color="auto" w:fill="FFFFFF"/>
              <w:spacing w:line="312" w:lineRule="auto"/>
              <w:jc w:val="left"/>
              <w:rPr>
                <w:rFonts w:ascii="宋体" w:hAnsi="宋体"/>
                <w:szCs w:val="21"/>
              </w:rPr>
            </w:pPr>
            <w:r>
              <w:rPr>
                <w:rFonts w:hint="eastAsia" w:ascii="宋体" w:hAnsi="宋体" w:cs="宋体"/>
              </w:rPr>
              <w:t>⑦</w:t>
            </w:r>
            <w:r>
              <w:rPr>
                <w:rFonts w:hint="eastAsia" w:ascii="宋体" w:hAnsi="宋体"/>
                <w:szCs w:val="21"/>
              </w:rPr>
              <w:t>被吊销或注销食品生产许可证或者食品经营许可证的；</w:t>
            </w:r>
          </w:p>
          <w:p w14:paraId="6BDF01D6">
            <w:pPr>
              <w:spacing w:line="360" w:lineRule="auto"/>
              <w:rPr>
                <w:rFonts w:ascii="宋体" w:hAnsi="宋体"/>
                <w:szCs w:val="21"/>
              </w:rPr>
            </w:pPr>
            <w:r>
              <w:rPr>
                <w:rFonts w:hint="eastAsia" w:ascii="宋体" w:hAnsi="宋体" w:cs="宋体"/>
              </w:rPr>
              <w:t>⑧</w:t>
            </w:r>
            <w:r>
              <w:rPr>
                <w:rFonts w:hint="eastAsia" w:ascii="宋体" w:hAnsi="宋体"/>
                <w:szCs w:val="21"/>
              </w:rPr>
              <w:t>违反食堂食品原材料采购配送规定，上级主管部门认定应退出的；</w:t>
            </w:r>
          </w:p>
          <w:p w14:paraId="0318C331">
            <w:pPr>
              <w:spacing w:line="360" w:lineRule="auto"/>
              <w:rPr>
                <w:rFonts w:ascii="宋体" w:hAnsi="宋体"/>
                <w:szCs w:val="21"/>
              </w:rPr>
            </w:pPr>
            <w:r>
              <w:rPr>
                <w:rFonts w:hint="eastAsia" w:ascii="宋体" w:hAnsi="宋体" w:cs="宋体"/>
                <w:szCs w:val="21"/>
              </w:rPr>
              <w:t>⑨</w:t>
            </w:r>
            <w:r>
              <w:rPr>
                <w:rFonts w:hint="eastAsia" w:ascii="宋体" w:hAnsi="宋体"/>
                <w:szCs w:val="21"/>
              </w:rPr>
              <w:t>存在转包发包行为的。</w:t>
            </w:r>
          </w:p>
          <w:p w14:paraId="141EE315">
            <w:pPr>
              <w:numPr>
                <w:ilvl w:val="255"/>
                <w:numId w:val="0"/>
              </w:numPr>
              <w:spacing w:line="360" w:lineRule="auto"/>
              <w:jc w:val="left"/>
              <w:rPr>
                <w:rFonts w:ascii="宋体" w:hAnsi="宋体" w:cs="宋体"/>
                <w:b/>
                <w:bCs/>
              </w:rPr>
            </w:pPr>
            <w:r>
              <w:rPr>
                <w:rFonts w:hint="eastAsia" w:ascii="宋体" w:hAnsi="宋体" w:cs="宋体"/>
                <w:b/>
                <w:bCs/>
              </w:rPr>
              <w:t>十、报价要求</w:t>
            </w:r>
          </w:p>
          <w:p w14:paraId="3F51B0B6">
            <w:pPr>
              <w:spacing w:line="360" w:lineRule="auto"/>
              <w:rPr>
                <w:rFonts w:ascii="宋体" w:hAnsi="宋体" w:cs="宋体"/>
                <w:szCs w:val="21"/>
              </w:rPr>
            </w:pPr>
            <w:r>
              <w:rPr>
                <w:rFonts w:hint="eastAsia" w:ascii="宋体" w:hAnsi="宋体" w:cs="宋体"/>
              </w:rPr>
              <w:t>1.</w:t>
            </w:r>
            <w:r>
              <w:rPr>
                <w:rFonts w:hint="eastAsia" w:ascii="宋体" w:hAnsi="宋体" w:cs="宋体"/>
                <w:szCs w:val="21"/>
              </w:rPr>
              <w:t xml:space="preserve"> 超出有效报价范围的视为投标无效；投标报价按综合折扣系数报价（保留小数点后2位），投标报价有效报价范围为：折扣系数≤100%，投标人的投标单价为供应基准单价×投标报价折扣系数。</w:t>
            </w:r>
          </w:p>
          <w:p w14:paraId="24582191">
            <w:pPr>
              <w:spacing w:line="360" w:lineRule="auto"/>
              <w:rPr>
                <w:rFonts w:ascii="宋体" w:hAnsi="宋体" w:cs="宋体"/>
                <w:b/>
                <w:bCs/>
              </w:rPr>
            </w:pPr>
            <w:r>
              <w:rPr>
                <w:rFonts w:hint="eastAsia" w:ascii="宋体" w:hAnsi="宋体" w:cs="宋体"/>
              </w:rPr>
              <w:t>2.投标报价结合市场价格、成本及自身条件、市场风险考虑报出综合的折扣系数。</w:t>
            </w:r>
            <w:r>
              <w:rPr>
                <w:rFonts w:hint="eastAsia" w:ascii="宋体" w:hAnsi="宋体" w:cs="宋体"/>
                <w:b/>
                <w:bCs/>
              </w:rPr>
              <w:t>投标人一旦中标，中标折扣系数在合同服务期内不得改变。</w:t>
            </w:r>
          </w:p>
          <w:p w14:paraId="3C13BAB3">
            <w:pPr>
              <w:spacing w:line="360" w:lineRule="auto"/>
              <w:rPr>
                <w:rFonts w:ascii="宋体" w:hAnsi="宋体" w:cs="宋体"/>
              </w:rPr>
            </w:pPr>
            <w:r>
              <w:rPr>
                <w:rFonts w:hint="eastAsia" w:ascii="宋体" w:hAnsi="宋体" w:cs="宋体"/>
              </w:rPr>
              <w:t>3.报价必须含以下部分，包括：</w:t>
            </w:r>
          </w:p>
          <w:p w14:paraId="317DDA13">
            <w:pPr>
              <w:spacing w:line="360" w:lineRule="auto"/>
              <w:rPr>
                <w:rFonts w:ascii="宋体" w:hAnsi="宋体" w:cs="宋体"/>
              </w:rPr>
            </w:pPr>
            <w:r>
              <w:rPr>
                <w:rFonts w:hint="eastAsia" w:ascii="宋体" w:hAnsi="宋体" w:cs="宋体"/>
              </w:rPr>
              <w:t>①货物、服务的价格；</w:t>
            </w:r>
          </w:p>
          <w:p w14:paraId="53D66555">
            <w:pPr>
              <w:spacing w:line="360" w:lineRule="auto"/>
              <w:rPr>
                <w:rFonts w:ascii="宋体" w:hAnsi="宋体" w:cs="宋体"/>
              </w:rPr>
            </w:pPr>
            <w:r>
              <w:rPr>
                <w:rFonts w:hint="eastAsia" w:ascii="宋体" w:hAnsi="宋体" w:cs="宋体"/>
              </w:rPr>
              <w:t>②必要的保险费用和各项税金；</w:t>
            </w:r>
          </w:p>
          <w:p w14:paraId="097457DA">
            <w:pPr>
              <w:spacing w:line="360" w:lineRule="auto"/>
              <w:rPr>
                <w:rFonts w:ascii="宋体" w:hAnsi="宋体" w:cs="宋体"/>
              </w:rPr>
            </w:pPr>
            <w:r>
              <w:rPr>
                <w:rFonts w:hint="eastAsia" w:ascii="宋体" w:hAnsi="宋体" w:cs="宋体"/>
              </w:rPr>
              <w:t>③</w:t>
            </w:r>
            <w:r>
              <w:rPr>
                <w:rFonts w:hint="eastAsia" w:ascii="宋体" w:hAnsi="宋体"/>
                <w:szCs w:val="21"/>
              </w:rPr>
              <w:t>检验检测、</w:t>
            </w:r>
            <w:r>
              <w:rPr>
                <w:rFonts w:hint="eastAsia" w:ascii="宋体" w:hAnsi="宋体" w:cs="宋体"/>
              </w:rPr>
              <w:t>包装费、运输、搬运装卸、配件加工、</w:t>
            </w:r>
            <w:r>
              <w:rPr>
                <w:rFonts w:hint="eastAsia" w:ascii="宋体" w:hAnsi="宋体"/>
                <w:szCs w:val="21"/>
              </w:rPr>
              <w:t>仓储、人工费及配送费、</w:t>
            </w:r>
            <w:r>
              <w:rPr>
                <w:rFonts w:hint="eastAsia" w:ascii="宋体" w:hAnsi="宋体" w:cs="宋体"/>
              </w:rPr>
              <w:t>售后服务等费用；</w:t>
            </w:r>
          </w:p>
          <w:p w14:paraId="67CC3BE9">
            <w:pPr>
              <w:spacing w:line="360" w:lineRule="auto"/>
              <w:rPr>
                <w:rFonts w:ascii="宋体" w:hAnsi="宋体" w:cs="宋体"/>
              </w:rPr>
            </w:pPr>
            <w:r>
              <w:rPr>
                <w:rFonts w:hint="eastAsia" w:ascii="宋体" w:hAnsi="宋体" w:cs="宋体"/>
              </w:rPr>
              <w:t>④招标文件所要求的相关服务以及合同所示全部责任、义务和一般风险等全过程产生的所有成本和费用以及税费与投标人认为应包含在本项目中的一切费用等有关费用。</w:t>
            </w:r>
          </w:p>
          <w:p w14:paraId="4240E0B5">
            <w:pPr>
              <w:spacing w:line="360" w:lineRule="auto"/>
              <w:rPr>
                <w:rFonts w:ascii="宋体" w:hAnsi="宋体" w:cs="宋体"/>
              </w:rPr>
            </w:pPr>
            <w:r>
              <w:rPr>
                <w:rFonts w:hint="eastAsia" w:ascii="宋体" w:hAnsi="宋体" w:cs="宋体"/>
              </w:rPr>
              <w:t>4.采购人经市场多方面询价发现中标人在合同服务期内所提供的商品价格普遍比市场询价高的、提供假冒伪劣、质量缺陷、非正品的产品，采购人向中标人发出累计二次书面问责书后合同自动解除。</w:t>
            </w:r>
          </w:p>
          <w:p w14:paraId="4E04DC0A">
            <w:pPr>
              <w:spacing w:line="360" w:lineRule="auto"/>
              <w:jc w:val="left"/>
              <w:rPr>
                <w:rFonts w:ascii="宋体" w:hAnsi="宋体" w:cs="宋体"/>
                <w:szCs w:val="21"/>
              </w:rPr>
            </w:pPr>
            <w:r>
              <w:rPr>
                <w:rFonts w:hint="eastAsia" w:ascii="宋体" w:hAnsi="宋体" w:cs="宋体"/>
                <w:b/>
                <w:bCs/>
              </w:rPr>
              <w:t>十一、付款方式：</w:t>
            </w:r>
          </w:p>
          <w:p w14:paraId="29C51031">
            <w:pPr>
              <w:spacing w:line="360" w:lineRule="auto"/>
              <w:jc w:val="left"/>
              <w:rPr>
                <w:szCs w:val="21"/>
              </w:rPr>
            </w:pPr>
            <w:r>
              <w:rPr>
                <w:rFonts w:hint="eastAsia" w:ascii="宋体" w:hAnsi="宋体" w:cs="宋体"/>
                <w:szCs w:val="21"/>
              </w:rPr>
              <w:t>中标人每月26日与采购人核对本月的采购数量（结算周期：上月26日至本月25日为一个结算周期），每月27日提供当月供应食材的等额发票及供货单据结算货款，每月结算一次。采购人收到发票及相关票据后，以银行转账方式向中标人支付货款。中标人须按时足额提供发票及相关票据，否则采购人有权拒绝付款而不构成违约。中标人开具的发票必须真实、合法、有效，如中标人提供虚假发票，由此引发的一切责任由中标人负责。</w:t>
            </w:r>
          </w:p>
          <w:p w14:paraId="3CB67734">
            <w:pPr>
              <w:numPr>
                <w:ilvl w:val="255"/>
                <w:numId w:val="0"/>
              </w:numPr>
              <w:spacing w:line="360" w:lineRule="auto"/>
              <w:rPr>
                <w:szCs w:val="21"/>
              </w:rPr>
            </w:pPr>
            <w:r>
              <w:rPr>
                <w:rFonts w:hint="eastAsia" w:ascii="宋体" w:hAnsi="宋体" w:cs="宋体"/>
                <w:b/>
                <w:bCs/>
              </w:rPr>
              <w:t>十二、</w:t>
            </w:r>
            <w:r>
              <w:rPr>
                <w:rFonts w:hint="eastAsia" w:ascii="宋体" w:hAnsi="宋体" w:cs="宋体"/>
              </w:rPr>
              <w:t>采购人对中标人实施考核管理制度，详见附件二《广西监狱罪犯生活物资供货商考核管理办法》。投标人在投标文件中出具承诺函：承诺如中标即服从“广西监狱罪犯生活物资供货商考核管理办法”；承诺函格式自拟。</w:t>
            </w:r>
          </w:p>
        </w:tc>
      </w:tr>
      <w:tr w14:paraId="42A912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44" w:hRule="atLeast"/>
          <w:jc w:val="center"/>
        </w:trPr>
        <w:tc>
          <w:tcPr>
            <w:tcW w:w="479" w:type="dxa"/>
            <w:tcBorders>
              <w:top w:val="single" w:color="auto" w:sz="4" w:space="0"/>
              <w:left w:val="single" w:color="auto" w:sz="4" w:space="0"/>
              <w:bottom w:val="single" w:color="auto" w:sz="4" w:space="0"/>
              <w:right w:val="single" w:color="auto" w:sz="4" w:space="0"/>
            </w:tcBorders>
            <w:vAlign w:val="center"/>
          </w:tcPr>
          <w:p w14:paraId="12FE1BF3">
            <w:pPr>
              <w:jc w:val="center"/>
              <w:rPr>
                <w:rFonts w:ascii="宋体" w:hAnsi="宋体"/>
                <w:szCs w:val="21"/>
              </w:rPr>
            </w:pPr>
            <w:r>
              <w:rPr>
                <w:rFonts w:hint="eastAsia" w:ascii="宋体" w:hAnsi="宋体"/>
                <w:szCs w:val="21"/>
              </w:rPr>
              <w:t>其他说明</w:t>
            </w:r>
          </w:p>
        </w:tc>
        <w:tc>
          <w:tcPr>
            <w:tcW w:w="10059" w:type="dxa"/>
            <w:gridSpan w:val="7"/>
            <w:tcBorders>
              <w:top w:val="single" w:color="auto" w:sz="4" w:space="0"/>
              <w:left w:val="single" w:color="auto" w:sz="4" w:space="0"/>
              <w:bottom w:val="single" w:color="auto" w:sz="4" w:space="0"/>
              <w:right w:val="single" w:color="auto" w:sz="4" w:space="0"/>
            </w:tcBorders>
          </w:tcPr>
          <w:p w14:paraId="7873C964">
            <w:pPr>
              <w:widowControl/>
              <w:shd w:val="clear" w:color="auto" w:fill="FFFFFF"/>
              <w:spacing w:line="480" w:lineRule="exact"/>
              <w:rPr>
                <w:rFonts w:ascii="宋体" w:hAnsi="宋体"/>
                <w:szCs w:val="21"/>
              </w:rPr>
            </w:pPr>
            <w:r>
              <w:rPr>
                <w:rFonts w:hint="eastAsia" w:ascii="宋体" w:hAnsi="宋体"/>
                <w:szCs w:val="21"/>
              </w:rPr>
              <w:t>一、进口产品说明（根据项目实际情况选择）</w:t>
            </w:r>
          </w:p>
          <w:p w14:paraId="2FD286B3">
            <w:pPr>
              <w:tabs>
                <w:tab w:val="left" w:pos="180"/>
                <w:tab w:val="left" w:pos="1620"/>
              </w:tabs>
              <w:spacing w:line="480" w:lineRule="exact"/>
              <w:ind w:firstLine="413" w:firstLineChars="197"/>
              <w:rPr>
                <w:rFonts w:ascii="宋体" w:hAnsi="宋体"/>
                <w:szCs w:val="21"/>
              </w:rPr>
            </w:pPr>
            <w:r>
              <w:rPr>
                <w:rFonts w:hint="eastAsia" w:ascii="宋体" w:hAnsi="宋体"/>
                <w:szCs w:val="21"/>
              </w:rPr>
              <w:t>本分标货物所涉及的货物不接受进口产品（即通过中国海关报关验放进入中国境内且产自关境外的产品）参与投标，</w:t>
            </w:r>
            <w:r>
              <w:rPr>
                <w:rFonts w:hint="eastAsia" w:ascii="宋体" w:hAnsi="宋体"/>
                <w:b/>
                <w:szCs w:val="21"/>
              </w:rPr>
              <w:t>如有进口产品参与投标的作无效标处理</w:t>
            </w:r>
            <w:r>
              <w:rPr>
                <w:rFonts w:hint="eastAsia" w:ascii="宋体" w:hAnsi="宋体"/>
                <w:szCs w:val="21"/>
              </w:rPr>
              <w:t>。</w:t>
            </w:r>
          </w:p>
          <w:p w14:paraId="6F137510">
            <w:pPr>
              <w:widowControl/>
              <w:shd w:val="clear" w:color="auto" w:fill="FFFFFF"/>
              <w:spacing w:line="480" w:lineRule="exact"/>
              <w:rPr>
                <w:rFonts w:ascii="宋体" w:hAnsi="宋体"/>
                <w:szCs w:val="21"/>
              </w:rPr>
            </w:pPr>
            <w:r>
              <w:rPr>
                <w:rFonts w:hint="eastAsia" w:ascii="宋体" w:hAnsi="宋体"/>
                <w:szCs w:val="21"/>
              </w:rPr>
              <w:t>二、</w:t>
            </w:r>
            <w:r>
              <w:rPr>
                <w:rFonts w:hint="eastAsia" w:ascii="宋体" w:hAnsi="宋体" w:cs="宋体"/>
                <w:szCs w:val="21"/>
              </w:rPr>
              <w:t>偏离条款说明</w:t>
            </w:r>
          </w:p>
          <w:p w14:paraId="7F99FAEC">
            <w:pPr>
              <w:widowControl/>
              <w:shd w:val="clear" w:color="auto" w:fill="FFFFFF"/>
              <w:spacing w:line="480" w:lineRule="exact"/>
              <w:ind w:firstLine="422" w:firstLineChars="200"/>
            </w:pPr>
            <w:r>
              <w:rPr>
                <w:rFonts w:hint="eastAsia" w:ascii="宋体" w:hAnsi="宋体" w:cs="宋体"/>
                <w:b/>
                <w:szCs w:val="21"/>
              </w:rPr>
              <w:t>带“▲”系指实质性要求条款，投标产品必须满足，否则投标无效；单个项号的货物（产品）允许偏离的非“▲”技术指标或要求发生负偏离的项数达</w:t>
            </w:r>
            <w:r>
              <w:rPr>
                <w:rFonts w:hint="eastAsia" w:ascii="宋体" w:hAnsi="宋体" w:cs="宋体"/>
                <w:b/>
                <w:szCs w:val="21"/>
                <w:u w:val="single"/>
              </w:rPr>
              <w:t>1项（含1项）</w:t>
            </w:r>
            <w:r>
              <w:rPr>
                <w:rFonts w:hint="eastAsia" w:ascii="宋体" w:hAnsi="宋体" w:cs="宋体"/>
                <w:b/>
                <w:szCs w:val="21"/>
              </w:rPr>
              <w:t>以上的，按投标文件作无效处理</w:t>
            </w:r>
            <w:r>
              <w:rPr>
                <w:rFonts w:hint="eastAsia" w:ascii="宋体" w:hAnsi="宋体" w:cs="宋体"/>
                <w:bCs/>
                <w:szCs w:val="21"/>
              </w:rPr>
              <w:t>。</w:t>
            </w:r>
          </w:p>
        </w:tc>
      </w:tr>
    </w:tbl>
    <w:p w14:paraId="4DC9BB0B">
      <w:pPr>
        <w:widowControl/>
        <w:spacing w:line="440" w:lineRule="exact"/>
        <w:jc w:val="left"/>
        <w:outlineLvl w:val="1"/>
        <w:rPr>
          <w:rFonts w:ascii="宋体" w:hAnsi="宋体" w:cs="Arial"/>
          <w:bCs/>
          <w:u w:val="single"/>
        </w:rPr>
      </w:pPr>
      <w:r>
        <w:rPr>
          <w:rFonts w:ascii="宋体" w:hAnsi="宋体" w:cs="Arial"/>
          <w:bCs/>
          <w:u w:val="single"/>
        </w:rPr>
        <w:br w:type="page"/>
      </w:r>
      <w:bookmarkStart w:id="164" w:name="_Toc15539"/>
      <w:bookmarkStart w:id="165" w:name="_Toc130"/>
      <w:bookmarkStart w:id="166" w:name="_Toc22895"/>
      <w:r>
        <w:rPr>
          <w:rFonts w:hint="eastAsia" w:ascii="宋体" w:hAnsi="宋体"/>
          <w:b/>
          <w:szCs w:val="21"/>
          <w:u w:val="single"/>
        </w:rPr>
        <w:t>E</w:t>
      </w:r>
      <w:r>
        <w:rPr>
          <w:rFonts w:hint="eastAsia" w:ascii="宋体" w:hAnsi="宋体"/>
          <w:b/>
          <w:szCs w:val="21"/>
        </w:rPr>
        <w:t>分标：豆制品、干货类      采购预算（元）</w:t>
      </w:r>
      <w:r>
        <w:rPr>
          <w:rFonts w:hint="eastAsia" w:ascii="宋体" w:hAnsi="宋体"/>
          <w:szCs w:val="21"/>
        </w:rPr>
        <w:t>：</w:t>
      </w:r>
      <w:r>
        <w:rPr>
          <w:rFonts w:hint="eastAsia" w:ascii="宋体" w:hAnsi="宋体"/>
          <w:szCs w:val="21"/>
          <w:u w:val="single"/>
        </w:rPr>
        <w:t xml:space="preserve"> </w:t>
      </w:r>
      <w:bookmarkStart w:id="167" w:name="OLE_LINK68"/>
      <w:r>
        <w:rPr>
          <w:rFonts w:hint="eastAsia" w:ascii="宋体" w:hAnsi="宋体"/>
          <w:szCs w:val="21"/>
          <w:u w:val="single"/>
        </w:rPr>
        <w:t>1396625.00</w:t>
      </w:r>
      <w:bookmarkEnd w:id="167"/>
      <w:r>
        <w:rPr>
          <w:rFonts w:hint="eastAsia" w:ascii="宋体" w:hAnsi="宋体"/>
          <w:szCs w:val="21"/>
        </w:rPr>
        <w:t xml:space="preserve">       </w:t>
      </w:r>
      <w:r>
        <w:rPr>
          <w:rFonts w:hint="eastAsia" w:ascii="宋体" w:hAnsi="宋体"/>
          <w:b/>
          <w:szCs w:val="21"/>
        </w:rPr>
        <w:t>最高限价（元）</w:t>
      </w:r>
      <w:r>
        <w:rPr>
          <w:rFonts w:hint="eastAsia" w:ascii="宋体" w:hAnsi="宋体"/>
          <w:szCs w:val="21"/>
        </w:rPr>
        <w:t>：</w:t>
      </w:r>
      <w:bookmarkEnd w:id="164"/>
      <w:bookmarkEnd w:id="165"/>
      <w:r>
        <w:rPr>
          <w:rFonts w:hint="eastAsia" w:ascii="宋体" w:hAnsi="宋体"/>
          <w:szCs w:val="21"/>
          <w:u w:val="single"/>
        </w:rPr>
        <w:t xml:space="preserve"> 1396625.00</w:t>
      </w:r>
      <w:bookmarkEnd w:id="166"/>
      <w:r>
        <w:rPr>
          <w:rFonts w:hint="eastAsia" w:ascii="宋体" w:hAnsi="宋体"/>
          <w:szCs w:val="21"/>
          <w:u w:val="single"/>
        </w:rPr>
        <w:t xml:space="preserve"> </w:t>
      </w:r>
    </w:p>
    <w:tbl>
      <w:tblPr>
        <w:tblStyle w:val="37"/>
        <w:tblW w:w="10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9"/>
        <w:gridCol w:w="516"/>
        <w:gridCol w:w="931"/>
        <w:gridCol w:w="745"/>
        <w:gridCol w:w="1125"/>
        <w:gridCol w:w="1125"/>
        <w:gridCol w:w="4231"/>
        <w:gridCol w:w="1134"/>
      </w:tblGrid>
      <w:tr w14:paraId="06ED2A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286" w:type="dxa"/>
            <w:gridSpan w:val="8"/>
            <w:tcBorders>
              <w:top w:val="single" w:color="auto" w:sz="4" w:space="0"/>
              <w:left w:val="single" w:color="auto" w:sz="4" w:space="0"/>
              <w:right w:val="single" w:color="auto" w:sz="4" w:space="0"/>
            </w:tcBorders>
          </w:tcPr>
          <w:p w14:paraId="09ED6E4B">
            <w:pPr>
              <w:spacing w:line="320" w:lineRule="exact"/>
              <w:jc w:val="center"/>
              <w:rPr>
                <w:rFonts w:ascii="仿宋_GB2312" w:hAnsi="宋体" w:eastAsia="仿宋_GB2312" w:cs="Arial"/>
                <w:b/>
                <w:sz w:val="32"/>
                <w:szCs w:val="32"/>
              </w:rPr>
            </w:pPr>
            <w:r>
              <w:rPr>
                <w:rFonts w:hint="eastAsia" w:ascii="仿宋_GB2312" w:hAnsi="宋体" w:eastAsia="仿宋_GB2312" w:cs="Arial"/>
                <w:b/>
                <w:sz w:val="28"/>
                <w:szCs w:val="28"/>
              </w:rPr>
              <w:t>货物需求一览表</w:t>
            </w:r>
          </w:p>
        </w:tc>
      </w:tr>
      <w:tr w14:paraId="27CFA8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restart"/>
            <w:tcBorders>
              <w:top w:val="single" w:color="auto" w:sz="4" w:space="0"/>
              <w:left w:val="single" w:color="auto" w:sz="4" w:space="0"/>
              <w:right w:val="single" w:color="auto" w:sz="4" w:space="0"/>
            </w:tcBorders>
            <w:vAlign w:val="center"/>
          </w:tcPr>
          <w:p w14:paraId="18F58A49">
            <w:pPr>
              <w:jc w:val="center"/>
              <w:rPr>
                <w:rFonts w:ascii="宋体" w:hAnsi="宋体" w:cs="宋体"/>
                <w:szCs w:val="21"/>
              </w:rPr>
            </w:pPr>
            <w:r>
              <w:rPr>
                <w:rFonts w:hint="eastAsia" w:ascii="宋体" w:hAnsi="宋体" w:cs="宋体"/>
                <w:szCs w:val="21"/>
              </w:rPr>
              <w:t>采购清单及货物参数</w:t>
            </w: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70C0844">
            <w:pPr>
              <w:jc w:val="center"/>
              <w:rPr>
                <w:rFonts w:ascii="宋体" w:hAnsi="宋体" w:cs="宋体"/>
                <w:szCs w:val="21"/>
              </w:rPr>
            </w:pPr>
            <w:r>
              <w:rPr>
                <w:rFonts w:hint="eastAsia" w:ascii="宋体" w:hAnsi="宋体" w:cs="宋体"/>
                <w:szCs w:val="21"/>
              </w:rPr>
              <w:t>序号</w:t>
            </w:r>
          </w:p>
        </w:tc>
        <w:tc>
          <w:tcPr>
            <w:tcW w:w="931" w:type="dxa"/>
            <w:tcBorders>
              <w:top w:val="single" w:color="auto" w:sz="4" w:space="0"/>
              <w:left w:val="single" w:color="auto" w:sz="4" w:space="0"/>
              <w:bottom w:val="single" w:color="auto" w:sz="4" w:space="0"/>
              <w:right w:val="single" w:color="auto" w:sz="4" w:space="0"/>
            </w:tcBorders>
            <w:vAlign w:val="center"/>
          </w:tcPr>
          <w:p w14:paraId="02DCC94E">
            <w:pPr>
              <w:jc w:val="center"/>
              <w:rPr>
                <w:rFonts w:ascii="宋体" w:hAnsi="宋体" w:cs="宋体"/>
                <w:szCs w:val="21"/>
              </w:rPr>
            </w:pPr>
            <w:r>
              <w:rPr>
                <w:rFonts w:hint="eastAsia" w:ascii="宋体" w:hAnsi="宋体" w:cs="宋体"/>
                <w:szCs w:val="21"/>
              </w:rPr>
              <w:t>标的</w:t>
            </w:r>
          </w:p>
          <w:p w14:paraId="6882677E">
            <w:pPr>
              <w:jc w:val="center"/>
              <w:rPr>
                <w:rFonts w:ascii="宋体" w:hAnsi="宋体" w:cs="宋体"/>
                <w:szCs w:val="21"/>
              </w:rPr>
            </w:pPr>
            <w:r>
              <w:rPr>
                <w:rFonts w:hint="eastAsia" w:ascii="宋体" w:hAnsi="宋体" w:cs="宋体"/>
                <w:szCs w:val="21"/>
              </w:rPr>
              <w:t>名称</w:t>
            </w:r>
          </w:p>
        </w:tc>
        <w:tc>
          <w:tcPr>
            <w:tcW w:w="745" w:type="dxa"/>
            <w:tcBorders>
              <w:top w:val="single" w:color="auto" w:sz="4" w:space="0"/>
              <w:left w:val="single" w:color="auto" w:sz="4" w:space="0"/>
              <w:bottom w:val="single" w:color="auto" w:sz="4" w:space="0"/>
              <w:right w:val="single" w:color="auto" w:sz="4" w:space="0"/>
            </w:tcBorders>
            <w:vAlign w:val="center"/>
          </w:tcPr>
          <w:p w14:paraId="3C7CCCC9">
            <w:pPr>
              <w:jc w:val="center"/>
              <w:rPr>
                <w:rFonts w:ascii="宋体" w:hAnsi="宋体" w:cs="宋体"/>
                <w:szCs w:val="21"/>
              </w:rPr>
            </w:pPr>
            <w:r>
              <w:rPr>
                <w:rFonts w:hint="eastAsia" w:ascii="宋体" w:hAnsi="宋体" w:cs="宋体"/>
                <w:szCs w:val="21"/>
              </w:rPr>
              <w:t>单位</w:t>
            </w:r>
          </w:p>
        </w:tc>
        <w:tc>
          <w:tcPr>
            <w:tcW w:w="1125" w:type="dxa"/>
            <w:tcBorders>
              <w:top w:val="single" w:color="auto" w:sz="4" w:space="0"/>
              <w:left w:val="single" w:color="auto" w:sz="4" w:space="0"/>
              <w:bottom w:val="single" w:color="auto" w:sz="4" w:space="0"/>
              <w:right w:val="single" w:color="auto" w:sz="4" w:space="0"/>
            </w:tcBorders>
            <w:vAlign w:val="center"/>
          </w:tcPr>
          <w:p w14:paraId="5481C9D1">
            <w:pPr>
              <w:jc w:val="center"/>
              <w:rPr>
                <w:rFonts w:ascii="宋体" w:hAnsi="宋体" w:cs="宋体"/>
                <w:szCs w:val="21"/>
              </w:rPr>
            </w:pPr>
            <w:r>
              <w:rPr>
                <w:rFonts w:hint="eastAsia" w:ascii="宋体" w:hAnsi="宋体" w:cs="宋体"/>
                <w:szCs w:val="21"/>
              </w:rPr>
              <w:t>数量</w:t>
            </w:r>
          </w:p>
          <w:p w14:paraId="3BBFFD59">
            <w:pPr>
              <w:jc w:val="center"/>
              <w:rPr>
                <w:rFonts w:ascii="宋体" w:hAnsi="宋体" w:cs="宋体"/>
                <w:szCs w:val="21"/>
              </w:rPr>
            </w:pPr>
            <w:r>
              <w:rPr>
                <w:rFonts w:hint="eastAsia" w:ascii="宋体" w:hAnsi="宋体" w:cs="宋体"/>
                <w:szCs w:val="21"/>
              </w:rPr>
              <w:t>（暂估）</w:t>
            </w:r>
          </w:p>
        </w:tc>
        <w:tc>
          <w:tcPr>
            <w:tcW w:w="1125" w:type="dxa"/>
            <w:tcBorders>
              <w:top w:val="single" w:color="auto" w:sz="4" w:space="0"/>
              <w:left w:val="single" w:color="auto" w:sz="4" w:space="0"/>
              <w:bottom w:val="single" w:color="auto" w:sz="4" w:space="0"/>
              <w:right w:val="single" w:color="auto" w:sz="4" w:space="0"/>
            </w:tcBorders>
            <w:vAlign w:val="center"/>
          </w:tcPr>
          <w:p w14:paraId="70F0E3C4">
            <w:pPr>
              <w:jc w:val="center"/>
              <w:rPr>
                <w:rFonts w:ascii="宋体" w:hAnsi="宋体" w:cs="宋体"/>
                <w:szCs w:val="21"/>
              </w:rPr>
            </w:pPr>
            <w:r>
              <w:rPr>
                <w:rFonts w:hint="eastAsia" w:ascii="宋体" w:hAnsi="宋体" w:cs="宋体"/>
                <w:szCs w:val="21"/>
              </w:rPr>
              <w:t>所属行业</w:t>
            </w:r>
          </w:p>
        </w:tc>
        <w:tc>
          <w:tcPr>
            <w:tcW w:w="4231" w:type="dxa"/>
            <w:tcBorders>
              <w:top w:val="single" w:color="auto" w:sz="4" w:space="0"/>
              <w:left w:val="single" w:color="auto" w:sz="4" w:space="0"/>
              <w:bottom w:val="single" w:color="auto" w:sz="4" w:space="0"/>
              <w:right w:val="single" w:color="auto" w:sz="4" w:space="0"/>
            </w:tcBorders>
            <w:vAlign w:val="center"/>
          </w:tcPr>
          <w:p w14:paraId="10108C4B">
            <w:pPr>
              <w:jc w:val="center"/>
              <w:rPr>
                <w:rFonts w:ascii="宋体" w:hAnsi="宋体" w:cs="宋体"/>
                <w:szCs w:val="21"/>
              </w:rPr>
            </w:pPr>
            <w:r>
              <w:rPr>
                <w:rFonts w:hint="eastAsia" w:ascii="宋体" w:hAnsi="宋体" w:cs="宋体"/>
                <w:szCs w:val="21"/>
              </w:rPr>
              <w:t>货物参数</w:t>
            </w:r>
          </w:p>
        </w:tc>
        <w:tc>
          <w:tcPr>
            <w:tcW w:w="1134" w:type="dxa"/>
            <w:tcBorders>
              <w:top w:val="single" w:color="auto" w:sz="4" w:space="0"/>
              <w:left w:val="single" w:color="auto" w:sz="4" w:space="0"/>
              <w:bottom w:val="single" w:color="auto" w:sz="4" w:space="0"/>
              <w:right w:val="single" w:color="auto" w:sz="4" w:space="0"/>
            </w:tcBorders>
            <w:vAlign w:val="center"/>
          </w:tcPr>
          <w:p w14:paraId="522B06F0">
            <w:pPr>
              <w:jc w:val="center"/>
              <w:rPr>
                <w:rFonts w:ascii="宋体" w:hAnsi="宋体" w:cs="宋体"/>
                <w:szCs w:val="21"/>
              </w:rPr>
            </w:pPr>
            <w:r>
              <w:rPr>
                <w:rFonts w:hint="eastAsia" w:ascii="宋体" w:hAnsi="宋体" w:cs="宋体"/>
                <w:szCs w:val="21"/>
              </w:rPr>
              <w:t>供应基准单价（元/公斤）</w:t>
            </w:r>
          </w:p>
        </w:tc>
      </w:tr>
      <w:tr w14:paraId="19A1C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14:paraId="28E485F8">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7576F95">
            <w:pPr>
              <w:jc w:val="center"/>
              <w:rPr>
                <w:rFonts w:ascii="宋体" w:hAnsi="宋体" w:cs="宋体"/>
                <w:sz w:val="24"/>
              </w:rPr>
            </w:pPr>
            <w:r>
              <w:rPr>
                <w:rFonts w:hint="eastAsia"/>
              </w:rPr>
              <w:t>1</w:t>
            </w:r>
          </w:p>
        </w:tc>
        <w:tc>
          <w:tcPr>
            <w:tcW w:w="931" w:type="dxa"/>
            <w:tcBorders>
              <w:top w:val="single" w:color="auto" w:sz="4" w:space="0"/>
              <w:left w:val="single" w:color="auto" w:sz="4" w:space="0"/>
              <w:bottom w:val="single" w:color="auto" w:sz="4" w:space="0"/>
              <w:right w:val="single" w:color="auto" w:sz="4" w:space="0"/>
            </w:tcBorders>
            <w:vAlign w:val="center"/>
          </w:tcPr>
          <w:p w14:paraId="3F8357BB">
            <w:pPr>
              <w:jc w:val="center"/>
              <w:rPr>
                <w:rFonts w:ascii="宋体" w:hAnsi="宋体" w:cs="宋体"/>
                <w:sz w:val="24"/>
              </w:rPr>
            </w:pPr>
            <w:r>
              <w:rPr>
                <w:rFonts w:hint="eastAsia"/>
              </w:rPr>
              <w:t>腐竹</w:t>
            </w:r>
          </w:p>
        </w:tc>
        <w:tc>
          <w:tcPr>
            <w:tcW w:w="745" w:type="dxa"/>
            <w:tcBorders>
              <w:top w:val="single" w:color="auto" w:sz="4" w:space="0"/>
              <w:left w:val="single" w:color="auto" w:sz="4" w:space="0"/>
              <w:bottom w:val="single" w:color="auto" w:sz="4" w:space="0"/>
              <w:right w:val="single" w:color="auto" w:sz="4" w:space="0"/>
            </w:tcBorders>
            <w:vAlign w:val="center"/>
          </w:tcPr>
          <w:p w14:paraId="751DF9DA">
            <w:pPr>
              <w:jc w:val="center"/>
              <w:rPr>
                <w:rFonts w:ascii="宋体" w:hAnsi="宋体" w:cs="宋体"/>
                <w:sz w:val="24"/>
              </w:rP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00C9AA4F">
            <w:pPr>
              <w:widowControl/>
              <w:jc w:val="center"/>
            </w:pPr>
            <w:r>
              <w:rPr>
                <w:rFonts w:hint="eastAsia"/>
                <w:lang w:bidi="ar"/>
              </w:rPr>
              <w:t>2000</w:t>
            </w:r>
            <w:bookmarkStart w:id="168" w:name="OLE_LINK15"/>
            <w:r>
              <w:rPr>
                <w:rFonts w:hint="eastAsia"/>
                <w:lang w:bidi="ar"/>
              </w:rPr>
              <w:t>.00</w:t>
            </w:r>
            <w:bookmarkEnd w:id="168"/>
          </w:p>
        </w:tc>
        <w:tc>
          <w:tcPr>
            <w:tcW w:w="1125" w:type="dxa"/>
            <w:vMerge w:val="restart"/>
            <w:tcBorders>
              <w:top w:val="single" w:color="auto" w:sz="4" w:space="0"/>
              <w:left w:val="single" w:color="auto" w:sz="4" w:space="0"/>
              <w:right w:val="single" w:color="auto" w:sz="4" w:space="0"/>
            </w:tcBorders>
            <w:vAlign w:val="center"/>
          </w:tcPr>
          <w:p w14:paraId="29EEF62D">
            <w:pPr>
              <w:jc w:val="center"/>
              <w:rPr>
                <w:rFonts w:ascii="宋体" w:hAnsi="宋体" w:cs="宋体"/>
                <w:szCs w:val="21"/>
              </w:rPr>
            </w:pPr>
            <w:r>
              <w:rPr>
                <w:rFonts w:hint="eastAsia" w:ascii="宋体" w:hAnsi="宋体" w:cs="宋体"/>
                <w:szCs w:val="21"/>
              </w:rPr>
              <w:t>批发业</w:t>
            </w:r>
          </w:p>
        </w:tc>
        <w:tc>
          <w:tcPr>
            <w:tcW w:w="4231" w:type="dxa"/>
            <w:vMerge w:val="restart"/>
            <w:tcBorders>
              <w:top w:val="single" w:color="auto" w:sz="4" w:space="0"/>
              <w:left w:val="single" w:color="auto" w:sz="4" w:space="0"/>
              <w:right w:val="single" w:color="auto" w:sz="4" w:space="0"/>
            </w:tcBorders>
            <w:vAlign w:val="center"/>
          </w:tcPr>
          <w:p w14:paraId="42F9701E">
            <w:pPr>
              <w:spacing w:before="81" w:line="221" w:lineRule="auto"/>
              <w:ind w:left="125" w:right="42" w:rightChars="20"/>
              <w:rPr>
                <w:rFonts w:ascii="宋体" w:hAnsi="宋体" w:cs="宋体"/>
                <w:szCs w:val="21"/>
              </w:rPr>
            </w:pPr>
            <w:r>
              <w:rPr>
                <w:rFonts w:hint="eastAsia" w:ascii="宋体" w:hAnsi="宋体" w:cs="宋体"/>
                <w:szCs w:val="21"/>
              </w:rPr>
              <w:t>▲一、食材品质要求：</w:t>
            </w:r>
          </w:p>
          <w:p w14:paraId="121C38FA">
            <w:pPr>
              <w:numPr>
                <w:ilvl w:val="0"/>
                <w:numId w:val="1"/>
              </w:numPr>
              <w:spacing w:before="81" w:line="221" w:lineRule="auto"/>
              <w:ind w:left="125" w:right="42" w:rightChars="20"/>
              <w:rPr>
                <w:rFonts w:ascii="宋体" w:hAnsi="宋体" w:cs="宋体"/>
                <w:szCs w:val="21"/>
              </w:rPr>
            </w:pPr>
            <w:r>
              <w:rPr>
                <w:rFonts w:hint="eastAsia" w:ascii="宋体" w:hAnsi="宋体" w:cs="宋体"/>
                <w:szCs w:val="21"/>
              </w:rPr>
              <w:t>豆类产品要求颗粒饱满均匀，干净无杂质，无腐烂变质；</w:t>
            </w:r>
          </w:p>
          <w:p w14:paraId="0195B5D8">
            <w:pPr>
              <w:numPr>
                <w:ilvl w:val="0"/>
                <w:numId w:val="1"/>
              </w:numPr>
              <w:spacing w:before="81" w:line="221" w:lineRule="auto"/>
              <w:ind w:left="125" w:right="42" w:rightChars="20"/>
              <w:rPr>
                <w:rFonts w:ascii="宋体" w:hAnsi="宋体" w:cs="宋体"/>
                <w:szCs w:val="21"/>
              </w:rPr>
            </w:pPr>
            <w:r>
              <w:rPr>
                <w:rFonts w:hint="eastAsia" w:ascii="宋体" w:hAnsi="宋体" w:cs="宋体"/>
                <w:szCs w:val="21"/>
              </w:rPr>
              <w:t>符合国家《中华人民共和国食品安全法》规定标准。</w:t>
            </w:r>
          </w:p>
          <w:p w14:paraId="644FED74">
            <w:pPr>
              <w:numPr>
                <w:ilvl w:val="0"/>
                <w:numId w:val="1"/>
              </w:numPr>
              <w:spacing w:before="81" w:line="221" w:lineRule="auto"/>
              <w:ind w:left="125" w:right="42" w:rightChars="20"/>
              <w:rPr>
                <w:rFonts w:ascii="宋体" w:hAnsi="宋体" w:cs="宋体"/>
                <w:szCs w:val="21"/>
              </w:rPr>
            </w:pPr>
            <w:r>
              <w:rPr>
                <w:rFonts w:hint="eastAsia" w:ascii="宋体" w:hAnsi="宋体" w:cs="宋体"/>
                <w:szCs w:val="21"/>
              </w:rPr>
              <w:t>质量符合《中华人民共和国农产品质量安全法》的要求。</w:t>
            </w:r>
          </w:p>
          <w:p w14:paraId="488F2ADE">
            <w:pPr>
              <w:numPr>
                <w:ilvl w:val="0"/>
                <w:numId w:val="1"/>
              </w:numPr>
              <w:spacing w:before="81" w:line="221" w:lineRule="auto"/>
              <w:ind w:left="125" w:right="42" w:rightChars="20"/>
              <w:rPr>
                <w:rFonts w:ascii="宋体" w:hAnsi="宋体" w:cs="宋体"/>
                <w:szCs w:val="21"/>
              </w:rPr>
            </w:pPr>
            <w:r>
              <w:rPr>
                <w:rFonts w:hint="eastAsia" w:ascii="宋体" w:hAnsi="宋体" w:cs="宋体"/>
                <w:szCs w:val="21"/>
              </w:rPr>
              <w:t>所提供的产品（除干货外）需是当日生产，不得供应隔夜产品。</w:t>
            </w:r>
          </w:p>
          <w:p w14:paraId="396A3134">
            <w:pPr>
              <w:spacing w:before="81" w:line="221" w:lineRule="auto"/>
              <w:ind w:left="125" w:right="42" w:rightChars="20"/>
              <w:rPr>
                <w:rFonts w:ascii="宋体" w:hAnsi="宋体" w:cs="宋体"/>
                <w:szCs w:val="21"/>
              </w:rPr>
            </w:pPr>
            <w:r>
              <w:rPr>
                <w:rFonts w:hint="eastAsia" w:ascii="宋体" w:hAnsi="宋体" w:cs="宋体"/>
                <w:szCs w:val="21"/>
              </w:rPr>
              <w:t>5、蛋类：具有禽蛋固有的色泽。组织形态：蛋壳清洁、无破裂、打开后蛋壳凸起、完整、有韧性，蛋白澄清透明，稀稠分明。气味：具有产品固有的气味，无异味。杂质：无杂质，内容不得有血块及其他组织异物。指标按GB 2749-2015《食品安全国家标准蛋与蛋制品》规定执行。</w:t>
            </w:r>
          </w:p>
          <w:p w14:paraId="5D729025">
            <w:pPr>
              <w:spacing w:before="81" w:line="221" w:lineRule="auto"/>
              <w:ind w:left="125" w:right="42" w:rightChars="20"/>
              <w:rPr>
                <w:rFonts w:ascii="宋体" w:hAnsi="宋体" w:cs="宋体"/>
                <w:szCs w:val="21"/>
              </w:rPr>
            </w:pPr>
            <w:r>
              <w:rPr>
                <w:rFonts w:hint="eastAsia" w:ascii="宋体" w:hAnsi="宋体" w:cs="宋体"/>
                <w:szCs w:val="21"/>
              </w:rPr>
              <w:t>6.质量符合《中华人民共和国食品安全法》《中华人民共和国农产品质量安全法》《中华人民共和国食品安全法实施条例》和其他对食品安全有关要求，确保饮食安全，严禁供应假冒伪劣产品和过期食品。</w:t>
            </w:r>
          </w:p>
          <w:p w14:paraId="796D8ED5">
            <w:pPr>
              <w:spacing w:before="81" w:line="221" w:lineRule="auto"/>
              <w:ind w:left="125" w:right="42" w:rightChars="20"/>
              <w:rPr>
                <w:rFonts w:ascii="宋体" w:hAnsi="宋体" w:cs="宋体"/>
                <w:szCs w:val="21"/>
              </w:rPr>
            </w:pPr>
            <w:r>
              <w:rPr>
                <w:rFonts w:hint="eastAsia" w:ascii="宋体" w:hAnsi="宋体" w:cs="宋体"/>
                <w:szCs w:val="21"/>
              </w:rPr>
              <w:t>▲二、本表中所列的采购数量均为暂估量，具体数量以食材供应期限内实际供应量结算。中标供应商不得因实际供应量与本表中暂估数量不一致提出异议。</w:t>
            </w:r>
          </w:p>
        </w:tc>
        <w:tc>
          <w:tcPr>
            <w:tcW w:w="1134" w:type="dxa"/>
            <w:tcBorders>
              <w:top w:val="single" w:color="auto" w:sz="4" w:space="0"/>
              <w:left w:val="single" w:color="auto" w:sz="4" w:space="0"/>
              <w:bottom w:val="single" w:color="auto" w:sz="4" w:space="0"/>
              <w:right w:val="single" w:color="auto" w:sz="4" w:space="0"/>
            </w:tcBorders>
            <w:vAlign w:val="center"/>
          </w:tcPr>
          <w:p w14:paraId="52A0D854">
            <w:pPr>
              <w:widowControl/>
              <w:jc w:val="center"/>
              <w:rPr>
                <w:lang w:bidi="ar"/>
              </w:rPr>
            </w:pPr>
            <w:r>
              <w:rPr>
                <w:rFonts w:hint="eastAsia"/>
                <w:lang w:bidi="ar"/>
              </w:rPr>
              <w:t xml:space="preserve">21.16 </w:t>
            </w:r>
          </w:p>
        </w:tc>
      </w:tr>
      <w:tr w14:paraId="7A229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14:paraId="35FB9472">
            <w:pPr>
              <w:jc w:val="center"/>
              <w:rPr>
                <w:rFonts w:ascii="宋体" w:hAnsi="宋体" w:cs="宋体"/>
                <w:szCs w:val="21"/>
              </w:rPr>
            </w:pPr>
            <w:bookmarkStart w:id="169" w:name="OLE_LINK14" w:colFirst="5" w:colLast="5"/>
          </w:p>
        </w:tc>
        <w:tc>
          <w:tcPr>
            <w:tcW w:w="516" w:type="dxa"/>
            <w:tcBorders>
              <w:top w:val="single" w:color="auto" w:sz="4" w:space="0"/>
              <w:left w:val="single" w:color="auto" w:sz="4" w:space="0"/>
              <w:right w:val="single" w:color="auto" w:sz="4" w:space="0"/>
            </w:tcBorders>
            <w:tcMar>
              <w:top w:w="0" w:type="dxa"/>
              <w:left w:w="0" w:type="dxa"/>
              <w:bottom w:w="0" w:type="dxa"/>
              <w:right w:w="0" w:type="dxa"/>
            </w:tcMar>
            <w:vAlign w:val="center"/>
          </w:tcPr>
          <w:p w14:paraId="6F05D5F8">
            <w:pPr>
              <w:jc w:val="center"/>
              <w:rPr>
                <w:rFonts w:ascii="宋体" w:hAnsi="宋体" w:cs="宋体"/>
                <w:sz w:val="24"/>
              </w:rPr>
            </w:pPr>
            <w:r>
              <w:rPr>
                <w:rFonts w:hint="eastAsia"/>
              </w:rPr>
              <w:t>2</w:t>
            </w:r>
          </w:p>
        </w:tc>
        <w:tc>
          <w:tcPr>
            <w:tcW w:w="931" w:type="dxa"/>
            <w:tcBorders>
              <w:top w:val="single" w:color="auto" w:sz="4" w:space="0"/>
              <w:left w:val="single" w:color="auto" w:sz="4" w:space="0"/>
              <w:right w:val="single" w:color="auto" w:sz="4" w:space="0"/>
            </w:tcBorders>
            <w:vAlign w:val="center"/>
          </w:tcPr>
          <w:p w14:paraId="7559B291">
            <w:pPr>
              <w:jc w:val="center"/>
              <w:rPr>
                <w:rFonts w:ascii="宋体" w:hAnsi="宋体" w:cs="宋体"/>
                <w:sz w:val="24"/>
              </w:rPr>
            </w:pPr>
            <w:r>
              <w:rPr>
                <w:rFonts w:hint="eastAsia"/>
              </w:rPr>
              <w:t>油豆腐（干）</w:t>
            </w:r>
          </w:p>
        </w:tc>
        <w:tc>
          <w:tcPr>
            <w:tcW w:w="745" w:type="dxa"/>
            <w:tcBorders>
              <w:top w:val="single" w:color="auto" w:sz="4" w:space="0"/>
              <w:left w:val="single" w:color="auto" w:sz="4" w:space="0"/>
              <w:right w:val="single" w:color="auto" w:sz="4" w:space="0"/>
            </w:tcBorders>
            <w:vAlign w:val="center"/>
          </w:tcPr>
          <w:p w14:paraId="7CE0A563">
            <w:pPr>
              <w:jc w:val="center"/>
              <w:rPr>
                <w:rFonts w:ascii="宋体" w:hAnsi="宋体" w:cs="宋体"/>
                <w:sz w:val="24"/>
              </w:rPr>
            </w:pPr>
            <w:r>
              <w:rPr>
                <w:rFonts w:hint="eastAsia"/>
              </w:rPr>
              <w:t>公斤</w:t>
            </w:r>
          </w:p>
        </w:tc>
        <w:tc>
          <w:tcPr>
            <w:tcW w:w="1125" w:type="dxa"/>
            <w:tcBorders>
              <w:top w:val="single" w:color="auto" w:sz="4" w:space="0"/>
              <w:left w:val="single" w:color="auto" w:sz="4" w:space="0"/>
              <w:right w:val="single" w:color="auto" w:sz="4" w:space="0"/>
            </w:tcBorders>
            <w:vAlign w:val="center"/>
          </w:tcPr>
          <w:p w14:paraId="0AA6007C">
            <w:pPr>
              <w:widowControl/>
              <w:jc w:val="center"/>
            </w:pPr>
            <w:r>
              <w:rPr>
                <w:rFonts w:hint="eastAsia"/>
                <w:lang w:bidi="ar"/>
              </w:rPr>
              <w:t>3500.00</w:t>
            </w:r>
          </w:p>
        </w:tc>
        <w:tc>
          <w:tcPr>
            <w:tcW w:w="1125" w:type="dxa"/>
            <w:vMerge w:val="continue"/>
            <w:tcBorders>
              <w:left w:val="single" w:color="auto" w:sz="4" w:space="0"/>
              <w:right w:val="single" w:color="auto" w:sz="4" w:space="0"/>
            </w:tcBorders>
            <w:vAlign w:val="center"/>
          </w:tcPr>
          <w:p w14:paraId="6BC95823">
            <w:pPr>
              <w:jc w:val="center"/>
              <w:rPr>
                <w:rFonts w:ascii="宋体" w:hAnsi="宋体" w:cs="宋体"/>
                <w:szCs w:val="21"/>
              </w:rPr>
            </w:pPr>
          </w:p>
        </w:tc>
        <w:tc>
          <w:tcPr>
            <w:tcW w:w="4231" w:type="dxa"/>
            <w:vMerge w:val="continue"/>
            <w:tcBorders>
              <w:left w:val="single" w:color="auto" w:sz="4" w:space="0"/>
              <w:right w:val="single" w:color="auto" w:sz="4" w:space="0"/>
            </w:tcBorders>
            <w:vAlign w:val="center"/>
          </w:tcPr>
          <w:p w14:paraId="23A5165A">
            <w:pPr>
              <w:spacing w:line="360" w:lineRule="auto"/>
              <w:rPr>
                <w:rFonts w:ascii="宋体" w:hAnsi="宋体" w:cs="宋体"/>
              </w:rPr>
            </w:pPr>
          </w:p>
        </w:tc>
        <w:tc>
          <w:tcPr>
            <w:tcW w:w="1134" w:type="dxa"/>
            <w:tcBorders>
              <w:top w:val="single" w:color="auto" w:sz="4" w:space="0"/>
              <w:left w:val="single" w:color="auto" w:sz="4" w:space="0"/>
              <w:right w:val="single" w:color="auto" w:sz="4" w:space="0"/>
            </w:tcBorders>
            <w:vAlign w:val="center"/>
          </w:tcPr>
          <w:p w14:paraId="6A81F4C2">
            <w:pPr>
              <w:widowControl/>
              <w:jc w:val="center"/>
              <w:rPr>
                <w:lang w:bidi="ar"/>
              </w:rPr>
            </w:pPr>
            <w:r>
              <w:rPr>
                <w:rFonts w:hint="eastAsia"/>
                <w:lang w:bidi="ar"/>
              </w:rPr>
              <w:t xml:space="preserve">14.72 </w:t>
            </w:r>
          </w:p>
        </w:tc>
      </w:tr>
      <w:tr w14:paraId="30D5E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14:paraId="361CCB8E">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22AFF8B">
            <w:pPr>
              <w:jc w:val="center"/>
              <w:rPr>
                <w:rFonts w:ascii="宋体" w:hAnsi="宋体" w:cs="宋体"/>
                <w:sz w:val="24"/>
              </w:rPr>
            </w:pPr>
            <w:r>
              <w:rPr>
                <w:rFonts w:hint="eastAsia"/>
              </w:rPr>
              <w:t>3</w:t>
            </w:r>
          </w:p>
        </w:tc>
        <w:tc>
          <w:tcPr>
            <w:tcW w:w="931" w:type="dxa"/>
            <w:tcBorders>
              <w:top w:val="single" w:color="auto" w:sz="4" w:space="0"/>
              <w:left w:val="single" w:color="auto" w:sz="4" w:space="0"/>
              <w:bottom w:val="single" w:color="auto" w:sz="4" w:space="0"/>
              <w:right w:val="single" w:color="auto" w:sz="4" w:space="0"/>
            </w:tcBorders>
            <w:vAlign w:val="center"/>
          </w:tcPr>
          <w:p w14:paraId="381036BC">
            <w:pPr>
              <w:jc w:val="center"/>
              <w:rPr>
                <w:rFonts w:ascii="宋体" w:hAnsi="宋体" w:cs="宋体"/>
                <w:sz w:val="24"/>
              </w:rPr>
            </w:pPr>
            <w:r>
              <w:rPr>
                <w:rFonts w:hint="eastAsia"/>
              </w:rPr>
              <w:t>水豆腐</w:t>
            </w:r>
          </w:p>
        </w:tc>
        <w:tc>
          <w:tcPr>
            <w:tcW w:w="745" w:type="dxa"/>
            <w:tcBorders>
              <w:top w:val="single" w:color="auto" w:sz="4" w:space="0"/>
              <w:left w:val="single" w:color="auto" w:sz="4" w:space="0"/>
              <w:bottom w:val="single" w:color="auto" w:sz="4" w:space="0"/>
              <w:right w:val="single" w:color="auto" w:sz="4" w:space="0"/>
            </w:tcBorders>
            <w:vAlign w:val="center"/>
          </w:tcPr>
          <w:p w14:paraId="40D3FCAE">
            <w:pPr>
              <w:jc w:val="center"/>
              <w:rPr>
                <w:rFonts w:ascii="宋体" w:hAnsi="宋体" w:cs="宋体"/>
                <w:sz w:val="24"/>
              </w:rP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0582E41D">
            <w:pPr>
              <w:widowControl/>
              <w:jc w:val="center"/>
            </w:pPr>
            <w:r>
              <w:rPr>
                <w:rFonts w:hint="eastAsia"/>
                <w:lang w:bidi="ar"/>
              </w:rPr>
              <w:t>4000.00</w:t>
            </w:r>
          </w:p>
        </w:tc>
        <w:tc>
          <w:tcPr>
            <w:tcW w:w="1125" w:type="dxa"/>
            <w:vMerge w:val="continue"/>
            <w:tcBorders>
              <w:left w:val="single" w:color="auto" w:sz="4" w:space="0"/>
              <w:right w:val="single" w:color="auto" w:sz="4" w:space="0"/>
            </w:tcBorders>
            <w:vAlign w:val="center"/>
          </w:tcPr>
          <w:p w14:paraId="43958C74">
            <w:pPr>
              <w:jc w:val="center"/>
              <w:rPr>
                <w:rFonts w:ascii="宋体" w:hAnsi="宋体" w:cs="宋体"/>
                <w:szCs w:val="21"/>
              </w:rPr>
            </w:pPr>
          </w:p>
        </w:tc>
        <w:tc>
          <w:tcPr>
            <w:tcW w:w="4231" w:type="dxa"/>
            <w:vMerge w:val="continue"/>
            <w:tcBorders>
              <w:left w:val="single" w:color="auto" w:sz="4" w:space="0"/>
              <w:right w:val="single" w:color="auto" w:sz="4" w:space="0"/>
            </w:tcBorders>
            <w:vAlign w:val="center"/>
          </w:tcPr>
          <w:p w14:paraId="2704F4D1">
            <w:pPr>
              <w:spacing w:line="360" w:lineRule="auto"/>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14:paraId="5085BCE4">
            <w:pPr>
              <w:widowControl/>
              <w:jc w:val="center"/>
              <w:rPr>
                <w:lang w:bidi="ar"/>
              </w:rPr>
            </w:pPr>
            <w:r>
              <w:rPr>
                <w:rFonts w:hint="eastAsia"/>
                <w:lang w:bidi="ar"/>
              </w:rPr>
              <w:t xml:space="preserve">4.60 </w:t>
            </w:r>
          </w:p>
        </w:tc>
      </w:tr>
      <w:bookmarkEnd w:id="169"/>
      <w:tr w14:paraId="0E6CB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14:paraId="78BDDA1E">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43316CA">
            <w:pPr>
              <w:jc w:val="center"/>
              <w:rPr>
                <w:rFonts w:ascii="宋体" w:hAnsi="宋体" w:cs="宋体"/>
                <w:sz w:val="24"/>
              </w:rPr>
            </w:pPr>
            <w:r>
              <w:rPr>
                <w:rFonts w:hint="eastAsia"/>
              </w:rPr>
              <w:t>4</w:t>
            </w:r>
          </w:p>
        </w:tc>
        <w:tc>
          <w:tcPr>
            <w:tcW w:w="931" w:type="dxa"/>
            <w:tcBorders>
              <w:top w:val="single" w:color="auto" w:sz="4" w:space="0"/>
              <w:left w:val="single" w:color="auto" w:sz="4" w:space="0"/>
              <w:bottom w:val="single" w:color="auto" w:sz="4" w:space="0"/>
              <w:right w:val="single" w:color="auto" w:sz="4" w:space="0"/>
            </w:tcBorders>
            <w:vAlign w:val="center"/>
          </w:tcPr>
          <w:p w14:paraId="67C685B7">
            <w:pPr>
              <w:jc w:val="center"/>
              <w:rPr>
                <w:rFonts w:ascii="宋体" w:hAnsi="宋体" w:cs="宋体"/>
                <w:sz w:val="24"/>
              </w:rPr>
            </w:pPr>
            <w:r>
              <w:rPr>
                <w:rFonts w:hint="eastAsia"/>
              </w:rPr>
              <w:t>黄金油豆腐块</w:t>
            </w:r>
          </w:p>
        </w:tc>
        <w:tc>
          <w:tcPr>
            <w:tcW w:w="745" w:type="dxa"/>
            <w:tcBorders>
              <w:top w:val="single" w:color="auto" w:sz="4" w:space="0"/>
              <w:left w:val="single" w:color="auto" w:sz="4" w:space="0"/>
              <w:bottom w:val="single" w:color="auto" w:sz="4" w:space="0"/>
              <w:right w:val="single" w:color="auto" w:sz="4" w:space="0"/>
            </w:tcBorders>
            <w:vAlign w:val="center"/>
          </w:tcPr>
          <w:p w14:paraId="6274B9E9">
            <w:pPr>
              <w:jc w:val="center"/>
              <w:rPr>
                <w:rFonts w:ascii="宋体" w:hAnsi="宋体" w:cs="宋体"/>
                <w:sz w:val="24"/>
              </w:rP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37A01177">
            <w:pPr>
              <w:widowControl/>
              <w:jc w:val="center"/>
            </w:pPr>
            <w:r>
              <w:rPr>
                <w:rFonts w:hint="eastAsia"/>
                <w:lang w:bidi="ar"/>
              </w:rPr>
              <w:t>2500.00</w:t>
            </w:r>
          </w:p>
        </w:tc>
        <w:tc>
          <w:tcPr>
            <w:tcW w:w="1125" w:type="dxa"/>
            <w:vMerge w:val="continue"/>
            <w:tcBorders>
              <w:left w:val="single" w:color="auto" w:sz="4" w:space="0"/>
              <w:right w:val="single" w:color="auto" w:sz="4" w:space="0"/>
            </w:tcBorders>
            <w:vAlign w:val="center"/>
          </w:tcPr>
          <w:p w14:paraId="3B07779A">
            <w:pPr>
              <w:jc w:val="center"/>
              <w:rPr>
                <w:rFonts w:ascii="宋体" w:hAnsi="宋体" w:cs="宋体"/>
                <w:szCs w:val="21"/>
              </w:rPr>
            </w:pPr>
          </w:p>
        </w:tc>
        <w:tc>
          <w:tcPr>
            <w:tcW w:w="4231" w:type="dxa"/>
            <w:vMerge w:val="continue"/>
            <w:tcBorders>
              <w:left w:val="single" w:color="auto" w:sz="4" w:space="0"/>
              <w:right w:val="single" w:color="auto" w:sz="4" w:space="0"/>
            </w:tcBorders>
            <w:vAlign w:val="center"/>
          </w:tcPr>
          <w:p w14:paraId="10CDA768">
            <w:pPr>
              <w:spacing w:line="360" w:lineRule="auto"/>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14:paraId="3F73122E">
            <w:pPr>
              <w:widowControl/>
              <w:jc w:val="center"/>
              <w:rPr>
                <w:lang w:bidi="ar"/>
              </w:rPr>
            </w:pPr>
            <w:r>
              <w:rPr>
                <w:rFonts w:hint="eastAsia"/>
                <w:lang w:bidi="ar"/>
              </w:rPr>
              <w:t xml:space="preserve">11.96 </w:t>
            </w:r>
          </w:p>
        </w:tc>
      </w:tr>
      <w:tr w14:paraId="3B11B3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14:paraId="66B0879C">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8B0A215">
            <w:pPr>
              <w:jc w:val="center"/>
              <w:rPr>
                <w:rFonts w:ascii="宋体" w:hAnsi="宋体" w:cs="宋体"/>
                <w:sz w:val="24"/>
              </w:rPr>
            </w:pPr>
            <w:r>
              <w:rPr>
                <w:rFonts w:hint="eastAsia"/>
              </w:rPr>
              <w:t>5</w:t>
            </w:r>
          </w:p>
        </w:tc>
        <w:tc>
          <w:tcPr>
            <w:tcW w:w="931" w:type="dxa"/>
            <w:tcBorders>
              <w:top w:val="single" w:color="auto" w:sz="4" w:space="0"/>
              <w:left w:val="single" w:color="auto" w:sz="4" w:space="0"/>
              <w:bottom w:val="single" w:color="auto" w:sz="4" w:space="0"/>
              <w:right w:val="single" w:color="auto" w:sz="4" w:space="0"/>
            </w:tcBorders>
            <w:vAlign w:val="center"/>
          </w:tcPr>
          <w:p w14:paraId="16522C82">
            <w:pPr>
              <w:jc w:val="center"/>
              <w:rPr>
                <w:rFonts w:ascii="宋体" w:hAnsi="宋体" w:cs="宋体"/>
                <w:sz w:val="24"/>
              </w:rPr>
            </w:pPr>
            <w:r>
              <w:rPr>
                <w:rFonts w:hint="eastAsia"/>
              </w:rPr>
              <w:t>无壳花生米</w:t>
            </w:r>
          </w:p>
        </w:tc>
        <w:tc>
          <w:tcPr>
            <w:tcW w:w="745" w:type="dxa"/>
            <w:tcBorders>
              <w:top w:val="single" w:color="auto" w:sz="4" w:space="0"/>
              <w:left w:val="single" w:color="auto" w:sz="4" w:space="0"/>
              <w:bottom w:val="single" w:color="auto" w:sz="4" w:space="0"/>
              <w:right w:val="single" w:color="auto" w:sz="4" w:space="0"/>
            </w:tcBorders>
            <w:vAlign w:val="center"/>
          </w:tcPr>
          <w:p w14:paraId="1F8FA337">
            <w:pPr>
              <w:jc w:val="center"/>
              <w:rPr>
                <w:rFonts w:ascii="宋体" w:hAnsi="宋体" w:cs="宋体"/>
                <w:sz w:val="24"/>
              </w:rP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147211D9">
            <w:pPr>
              <w:widowControl/>
              <w:jc w:val="center"/>
            </w:pPr>
            <w:r>
              <w:rPr>
                <w:rFonts w:hint="eastAsia"/>
                <w:lang w:bidi="ar"/>
              </w:rPr>
              <w:t>3000.00</w:t>
            </w:r>
          </w:p>
        </w:tc>
        <w:tc>
          <w:tcPr>
            <w:tcW w:w="1125" w:type="dxa"/>
            <w:vMerge w:val="continue"/>
            <w:tcBorders>
              <w:left w:val="single" w:color="auto" w:sz="4" w:space="0"/>
              <w:right w:val="single" w:color="auto" w:sz="4" w:space="0"/>
            </w:tcBorders>
            <w:vAlign w:val="center"/>
          </w:tcPr>
          <w:p w14:paraId="12AE6555">
            <w:pPr>
              <w:jc w:val="center"/>
              <w:rPr>
                <w:rFonts w:ascii="宋体" w:hAnsi="宋体" w:cs="宋体"/>
                <w:szCs w:val="21"/>
              </w:rPr>
            </w:pPr>
          </w:p>
        </w:tc>
        <w:tc>
          <w:tcPr>
            <w:tcW w:w="4231" w:type="dxa"/>
            <w:vMerge w:val="continue"/>
            <w:tcBorders>
              <w:left w:val="single" w:color="auto" w:sz="4" w:space="0"/>
              <w:right w:val="single" w:color="auto" w:sz="4" w:space="0"/>
            </w:tcBorders>
            <w:vAlign w:val="center"/>
          </w:tcPr>
          <w:p w14:paraId="5675E2BB">
            <w:pPr>
              <w:spacing w:line="360" w:lineRule="auto"/>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14:paraId="0787A882">
            <w:pPr>
              <w:widowControl/>
              <w:jc w:val="center"/>
              <w:rPr>
                <w:lang w:bidi="ar"/>
              </w:rPr>
            </w:pPr>
            <w:r>
              <w:rPr>
                <w:rFonts w:hint="eastAsia"/>
                <w:lang w:bidi="ar"/>
              </w:rPr>
              <w:t xml:space="preserve">11.96 </w:t>
            </w:r>
          </w:p>
        </w:tc>
      </w:tr>
      <w:tr w14:paraId="32D8E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14:paraId="073A3E35">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74C5013">
            <w:pPr>
              <w:jc w:val="center"/>
              <w:rPr>
                <w:rFonts w:ascii="宋体" w:hAnsi="宋体" w:cs="宋体"/>
                <w:sz w:val="24"/>
              </w:rPr>
            </w:pPr>
            <w:r>
              <w:rPr>
                <w:rFonts w:hint="eastAsia"/>
              </w:rPr>
              <w:t>6</w:t>
            </w:r>
          </w:p>
        </w:tc>
        <w:tc>
          <w:tcPr>
            <w:tcW w:w="931" w:type="dxa"/>
            <w:tcBorders>
              <w:top w:val="single" w:color="auto" w:sz="4" w:space="0"/>
              <w:left w:val="single" w:color="auto" w:sz="4" w:space="0"/>
              <w:bottom w:val="single" w:color="auto" w:sz="4" w:space="0"/>
              <w:right w:val="single" w:color="auto" w:sz="4" w:space="0"/>
            </w:tcBorders>
            <w:vAlign w:val="center"/>
          </w:tcPr>
          <w:p w14:paraId="34F5FAAC">
            <w:pPr>
              <w:jc w:val="center"/>
              <w:rPr>
                <w:rFonts w:ascii="宋体" w:hAnsi="宋体" w:cs="宋体"/>
                <w:sz w:val="24"/>
              </w:rPr>
            </w:pPr>
            <w:r>
              <w:rPr>
                <w:rFonts w:hint="eastAsia"/>
              </w:rPr>
              <w:t>黄豆</w:t>
            </w:r>
          </w:p>
        </w:tc>
        <w:tc>
          <w:tcPr>
            <w:tcW w:w="745" w:type="dxa"/>
            <w:tcBorders>
              <w:top w:val="single" w:color="auto" w:sz="4" w:space="0"/>
              <w:left w:val="single" w:color="auto" w:sz="4" w:space="0"/>
              <w:bottom w:val="single" w:color="auto" w:sz="4" w:space="0"/>
              <w:right w:val="single" w:color="auto" w:sz="4" w:space="0"/>
            </w:tcBorders>
            <w:vAlign w:val="center"/>
          </w:tcPr>
          <w:p w14:paraId="07FE4AF5">
            <w:pPr>
              <w:jc w:val="center"/>
              <w:rPr>
                <w:rFonts w:ascii="宋体" w:hAnsi="宋体" w:cs="宋体"/>
                <w:sz w:val="24"/>
              </w:rP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5AF23382">
            <w:pPr>
              <w:widowControl/>
              <w:jc w:val="center"/>
            </w:pPr>
            <w:r>
              <w:rPr>
                <w:rFonts w:hint="eastAsia"/>
                <w:lang w:bidi="ar"/>
              </w:rPr>
              <w:t>3000.00</w:t>
            </w:r>
          </w:p>
        </w:tc>
        <w:tc>
          <w:tcPr>
            <w:tcW w:w="1125" w:type="dxa"/>
            <w:vMerge w:val="continue"/>
            <w:tcBorders>
              <w:left w:val="single" w:color="auto" w:sz="4" w:space="0"/>
              <w:right w:val="single" w:color="auto" w:sz="4" w:space="0"/>
            </w:tcBorders>
            <w:vAlign w:val="center"/>
          </w:tcPr>
          <w:p w14:paraId="2DD4D04D">
            <w:pPr>
              <w:jc w:val="center"/>
              <w:rPr>
                <w:rFonts w:ascii="宋体" w:hAnsi="宋体" w:cs="宋体"/>
                <w:szCs w:val="21"/>
              </w:rPr>
            </w:pPr>
          </w:p>
        </w:tc>
        <w:tc>
          <w:tcPr>
            <w:tcW w:w="4231" w:type="dxa"/>
            <w:vMerge w:val="continue"/>
            <w:tcBorders>
              <w:left w:val="single" w:color="auto" w:sz="4" w:space="0"/>
              <w:right w:val="single" w:color="auto" w:sz="4" w:space="0"/>
            </w:tcBorders>
            <w:vAlign w:val="center"/>
          </w:tcPr>
          <w:p w14:paraId="2F342AED">
            <w:pPr>
              <w:spacing w:line="360" w:lineRule="auto"/>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14:paraId="5747B606">
            <w:pPr>
              <w:widowControl/>
              <w:jc w:val="center"/>
              <w:rPr>
                <w:lang w:bidi="ar"/>
              </w:rPr>
            </w:pPr>
            <w:r>
              <w:rPr>
                <w:rFonts w:hint="eastAsia"/>
                <w:lang w:bidi="ar"/>
              </w:rPr>
              <w:t xml:space="preserve">9.16 </w:t>
            </w:r>
          </w:p>
        </w:tc>
      </w:tr>
      <w:tr w14:paraId="696072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14:paraId="7D177D08">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F86C985">
            <w:pPr>
              <w:jc w:val="center"/>
              <w:rPr>
                <w:rFonts w:ascii="宋体" w:hAnsi="宋体" w:cs="宋体"/>
                <w:sz w:val="24"/>
              </w:rPr>
            </w:pPr>
            <w:r>
              <w:rPr>
                <w:rFonts w:hint="eastAsia"/>
              </w:rPr>
              <w:t>7</w:t>
            </w:r>
          </w:p>
        </w:tc>
        <w:tc>
          <w:tcPr>
            <w:tcW w:w="931" w:type="dxa"/>
            <w:tcBorders>
              <w:top w:val="single" w:color="auto" w:sz="4" w:space="0"/>
              <w:left w:val="single" w:color="auto" w:sz="4" w:space="0"/>
              <w:bottom w:val="single" w:color="auto" w:sz="4" w:space="0"/>
              <w:right w:val="single" w:color="auto" w:sz="4" w:space="0"/>
            </w:tcBorders>
            <w:vAlign w:val="center"/>
          </w:tcPr>
          <w:p w14:paraId="5661D8BB">
            <w:pPr>
              <w:jc w:val="center"/>
              <w:rPr>
                <w:rFonts w:ascii="宋体" w:hAnsi="宋体" w:cs="宋体"/>
                <w:sz w:val="24"/>
              </w:rPr>
            </w:pPr>
            <w:r>
              <w:rPr>
                <w:rFonts w:hint="eastAsia"/>
              </w:rPr>
              <w:t>红豆</w:t>
            </w:r>
          </w:p>
        </w:tc>
        <w:tc>
          <w:tcPr>
            <w:tcW w:w="745" w:type="dxa"/>
            <w:tcBorders>
              <w:top w:val="single" w:color="auto" w:sz="4" w:space="0"/>
              <w:left w:val="single" w:color="auto" w:sz="4" w:space="0"/>
              <w:bottom w:val="single" w:color="auto" w:sz="4" w:space="0"/>
              <w:right w:val="single" w:color="auto" w:sz="4" w:space="0"/>
            </w:tcBorders>
            <w:vAlign w:val="center"/>
          </w:tcPr>
          <w:p w14:paraId="4BF7725D">
            <w:pPr>
              <w:jc w:val="center"/>
              <w:rPr>
                <w:rFonts w:ascii="宋体" w:hAnsi="宋体" w:cs="宋体"/>
                <w:sz w:val="24"/>
              </w:rP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7E8E5B49">
            <w:pPr>
              <w:widowControl/>
              <w:jc w:val="center"/>
            </w:pPr>
            <w:r>
              <w:rPr>
                <w:rFonts w:hint="eastAsia"/>
                <w:lang w:bidi="ar"/>
              </w:rPr>
              <w:t>1000.00</w:t>
            </w:r>
          </w:p>
        </w:tc>
        <w:tc>
          <w:tcPr>
            <w:tcW w:w="1125" w:type="dxa"/>
            <w:vMerge w:val="continue"/>
            <w:tcBorders>
              <w:left w:val="single" w:color="auto" w:sz="4" w:space="0"/>
              <w:right w:val="single" w:color="auto" w:sz="4" w:space="0"/>
            </w:tcBorders>
            <w:vAlign w:val="center"/>
          </w:tcPr>
          <w:p w14:paraId="724B0DC1">
            <w:pPr>
              <w:jc w:val="center"/>
              <w:rPr>
                <w:rFonts w:ascii="宋体" w:hAnsi="宋体" w:cs="宋体"/>
                <w:szCs w:val="21"/>
              </w:rPr>
            </w:pPr>
          </w:p>
        </w:tc>
        <w:tc>
          <w:tcPr>
            <w:tcW w:w="4231" w:type="dxa"/>
            <w:vMerge w:val="continue"/>
            <w:tcBorders>
              <w:left w:val="single" w:color="auto" w:sz="4" w:space="0"/>
              <w:right w:val="single" w:color="auto" w:sz="4" w:space="0"/>
            </w:tcBorders>
            <w:vAlign w:val="center"/>
          </w:tcPr>
          <w:p w14:paraId="0B5A6797">
            <w:pPr>
              <w:spacing w:line="360" w:lineRule="auto"/>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14:paraId="42359035">
            <w:pPr>
              <w:widowControl/>
              <w:jc w:val="center"/>
              <w:rPr>
                <w:lang w:bidi="ar"/>
              </w:rPr>
            </w:pPr>
            <w:r>
              <w:rPr>
                <w:rFonts w:hint="eastAsia"/>
                <w:lang w:bidi="ar"/>
              </w:rPr>
              <w:t xml:space="preserve">11.04 </w:t>
            </w:r>
          </w:p>
        </w:tc>
      </w:tr>
      <w:tr w14:paraId="58A3F8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14:paraId="6BD3FD28">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5F75485">
            <w:pPr>
              <w:jc w:val="center"/>
              <w:rPr>
                <w:rFonts w:ascii="宋体" w:hAnsi="宋体" w:cs="宋体"/>
                <w:sz w:val="24"/>
              </w:rPr>
            </w:pPr>
            <w:r>
              <w:rPr>
                <w:rFonts w:hint="eastAsia"/>
              </w:rPr>
              <w:t>8</w:t>
            </w:r>
          </w:p>
        </w:tc>
        <w:tc>
          <w:tcPr>
            <w:tcW w:w="931" w:type="dxa"/>
            <w:tcBorders>
              <w:top w:val="single" w:color="auto" w:sz="4" w:space="0"/>
              <w:left w:val="single" w:color="auto" w:sz="4" w:space="0"/>
              <w:bottom w:val="single" w:color="auto" w:sz="4" w:space="0"/>
              <w:right w:val="single" w:color="auto" w:sz="4" w:space="0"/>
            </w:tcBorders>
            <w:vAlign w:val="center"/>
          </w:tcPr>
          <w:p w14:paraId="3260B283">
            <w:pPr>
              <w:jc w:val="center"/>
              <w:rPr>
                <w:rFonts w:ascii="宋体" w:hAnsi="宋体" w:cs="宋体"/>
                <w:sz w:val="24"/>
              </w:rPr>
            </w:pPr>
            <w:r>
              <w:rPr>
                <w:rFonts w:hint="eastAsia"/>
              </w:rPr>
              <w:t>绿豆</w:t>
            </w:r>
          </w:p>
        </w:tc>
        <w:tc>
          <w:tcPr>
            <w:tcW w:w="745" w:type="dxa"/>
            <w:tcBorders>
              <w:top w:val="single" w:color="auto" w:sz="4" w:space="0"/>
              <w:left w:val="single" w:color="auto" w:sz="4" w:space="0"/>
              <w:bottom w:val="single" w:color="auto" w:sz="4" w:space="0"/>
              <w:right w:val="single" w:color="auto" w:sz="4" w:space="0"/>
            </w:tcBorders>
            <w:vAlign w:val="center"/>
          </w:tcPr>
          <w:p w14:paraId="44FD7433">
            <w:pPr>
              <w:jc w:val="center"/>
              <w:rPr>
                <w:rFonts w:ascii="宋体" w:hAnsi="宋体" w:cs="宋体"/>
                <w:sz w:val="24"/>
              </w:rP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750CA5B2">
            <w:pPr>
              <w:widowControl/>
              <w:jc w:val="center"/>
            </w:pPr>
            <w:r>
              <w:rPr>
                <w:rFonts w:hint="eastAsia"/>
                <w:lang w:bidi="ar"/>
              </w:rPr>
              <w:t>10000.00</w:t>
            </w:r>
          </w:p>
        </w:tc>
        <w:tc>
          <w:tcPr>
            <w:tcW w:w="1125" w:type="dxa"/>
            <w:vMerge w:val="continue"/>
            <w:tcBorders>
              <w:left w:val="single" w:color="auto" w:sz="4" w:space="0"/>
              <w:right w:val="single" w:color="auto" w:sz="4" w:space="0"/>
            </w:tcBorders>
            <w:vAlign w:val="center"/>
          </w:tcPr>
          <w:p w14:paraId="7B6975CE">
            <w:pPr>
              <w:jc w:val="center"/>
              <w:rPr>
                <w:rFonts w:ascii="宋体" w:hAnsi="宋体" w:cs="宋体"/>
                <w:szCs w:val="21"/>
              </w:rPr>
            </w:pPr>
          </w:p>
        </w:tc>
        <w:tc>
          <w:tcPr>
            <w:tcW w:w="4231" w:type="dxa"/>
            <w:vMerge w:val="continue"/>
            <w:tcBorders>
              <w:left w:val="single" w:color="auto" w:sz="4" w:space="0"/>
              <w:right w:val="single" w:color="auto" w:sz="4" w:space="0"/>
            </w:tcBorders>
            <w:vAlign w:val="center"/>
          </w:tcPr>
          <w:p w14:paraId="7149936A">
            <w:pPr>
              <w:spacing w:line="360" w:lineRule="auto"/>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14:paraId="6CB3BEFE">
            <w:pPr>
              <w:widowControl/>
              <w:jc w:val="center"/>
              <w:rPr>
                <w:lang w:bidi="ar"/>
              </w:rPr>
            </w:pPr>
            <w:r>
              <w:rPr>
                <w:rFonts w:hint="eastAsia"/>
                <w:lang w:bidi="ar"/>
              </w:rPr>
              <w:t xml:space="preserve">8.28 </w:t>
            </w:r>
          </w:p>
        </w:tc>
      </w:tr>
      <w:tr w14:paraId="093D6C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14:paraId="213FC17C">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14AED34">
            <w:pPr>
              <w:jc w:val="center"/>
              <w:rPr>
                <w:rFonts w:ascii="宋体" w:hAnsi="宋体" w:cs="宋体"/>
                <w:sz w:val="24"/>
              </w:rPr>
            </w:pPr>
            <w:r>
              <w:rPr>
                <w:rFonts w:hint="eastAsia"/>
              </w:rPr>
              <w:t>9</w:t>
            </w:r>
          </w:p>
        </w:tc>
        <w:tc>
          <w:tcPr>
            <w:tcW w:w="931" w:type="dxa"/>
            <w:tcBorders>
              <w:top w:val="single" w:color="auto" w:sz="4" w:space="0"/>
              <w:left w:val="single" w:color="auto" w:sz="4" w:space="0"/>
              <w:bottom w:val="single" w:color="auto" w:sz="4" w:space="0"/>
              <w:right w:val="single" w:color="auto" w:sz="4" w:space="0"/>
            </w:tcBorders>
            <w:vAlign w:val="center"/>
          </w:tcPr>
          <w:p w14:paraId="1D548672">
            <w:pPr>
              <w:jc w:val="center"/>
              <w:rPr>
                <w:rFonts w:ascii="宋体" w:hAnsi="宋体" w:cs="宋体"/>
                <w:sz w:val="24"/>
              </w:rPr>
            </w:pPr>
            <w:r>
              <w:rPr>
                <w:rFonts w:hint="eastAsia"/>
              </w:rPr>
              <w:t>海带　</w:t>
            </w:r>
          </w:p>
        </w:tc>
        <w:tc>
          <w:tcPr>
            <w:tcW w:w="745" w:type="dxa"/>
            <w:tcBorders>
              <w:top w:val="single" w:color="auto" w:sz="4" w:space="0"/>
              <w:left w:val="single" w:color="auto" w:sz="4" w:space="0"/>
              <w:bottom w:val="single" w:color="auto" w:sz="4" w:space="0"/>
              <w:right w:val="single" w:color="auto" w:sz="4" w:space="0"/>
            </w:tcBorders>
            <w:vAlign w:val="center"/>
          </w:tcPr>
          <w:p w14:paraId="16BC1390">
            <w:pPr>
              <w:jc w:val="center"/>
              <w:rPr>
                <w:rFonts w:ascii="宋体" w:hAnsi="宋体" w:cs="宋体"/>
                <w:sz w:val="24"/>
              </w:rP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1A644D28">
            <w:pPr>
              <w:widowControl/>
              <w:jc w:val="center"/>
            </w:pPr>
            <w:r>
              <w:rPr>
                <w:rFonts w:hint="eastAsia"/>
                <w:lang w:bidi="ar"/>
              </w:rPr>
              <w:t>300.00</w:t>
            </w:r>
          </w:p>
        </w:tc>
        <w:tc>
          <w:tcPr>
            <w:tcW w:w="1125" w:type="dxa"/>
            <w:vMerge w:val="continue"/>
            <w:tcBorders>
              <w:left w:val="single" w:color="auto" w:sz="4" w:space="0"/>
              <w:right w:val="single" w:color="auto" w:sz="4" w:space="0"/>
            </w:tcBorders>
            <w:vAlign w:val="center"/>
          </w:tcPr>
          <w:p w14:paraId="37334B6F">
            <w:pPr>
              <w:jc w:val="center"/>
              <w:rPr>
                <w:rFonts w:ascii="宋体" w:hAnsi="宋体" w:cs="宋体"/>
                <w:szCs w:val="21"/>
              </w:rPr>
            </w:pPr>
          </w:p>
        </w:tc>
        <w:tc>
          <w:tcPr>
            <w:tcW w:w="4231" w:type="dxa"/>
            <w:vMerge w:val="continue"/>
            <w:tcBorders>
              <w:left w:val="single" w:color="auto" w:sz="4" w:space="0"/>
              <w:right w:val="single" w:color="auto" w:sz="4" w:space="0"/>
            </w:tcBorders>
            <w:vAlign w:val="center"/>
          </w:tcPr>
          <w:p w14:paraId="7902103B">
            <w:pPr>
              <w:spacing w:line="360" w:lineRule="auto"/>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14:paraId="5C450E0B">
            <w:pPr>
              <w:widowControl/>
              <w:jc w:val="center"/>
              <w:rPr>
                <w:lang w:bidi="ar"/>
              </w:rPr>
            </w:pPr>
            <w:r>
              <w:rPr>
                <w:rFonts w:hint="eastAsia"/>
                <w:lang w:bidi="ar"/>
              </w:rPr>
              <w:t xml:space="preserve">25.76 </w:t>
            </w:r>
          </w:p>
        </w:tc>
      </w:tr>
      <w:tr w14:paraId="6B0FA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14:paraId="617AE2FF">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826EFB2">
            <w:pPr>
              <w:jc w:val="center"/>
              <w:rPr>
                <w:rFonts w:ascii="宋体" w:hAnsi="宋体" w:cs="宋体"/>
                <w:sz w:val="24"/>
              </w:rPr>
            </w:pPr>
            <w:r>
              <w:rPr>
                <w:rFonts w:hint="eastAsia"/>
              </w:rPr>
              <w:t>10</w:t>
            </w:r>
          </w:p>
        </w:tc>
        <w:tc>
          <w:tcPr>
            <w:tcW w:w="931" w:type="dxa"/>
            <w:tcBorders>
              <w:top w:val="single" w:color="auto" w:sz="4" w:space="0"/>
              <w:left w:val="single" w:color="auto" w:sz="4" w:space="0"/>
              <w:bottom w:val="single" w:color="auto" w:sz="4" w:space="0"/>
              <w:right w:val="single" w:color="auto" w:sz="4" w:space="0"/>
            </w:tcBorders>
            <w:vAlign w:val="center"/>
          </w:tcPr>
          <w:p w14:paraId="67A0FA63">
            <w:pPr>
              <w:jc w:val="center"/>
              <w:rPr>
                <w:rFonts w:ascii="宋体" w:hAnsi="宋体" w:cs="宋体"/>
                <w:sz w:val="24"/>
              </w:rPr>
            </w:pPr>
            <w:r>
              <w:rPr>
                <w:rFonts w:hint="eastAsia"/>
              </w:rPr>
              <w:t>鸡蛋</w:t>
            </w:r>
          </w:p>
        </w:tc>
        <w:tc>
          <w:tcPr>
            <w:tcW w:w="745" w:type="dxa"/>
            <w:tcBorders>
              <w:top w:val="single" w:color="auto" w:sz="4" w:space="0"/>
              <w:left w:val="single" w:color="auto" w:sz="4" w:space="0"/>
              <w:bottom w:val="single" w:color="auto" w:sz="4" w:space="0"/>
              <w:right w:val="single" w:color="auto" w:sz="4" w:space="0"/>
            </w:tcBorders>
            <w:vAlign w:val="center"/>
          </w:tcPr>
          <w:p w14:paraId="1A7EB608">
            <w:pPr>
              <w:jc w:val="center"/>
              <w:rPr>
                <w:rFonts w:ascii="宋体" w:hAnsi="宋体" w:cs="宋体"/>
                <w:sz w:val="24"/>
              </w:rP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7544AFDD">
            <w:pPr>
              <w:widowControl/>
              <w:jc w:val="center"/>
            </w:pPr>
            <w:r>
              <w:rPr>
                <w:rFonts w:hint="eastAsia"/>
                <w:lang w:bidi="ar"/>
              </w:rPr>
              <w:t>80000.00</w:t>
            </w:r>
          </w:p>
        </w:tc>
        <w:tc>
          <w:tcPr>
            <w:tcW w:w="1125" w:type="dxa"/>
            <w:vMerge w:val="continue"/>
            <w:tcBorders>
              <w:left w:val="single" w:color="auto" w:sz="4" w:space="0"/>
              <w:right w:val="single" w:color="auto" w:sz="4" w:space="0"/>
            </w:tcBorders>
            <w:vAlign w:val="center"/>
          </w:tcPr>
          <w:p w14:paraId="7AF2C756">
            <w:pPr>
              <w:jc w:val="center"/>
              <w:rPr>
                <w:rFonts w:ascii="宋体" w:hAnsi="宋体" w:cs="宋体"/>
                <w:szCs w:val="21"/>
              </w:rPr>
            </w:pPr>
          </w:p>
        </w:tc>
        <w:tc>
          <w:tcPr>
            <w:tcW w:w="4231" w:type="dxa"/>
            <w:vMerge w:val="continue"/>
            <w:tcBorders>
              <w:left w:val="single" w:color="auto" w:sz="4" w:space="0"/>
              <w:right w:val="single" w:color="auto" w:sz="4" w:space="0"/>
            </w:tcBorders>
            <w:vAlign w:val="center"/>
          </w:tcPr>
          <w:p w14:paraId="4AA62C82">
            <w:pPr>
              <w:spacing w:line="360" w:lineRule="auto"/>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14:paraId="0F4FB8B4">
            <w:pPr>
              <w:widowControl/>
              <w:jc w:val="center"/>
              <w:rPr>
                <w:lang w:bidi="ar"/>
              </w:rPr>
            </w:pPr>
            <w:r>
              <w:rPr>
                <w:rFonts w:hint="eastAsia"/>
                <w:lang w:bidi="ar"/>
              </w:rPr>
              <w:t xml:space="preserve">11.04 </w:t>
            </w:r>
          </w:p>
        </w:tc>
      </w:tr>
      <w:tr w14:paraId="0006BD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14:paraId="3225E89B">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A2DD5F1">
            <w:pPr>
              <w:jc w:val="center"/>
              <w:rPr>
                <w:rFonts w:ascii="宋体" w:hAnsi="宋体" w:cs="宋体"/>
                <w:sz w:val="24"/>
              </w:rPr>
            </w:pPr>
            <w:r>
              <w:rPr>
                <w:rFonts w:hint="eastAsia"/>
              </w:rPr>
              <w:t>11</w:t>
            </w:r>
          </w:p>
        </w:tc>
        <w:tc>
          <w:tcPr>
            <w:tcW w:w="931" w:type="dxa"/>
            <w:tcBorders>
              <w:top w:val="single" w:color="auto" w:sz="4" w:space="0"/>
              <w:left w:val="single" w:color="auto" w:sz="4" w:space="0"/>
              <w:bottom w:val="single" w:color="auto" w:sz="4" w:space="0"/>
              <w:right w:val="single" w:color="auto" w:sz="4" w:space="0"/>
            </w:tcBorders>
            <w:vAlign w:val="center"/>
          </w:tcPr>
          <w:p w14:paraId="4A196807">
            <w:pPr>
              <w:jc w:val="center"/>
              <w:rPr>
                <w:rFonts w:ascii="宋体" w:hAnsi="宋体" w:cs="宋体"/>
                <w:sz w:val="24"/>
              </w:rPr>
            </w:pPr>
            <w:r>
              <w:rPr>
                <w:rFonts w:hint="eastAsia"/>
              </w:rPr>
              <w:t>木耳</w:t>
            </w:r>
          </w:p>
        </w:tc>
        <w:tc>
          <w:tcPr>
            <w:tcW w:w="745" w:type="dxa"/>
            <w:tcBorders>
              <w:top w:val="single" w:color="auto" w:sz="4" w:space="0"/>
              <w:left w:val="single" w:color="auto" w:sz="4" w:space="0"/>
              <w:bottom w:val="single" w:color="auto" w:sz="4" w:space="0"/>
              <w:right w:val="single" w:color="auto" w:sz="4" w:space="0"/>
            </w:tcBorders>
            <w:vAlign w:val="center"/>
          </w:tcPr>
          <w:p w14:paraId="7B6E8B45">
            <w:pPr>
              <w:jc w:val="center"/>
              <w:rPr>
                <w:rFonts w:ascii="宋体" w:hAnsi="宋体" w:cs="宋体"/>
                <w:sz w:val="24"/>
              </w:rP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1521B424">
            <w:pPr>
              <w:widowControl/>
              <w:jc w:val="center"/>
            </w:pPr>
            <w:r>
              <w:rPr>
                <w:rFonts w:hint="eastAsia"/>
                <w:lang w:bidi="ar"/>
              </w:rPr>
              <w:t>1000.00</w:t>
            </w:r>
          </w:p>
        </w:tc>
        <w:tc>
          <w:tcPr>
            <w:tcW w:w="1125" w:type="dxa"/>
            <w:vMerge w:val="continue"/>
            <w:tcBorders>
              <w:left w:val="single" w:color="auto" w:sz="4" w:space="0"/>
              <w:right w:val="single" w:color="auto" w:sz="4" w:space="0"/>
            </w:tcBorders>
            <w:vAlign w:val="center"/>
          </w:tcPr>
          <w:p w14:paraId="28AB6267">
            <w:pPr>
              <w:jc w:val="center"/>
              <w:rPr>
                <w:rFonts w:ascii="宋体" w:hAnsi="宋体" w:cs="宋体"/>
                <w:szCs w:val="21"/>
              </w:rPr>
            </w:pPr>
          </w:p>
        </w:tc>
        <w:tc>
          <w:tcPr>
            <w:tcW w:w="4231" w:type="dxa"/>
            <w:vMerge w:val="continue"/>
            <w:tcBorders>
              <w:left w:val="single" w:color="auto" w:sz="4" w:space="0"/>
              <w:right w:val="single" w:color="auto" w:sz="4" w:space="0"/>
            </w:tcBorders>
            <w:vAlign w:val="center"/>
          </w:tcPr>
          <w:p w14:paraId="51D09512">
            <w:pPr>
              <w:spacing w:line="360" w:lineRule="auto"/>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14:paraId="0CEED5A4">
            <w:pPr>
              <w:widowControl/>
              <w:jc w:val="center"/>
              <w:rPr>
                <w:lang w:bidi="ar"/>
              </w:rPr>
            </w:pPr>
            <w:r>
              <w:rPr>
                <w:rFonts w:hint="eastAsia"/>
                <w:lang w:bidi="ar"/>
              </w:rPr>
              <w:t xml:space="preserve">31.10 </w:t>
            </w:r>
          </w:p>
        </w:tc>
      </w:tr>
      <w:tr w14:paraId="7EC908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14:paraId="61AA03C0">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CC55888">
            <w:pPr>
              <w:jc w:val="center"/>
              <w:rPr>
                <w:rFonts w:ascii="宋体" w:hAnsi="宋体" w:cs="宋体"/>
                <w:sz w:val="24"/>
              </w:rPr>
            </w:pPr>
            <w:r>
              <w:rPr>
                <w:rFonts w:hint="eastAsia"/>
              </w:rPr>
              <w:t>12</w:t>
            </w:r>
          </w:p>
        </w:tc>
        <w:tc>
          <w:tcPr>
            <w:tcW w:w="931" w:type="dxa"/>
            <w:tcBorders>
              <w:top w:val="single" w:color="auto" w:sz="4" w:space="0"/>
              <w:left w:val="single" w:color="auto" w:sz="4" w:space="0"/>
              <w:bottom w:val="single" w:color="auto" w:sz="4" w:space="0"/>
              <w:right w:val="single" w:color="auto" w:sz="4" w:space="0"/>
            </w:tcBorders>
            <w:vAlign w:val="center"/>
          </w:tcPr>
          <w:p w14:paraId="488A2B3F">
            <w:pPr>
              <w:jc w:val="center"/>
              <w:rPr>
                <w:rFonts w:ascii="宋体" w:hAnsi="宋体" w:cs="宋体"/>
                <w:sz w:val="24"/>
              </w:rPr>
            </w:pPr>
            <w:r>
              <w:rPr>
                <w:rFonts w:hint="eastAsia"/>
              </w:rPr>
              <w:t>干香菇</w:t>
            </w:r>
          </w:p>
        </w:tc>
        <w:tc>
          <w:tcPr>
            <w:tcW w:w="745" w:type="dxa"/>
            <w:tcBorders>
              <w:top w:val="single" w:color="auto" w:sz="4" w:space="0"/>
              <w:left w:val="single" w:color="auto" w:sz="4" w:space="0"/>
              <w:bottom w:val="single" w:color="auto" w:sz="4" w:space="0"/>
              <w:right w:val="single" w:color="auto" w:sz="4" w:space="0"/>
            </w:tcBorders>
            <w:vAlign w:val="center"/>
          </w:tcPr>
          <w:p w14:paraId="254E591D">
            <w:pPr>
              <w:jc w:val="center"/>
              <w:rPr>
                <w:rFonts w:ascii="宋体" w:hAnsi="宋体" w:cs="宋体"/>
                <w:sz w:val="24"/>
              </w:rP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0915862B">
            <w:pPr>
              <w:widowControl/>
              <w:jc w:val="center"/>
            </w:pPr>
            <w:r>
              <w:rPr>
                <w:rFonts w:hint="eastAsia"/>
                <w:lang w:bidi="ar"/>
              </w:rPr>
              <w:t>1000.00</w:t>
            </w:r>
          </w:p>
        </w:tc>
        <w:tc>
          <w:tcPr>
            <w:tcW w:w="1125" w:type="dxa"/>
            <w:vMerge w:val="continue"/>
            <w:tcBorders>
              <w:left w:val="single" w:color="auto" w:sz="4" w:space="0"/>
              <w:right w:val="single" w:color="auto" w:sz="4" w:space="0"/>
            </w:tcBorders>
            <w:vAlign w:val="center"/>
          </w:tcPr>
          <w:p w14:paraId="110A0134">
            <w:pPr>
              <w:jc w:val="center"/>
              <w:rPr>
                <w:rFonts w:ascii="宋体" w:hAnsi="宋体" w:cs="宋体"/>
                <w:szCs w:val="21"/>
              </w:rPr>
            </w:pPr>
          </w:p>
        </w:tc>
        <w:tc>
          <w:tcPr>
            <w:tcW w:w="4231" w:type="dxa"/>
            <w:vMerge w:val="continue"/>
            <w:tcBorders>
              <w:left w:val="single" w:color="auto" w:sz="4" w:space="0"/>
              <w:right w:val="single" w:color="auto" w:sz="4" w:space="0"/>
            </w:tcBorders>
            <w:vAlign w:val="center"/>
          </w:tcPr>
          <w:p w14:paraId="3C8884B9">
            <w:pPr>
              <w:spacing w:line="360" w:lineRule="auto"/>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14:paraId="342452DE">
            <w:pPr>
              <w:widowControl/>
              <w:jc w:val="center"/>
              <w:rPr>
                <w:lang w:bidi="ar"/>
              </w:rPr>
            </w:pPr>
            <w:r>
              <w:rPr>
                <w:rFonts w:hint="eastAsia"/>
                <w:lang w:bidi="ar"/>
              </w:rPr>
              <w:t xml:space="preserve">53.36 </w:t>
            </w:r>
          </w:p>
        </w:tc>
      </w:tr>
      <w:tr w14:paraId="177184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14:paraId="1FD77A4F">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0AD0063">
            <w:pPr>
              <w:jc w:val="center"/>
              <w:rPr>
                <w:rFonts w:ascii="宋体" w:hAnsi="宋体" w:cs="宋体"/>
                <w:sz w:val="24"/>
              </w:rPr>
            </w:pPr>
            <w:r>
              <w:rPr>
                <w:rFonts w:hint="eastAsia"/>
              </w:rPr>
              <w:t>13</w:t>
            </w:r>
          </w:p>
        </w:tc>
        <w:tc>
          <w:tcPr>
            <w:tcW w:w="931" w:type="dxa"/>
            <w:tcBorders>
              <w:top w:val="single" w:color="auto" w:sz="4" w:space="0"/>
              <w:left w:val="single" w:color="auto" w:sz="4" w:space="0"/>
              <w:bottom w:val="single" w:color="auto" w:sz="4" w:space="0"/>
              <w:right w:val="single" w:color="auto" w:sz="4" w:space="0"/>
            </w:tcBorders>
            <w:vAlign w:val="center"/>
          </w:tcPr>
          <w:p w14:paraId="1FF9CD91">
            <w:pPr>
              <w:jc w:val="center"/>
              <w:rPr>
                <w:rFonts w:ascii="宋体" w:hAnsi="宋体" w:cs="宋体"/>
                <w:sz w:val="24"/>
              </w:rPr>
            </w:pPr>
            <w:r>
              <w:rPr>
                <w:rFonts w:hint="eastAsia"/>
              </w:rPr>
              <w:t>红枣</w:t>
            </w:r>
          </w:p>
        </w:tc>
        <w:tc>
          <w:tcPr>
            <w:tcW w:w="745" w:type="dxa"/>
            <w:tcBorders>
              <w:top w:val="single" w:color="auto" w:sz="4" w:space="0"/>
              <w:left w:val="single" w:color="auto" w:sz="4" w:space="0"/>
              <w:bottom w:val="single" w:color="auto" w:sz="4" w:space="0"/>
              <w:right w:val="single" w:color="auto" w:sz="4" w:space="0"/>
            </w:tcBorders>
            <w:vAlign w:val="center"/>
          </w:tcPr>
          <w:p w14:paraId="3A2C4406">
            <w:pPr>
              <w:jc w:val="center"/>
              <w:rPr>
                <w:rFonts w:ascii="宋体" w:hAnsi="宋体" w:cs="宋体"/>
                <w:sz w:val="24"/>
              </w:rP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05F6853C">
            <w:pPr>
              <w:widowControl/>
              <w:jc w:val="center"/>
            </w:pPr>
            <w:r>
              <w:rPr>
                <w:rFonts w:hint="eastAsia"/>
                <w:lang w:bidi="ar"/>
              </w:rPr>
              <w:t>500.00</w:t>
            </w:r>
          </w:p>
        </w:tc>
        <w:tc>
          <w:tcPr>
            <w:tcW w:w="1125" w:type="dxa"/>
            <w:vMerge w:val="continue"/>
            <w:tcBorders>
              <w:left w:val="single" w:color="auto" w:sz="4" w:space="0"/>
              <w:right w:val="single" w:color="auto" w:sz="4" w:space="0"/>
            </w:tcBorders>
            <w:vAlign w:val="center"/>
          </w:tcPr>
          <w:p w14:paraId="55FF319A">
            <w:pPr>
              <w:jc w:val="center"/>
              <w:rPr>
                <w:rFonts w:ascii="宋体" w:hAnsi="宋体" w:cs="宋体"/>
                <w:szCs w:val="21"/>
              </w:rPr>
            </w:pPr>
          </w:p>
        </w:tc>
        <w:tc>
          <w:tcPr>
            <w:tcW w:w="4231" w:type="dxa"/>
            <w:vMerge w:val="continue"/>
            <w:tcBorders>
              <w:left w:val="single" w:color="auto" w:sz="4" w:space="0"/>
              <w:right w:val="single" w:color="auto" w:sz="4" w:space="0"/>
            </w:tcBorders>
            <w:vAlign w:val="center"/>
          </w:tcPr>
          <w:p w14:paraId="0FFAD20D">
            <w:pPr>
              <w:spacing w:line="360" w:lineRule="auto"/>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14:paraId="2C01C044">
            <w:pPr>
              <w:widowControl/>
              <w:jc w:val="center"/>
              <w:rPr>
                <w:lang w:bidi="ar"/>
              </w:rPr>
            </w:pPr>
            <w:r>
              <w:rPr>
                <w:rFonts w:hint="eastAsia"/>
                <w:lang w:bidi="ar"/>
              </w:rPr>
              <w:t xml:space="preserve">11.96 </w:t>
            </w:r>
          </w:p>
        </w:tc>
      </w:tr>
      <w:tr w14:paraId="253AE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14:paraId="7C3F1163">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42E4E10">
            <w:pPr>
              <w:jc w:val="center"/>
              <w:rPr>
                <w:rFonts w:ascii="宋体" w:hAnsi="宋体" w:cs="宋体"/>
                <w:sz w:val="24"/>
              </w:rPr>
            </w:pPr>
            <w:r>
              <w:rPr>
                <w:rFonts w:hint="eastAsia"/>
              </w:rPr>
              <w:t>14</w:t>
            </w:r>
          </w:p>
        </w:tc>
        <w:tc>
          <w:tcPr>
            <w:tcW w:w="931" w:type="dxa"/>
            <w:tcBorders>
              <w:top w:val="single" w:color="auto" w:sz="4" w:space="0"/>
              <w:left w:val="single" w:color="auto" w:sz="4" w:space="0"/>
              <w:bottom w:val="single" w:color="auto" w:sz="4" w:space="0"/>
              <w:right w:val="single" w:color="auto" w:sz="4" w:space="0"/>
            </w:tcBorders>
            <w:vAlign w:val="center"/>
          </w:tcPr>
          <w:p w14:paraId="56D352B1">
            <w:pPr>
              <w:jc w:val="center"/>
              <w:rPr>
                <w:rFonts w:ascii="宋体" w:hAnsi="宋体" w:cs="宋体"/>
                <w:sz w:val="24"/>
              </w:rPr>
            </w:pPr>
            <w:r>
              <w:rPr>
                <w:rFonts w:hint="eastAsia"/>
              </w:rPr>
              <w:t>紫菜</w:t>
            </w:r>
          </w:p>
        </w:tc>
        <w:tc>
          <w:tcPr>
            <w:tcW w:w="745" w:type="dxa"/>
            <w:tcBorders>
              <w:top w:val="single" w:color="auto" w:sz="4" w:space="0"/>
              <w:left w:val="single" w:color="auto" w:sz="4" w:space="0"/>
              <w:bottom w:val="single" w:color="auto" w:sz="4" w:space="0"/>
              <w:right w:val="single" w:color="auto" w:sz="4" w:space="0"/>
            </w:tcBorders>
            <w:vAlign w:val="center"/>
          </w:tcPr>
          <w:p w14:paraId="22E2FAA6">
            <w:pPr>
              <w:jc w:val="center"/>
              <w:rPr>
                <w:rFonts w:ascii="宋体" w:hAnsi="宋体" w:cs="宋体"/>
                <w:sz w:val="24"/>
              </w:rP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79FDDF3F">
            <w:pPr>
              <w:widowControl/>
              <w:jc w:val="center"/>
            </w:pPr>
            <w:r>
              <w:rPr>
                <w:rFonts w:hint="eastAsia"/>
                <w:lang w:bidi="ar"/>
              </w:rPr>
              <w:t>300.00</w:t>
            </w:r>
          </w:p>
        </w:tc>
        <w:tc>
          <w:tcPr>
            <w:tcW w:w="1125" w:type="dxa"/>
            <w:vMerge w:val="continue"/>
            <w:tcBorders>
              <w:left w:val="single" w:color="auto" w:sz="4" w:space="0"/>
              <w:right w:val="single" w:color="auto" w:sz="4" w:space="0"/>
            </w:tcBorders>
            <w:vAlign w:val="center"/>
          </w:tcPr>
          <w:p w14:paraId="06FF84A5">
            <w:pPr>
              <w:jc w:val="center"/>
              <w:rPr>
                <w:rFonts w:ascii="宋体" w:hAnsi="宋体" w:cs="宋体"/>
                <w:szCs w:val="21"/>
              </w:rPr>
            </w:pPr>
          </w:p>
        </w:tc>
        <w:tc>
          <w:tcPr>
            <w:tcW w:w="4231" w:type="dxa"/>
            <w:vMerge w:val="continue"/>
            <w:tcBorders>
              <w:left w:val="single" w:color="auto" w:sz="4" w:space="0"/>
              <w:right w:val="single" w:color="auto" w:sz="4" w:space="0"/>
            </w:tcBorders>
            <w:vAlign w:val="center"/>
          </w:tcPr>
          <w:p w14:paraId="04A570E0">
            <w:pPr>
              <w:spacing w:line="360" w:lineRule="auto"/>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14:paraId="13712D6F">
            <w:pPr>
              <w:widowControl/>
              <w:jc w:val="center"/>
              <w:rPr>
                <w:lang w:bidi="ar"/>
              </w:rPr>
            </w:pPr>
            <w:r>
              <w:rPr>
                <w:rFonts w:hint="eastAsia"/>
                <w:lang w:bidi="ar"/>
              </w:rPr>
              <w:t xml:space="preserve">11.04 </w:t>
            </w:r>
          </w:p>
        </w:tc>
      </w:tr>
      <w:tr w14:paraId="1A10F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14:paraId="41163757">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9107921">
            <w:pPr>
              <w:jc w:val="center"/>
              <w:rPr>
                <w:rFonts w:ascii="宋体" w:hAnsi="宋体" w:cs="宋体"/>
                <w:sz w:val="24"/>
              </w:rPr>
            </w:pPr>
            <w:r>
              <w:rPr>
                <w:rFonts w:hint="eastAsia"/>
              </w:rPr>
              <w:t>15</w:t>
            </w:r>
          </w:p>
        </w:tc>
        <w:tc>
          <w:tcPr>
            <w:tcW w:w="931" w:type="dxa"/>
            <w:tcBorders>
              <w:top w:val="single" w:color="auto" w:sz="4" w:space="0"/>
              <w:left w:val="single" w:color="auto" w:sz="4" w:space="0"/>
              <w:bottom w:val="single" w:color="auto" w:sz="4" w:space="0"/>
              <w:right w:val="single" w:color="auto" w:sz="4" w:space="0"/>
            </w:tcBorders>
            <w:vAlign w:val="center"/>
          </w:tcPr>
          <w:p w14:paraId="7C251D90">
            <w:pPr>
              <w:jc w:val="center"/>
              <w:rPr>
                <w:rFonts w:ascii="宋体" w:hAnsi="宋体" w:cs="宋体"/>
                <w:sz w:val="24"/>
              </w:rPr>
            </w:pPr>
            <w:r>
              <w:rPr>
                <w:rFonts w:hint="eastAsia"/>
              </w:rPr>
              <w:t>腊肠</w:t>
            </w:r>
          </w:p>
        </w:tc>
        <w:tc>
          <w:tcPr>
            <w:tcW w:w="745" w:type="dxa"/>
            <w:tcBorders>
              <w:top w:val="single" w:color="auto" w:sz="4" w:space="0"/>
              <w:left w:val="single" w:color="auto" w:sz="4" w:space="0"/>
              <w:bottom w:val="single" w:color="auto" w:sz="4" w:space="0"/>
              <w:right w:val="single" w:color="auto" w:sz="4" w:space="0"/>
            </w:tcBorders>
            <w:vAlign w:val="center"/>
          </w:tcPr>
          <w:p w14:paraId="3E4003D0">
            <w:pPr>
              <w:jc w:val="center"/>
              <w:rPr>
                <w:rFonts w:ascii="宋体" w:hAnsi="宋体" w:cs="宋体"/>
                <w:sz w:val="24"/>
              </w:rP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3D3039B9">
            <w:pPr>
              <w:widowControl/>
              <w:jc w:val="center"/>
            </w:pPr>
            <w:r>
              <w:rPr>
                <w:rFonts w:hint="eastAsia"/>
                <w:lang w:bidi="ar"/>
              </w:rPr>
              <w:t>1500.00</w:t>
            </w:r>
          </w:p>
        </w:tc>
        <w:tc>
          <w:tcPr>
            <w:tcW w:w="1125" w:type="dxa"/>
            <w:vMerge w:val="continue"/>
            <w:tcBorders>
              <w:left w:val="single" w:color="auto" w:sz="4" w:space="0"/>
              <w:right w:val="single" w:color="auto" w:sz="4" w:space="0"/>
            </w:tcBorders>
            <w:vAlign w:val="center"/>
          </w:tcPr>
          <w:p w14:paraId="1722DCF8">
            <w:pPr>
              <w:jc w:val="center"/>
              <w:rPr>
                <w:rFonts w:ascii="宋体" w:hAnsi="宋体" w:cs="宋体"/>
                <w:szCs w:val="21"/>
              </w:rPr>
            </w:pPr>
          </w:p>
        </w:tc>
        <w:tc>
          <w:tcPr>
            <w:tcW w:w="4231" w:type="dxa"/>
            <w:vMerge w:val="continue"/>
            <w:tcBorders>
              <w:left w:val="single" w:color="auto" w:sz="4" w:space="0"/>
              <w:right w:val="single" w:color="auto" w:sz="4" w:space="0"/>
            </w:tcBorders>
            <w:vAlign w:val="center"/>
          </w:tcPr>
          <w:p w14:paraId="1F26E1D7">
            <w:pPr>
              <w:spacing w:line="360" w:lineRule="auto"/>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14:paraId="0DB9E466">
            <w:pPr>
              <w:widowControl/>
              <w:jc w:val="center"/>
              <w:rPr>
                <w:lang w:bidi="ar"/>
              </w:rPr>
            </w:pPr>
            <w:r>
              <w:rPr>
                <w:rFonts w:hint="eastAsia"/>
                <w:lang w:bidi="ar"/>
              </w:rPr>
              <w:t xml:space="preserve">33.12 </w:t>
            </w:r>
          </w:p>
        </w:tc>
      </w:tr>
      <w:tr w14:paraId="7385DA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14:paraId="7DCA7093">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A1DCF64">
            <w:pPr>
              <w:jc w:val="center"/>
              <w:rPr>
                <w:rFonts w:ascii="宋体" w:hAnsi="宋体" w:cs="宋体"/>
                <w:sz w:val="24"/>
              </w:rPr>
            </w:pPr>
            <w:r>
              <w:rPr>
                <w:rFonts w:hint="eastAsia"/>
              </w:rPr>
              <w:t>16</w:t>
            </w:r>
          </w:p>
        </w:tc>
        <w:tc>
          <w:tcPr>
            <w:tcW w:w="931" w:type="dxa"/>
            <w:tcBorders>
              <w:top w:val="single" w:color="auto" w:sz="4" w:space="0"/>
              <w:left w:val="single" w:color="auto" w:sz="4" w:space="0"/>
              <w:bottom w:val="single" w:color="auto" w:sz="4" w:space="0"/>
              <w:right w:val="single" w:color="auto" w:sz="4" w:space="0"/>
            </w:tcBorders>
            <w:vAlign w:val="center"/>
          </w:tcPr>
          <w:p w14:paraId="474354A8">
            <w:pPr>
              <w:jc w:val="center"/>
              <w:rPr>
                <w:rFonts w:ascii="宋体" w:hAnsi="宋体" w:cs="宋体"/>
                <w:sz w:val="24"/>
              </w:rPr>
            </w:pPr>
            <w:r>
              <w:rPr>
                <w:rFonts w:hint="eastAsia"/>
              </w:rPr>
              <w:t>腊肉</w:t>
            </w:r>
          </w:p>
        </w:tc>
        <w:tc>
          <w:tcPr>
            <w:tcW w:w="745" w:type="dxa"/>
            <w:tcBorders>
              <w:top w:val="single" w:color="auto" w:sz="4" w:space="0"/>
              <w:left w:val="single" w:color="auto" w:sz="4" w:space="0"/>
              <w:bottom w:val="single" w:color="auto" w:sz="4" w:space="0"/>
              <w:right w:val="single" w:color="auto" w:sz="4" w:space="0"/>
            </w:tcBorders>
            <w:vAlign w:val="center"/>
          </w:tcPr>
          <w:p w14:paraId="4DCF3925">
            <w:pPr>
              <w:jc w:val="center"/>
              <w:rPr>
                <w:rFonts w:ascii="宋体" w:hAnsi="宋体" w:cs="宋体"/>
                <w:sz w:val="24"/>
              </w:rP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5DF19A48">
            <w:pPr>
              <w:widowControl/>
              <w:jc w:val="center"/>
            </w:pPr>
            <w:r>
              <w:rPr>
                <w:rFonts w:hint="eastAsia"/>
                <w:lang w:bidi="ar"/>
              </w:rPr>
              <w:t>1500.00</w:t>
            </w:r>
          </w:p>
        </w:tc>
        <w:tc>
          <w:tcPr>
            <w:tcW w:w="1125" w:type="dxa"/>
            <w:vMerge w:val="continue"/>
            <w:tcBorders>
              <w:left w:val="single" w:color="auto" w:sz="4" w:space="0"/>
              <w:bottom w:val="single" w:color="auto" w:sz="4" w:space="0"/>
              <w:right w:val="single" w:color="auto" w:sz="4" w:space="0"/>
            </w:tcBorders>
            <w:vAlign w:val="center"/>
          </w:tcPr>
          <w:p w14:paraId="125B888A">
            <w:pPr>
              <w:jc w:val="center"/>
              <w:rPr>
                <w:rFonts w:ascii="宋体" w:hAnsi="宋体" w:cs="宋体"/>
                <w:szCs w:val="21"/>
              </w:rPr>
            </w:pPr>
          </w:p>
        </w:tc>
        <w:tc>
          <w:tcPr>
            <w:tcW w:w="4231" w:type="dxa"/>
            <w:vMerge w:val="continue"/>
            <w:tcBorders>
              <w:left w:val="single" w:color="auto" w:sz="4" w:space="0"/>
              <w:right w:val="single" w:color="auto" w:sz="4" w:space="0"/>
            </w:tcBorders>
            <w:vAlign w:val="center"/>
          </w:tcPr>
          <w:p w14:paraId="3DED67CD">
            <w:pPr>
              <w:spacing w:line="360" w:lineRule="auto"/>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14:paraId="63CEE8B9">
            <w:pPr>
              <w:widowControl/>
              <w:jc w:val="center"/>
              <w:rPr>
                <w:lang w:bidi="ar"/>
              </w:rPr>
            </w:pPr>
            <w:r>
              <w:rPr>
                <w:rFonts w:hint="eastAsia"/>
                <w:lang w:bidi="ar"/>
              </w:rPr>
              <w:t xml:space="preserve">41.95 </w:t>
            </w:r>
          </w:p>
        </w:tc>
      </w:tr>
      <w:tr w14:paraId="65C506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479" w:type="dxa"/>
            <w:tcBorders>
              <w:top w:val="single" w:color="auto" w:sz="4" w:space="0"/>
              <w:left w:val="single" w:color="auto" w:sz="4" w:space="0"/>
              <w:bottom w:val="single" w:color="auto" w:sz="4" w:space="0"/>
              <w:right w:val="single" w:color="auto" w:sz="4" w:space="0"/>
            </w:tcBorders>
          </w:tcPr>
          <w:p w14:paraId="76AAD1F7">
            <w:pPr>
              <w:jc w:val="center"/>
              <w:rPr>
                <w:rFonts w:ascii="宋体" w:hAnsi="宋体"/>
                <w:szCs w:val="21"/>
              </w:rPr>
            </w:pPr>
          </w:p>
          <w:p w14:paraId="573DD73D">
            <w:pPr>
              <w:jc w:val="center"/>
              <w:rPr>
                <w:rFonts w:ascii="宋体" w:hAnsi="宋体"/>
                <w:szCs w:val="21"/>
              </w:rPr>
            </w:pPr>
          </w:p>
          <w:p w14:paraId="0FAD727C">
            <w:pPr>
              <w:jc w:val="center"/>
              <w:rPr>
                <w:rFonts w:ascii="宋体" w:hAnsi="宋体"/>
                <w:szCs w:val="21"/>
              </w:rPr>
            </w:pPr>
            <w:r>
              <w:rPr>
                <w:rFonts w:hint="eastAsia" w:ascii="宋体" w:hAnsi="宋体"/>
                <w:szCs w:val="21"/>
              </w:rPr>
              <w:t>商务条款</w:t>
            </w:r>
          </w:p>
        </w:tc>
        <w:tc>
          <w:tcPr>
            <w:tcW w:w="9807" w:type="dxa"/>
            <w:gridSpan w:val="7"/>
            <w:tcBorders>
              <w:top w:val="single" w:color="auto" w:sz="4" w:space="0"/>
              <w:left w:val="single" w:color="auto" w:sz="4" w:space="0"/>
              <w:bottom w:val="single" w:color="auto" w:sz="4" w:space="0"/>
              <w:right w:val="single" w:color="auto" w:sz="4" w:space="0"/>
            </w:tcBorders>
          </w:tcPr>
          <w:p w14:paraId="647A2546">
            <w:pPr>
              <w:numPr>
                <w:ilvl w:val="255"/>
                <w:numId w:val="0"/>
              </w:numPr>
              <w:spacing w:line="360" w:lineRule="auto"/>
              <w:rPr>
                <w:rFonts w:ascii="宋体" w:hAnsi="宋体" w:cs="宋体"/>
              </w:rPr>
            </w:pPr>
            <w:r>
              <w:rPr>
                <w:rFonts w:hint="eastAsia" w:ascii="宋体" w:hAnsi="宋体" w:cs="宋体"/>
                <w:b/>
              </w:rPr>
              <w:t>一、合同签订期</w:t>
            </w:r>
            <w:r>
              <w:rPr>
                <w:rFonts w:hint="eastAsia" w:ascii="宋体" w:hAnsi="宋体" w:cs="宋体"/>
              </w:rPr>
              <w:t>：自中标通知书发出之日起25日内。</w:t>
            </w:r>
          </w:p>
          <w:p w14:paraId="42D33E5F">
            <w:pPr>
              <w:numPr>
                <w:ilvl w:val="255"/>
                <w:numId w:val="0"/>
              </w:numPr>
              <w:spacing w:line="360" w:lineRule="auto"/>
              <w:rPr>
                <w:rFonts w:ascii="宋体" w:hAnsi="宋体" w:cs="宋体"/>
                <w:b/>
                <w:bCs/>
              </w:rPr>
            </w:pPr>
            <w:r>
              <w:rPr>
                <w:rFonts w:hint="eastAsia" w:ascii="宋体" w:hAnsi="宋体" w:cs="宋体"/>
                <w:b/>
                <w:bCs/>
              </w:rPr>
              <w:t>二、交货要求</w:t>
            </w:r>
          </w:p>
          <w:p w14:paraId="671FD6C7">
            <w:pPr>
              <w:spacing w:line="360" w:lineRule="auto"/>
              <w:rPr>
                <w:rFonts w:ascii="宋体" w:hAnsi="宋体" w:cs="宋体"/>
              </w:rPr>
            </w:pPr>
            <w:r>
              <w:rPr>
                <w:rFonts w:hint="eastAsia" w:ascii="宋体" w:hAnsi="宋体" w:cs="宋体"/>
              </w:rPr>
              <w:t>1.交货地点：</w:t>
            </w:r>
            <w:r>
              <w:rPr>
                <w:rFonts w:hint="eastAsia" w:ascii="宋体" w:hAnsi="宋体" w:cs="宋体"/>
                <w:szCs w:val="21"/>
              </w:rPr>
              <w:t>广西梧州市</w:t>
            </w:r>
            <w:r>
              <w:rPr>
                <w:rFonts w:hint="eastAsia" w:ascii="宋体" w:hAnsi="宋体" w:cs="宋体"/>
              </w:rPr>
              <w:t>采购人指定地点。</w:t>
            </w:r>
          </w:p>
          <w:p w14:paraId="429B8A09">
            <w:pPr>
              <w:spacing w:line="360" w:lineRule="auto"/>
              <w:rPr>
                <w:rFonts w:ascii="宋体" w:hAnsi="宋体" w:cs="宋体"/>
              </w:rPr>
            </w:pPr>
            <w:r>
              <w:rPr>
                <w:rFonts w:hint="eastAsia" w:ascii="宋体" w:hAnsi="宋体" w:cs="宋体"/>
              </w:rPr>
              <w:t>2.交货时间：</w:t>
            </w:r>
            <w:r>
              <w:rPr>
                <w:rFonts w:hint="eastAsia" w:ascii="宋体" w:hAnsi="宋体" w:cs="宋体"/>
                <w:szCs w:val="21"/>
              </w:rPr>
              <w:t>中标人向采购人供应食材为每天上午8:00前，确保一日一供，节假日正常供应，特殊情况双方协商确定。产品运输由中标人负责，运输及卸车费用由中标人承担</w:t>
            </w:r>
            <w:r>
              <w:rPr>
                <w:rFonts w:hint="eastAsia" w:ascii="宋体" w:hAnsi="宋体" w:cs="宋体"/>
              </w:rPr>
              <w:t>。</w:t>
            </w:r>
          </w:p>
          <w:p w14:paraId="7AC48755">
            <w:pPr>
              <w:spacing w:line="360" w:lineRule="auto"/>
              <w:rPr>
                <w:rFonts w:ascii="宋体" w:hAnsi="宋体" w:cs="宋体"/>
              </w:rPr>
            </w:pPr>
            <w:r>
              <w:rPr>
                <w:rFonts w:hint="eastAsia" w:ascii="宋体" w:hAnsi="宋体" w:cs="宋体"/>
              </w:rPr>
              <w:t>3.交货方式：现场交货。</w:t>
            </w:r>
          </w:p>
          <w:p w14:paraId="730445D8">
            <w:pPr>
              <w:spacing w:line="360" w:lineRule="auto"/>
              <w:rPr>
                <w:rFonts w:ascii="宋体" w:hAnsi="宋体" w:cs="宋体"/>
              </w:rPr>
            </w:pPr>
            <w:r>
              <w:rPr>
                <w:rFonts w:hint="eastAsia" w:ascii="宋体" w:hAnsi="宋体" w:cs="宋体"/>
              </w:rPr>
              <w:t>4.合同履行期限：自合同签订之日起一年。</w:t>
            </w:r>
          </w:p>
          <w:p w14:paraId="0FAAF0DE">
            <w:pPr>
              <w:numPr>
                <w:ilvl w:val="255"/>
                <w:numId w:val="0"/>
              </w:numPr>
              <w:spacing w:line="360" w:lineRule="auto"/>
              <w:rPr>
                <w:rFonts w:ascii="宋体" w:hAnsi="宋体" w:cs="宋体"/>
                <w:b/>
                <w:bCs/>
              </w:rPr>
            </w:pPr>
            <w:r>
              <w:rPr>
                <w:rFonts w:hint="eastAsia" w:ascii="宋体" w:hAnsi="宋体"/>
                <w:b/>
                <w:bCs/>
                <w:szCs w:val="21"/>
              </w:rPr>
              <w:t>三、质保期</w:t>
            </w:r>
          </w:p>
          <w:p w14:paraId="248121FA">
            <w:pPr>
              <w:spacing w:line="360" w:lineRule="auto"/>
              <w:rPr>
                <w:rFonts w:ascii="宋体" w:hAnsi="宋体" w:cs="宋体"/>
                <w:b/>
                <w:bCs/>
              </w:rPr>
            </w:pPr>
            <w:r>
              <w:rPr>
                <w:rFonts w:hint="eastAsia" w:ascii="宋体" w:hAnsi="宋体" w:cs="Courier New"/>
                <w:szCs w:val="21"/>
              </w:rPr>
              <w:t>自每批次货物验收合格起计算，不少于24小时（除干货外）。</w:t>
            </w:r>
            <w:r>
              <w:rPr>
                <w:rFonts w:hint="eastAsia" w:ascii="宋体" w:hAnsi="宋体" w:cs="宋体"/>
                <w:szCs w:val="21"/>
              </w:rPr>
              <w:t>工业生产的物资必须是新近生产的，配送时有效质保期不得低于产品整体质保期的二分之一。</w:t>
            </w:r>
          </w:p>
          <w:p w14:paraId="63400B20">
            <w:pPr>
              <w:numPr>
                <w:ilvl w:val="255"/>
                <w:numId w:val="0"/>
              </w:numPr>
              <w:spacing w:line="360" w:lineRule="auto"/>
              <w:rPr>
                <w:rFonts w:ascii="宋体" w:hAnsi="宋体" w:cs="宋体"/>
                <w:b/>
                <w:bCs/>
              </w:rPr>
            </w:pPr>
            <w:r>
              <w:rPr>
                <w:rFonts w:hint="eastAsia" w:ascii="宋体" w:hAnsi="宋体" w:cs="宋体"/>
                <w:b/>
                <w:bCs/>
              </w:rPr>
              <w:t>四、供货要求</w:t>
            </w:r>
          </w:p>
          <w:p w14:paraId="223B0AA3">
            <w:pPr>
              <w:spacing w:line="360" w:lineRule="auto"/>
              <w:rPr>
                <w:rFonts w:ascii="宋体" w:hAnsi="宋体" w:cs="宋体"/>
              </w:rPr>
            </w:pPr>
            <w:r>
              <w:rPr>
                <w:rFonts w:hint="eastAsia" w:ascii="宋体" w:hAnsi="宋体" w:cs="宋体"/>
              </w:rPr>
              <w:t>1.一般供货要求：采购人根据实际需要，每天下午18时前列出一份第二天需要补充采购的食品请购清单，在收到采购人发出供货通知后，中标人最迟在次日上午8：00前提供当次物资。</w:t>
            </w:r>
          </w:p>
          <w:p w14:paraId="6601B540">
            <w:pPr>
              <w:spacing w:line="360" w:lineRule="auto"/>
              <w:rPr>
                <w:rFonts w:ascii="宋体" w:hAnsi="宋体" w:cs="宋体"/>
              </w:rPr>
            </w:pPr>
            <w:r>
              <w:rPr>
                <w:rFonts w:hint="eastAsia" w:ascii="宋体" w:hAnsi="宋体" w:cs="宋体"/>
              </w:rPr>
              <w:t>2.紧急供货要求：有紧急供货需求时，中标人在收到采购人发出紧急供货通知后，中标人最迟1小时内完成当次现场供货。</w:t>
            </w:r>
          </w:p>
          <w:p w14:paraId="4262AF6C">
            <w:pPr>
              <w:spacing w:line="360" w:lineRule="auto"/>
              <w:rPr>
                <w:rFonts w:ascii="宋体" w:hAnsi="宋体" w:cs="宋体"/>
              </w:rPr>
            </w:pPr>
            <w:r>
              <w:rPr>
                <w:rFonts w:hint="eastAsia" w:ascii="宋体" w:hAnsi="宋体" w:cs="宋体"/>
              </w:rPr>
              <w:t>3.</w:t>
            </w:r>
            <w:bookmarkStart w:id="170" w:name="OLE_LINK16"/>
            <w:r>
              <w:rPr>
                <w:rFonts w:hint="eastAsia" w:ascii="宋体" w:hAnsi="宋体" w:cs="宋体"/>
              </w:rPr>
              <w:t>中标人</w:t>
            </w:r>
            <w:bookmarkEnd w:id="170"/>
            <w:r>
              <w:rPr>
                <w:rFonts w:hint="eastAsia" w:ascii="宋体" w:hAnsi="宋体" w:cs="宋体"/>
              </w:rPr>
              <w:t>不能满足供货要求时，应提前1个月通知采购人，采购人同意后方可终止合同。</w:t>
            </w:r>
          </w:p>
          <w:p w14:paraId="16EED130">
            <w:pPr>
              <w:spacing w:line="360" w:lineRule="auto"/>
              <w:rPr>
                <w:rFonts w:ascii="宋体" w:hAnsi="宋体" w:cs="宋体"/>
              </w:rPr>
            </w:pPr>
            <w:r>
              <w:rPr>
                <w:rFonts w:hint="eastAsia" w:ascii="宋体" w:hAnsi="宋体" w:cs="宋体"/>
              </w:rPr>
              <w:t>4.</w:t>
            </w:r>
            <w:bookmarkStart w:id="171" w:name="OLE_LINK17"/>
            <w:r>
              <w:rPr>
                <w:rFonts w:hint="eastAsia" w:ascii="宋体" w:hAnsi="宋体" w:cs="宋体"/>
              </w:rPr>
              <w:t>中标人</w:t>
            </w:r>
            <w:bookmarkEnd w:id="171"/>
            <w:r>
              <w:rPr>
                <w:rFonts w:hint="eastAsia" w:ascii="宋体" w:hAnsi="宋体" w:cs="宋体"/>
              </w:rPr>
              <w:t>提供的货物必须是具有合法销售途径的、完整、新鲜合格产品。货物的技术质量必须符合《中华人民共和国农产品质量安全法</w:t>
            </w:r>
            <w:r>
              <w:rPr>
                <w:rFonts w:hint="eastAsia" w:ascii="宋体" w:hAnsi="宋体" w:cs="宋体"/>
                <w:szCs w:val="21"/>
              </w:rPr>
              <w:t>》</w:t>
            </w:r>
            <w:r>
              <w:rPr>
                <w:rFonts w:hint="eastAsia" w:ascii="宋体" w:hAnsi="宋体" w:cs="宋体"/>
              </w:rPr>
              <w:t>等有关规定。</w:t>
            </w:r>
          </w:p>
          <w:p w14:paraId="373C6463">
            <w:pPr>
              <w:spacing w:line="360" w:lineRule="auto"/>
              <w:rPr>
                <w:rFonts w:ascii="宋体" w:hAnsi="宋体" w:cs="宋体"/>
              </w:rPr>
            </w:pPr>
            <w:r>
              <w:rPr>
                <w:rFonts w:hint="eastAsia" w:ascii="宋体" w:hAnsi="宋体" w:cs="宋体"/>
              </w:rPr>
              <w:t>5.需要切砍的货物须由中标人负责切砍后交货。</w:t>
            </w:r>
          </w:p>
          <w:p w14:paraId="5B10ECCB">
            <w:pPr>
              <w:spacing w:line="360" w:lineRule="auto"/>
              <w:rPr>
                <w:rFonts w:ascii="宋体" w:hAnsi="宋体" w:cs="宋体"/>
              </w:rPr>
            </w:pPr>
            <w:r>
              <w:rPr>
                <w:rFonts w:hint="eastAsia" w:ascii="宋体" w:hAnsi="宋体" w:cs="宋体"/>
              </w:rPr>
              <w:t>6.配送供应服务内容及要求详见附件一《配送供应内容及要求》。</w:t>
            </w:r>
          </w:p>
          <w:p w14:paraId="56FD023F">
            <w:pPr>
              <w:numPr>
                <w:ilvl w:val="255"/>
                <w:numId w:val="0"/>
              </w:numPr>
              <w:spacing w:line="360" w:lineRule="auto"/>
              <w:rPr>
                <w:rFonts w:ascii="宋体" w:hAnsi="宋体" w:cs="宋体"/>
                <w:b/>
                <w:bCs/>
              </w:rPr>
            </w:pPr>
            <w:r>
              <w:rPr>
                <w:rFonts w:hint="eastAsia" w:ascii="宋体" w:hAnsi="宋体"/>
                <w:b/>
                <w:bCs/>
                <w:szCs w:val="21"/>
              </w:rPr>
              <w:t>五、售后服务要求</w:t>
            </w:r>
          </w:p>
          <w:p w14:paraId="3F7EDA28">
            <w:pPr>
              <w:spacing w:line="360" w:lineRule="auto"/>
              <w:rPr>
                <w:rFonts w:ascii="宋体" w:hAnsi="宋体" w:cs="宋体"/>
              </w:rPr>
            </w:pPr>
            <w:r>
              <w:rPr>
                <w:rFonts w:hint="eastAsia" w:ascii="宋体" w:hAnsi="宋体" w:cs="宋体"/>
              </w:rPr>
              <w:t>1.中标人负责货物的供应、包装、运输、装卸、交货，以及途中冷链和售后服务等工作。</w:t>
            </w:r>
          </w:p>
          <w:p w14:paraId="72307934">
            <w:pPr>
              <w:spacing w:line="360" w:lineRule="auto"/>
              <w:rPr>
                <w:rFonts w:ascii="宋体" w:hAnsi="宋体" w:cs="宋体"/>
              </w:rPr>
            </w:pPr>
            <w:r>
              <w:rPr>
                <w:rFonts w:hint="eastAsia" w:ascii="宋体" w:hAnsi="宋体" w:cs="宋体"/>
              </w:rPr>
              <w:t>2.保质保量，如在质保期内发现质量问题，中标人必须在接到采购人通知后1小时内响应并处理，如属质量问题的及时给予更换；</w:t>
            </w:r>
          </w:p>
          <w:p w14:paraId="04157652">
            <w:pPr>
              <w:spacing w:line="360" w:lineRule="auto"/>
              <w:rPr>
                <w:rFonts w:ascii="宋体" w:hAnsi="宋体" w:cs="宋体"/>
              </w:rPr>
            </w:pPr>
            <w:r>
              <w:rPr>
                <w:rFonts w:hint="eastAsia" w:ascii="宋体" w:hAnsi="宋体" w:cs="宋体"/>
              </w:rPr>
              <w:t>3.投标人必须在投标文件中提供具体的“售后服务承诺书”；</w:t>
            </w:r>
          </w:p>
          <w:p w14:paraId="5ACEDD63">
            <w:pPr>
              <w:spacing w:line="360" w:lineRule="auto"/>
              <w:rPr>
                <w:rFonts w:ascii="宋体" w:hAnsi="宋体" w:cs="宋体"/>
              </w:rPr>
            </w:pPr>
            <w:r>
              <w:rPr>
                <w:rFonts w:hint="eastAsia" w:ascii="宋体" w:hAnsi="宋体" w:cs="宋体"/>
              </w:rPr>
              <w:t>4.中标人必须严格按采购人需要的数量和时间供货。</w:t>
            </w:r>
          </w:p>
          <w:p w14:paraId="5ACBBBC1">
            <w:pPr>
              <w:numPr>
                <w:ilvl w:val="255"/>
                <w:numId w:val="0"/>
              </w:numPr>
              <w:spacing w:line="360" w:lineRule="auto"/>
              <w:rPr>
                <w:rFonts w:ascii="宋体" w:hAnsi="宋体" w:cs="宋体"/>
                <w:b/>
                <w:bCs/>
              </w:rPr>
            </w:pPr>
            <w:r>
              <w:rPr>
                <w:rFonts w:hint="eastAsia" w:ascii="宋体" w:hAnsi="宋体" w:cs="宋体"/>
                <w:b/>
                <w:bCs/>
              </w:rPr>
              <w:t>六、验收方法</w:t>
            </w:r>
          </w:p>
          <w:p w14:paraId="1BC6A3F5">
            <w:pPr>
              <w:spacing w:line="360" w:lineRule="auto"/>
              <w:rPr>
                <w:rFonts w:ascii="宋体" w:hAnsi="宋体" w:cs="宋体"/>
              </w:rPr>
            </w:pPr>
            <w:r>
              <w:rPr>
                <w:rFonts w:hint="eastAsia" w:ascii="宋体" w:hAnsi="宋体" w:cs="宋体"/>
              </w:rPr>
              <w:t>1.货物的验收工作由采购人和中标人共同进行。中标人提供的产品须经过采购人的感官检验、外观检验，若产品外观、包装、形式、质量不符合要求或感官检验不能达到食品卫生要求，当即拒收；中标人不能满足食品的质、量及售后服务要求时，采购人有权进行处罚或终止合同。</w:t>
            </w:r>
          </w:p>
          <w:p w14:paraId="3E39B159">
            <w:pPr>
              <w:spacing w:line="360" w:lineRule="auto"/>
              <w:rPr>
                <w:rFonts w:ascii="宋体" w:hAnsi="宋体" w:cs="宋体"/>
              </w:rPr>
            </w:pPr>
            <w:r>
              <w:rPr>
                <w:rFonts w:hint="eastAsia" w:ascii="宋体" w:hAnsi="宋体" w:cs="宋体"/>
              </w:rPr>
              <w:t>2.验收工作的一般程序为：根据供货清单的具体要求，对所购物料进行清点、外观检查以及对物料的各项指标和性能进行实测，并逐项记录。检测结束后，验收人员在验收单上签字。对未能通过验收的，一律退货、更换直至验收合格。</w:t>
            </w:r>
          </w:p>
          <w:p w14:paraId="67E3D972">
            <w:pPr>
              <w:numPr>
                <w:ilvl w:val="255"/>
                <w:numId w:val="0"/>
              </w:numPr>
              <w:spacing w:line="360" w:lineRule="auto"/>
              <w:rPr>
                <w:rFonts w:ascii="宋体" w:hAnsi="宋体" w:cs="宋体"/>
              </w:rPr>
            </w:pPr>
            <w:r>
              <w:rPr>
                <w:rFonts w:hint="eastAsia" w:ascii="宋体" w:hAnsi="宋体" w:cs="宋体"/>
                <w:b/>
                <w:bCs/>
              </w:rPr>
              <w:t>七、结算方式</w:t>
            </w:r>
          </w:p>
          <w:p w14:paraId="37BCC27E">
            <w:pPr>
              <w:spacing w:line="360" w:lineRule="auto"/>
              <w:rPr>
                <w:rFonts w:ascii="宋体" w:hAnsi="宋体" w:cs="宋体"/>
              </w:rPr>
            </w:pPr>
            <w:r>
              <w:rPr>
                <w:rFonts w:hint="eastAsia" w:ascii="宋体" w:hAnsi="宋体" w:cs="宋体"/>
              </w:rPr>
              <w:t>1.本项目采用先供货后对账再结算方式。</w:t>
            </w:r>
          </w:p>
          <w:p w14:paraId="60AC775D">
            <w:pPr>
              <w:spacing w:line="360" w:lineRule="auto"/>
              <w:rPr>
                <w:rFonts w:ascii="宋体" w:hAnsi="宋体" w:cs="宋体"/>
              </w:rPr>
            </w:pPr>
            <w:r>
              <w:rPr>
                <w:rFonts w:hint="eastAsia" w:ascii="宋体" w:hAnsi="宋体" w:cs="宋体"/>
              </w:rPr>
              <w:t>2.食材价格调动机制： 本标段合同期内不允许调价，投标人应充分考虑到供货期间物品供应基准价上涨的风险（如有新的价格调动机制文件，按新的文件规定执行）。</w:t>
            </w:r>
          </w:p>
          <w:p w14:paraId="440AD1BA">
            <w:pPr>
              <w:spacing w:line="360" w:lineRule="auto"/>
              <w:rPr>
                <w:rFonts w:ascii="宋体" w:hAnsi="宋体" w:cs="宋体"/>
              </w:rPr>
            </w:pPr>
            <w:r>
              <w:rPr>
                <w:rFonts w:hint="eastAsia" w:ascii="宋体" w:hAnsi="宋体" w:cs="宋体"/>
              </w:rPr>
              <w:t>3.食材供货期内，某一食材供应价款实际结算方式为：实际食材结算金额=供应基准单价×实际采购数量×中标折扣系数(%)。</w:t>
            </w:r>
          </w:p>
          <w:p w14:paraId="13E66805">
            <w:pPr>
              <w:numPr>
                <w:ilvl w:val="255"/>
                <w:numId w:val="0"/>
              </w:numPr>
              <w:spacing w:line="360" w:lineRule="auto"/>
              <w:rPr>
                <w:rFonts w:ascii="宋体" w:hAnsi="宋体" w:cs="宋体"/>
                <w:b/>
                <w:bCs/>
              </w:rPr>
            </w:pPr>
            <w:r>
              <w:rPr>
                <w:rFonts w:hint="eastAsia" w:ascii="宋体" w:hAnsi="宋体" w:cs="宋体"/>
                <w:b/>
                <w:bCs/>
              </w:rPr>
              <w:t>八、其他要求</w:t>
            </w:r>
          </w:p>
          <w:p w14:paraId="25699DE3">
            <w:pPr>
              <w:spacing w:line="360" w:lineRule="auto"/>
              <w:rPr>
                <w:rFonts w:ascii="宋体" w:hAnsi="宋体" w:cs="宋体"/>
              </w:rPr>
            </w:pPr>
            <w:r>
              <w:rPr>
                <w:rFonts w:hint="eastAsia" w:ascii="宋体" w:hAnsi="宋体" w:cs="宋体"/>
              </w:rPr>
              <w:t>1.中标人必须遵守采购人有关管理规定，否则采购人有权终止合同。</w:t>
            </w:r>
          </w:p>
          <w:p w14:paraId="0C06FE2E">
            <w:pPr>
              <w:spacing w:line="360" w:lineRule="auto"/>
              <w:rPr>
                <w:rFonts w:ascii="宋体" w:hAnsi="宋体" w:cs="宋体"/>
              </w:rPr>
            </w:pPr>
            <w:r>
              <w:rPr>
                <w:rFonts w:hint="eastAsia" w:ascii="宋体" w:hAnsi="宋体" w:cs="宋体"/>
              </w:rPr>
              <w:t>2.配送人员必须办理健康证，针对各分标投标文件中提供2名以上员工的健康证明、</w:t>
            </w:r>
            <w:r>
              <w:rPr>
                <w:rFonts w:hint="eastAsia" w:ascii="宋体" w:hAnsi="宋体" w:cs="宋体"/>
                <w:bCs/>
                <w:kern w:val="0"/>
                <w:szCs w:val="21"/>
              </w:rPr>
              <w:t>提供无犯罪证明材料</w:t>
            </w:r>
            <w:r>
              <w:rPr>
                <w:rFonts w:hint="eastAsia" w:ascii="宋体" w:hAnsi="宋体" w:cs="宋体"/>
              </w:rPr>
              <w:t>。如临时非固定人员送货，须取得采购人同意。</w:t>
            </w:r>
          </w:p>
          <w:p w14:paraId="3B9F7BF9">
            <w:pPr>
              <w:spacing w:line="360" w:lineRule="auto"/>
              <w:rPr>
                <w:rFonts w:ascii="宋体" w:hAnsi="宋体" w:cs="宋体"/>
              </w:rPr>
            </w:pPr>
            <w:r>
              <w:rPr>
                <w:rFonts w:hint="eastAsia" w:ascii="宋体" w:hAnsi="宋体" w:cs="宋体"/>
              </w:rPr>
              <w:t>3.投标人针对各分标必须拥有专用配送车辆（投标文件中提供如下证明资料：驾驶证、行驶证、车辆≥1辆、车辆照片），车厢内干净、整洁且能按采购人规定的时间及地点一次完成该批次货物的供应。</w:t>
            </w:r>
          </w:p>
          <w:p w14:paraId="2DCF883B">
            <w:pPr>
              <w:spacing w:line="360" w:lineRule="auto"/>
              <w:rPr>
                <w:rFonts w:ascii="宋体" w:hAnsi="宋体" w:cs="宋体"/>
              </w:rPr>
            </w:pPr>
            <w:r>
              <w:rPr>
                <w:rFonts w:hint="eastAsia" w:ascii="宋体" w:hAnsi="宋体" w:cs="宋体"/>
              </w:rPr>
              <w:t>4.</w:t>
            </w:r>
            <w:r>
              <w:rPr>
                <w:rFonts w:hint="eastAsia" w:ascii="宋体" w:hAnsi="宋体" w:cs="宋体"/>
                <w:b/>
              </w:rPr>
              <w:t>本项目采购需求中的要求均为实质性要求，投标人必须满足或优于，否则按投标无效处理</w:t>
            </w:r>
            <w:r>
              <w:rPr>
                <w:rFonts w:hint="eastAsia" w:ascii="宋体" w:hAnsi="宋体" w:cs="宋体"/>
              </w:rPr>
              <w:t>。实际数量为采购人根据实际需要；中标人不得因实际供应量提出异议。</w:t>
            </w:r>
          </w:p>
          <w:p w14:paraId="5E3FA39C">
            <w:pPr>
              <w:numPr>
                <w:ilvl w:val="255"/>
                <w:numId w:val="0"/>
              </w:numPr>
              <w:spacing w:line="360" w:lineRule="auto"/>
              <w:rPr>
                <w:rFonts w:ascii="宋体" w:hAnsi="宋体" w:cs="宋体"/>
                <w:b/>
                <w:bCs/>
              </w:rPr>
            </w:pPr>
            <w:r>
              <w:rPr>
                <w:rFonts w:hint="eastAsia" w:ascii="宋体" w:hAnsi="宋体" w:cs="宋体"/>
                <w:b/>
                <w:bCs/>
              </w:rPr>
              <w:t>九、安全责任</w:t>
            </w:r>
          </w:p>
          <w:p w14:paraId="0AC51CCF">
            <w:pPr>
              <w:spacing w:line="360" w:lineRule="auto"/>
              <w:rPr>
                <w:rFonts w:ascii="宋体" w:hAnsi="宋体" w:cs="宋体"/>
              </w:rPr>
            </w:pPr>
            <w:r>
              <w:rPr>
                <w:rFonts w:hint="eastAsia" w:ascii="宋体" w:hAnsi="宋体" w:cs="宋体"/>
              </w:rPr>
              <w:t>1.采购人有权随时对产品进行抽样送检，检测费用由中标人承担。中标人必须依法接受质量技术监督、卫生、市场监督管理局等职能部门的监督管理，并接受、配合相关职能部门的检测。因产品卫生和质量不合格而发生安全事故，中标人无条件承担全部责任，有关职能部门依法追究其责任，并取消</w:t>
            </w:r>
            <w:bookmarkStart w:id="172" w:name="OLE_LINK18"/>
            <w:r>
              <w:rPr>
                <w:rFonts w:hint="eastAsia" w:ascii="宋体" w:hAnsi="宋体" w:cs="宋体"/>
              </w:rPr>
              <w:t>中标人</w:t>
            </w:r>
            <w:bookmarkEnd w:id="172"/>
            <w:r>
              <w:rPr>
                <w:rFonts w:hint="eastAsia" w:ascii="宋体" w:hAnsi="宋体" w:cs="宋体"/>
              </w:rPr>
              <w:t>配送资格。</w:t>
            </w:r>
          </w:p>
          <w:p w14:paraId="364F6651">
            <w:pPr>
              <w:spacing w:line="360" w:lineRule="auto"/>
              <w:rPr>
                <w:rFonts w:ascii="宋体" w:hAnsi="宋体" w:cs="宋体"/>
              </w:rPr>
            </w:pPr>
            <w:r>
              <w:rPr>
                <w:rFonts w:hint="eastAsia" w:ascii="宋体" w:hAnsi="宋体" w:cs="宋体"/>
              </w:rPr>
              <w:t>2.中标人应严格遵守《中华人民共和国食品安全法》等相关规定，所提供的产品是合格安全的产品，一经发现供应以下食品，采购人除全部退货外，有权可取消中标人配送资格，没收全部履约保证金，中标人并承担由此造成的经济责任和法律责任。</w:t>
            </w:r>
          </w:p>
          <w:p w14:paraId="71E4AA40">
            <w:pPr>
              <w:spacing w:line="360" w:lineRule="auto"/>
              <w:rPr>
                <w:rFonts w:ascii="宋体" w:hAnsi="宋体" w:cs="宋体"/>
              </w:rPr>
            </w:pPr>
            <w:r>
              <w:rPr>
                <w:rFonts w:hint="eastAsia" w:ascii="宋体" w:hAnsi="宋体" w:cs="宋体"/>
              </w:rPr>
              <w:t>①腐败变质、油脂酸败、霉变、生虫、污秽不洁、混有异物或者其他感官性状异常，对人体健康有害的；</w:t>
            </w:r>
          </w:p>
          <w:p w14:paraId="38BDA5FC">
            <w:pPr>
              <w:spacing w:line="360" w:lineRule="auto"/>
              <w:rPr>
                <w:rFonts w:ascii="宋体" w:hAnsi="宋体" w:cs="宋体"/>
              </w:rPr>
            </w:pPr>
            <w:r>
              <w:rPr>
                <w:rFonts w:hint="eastAsia" w:ascii="宋体" w:hAnsi="宋体" w:cs="宋体"/>
              </w:rPr>
              <w:t>②含有毒、有害物质或者被有害物质污染，对人体健康有害的；</w:t>
            </w:r>
          </w:p>
          <w:p w14:paraId="2C62B7C2">
            <w:pPr>
              <w:spacing w:line="360" w:lineRule="auto"/>
              <w:rPr>
                <w:rFonts w:ascii="宋体" w:hAnsi="宋体" w:cs="宋体"/>
              </w:rPr>
            </w:pPr>
            <w:r>
              <w:rPr>
                <w:rFonts w:hint="eastAsia" w:ascii="宋体" w:hAnsi="宋体" w:cs="宋体"/>
              </w:rPr>
              <w:t>③含有致病性寄生虫、微生物或者微生物含量超过国家限定标准的；</w:t>
            </w:r>
          </w:p>
          <w:p w14:paraId="54FA0493">
            <w:pPr>
              <w:spacing w:line="360" w:lineRule="auto"/>
              <w:rPr>
                <w:rFonts w:ascii="宋体" w:hAnsi="宋体" w:cs="宋体"/>
              </w:rPr>
            </w:pPr>
            <w:r>
              <w:rPr>
                <w:rFonts w:hint="eastAsia" w:ascii="宋体" w:hAnsi="宋体" w:cs="宋体"/>
              </w:rPr>
              <w:t>④掺假、掺杂、伪造，影响营养、卫生的；</w:t>
            </w:r>
          </w:p>
          <w:p w14:paraId="08FFC6AB">
            <w:pPr>
              <w:spacing w:line="360" w:lineRule="auto"/>
              <w:rPr>
                <w:rFonts w:ascii="宋体" w:hAnsi="宋体" w:cs="宋体"/>
              </w:rPr>
            </w:pPr>
            <w:r>
              <w:rPr>
                <w:rFonts w:hint="eastAsia" w:ascii="宋体" w:hAnsi="宋体" w:cs="宋体"/>
              </w:rPr>
              <w:t>⑤用非食品原料加工的，加入非食品用化学物质或者将非食品当作食品的；</w:t>
            </w:r>
          </w:p>
          <w:p w14:paraId="471EF98C">
            <w:pPr>
              <w:spacing w:line="360" w:lineRule="auto"/>
              <w:rPr>
                <w:rFonts w:ascii="宋体" w:hAnsi="宋体" w:cs="宋体"/>
              </w:rPr>
            </w:pPr>
            <w:r>
              <w:rPr>
                <w:rFonts w:hint="eastAsia" w:ascii="宋体" w:hAnsi="宋体" w:cs="宋体"/>
              </w:rPr>
              <w:t>⑥超过保质期限的。</w:t>
            </w:r>
          </w:p>
          <w:p w14:paraId="7B091BDC">
            <w:pPr>
              <w:spacing w:line="360" w:lineRule="auto"/>
              <w:rPr>
                <w:rFonts w:ascii="宋体" w:hAnsi="宋体" w:cs="宋体"/>
              </w:rPr>
            </w:pPr>
            <w:r>
              <w:rPr>
                <w:rFonts w:hint="eastAsia" w:ascii="宋体" w:hAnsi="宋体" w:cs="宋体"/>
              </w:rPr>
              <w:t>⑦病死、毒死或者死因不明的禽、畜、兽动物等及其制品；</w:t>
            </w:r>
          </w:p>
          <w:p w14:paraId="355CECEE">
            <w:pPr>
              <w:spacing w:line="360" w:lineRule="auto"/>
            </w:pPr>
            <w:r>
              <w:rPr>
                <w:rFonts w:hint="eastAsia" w:ascii="宋体" w:hAnsi="宋体" w:cs="宋体"/>
              </w:rPr>
              <w:t>⑧</w:t>
            </w:r>
            <w:r>
              <w:rPr>
                <w:rFonts w:hint="eastAsia"/>
              </w:rPr>
              <w:t>食材没有合法供货来源的；</w:t>
            </w:r>
          </w:p>
          <w:p w14:paraId="15C6B81C">
            <w:pPr>
              <w:spacing w:line="360" w:lineRule="auto"/>
              <w:rPr>
                <w:rFonts w:ascii="宋体" w:hAnsi="宋体" w:cs="宋体"/>
              </w:rPr>
            </w:pPr>
            <w:r>
              <w:rPr>
                <w:rFonts w:hint="eastAsia" w:ascii="宋体" w:hAnsi="宋体" w:cs="宋体"/>
                <w:szCs w:val="21"/>
              </w:rPr>
              <w:t>⑨</w:t>
            </w:r>
            <w:r>
              <w:rPr>
                <w:rFonts w:hint="eastAsia" w:ascii="宋体" w:hAnsi="宋体"/>
                <w:szCs w:val="21"/>
              </w:rPr>
              <w:t>未经检疫部门检疫、检验或者检疫、检验不合格的；</w:t>
            </w:r>
          </w:p>
          <w:p w14:paraId="4F725558">
            <w:pPr>
              <w:spacing w:line="360" w:lineRule="auto"/>
              <w:rPr>
                <w:rFonts w:ascii="宋体" w:hAnsi="宋体" w:cs="宋体"/>
              </w:rPr>
            </w:pPr>
            <w:r>
              <w:rPr>
                <w:rFonts w:hint="eastAsia" w:ascii="宋体" w:hAnsi="宋体" w:cs="宋体"/>
              </w:rPr>
              <w:t>⑩其他不符合食品卫生标准的情形。</w:t>
            </w:r>
          </w:p>
          <w:p w14:paraId="3D4F1BC2">
            <w:pPr>
              <w:spacing w:line="360" w:lineRule="auto"/>
              <w:rPr>
                <w:rFonts w:ascii="宋体" w:hAnsi="宋体" w:cs="宋体"/>
              </w:rPr>
            </w:pPr>
            <w:r>
              <w:rPr>
                <w:rFonts w:hint="eastAsia" w:ascii="宋体" w:hAnsi="宋体" w:cs="宋体"/>
              </w:rPr>
              <w:t>3.服务期限内，如有以下情形之一的，终止其配送资格。</w:t>
            </w:r>
          </w:p>
          <w:p w14:paraId="603F3D13">
            <w:pPr>
              <w:spacing w:line="360" w:lineRule="auto"/>
              <w:rPr>
                <w:rFonts w:ascii="宋体" w:hAnsi="宋体" w:cs="宋体"/>
              </w:rPr>
            </w:pPr>
            <w:r>
              <w:rPr>
                <w:rFonts w:hint="eastAsia" w:ascii="宋体" w:hAnsi="宋体" w:cs="宋体"/>
              </w:rPr>
              <w:t>①严重违法违规，被食品安全监管部门或其他部门处罚的；</w:t>
            </w:r>
          </w:p>
          <w:p w14:paraId="55D409D4">
            <w:pPr>
              <w:spacing w:line="360" w:lineRule="auto"/>
              <w:rPr>
                <w:rFonts w:ascii="宋体" w:hAnsi="宋体" w:cs="宋体"/>
              </w:rPr>
            </w:pPr>
            <w:r>
              <w:rPr>
                <w:rFonts w:hint="eastAsia" w:ascii="宋体" w:hAnsi="宋体" w:cs="宋体"/>
              </w:rPr>
              <w:t>②虚开发票，套取资金，被监察、审计、财政、物价等有关部门查实的；</w:t>
            </w:r>
          </w:p>
          <w:p w14:paraId="42A0BDB3">
            <w:pPr>
              <w:spacing w:line="360" w:lineRule="auto"/>
              <w:rPr>
                <w:rFonts w:ascii="宋体" w:hAnsi="宋体" w:cs="宋体"/>
              </w:rPr>
            </w:pPr>
            <w:r>
              <w:rPr>
                <w:rFonts w:hint="eastAsia" w:ascii="宋体" w:hAnsi="宋体" w:cs="宋体"/>
              </w:rPr>
              <w:t>③因食品原材料问题而发生食品安全事故，造成不良后果的；</w:t>
            </w:r>
          </w:p>
          <w:p w14:paraId="284F6AC7">
            <w:pPr>
              <w:spacing w:line="360" w:lineRule="auto"/>
              <w:rPr>
                <w:rFonts w:ascii="宋体" w:hAnsi="宋体" w:cs="宋体"/>
              </w:rPr>
            </w:pPr>
            <w:r>
              <w:rPr>
                <w:rFonts w:hint="eastAsia" w:ascii="宋体" w:hAnsi="宋体" w:cs="宋体"/>
              </w:rPr>
              <w:t>④被</w:t>
            </w:r>
            <w:r>
              <w:rPr>
                <w:rFonts w:hint="eastAsia" w:ascii="宋体" w:hAnsi="宋体"/>
                <w:szCs w:val="21"/>
              </w:rPr>
              <w:t>市场监督管理局</w:t>
            </w:r>
            <w:r>
              <w:rPr>
                <w:rFonts w:hint="eastAsia" w:ascii="宋体" w:hAnsi="宋体" w:cs="宋体"/>
              </w:rPr>
              <w:t>、农业农村局抽检食品原材料发现存在严重质量问题的；</w:t>
            </w:r>
          </w:p>
          <w:p w14:paraId="2F321D1A">
            <w:pPr>
              <w:spacing w:line="360" w:lineRule="auto"/>
              <w:rPr>
                <w:rFonts w:ascii="宋体" w:hAnsi="宋体" w:cs="宋体"/>
              </w:rPr>
            </w:pPr>
            <w:r>
              <w:rPr>
                <w:rFonts w:hint="eastAsia" w:ascii="宋体" w:hAnsi="宋体" w:cs="宋体"/>
              </w:rPr>
              <w:t>⑤被媒体曝光，造成不良影响的；</w:t>
            </w:r>
          </w:p>
          <w:p w14:paraId="24121852">
            <w:pPr>
              <w:spacing w:line="360" w:lineRule="auto"/>
              <w:rPr>
                <w:rFonts w:ascii="宋体" w:hAnsi="宋体" w:cs="宋体"/>
              </w:rPr>
            </w:pPr>
            <w:r>
              <w:rPr>
                <w:rFonts w:hint="eastAsia" w:ascii="宋体" w:hAnsi="宋体" w:cs="宋体"/>
              </w:rPr>
              <w:t>⑥经查实，存在严重短斤缺两行为；</w:t>
            </w:r>
          </w:p>
          <w:p w14:paraId="22784453">
            <w:pPr>
              <w:widowControl/>
              <w:shd w:val="clear" w:color="auto" w:fill="FFFFFF"/>
              <w:spacing w:line="312" w:lineRule="auto"/>
              <w:jc w:val="left"/>
              <w:rPr>
                <w:rFonts w:ascii="宋体" w:hAnsi="宋体"/>
                <w:szCs w:val="21"/>
              </w:rPr>
            </w:pPr>
            <w:r>
              <w:rPr>
                <w:rFonts w:hint="eastAsia" w:ascii="宋体" w:hAnsi="宋体" w:cs="宋体"/>
              </w:rPr>
              <w:t>⑦</w:t>
            </w:r>
            <w:r>
              <w:rPr>
                <w:rFonts w:hint="eastAsia" w:ascii="宋体" w:hAnsi="宋体"/>
                <w:szCs w:val="21"/>
              </w:rPr>
              <w:t>被吊销或注销食品生产许可证或者食品经营许可证的；</w:t>
            </w:r>
          </w:p>
          <w:p w14:paraId="0B3B08BE">
            <w:pPr>
              <w:spacing w:line="360" w:lineRule="auto"/>
              <w:rPr>
                <w:rFonts w:ascii="宋体" w:hAnsi="宋体"/>
                <w:szCs w:val="21"/>
              </w:rPr>
            </w:pPr>
            <w:r>
              <w:rPr>
                <w:rFonts w:hint="eastAsia" w:ascii="宋体" w:hAnsi="宋体" w:cs="宋体"/>
              </w:rPr>
              <w:t>⑧</w:t>
            </w:r>
            <w:r>
              <w:rPr>
                <w:rFonts w:hint="eastAsia" w:ascii="宋体" w:hAnsi="宋体"/>
                <w:szCs w:val="21"/>
              </w:rPr>
              <w:t>违反食堂食品原材料采购配送规定，上级主管部门认定应退出的；</w:t>
            </w:r>
          </w:p>
          <w:p w14:paraId="737C62D3">
            <w:pPr>
              <w:spacing w:line="360" w:lineRule="auto"/>
              <w:rPr>
                <w:rFonts w:ascii="宋体" w:hAnsi="宋体"/>
                <w:szCs w:val="21"/>
              </w:rPr>
            </w:pPr>
            <w:r>
              <w:rPr>
                <w:rFonts w:hint="eastAsia" w:ascii="宋体" w:hAnsi="宋体" w:cs="宋体"/>
                <w:szCs w:val="21"/>
              </w:rPr>
              <w:t>⑨</w:t>
            </w:r>
            <w:r>
              <w:rPr>
                <w:rFonts w:hint="eastAsia" w:ascii="宋体" w:hAnsi="宋体"/>
                <w:szCs w:val="21"/>
              </w:rPr>
              <w:t>存在转包发包行为的。</w:t>
            </w:r>
          </w:p>
          <w:p w14:paraId="4ACBC510">
            <w:pPr>
              <w:numPr>
                <w:ilvl w:val="255"/>
                <w:numId w:val="0"/>
              </w:numPr>
              <w:spacing w:line="360" w:lineRule="auto"/>
              <w:jc w:val="left"/>
              <w:rPr>
                <w:rFonts w:ascii="宋体" w:hAnsi="宋体" w:cs="宋体"/>
                <w:b/>
                <w:bCs/>
              </w:rPr>
            </w:pPr>
            <w:r>
              <w:rPr>
                <w:rFonts w:hint="eastAsia" w:ascii="宋体" w:hAnsi="宋体" w:cs="宋体"/>
                <w:b/>
                <w:bCs/>
              </w:rPr>
              <w:t>十、报价要求</w:t>
            </w:r>
          </w:p>
          <w:p w14:paraId="2AA18251">
            <w:pPr>
              <w:spacing w:line="360" w:lineRule="auto"/>
              <w:rPr>
                <w:rFonts w:ascii="宋体" w:hAnsi="宋体" w:cs="宋体"/>
                <w:szCs w:val="21"/>
              </w:rPr>
            </w:pPr>
            <w:r>
              <w:rPr>
                <w:rFonts w:hint="eastAsia" w:ascii="宋体" w:hAnsi="宋体" w:cs="宋体"/>
              </w:rPr>
              <w:t>1.</w:t>
            </w:r>
            <w:r>
              <w:rPr>
                <w:rFonts w:hint="eastAsia" w:ascii="宋体" w:hAnsi="宋体" w:cs="宋体"/>
                <w:szCs w:val="21"/>
              </w:rPr>
              <w:t xml:space="preserve"> 超出有效报价范围的视为投标无效；投标报价按综合折扣系数报价（保留小数点后2位），投标报价有效报价范围为：折扣系数≤100%，投标人的投标单价为供应基准单价×投标报价折扣系数。</w:t>
            </w:r>
          </w:p>
          <w:p w14:paraId="1AC7471F">
            <w:pPr>
              <w:spacing w:line="360" w:lineRule="auto"/>
              <w:rPr>
                <w:rFonts w:ascii="宋体" w:hAnsi="宋体" w:cs="宋体"/>
                <w:b/>
                <w:bCs/>
              </w:rPr>
            </w:pPr>
            <w:r>
              <w:rPr>
                <w:rFonts w:hint="eastAsia" w:ascii="宋体" w:hAnsi="宋体" w:cs="宋体"/>
              </w:rPr>
              <w:t>2.投标报价结合市场价格、成本及自身条件、市场风险考虑报出综合的折扣系数。</w:t>
            </w:r>
            <w:r>
              <w:rPr>
                <w:rFonts w:hint="eastAsia" w:ascii="宋体" w:hAnsi="宋体" w:cs="宋体"/>
                <w:b/>
                <w:bCs/>
              </w:rPr>
              <w:t>投标人一旦中标，中标折扣系数在合同服务期内不得改变。</w:t>
            </w:r>
          </w:p>
          <w:p w14:paraId="230C20F1">
            <w:pPr>
              <w:spacing w:line="360" w:lineRule="auto"/>
              <w:rPr>
                <w:rFonts w:ascii="宋体" w:hAnsi="宋体" w:cs="宋体"/>
              </w:rPr>
            </w:pPr>
            <w:r>
              <w:rPr>
                <w:rFonts w:hint="eastAsia" w:ascii="宋体" w:hAnsi="宋体" w:cs="宋体"/>
              </w:rPr>
              <w:t>3.报价必须含以下部分，包括：</w:t>
            </w:r>
          </w:p>
          <w:p w14:paraId="18B35C9A">
            <w:pPr>
              <w:spacing w:line="360" w:lineRule="auto"/>
              <w:rPr>
                <w:rFonts w:ascii="宋体" w:hAnsi="宋体" w:cs="宋体"/>
              </w:rPr>
            </w:pPr>
            <w:r>
              <w:rPr>
                <w:rFonts w:hint="eastAsia" w:ascii="宋体" w:hAnsi="宋体" w:cs="宋体"/>
              </w:rPr>
              <w:t>①货物、服务的价格；</w:t>
            </w:r>
          </w:p>
          <w:p w14:paraId="64737C0A">
            <w:pPr>
              <w:spacing w:line="360" w:lineRule="auto"/>
              <w:rPr>
                <w:rFonts w:ascii="宋体" w:hAnsi="宋体" w:cs="宋体"/>
              </w:rPr>
            </w:pPr>
            <w:r>
              <w:rPr>
                <w:rFonts w:hint="eastAsia" w:ascii="宋体" w:hAnsi="宋体" w:cs="宋体"/>
              </w:rPr>
              <w:t>②必要的保险费用和各项税金；</w:t>
            </w:r>
          </w:p>
          <w:p w14:paraId="785B81D0">
            <w:pPr>
              <w:spacing w:line="360" w:lineRule="auto"/>
              <w:rPr>
                <w:rFonts w:ascii="宋体" w:hAnsi="宋体" w:cs="宋体"/>
              </w:rPr>
            </w:pPr>
            <w:r>
              <w:rPr>
                <w:rFonts w:hint="eastAsia" w:ascii="宋体" w:hAnsi="宋体" w:cs="宋体"/>
              </w:rPr>
              <w:t>③</w:t>
            </w:r>
            <w:r>
              <w:rPr>
                <w:rFonts w:hint="eastAsia" w:ascii="宋体" w:hAnsi="宋体"/>
                <w:szCs w:val="21"/>
              </w:rPr>
              <w:t>检验检测、</w:t>
            </w:r>
            <w:r>
              <w:rPr>
                <w:rFonts w:hint="eastAsia" w:ascii="宋体" w:hAnsi="宋体" w:cs="宋体"/>
              </w:rPr>
              <w:t>包装费、运输、搬运装卸、配件加工、</w:t>
            </w:r>
            <w:r>
              <w:rPr>
                <w:rFonts w:hint="eastAsia" w:ascii="宋体" w:hAnsi="宋体"/>
                <w:szCs w:val="21"/>
              </w:rPr>
              <w:t>仓储、人工费及配送费、</w:t>
            </w:r>
            <w:r>
              <w:rPr>
                <w:rFonts w:hint="eastAsia" w:ascii="宋体" w:hAnsi="宋体" w:cs="宋体"/>
              </w:rPr>
              <w:t>售后服务等费用；</w:t>
            </w:r>
          </w:p>
          <w:p w14:paraId="24798E6F">
            <w:pPr>
              <w:spacing w:line="360" w:lineRule="auto"/>
              <w:rPr>
                <w:rFonts w:ascii="宋体" w:hAnsi="宋体" w:cs="宋体"/>
              </w:rPr>
            </w:pPr>
            <w:r>
              <w:rPr>
                <w:rFonts w:hint="eastAsia" w:ascii="宋体" w:hAnsi="宋体" w:cs="宋体"/>
              </w:rPr>
              <w:t>④招标文件所要求的相关服务以及合同所示全部责任、义务和一般风险等全过程产生的所有成本和费用以及税费与投标人认为应包含在本项目中的一切费用等有关费用。</w:t>
            </w:r>
          </w:p>
          <w:p w14:paraId="50B46558">
            <w:pPr>
              <w:spacing w:line="360" w:lineRule="auto"/>
              <w:rPr>
                <w:rFonts w:ascii="宋体" w:hAnsi="宋体" w:cs="宋体"/>
              </w:rPr>
            </w:pPr>
            <w:r>
              <w:rPr>
                <w:rFonts w:hint="eastAsia" w:ascii="宋体" w:hAnsi="宋体" w:cs="宋体"/>
              </w:rPr>
              <w:t>4.采购人经市场多方面询价发现中标人在合同服务期内所提供的商品价格普遍比市场询价高的、提供假冒伪劣、质量缺陷、非正品的产品，采购人向中标人发出累计二次书面问责书后合同自动解除。</w:t>
            </w:r>
          </w:p>
          <w:p w14:paraId="0C37C633">
            <w:pPr>
              <w:numPr>
                <w:ilvl w:val="255"/>
                <w:numId w:val="0"/>
              </w:numPr>
              <w:spacing w:line="360" w:lineRule="auto"/>
              <w:jc w:val="left"/>
              <w:rPr>
                <w:rFonts w:ascii="宋体" w:hAnsi="宋体" w:cs="宋体"/>
                <w:b/>
                <w:bCs/>
              </w:rPr>
            </w:pPr>
            <w:r>
              <w:rPr>
                <w:rFonts w:hint="eastAsia" w:ascii="宋体" w:hAnsi="宋体" w:cs="宋体"/>
                <w:b/>
                <w:bCs/>
              </w:rPr>
              <w:t>十一、付款方式：</w:t>
            </w:r>
          </w:p>
          <w:p w14:paraId="078F7E88">
            <w:pPr>
              <w:spacing w:line="360" w:lineRule="auto"/>
              <w:rPr>
                <w:szCs w:val="21"/>
              </w:rPr>
            </w:pPr>
            <w:bookmarkStart w:id="173" w:name="OLE_LINK19"/>
            <w:r>
              <w:rPr>
                <w:rFonts w:hint="eastAsia" w:ascii="宋体" w:hAnsi="宋体" w:cs="宋体"/>
              </w:rPr>
              <w:t>中标人</w:t>
            </w:r>
            <w:bookmarkEnd w:id="173"/>
            <w:r>
              <w:rPr>
                <w:rFonts w:hint="eastAsia" w:ascii="宋体" w:hAnsi="宋体" w:cs="宋体"/>
                <w:szCs w:val="21"/>
              </w:rPr>
              <w:t>每月26日与采购人核对本月的采购数量（结算周期：上月26日至本月25日为一个结算周期），每月27日提供当月供应食材的等额发票及供货单据结算货款，每月结算一次。采购人收到发票及相关票据后，以银行转账方式向</w:t>
            </w:r>
            <w:r>
              <w:rPr>
                <w:rFonts w:hint="eastAsia" w:ascii="宋体" w:hAnsi="宋体" w:cs="宋体"/>
              </w:rPr>
              <w:t>中标人</w:t>
            </w:r>
            <w:r>
              <w:rPr>
                <w:rFonts w:hint="eastAsia" w:ascii="宋体" w:hAnsi="宋体" w:cs="宋体"/>
                <w:szCs w:val="21"/>
              </w:rPr>
              <w:t>支付货款。</w:t>
            </w:r>
            <w:r>
              <w:rPr>
                <w:rFonts w:hint="eastAsia" w:ascii="宋体" w:hAnsi="宋体" w:cs="宋体"/>
              </w:rPr>
              <w:t>中标人</w:t>
            </w:r>
            <w:r>
              <w:rPr>
                <w:rFonts w:hint="eastAsia" w:ascii="宋体" w:hAnsi="宋体" w:cs="宋体"/>
                <w:szCs w:val="21"/>
              </w:rPr>
              <w:t>须按时足额提供发票及相关票据，否则采购人有权拒绝付款而不构成违约。</w:t>
            </w:r>
            <w:r>
              <w:rPr>
                <w:rFonts w:hint="eastAsia" w:ascii="宋体" w:hAnsi="宋体" w:cs="宋体"/>
              </w:rPr>
              <w:t>中标人</w:t>
            </w:r>
            <w:r>
              <w:rPr>
                <w:rFonts w:hint="eastAsia" w:ascii="宋体" w:hAnsi="宋体" w:cs="宋体"/>
                <w:szCs w:val="21"/>
              </w:rPr>
              <w:t>开具的发票必须真实、合法、有效，如</w:t>
            </w:r>
            <w:r>
              <w:rPr>
                <w:rFonts w:hint="eastAsia" w:ascii="宋体" w:hAnsi="宋体" w:cs="宋体"/>
              </w:rPr>
              <w:t>中标人</w:t>
            </w:r>
            <w:r>
              <w:rPr>
                <w:rFonts w:hint="eastAsia" w:ascii="宋体" w:hAnsi="宋体" w:cs="宋体"/>
                <w:szCs w:val="21"/>
              </w:rPr>
              <w:t>提供虚假发票，由此引发的一切责任由</w:t>
            </w:r>
            <w:r>
              <w:rPr>
                <w:rFonts w:hint="eastAsia" w:ascii="宋体" w:hAnsi="宋体" w:cs="宋体"/>
              </w:rPr>
              <w:t>中标人</w:t>
            </w:r>
            <w:r>
              <w:rPr>
                <w:rFonts w:hint="eastAsia" w:ascii="宋体" w:hAnsi="宋体" w:cs="宋体"/>
                <w:szCs w:val="21"/>
              </w:rPr>
              <w:t>负责。</w:t>
            </w:r>
          </w:p>
          <w:p w14:paraId="7382D6A1">
            <w:pPr>
              <w:numPr>
                <w:ilvl w:val="255"/>
                <w:numId w:val="0"/>
              </w:numPr>
              <w:spacing w:line="360" w:lineRule="auto"/>
              <w:rPr>
                <w:szCs w:val="21"/>
              </w:rPr>
            </w:pPr>
            <w:r>
              <w:rPr>
                <w:rFonts w:hint="eastAsia" w:ascii="宋体" w:hAnsi="宋体" w:cs="宋体"/>
                <w:b/>
                <w:bCs/>
              </w:rPr>
              <w:t>十二、</w:t>
            </w:r>
            <w:r>
              <w:rPr>
                <w:rFonts w:hint="eastAsia" w:ascii="宋体" w:hAnsi="宋体" w:cs="宋体"/>
              </w:rPr>
              <w:t>采购人对中标人实施考核管理制度，详见附件二《广西监狱罪犯生活物资供货商考核管理办法》。投标人在投标文件中出具承诺函：承诺如中标即服从“广西监狱罪犯生活物资供货商考核管理办法”；承诺函格式自拟。</w:t>
            </w:r>
          </w:p>
        </w:tc>
      </w:tr>
      <w:tr w14:paraId="51E1B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44" w:hRule="atLeast"/>
          <w:jc w:val="center"/>
        </w:trPr>
        <w:tc>
          <w:tcPr>
            <w:tcW w:w="479" w:type="dxa"/>
            <w:tcBorders>
              <w:top w:val="single" w:color="auto" w:sz="4" w:space="0"/>
              <w:left w:val="single" w:color="auto" w:sz="4" w:space="0"/>
              <w:bottom w:val="single" w:color="auto" w:sz="4" w:space="0"/>
              <w:right w:val="single" w:color="auto" w:sz="4" w:space="0"/>
            </w:tcBorders>
            <w:vAlign w:val="center"/>
          </w:tcPr>
          <w:p w14:paraId="54779E57">
            <w:pPr>
              <w:jc w:val="center"/>
              <w:rPr>
                <w:rFonts w:ascii="宋体" w:hAnsi="宋体"/>
                <w:szCs w:val="21"/>
              </w:rPr>
            </w:pPr>
            <w:r>
              <w:rPr>
                <w:rFonts w:hint="eastAsia" w:ascii="宋体" w:hAnsi="宋体"/>
                <w:szCs w:val="21"/>
              </w:rPr>
              <w:t>其他说明</w:t>
            </w:r>
          </w:p>
        </w:tc>
        <w:tc>
          <w:tcPr>
            <w:tcW w:w="9807" w:type="dxa"/>
            <w:gridSpan w:val="7"/>
            <w:tcBorders>
              <w:top w:val="single" w:color="auto" w:sz="4" w:space="0"/>
              <w:left w:val="single" w:color="auto" w:sz="4" w:space="0"/>
              <w:bottom w:val="single" w:color="auto" w:sz="4" w:space="0"/>
              <w:right w:val="single" w:color="auto" w:sz="4" w:space="0"/>
            </w:tcBorders>
          </w:tcPr>
          <w:p w14:paraId="1FBC4BE5">
            <w:pPr>
              <w:widowControl/>
              <w:shd w:val="clear" w:color="auto" w:fill="FFFFFF"/>
              <w:spacing w:line="480" w:lineRule="exact"/>
              <w:rPr>
                <w:rFonts w:ascii="宋体" w:hAnsi="宋体"/>
                <w:szCs w:val="21"/>
              </w:rPr>
            </w:pPr>
            <w:r>
              <w:rPr>
                <w:rFonts w:hint="eastAsia" w:ascii="宋体" w:hAnsi="宋体"/>
                <w:szCs w:val="21"/>
              </w:rPr>
              <w:t>一、进口产品说明（根据项目实际情况选择）</w:t>
            </w:r>
          </w:p>
          <w:p w14:paraId="7E365CBB">
            <w:pPr>
              <w:tabs>
                <w:tab w:val="left" w:pos="180"/>
                <w:tab w:val="left" w:pos="1620"/>
              </w:tabs>
              <w:spacing w:line="480" w:lineRule="exact"/>
              <w:ind w:firstLine="413" w:firstLineChars="197"/>
              <w:rPr>
                <w:rFonts w:ascii="宋体" w:hAnsi="宋体"/>
                <w:szCs w:val="21"/>
              </w:rPr>
            </w:pPr>
            <w:r>
              <w:rPr>
                <w:rFonts w:hint="eastAsia" w:ascii="宋体" w:hAnsi="宋体"/>
                <w:szCs w:val="21"/>
              </w:rPr>
              <w:t>本分标货物所涉及的货物不接受进口产品（即通过中国海关报关验放进入中国境内且产自关境外的产品）参与投标，</w:t>
            </w:r>
            <w:r>
              <w:rPr>
                <w:rFonts w:hint="eastAsia" w:ascii="宋体" w:hAnsi="宋体"/>
                <w:b/>
                <w:szCs w:val="21"/>
              </w:rPr>
              <w:t>如有进口产品参与投标的作无效标处理</w:t>
            </w:r>
            <w:r>
              <w:rPr>
                <w:rFonts w:hint="eastAsia" w:ascii="宋体" w:hAnsi="宋体"/>
                <w:szCs w:val="21"/>
              </w:rPr>
              <w:t>。</w:t>
            </w:r>
          </w:p>
          <w:p w14:paraId="4C8AE633">
            <w:pPr>
              <w:widowControl/>
              <w:shd w:val="clear" w:color="auto" w:fill="FFFFFF"/>
              <w:spacing w:line="480" w:lineRule="exact"/>
              <w:rPr>
                <w:rFonts w:ascii="宋体" w:hAnsi="宋体"/>
                <w:szCs w:val="21"/>
              </w:rPr>
            </w:pPr>
            <w:r>
              <w:rPr>
                <w:rFonts w:hint="eastAsia" w:ascii="宋体" w:hAnsi="宋体"/>
                <w:szCs w:val="21"/>
              </w:rPr>
              <w:t>二、</w:t>
            </w:r>
            <w:r>
              <w:rPr>
                <w:rFonts w:hint="eastAsia" w:ascii="宋体" w:hAnsi="宋体" w:cs="宋体"/>
                <w:szCs w:val="21"/>
              </w:rPr>
              <w:t>偏离条款说明</w:t>
            </w:r>
          </w:p>
          <w:p w14:paraId="455CB2E7">
            <w:pPr>
              <w:widowControl/>
              <w:shd w:val="clear" w:color="auto" w:fill="FFFFFF"/>
              <w:spacing w:line="480" w:lineRule="exact"/>
              <w:ind w:firstLine="422" w:firstLineChars="200"/>
            </w:pPr>
            <w:r>
              <w:rPr>
                <w:rFonts w:hint="eastAsia" w:ascii="宋体" w:hAnsi="宋体" w:cs="宋体"/>
                <w:b/>
                <w:szCs w:val="21"/>
              </w:rPr>
              <w:t>带“▲”系指实质性要求条款，投标产品必须满足，否则投标无效；单个项号的货物（产品）允许偏离的非“▲”技术指标或要求发生负偏离的项数达</w:t>
            </w:r>
            <w:r>
              <w:rPr>
                <w:rFonts w:hint="eastAsia" w:ascii="宋体" w:hAnsi="宋体" w:cs="宋体"/>
                <w:b/>
                <w:szCs w:val="21"/>
                <w:u w:val="single"/>
              </w:rPr>
              <w:t>1项（含1项）</w:t>
            </w:r>
            <w:r>
              <w:rPr>
                <w:rFonts w:hint="eastAsia" w:ascii="宋体" w:hAnsi="宋体" w:cs="宋体"/>
                <w:b/>
                <w:szCs w:val="21"/>
              </w:rPr>
              <w:t>以上的，按投标文件作无效处理</w:t>
            </w:r>
            <w:r>
              <w:rPr>
                <w:rFonts w:hint="eastAsia" w:ascii="宋体" w:hAnsi="宋体" w:cs="宋体"/>
                <w:bCs/>
                <w:szCs w:val="21"/>
              </w:rPr>
              <w:t>。</w:t>
            </w:r>
          </w:p>
        </w:tc>
      </w:tr>
    </w:tbl>
    <w:p w14:paraId="0A36B87B">
      <w:pPr>
        <w:spacing w:line="360" w:lineRule="auto"/>
        <w:ind w:firstLine="310" w:firstLineChars="147"/>
        <w:jc w:val="left"/>
        <w:rPr>
          <w:rFonts w:ascii="宋体" w:hAnsi="宋体"/>
          <w:b/>
          <w:szCs w:val="21"/>
          <w:u w:val="single"/>
        </w:rPr>
      </w:pPr>
    </w:p>
    <w:p w14:paraId="1C1F872F">
      <w:pPr>
        <w:widowControl/>
        <w:spacing w:line="440" w:lineRule="exact"/>
        <w:jc w:val="left"/>
        <w:outlineLvl w:val="1"/>
        <w:rPr>
          <w:rFonts w:ascii="宋体" w:hAnsi="宋体" w:cs="Arial"/>
          <w:bCs/>
          <w:u w:val="single"/>
        </w:rPr>
      </w:pPr>
      <w:r>
        <w:rPr>
          <w:rFonts w:ascii="宋体" w:hAnsi="宋体"/>
          <w:b/>
          <w:szCs w:val="21"/>
          <w:u w:val="single"/>
        </w:rPr>
        <w:br w:type="page"/>
      </w:r>
      <w:bookmarkStart w:id="174" w:name="_Toc7363"/>
      <w:bookmarkStart w:id="175" w:name="_Toc286"/>
      <w:bookmarkStart w:id="176" w:name="_Toc11677"/>
      <w:r>
        <w:rPr>
          <w:rFonts w:hint="eastAsia" w:ascii="宋体" w:hAnsi="宋体"/>
          <w:b/>
          <w:szCs w:val="21"/>
          <w:u w:val="single"/>
        </w:rPr>
        <w:t>F</w:t>
      </w:r>
      <w:r>
        <w:rPr>
          <w:rFonts w:hint="eastAsia" w:ascii="宋体" w:hAnsi="宋体"/>
          <w:b/>
          <w:szCs w:val="21"/>
        </w:rPr>
        <w:t>分标：河粉、面粉类       采购预算（元）</w:t>
      </w:r>
      <w:r>
        <w:rPr>
          <w:rFonts w:hint="eastAsia" w:ascii="宋体" w:hAnsi="宋体"/>
          <w:szCs w:val="21"/>
        </w:rPr>
        <w:t>：</w:t>
      </w:r>
      <w:r>
        <w:rPr>
          <w:rFonts w:hint="eastAsia" w:ascii="宋体" w:hAnsi="宋体"/>
          <w:szCs w:val="21"/>
          <w:u w:val="single"/>
        </w:rPr>
        <w:t xml:space="preserve"> </w:t>
      </w:r>
      <w:bookmarkStart w:id="177" w:name="OLE_LINK69"/>
      <w:r>
        <w:rPr>
          <w:rFonts w:hint="eastAsia" w:ascii="宋体" w:hAnsi="宋体"/>
          <w:szCs w:val="21"/>
          <w:u w:val="single"/>
        </w:rPr>
        <w:t xml:space="preserve">1446600.00 </w:t>
      </w:r>
      <w:bookmarkEnd w:id="177"/>
      <w:r>
        <w:rPr>
          <w:rFonts w:hint="eastAsia" w:ascii="宋体" w:hAnsi="宋体"/>
          <w:szCs w:val="21"/>
        </w:rPr>
        <w:t xml:space="preserve">     </w:t>
      </w:r>
      <w:r>
        <w:rPr>
          <w:rFonts w:hint="eastAsia" w:ascii="宋体" w:hAnsi="宋体" w:cs="Arial"/>
          <w:bCs/>
        </w:rPr>
        <w:t xml:space="preserve">  </w:t>
      </w:r>
      <w:r>
        <w:rPr>
          <w:rFonts w:hint="eastAsia" w:ascii="宋体" w:hAnsi="宋体"/>
          <w:b/>
          <w:szCs w:val="21"/>
        </w:rPr>
        <w:t>最高限价（元）</w:t>
      </w:r>
      <w:r>
        <w:rPr>
          <w:rFonts w:hint="eastAsia" w:ascii="宋体" w:hAnsi="宋体"/>
          <w:szCs w:val="21"/>
        </w:rPr>
        <w:t>：</w:t>
      </w:r>
      <w:bookmarkEnd w:id="174"/>
      <w:bookmarkEnd w:id="175"/>
      <w:r>
        <w:rPr>
          <w:rFonts w:hint="eastAsia" w:ascii="宋体" w:hAnsi="宋体"/>
          <w:szCs w:val="21"/>
          <w:u w:val="single"/>
        </w:rPr>
        <w:t xml:space="preserve"> 1446600.00</w:t>
      </w:r>
      <w:bookmarkEnd w:id="176"/>
      <w:r>
        <w:rPr>
          <w:rFonts w:hint="eastAsia" w:ascii="宋体" w:hAnsi="宋体"/>
          <w:szCs w:val="21"/>
          <w:u w:val="single"/>
        </w:rPr>
        <w:t xml:space="preserve">  </w:t>
      </w:r>
    </w:p>
    <w:tbl>
      <w:tblPr>
        <w:tblStyle w:val="37"/>
        <w:tblW w:w="10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9"/>
        <w:gridCol w:w="516"/>
        <w:gridCol w:w="931"/>
        <w:gridCol w:w="745"/>
        <w:gridCol w:w="1125"/>
        <w:gridCol w:w="1125"/>
        <w:gridCol w:w="4231"/>
        <w:gridCol w:w="1134"/>
      </w:tblGrid>
      <w:tr w14:paraId="2B275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286" w:type="dxa"/>
            <w:gridSpan w:val="8"/>
            <w:tcBorders>
              <w:top w:val="single" w:color="auto" w:sz="4" w:space="0"/>
              <w:left w:val="single" w:color="auto" w:sz="4" w:space="0"/>
              <w:right w:val="single" w:color="auto" w:sz="4" w:space="0"/>
            </w:tcBorders>
          </w:tcPr>
          <w:p w14:paraId="61E79E40">
            <w:pPr>
              <w:spacing w:line="320" w:lineRule="exact"/>
              <w:jc w:val="center"/>
              <w:rPr>
                <w:rFonts w:ascii="仿宋_GB2312" w:hAnsi="宋体" w:eastAsia="仿宋_GB2312" w:cs="Arial"/>
                <w:b/>
                <w:sz w:val="32"/>
                <w:szCs w:val="32"/>
              </w:rPr>
            </w:pPr>
            <w:r>
              <w:rPr>
                <w:rFonts w:hint="eastAsia" w:ascii="仿宋_GB2312" w:hAnsi="宋体" w:eastAsia="仿宋_GB2312" w:cs="Arial"/>
                <w:b/>
                <w:sz w:val="28"/>
                <w:szCs w:val="28"/>
              </w:rPr>
              <w:t>货物需求一览表</w:t>
            </w:r>
          </w:p>
        </w:tc>
      </w:tr>
      <w:tr w14:paraId="07EFB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restart"/>
            <w:tcBorders>
              <w:top w:val="single" w:color="auto" w:sz="4" w:space="0"/>
              <w:left w:val="single" w:color="auto" w:sz="4" w:space="0"/>
              <w:right w:val="single" w:color="auto" w:sz="4" w:space="0"/>
            </w:tcBorders>
            <w:vAlign w:val="center"/>
          </w:tcPr>
          <w:p w14:paraId="654E5639">
            <w:pPr>
              <w:jc w:val="center"/>
              <w:rPr>
                <w:rFonts w:ascii="宋体" w:hAnsi="宋体" w:cs="宋体"/>
                <w:szCs w:val="21"/>
              </w:rPr>
            </w:pPr>
            <w:r>
              <w:rPr>
                <w:rFonts w:hint="eastAsia" w:ascii="宋体" w:hAnsi="宋体" w:cs="宋体"/>
                <w:szCs w:val="21"/>
              </w:rPr>
              <w:t>采购清单及货物参数</w:t>
            </w: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4942D14">
            <w:pPr>
              <w:jc w:val="center"/>
              <w:rPr>
                <w:rFonts w:ascii="宋体" w:hAnsi="宋体" w:cs="宋体"/>
                <w:szCs w:val="21"/>
              </w:rPr>
            </w:pPr>
            <w:r>
              <w:rPr>
                <w:rFonts w:hint="eastAsia" w:ascii="宋体" w:hAnsi="宋体" w:cs="宋体"/>
                <w:szCs w:val="21"/>
              </w:rPr>
              <w:t>序号</w:t>
            </w:r>
          </w:p>
        </w:tc>
        <w:tc>
          <w:tcPr>
            <w:tcW w:w="931" w:type="dxa"/>
            <w:tcBorders>
              <w:top w:val="single" w:color="auto" w:sz="4" w:space="0"/>
              <w:left w:val="single" w:color="auto" w:sz="4" w:space="0"/>
              <w:bottom w:val="single" w:color="auto" w:sz="4" w:space="0"/>
              <w:right w:val="single" w:color="auto" w:sz="4" w:space="0"/>
            </w:tcBorders>
            <w:vAlign w:val="center"/>
          </w:tcPr>
          <w:p w14:paraId="6EFE75A4">
            <w:pPr>
              <w:jc w:val="center"/>
              <w:rPr>
                <w:rFonts w:ascii="宋体" w:hAnsi="宋体" w:cs="宋体"/>
                <w:szCs w:val="21"/>
              </w:rPr>
            </w:pPr>
            <w:r>
              <w:rPr>
                <w:rFonts w:hint="eastAsia" w:ascii="宋体" w:hAnsi="宋体" w:cs="宋体"/>
                <w:szCs w:val="21"/>
              </w:rPr>
              <w:t>标的</w:t>
            </w:r>
          </w:p>
          <w:p w14:paraId="34990666">
            <w:pPr>
              <w:jc w:val="center"/>
              <w:rPr>
                <w:rFonts w:ascii="宋体" w:hAnsi="宋体" w:cs="宋体"/>
                <w:szCs w:val="21"/>
              </w:rPr>
            </w:pPr>
            <w:r>
              <w:rPr>
                <w:rFonts w:hint="eastAsia" w:ascii="宋体" w:hAnsi="宋体" w:cs="宋体"/>
                <w:szCs w:val="21"/>
              </w:rPr>
              <w:t>名称</w:t>
            </w:r>
          </w:p>
        </w:tc>
        <w:tc>
          <w:tcPr>
            <w:tcW w:w="745" w:type="dxa"/>
            <w:tcBorders>
              <w:top w:val="single" w:color="auto" w:sz="4" w:space="0"/>
              <w:left w:val="single" w:color="auto" w:sz="4" w:space="0"/>
              <w:bottom w:val="single" w:color="auto" w:sz="4" w:space="0"/>
              <w:right w:val="single" w:color="auto" w:sz="4" w:space="0"/>
            </w:tcBorders>
            <w:vAlign w:val="center"/>
          </w:tcPr>
          <w:p w14:paraId="3483694B">
            <w:pPr>
              <w:jc w:val="center"/>
              <w:rPr>
                <w:rFonts w:ascii="宋体" w:hAnsi="宋体" w:cs="宋体"/>
                <w:szCs w:val="21"/>
              </w:rPr>
            </w:pPr>
            <w:r>
              <w:rPr>
                <w:rFonts w:hint="eastAsia" w:ascii="宋体" w:hAnsi="宋体" w:cs="宋体"/>
                <w:szCs w:val="21"/>
              </w:rPr>
              <w:t>单位</w:t>
            </w:r>
          </w:p>
        </w:tc>
        <w:tc>
          <w:tcPr>
            <w:tcW w:w="1125" w:type="dxa"/>
            <w:tcBorders>
              <w:top w:val="single" w:color="auto" w:sz="4" w:space="0"/>
              <w:left w:val="single" w:color="auto" w:sz="4" w:space="0"/>
              <w:bottom w:val="single" w:color="auto" w:sz="4" w:space="0"/>
              <w:right w:val="single" w:color="auto" w:sz="4" w:space="0"/>
            </w:tcBorders>
            <w:vAlign w:val="center"/>
          </w:tcPr>
          <w:p w14:paraId="56F58732">
            <w:pPr>
              <w:jc w:val="center"/>
              <w:rPr>
                <w:rFonts w:ascii="宋体" w:hAnsi="宋体" w:cs="宋体"/>
                <w:szCs w:val="21"/>
              </w:rPr>
            </w:pPr>
            <w:r>
              <w:rPr>
                <w:rFonts w:hint="eastAsia" w:ascii="宋体" w:hAnsi="宋体" w:cs="宋体"/>
                <w:szCs w:val="21"/>
              </w:rPr>
              <w:t>数量</w:t>
            </w:r>
          </w:p>
          <w:p w14:paraId="4829ECF6">
            <w:pPr>
              <w:jc w:val="center"/>
              <w:rPr>
                <w:rFonts w:ascii="宋体" w:hAnsi="宋体" w:cs="宋体"/>
                <w:szCs w:val="21"/>
              </w:rPr>
            </w:pPr>
            <w:r>
              <w:rPr>
                <w:rFonts w:hint="eastAsia" w:ascii="宋体" w:hAnsi="宋体" w:cs="宋体"/>
                <w:szCs w:val="21"/>
              </w:rPr>
              <w:t>（暂估）</w:t>
            </w:r>
          </w:p>
        </w:tc>
        <w:tc>
          <w:tcPr>
            <w:tcW w:w="1125" w:type="dxa"/>
            <w:tcBorders>
              <w:top w:val="single" w:color="auto" w:sz="4" w:space="0"/>
              <w:left w:val="single" w:color="auto" w:sz="4" w:space="0"/>
              <w:bottom w:val="single" w:color="auto" w:sz="4" w:space="0"/>
              <w:right w:val="single" w:color="auto" w:sz="4" w:space="0"/>
            </w:tcBorders>
            <w:vAlign w:val="center"/>
          </w:tcPr>
          <w:p w14:paraId="03155F3B">
            <w:pPr>
              <w:jc w:val="center"/>
              <w:rPr>
                <w:rFonts w:ascii="宋体" w:hAnsi="宋体" w:cs="宋体"/>
                <w:szCs w:val="21"/>
              </w:rPr>
            </w:pPr>
            <w:r>
              <w:rPr>
                <w:rFonts w:hint="eastAsia" w:ascii="宋体" w:hAnsi="宋体" w:cs="宋体"/>
                <w:szCs w:val="21"/>
              </w:rPr>
              <w:t>所属行业</w:t>
            </w:r>
          </w:p>
        </w:tc>
        <w:tc>
          <w:tcPr>
            <w:tcW w:w="4231" w:type="dxa"/>
            <w:tcBorders>
              <w:top w:val="single" w:color="auto" w:sz="4" w:space="0"/>
              <w:left w:val="single" w:color="auto" w:sz="4" w:space="0"/>
              <w:bottom w:val="single" w:color="auto" w:sz="4" w:space="0"/>
              <w:right w:val="single" w:color="auto" w:sz="4" w:space="0"/>
            </w:tcBorders>
            <w:vAlign w:val="center"/>
          </w:tcPr>
          <w:p w14:paraId="53A689D1">
            <w:pPr>
              <w:jc w:val="center"/>
              <w:rPr>
                <w:rFonts w:ascii="宋体" w:hAnsi="宋体" w:cs="宋体"/>
                <w:szCs w:val="21"/>
              </w:rPr>
            </w:pPr>
            <w:r>
              <w:rPr>
                <w:rFonts w:hint="eastAsia" w:ascii="宋体" w:hAnsi="宋体" w:cs="宋体"/>
                <w:szCs w:val="21"/>
              </w:rPr>
              <w:t>货物参数</w:t>
            </w:r>
          </w:p>
        </w:tc>
        <w:tc>
          <w:tcPr>
            <w:tcW w:w="1134" w:type="dxa"/>
            <w:tcBorders>
              <w:top w:val="single" w:color="auto" w:sz="4" w:space="0"/>
              <w:left w:val="single" w:color="auto" w:sz="4" w:space="0"/>
              <w:bottom w:val="single" w:color="auto" w:sz="4" w:space="0"/>
              <w:right w:val="single" w:color="auto" w:sz="4" w:space="0"/>
            </w:tcBorders>
            <w:vAlign w:val="center"/>
          </w:tcPr>
          <w:p w14:paraId="525CA671">
            <w:pPr>
              <w:jc w:val="center"/>
              <w:rPr>
                <w:rFonts w:ascii="宋体" w:hAnsi="宋体" w:cs="宋体"/>
                <w:szCs w:val="21"/>
              </w:rPr>
            </w:pPr>
            <w:r>
              <w:rPr>
                <w:rFonts w:hint="eastAsia" w:ascii="宋体" w:hAnsi="宋体" w:cs="宋体"/>
                <w:szCs w:val="21"/>
              </w:rPr>
              <w:t>供应基准单价（元/公斤）</w:t>
            </w:r>
          </w:p>
        </w:tc>
      </w:tr>
      <w:tr w14:paraId="5C37B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14:paraId="40F72B29">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E35A034">
            <w:pPr>
              <w:jc w:val="center"/>
              <w:rPr>
                <w:rFonts w:ascii="宋体" w:hAnsi="宋体" w:cs="宋体"/>
                <w:sz w:val="24"/>
              </w:rPr>
            </w:pPr>
            <w:r>
              <w:rPr>
                <w:rFonts w:hint="eastAsia"/>
              </w:rPr>
              <w:t>1</w:t>
            </w:r>
          </w:p>
        </w:tc>
        <w:tc>
          <w:tcPr>
            <w:tcW w:w="931" w:type="dxa"/>
            <w:tcBorders>
              <w:top w:val="single" w:color="auto" w:sz="4" w:space="0"/>
              <w:left w:val="single" w:color="auto" w:sz="4" w:space="0"/>
              <w:bottom w:val="single" w:color="auto" w:sz="4" w:space="0"/>
              <w:right w:val="single" w:color="auto" w:sz="4" w:space="0"/>
            </w:tcBorders>
            <w:vAlign w:val="center"/>
          </w:tcPr>
          <w:p w14:paraId="2C0B91F1">
            <w:pPr>
              <w:jc w:val="center"/>
              <w:rPr>
                <w:rFonts w:ascii="宋体" w:hAnsi="宋体" w:cs="宋体"/>
                <w:sz w:val="24"/>
              </w:rPr>
            </w:pPr>
            <w:r>
              <w:rPr>
                <w:rFonts w:hint="eastAsia"/>
              </w:rPr>
              <w:t>河粉</w:t>
            </w:r>
          </w:p>
        </w:tc>
        <w:tc>
          <w:tcPr>
            <w:tcW w:w="745" w:type="dxa"/>
            <w:tcBorders>
              <w:top w:val="single" w:color="auto" w:sz="4" w:space="0"/>
              <w:left w:val="single" w:color="auto" w:sz="4" w:space="0"/>
              <w:bottom w:val="single" w:color="auto" w:sz="4" w:space="0"/>
              <w:right w:val="single" w:color="auto" w:sz="4" w:space="0"/>
            </w:tcBorders>
            <w:vAlign w:val="center"/>
          </w:tcPr>
          <w:p w14:paraId="6E7D1C7B">
            <w:pPr>
              <w:jc w:val="center"/>
              <w:rPr>
                <w:rFonts w:ascii="宋体" w:hAnsi="宋体" w:cs="宋体"/>
                <w:sz w:val="24"/>
              </w:rPr>
            </w:pPr>
            <w:r>
              <w:rPr>
                <w:rFonts w:hint="eastAsia"/>
              </w:rPr>
              <w:t>公斤</w:t>
            </w:r>
          </w:p>
        </w:tc>
        <w:tc>
          <w:tcPr>
            <w:tcW w:w="1125" w:type="dxa"/>
            <w:tcBorders>
              <w:top w:val="single" w:color="auto" w:sz="4" w:space="0"/>
              <w:left w:val="single" w:color="auto" w:sz="4" w:space="0"/>
              <w:bottom w:val="single" w:color="auto" w:sz="4" w:space="0"/>
              <w:right w:val="single" w:color="auto" w:sz="4" w:space="0"/>
            </w:tcBorders>
            <w:vAlign w:val="center"/>
          </w:tcPr>
          <w:p w14:paraId="648224B4">
            <w:pPr>
              <w:jc w:val="center"/>
              <w:rPr>
                <w:rFonts w:ascii="宋体" w:hAnsi="宋体" w:cs="宋体"/>
                <w:sz w:val="24"/>
              </w:rPr>
            </w:pPr>
            <w:r>
              <w:rPr>
                <w:rFonts w:hint="eastAsia"/>
              </w:rPr>
              <w:t xml:space="preserve">410000.00 </w:t>
            </w:r>
          </w:p>
        </w:tc>
        <w:tc>
          <w:tcPr>
            <w:tcW w:w="1125" w:type="dxa"/>
            <w:vMerge w:val="restart"/>
            <w:tcBorders>
              <w:top w:val="single" w:color="auto" w:sz="4" w:space="0"/>
              <w:left w:val="single" w:color="auto" w:sz="4" w:space="0"/>
              <w:right w:val="single" w:color="auto" w:sz="4" w:space="0"/>
            </w:tcBorders>
            <w:vAlign w:val="center"/>
          </w:tcPr>
          <w:p w14:paraId="290F54FA">
            <w:pPr>
              <w:jc w:val="center"/>
              <w:rPr>
                <w:rFonts w:ascii="宋体" w:hAnsi="宋体" w:cs="宋体"/>
                <w:szCs w:val="21"/>
              </w:rPr>
            </w:pPr>
            <w:r>
              <w:rPr>
                <w:rFonts w:hint="eastAsia" w:ascii="宋体" w:hAnsi="宋体" w:cs="宋体"/>
                <w:szCs w:val="21"/>
              </w:rPr>
              <w:t>工业</w:t>
            </w:r>
          </w:p>
        </w:tc>
        <w:tc>
          <w:tcPr>
            <w:tcW w:w="4231" w:type="dxa"/>
            <w:tcBorders>
              <w:top w:val="single" w:color="auto" w:sz="4" w:space="0"/>
              <w:left w:val="single" w:color="auto" w:sz="4" w:space="0"/>
              <w:bottom w:val="single" w:color="auto" w:sz="4" w:space="0"/>
              <w:right w:val="single" w:color="auto" w:sz="4" w:space="0"/>
            </w:tcBorders>
            <w:vAlign w:val="center"/>
          </w:tcPr>
          <w:p w14:paraId="49B08413">
            <w:pPr>
              <w:spacing w:line="360" w:lineRule="auto"/>
              <w:rPr>
                <w:rFonts w:ascii="宋体" w:hAnsi="宋体" w:cs="宋体"/>
                <w:kern w:val="0"/>
                <w:szCs w:val="21"/>
                <w:lang w:bidi="ar"/>
              </w:rPr>
            </w:pPr>
            <w:r>
              <w:rPr>
                <w:rFonts w:hint="eastAsia" w:ascii="宋体" w:hAnsi="宋体" w:cs="宋体"/>
                <w:kern w:val="0"/>
                <w:szCs w:val="21"/>
                <w:lang w:bidi="ar"/>
              </w:rPr>
              <w:t>1.必须符合广西强制性地方标准《鲜湿米粉质量安全要求》；</w:t>
            </w:r>
          </w:p>
          <w:p w14:paraId="68A6AED0">
            <w:pPr>
              <w:spacing w:line="360" w:lineRule="auto"/>
              <w:rPr>
                <w:rFonts w:ascii="宋体" w:hAnsi="宋体" w:cs="宋体"/>
                <w:kern w:val="0"/>
                <w:szCs w:val="21"/>
                <w:lang w:bidi="ar"/>
              </w:rPr>
            </w:pPr>
            <w:r>
              <w:rPr>
                <w:rFonts w:hint="eastAsia" w:ascii="宋体" w:hAnsi="宋体" w:cs="宋体"/>
                <w:kern w:val="0"/>
                <w:szCs w:val="21"/>
                <w:lang w:bidi="ar"/>
              </w:rPr>
              <w:t>2.在包装或产品说明书上标出品名、产地、厂名、生产日期、批号或代号、规格、配方或主要成分、保质期限。</w:t>
            </w:r>
          </w:p>
        </w:tc>
        <w:tc>
          <w:tcPr>
            <w:tcW w:w="1134" w:type="dxa"/>
            <w:tcBorders>
              <w:top w:val="single" w:color="auto" w:sz="4" w:space="0"/>
              <w:left w:val="single" w:color="auto" w:sz="4" w:space="0"/>
              <w:bottom w:val="single" w:color="auto" w:sz="4" w:space="0"/>
              <w:right w:val="single" w:color="auto" w:sz="4" w:space="0"/>
            </w:tcBorders>
            <w:vAlign w:val="center"/>
          </w:tcPr>
          <w:p w14:paraId="194CBAD6">
            <w:pPr>
              <w:widowControl/>
              <w:jc w:val="center"/>
            </w:pPr>
            <w:r>
              <w:rPr>
                <w:rFonts w:hint="eastAsia"/>
                <w:lang w:bidi="ar"/>
              </w:rPr>
              <w:t xml:space="preserve">2.85 </w:t>
            </w:r>
          </w:p>
        </w:tc>
      </w:tr>
      <w:tr w14:paraId="0878E3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14:paraId="65116868">
            <w:pPr>
              <w:jc w:val="center"/>
              <w:rPr>
                <w:rFonts w:ascii="宋体" w:hAnsi="宋体" w:cs="宋体"/>
                <w:szCs w:val="21"/>
              </w:rPr>
            </w:pPr>
          </w:p>
        </w:tc>
        <w:tc>
          <w:tcPr>
            <w:tcW w:w="516" w:type="dxa"/>
            <w:tcBorders>
              <w:top w:val="single" w:color="auto" w:sz="4" w:space="0"/>
              <w:left w:val="single" w:color="auto" w:sz="4" w:space="0"/>
              <w:right w:val="single" w:color="auto" w:sz="4" w:space="0"/>
            </w:tcBorders>
            <w:tcMar>
              <w:top w:w="0" w:type="dxa"/>
              <w:left w:w="0" w:type="dxa"/>
              <w:bottom w:w="0" w:type="dxa"/>
              <w:right w:w="0" w:type="dxa"/>
            </w:tcMar>
            <w:vAlign w:val="center"/>
          </w:tcPr>
          <w:p w14:paraId="4668B15C">
            <w:pPr>
              <w:jc w:val="center"/>
              <w:rPr>
                <w:rFonts w:ascii="宋体" w:hAnsi="宋体" w:cs="宋体"/>
                <w:sz w:val="24"/>
              </w:rPr>
            </w:pPr>
            <w:r>
              <w:rPr>
                <w:rFonts w:hint="eastAsia"/>
              </w:rPr>
              <w:t>2</w:t>
            </w:r>
          </w:p>
        </w:tc>
        <w:tc>
          <w:tcPr>
            <w:tcW w:w="931" w:type="dxa"/>
            <w:tcBorders>
              <w:top w:val="single" w:color="auto" w:sz="4" w:space="0"/>
              <w:left w:val="single" w:color="auto" w:sz="4" w:space="0"/>
              <w:right w:val="single" w:color="auto" w:sz="4" w:space="0"/>
            </w:tcBorders>
            <w:vAlign w:val="center"/>
          </w:tcPr>
          <w:p w14:paraId="5B6C8A48">
            <w:pPr>
              <w:jc w:val="center"/>
              <w:rPr>
                <w:rFonts w:ascii="宋体" w:hAnsi="宋体" w:cs="宋体"/>
                <w:sz w:val="24"/>
              </w:rPr>
            </w:pPr>
            <w:r>
              <w:rPr>
                <w:rFonts w:hint="eastAsia"/>
              </w:rPr>
              <w:t>面粉</w:t>
            </w:r>
          </w:p>
        </w:tc>
        <w:tc>
          <w:tcPr>
            <w:tcW w:w="745" w:type="dxa"/>
            <w:tcBorders>
              <w:top w:val="single" w:color="auto" w:sz="4" w:space="0"/>
              <w:left w:val="single" w:color="auto" w:sz="4" w:space="0"/>
              <w:right w:val="single" w:color="auto" w:sz="4" w:space="0"/>
            </w:tcBorders>
            <w:vAlign w:val="center"/>
          </w:tcPr>
          <w:p w14:paraId="43D4BF08">
            <w:pPr>
              <w:jc w:val="center"/>
              <w:rPr>
                <w:rFonts w:ascii="宋体" w:hAnsi="宋体" w:cs="宋体"/>
                <w:sz w:val="24"/>
              </w:rPr>
            </w:pPr>
            <w:r>
              <w:rPr>
                <w:rFonts w:hint="eastAsia"/>
              </w:rPr>
              <w:t>公斤</w:t>
            </w:r>
          </w:p>
        </w:tc>
        <w:tc>
          <w:tcPr>
            <w:tcW w:w="1125" w:type="dxa"/>
            <w:tcBorders>
              <w:top w:val="single" w:color="auto" w:sz="4" w:space="0"/>
              <w:left w:val="single" w:color="auto" w:sz="4" w:space="0"/>
              <w:right w:val="single" w:color="auto" w:sz="4" w:space="0"/>
            </w:tcBorders>
            <w:vAlign w:val="center"/>
          </w:tcPr>
          <w:p w14:paraId="0DC56E90">
            <w:pPr>
              <w:jc w:val="center"/>
              <w:rPr>
                <w:rFonts w:ascii="宋体" w:hAnsi="宋体" w:cs="宋体"/>
                <w:sz w:val="24"/>
              </w:rPr>
            </w:pPr>
            <w:r>
              <w:rPr>
                <w:rFonts w:hint="eastAsia"/>
              </w:rPr>
              <w:t xml:space="preserve">45000.00 </w:t>
            </w:r>
          </w:p>
        </w:tc>
        <w:tc>
          <w:tcPr>
            <w:tcW w:w="1125" w:type="dxa"/>
            <w:vMerge w:val="continue"/>
            <w:tcBorders>
              <w:left w:val="single" w:color="auto" w:sz="4" w:space="0"/>
              <w:right w:val="single" w:color="auto" w:sz="4" w:space="0"/>
            </w:tcBorders>
            <w:vAlign w:val="center"/>
          </w:tcPr>
          <w:p w14:paraId="6E949347">
            <w:pPr>
              <w:jc w:val="center"/>
              <w:rPr>
                <w:rFonts w:ascii="宋体" w:hAnsi="宋体" w:cs="宋体"/>
                <w:szCs w:val="21"/>
              </w:rPr>
            </w:pPr>
          </w:p>
        </w:tc>
        <w:tc>
          <w:tcPr>
            <w:tcW w:w="4231" w:type="dxa"/>
            <w:tcBorders>
              <w:top w:val="single" w:color="auto" w:sz="4" w:space="0"/>
              <w:left w:val="single" w:color="auto" w:sz="4" w:space="0"/>
              <w:right w:val="single" w:color="auto" w:sz="4" w:space="0"/>
            </w:tcBorders>
            <w:vAlign w:val="center"/>
          </w:tcPr>
          <w:p w14:paraId="02824F68">
            <w:pPr>
              <w:spacing w:line="360" w:lineRule="auto"/>
              <w:rPr>
                <w:rFonts w:ascii="宋体" w:hAnsi="宋体" w:cs="宋体"/>
                <w:kern w:val="0"/>
                <w:szCs w:val="21"/>
                <w:lang w:bidi="ar"/>
              </w:rPr>
            </w:pPr>
            <w:r>
              <w:rPr>
                <w:rFonts w:hint="eastAsia" w:ascii="宋体" w:hAnsi="宋体" w:cs="宋体"/>
                <w:kern w:val="0"/>
                <w:szCs w:val="21"/>
                <w:lang w:bidi="ar"/>
              </w:rPr>
              <w:t>1. 质量符合《中华人民共和国食品安全法》《中华人民共和国农产品质量安全法》《中华人民共 和国食品安全法实施条例》和其他对食品安全有关要求，确保饮食安全，严禁供应假冒伪劣产品和过期食品。</w:t>
            </w:r>
          </w:p>
          <w:p w14:paraId="355CBBCA">
            <w:pPr>
              <w:spacing w:line="360" w:lineRule="auto"/>
              <w:jc w:val="left"/>
              <w:rPr>
                <w:rFonts w:ascii="宋体" w:hAnsi="宋体" w:cs="宋体"/>
                <w:kern w:val="0"/>
                <w:szCs w:val="21"/>
                <w:lang w:bidi="ar"/>
              </w:rPr>
            </w:pPr>
            <w:r>
              <w:rPr>
                <w:rFonts w:hint="eastAsia" w:ascii="宋体" w:hAnsi="宋体" w:cs="宋体"/>
                <w:kern w:val="0"/>
                <w:szCs w:val="21"/>
                <w:lang w:bidi="ar"/>
              </w:rPr>
              <w:t>2.包装完整、有生产厂家、地址、联系号码、生产日期和保质期；                                                                3.产品无沙子、无杂质、无发霉、变质和异味；5kg/袋。</w:t>
            </w:r>
          </w:p>
        </w:tc>
        <w:tc>
          <w:tcPr>
            <w:tcW w:w="1134" w:type="dxa"/>
            <w:tcBorders>
              <w:top w:val="single" w:color="auto" w:sz="4" w:space="0"/>
              <w:left w:val="single" w:color="auto" w:sz="4" w:space="0"/>
              <w:right w:val="single" w:color="auto" w:sz="4" w:space="0"/>
            </w:tcBorders>
            <w:vAlign w:val="center"/>
          </w:tcPr>
          <w:p w14:paraId="1CBFCF08">
            <w:pPr>
              <w:widowControl/>
              <w:jc w:val="center"/>
            </w:pPr>
            <w:r>
              <w:rPr>
                <w:rFonts w:hint="eastAsia"/>
                <w:lang w:bidi="ar"/>
              </w:rPr>
              <w:t xml:space="preserve">6.18 </w:t>
            </w:r>
          </w:p>
        </w:tc>
      </w:tr>
      <w:tr w14:paraId="066E3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479" w:type="dxa"/>
            <w:tcBorders>
              <w:top w:val="single" w:color="auto" w:sz="4" w:space="0"/>
              <w:left w:val="single" w:color="auto" w:sz="4" w:space="0"/>
              <w:bottom w:val="single" w:color="auto" w:sz="4" w:space="0"/>
              <w:right w:val="single" w:color="auto" w:sz="4" w:space="0"/>
            </w:tcBorders>
          </w:tcPr>
          <w:p w14:paraId="746EC118">
            <w:pPr>
              <w:jc w:val="center"/>
              <w:rPr>
                <w:rFonts w:ascii="宋体" w:hAnsi="宋体"/>
                <w:szCs w:val="21"/>
              </w:rPr>
            </w:pPr>
          </w:p>
          <w:p w14:paraId="4251A70A">
            <w:pPr>
              <w:jc w:val="center"/>
              <w:rPr>
                <w:rFonts w:ascii="宋体" w:hAnsi="宋体"/>
                <w:szCs w:val="21"/>
              </w:rPr>
            </w:pPr>
          </w:p>
          <w:p w14:paraId="0C073B58">
            <w:pPr>
              <w:jc w:val="center"/>
              <w:rPr>
                <w:rFonts w:ascii="宋体" w:hAnsi="宋体"/>
                <w:szCs w:val="21"/>
              </w:rPr>
            </w:pPr>
            <w:r>
              <w:rPr>
                <w:rFonts w:hint="eastAsia" w:ascii="宋体" w:hAnsi="宋体"/>
                <w:szCs w:val="21"/>
              </w:rPr>
              <w:t>商务条款</w:t>
            </w:r>
          </w:p>
        </w:tc>
        <w:tc>
          <w:tcPr>
            <w:tcW w:w="9807" w:type="dxa"/>
            <w:gridSpan w:val="7"/>
            <w:tcBorders>
              <w:top w:val="single" w:color="auto" w:sz="4" w:space="0"/>
              <w:left w:val="single" w:color="auto" w:sz="4" w:space="0"/>
              <w:bottom w:val="single" w:color="auto" w:sz="4" w:space="0"/>
              <w:right w:val="single" w:color="auto" w:sz="4" w:space="0"/>
            </w:tcBorders>
          </w:tcPr>
          <w:p w14:paraId="7FB6E8A3">
            <w:pPr>
              <w:numPr>
                <w:ilvl w:val="255"/>
                <w:numId w:val="0"/>
              </w:numPr>
              <w:spacing w:line="360" w:lineRule="auto"/>
              <w:rPr>
                <w:rFonts w:ascii="宋体" w:hAnsi="宋体" w:cs="宋体"/>
              </w:rPr>
            </w:pPr>
            <w:r>
              <w:rPr>
                <w:rFonts w:hint="eastAsia" w:ascii="宋体" w:hAnsi="宋体" w:cs="宋体"/>
                <w:b/>
              </w:rPr>
              <w:t>一、合同签订期</w:t>
            </w:r>
            <w:r>
              <w:rPr>
                <w:rFonts w:hint="eastAsia" w:ascii="宋体" w:hAnsi="宋体" w:cs="宋体"/>
              </w:rPr>
              <w:t>：自中标通知书发出之日起25日内。</w:t>
            </w:r>
          </w:p>
          <w:p w14:paraId="78992936">
            <w:pPr>
              <w:numPr>
                <w:ilvl w:val="255"/>
                <w:numId w:val="0"/>
              </w:numPr>
              <w:spacing w:line="360" w:lineRule="auto"/>
              <w:rPr>
                <w:rFonts w:ascii="宋体" w:hAnsi="宋体" w:cs="宋体"/>
                <w:b/>
                <w:bCs/>
              </w:rPr>
            </w:pPr>
            <w:r>
              <w:rPr>
                <w:rFonts w:hint="eastAsia" w:ascii="宋体" w:hAnsi="宋体" w:cs="宋体"/>
                <w:b/>
                <w:bCs/>
              </w:rPr>
              <w:t>二、交货要求</w:t>
            </w:r>
          </w:p>
          <w:p w14:paraId="25710954">
            <w:pPr>
              <w:spacing w:line="360" w:lineRule="auto"/>
              <w:rPr>
                <w:rFonts w:ascii="宋体" w:hAnsi="宋体" w:cs="宋体"/>
              </w:rPr>
            </w:pPr>
            <w:r>
              <w:rPr>
                <w:rFonts w:hint="eastAsia" w:ascii="宋体" w:hAnsi="宋体" w:cs="宋体"/>
              </w:rPr>
              <w:t>1.交货地点：</w:t>
            </w:r>
            <w:r>
              <w:rPr>
                <w:rFonts w:hint="eastAsia" w:ascii="宋体" w:hAnsi="宋体" w:cs="宋体"/>
                <w:szCs w:val="21"/>
              </w:rPr>
              <w:t>广西梧州市</w:t>
            </w:r>
            <w:r>
              <w:rPr>
                <w:rFonts w:hint="eastAsia" w:ascii="宋体" w:hAnsi="宋体" w:cs="宋体"/>
              </w:rPr>
              <w:t>采购人指定地点。</w:t>
            </w:r>
          </w:p>
          <w:p w14:paraId="79E300B8">
            <w:pPr>
              <w:spacing w:line="360" w:lineRule="auto"/>
              <w:rPr>
                <w:rFonts w:ascii="宋体" w:hAnsi="宋体" w:cs="宋体"/>
              </w:rPr>
            </w:pPr>
            <w:r>
              <w:rPr>
                <w:rFonts w:hint="eastAsia" w:ascii="宋体" w:hAnsi="宋体" w:cs="宋体"/>
              </w:rPr>
              <w:t>2.交货时间：</w:t>
            </w:r>
            <w:r>
              <w:rPr>
                <w:rFonts w:hint="eastAsia" w:ascii="宋体" w:hAnsi="宋体" w:cs="宋体"/>
                <w:szCs w:val="21"/>
              </w:rPr>
              <w:t>中标人向采购人供应食材为每天上午8:00前，确保一日一供，节假日正常供应，特殊情况双方协商确定。产品运输由中标人负责，运输及卸车费用由中标人承担</w:t>
            </w:r>
            <w:r>
              <w:rPr>
                <w:rFonts w:hint="eastAsia" w:ascii="宋体" w:hAnsi="宋体" w:cs="宋体"/>
              </w:rPr>
              <w:t>。</w:t>
            </w:r>
          </w:p>
          <w:p w14:paraId="0B96D48D">
            <w:pPr>
              <w:spacing w:line="360" w:lineRule="auto"/>
              <w:rPr>
                <w:rFonts w:ascii="宋体" w:hAnsi="宋体" w:cs="宋体"/>
              </w:rPr>
            </w:pPr>
            <w:r>
              <w:rPr>
                <w:rFonts w:hint="eastAsia" w:ascii="宋体" w:hAnsi="宋体" w:cs="宋体"/>
              </w:rPr>
              <w:t>3.交货方式：现场交货。</w:t>
            </w:r>
          </w:p>
          <w:p w14:paraId="560DE7CC">
            <w:pPr>
              <w:spacing w:line="360" w:lineRule="auto"/>
              <w:rPr>
                <w:rFonts w:ascii="宋体" w:hAnsi="宋体" w:cs="宋体"/>
              </w:rPr>
            </w:pPr>
            <w:r>
              <w:rPr>
                <w:rFonts w:hint="eastAsia" w:ascii="宋体" w:hAnsi="宋体" w:cs="宋体"/>
              </w:rPr>
              <w:t>4.合同履行期限：自合同签订之日起一年。</w:t>
            </w:r>
          </w:p>
          <w:p w14:paraId="0AB95676">
            <w:pPr>
              <w:numPr>
                <w:ilvl w:val="255"/>
                <w:numId w:val="0"/>
              </w:numPr>
              <w:spacing w:line="360" w:lineRule="auto"/>
              <w:rPr>
                <w:rFonts w:ascii="宋体" w:hAnsi="宋体" w:cs="宋体"/>
                <w:b/>
                <w:bCs/>
              </w:rPr>
            </w:pPr>
            <w:r>
              <w:rPr>
                <w:rFonts w:hint="eastAsia" w:ascii="宋体" w:hAnsi="宋体"/>
                <w:b/>
                <w:bCs/>
                <w:szCs w:val="21"/>
              </w:rPr>
              <w:t>三、质保期</w:t>
            </w:r>
          </w:p>
          <w:p w14:paraId="3E488B55">
            <w:pPr>
              <w:spacing w:line="360" w:lineRule="auto"/>
              <w:rPr>
                <w:rFonts w:ascii="宋体" w:hAnsi="宋体" w:cs="宋体"/>
                <w:b/>
                <w:bCs/>
              </w:rPr>
            </w:pPr>
            <w:r>
              <w:rPr>
                <w:rFonts w:hint="eastAsia" w:ascii="宋体" w:hAnsi="宋体" w:cs="Courier New"/>
                <w:szCs w:val="21"/>
              </w:rPr>
              <w:t>自每批次货物验收合格起计算，不少于24小时（除干货外）。</w:t>
            </w:r>
            <w:r>
              <w:rPr>
                <w:rFonts w:hint="eastAsia" w:ascii="宋体" w:hAnsi="宋体" w:cs="宋体"/>
                <w:szCs w:val="21"/>
              </w:rPr>
              <w:t>工业生产的物资必须是新近生产的，配送时有效质保期不得低于产品整体质保期的二分之一。</w:t>
            </w:r>
          </w:p>
          <w:p w14:paraId="7118DE46">
            <w:pPr>
              <w:numPr>
                <w:ilvl w:val="255"/>
                <w:numId w:val="0"/>
              </w:numPr>
              <w:spacing w:line="360" w:lineRule="auto"/>
              <w:rPr>
                <w:rFonts w:ascii="宋体" w:hAnsi="宋体" w:cs="宋体"/>
                <w:b/>
                <w:bCs/>
              </w:rPr>
            </w:pPr>
            <w:r>
              <w:rPr>
                <w:rFonts w:hint="eastAsia" w:ascii="宋体" w:hAnsi="宋体" w:cs="宋体"/>
                <w:b/>
                <w:bCs/>
              </w:rPr>
              <w:t>四、供货要求</w:t>
            </w:r>
          </w:p>
          <w:p w14:paraId="45DEE820">
            <w:pPr>
              <w:spacing w:line="360" w:lineRule="auto"/>
              <w:rPr>
                <w:rFonts w:ascii="宋体" w:hAnsi="宋体" w:cs="宋体"/>
              </w:rPr>
            </w:pPr>
            <w:r>
              <w:rPr>
                <w:rFonts w:hint="eastAsia" w:ascii="宋体" w:hAnsi="宋体" w:cs="宋体"/>
              </w:rPr>
              <w:t>1.一般供货要求：采购人根据实际需要，每天下午18时前列出一份第二天需要补充采购的食品请购清单，在收到采购人发出供货通知后，中标人最迟在次日上午8：00前提供当次物资。</w:t>
            </w:r>
          </w:p>
          <w:p w14:paraId="3C76F266">
            <w:pPr>
              <w:spacing w:line="360" w:lineRule="auto"/>
              <w:rPr>
                <w:rFonts w:ascii="宋体" w:hAnsi="宋体" w:cs="宋体"/>
              </w:rPr>
            </w:pPr>
            <w:r>
              <w:rPr>
                <w:rFonts w:hint="eastAsia" w:ascii="宋体" w:hAnsi="宋体" w:cs="宋体"/>
              </w:rPr>
              <w:t>2.紧急供货要求：有紧急供货需求时，中标人在收到采购人发出紧急供货通知后，中标人最迟1小时内完成当次现场供货。</w:t>
            </w:r>
          </w:p>
          <w:p w14:paraId="7891F15B">
            <w:pPr>
              <w:spacing w:line="360" w:lineRule="auto"/>
              <w:rPr>
                <w:rFonts w:ascii="宋体" w:hAnsi="宋体" w:cs="宋体"/>
              </w:rPr>
            </w:pPr>
            <w:r>
              <w:rPr>
                <w:rFonts w:hint="eastAsia" w:ascii="宋体" w:hAnsi="宋体" w:cs="宋体"/>
              </w:rPr>
              <w:t>3.中标人不能满足供货要求时，应提前1个月通知采购人，采购人同意后方可终止合同。</w:t>
            </w:r>
          </w:p>
          <w:p w14:paraId="6D99ECDE">
            <w:pPr>
              <w:spacing w:line="360" w:lineRule="auto"/>
              <w:rPr>
                <w:rFonts w:ascii="宋体" w:hAnsi="宋体" w:cs="宋体"/>
              </w:rPr>
            </w:pPr>
            <w:r>
              <w:rPr>
                <w:rFonts w:hint="eastAsia" w:ascii="宋体" w:hAnsi="宋体" w:cs="宋体"/>
              </w:rPr>
              <w:t>4.中标人提供的货物必须是具有合法销售途径的、完整、新鲜合格产品。货物的技术质量必须符合《中华人民共和国农产品质量安全法》等有关规定。</w:t>
            </w:r>
          </w:p>
          <w:p w14:paraId="3C35084D">
            <w:pPr>
              <w:spacing w:line="360" w:lineRule="auto"/>
              <w:rPr>
                <w:rFonts w:ascii="宋体" w:hAnsi="宋体" w:cs="宋体"/>
              </w:rPr>
            </w:pPr>
            <w:r>
              <w:rPr>
                <w:rFonts w:hint="eastAsia" w:ascii="宋体" w:hAnsi="宋体" w:cs="宋体"/>
              </w:rPr>
              <w:t>5. 配送供应服务内容及要求详见附件一《配送供应内容及要求》。</w:t>
            </w:r>
          </w:p>
          <w:p w14:paraId="6F012035">
            <w:pPr>
              <w:numPr>
                <w:ilvl w:val="255"/>
                <w:numId w:val="0"/>
              </w:numPr>
              <w:spacing w:line="360" w:lineRule="auto"/>
              <w:rPr>
                <w:rFonts w:ascii="宋体" w:hAnsi="宋体" w:cs="宋体"/>
                <w:b/>
                <w:bCs/>
              </w:rPr>
            </w:pPr>
            <w:r>
              <w:rPr>
                <w:rFonts w:hint="eastAsia" w:ascii="宋体" w:hAnsi="宋体"/>
                <w:b/>
                <w:bCs/>
                <w:szCs w:val="21"/>
              </w:rPr>
              <w:t>五、售后服务要求</w:t>
            </w:r>
          </w:p>
          <w:p w14:paraId="360CEBD5">
            <w:pPr>
              <w:spacing w:line="360" w:lineRule="auto"/>
              <w:rPr>
                <w:rFonts w:ascii="宋体" w:hAnsi="宋体" w:cs="宋体"/>
              </w:rPr>
            </w:pPr>
            <w:r>
              <w:rPr>
                <w:rFonts w:hint="eastAsia" w:ascii="宋体" w:hAnsi="宋体" w:cs="宋体"/>
              </w:rPr>
              <w:t>1.中标人负责货物的供应、包装、运输、装卸、交货，以及途中冷链和售后服务等工作。</w:t>
            </w:r>
          </w:p>
          <w:p w14:paraId="4BE38C11">
            <w:pPr>
              <w:spacing w:line="360" w:lineRule="auto"/>
              <w:rPr>
                <w:rFonts w:ascii="宋体" w:hAnsi="宋体" w:cs="宋体"/>
              </w:rPr>
            </w:pPr>
            <w:r>
              <w:rPr>
                <w:rFonts w:hint="eastAsia" w:ascii="宋体" w:hAnsi="宋体" w:cs="宋体"/>
              </w:rPr>
              <w:t>2.保质保量，如在质保期内发现质量问题，中标人必须在接到采购单位通知后1小时内响应并处理，如属质量问题的及时给予更换；</w:t>
            </w:r>
          </w:p>
          <w:p w14:paraId="07658A9C">
            <w:pPr>
              <w:spacing w:line="360" w:lineRule="auto"/>
              <w:rPr>
                <w:rFonts w:ascii="宋体" w:hAnsi="宋体" w:cs="宋体"/>
              </w:rPr>
            </w:pPr>
            <w:r>
              <w:rPr>
                <w:rFonts w:hint="eastAsia" w:ascii="宋体" w:hAnsi="宋体" w:cs="宋体"/>
              </w:rPr>
              <w:t>3.投标人必须在投标文件中提供具体的“售后服务承诺书”；</w:t>
            </w:r>
          </w:p>
          <w:p w14:paraId="0AC4FDAA">
            <w:pPr>
              <w:spacing w:line="360" w:lineRule="auto"/>
              <w:rPr>
                <w:rFonts w:ascii="宋体" w:hAnsi="宋体" w:cs="宋体"/>
              </w:rPr>
            </w:pPr>
            <w:r>
              <w:rPr>
                <w:rFonts w:hint="eastAsia" w:ascii="宋体" w:hAnsi="宋体" w:cs="宋体"/>
              </w:rPr>
              <w:t>4.中标人必须严格按采购人需要的数量和时间供货。</w:t>
            </w:r>
          </w:p>
          <w:p w14:paraId="494CD009">
            <w:pPr>
              <w:numPr>
                <w:ilvl w:val="255"/>
                <w:numId w:val="0"/>
              </w:numPr>
              <w:spacing w:line="360" w:lineRule="auto"/>
              <w:rPr>
                <w:rFonts w:ascii="宋体" w:hAnsi="宋体" w:cs="宋体"/>
                <w:b/>
                <w:bCs/>
              </w:rPr>
            </w:pPr>
            <w:r>
              <w:rPr>
                <w:rFonts w:hint="eastAsia" w:ascii="宋体" w:hAnsi="宋体" w:cs="宋体"/>
                <w:b/>
                <w:bCs/>
              </w:rPr>
              <w:t>六、验收方法</w:t>
            </w:r>
          </w:p>
          <w:p w14:paraId="625216BD">
            <w:pPr>
              <w:spacing w:line="360" w:lineRule="auto"/>
              <w:rPr>
                <w:rFonts w:ascii="宋体" w:hAnsi="宋体" w:cs="宋体"/>
              </w:rPr>
            </w:pPr>
            <w:r>
              <w:rPr>
                <w:rFonts w:hint="eastAsia" w:ascii="宋体" w:hAnsi="宋体" w:cs="宋体"/>
              </w:rPr>
              <w:t>1.货物的验收工作由采购人和中标人共同进行。中标人提供的产品须经过采购人的感官检验、外观检验，若产品外观、包装、形式、质量不符合要求或感官检验不能达到食品卫生要求，当即拒收；中标人不能满足食品的质、量及售后服务要求时，采购人有权进行处罚或终止合同。</w:t>
            </w:r>
          </w:p>
          <w:p w14:paraId="214B3A6D">
            <w:pPr>
              <w:spacing w:line="360" w:lineRule="auto"/>
              <w:rPr>
                <w:rFonts w:ascii="宋体" w:hAnsi="宋体" w:cs="宋体"/>
              </w:rPr>
            </w:pPr>
            <w:r>
              <w:rPr>
                <w:rFonts w:hint="eastAsia" w:ascii="宋体" w:hAnsi="宋体" w:cs="宋体"/>
              </w:rPr>
              <w:t>2.验收工作的一般程序为：根据供货清单的具体要求，对所购物料进行清点、外观检查以及对物料的各项指标和性能进行实测，并逐项记录。检测结束后，验收人员在验收单上签字。对未能通过验收的，一律退货、更换直至验收合格。</w:t>
            </w:r>
          </w:p>
          <w:p w14:paraId="151D35D5">
            <w:pPr>
              <w:numPr>
                <w:ilvl w:val="255"/>
                <w:numId w:val="0"/>
              </w:numPr>
              <w:spacing w:line="360" w:lineRule="auto"/>
              <w:rPr>
                <w:rFonts w:ascii="宋体" w:hAnsi="宋体" w:cs="宋体"/>
              </w:rPr>
            </w:pPr>
            <w:r>
              <w:rPr>
                <w:rFonts w:hint="eastAsia" w:ascii="宋体" w:hAnsi="宋体" w:cs="宋体"/>
                <w:b/>
                <w:bCs/>
              </w:rPr>
              <w:t>七、结算方式</w:t>
            </w:r>
          </w:p>
          <w:p w14:paraId="19CB2644">
            <w:pPr>
              <w:spacing w:line="360" w:lineRule="auto"/>
              <w:rPr>
                <w:rFonts w:ascii="宋体" w:hAnsi="宋体" w:cs="宋体"/>
              </w:rPr>
            </w:pPr>
            <w:r>
              <w:rPr>
                <w:rFonts w:hint="eastAsia" w:ascii="宋体" w:hAnsi="宋体" w:cs="宋体"/>
              </w:rPr>
              <w:t>1.本项目采用先供货后对账再结算方式。</w:t>
            </w:r>
          </w:p>
          <w:p w14:paraId="59367B75">
            <w:pPr>
              <w:spacing w:line="360" w:lineRule="auto"/>
              <w:rPr>
                <w:rFonts w:ascii="宋体" w:hAnsi="宋体" w:cs="宋体"/>
              </w:rPr>
            </w:pPr>
            <w:r>
              <w:rPr>
                <w:rFonts w:hint="eastAsia" w:ascii="宋体" w:hAnsi="宋体" w:cs="宋体"/>
              </w:rPr>
              <w:t>2.食材价格调动机制： 本标段合同期内不允许调价，投标人应充分考虑到供货期间物品供应基准价上涨的风险（如有新的价格调动机制文件，按新的文件规定执行）。</w:t>
            </w:r>
          </w:p>
          <w:p w14:paraId="2779AE46">
            <w:pPr>
              <w:spacing w:line="360" w:lineRule="auto"/>
              <w:rPr>
                <w:rFonts w:ascii="宋体" w:hAnsi="宋体" w:cs="宋体"/>
              </w:rPr>
            </w:pPr>
            <w:r>
              <w:rPr>
                <w:rFonts w:hint="eastAsia" w:ascii="宋体" w:hAnsi="宋体" w:cs="宋体"/>
              </w:rPr>
              <w:t>3.食材供货期内，某一食材供应价款实际结算方式为：实际食材结算金额=供应基准单价×实际采购数量×中标折扣系数(%)。</w:t>
            </w:r>
          </w:p>
          <w:p w14:paraId="35663135">
            <w:pPr>
              <w:numPr>
                <w:ilvl w:val="255"/>
                <w:numId w:val="0"/>
              </w:numPr>
              <w:spacing w:line="360" w:lineRule="auto"/>
              <w:rPr>
                <w:rFonts w:ascii="宋体" w:hAnsi="宋体" w:cs="宋体"/>
                <w:b/>
                <w:bCs/>
              </w:rPr>
            </w:pPr>
            <w:r>
              <w:rPr>
                <w:rFonts w:hint="eastAsia" w:ascii="宋体" w:hAnsi="宋体" w:cs="宋体"/>
                <w:b/>
                <w:bCs/>
              </w:rPr>
              <w:t>八、其他要求</w:t>
            </w:r>
          </w:p>
          <w:p w14:paraId="01EEF366">
            <w:pPr>
              <w:spacing w:line="360" w:lineRule="auto"/>
              <w:rPr>
                <w:rFonts w:ascii="宋体" w:hAnsi="宋体" w:cs="宋体"/>
              </w:rPr>
            </w:pPr>
            <w:r>
              <w:rPr>
                <w:rFonts w:hint="eastAsia" w:ascii="宋体" w:hAnsi="宋体" w:cs="宋体"/>
              </w:rPr>
              <w:t>1.中标人必须遵守采购人有关管理规定，否则采购人有权终止合同。</w:t>
            </w:r>
          </w:p>
          <w:p w14:paraId="4FF5113B">
            <w:pPr>
              <w:spacing w:line="360" w:lineRule="auto"/>
              <w:rPr>
                <w:rFonts w:ascii="宋体" w:hAnsi="宋体" w:cs="宋体"/>
              </w:rPr>
            </w:pPr>
            <w:r>
              <w:rPr>
                <w:rFonts w:hint="eastAsia" w:ascii="宋体" w:hAnsi="宋体" w:cs="宋体"/>
              </w:rPr>
              <w:t>2.配送人员必须办理健康证，针对各分标投标文件中提供2名以上员工的健康证明、</w:t>
            </w:r>
            <w:r>
              <w:rPr>
                <w:rFonts w:hint="eastAsia" w:ascii="宋体" w:hAnsi="宋体" w:cs="宋体"/>
                <w:bCs/>
                <w:kern w:val="0"/>
                <w:szCs w:val="21"/>
              </w:rPr>
              <w:t>提供无犯罪证明材料</w:t>
            </w:r>
            <w:r>
              <w:rPr>
                <w:rFonts w:hint="eastAsia" w:ascii="宋体" w:hAnsi="宋体" w:cs="宋体"/>
              </w:rPr>
              <w:t>。如临时非固定人员送货，须取得采购人同意。</w:t>
            </w:r>
          </w:p>
          <w:p w14:paraId="3414512D">
            <w:pPr>
              <w:spacing w:line="360" w:lineRule="auto"/>
              <w:rPr>
                <w:rFonts w:ascii="宋体" w:hAnsi="宋体" w:cs="宋体"/>
              </w:rPr>
            </w:pPr>
            <w:r>
              <w:rPr>
                <w:rFonts w:hint="eastAsia" w:ascii="宋体" w:hAnsi="宋体" w:cs="宋体"/>
              </w:rPr>
              <w:t>3.投标人针对各分标必须拥有专用配送车辆（投标文件中提供如下证明资料：驾驶证、行驶证、车辆≥1辆、车辆照片），车厢内干净、整洁且能按采购人规定的时间及地点一次完成该批次货物的供应。</w:t>
            </w:r>
          </w:p>
          <w:p w14:paraId="76717917">
            <w:pPr>
              <w:spacing w:line="360" w:lineRule="auto"/>
              <w:rPr>
                <w:rFonts w:ascii="宋体" w:hAnsi="宋体" w:cs="宋体"/>
              </w:rPr>
            </w:pPr>
            <w:r>
              <w:rPr>
                <w:rFonts w:hint="eastAsia" w:ascii="宋体" w:hAnsi="宋体" w:cs="宋体"/>
              </w:rPr>
              <w:t>4.</w:t>
            </w:r>
            <w:r>
              <w:rPr>
                <w:rFonts w:hint="eastAsia" w:ascii="宋体" w:hAnsi="宋体" w:cs="宋体"/>
                <w:b/>
              </w:rPr>
              <w:t>本项目采购需求中的要求均为实质性要求，投标人必须满足或优于，否则按投标无效处理</w:t>
            </w:r>
            <w:r>
              <w:rPr>
                <w:rFonts w:hint="eastAsia" w:ascii="宋体" w:hAnsi="宋体" w:cs="宋体"/>
              </w:rPr>
              <w:t>。实际数量为采购人根据实际需要；中标人不得因实际供应量提出异议。</w:t>
            </w:r>
          </w:p>
          <w:p w14:paraId="2802995E">
            <w:pPr>
              <w:numPr>
                <w:ilvl w:val="255"/>
                <w:numId w:val="0"/>
              </w:numPr>
              <w:spacing w:line="360" w:lineRule="auto"/>
              <w:rPr>
                <w:rFonts w:ascii="宋体" w:hAnsi="宋体" w:cs="宋体"/>
                <w:b/>
                <w:bCs/>
              </w:rPr>
            </w:pPr>
            <w:r>
              <w:rPr>
                <w:rFonts w:hint="eastAsia" w:ascii="宋体" w:hAnsi="宋体" w:cs="宋体"/>
                <w:b/>
                <w:bCs/>
              </w:rPr>
              <w:t>九、安全责任</w:t>
            </w:r>
          </w:p>
          <w:p w14:paraId="34EFDA64">
            <w:pPr>
              <w:spacing w:line="360" w:lineRule="auto"/>
              <w:rPr>
                <w:rFonts w:ascii="宋体" w:hAnsi="宋体" w:cs="宋体"/>
              </w:rPr>
            </w:pPr>
            <w:r>
              <w:rPr>
                <w:rFonts w:hint="eastAsia" w:ascii="宋体" w:hAnsi="宋体" w:cs="宋体"/>
              </w:rPr>
              <w:t>1.采购人有权随时对产品进行抽样送检，检测费用由</w:t>
            </w:r>
            <w:bookmarkStart w:id="178" w:name="OLE_LINK21"/>
            <w:r>
              <w:rPr>
                <w:rFonts w:hint="eastAsia" w:ascii="宋体" w:hAnsi="宋体" w:cs="宋体"/>
              </w:rPr>
              <w:t>中标人</w:t>
            </w:r>
            <w:bookmarkEnd w:id="178"/>
            <w:r>
              <w:rPr>
                <w:rFonts w:hint="eastAsia" w:ascii="宋体" w:hAnsi="宋体" w:cs="宋体"/>
              </w:rPr>
              <w:t>承担。中标人必须依法接受质量技术监督、卫生、市场监督管理局等职能部门的监督管理，并接受、配合相关职能部门的检测。因产品卫生和质量不合格而发生安全事故，中标人无条件承担全部责任，有关职能部门依法追究其责任，并取消中标人配送资格。</w:t>
            </w:r>
          </w:p>
          <w:p w14:paraId="1120D718">
            <w:pPr>
              <w:spacing w:line="360" w:lineRule="auto"/>
              <w:rPr>
                <w:rFonts w:ascii="宋体" w:hAnsi="宋体" w:cs="宋体"/>
              </w:rPr>
            </w:pPr>
            <w:r>
              <w:rPr>
                <w:rFonts w:hint="eastAsia" w:ascii="宋体" w:hAnsi="宋体" w:cs="宋体"/>
              </w:rPr>
              <w:t>2.中标人应严格遵守《中华人民共和国食品安全法》等相关规定，所提供的产品是合格安全的产品，一经发现供应以下食品，采购人除全部退货外，有权可取消中标人配送资格，没收全部履约保证金，中标人并承担由此造成的经济责任和法律责任。</w:t>
            </w:r>
          </w:p>
          <w:p w14:paraId="448E42AD">
            <w:pPr>
              <w:spacing w:line="360" w:lineRule="auto"/>
              <w:rPr>
                <w:rFonts w:ascii="宋体" w:hAnsi="宋体" w:cs="宋体"/>
              </w:rPr>
            </w:pPr>
            <w:r>
              <w:rPr>
                <w:rFonts w:hint="eastAsia" w:ascii="宋体" w:hAnsi="宋体" w:cs="宋体"/>
              </w:rPr>
              <w:t>①腐败变质、油脂酸败、霉变、生虫、污秽不洁、混有异物或者其他感官性状异常，对人体健康有害的；</w:t>
            </w:r>
          </w:p>
          <w:p w14:paraId="49314924">
            <w:pPr>
              <w:spacing w:line="360" w:lineRule="auto"/>
              <w:rPr>
                <w:rFonts w:ascii="宋体" w:hAnsi="宋体" w:cs="宋体"/>
              </w:rPr>
            </w:pPr>
            <w:r>
              <w:rPr>
                <w:rFonts w:hint="eastAsia" w:ascii="宋体" w:hAnsi="宋体" w:cs="宋体"/>
              </w:rPr>
              <w:t>②含有毒、有害物质或者被有害物质污染，对人体健康有害的；</w:t>
            </w:r>
          </w:p>
          <w:p w14:paraId="1CEF1F27">
            <w:pPr>
              <w:spacing w:line="360" w:lineRule="auto"/>
              <w:rPr>
                <w:rFonts w:ascii="宋体" w:hAnsi="宋体" w:cs="宋体"/>
              </w:rPr>
            </w:pPr>
            <w:r>
              <w:rPr>
                <w:rFonts w:hint="eastAsia" w:ascii="宋体" w:hAnsi="宋体" w:cs="宋体"/>
              </w:rPr>
              <w:t>③含有致病性寄生虫、微生物或者微生物含量超过国家限定标准的；</w:t>
            </w:r>
          </w:p>
          <w:p w14:paraId="51ECF41B">
            <w:pPr>
              <w:spacing w:line="360" w:lineRule="auto"/>
              <w:rPr>
                <w:rFonts w:ascii="宋体" w:hAnsi="宋体" w:cs="宋体"/>
              </w:rPr>
            </w:pPr>
            <w:r>
              <w:rPr>
                <w:rFonts w:hint="eastAsia" w:ascii="宋体" w:hAnsi="宋体" w:cs="宋体"/>
              </w:rPr>
              <w:t>④掺假、掺杂、伪造，影响营养、卫生的；</w:t>
            </w:r>
          </w:p>
          <w:p w14:paraId="0C47F6A2">
            <w:pPr>
              <w:spacing w:line="360" w:lineRule="auto"/>
              <w:rPr>
                <w:rFonts w:ascii="宋体" w:hAnsi="宋体" w:cs="宋体"/>
              </w:rPr>
            </w:pPr>
            <w:r>
              <w:rPr>
                <w:rFonts w:hint="eastAsia" w:ascii="宋体" w:hAnsi="宋体" w:cs="宋体"/>
              </w:rPr>
              <w:t>⑤用非食品原料加工的，加入非食品用化学物质或者将非食品当作食品的；</w:t>
            </w:r>
          </w:p>
          <w:p w14:paraId="13A1F138">
            <w:pPr>
              <w:spacing w:line="360" w:lineRule="auto"/>
              <w:rPr>
                <w:rFonts w:ascii="宋体" w:hAnsi="宋体" w:cs="宋体"/>
              </w:rPr>
            </w:pPr>
            <w:r>
              <w:rPr>
                <w:rFonts w:hint="eastAsia" w:ascii="宋体" w:hAnsi="宋体" w:cs="宋体"/>
              </w:rPr>
              <w:t>⑥超过保质期限的。</w:t>
            </w:r>
          </w:p>
          <w:p w14:paraId="7CC7EECD">
            <w:pPr>
              <w:spacing w:line="360" w:lineRule="auto"/>
              <w:rPr>
                <w:rFonts w:ascii="宋体" w:hAnsi="宋体" w:cs="宋体"/>
              </w:rPr>
            </w:pPr>
            <w:r>
              <w:rPr>
                <w:rFonts w:hint="eastAsia" w:ascii="宋体" w:hAnsi="宋体" w:cs="宋体"/>
              </w:rPr>
              <w:t>⑦病死、毒死或者死因不明的禽、畜、兽动物等及其制品；</w:t>
            </w:r>
          </w:p>
          <w:p w14:paraId="4290311E">
            <w:pPr>
              <w:spacing w:line="360" w:lineRule="auto"/>
            </w:pPr>
            <w:r>
              <w:rPr>
                <w:rFonts w:hint="eastAsia" w:ascii="宋体" w:hAnsi="宋体" w:cs="宋体"/>
              </w:rPr>
              <w:t>⑧</w:t>
            </w:r>
            <w:r>
              <w:rPr>
                <w:rFonts w:hint="eastAsia"/>
              </w:rPr>
              <w:t>食材没有合法供货来源的；</w:t>
            </w:r>
          </w:p>
          <w:p w14:paraId="3211DCF7">
            <w:pPr>
              <w:spacing w:line="360" w:lineRule="auto"/>
              <w:rPr>
                <w:rFonts w:ascii="宋体" w:hAnsi="宋体" w:cs="宋体"/>
              </w:rPr>
            </w:pPr>
            <w:r>
              <w:rPr>
                <w:rFonts w:hint="eastAsia" w:ascii="宋体" w:hAnsi="宋体" w:cs="宋体"/>
                <w:szCs w:val="21"/>
              </w:rPr>
              <w:t>⑨</w:t>
            </w:r>
            <w:r>
              <w:rPr>
                <w:rFonts w:hint="eastAsia" w:ascii="宋体" w:hAnsi="宋体"/>
                <w:szCs w:val="21"/>
              </w:rPr>
              <w:t>未经检疫部门检疫、检验或者检疫、检验不合格的；</w:t>
            </w:r>
          </w:p>
          <w:p w14:paraId="21E6961F">
            <w:pPr>
              <w:spacing w:line="360" w:lineRule="auto"/>
              <w:rPr>
                <w:rFonts w:ascii="宋体" w:hAnsi="宋体" w:cs="宋体"/>
              </w:rPr>
            </w:pPr>
            <w:r>
              <w:rPr>
                <w:rFonts w:hint="eastAsia" w:ascii="宋体" w:hAnsi="宋体" w:cs="宋体"/>
              </w:rPr>
              <w:t>⑩其他不符合食品卫生标准的情形。</w:t>
            </w:r>
          </w:p>
          <w:p w14:paraId="71A276E1">
            <w:pPr>
              <w:spacing w:line="360" w:lineRule="auto"/>
              <w:rPr>
                <w:rFonts w:ascii="宋体" w:hAnsi="宋体" w:cs="宋体"/>
              </w:rPr>
            </w:pPr>
            <w:r>
              <w:rPr>
                <w:rFonts w:hint="eastAsia" w:ascii="宋体" w:hAnsi="宋体" w:cs="宋体"/>
              </w:rPr>
              <w:t>3.服务期限内，如有以下情形之一的，终止其配送资格。</w:t>
            </w:r>
          </w:p>
          <w:p w14:paraId="6159233A">
            <w:pPr>
              <w:spacing w:line="360" w:lineRule="auto"/>
              <w:rPr>
                <w:rFonts w:ascii="宋体" w:hAnsi="宋体" w:cs="宋体"/>
              </w:rPr>
            </w:pPr>
            <w:r>
              <w:rPr>
                <w:rFonts w:hint="eastAsia" w:ascii="宋体" w:hAnsi="宋体" w:cs="宋体"/>
              </w:rPr>
              <w:t>①严重违法违规，被食品安全监管部门或其他部门处罚的；</w:t>
            </w:r>
          </w:p>
          <w:p w14:paraId="0932DC82">
            <w:pPr>
              <w:spacing w:line="360" w:lineRule="auto"/>
              <w:rPr>
                <w:rFonts w:ascii="宋体" w:hAnsi="宋体" w:cs="宋体"/>
              </w:rPr>
            </w:pPr>
            <w:r>
              <w:rPr>
                <w:rFonts w:hint="eastAsia" w:ascii="宋体" w:hAnsi="宋体" w:cs="宋体"/>
              </w:rPr>
              <w:t>②虚开发票，套取资金，被监察、审计、财政、物价等有关部门查实的；</w:t>
            </w:r>
          </w:p>
          <w:p w14:paraId="30F4312A">
            <w:pPr>
              <w:spacing w:line="360" w:lineRule="auto"/>
              <w:rPr>
                <w:rFonts w:ascii="宋体" w:hAnsi="宋体" w:cs="宋体"/>
              </w:rPr>
            </w:pPr>
            <w:r>
              <w:rPr>
                <w:rFonts w:hint="eastAsia" w:ascii="宋体" w:hAnsi="宋体" w:cs="宋体"/>
              </w:rPr>
              <w:t>③因食品原材料问题而发生食品安全事故，造成不良后果的；</w:t>
            </w:r>
          </w:p>
          <w:p w14:paraId="7D8FD205">
            <w:pPr>
              <w:spacing w:line="360" w:lineRule="auto"/>
              <w:rPr>
                <w:rFonts w:ascii="宋体" w:hAnsi="宋体" w:cs="宋体"/>
              </w:rPr>
            </w:pPr>
            <w:r>
              <w:rPr>
                <w:rFonts w:hint="eastAsia" w:ascii="宋体" w:hAnsi="宋体" w:cs="宋体"/>
              </w:rPr>
              <w:t>④被</w:t>
            </w:r>
            <w:r>
              <w:rPr>
                <w:rFonts w:hint="eastAsia" w:ascii="宋体" w:hAnsi="宋体"/>
                <w:szCs w:val="21"/>
              </w:rPr>
              <w:t>市场监督管理局</w:t>
            </w:r>
            <w:r>
              <w:rPr>
                <w:rFonts w:hint="eastAsia" w:ascii="宋体" w:hAnsi="宋体" w:cs="宋体"/>
              </w:rPr>
              <w:t>、农业农村局抽检食品原材料发现存在严重质量问题的；</w:t>
            </w:r>
          </w:p>
          <w:p w14:paraId="47C07764">
            <w:pPr>
              <w:spacing w:line="360" w:lineRule="auto"/>
              <w:rPr>
                <w:rFonts w:ascii="宋体" w:hAnsi="宋体" w:cs="宋体"/>
              </w:rPr>
            </w:pPr>
            <w:r>
              <w:rPr>
                <w:rFonts w:hint="eastAsia" w:ascii="宋体" w:hAnsi="宋体" w:cs="宋体"/>
              </w:rPr>
              <w:t>⑤被媒体曝光，造成不良影响的；</w:t>
            </w:r>
          </w:p>
          <w:p w14:paraId="5FCE2547">
            <w:pPr>
              <w:spacing w:line="360" w:lineRule="auto"/>
              <w:rPr>
                <w:rFonts w:ascii="宋体" w:hAnsi="宋体" w:cs="宋体"/>
              </w:rPr>
            </w:pPr>
            <w:r>
              <w:rPr>
                <w:rFonts w:hint="eastAsia" w:ascii="宋体" w:hAnsi="宋体" w:cs="宋体"/>
              </w:rPr>
              <w:t>⑥经查实，存在严重短斤缺两行为；</w:t>
            </w:r>
          </w:p>
          <w:p w14:paraId="397A1C54">
            <w:pPr>
              <w:widowControl/>
              <w:shd w:val="clear" w:color="auto" w:fill="FFFFFF"/>
              <w:spacing w:line="312" w:lineRule="auto"/>
              <w:jc w:val="left"/>
              <w:rPr>
                <w:rFonts w:ascii="宋体" w:hAnsi="宋体"/>
                <w:szCs w:val="21"/>
              </w:rPr>
            </w:pPr>
            <w:r>
              <w:rPr>
                <w:rFonts w:hint="eastAsia" w:ascii="宋体" w:hAnsi="宋体" w:cs="宋体"/>
              </w:rPr>
              <w:t>⑦</w:t>
            </w:r>
            <w:r>
              <w:rPr>
                <w:rFonts w:hint="eastAsia" w:ascii="宋体" w:hAnsi="宋体"/>
                <w:szCs w:val="21"/>
              </w:rPr>
              <w:t>被吊销或注销食品生产许可证或者食品经营许可证的；</w:t>
            </w:r>
          </w:p>
          <w:p w14:paraId="7A9E73FE">
            <w:pPr>
              <w:spacing w:line="360" w:lineRule="auto"/>
              <w:rPr>
                <w:rFonts w:ascii="宋体" w:hAnsi="宋体"/>
                <w:szCs w:val="21"/>
              </w:rPr>
            </w:pPr>
            <w:r>
              <w:rPr>
                <w:rFonts w:hint="eastAsia" w:ascii="宋体" w:hAnsi="宋体" w:cs="宋体"/>
              </w:rPr>
              <w:t>⑧</w:t>
            </w:r>
            <w:r>
              <w:rPr>
                <w:rFonts w:hint="eastAsia" w:ascii="宋体" w:hAnsi="宋体"/>
                <w:szCs w:val="21"/>
              </w:rPr>
              <w:t>违反食堂食品原材料采购配送规定，上级主管部门认定应退出的；</w:t>
            </w:r>
          </w:p>
          <w:p w14:paraId="0CDA7AF4">
            <w:pPr>
              <w:numPr>
                <w:ilvl w:val="255"/>
                <w:numId w:val="0"/>
              </w:numPr>
              <w:spacing w:line="360" w:lineRule="auto"/>
              <w:jc w:val="left"/>
              <w:rPr>
                <w:rFonts w:ascii="宋体" w:hAnsi="宋体"/>
                <w:szCs w:val="21"/>
              </w:rPr>
            </w:pPr>
            <w:r>
              <w:rPr>
                <w:rFonts w:hint="eastAsia" w:ascii="宋体" w:hAnsi="宋体" w:cs="宋体"/>
                <w:szCs w:val="21"/>
              </w:rPr>
              <w:t>⑨</w:t>
            </w:r>
            <w:r>
              <w:rPr>
                <w:rFonts w:hint="eastAsia" w:ascii="宋体" w:hAnsi="宋体"/>
                <w:szCs w:val="21"/>
              </w:rPr>
              <w:t>存在转包发包行为的。</w:t>
            </w:r>
          </w:p>
          <w:p w14:paraId="076ABFF5">
            <w:pPr>
              <w:numPr>
                <w:ilvl w:val="255"/>
                <w:numId w:val="0"/>
              </w:numPr>
              <w:spacing w:line="360" w:lineRule="auto"/>
              <w:jc w:val="left"/>
              <w:rPr>
                <w:rFonts w:ascii="宋体" w:hAnsi="宋体" w:cs="宋体"/>
                <w:b/>
                <w:bCs/>
              </w:rPr>
            </w:pPr>
            <w:r>
              <w:rPr>
                <w:rFonts w:hint="eastAsia" w:ascii="宋体" w:hAnsi="宋体" w:cs="宋体"/>
                <w:b/>
                <w:bCs/>
              </w:rPr>
              <w:t>十、报价要求</w:t>
            </w:r>
          </w:p>
          <w:p w14:paraId="57028DF3">
            <w:pPr>
              <w:spacing w:line="360" w:lineRule="auto"/>
              <w:rPr>
                <w:rFonts w:ascii="宋体" w:hAnsi="宋体" w:cs="宋体"/>
                <w:szCs w:val="21"/>
              </w:rPr>
            </w:pPr>
            <w:r>
              <w:rPr>
                <w:rFonts w:hint="eastAsia" w:ascii="宋体" w:hAnsi="宋体" w:cs="宋体"/>
              </w:rPr>
              <w:t>1.</w:t>
            </w:r>
            <w:r>
              <w:rPr>
                <w:rFonts w:hint="eastAsia" w:ascii="宋体" w:hAnsi="宋体" w:cs="宋体"/>
                <w:szCs w:val="21"/>
              </w:rPr>
              <w:t xml:space="preserve"> 超出有效报价范围的视为投标无效；投标报价按综合折扣系数报价（保留小数点后2位），投标报价有效报价范围为：折扣系数≤100%，投标人的投标单价为供应基准单价×投标报价折扣系数。</w:t>
            </w:r>
          </w:p>
          <w:p w14:paraId="24D83AD7">
            <w:pPr>
              <w:spacing w:line="360" w:lineRule="auto"/>
              <w:rPr>
                <w:rFonts w:ascii="宋体" w:hAnsi="宋体" w:cs="宋体"/>
                <w:b/>
                <w:bCs/>
              </w:rPr>
            </w:pPr>
            <w:r>
              <w:rPr>
                <w:rFonts w:hint="eastAsia" w:ascii="宋体" w:hAnsi="宋体" w:cs="宋体"/>
              </w:rPr>
              <w:t>2.投标报价结合市场价格、成本及自身条件、市场风险考虑报出综合的折扣系数。</w:t>
            </w:r>
            <w:r>
              <w:rPr>
                <w:rFonts w:hint="eastAsia" w:ascii="宋体" w:hAnsi="宋体" w:cs="宋体"/>
                <w:b/>
                <w:bCs/>
              </w:rPr>
              <w:t>投标人一旦中标，中标折扣系数在合同服务期内不得改变。</w:t>
            </w:r>
          </w:p>
          <w:p w14:paraId="36F8C720">
            <w:pPr>
              <w:spacing w:line="360" w:lineRule="auto"/>
              <w:rPr>
                <w:rFonts w:ascii="宋体" w:hAnsi="宋体" w:cs="宋体"/>
              </w:rPr>
            </w:pPr>
            <w:r>
              <w:rPr>
                <w:rFonts w:hint="eastAsia" w:ascii="宋体" w:hAnsi="宋体" w:cs="宋体"/>
              </w:rPr>
              <w:t>3.报价必须含以下部分，包括：</w:t>
            </w:r>
          </w:p>
          <w:p w14:paraId="059408F6">
            <w:pPr>
              <w:spacing w:line="360" w:lineRule="auto"/>
              <w:rPr>
                <w:rFonts w:ascii="宋体" w:hAnsi="宋体" w:cs="宋体"/>
              </w:rPr>
            </w:pPr>
            <w:r>
              <w:rPr>
                <w:rFonts w:hint="eastAsia" w:ascii="宋体" w:hAnsi="宋体" w:cs="宋体"/>
              </w:rPr>
              <w:t>①货物、服务的价格；</w:t>
            </w:r>
          </w:p>
          <w:p w14:paraId="0072A691">
            <w:pPr>
              <w:spacing w:line="360" w:lineRule="auto"/>
              <w:rPr>
                <w:rFonts w:ascii="宋体" w:hAnsi="宋体" w:cs="宋体"/>
              </w:rPr>
            </w:pPr>
            <w:r>
              <w:rPr>
                <w:rFonts w:hint="eastAsia" w:ascii="宋体" w:hAnsi="宋体" w:cs="宋体"/>
              </w:rPr>
              <w:t>②必要的保险费用和各项税金；</w:t>
            </w:r>
          </w:p>
          <w:p w14:paraId="51C089D6">
            <w:pPr>
              <w:spacing w:line="360" w:lineRule="auto"/>
              <w:rPr>
                <w:rFonts w:ascii="宋体" w:hAnsi="宋体" w:cs="宋体"/>
              </w:rPr>
            </w:pPr>
            <w:r>
              <w:rPr>
                <w:rFonts w:hint="eastAsia" w:ascii="宋体" w:hAnsi="宋体" w:cs="宋体"/>
              </w:rPr>
              <w:t>③</w:t>
            </w:r>
            <w:r>
              <w:rPr>
                <w:rFonts w:hint="eastAsia" w:ascii="宋体" w:hAnsi="宋体"/>
                <w:szCs w:val="21"/>
              </w:rPr>
              <w:t>检验检测、</w:t>
            </w:r>
            <w:r>
              <w:rPr>
                <w:rFonts w:hint="eastAsia" w:ascii="宋体" w:hAnsi="宋体" w:cs="宋体"/>
              </w:rPr>
              <w:t>包装费、运输、搬运装卸、配件加工、</w:t>
            </w:r>
            <w:r>
              <w:rPr>
                <w:rFonts w:hint="eastAsia" w:ascii="宋体" w:hAnsi="宋体"/>
                <w:szCs w:val="21"/>
              </w:rPr>
              <w:t>仓储、人工费及配送费、</w:t>
            </w:r>
            <w:r>
              <w:rPr>
                <w:rFonts w:hint="eastAsia" w:ascii="宋体" w:hAnsi="宋体" w:cs="宋体"/>
              </w:rPr>
              <w:t>售后服务等费用；</w:t>
            </w:r>
          </w:p>
          <w:p w14:paraId="5CE6B236">
            <w:pPr>
              <w:spacing w:line="360" w:lineRule="auto"/>
              <w:rPr>
                <w:rFonts w:ascii="宋体" w:hAnsi="宋体" w:cs="宋体"/>
              </w:rPr>
            </w:pPr>
            <w:r>
              <w:rPr>
                <w:rFonts w:hint="eastAsia" w:ascii="宋体" w:hAnsi="宋体" w:cs="宋体"/>
              </w:rPr>
              <w:t>④招标文件所要求的相关服务以及合同所示全部责任、义务和一般风险等全过程产生的所有成本和费用以及税费与投标人认为应包含在本项目中的一切费用等有关费用。</w:t>
            </w:r>
          </w:p>
          <w:p w14:paraId="6F9D5303">
            <w:pPr>
              <w:spacing w:line="360" w:lineRule="auto"/>
              <w:rPr>
                <w:rFonts w:ascii="宋体" w:hAnsi="宋体" w:cs="宋体"/>
              </w:rPr>
            </w:pPr>
            <w:r>
              <w:rPr>
                <w:rFonts w:hint="eastAsia" w:ascii="宋体" w:hAnsi="宋体" w:cs="宋体"/>
              </w:rPr>
              <w:t>4.采购人经市场多方面询价发现</w:t>
            </w:r>
            <w:bookmarkStart w:id="179" w:name="OLE_LINK22"/>
            <w:r>
              <w:rPr>
                <w:rFonts w:hint="eastAsia" w:ascii="宋体" w:hAnsi="宋体" w:cs="宋体"/>
              </w:rPr>
              <w:t>中标人</w:t>
            </w:r>
            <w:bookmarkEnd w:id="179"/>
            <w:r>
              <w:rPr>
                <w:rFonts w:hint="eastAsia" w:ascii="宋体" w:hAnsi="宋体" w:cs="宋体"/>
              </w:rPr>
              <w:t>在合同服务期内所提供的商品价格普遍比市场询价高的、提供假冒伪劣、质量缺陷、非正品的产品，采购人向中标人发出累计二次书面问责书后合同自动解除。</w:t>
            </w:r>
          </w:p>
          <w:p w14:paraId="1B87994D">
            <w:pPr>
              <w:numPr>
                <w:ilvl w:val="255"/>
                <w:numId w:val="0"/>
              </w:numPr>
              <w:spacing w:line="360" w:lineRule="auto"/>
              <w:jc w:val="left"/>
              <w:rPr>
                <w:rFonts w:ascii="宋体" w:hAnsi="宋体" w:cs="宋体"/>
                <w:b/>
                <w:bCs/>
              </w:rPr>
            </w:pPr>
            <w:r>
              <w:rPr>
                <w:rFonts w:hint="eastAsia" w:ascii="宋体" w:hAnsi="宋体" w:cs="宋体"/>
                <w:b/>
                <w:bCs/>
              </w:rPr>
              <w:t>十一、付款方式：</w:t>
            </w:r>
          </w:p>
          <w:p w14:paraId="584E7CA7">
            <w:pPr>
              <w:spacing w:line="360" w:lineRule="auto"/>
              <w:rPr>
                <w:szCs w:val="21"/>
              </w:rPr>
            </w:pPr>
            <w:r>
              <w:rPr>
                <w:rFonts w:hint="eastAsia" w:ascii="宋体" w:hAnsi="宋体" w:cs="宋体"/>
              </w:rPr>
              <w:t>中标人</w:t>
            </w:r>
            <w:r>
              <w:rPr>
                <w:rFonts w:hint="eastAsia" w:ascii="宋体" w:hAnsi="宋体" w:cs="宋体"/>
                <w:szCs w:val="21"/>
              </w:rPr>
              <w:t>每月26日与甲方核对本月的采购数量（结算周期：上月26日至本月25日为一个结算周期），每月27日提供当月供应食材的等额发票及供货单据结算货款，每月结算一次。采购人收到发票及相关票据后，以银行转账方式向</w:t>
            </w:r>
            <w:r>
              <w:rPr>
                <w:rFonts w:hint="eastAsia" w:ascii="宋体" w:hAnsi="宋体" w:cs="宋体"/>
              </w:rPr>
              <w:t>中标人</w:t>
            </w:r>
            <w:r>
              <w:rPr>
                <w:rFonts w:hint="eastAsia" w:ascii="宋体" w:hAnsi="宋体" w:cs="宋体"/>
                <w:szCs w:val="21"/>
              </w:rPr>
              <w:t>支付货款。</w:t>
            </w:r>
            <w:r>
              <w:rPr>
                <w:rFonts w:hint="eastAsia" w:ascii="宋体" w:hAnsi="宋体" w:cs="宋体"/>
              </w:rPr>
              <w:t>中标人</w:t>
            </w:r>
            <w:r>
              <w:rPr>
                <w:rFonts w:hint="eastAsia" w:ascii="宋体" w:hAnsi="宋体" w:cs="宋体"/>
                <w:szCs w:val="21"/>
              </w:rPr>
              <w:t>须按时足额提供发票及相关票据，否则采购人有权拒绝付款而不构成违约。</w:t>
            </w:r>
            <w:r>
              <w:rPr>
                <w:rFonts w:hint="eastAsia" w:ascii="宋体" w:hAnsi="宋体" w:cs="宋体"/>
              </w:rPr>
              <w:t>中标人</w:t>
            </w:r>
            <w:r>
              <w:rPr>
                <w:rFonts w:hint="eastAsia" w:ascii="宋体" w:hAnsi="宋体" w:cs="宋体"/>
                <w:szCs w:val="21"/>
              </w:rPr>
              <w:t>开具的发票必须真实、合法、有效，如</w:t>
            </w:r>
            <w:r>
              <w:rPr>
                <w:rFonts w:hint="eastAsia" w:ascii="宋体" w:hAnsi="宋体" w:cs="宋体"/>
              </w:rPr>
              <w:t>中标人</w:t>
            </w:r>
            <w:r>
              <w:rPr>
                <w:rFonts w:hint="eastAsia" w:ascii="宋体" w:hAnsi="宋体" w:cs="宋体"/>
                <w:szCs w:val="21"/>
              </w:rPr>
              <w:t>提供虚假发票，由此引发的一切责任由</w:t>
            </w:r>
            <w:r>
              <w:rPr>
                <w:rFonts w:hint="eastAsia" w:ascii="宋体" w:hAnsi="宋体" w:cs="宋体"/>
              </w:rPr>
              <w:t>中标人</w:t>
            </w:r>
            <w:r>
              <w:rPr>
                <w:rFonts w:hint="eastAsia" w:ascii="宋体" w:hAnsi="宋体" w:cs="宋体"/>
                <w:szCs w:val="21"/>
              </w:rPr>
              <w:t>负责。</w:t>
            </w:r>
          </w:p>
          <w:p w14:paraId="7C4FBEA9">
            <w:pPr>
              <w:numPr>
                <w:ilvl w:val="255"/>
                <w:numId w:val="0"/>
              </w:numPr>
              <w:spacing w:line="360" w:lineRule="auto"/>
              <w:rPr>
                <w:szCs w:val="21"/>
              </w:rPr>
            </w:pPr>
            <w:r>
              <w:rPr>
                <w:rFonts w:hint="eastAsia" w:ascii="宋体" w:hAnsi="宋体" w:cs="宋体"/>
              </w:rPr>
              <w:t>十二、采购人对中标人实施考核管理制度，详见附件二《广西监狱罪犯生活物资供货商考核管理办法》。投标人在投标文件中出具承诺函：承诺如中标即服从“广西监狱罪犯生活物资供货商考核管理办法”；承诺函格式自拟。</w:t>
            </w:r>
          </w:p>
        </w:tc>
      </w:tr>
      <w:tr w14:paraId="243329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44" w:hRule="atLeast"/>
          <w:jc w:val="center"/>
        </w:trPr>
        <w:tc>
          <w:tcPr>
            <w:tcW w:w="479" w:type="dxa"/>
            <w:tcBorders>
              <w:top w:val="single" w:color="auto" w:sz="4" w:space="0"/>
              <w:left w:val="single" w:color="auto" w:sz="4" w:space="0"/>
              <w:bottom w:val="single" w:color="auto" w:sz="4" w:space="0"/>
              <w:right w:val="single" w:color="auto" w:sz="4" w:space="0"/>
            </w:tcBorders>
            <w:vAlign w:val="center"/>
          </w:tcPr>
          <w:p w14:paraId="4E51AE37">
            <w:pPr>
              <w:jc w:val="center"/>
              <w:rPr>
                <w:rFonts w:ascii="宋体" w:hAnsi="宋体"/>
                <w:szCs w:val="21"/>
              </w:rPr>
            </w:pPr>
            <w:r>
              <w:rPr>
                <w:rFonts w:hint="eastAsia" w:ascii="宋体" w:hAnsi="宋体"/>
                <w:szCs w:val="21"/>
              </w:rPr>
              <w:t>其他说明</w:t>
            </w:r>
          </w:p>
        </w:tc>
        <w:tc>
          <w:tcPr>
            <w:tcW w:w="9807" w:type="dxa"/>
            <w:gridSpan w:val="7"/>
            <w:tcBorders>
              <w:top w:val="single" w:color="auto" w:sz="4" w:space="0"/>
              <w:left w:val="single" w:color="auto" w:sz="4" w:space="0"/>
              <w:bottom w:val="single" w:color="auto" w:sz="4" w:space="0"/>
              <w:right w:val="single" w:color="auto" w:sz="4" w:space="0"/>
            </w:tcBorders>
          </w:tcPr>
          <w:p w14:paraId="1D11D209">
            <w:pPr>
              <w:widowControl/>
              <w:shd w:val="clear" w:color="auto" w:fill="FFFFFF"/>
              <w:spacing w:line="480" w:lineRule="exact"/>
              <w:rPr>
                <w:rFonts w:ascii="宋体" w:hAnsi="宋体"/>
                <w:szCs w:val="21"/>
              </w:rPr>
            </w:pPr>
            <w:r>
              <w:rPr>
                <w:rFonts w:hint="eastAsia" w:ascii="宋体" w:hAnsi="宋体"/>
                <w:szCs w:val="21"/>
              </w:rPr>
              <w:t>一、进口产品说明（根据项目实际情况选择）</w:t>
            </w:r>
          </w:p>
          <w:p w14:paraId="06CB235D">
            <w:pPr>
              <w:tabs>
                <w:tab w:val="left" w:pos="180"/>
                <w:tab w:val="left" w:pos="1620"/>
              </w:tabs>
              <w:spacing w:line="480" w:lineRule="exact"/>
              <w:ind w:firstLine="413" w:firstLineChars="197"/>
              <w:rPr>
                <w:rFonts w:ascii="宋体" w:hAnsi="宋体"/>
                <w:szCs w:val="21"/>
              </w:rPr>
            </w:pPr>
            <w:r>
              <w:rPr>
                <w:rFonts w:hint="eastAsia" w:ascii="宋体" w:hAnsi="宋体"/>
                <w:szCs w:val="21"/>
              </w:rPr>
              <w:t>本分标货物所涉及的货物不接受进口产品（即通过中国海关报关验放进入中国境内且产自关境外的产品）参与投标，</w:t>
            </w:r>
            <w:r>
              <w:rPr>
                <w:rFonts w:hint="eastAsia" w:ascii="宋体" w:hAnsi="宋体"/>
                <w:b/>
                <w:szCs w:val="21"/>
              </w:rPr>
              <w:t>如有进口产品参与投标的作无效标处理</w:t>
            </w:r>
            <w:r>
              <w:rPr>
                <w:rFonts w:hint="eastAsia" w:ascii="宋体" w:hAnsi="宋体"/>
                <w:szCs w:val="21"/>
              </w:rPr>
              <w:t>。</w:t>
            </w:r>
          </w:p>
          <w:p w14:paraId="433C1723">
            <w:pPr>
              <w:widowControl/>
              <w:shd w:val="clear" w:color="auto" w:fill="FFFFFF"/>
              <w:spacing w:line="480" w:lineRule="exact"/>
            </w:pPr>
            <w:r>
              <w:rPr>
                <w:rFonts w:hint="eastAsia" w:ascii="宋体" w:hAnsi="宋体"/>
                <w:szCs w:val="21"/>
              </w:rPr>
              <w:t>二、</w:t>
            </w:r>
            <w:r>
              <w:rPr>
                <w:rFonts w:hint="eastAsia" w:ascii="宋体" w:hAnsi="宋体" w:cs="宋体"/>
                <w:szCs w:val="21"/>
              </w:rPr>
              <w:t>偏离条款说明</w:t>
            </w:r>
          </w:p>
          <w:p w14:paraId="397B3263">
            <w:pPr>
              <w:widowControl/>
              <w:shd w:val="clear" w:color="auto" w:fill="FFFFFF"/>
              <w:spacing w:line="480" w:lineRule="exact"/>
              <w:ind w:firstLine="422" w:firstLineChars="200"/>
            </w:pPr>
            <w:r>
              <w:rPr>
                <w:rFonts w:hint="eastAsia" w:ascii="宋体" w:hAnsi="宋体" w:cs="宋体"/>
                <w:b/>
                <w:szCs w:val="21"/>
              </w:rPr>
              <w:t>带“▲”系指实质性要求条款，投标产品必须满足，否则投标无效；单个项号的货物（产品）允许偏离的非“▲”技术指标或要求发生负偏离的项数达</w:t>
            </w:r>
            <w:r>
              <w:rPr>
                <w:rFonts w:hint="eastAsia" w:ascii="宋体" w:hAnsi="宋体" w:cs="宋体"/>
                <w:b/>
                <w:szCs w:val="21"/>
                <w:u w:val="single"/>
              </w:rPr>
              <w:t>1项（含1项）</w:t>
            </w:r>
            <w:r>
              <w:rPr>
                <w:rFonts w:hint="eastAsia" w:ascii="宋体" w:hAnsi="宋体" w:cs="宋体"/>
                <w:b/>
                <w:szCs w:val="21"/>
              </w:rPr>
              <w:t>以上的，按投标文件作无效处理</w:t>
            </w:r>
            <w:r>
              <w:rPr>
                <w:rFonts w:hint="eastAsia" w:ascii="宋体" w:hAnsi="宋体" w:cs="宋体"/>
                <w:bCs/>
                <w:szCs w:val="21"/>
              </w:rPr>
              <w:t>。</w:t>
            </w:r>
          </w:p>
        </w:tc>
      </w:tr>
    </w:tbl>
    <w:p w14:paraId="5A15D092">
      <w:pPr>
        <w:spacing w:line="360" w:lineRule="auto"/>
        <w:ind w:firstLine="308" w:firstLineChars="147"/>
        <w:jc w:val="left"/>
        <w:rPr>
          <w:rFonts w:ascii="宋体" w:hAnsi="宋体" w:cs="Arial"/>
          <w:bCs/>
          <w:u w:val="single"/>
        </w:rPr>
      </w:pPr>
    </w:p>
    <w:p w14:paraId="10AA4C87">
      <w:pPr>
        <w:widowControl/>
        <w:spacing w:line="440" w:lineRule="exact"/>
        <w:jc w:val="left"/>
        <w:outlineLvl w:val="1"/>
        <w:rPr>
          <w:rFonts w:ascii="宋体" w:hAnsi="宋体" w:cs="Arial"/>
          <w:bCs/>
          <w:u w:val="single"/>
        </w:rPr>
      </w:pPr>
      <w:r>
        <w:rPr>
          <w:rFonts w:ascii="宋体" w:hAnsi="宋体"/>
          <w:b/>
          <w:szCs w:val="21"/>
          <w:u w:val="single"/>
        </w:rPr>
        <w:br w:type="page"/>
      </w:r>
      <w:bookmarkStart w:id="180" w:name="_Toc12415"/>
      <w:bookmarkStart w:id="181" w:name="_Toc2282"/>
      <w:bookmarkStart w:id="182" w:name="_Toc6787"/>
      <w:r>
        <w:rPr>
          <w:rFonts w:hint="eastAsia" w:ascii="宋体" w:hAnsi="宋体"/>
          <w:b/>
          <w:szCs w:val="21"/>
          <w:u w:val="single"/>
        </w:rPr>
        <w:t>G</w:t>
      </w:r>
      <w:r>
        <w:rPr>
          <w:rFonts w:hint="eastAsia" w:ascii="宋体" w:hAnsi="宋体"/>
          <w:b/>
          <w:szCs w:val="21"/>
        </w:rPr>
        <w:t>分标：调味品类     预算金额（元）：</w:t>
      </w:r>
      <w:bookmarkStart w:id="183" w:name="OLE_LINK70"/>
      <w:r>
        <w:rPr>
          <w:rFonts w:hint="eastAsia" w:ascii="宋体" w:hAnsi="宋体"/>
          <w:b/>
          <w:szCs w:val="21"/>
          <w:u w:val="single"/>
        </w:rPr>
        <w:t xml:space="preserve">348405.00 </w:t>
      </w:r>
      <w:bookmarkEnd w:id="183"/>
      <w:r>
        <w:rPr>
          <w:rFonts w:hint="eastAsia" w:ascii="宋体" w:hAnsi="宋体"/>
          <w:b/>
          <w:szCs w:val="21"/>
          <w:u w:val="single"/>
        </w:rPr>
        <w:t xml:space="preserve">  </w:t>
      </w:r>
      <w:r>
        <w:rPr>
          <w:rFonts w:hint="eastAsia" w:ascii="宋体" w:hAnsi="宋体"/>
          <w:b/>
          <w:szCs w:val="21"/>
        </w:rPr>
        <w:t xml:space="preserve">      最高限价（元）</w:t>
      </w:r>
      <w:r>
        <w:rPr>
          <w:rFonts w:hint="eastAsia" w:ascii="宋体" w:hAnsi="宋体"/>
          <w:szCs w:val="21"/>
        </w:rPr>
        <w:t>：</w:t>
      </w:r>
      <w:bookmarkEnd w:id="180"/>
      <w:bookmarkEnd w:id="181"/>
      <w:r>
        <w:rPr>
          <w:rFonts w:hint="eastAsia" w:ascii="宋体" w:hAnsi="宋体"/>
          <w:b/>
          <w:szCs w:val="21"/>
          <w:u w:val="single"/>
        </w:rPr>
        <w:t>332538.00</w:t>
      </w:r>
      <w:bookmarkEnd w:id="182"/>
      <w:r>
        <w:rPr>
          <w:rFonts w:hint="eastAsia" w:ascii="宋体" w:hAnsi="宋体"/>
          <w:szCs w:val="21"/>
        </w:rPr>
        <w:t xml:space="preserve">   </w:t>
      </w:r>
    </w:p>
    <w:tbl>
      <w:tblPr>
        <w:tblStyle w:val="37"/>
        <w:tblW w:w="10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9"/>
        <w:gridCol w:w="516"/>
        <w:gridCol w:w="1131"/>
        <w:gridCol w:w="666"/>
        <w:gridCol w:w="1057"/>
        <w:gridCol w:w="1072"/>
        <w:gridCol w:w="4231"/>
        <w:gridCol w:w="1134"/>
      </w:tblGrid>
      <w:tr w14:paraId="378FC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286" w:type="dxa"/>
            <w:gridSpan w:val="8"/>
            <w:tcBorders>
              <w:top w:val="single" w:color="auto" w:sz="4" w:space="0"/>
              <w:left w:val="single" w:color="auto" w:sz="4" w:space="0"/>
              <w:right w:val="single" w:color="auto" w:sz="4" w:space="0"/>
            </w:tcBorders>
          </w:tcPr>
          <w:p w14:paraId="51FE45B9">
            <w:pPr>
              <w:spacing w:line="320" w:lineRule="exact"/>
              <w:jc w:val="center"/>
              <w:rPr>
                <w:rFonts w:ascii="仿宋_GB2312" w:hAnsi="宋体" w:eastAsia="仿宋_GB2312" w:cs="Arial"/>
                <w:b/>
                <w:sz w:val="32"/>
                <w:szCs w:val="32"/>
              </w:rPr>
            </w:pPr>
            <w:r>
              <w:rPr>
                <w:rFonts w:hint="eastAsia" w:ascii="仿宋_GB2312" w:hAnsi="宋体" w:eastAsia="仿宋_GB2312" w:cs="Arial"/>
                <w:b/>
                <w:sz w:val="28"/>
                <w:szCs w:val="28"/>
              </w:rPr>
              <w:t>货物需求一览表</w:t>
            </w:r>
          </w:p>
        </w:tc>
      </w:tr>
      <w:tr w14:paraId="69746E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79" w:type="dxa"/>
            <w:vMerge w:val="restart"/>
            <w:tcBorders>
              <w:top w:val="single" w:color="auto" w:sz="4" w:space="0"/>
              <w:left w:val="single" w:color="auto" w:sz="4" w:space="0"/>
              <w:right w:val="single" w:color="auto" w:sz="4" w:space="0"/>
            </w:tcBorders>
            <w:vAlign w:val="center"/>
          </w:tcPr>
          <w:p w14:paraId="303AA746">
            <w:pPr>
              <w:jc w:val="center"/>
              <w:rPr>
                <w:rFonts w:ascii="宋体" w:hAnsi="宋体" w:cs="宋体"/>
                <w:szCs w:val="21"/>
              </w:rPr>
            </w:pPr>
            <w:r>
              <w:rPr>
                <w:rFonts w:hint="eastAsia" w:ascii="宋体" w:hAnsi="宋体" w:cs="宋体"/>
                <w:szCs w:val="21"/>
              </w:rPr>
              <w:t>采购清单及货物参数</w:t>
            </w: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46A5A0C">
            <w:pPr>
              <w:jc w:val="center"/>
              <w:rPr>
                <w:rFonts w:ascii="宋体" w:hAnsi="宋体" w:cs="宋体"/>
                <w:szCs w:val="21"/>
              </w:rPr>
            </w:pPr>
            <w:r>
              <w:rPr>
                <w:rFonts w:hint="eastAsia" w:ascii="宋体" w:hAnsi="宋体" w:cs="宋体"/>
                <w:szCs w:val="21"/>
              </w:rPr>
              <w:t>序号</w:t>
            </w:r>
          </w:p>
        </w:tc>
        <w:tc>
          <w:tcPr>
            <w:tcW w:w="1131" w:type="dxa"/>
            <w:tcBorders>
              <w:top w:val="single" w:color="auto" w:sz="4" w:space="0"/>
              <w:left w:val="single" w:color="auto" w:sz="4" w:space="0"/>
              <w:bottom w:val="single" w:color="auto" w:sz="4" w:space="0"/>
              <w:right w:val="single" w:color="auto" w:sz="4" w:space="0"/>
            </w:tcBorders>
            <w:vAlign w:val="center"/>
          </w:tcPr>
          <w:p w14:paraId="492EEDF8">
            <w:pPr>
              <w:jc w:val="center"/>
              <w:rPr>
                <w:rFonts w:ascii="宋体" w:hAnsi="宋体" w:cs="宋体"/>
                <w:szCs w:val="21"/>
              </w:rPr>
            </w:pPr>
            <w:r>
              <w:rPr>
                <w:rFonts w:hint="eastAsia" w:ascii="宋体" w:hAnsi="宋体" w:cs="宋体"/>
                <w:szCs w:val="21"/>
              </w:rPr>
              <w:t>标的</w:t>
            </w:r>
          </w:p>
          <w:p w14:paraId="2F8BE605">
            <w:pPr>
              <w:jc w:val="center"/>
              <w:rPr>
                <w:rFonts w:ascii="宋体" w:hAnsi="宋体" w:cs="宋体"/>
                <w:szCs w:val="21"/>
              </w:rPr>
            </w:pPr>
            <w:r>
              <w:rPr>
                <w:rFonts w:hint="eastAsia" w:ascii="宋体" w:hAnsi="宋体" w:cs="宋体"/>
                <w:szCs w:val="21"/>
              </w:rPr>
              <w:t>名称</w:t>
            </w:r>
          </w:p>
        </w:tc>
        <w:tc>
          <w:tcPr>
            <w:tcW w:w="666" w:type="dxa"/>
            <w:tcBorders>
              <w:top w:val="single" w:color="auto" w:sz="4" w:space="0"/>
              <w:left w:val="single" w:color="auto" w:sz="4" w:space="0"/>
              <w:bottom w:val="single" w:color="auto" w:sz="4" w:space="0"/>
              <w:right w:val="single" w:color="auto" w:sz="4" w:space="0"/>
            </w:tcBorders>
            <w:vAlign w:val="center"/>
          </w:tcPr>
          <w:p w14:paraId="4C86EB09">
            <w:pPr>
              <w:jc w:val="center"/>
              <w:rPr>
                <w:rFonts w:ascii="宋体" w:hAnsi="宋体" w:cs="宋体"/>
                <w:szCs w:val="21"/>
              </w:rPr>
            </w:pPr>
            <w:r>
              <w:rPr>
                <w:rFonts w:hint="eastAsia" w:ascii="宋体" w:hAnsi="宋体" w:cs="宋体"/>
                <w:szCs w:val="21"/>
              </w:rPr>
              <w:t>单位</w:t>
            </w:r>
          </w:p>
        </w:tc>
        <w:tc>
          <w:tcPr>
            <w:tcW w:w="1057" w:type="dxa"/>
            <w:tcBorders>
              <w:top w:val="single" w:color="auto" w:sz="4" w:space="0"/>
              <w:left w:val="single" w:color="auto" w:sz="4" w:space="0"/>
              <w:bottom w:val="single" w:color="auto" w:sz="4" w:space="0"/>
              <w:right w:val="single" w:color="auto" w:sz="4" w:space="0"/>
            </w:tcBorders>
            <w:vAlign w:val="center"/>
          </w:tcPr>
          <w:p w14:paraId="2EC39724">
            <w:pPr>
              <w:jc w:val="center"/>
              <w:rPr>
                <w:rFonts w:ascii="宋体" w:hAnsi="宋体" w:cs="宋体"/>
                <w:szCs w:val="21"/>
              </w:rPr>
            </w:pPr>
            <w:r>
              <w:rPr>
                <w:rFonts w:hint="eastAsia" w:ascii="宋体" w:hAnsi="宋体" w:cs="宋体"/>
                <w:szCs w:val="21"/>
              </w:rPr>
              <w:t>数量</w:t>
            </w:r>
          </w:p>
          <w:p w14:paraId="08C55475">
            <w:pPr>
              <w:jc w:val="center"/>
              <w:rPr>
                <w:rFonts w:ascii="宋体" w:hAnsi="宋体" w:cs="宋体"/>
                <w:szCs w:val="21"/>
              </w:rPr>
            </w:pPr>
            <w:r>
              <w:rPr>
                <w:rFonts w:hint="eastAsia" w:ascii="宋体" w:hAnsi="宋体" w:cs="宋体"/>
                <w:szCs w:val="21"/>
              </w:rPr>
              <w:t>（暂估）</w:t>
            </w:r>
          </w:p>
        </w:tc>
        <w:tc>
          <w:tcPr>
            <w:tcW w:w="1072" w:type="dxa"/>
            <w:tcBorders>
              <w:top w:val="single" w:color="auto" w:sz="4" w:space="0"/>
              <w:left w:val="single" w:color="auto" w:sz="4" w:space="0"/>
              <w:bottom w:val="single" w:color="auto" w:sz="4" w:space="0"/>
              <w:right w:val="single" w:color="auto" w:sz="4" w:space="0"/>
            </w:tcBorders>
            <w:vAlign w:val="center"/>
          </w:tcPr>
          <w:p w14:paraId="3009C651">
            <w:pPr>
              <w:jc w:val="center"/>
              <w:rPr>
                <w:rFonts w:ascii="宋体" w:hAnsi="宋体" w:cs="宋体"/>
                <w:szCs w:val="21"/>
              </w:rPr>
            </w:pPr>
            <w:r>
              <w:rPr>
                <w:rFonts w:hint="eastAsia" w:ascii="宋体" w:hAnsi="宋体" w:cs="宋体"/>
                <w:szCs w:val="21"/>
              </w:rPr>
              <w:t>所属行业</w:t>
            </w:r>
          </w:p>
        </w:tc>
        <w:tc>
          <w:tcPr>
            <w:tcW w:w="4231" w:type="dxa"/>
            <w:tcBorders>
              <w:top w:val="single" w:color="auto" w:sz="4" w:space="0"/>
              <w:left w:val="single" w:color="auto" w:sz="4" w:space="0"/>
              <w:bottom w:val="single" w:color="auto" w:sz="4" w:space="0"/>
              <w:right w:val="single" w:color="auto" w:sz="4" w:space="0"/>
            </w:tcBorders>
            <w:vAlign w:val="center"/>
          </w:tcPr>
          <w:p w14:paraId="7560E4CB">
            <w:pPr>
              <w:jc w:val="center"/>
              <w:rPr>
                <w:rFonts w:ascii="宋体" w:hAnsi="宋体" w:cs="宋体"/>
                <w:szCs w:val="21"/>
              </w:rPr>
            </w:pPr>
            <w:r>
              <w:rPr>
                <w:rFonts w:hint="eastAsia" w:ascii="宋体" w:hAnsi="宋体" w:cs="宋体"/>
                <w:szCs w:val="21"/>
              </w:rPr>
              <w:t>货物参数</w:t>
            </w:r>
          </w:p>
        </w:tc>
        <w:tc>
          <w:tcPr>
            <w:tcW w:w="1134" w:type="dxa"/>
            <w:tcBorders>
              <w:top w:val="single" w:color="auto" w:sz="4" w:space="0"/>
              <w:left w:val="single" w:color="auto" w:sz="4" w:space="0"/>
              <w:bottom w:val="single" w:color="auto" w:sz="4" w:space="0"/>
              <w:right w:val="single" w:color="auto" w:sz="4" w:space="0"/>
            </w:tcBorders>
            <w:vAlign w:val="center"/>
          </w:tcPr>
          <w:p w14:paraId="4CD0D458">
            <w:pPr>
              <w:jc w:val="center"/>
              <w:rPr>
                <w:rFonts w:ascii="宋体" w:hAnsi="宋体" w:cs="宋体"/>
                <w:szCs w:val="21"/>
              </w:rPr>
            </w:pPr>
            <w:r>
              <w:rPr>
                <w:rFonts w:hint="eastAsia" w:ascii="宋体" w:hAnsi="宋体" w:cs="宋体"/>
                <w:szCs w:val="21"/>
              </w:rPr>
              <w:t>供应基准单价</w:t>
            </w:r>
          </w:p>
        </w:tc>
      </w:tr>
      <w:tr w14:paraId="1AC070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14:paraId="2EAAFD61">
            <w:pPr>
              <w:jc w:val="center"/>
              <w:rPr>
                <w:rFonts w:ascii="宋体" w:hAnsi="宋体" w:cs="宋体"/>
                <w:szCs w:val="21"/>
              </w:rPr>
            </w:pPr>
            <w:bookmarkStart w:id="184" w:name="OLE_LINK24" w:colFirst="7" w:colLast="7"/>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3E10746">
            <w:pPr>
              <w:jc w:val="center"/>
              <w:rPr>
                <w:rFonts w:ascii="宋体" w:hAnsi="宋体" w:cs="宋体"/>
                <w:sz w:val="24"/>
              </w:rPr>
            </w:pPr>
            <w:r>
              <w:rPr>
                <w:rFonts w:hint="eastAsia"/>
              </w:rPr>
              <w:t>1</w:t>
            </w:r>
          </w:p>
        </w:tc>
        <w:tc>
          <w:tcPr>
            <w:tcW w:w="1131" w:type="dxa"/>
            <w:tcBorders>
              <w:top w:val="single" w:color="auto" w:sz="4" w:space="0"/>
              <w:left w:val="single" w:color="auto" w:sz="4" w:space="0"/>
              <w:bottom w:val="single" w:color="auto" w:sz="4" w:space="0"/>
              <w:right w:val="single" w:color="auto" w:sz="4" w:space="0"/>
            </w:tcBorders>
            <w:vAlign w:val="center"/>
          </w:tcPr>
          <w:p w14:paraId="33F7016B">
            <w:pPr>
              <w:jc w:val="center"/>
            </w:pPr>
            <w:r>
              <w:rPr>
                <w:rFonts w:hint="eastAsia"/>
              </w:rPr>
              <w:t>食盐</w:t>
            </w:r>
          </w:p>
        </w:tc>
        <w:tc>
          <w:tcPr>
            <w:tcW w:w="666" w:type="dxa"/>
            <w:tcBorders>
              <w:top w:val="single" w:color="auto" w:sz="4" w:space="0"/>
              <w:left w:val="single" w:color="auto" w:sz="4" w:space="0"/>
              <w:bottom w:val="single" w:color="auto" w:sz="4" w:space="0"/>
              <w:right w:val="single" w:color="auto" w:sz="4" w:space="0"/>
            </w:tcBorders>
            <w:vAlign w:val="center"/>
          </w:tcPr>
          <w:p w14:paraId="5905BD1F">
            <w:pPr>
              <w:jc w:val="center"/>
            </w:pPr>
            <w:r>
              <w:rPr>
                <w:rFonts w:hint="eastAsia"/>
              </w:rPr>
              <w:t>包</w:t>
            </w:r>
          </w:p>
        </w:tc>
        <w:tc>
          <w:tcPr>
            <w:tcW w:w="1057" w:type="dxa"/>
            <w:tcBorders>
              <w:top w:val="single" w:color="auto" w:sz="4" w:space="0"/>
              <w:left w:val="single" w:color="auto" w:sz="4" w:space="0"/>
              <w:bottom w:val="single" w:color="auto" w:sz="4" w:space="0"/>
              <w:right w:val="single" w:color="auto" w:sz="4" w:space="0"/>
            </w:tcBorders>
            <w:vAlign w:val="center"/>
          </w:tcPr>
          <w:p w14:paraId="10D394F1">
            <w:pPr>
              <w:widowControl/>
              <w:jc w:val="center"/>
              <w:textAlignment w:val="center"/>
              <w:rPr>
                <w:lang w:bidi="ar"/>
              </w:rPr>
            </w:pPr>
            <w:r>
              <w:rPr>
                <w:kern w:val="0"/>
                <w:szCs w:val="21"/>
                <w:lang w:bidi="ar"/>
              </w:rPr>
              <w:t>20000</w:t>
            </w:r>
            <w:r>
              <w:rPr>
                <w:rFonts w:hint="eastAsia"/>
                <w:kern w:val="0"/>
                <w:szCs w:val="21"/>
                <w:lang w:bidi="ar"/>
              </w:rPr>
              <w:t>.00</w:t>
            </w:r>
          </w:p>
        </w:tc>
        <w:tc>
          <w:tcPr>
            <w:tcW w:w="1072" w:type="dxa"/>
            <w:vMerge w:val="restart"/>
            <w:tcBorders>
              <w:top w:val="single" w:color="auto" w:sz="4" w:space="0"/>
              <w:left w:val="single" w:color="auto" w:sz="4" w:space="0"/>
              <w:right w:val="single" w:color="auto" w:sz="4" w:space="0"/>
            </w:tcBorders>
            <w:vAlign w:val="center"/>
          </w:tcPr>
          <w:p w14:paraId="2932CCDC">
            <w:pPr>
              <w:jc w:val="center"/>
            </w:pPr>
            <w:r>
              <w:rPr>
                <w:rFonts w:hint="eastAsia" w:ascii="宋体" w:hAnsi="宋体" w:cs="宋体"/>
                <w:szCs w:val="21"/>
              </w:rPr>
              <w:t>工业</w:t>
            </w:r>
          </w:p>
        </w:tc>
        <w:tc>
          <w:tcPr>
            <w:tcW w:w="4231" w:type="dxa"/>
            <w:tcBorders>
              <w:top w:val="single" w:color="auto" w:sz="4" w:space="0"/>
              <w:left w:val="single" w:color="auto" w:sz="4" w:space="0"/>
              <w:bottom w:val="single" w:color="auto" w:sz="4" w:space="0"/>
              <w:right w:val="single" w:color="auto" w:sz="4" w:space="0"/>
            </w:tcBorders>
            <w:vAlign w:val="center"/>
          </w:tcPr>
          <w:p w14:paraId="643A027A">
            <w:pPr>
              <w:numPr>
                <w:ilvl w:val="0"/>
                <w:numId w:val="2"/>
              </w:numPr>
            </w:pPr>
            <w:r>
              <w:rPr>
                <w:rFonts w:hint="eastAsia"/>
              </w:rPr>
              <w:t>规格：500g/袋</w:t>
            </w:r>
          </w:p>
          <w:p w14:paraId="4910A4AE">
            <w:pPr>
              <w:numPr>
                <w:ilvl w:val="255"/>
                <w:numId w:val="0"/>
              </w:numPr>
            </w:pPr>
            <w:r>
              <w:rPr>
                <w:rFonts w:hint="eastAsia"/>
              </w:rPr>
              <w:t>2. 包装完整、有生产厂家、地址、联系号码、生产日期（近期）和保质期；</w:t>
            </w:r>
          </w:p>
          <w:p w14:paraId="55A412D5">
            <w:pPr>
              <w:numPr>
                <w:ilvl w:val="255"/>
                <w:numId w:val="0"/>
              </w:numPr>
            </w:pPr>
            <w:r>
              <w:rPr>
                <w:rFonts w:hint="eastAsia"/>
              </w:rPr>
              <w:t>3. 产品无沙子、无杂质、无发霉、变质和异味。</w:t>
            </w:r>
          </w:p>
        </w:tc>
        <w:tc>
          <w:tcPr>
            <w:tcW w:w="1134" w:type="dxa"/>
            <w:tcBorders>
              <w:top w:val="single" w:color="auto" w:sz="4" w:space="0"/>
              <w:left w:val="single" w:color="auto" w:sz="4" w:space="0"/>
              <w:bottom w:val="single" w:color="auto" w:sz="4" w:space="0"/>
              <w:right w:val="single" w:color="auto" w:sz="4" w:space="0"/>
            </w:tcBorders>
            <w:vAlign w:val="center"/>
          </w:tcPr>
          <w:p w14:paraId="6384FE17">
            <w:pPr>
              <w:widowControl/>
              <w:jc w:val="center"/>
              <w:rPr>
                <w:lang w:bidi="ar"/>
              </w:rPr>
            </w:pPr>
            <w:r>
              <w:rPr>
                <w:lang w:bidi="ar"/>
              </w:rPr>
              <w:t xml:space="preserve">1.90 </w:t>
            </w:r>
          </w:p>
        </w:tc>
      </w:tr>
      <w:tr w14:paraId="141DD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14:paraId="6249E9BA">
            <w:pPr>
              <w:jc w:val="center"/>
              <w:rPr>
                <w:rFonts w:ascii="宋体" w:hAnsi="宋体" w:cs="宋体"/>
                <w:szCs w:val="21"/>
              </w:rPr>
            </w:pPr>
            <w:bookmarkStart w:id="185" w:name="OLE_LINK23" w:colFirst="5" w:colLast="5"/>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A167462">
            <w:pPr>
              <w:jc w:val="center"/>
              <w:rPr>
                <w:rFonts w:ascii="宋体" w:hAnsi="宋体" w:cs="宋体"/>
                <w:sz w:val="24"/>
              </w:rPr>
            </w:pPr>
            <w:r>
              <w:rPr>
                <w:rFonts w:hint="eastAsia"/>
              </w:rPr>
              <w:t>2</w:t>
            </w:r>
          </w:p>
        </w:tc>
        <w:tc>
          <w:tcPr>
            <w:tcW w:w="1131" w:type="dxa"/>
            <w:tcBorders>
              <w:top w:val="single" w:color="auto" w:sz="4" w:space="0"/>
              <w:left w:val="single" w:color="auto" w:sz="4" w:space="0"/>
              <w:bottom w:val="single" w:color="auto" w:sz="4" w:space="0"/>
              <w:right w:val="single" w:color="auto" w:sz="4" w:space="0"/>
            </w:tcBorders>
            <w:vAlign w:val="center"/>
          </w:tcPr>
          <w:p w14:paraId="7F4A66EE">
            <w:pPr>
              <w:jc w:val="center"/>
            </w:pPr>
            <w:r>
              <w:rPr>
                <w:rFonts w:hint="eastAsia"/>
              </w:rPr>
              <w:t>蚝油</w:t>
            </w:r>
          </w:p>
        </w:tc>
        <w:tc>
          <w:tcPr>
            <w:tcW w:w="666" w:type="dxa"/>
            <w:tcBorders>
              <w:top w:val="single" w:color="auto" w:sz="4" w:space="0"/>
              <w:left w:val="single" w:color="auto" w:sz="4" w:space="0"/>
              <w:bottom w:val="single" w:color="auto" w:sz="4" w:space="0"/>
              <w:right w:val="single" w:color="auto" w:sz="4" w:space="0"/>
            </w:tcBorders>
            <w:vAlign w:val="center"/>
          </w:tcPr>
          <w:p w14:paraId="397755B8">
            <w:pPr>
              <w:jc w:val="center"/>
            </w:pPr>
            <w:r>
              <w:rPr>
                <w:rFonts w:hint="eastAsia"/>
              </w:rPr>
              <w:t>桶</w:t>
            </w:r>
          </w:p>
        </w:tc>
        <w:tc>
          <w:tcPr>
            <w:tcW w:w="1057" w:type="dxa"/>
            <w:tcBorders>
              <w:top w:val="single" w:color="auto" w:sz="4" w:space="0"/>
              <w:left w:val="single" w:color="auto" w:sz="4" w:space="0"/>
              <w:bottom w:val="single" w:color="auto" w:sz="4" w:space="0"/>
              <w:right w:val="single" w:color="auto" w:sz="4" w:space="0"/>
            </w:tcBorders>
            <w:vAlign w:val="center"/>
          </w:tcPr>
          <w:p w14:paraId="05B3E4E8">
            <w:pPr>
              <w:widowControl/>
              <w:jc w:val="center"/>
              <w:textAlignment w:val="center"/>
              <w:rPr>
                <w:lang w:bidi="ar"/>
              </w:rPr>
            </w:pPr>
            <w:r>
              <w:rPr>
                <w:kern w:val="0"/>
                <w:szCs w:val="21"/>
                <w:lang w:bidi="ar"/>
              </w:rPr>
              <w:t>1546</w:t>
            </w:r>
            <w:r>
              <w:rPr>
                <w:rFonts w:hint="eastAsia"/>
                <w:kern w:val="0"/>
                <w:szCs w:val="21"/>
                <w:lang w:bidi="ar"/>
              </w:rPr>
              <w:t>.00</w:t>
            </w:r>
          </w:p>
        </w:tc>
        <w:tc>
          <w:tcPr>
            <w:tcW w:w="1072" w:type="dxa"/>
            <w:vMerge w:val="continue"/>
            <w:tcBorders>
              <w:left w:val="single" w:color="auto" w:sz="4" w:space="0"/>
              <w:right w:val="single" w:color="auto" w:sz="4" w:space="0"/>
            </w:tcBorders>
            <w:vAlign w:val="center"/>
          </w:tcPr>
          <w:p w14:paraId="37696D67">
            <w:pPr>
              <w:jc w:val="center"/>
            </w:pPr>
          </w:p>
        </w:tc>
        <w:tc>
          <w:tcPr>
            <w:tcW w:w="4231" w:type="dxa"/>
            <w:tcBorders>
              <w:top w:val="single" w:color="auto" w:sz="4" w:space="0"/>
              <w:left w:val="single" w:color="auto" w:sz="4" w:space="0"/>
              <w:bottom w:val="single" w:color="auto" w:sz="4" w:space="0"/>
              <w:right w:val="single" w:color="auto" w:sz="4" w:space="0"/>
            </w:tcBorders>
            <w:vAlign w:val="center"/>
          </w:tcPr>
          <w:p w14:paraId="06CF1D28">
            <w:pPr>
              <w:numPr>
                <w:ilvl w:val="0"/>
                <w:numId w:val="3"/>
              </w:numPr>
            </w:pPr>
            <w:r>
              <w:rPr>
                <w:rFonts w:hint="eastAsia"/>
              </w:rPr>
              <w:t>规格：6kg/桶</w:t>
            </w:r>
          </w:p>
          <w:p w14:paraId="466EA33B">
            <w:pPr>
              <w:numPr>
                <w:ilvl w:val="255"/>
                <w:numId w:val="0"/>
              </w:numPr>
            </w:pPr>
            <w:r>
              <w:rPr>
                <w:rFonts w:hint="eastAsia"/>
              </w:rPr>
              <w:t>2. 包装完整、有生产厂家、地址、联系号码、生产日期（近期）和保质期；</w:t>
            </w:r>
          </w:p>
          <w:p w14:paraId="407D649C">
            <w:pPr>
              <w:numPr>
                <w:ilvl w:val="255"/>
                <w:numId w:val="0"/>
              </w:numPr>
            </w:pPr>
            <w:r>
              <w:rPr>
                <w:rFonts w:hint="eastAsia"/>
              </w:rPr>
              <w:t xml:space="preserve">3. 产品无杂质、无发霉、变质和异味；                                                                             </w:t>
            </w:r>
          </w:p>
          <w:p w14:paraId="41CB754B">
            <w:pPr>
              <w:numPr>
                <w:ilvl w:val="255"/>
                <w:numId w:val="0"/>
              </w:numPr>
            </w:pPr>
            <w:r>
              <w:rPr>
                <w:rFonts w:hint="eastAsia"/>
              </w:rPr>
              <w:t xml:space="preserve">4. </w:t>
            </w:r>
            <w:r>
              <w:t>符合国家标准：GB/T 21999</w:t>
            </w:r>
            <w:r>
              <w:rPr>
                <w:rFonts w:hint="eastAsia"/>
              </w:rPr>
              <w:t>。</w:t>
            </w:r>
          </w:p>
        </w:tc>
        <w:tc>
          <w:tcPr>
            <w:tcW w:w="1134" w:type="dxa"/>
            <w:tcBorders>
              <w:top w:val="single" w:color="auto" w:sz="4" w:space="0"/>
              <w:left w:val="single" w:color="auto" w:sz="4" w:space="0"/>
              <w:bottom w:val="single" w:color="auto" w:sz="4" w:space="0"/>
              <w:right w:val="single" w:color="auto" w:sz="4" w:space="0"/>
            </w:tcBorders>
            <w:vAlign w:val="center"/>
          </w:tcPr>
          <w:p w14:paraId="7D1204FD">
            <w:pPr>
              <w:widowControl/>
              <w:jc w:val="center"/>
              <w:rPr>
                <w:lang w:bidi="ar"/>
              </w:rPr>
            </w:pPr>
            <w:r>
              <w:rPr>
                <w:lang w:bidi="ar"/>
              </w:rPr>
              <w:t xml:space="preserve">30.00 </w:t>
            </w:r>
          </w:p>
        </w:tc>
      </w:tr>
      <w:bookmarkEnd w:id="184"/>
      <w:tr w14:paraId="1E1BE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14:paraId="2772FEB3">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8DB50E2">
            <w:pPr>
              <w:jc w:val="center"/>
              <w:rPr>
                <w:rFonts w:ascii="宋体" w:hAnsi="宋体" w:cs="宋体"/>
                <w:sz w:val="24"/>
              </w:rPr>
            </w:pPr>
            <w:r>
              <w:rPr>
                <w:rFonts w:hint="eastAsia"/>
              </w:rPr>
              <w:t>3</w:t>
            </w:r>
          </w:p>
        </w:tc>
        <w:tc>
          <w:tcPr>
            <w:tcW w:w="1131" w:type="dxa"/>
            <w:tcBorders>
              <w:top w:val="single" w:color="auto" w:sz="4" w:space="0"/>
              <w:left w:val="single" w:color="auto" w:sz="4" w:space="0"/>
              <w:bottom w:val="single" w:color="auto" w:sz="4" w:space="0"/>
              <w:right w:val="single" w:color="auto" w:sz="4" w:space="0"/>
            </w:tcBorders>
            <w:vAlign w:val="center"/>
          </w:tcPr>
          <w:p w14:paraId="573B8389">
            <w:pPr>
              <w:jc w:val="center"/>
            </w:pPr>
            <w:r>
              <w:rPr>
                <w:rFonts w:hint="eastAsia"/>
              </w:rPr>
              <w:t>生抽</w:t>
            </w:r>
          </w:p>
        </w:tc>
        <w:tc>
          <w:tcPr>
            <w:tcW w:w="666" w:type="dxa"/>
            <w:tcBorders>
              <w:top w:val="single" w:color="auto" w:sz="4" w:space="0"/>
              <w:left w:val="single" w:color="auto" w:sz="4" w:space="0"/>
              <w:bottom w:val="single" w:color="auto" w:sz="4" w:space="0"/>
              <w:right w:val="single" w:color="auto" w:sz="4" w:space="0"/>
            </w:tcBorders>
            <w:vAlign w:val="center"/>
          </w:tcPr>
          <w:p w14:paraId="0E7779C3">
            <w:pPr>
              <w:jc w:val="center"/>
            </w:pPr>
            <w:r>
              <w:rPr>
                <w:rFonts w:hint="eastAsia"/>
              </w:rPr>
              <w:t>瓶</w:t>
            </w:r>
          </w:p>
        </w:tc>
        <w:tc>
          <w:tcPr>
            <w:tcW w:w="1057" w:type="dxa"/>
            <w:tcBorders>
              <w:top w:val="single" w:color="auto" w:sz="4" w:space="0"/>
              <w:left w:val="single" w:color="auto" w:sz="4" w:space="0"/>
              <w:bottom w:val="single" w:color="auto" w:sz="4" w:space="0"/>
              <w:right w:val="single" w:color="auto" w:sz="4" w:space="0"/>
            </w:tcBorders>
            <w:vAlign w:val="center"/>
          </w:tcPr>
          <w:p w14:paraId="0132BA48">
            <w:pPr>
              <w:widowControl/>
              <w:jc w:val="center"/>
              <w:textAlignment w:val="center"/>
              <w:rPr>
                <w:lang w:bidi="ar"/>
              </w:rPr>
            </w:pPr>
            <w:r>
              <w:rPr>
                <w:kern w:val="0"/>
                <w:szCs w:val="21"/>
                <w:lang w:bidi="ar"/>
              </w:rPr>
              <w:t>3010</w:t>
            </w:r>
            <w:r>
              <w:rPr>
                <w:rFonts w:hint="eastAsia"/>
                <w:kern w:val="0"/>
                <w:szCs w:val="21"/>
                <w:lang w:bidi="ar"/>
              </w:rPr>
              <w:t>.00</w:t>
            </w:r>
          </w:p>
        </w:tc>
        <w:tc>
          <w:tcPr>
            <w:tcW w:w="1072" w:type="dxa"/>
            <w:vMerge w:val="continue"/>
            <w:tcBorders>
              <w:left w:val="single" w:color="auto" w:sz="4" w:space="0"/>
              <w:right w:val="single" w:color="auto" w:sz="4" w:space="0"/>
            </w:tcBorders>
            <w:vAlign w:val="center"/>
          </w:tcPr>
          <w:p w14:paraId="1C484804">
            <w:pPr>
              <w:jc w:val="center"/>
            </w:pPr>
          </w:p>
        </w:tc>
        <w:tc>
          <w:tcPr>
            <w:tcW w:w="4231" w:type="dxa"/>
            <w:tcBorders>
              <w:top w:val="single" w:color="auto" w:sz="4" w:space="0"/>
              <w:left w:val="single" w:color="auto" w:sz="4" w:space="0"/>
              <w:bottom w:val="single" w:color="auto" w:sz="4" w:space="0"/>
              <w:right w:val="single" w:color="auto" w:sz="4" w:space="0"/>
            </w:tcBorders>
            <w:vAlign w:val="center"/>
          </w:tcPr>
          <w:p w14:paraId="625E83AF">
            <w:pPr>
              <w:numPr>
                <w:ilvl w:val="0"/>
                <w:numId w:val="4"/>
              </w:numPr>
            </w:pPr>
            <w:r>
              <w:rPr>
                <w:rFonts w:hint="eastAsia"/>
              </w:rPr>
              <w:t>规格：800</w:t>
            </w:r>
            <w:r>
              <w:rPr>
                <w:rFonts w:hint="eastAsia" w:ascii="宋体" w:hAnsi="宋体" w:cs="宋体"/>
                <w:bCs/>
                <w:kern w:val="0"/>
                <w:szCs w:val="21"/>
              </w:rPr>
              <w:t>ml</w:t>
            </w:r>
            <w:r>
              <w:rPr>
                <w:rFonts w:hint="eastAsia"/>
              </w:rPr>
              <w:t>/瓶</w:t>
            </w:r>
          </w:p>
          <w:p w14:paraId="28531BBC">
            <w:pPr>
              <w:numPr>
                <w:ilvl w:val="0"/>
                <w:numId w:val="4"/>
              </w:numPr>
            </w:pPr>
            <w:r>
              <w:rPr>
                <w:rFonts w:hint="eastAsia"/>
              </w:rPr>
              <w:t>包装完整（包装为非玻璃制品）、有生产厂家、地址、联系号码、生产日期（近期）和保质期；</w:t>
            </w:r>
          </w:p>
          <w:p w14:paraId="2AC8D214">
            <w:pPr>
              <w:numPr>
                <w:ilvl w:val="0"/>
                <w:numId w:val="4"/>
              </w:numPr>
            </w:pPr>
            <w:r>
              <w:rPr>
                <w:rFonts w:hint="eastAsia"/>
              </w:rPr>
              <w:t xml:space="preserve">产品无杂质、无发霉、变质和异味；                                                                             </w:t>
            </w:r>
          </w:p>
          <w:p w14:paraId="35C80EE6">
            <w:pPr>
              <w:numPr>
                <w:ilvl w:val="0"/>
                <w:numId w:val="4"/>
              </w:numPr>
            </w:pPr>
            <w:r>
              <w:t>符合国家标准：GB/T 18186</w:t>
            </w:r>
            <w:r>
              <w:rPr>
                <w:rFonts w:hint="eastAsia"/>
              </w:rPr>
              <w:t>。</w:t>
            </w:r>
          </w:p>
        </w:tc>
        <w:tc>
          <w:tcPr>
            <w:tcW w:w="1134" w:type="dxa"/>
            <w:tcBorders>
              <w:top w:val="single" w:color="auto" w:sz="4" w:space="0"/>
              <w:left w:val="single" w:color="auto" w:sz="4" w:space="0"/>
              <w:bottom w:val="single" w:color="auto" w:sz="4" w:space="0"/>
              <w:right w:val="single" w:color="auto" w:sz="4" w:space="0"/>
            </w:tcBorders>
            <w:vAlign w:val="center"/>
          </w:tcPr>
          <w:p w14:paraId="0709591D">
            <w:pPr>
              <w:widowControl/>
              <w:jc w:val="center"/>
              <w:rPr>
                <w:lang w:bidi="ar"/>
              </w:rPr>
            </w:pPr>
            <w:r>
              <w:rPr>
                <w:lang w:bidi="ar"/>
              </w:rPr>
              <w:t xml:space="preserve">4.50 </w:t>
            </w:r>
          </w:p>
        </w:tc>
      </w:tr>
      <w:bookmarkEnd w:id="185"/>
      <w:tr w14:paraId="69C311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14:paraId="6DE4771C">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70E34CF">
            <w:pPr>
              <w:jc w:val="center"/>
              <w:rPr>
                <w:rFonts w:ascii="宋体" w:hAnsi="宋体" w:cs="宋体"/>
                <w:sz w:val="24"/>
              </w:rPr>
            </w:pPr>
            <w:r>
              <w:rPr>
                <w:rFonts w:hint="eastAsia"/>
              </w:rPr>
              <w:t>4</w:t>
            </w:r>
          </w:p>
        </w:tc>
        <w:tc>
          <w:tcPr>
            <w:tcW w:w="1131" w:type="dxa"/>
            <w:tcBorders>
              <w:top w:val="single" w:color="auto" w:sz="4" w:space="0"/>
              <w:left w:val="single" w:color="auto" w:sz="4" w:space="0"/>
              <w:bottom w:val="single" w:color="auto" w:sz="4" w:space="0"/>
              <w:right w:val="single" w:color="auto" w:sz="4" w:space="0"/>
            </w:tcBorders>
            <w:vAlign w:val="center"/>
          </w:tcPr>
          <w:p w14:paraId="2B4E02D5">
            <w:pPr>
              <w:jc w:val="center"/>
              <w:rPr>
                <w:rFonts w:ascii="宋体" w:hAnsi="宋体" w:cs="宋体"/>
                <w:sz w:val="24"/>
              </w:rPr>
            </w:pPr>
            <w:r>
              <w:rPr>
                <w:rFonts w:hint="eastAsia"/>
              </w:rPr>
              <w:t>鸡精</w:t>
            </w:r>
          </w:p>
        </w:tc>
        <w:tc>
          <w:tcPr>
            <w:tcW w:w="666" w:type="dxa"/>
            <w:tcBorders>
              <w:top w:val="single" w:color="auto" w:sz="4" w:space="0"/>
              <w:left w:val="single" w:color="auto" w:sz="4" w:space="0"/>
              <w:bottom w:val="single" w:color="auto" w:sz="4" w:space="0"/>
              <w:right w:val="single" w:color="auto" w:sz="4" w:space="0"/>
            </w:tcBorders>
            <w:vAlign w:val="center"/>
          </w:tcPr>
          <w:p w14:paraId="0EADC583">
            <w:pPr>
              <w:jc w:val="center"/>
              <w:rPr>
                <w:rFonts w:ascii="宋体" w:hAnsi="宋体" w:cs="宋体"/>
                <w:sz w:val="24"/>
              </w:rPr>
            </w:pPr>
            <w:r>
              <w:rPr>
                <w:rFonts w:hint="eastAsia"/>
              </w:rPr>
              <w:t>包</w:t>
            </w:r>
          </w:p>
        </w:tc>
        <w:tc>
          <w:tcPr>
            <w:tcW w:w="1057" w:type="dxa"/>
            <w:tcBorders>
              <w:top w:val="single" w:color="auto" w:sz="4" w:space="0"/>
              <w:left w:val="single" w:color="auto" w:sz="4" w:space="0"/>
              <w:bottom w:val="single" w:color="auto" w:sz="4" w:space="0"/>
              <w:right w:val="single" w:color="auto" w:sz="4" w:space="0"/>
            </w:tcBorders>
            <w:vAlign w:val="center"/>
          </w:tcPr>
          <w:p w14:paraId="2F6BD0B1">
            <w:pPr>
              <w:widowControl/>
              <w:jc w:val="center"/>
              <w:textAlignment w:val="center"/>
              <w:rPr>
                <w:lang w:bidi="ar"/>
              </w:rPr>
            </w:pPr>
            <w:r>
              <w:rPr>
                <w:kern w:val="0"/>
                <w:szCs w:val="21"/>
                <w:lang w:bidi="ar"/>
              </w:rPr>
              <w:t>2000</w:t>
            </w:r>
            <w:r>
              <w:rPr>
                <w:rFonts w:hint="eastAsia"/>
                <w:kern w:val="0"/>
                <w:szCs w:val="21"/>
                <w:lang w:bidi="ar"/>
              </w:rPr>
              <w:t>.00</w:t>
            </w:r>
          </w:p>
        </w:tc>
        <w:tc>
          <w:tcPr>
            <w:tcW w:w="1072" w:type="dxa"/>
            <w:vMerge w:val="continue"/>
            <w:tcBorders>
              <w:left w:val="single" w:color="auto" w:sz="4" w:space="0"/>
              <w:right w:val="single" w:color="auto" w:sz="4" w:space="0"/>
            </w:tcBorders>
            <w:vAlign w:val="center"/>
          </w:tcPr>
          <w:p w14:paraId="21F3581B">
            <w:pPr>
              <w:jc w:val="center"/>
            </w:pPr>
          </w:p>
        </w:tc>
        <w:tc>
          <w:tcPr>
            <w:tcW w:w="4231" w:type="dxa"/>
            <w:tcBorders>
              <w:top w:val="single" w:color="auto" w:sz="4" w:space="0"/>
              <w:left w:val="single" w:color="auto" w:sz="4" w:space="0"/>
              <w:bottom w:val="single" w:color="auto" w:sz="4" w:space="0"/>
              <w:right w:val="single" w:color="auto" w:sz="4" w:space="0"/>
            </w:tcBorders>
            <w:vAlign w:val="center"/>
          </w:tcPr>
          <w:p w14:paraId="3A57DD1B">
            <w:pPr>
              <w:numPr>
                <w:ilvl w:val="0"/>
                <w:numId w:val="5"/>
              </w:numPr>
              <w:ind w:hanging="339"/>
              <w:jc w:val="left"/>
            </w:pPr>
            <w:r>
              <w:rPr>
                <w:rFonts w:hint="eastAsia"/>
              </w:rPr>
              <w:t>规格：1000g/包</w:t>
            </w:r>
          </w:p>
          <w:p w14:paraId="35212BB9">
            <w:pPr>
              <w:numPr>
                <w:ilvl w:val="0"/>
                <w:numId w:val="5"/>
              </w:numPr>
              <w:ind w:left="0" w:firstLine="79" w:firstLineChars="38"/>
              <w:jc w:val="left"/>
            </w:pPr>
            <w:r>
              <w:rPr>
                <w:rFonts w:hint="eastAsia"/>
              </w:rPr>
              <w:t>包装完整、有生产厂家、地址、联系号码、生产日期（近期）和保质期；</w:t>
            </w:r>
          </w:p>
          <w:p w14:paraId="7E22EE93">
            <w:pPr>
              <w:numPr>
                <w:ilvl w:val="0"/>
                <w:numId w:val="5"/>
              </w:numPr>
              <w:ind w:left="0" w:firstLine="79" w:firstLineChars="38"/>
              <w:jc w:val="left"/>
            </w:pPr>
            <w:r>
              <w:rPr>
                <w:rFonts w:hint="eastAsia"/>
              </w:rPr>
              <w:t xml:space="preserve">产品无杂质、无发霉、变质和异味；                                                                             </w:t>
            </w:r>
          </w:p>
          <w:p w14:paraId="4FC1F9F9">
            <w:pPr>
              <w:numPr>
                <w:ilvl w:val="0"/>
                <w:numId w:val="5"/>
              </w:numPr>
              <w:ind w:left="0" w:firstLine="79" w:firstLineChars="38"/>
              <w:jc w:val="left"/>
              <w:rPr>
                <w:rFonts w:ascii="宋体" w:hAnsi="宋体" w:cs="宋体"/>
                <w:sz w:val="24"/>
              </w:rPr>
            </w:pPr>
            <w:r>
              <w:rPr>
                <w:rFonts w:hint="eastAsia"/>
              </w:rPr>
              <w:t>质量符合国家食品卫生标准。</w:t>
            </w:r>
          </w:p>
        </w:tc>
        <w:tc>
          <w:tcPr>
            <w:tcW w:w="1134" w:type="dxa"/>
            <w:tcBorders>
              <w:top w:val="single" w:color="auto" w:sz="4" w:space="0"/>
              <w:left w:val="single" w:color="auto" w:sz="4" w:space="0"/>
              <w:bottom w:val="single" w:color="auto" w:sz="4" w:space="0"/>
              <w:right w:val="single" w:color="auto" w:sz="4" w:space="0"/>
            </w:tcBorders>
            <w:vAlign w:val="center"/>
          </w:tcPr>
          <w:p w14:paraId="1D85F5AD">
            <w:pPr>
              <w:widowControl/>
              <w:jc w:val="center"/>
              <w:rPr>
                <w:lang w:bidi="ar"/>
              </w:rPr>
            </w:pPr>
            <w:r>
              <w:rPr>
                <w:lang w:bidi="ar"/>
              </w:rPr>
              <w:t xml:space="preserve">28.50 </w:t>
            </w:r>
          </w:p>
        </w:tc>
      </w:tr>
      <w:tr w14:paraId="4CE81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14:paraId="4C0094E7">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C271BFE">
            <w:pPr>
              <w:jc w:val="center"/>
              <w:rPr>
                <w:rFonts w:ascii="宋体" w:hAnsi="宋体" w:cs="宋体"/>
                <w:sz w:val="24"/>
              </w:rPr>
            </w:pPr>
            <w:r>
              <w:rPr>
                <w:rFonts w:hint="eastAsia"/>
              </w:rPr>
              <w:t>5</w:t>
            </w:r>
          </w:p>
        </w:tc>
        <w:tc>
          <w:tcPr>
            <w:tcW w:w="1131" w:type="dxa"/>
            <w:tcBorders>
              <w:top w:val="single" w:color="auto" w:sz="4" w:space="0"/>
              <w:left w:val="single" w:color="auto" w:sz="4" w:space="0"/>
              <w:bottom w:val="single" w:color="auto" w:sz="4" w:space="0"/>
              <w:right w:val="single" w:color="auto" w:sz="4" w:space="0"/>
            </w:tcBorders>
            <w:vAlign w:val="center"/>
          </w:tcPr>
          <w:p w14:paraId="2D9C64D8">
            <w:pPr>
              <w:jc w:val="center"/>
              <w:rPr>
                <w:rFonts w:ascii="宋体" w:hAnsi="宋体" w:cs="宋体"/>
                <w:sz w:val="24"/>
              </w:rPr>
            </w:pPr>
            <w:r>
              <w:rPr>
                <w:rFonts w:hint="eastAsia"/>
              </w:rPr>
              <w:t>糖精</w:t>
            </w:r>
          </w:p>
        </w:tc>
        <w:tc>
          <w:tcPr>
            <w:tcW w:w="666" w:type="dxa"/>
            <w:tcBorders>
              <w:top w:val="single" w:color="auto" w:sz="4" w:space="0"/>
              <w:left w:val="single" w:color="auto" w:sz="4" w:space="0"/>
              <w:bottom w:val="single" w:color="auto" w:sz="4" w:space="0"/>
              <w:right w:val="single" w:color="auto" w:sz="4" w:space="0"/>
            </w:tcBorders>
            <w:vAlign w:val="center"/>
          </w:tcPr>
          <w:p w14:paraId="2CADE7DA">
            <w:pPr>
              <w:jc w:val="center"/>
              <w:rPr>
                <w:rFonts w:ascii="宋体" w:hAnsi="宋体" w:cs="宋体"/>
                <w:sz w:val="24"/>
              </w:rPr>
            </w:pPr>
            <w:r>
              <w:rPr>
                <w:rFonts w:hint="eastAsia"/>
              </w:rPr>
              <w:t>包</w:t>
            </w:r>
          </w:p>
        </w:tc>
        <w:tc>
          <w:tcPr>
            <w:tcW w:w="1057" w:type="dxa"/>
            <w:tcBorders>
              <w:top w:val="single" w:color="auto" w:sz="4" w:space="0"/>
              <w:left w:val="single" w:color="auto" w:sz="4" w:space="0"/>
              <w:bottom w:val="single" w:color="auto" w:sz="4" w:space="0"/>
              <w:right w:val="single" w:color="auto" w:sz="4" w:space="0"/>
            </w:tcBorders>
            <w:vAlign w:val="center"/>
          </w:tcPr>
          <w:p w14:paraId="5FB0439D">
            <w:pPr>
              <w:widowControl/>
              <w:jc w:val="center"/>
              <w:textAlignment w:val="center"/>
              <w:rPr>
                <w:lang w:bidi="ar"/>
              </w:rPr>
            </w:pPr>
            <w:r>
              <w:rPr>
                <w:kern w:val="0"/>
                <w:szCs w:val="21"/>
                <w:lang w:bidi="ar"/>
              </w:rPr>
              <w:t>1200</w:t>
            </w:r>
            <w:r>
              <w:rPr>
                <w:rFonts w:hint="eastAsia"/>
                <w:kern w:val="0"/>
                <w:szCs w:val="21"/>
                <w:lang w:bidi="ar"/>
              </w:rPr>
              <w:t>.00</w:t>
            </w:r>
          </w:p>
        </w:tc>
        <w:tc>
          <w:tcPr>
            <w:tcW w:w="1072" w:type="dxa"/>
            <w:vMerge w:val="continue"/>
            <w:tcBorders>
              <w:left w:val="single" w:color="auto" w:sz="4" w:space="0"/>
              <w:right w:val="single" w:color="auto" w:sz="4" w:space="0"/>
            </w:tcBorders>
            <w:vAlign w:val="center"/>
          </w:tcPr>
          <w:p w14:paraId="63A715CE">
            <w:pPr>
              <w:jc w:val="center"/>
            </w:pPr>
          </w:p>
        </w:tc>
        <w:tc>
          <w:tcPr>
            <w:tcW w:w="4231" w:type="dxa"/>
            <w:tcBorders>
              <w:top w:val="single" w:color="auto" w:sz="4" w:space="0"/>
              <w:left w:val="single" w:color="auto" w:sz="4" w:space="0"/>
              <w:bottom w:val="single" w:color="auto" w:sz="4" w:space="0"/>
              <w:right w:val="single" w:color="auto" w:sz="4" w:space="0"/>
            </w:tcBorders>
            <w:vAlign w:val="center"/>
          </w:tcPr>
          <w:p w14:paraId="7A2D99BA">
            <w:pPr>
              <w:numPr>
                <w:ilvl w:val="0"/>
                <w:numId w:val="6"/>
              </w:numPr>
              <w:ind w:hanging="339"/>
              <w:jc w:val="left"/>
            </w:pPr>
            <w:r>
              <w:rPr>
                <w:rFonts w:hint="eastAsia"/>
              </w:rPr>
              <w:t>规格：500g/包</w:t>
            </w:r>
          </w:p>
          <w:p w14:paraId="4A6AA6BE">
            <w:pPr>
              <w:numPr>
                <w:ilvl w:val="0"/>
                <w:numId w:val="6"/>
              </w:numPr>
              <w:ind w:left="0" w:firstLine="79" w:firstLineChars="38"/>
              <w:jc w:val="left"/>
            </w:pPr>
            <w:r>
              <w:rPr>
                <w:rFonts w:hint="eastAsia"/>
              </w:rPr>
              <w:t>包装完整、有生产厂家、地址、联系号码、生产日期（近期）和保质期；</w:t>
            </w:r>
          </w:p>
          <w:p w14:paraId="60144337">
            <w:pPr>
              <w:numPr>
                <w:ilvl w:val="0"/>
                <w:numId w:val="6"/>
              </w:numPr>
              <w:ind w:left="0" w:firstLine="79" w:firstLineChars="38"/>
              <w:jc w:val="left"/>
            </w:pPr>
            <w:r>
              <w:rPr>
                <w:rFonts w:hint="eastAsia"/>
              </w:rPr>
              <w:t xml:space="preserve">产品无杂质、无发霉、变质和异味；                                                                             </w:t>
            </w:r>
          </w:p>
          <w:p w14:paraId="0070AA02">
            <w:pPr>
              <w:numPr>
                <w:ilvl w:val="0"/>
                <w:numId w:val="6"/>
              </w:numPr>
              <w:ind w:left="0" w:firstLine="79" w:firstLineChars="38"/>
              <w:jc w:val="left"/>
            </w:pPr>
            <w:r>
              <w:rPr>
                <w:rFonts w:hint="eastAsia"/>
              </w:rPr>
              <w:t>质量符合国家食品卫生标准。</w:t>
            </w:r>
          </w:p>
        </w:tc>
        <w:tc>
          <w:tcPr>
            <w:tcW w:w="1134" w:type="dxa"/>
            <w:tcBorders>
              <w:top w:val="single" w:color="auto" w:sz="4" w:space="0"/>
              <w:left w:val="single" w:color="auto" w:sz="4" w:space="0"/>
              <w:bottom w:val="single" w:color="auto" w:sz="4" w:space="0"/>
              <w:right w:val="single" w:color="auto" w:sz="4" w:space="0"/>
            </w:tcBorders>
            <w:vAlign w:val="center"/>
          </w:tcPr>
          <w:p w14:paraId="369BD20F">
            <w:pPr>
              <w:widowControl/>
              <w:jc w:val="center"/>
              <w:rPr>
                <w:lang w:bidi="ar"/>
              </w:rPr>
            </w:pPr>
            <w:r>
              <w:rPr>
                <w:lang w:bidi="ar"/>
              </w:rPr>
              <w:t xml:space="preserve">26.60 </w:t>
            </w:r>
          </w:p>
        </w:tc>
      </w:tr>
      <w:tr w14:paraId="6016DF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14:paraId="590834A2">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AF55F81">
            <w:pPr>
              <w:jc w:val="center"/>
              <w:rPr>
                <w:rFonts w:ascii="宋体" w:hAnsi="宋体" w:cs="宋体"/>
                <w:sz w:val="24"/>
              </w:rPr>
            </w:pPr>
            <w:r>
              <w:rPr>
                <w:rFonts w:hint="eastAsia"/>
              </w:rPr>
              <w:t>6</w:t>
            </w:r>
          </w:p>
        </w:tc>
        <w:tc>
          <w:tcPr>
            <w:tcW w:w="1131" w:type="dxa"/>
            <w:tcBorders>
              <w:top w:val="single" w:color="auto" w:sz="4" w:space="0"/>
              <w:left w:val="single" w:color="auto" w:sz="4" w:space="0"/>
              <w:bottom w:val="single" w:color="auto" w:sz="4" w:space="0"/>
              <w:right w:val="single" w:color="auto" w:sz="4" w:space="0"/>
            </w:tcBorders>
            <w:vAlign w:val="center"/>
          </w:tcPr>
          <w:p w14:paraId="24E458E9">
            <w:pPr>
              <w:jc w:val="center"/>
              <w:rPr>
                <w:rFonts w:ascii="宋体" w:hAnsi="宋体" w:cs="宋体"/>
                <w:sz w:val="24"/>
              </w:rPr>
            </w:pPr>
            <w:r>
              <w:rPr>
                <w:rFonts w:hint="eastAsia"/>
              </w:rPr>
              <w:t>味精</w:t>
            </w:r>
          </w:p>
        </w:tc>
        <w:tc>
          <w:tcPr>
            <w:tcW w:w="666" w:type="dxa"/>
            <w:tcBorders>
              <w:top w:val="single" w:color="auto" w:sz="4" w:space="0"/>
              <w:left w:val="single" w:color="auto" w:sz="4" w:space="0"/>
              <w:bottom w:val="single" w:color="auto" w:sz="4" w:space="0"/>
              <w:right w:val="single" w:color="auto" w:sz="4" w:space="0"/>
            </w:tcBorders>
            <w:vAlign w:val="center"/>
          </w:tcPr>
          <w:p w14:paraId="2AC546F1">
            <w:pPr>
              <w:jc w:val="center"/>
              <w:rPr>
                <w:rFonts w:ascii="宋体" w:hAnsi="宋体" w:cs="宋体"/>
                <w:sz w:val="24"/>
              </w:rPr>
            </w:pPr>
            <w:r>
              <w:rPr>
                <w:rFonts w:hint="eastAsia"/>
              </w:rPr>
              <w:t>包</w:t>
            </w:r>
          </w:p>
        </w:tc>
        <w:tc>
          <w:tcPr>
            <w:tcW w:w="1057" w:type="dxa"/>
            <w:tcBorders>
              <w:top w:val="single" w:color="auto" w:sz="4" w:space="0"/>
              <w:left w:val="single" w:color="auto" w:sz="4" w:space="0"/>
              <w:bottom w:val="single" w:color="auto" w:sz="4" w:space="0"/>
              <w:right w:val="single" w:color="auto" w:sz="4" w:space="0"/>
            </w:tcBorders>
            <w:vAlign w:val="center"/>
          </w:tcPr>
          <w:p w14:paraId="5A4BE183">
            <w:pPr>
              <w:widowControl/>
              <w:jc w:val="center"/>
              <w:textAlignment w:val="center"/>
              <w:rPr>
                <w:lang w:bidi="ar"/>
              </w:rPr>
            </w:pPr>
            <w:r>
              <w:rPr>
                <w:kern w:val="0"/>
                <w:szCs w:val="21"/>
                <w:lang w:bidi="ar"/>
              </w:rPr>
              <w:t>1200</w:t>
            </w:r>
            <w:r>
              <w:rPr>
                <w:rFonts w:hint="eastAsia"/>
                <w:kern w:val="0"/>
                <w:szCs w:val="21"/>
                <w:lang w:bidi="ar"/>
              </w:rPr>
              <w:t>.00</w:t>
            </w:r>
          </w:p>
        </w:tc>
        <w:tc>
          <w:tcPr>
            <w:tcW w:w="1072" w:type="dxa"/>
            <w:vMerge w:val="continue"/>
            <w:tcBorders>
              <w:left w:val="single" w:color="auto" w:sz="4" w:space="0"/>
              <w:right w:val="single" w:color="auto" w:sz="4" w:space="0"/>
            </w:tcBorders>
            <w:vAlign w:val="center"/>
          </w:tcPr>
          <w:p w14:paraId="25B58FF6">
            <w:pPr>
              <w:jc w:val="center"/>
            </w:pPr>
          </w:p>
        </w:tc>
        <w:tc>
          <w:tcPr>
            <w:tcW w:w="4231" w:type="dxa"/>
            <w:tcBorders>
              <w:top w:val="single" w:color="auto" w:sz="4" w:space="0"/>
              <w:left w:val="single" w:color="auto" w:sz="4" w:space="0"/>
              <w:bottom w:val="single" w:color="auto" w:sz="4" w:space="0"/>
              <w:right w:val="single" w:color="auto" w:sz="4" w:space="0"/>
            </w:tcBorders>
            <w:vAlign w:val="center"/>
          </w:tcPr>
          <w:p w14:paraId="0DBC533D">
            <w:pPr>
              <w:numPr>
                <w:ilvl w:val="0"/>
                <w:numId w:val="7"/>
              </w:numPr>
              <w:ind w:hanging="339"/>
              <w:jc w:val="left"/>
            </w:pPr>
            <w:r>
              <w:rPr>
                <w:rFonts w:hint="eastAsia"/>
              </w:rPr>
              <w:t>规格：1000g/包</w:t>
            </w:r>
          </w:p>
          <w:p w14:paraId="142E913D">
            <w:pPr>
              <w:numPr>
                <w:ilvl w:val="0"/>
                <w:numId w:val="7"/>
              </w:numPr>
              <w:ind w:left="0" w:firstLine="79" w:firstLineChars="38"/>
              <w:jc w:val="left"/>
              <w:rPr>
                <w:rFonts w:ascii="宋体" w:hAnsi="宋体" w:cs="宋体"/>
                <w:sz w:val="24"/>
              </w:rPr>
            </w:pPr>
            <w:r>
              <w:rPr>
                <w:rFonts w:hint="eastAsia"/>
              </w:rPr>
              <w:t>包装完整、有生产厂家、地址、联系号码、生产日期（近期）和保质期；</w:t>
            </w:r>
          </w:p>
          <w:p w14:paraId="65DD142A">
            <w:pPr>
              <w:numPr>
                <w:ilvl w:val="0"/>
                <w:numId w:val="7"/>
              </w:numPr>
              <w:ind w:left="0" w:firstLine="79" w:firstLineChars="38"/>
              <w:jc w:val="left"/>
              <w:rPr>
                <w:rFonts w:ascii="宋体" w:hAnsi="宋体" w:cs="宋体"/>
                <w:sz w:val="24"/>
              </w:rPr>
            </w:pPr>
            <w:r>
              <w:rPr>
                <w:rFonts w:hint="eastAsia"/>
              </w:rPr>
              <w:t>产品无沙子、无杂质、无发霉、变质和异味；</w:t>
            </w:r>
          </w:p>
          <w:p w14:paraId="6B5F4FD4">
            <w:pPr>
              <w:numPr>
                <w:ilvl w:val="0"/>
                <w:numId w:val="7"/>
              </w:numPr>
              <w:ind w:left="0" w:firstLine="79" w:firstLineChars="38"/>
              <w:jc w:val="left"/>
              <w:rPr>
                <w:rFonts w:ascii="宋体" w:hAnsi="宋体" w:cs="宋体"/>
                <w:sz w:val="24"/>
              </w:rPr>
            </w:pPr>
            <w:r>
              <w:rPr>
                <w:rFonts w:hint="eastAsia"/>
              </w:rPr>
              <w:t>质量符合国家食品卫生标准。</w:t>
            </w:r>
          </w:p>
        </w:tc>
        <w:tc>
          <w:tcPr>
            <w:tcW w:w="1134" w:type="dxa"/>
            <w:tcBorders>
              <w:top w:val="single" w:color="auto" w:sz="4" w:space="0"/>
              <w:left w:val="single" w:color="auto" w:sz="4" w:space="0"/>
              <w:bottom w:val="single" w:color="auto" w:sz="4" w:space="0"/>
              <w:right w:val="single" w:color="auto" w:sz="4" w:space="0"/>
            </w:tcBorders>
            <w:vAlign w:val="center"/>
          </w:tcPr>
          <w:p w14:paraId="595B7FAD">
            <w:pPr>
              <w:widowControl/>
              <w:jc w:val="center"/>
              <w:rPr>
                <w:lang w:bidi="ar"/>
              </w:rPr>
            </w:pPr>
            <w:r>
              <w:rPr>
                <w:lang w:bidi="ar"/>
              </w:rPr>
              <w:t xml:space="preserve">9.50 </w:t>
            </w:r>
          </w:p>
        </w:tc>
      </w:tr>
      <w:tr w14:paraId="4CDC51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14:paraId="06A4BB89">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E35D793">
            <w:pPr>
              <w:jc w:val="center"/>
              <w:rPr>
                <w:rFonts w:ascii="宋体" w:hAnsi="宋体" w:cs="宋体"/>
                <w:sz w:val="24"/>
              </w:rPr>
            </w:pPr>
            <w:r>
              <w:rPr>
                <w:rFonts w:hint="eastAsia"/>
              </w:rPr>
              <w:t>7</w:t>
            </w:r>
          </w:p>
        </w:tc>
        <w:tc>
          <w:tcPr>
            <w:tcW w:w="1131" w:type="dxa"/>
            <w:tcBorders>
              <w:top w:val="single" w:color="auto" w:sz="4" w:space="0"/>
              <w:left w:val="single" w:color="auto" w:sz="4" w:space="0"/>
              <w:bottom w:val="single" w:color="auto" w:sz="4" w:space="0"/>
              <w:right w:val="single" w:color="auto" w:sz="4" w:space="0"/>
            </w:tcBorders>
            <w:vAlign w:val="center"/>
          </w:tcPr>
          <w:p w14:paraId="116DE834">
            <w:pPr>
              <w:jc w:val="center"/>
              <w:rPr>
                <w:rFonts w:ascii="宋体" w:hAnsi="宋体" w:cs="宋体"/>
                <w:sz w:val="24"/>
              </w:rPr>
            </w:pPr>
            <w:r>
              <w:rPr>
                <w:rFonts w:hint="eastAsia"/>
              </w:rPr>
              <w:t>豆瓣酱</w:t>
            </w:r>
          </w:p>
        </w:tc>
        <w:tc>
          <w:tcPr>
            <w:tcW w:w="666" w:type="dxa"/>
            <w:tcBorders>
              <w:top w:val="single" w:color="auto" w:sz="4" w:space="0"/>
              <w:left w:val="single" w:color="auto" w:sz="4" w:space="0"/>
              <w:bottom w:val="single" w:color="auto" w:sz="4" w:space="0"/>
              <w:right w:val="single" w:color="auto" w:sz="4" w:space="0"/>
            </w:tcBorders>
            <w:vAlign w:val="center"/>
          </w:tcPr>
          <w:p w14:paraId="2B740FB4">
            <w:pPr>
              <w:jc w:val="center"/>
              <w:rPr>
                <w:rFonts w:ascii="宋体" w:hAnsi="宋体" w:cs="宋体"/>
                <w:sz w:val="24"/>
              </w:rPr>
            </w:pPr>
            <w:r>
              <w:rPr>
                <w:rFonts w:hint="eastAsia"/>
              </w:rPr>
              <w:t>桶</w:t>
            </w:r>
          </w:p>
        </w:tc>
        <w:tc>
          <w:tcPr>
            <w:tcW w:w="1057" w:type="dxa"/>
            <w:tcBorders>
              <w:top w:val="single" w:color="auto" w:sz="4" w:space="0"/>
              <w:left w:val="single" w:color="auto" w:sz="4" w:space="0"/>
              <w:bottom w:val="single" w:color="auto" w:sz="4" w:space="0"/>
              <w:right w:val="single" w:color="auto" w:sz="4" w:space="0"/>
            </w:tcBorders>
            <w:vAlign w:val="center"/>
          </w:tcPr>
          <w:p w14:paraId="35E1F58F">
            <w:pPr>
              <w:widowControl/>
              <w:jc w:val="center"/>
              <w:textAlignment w:val="center"/>
              <w:rPr>
                <w:lang w:bidi="ar"/>
              </w:rPr>
            </w:pPr>
            <w:r>
              <w:rPr>
                <w:kern w:val="0"/>
                <w:szCs w:val="21"/>
                <w:lang w:bidi="ar"/>
              </w:rPr>
              <w:t>700</w:t>
            </w:r>
            <w:r>
              <w:rPr>
                <w:rFonts w:hint="eastAsia"/>
                <w:kern w:val="0"/>
                <w:szCs w:val="21"/>
                <w:lang w:bidi="ar"/>
              </w:rPr>
              <w:t>.00</w:t>
            </w:r>
          </w:p>
        </w:tc>
        <w:tc>
          <w:tcPr>
            <w:tcW w:w="1072" w:type="dxa"/>
            <w:vMerge w:val="continue"/>
            <w:tcBorders>
              <w:left w:val="single" w:color="auto" w:sz="4" w:space="0"/>
              <w:right w:val="single" w:color="auto" w:sz="4" w:space="0"/>
            </w:tcBorders>
            <w:vAlign w:val="center"/>
          </w:tcPr>
          <w:p w14:paraId="75C7ABB1">
            <w:pPr>
              <w:jc w:val="center"/>
            </w:pPr>
          </w:p>
        </w:tc>
        <w:tc>
          <w:tcPr>
            <w:tcW w:w="4231" w:type="dxa"/>
            <w:tcBorders>
              <w:top w:val="single" w:color="auto" w:sz="4" w:space="0"/>
              <w:left w:val="single" w:color="auto" w:sz="4" w:space="0"/>
              <w:bottom w:val="single" w:color="auto" w:sz="4" w:space="0"/>
              <w:right w:val="single" w:color="auto" w:sz="4" w:space="0"/>
            </w:tcBorders>
            <w:vAlign w:val="center"/>
          </w:tcPr>
          <w:p w14:paraId="1367F180">
            <w:pPr>
              <w:numPr>
                <w:ilvl w:val="0"/>
                <w:numId w:val="8"/>
              </w:numPr>
              <w:ind w:hanging="339"/>
              <w:jc w:val="left"/>
            </w:pPr>
            <w:r>
              <w:rPr>
                <w:rFonts w:hint="eastAsia"/>
              </w:rPr>
              <w:t>规格：5L/kg桶</w:t>
            </w:r>
          </w:p>
          <w:p w14:paraId="2C579370">
            <w:pPr>
              <w:numPr>
                <w:ilvl w:val="0"/>
                <w:numId w:val="8"/>
              </w:numPr>
              <w:ind w:left="0" w:firstLine="79" w:firstLineChars="38"/>
              <w:jc w:val="left"/>
            </w:pPr>
            <w:r>
              <w:rPr>
                <w:rFonts w:hint="eastAsia"/>
              </w:rPr>
              <w:t>包装完整、有生产厂家、地址、联系号码、生产日期（近期）和保质期；</w:t>
            </w:r>
          </w:p>
          <w:p w14:paraId="4FCF5755">
            <w:pPr>
              <w:numPr>
                <w:ilvl w:val="0"/>
                <w:numId w:val="8"/>
              </w:numPr>
              <w:ind w:left="0" w:firstLine="79" w:firstLineChars="38"/>
              <w:jc w:val="left"/>
            </w:pPr>
            <w:r>
              <w:rPr>
                <w:rFonts w:hint="eastAsia"/>
              </w:rPr>
              <w:t>产品无沙子、无杂质、无发霉、变质和异味。</w:t>
            </w:r>
          </w:p>
        </w:tc>
        <w:tc>
          <w:tcPr>
            <w:tcW w:w="1134" w:type="dxa"/>
            <w:tcBorders>
              <w:top w:val="single" w:color="auto" w:sz="4" w:space="0"/>
              <w:left w:val="single" w:color="auto" w:sz="4" w:space="0"/>
              <w:bottom w:val="single" w:color="auto" w:sz="4" w:space="0"/>
              <w:right w:val="single" w:color="auto" w:sz="4" w:space="0"/>
            </w:tcBorders>
            <w:vAlign w:val="center"/>
          </w:tcPr>
          <w:p w14:paraId="2DC2C2DD">
            <w:pPr>
              <w:widowControl/>
              <w:jc w:val="center"/>
              <w:rPr>
                <w:lang w:bidi="ar"/>
              </w:rPr>
            </w:pPr>
            <w:r>
              <w:rPr>
                <w:lang w:bidi="ar"/>
              </w:rPr>
              <w:t xml:space="preserve">28.50 </w:t>
            </w:r>
          </w:p>
        </w:tc>
      </w:tr>
      <w:tr w14:paraId="7FF53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14:paraId="6452D780">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5D7FF84">
            <w:pPr>
              <w:jc w:val="center"/>
              <w:rPr>
                <w:rFonts w:ascii="宋体" w:hAnsi="宋体" w:cs="宋体"/>
                <w:sz w:val="24"/>
              </w:rPr>
            </w:pPr>
            <w:r>
              <w:rPr>
                <w:rFonts w:hint="eastAsia"/>
              </w:rPr>
              <w:t>8</w:t>
            </w:r>
          </w:p>
        </w:tc>
        <w:tc>
          <w:tcPr>
            <w:tcW w:w="1131" w:type="dxa"/>
            <w:tcBorders>
              <w:top w:val="single" w:color="auto" w:sz="4" w:space="0"/>
              <w:left w:val="single" w:color="auto" w:sz="4" w:space="0"/>
              <w:bottom w:val="single" w:color="auto" w:sz="4" w:space="0"/>
              <w:right w:val="single" w:color="auto" w:sz="4" w:space="0"/>
            </w:tcBorders>
            <w:vAlign w:val="center"/>
          </w:tcPr>
          <w:p w14:paraId="6C4A4C83">
            <w:pPr>
              <w:jc w:val="center"/>
              <w:rPr>
                <w:rFonts w:ascii="宋体" w:hAnsi="宋体" w:cs="宋体"/>
                <w:sz w:val="24"/>
              </w:rPr>
            </w:pPr>
            <w:r>
              <w:rPr>
                <w:rFonts w:hint="eastAsia"/>
              </w:rPr>
              <w:t>辣椒酱</w:t>
            </w:r>
          </w:p>
        </w:tc>
        <w:tc>
          <w:tcPr>
            <w:tcW w:w="666" w:type="dxa"/>
            <w:tcBorders>
              <w:top w:val="single" w:color="auto" w:sz="4" w:space="0"/>
              <w:left w:val="single" w:color="auto" w:sz="4" w:space="0"/>
              <w:bottom w:val="single" w:color="auto" w:sz="4" w:space="0"/>
              <w:right w:val="single" w:color="auto" w:sz="4" w:space="0"/>
            </w:tcBorders>
            <w:vAlign w:val="center"/>
          </w:tcPr>
          <w:p w14:paraId="391EE7E9">
            <w:pPr>
              <w:jc w:val="center"/>
              <w:rPr>
                <w:rFonts w:ascii="宋体" w:hAnsi="宋体" w:cs="宋体"/>
                <w:sz w:val="24"/>
              </w:rPr>
            </w:pPr>
            <w:r>
              <w:rPr>
                <w:rFonts w:hint="eastAsia"/>
              </w:rPr>
              <w:t>桶</w:t>
            </w:r>
          </w:p>
        </w:tc>
        <w:tc>
          <w:tcPr>
            <w:tcW w:w="1057" w:type="dxa"/>
            <w:tcBorders>
              <w:top w:val="single" w:color="auto" w:sz="4" w:space="0"/>
              <w:left w:val="single" w:color="auto" w:sz="4" w:space="0"/>
              <w:bottom w:val="single" w:color="auto" w:sz="4" w:space="0"/>
              <w:right w:val="single" w:color="auto" w:sz="4" w:space="0"/>
            </w:tcBorders>
            <w:vAlign w:val="center"/>
          </w:tcPr>
          <w:p w14:paraId="77F6D69F">
            <w:pPr>
              <w:widowControl/>
              <w:jc w:val="center"/>
              <w:textAlignment w:val="center"/>
              <w:rPr>
                <w:lang w:bidi="ar"/>
              </w:rPr>
            </w:pPr>
            <w:r>
              <w:rPr>
                <w:kern w:val="0"/>
                <w:szCs w:val="21"/>
                <w:lang w:bidi="ar"/>
              </w:rPr>
              <w:t>100</w:t>
            </w:r>
            <w:r>
              <w:rPr>
                <w:rFonts w:hint="eastAsia"/>
                <w:kern w:val="0"/>
                <w:szCs w:val="21"/>
                <w:lang w:bidi="ar"/>
              </w:rPr>
              <w:t>.00</w:t>
            </w:r>
          </w:p>
        </w:tc>
        <w:tc>
          <w:tcPr>
            <w:tcW w:w="1072" w:type="dxa"/>
            <w:vMerge w:val="continue"/>
            <w:tcBorders>
              <w:left w:val="single" w:color="auto" w:sz="4" w:space="0"/>
              <w:right w:val="single" w:color="auto" w:sz="4" w:space="0"/>
            </w:tcBorders>
            <w:vAlign w:val="center"/>
          </w:tcPr>
          <w:p w14:paraId="0DEFA4F3">
            <w:pPr>
              <w:jc w:val="center"/>
            </w:pPr>
          </w:p>
        </w:tc>
        <w:tc>
          <w:tcPr>
            <w:tcW w:w="4231" w:type="dxa"/>
            <w:tcBorders>
              <w:top w:val="single" w:color="auto" w:sz="4" w:space="0"/>
              <w:left w:val="single" w:color="auto" w:sz="4" w:space="0"/>
              <w:bottom w:val="single" w:color="auto" w:sz="4" w:space="0"/>
              <w:right w:val="single" w:color="auto" w:sz="4" w:space="0"/>
            </w:tcBorders>
            <w:vAlign w:val="center"/>
          </w:tcPr>
          <w:p w14:paraId="44E0BDF8">
            <w:pPr>
              <w:numPr>
                <w:ilvl w:val="0"/>
                <w:numId w:val="9"/>
              </w:numPr>
              <w:ind w:hanging="339"/>
              <w:jc w:val="left"/>
            </w:pPr>
            <w:r>
              <w:rPr>
                <w:rFonts w:hint="eastAsia"/>
              </w:rPr>
              <w:t>规格：2000g/桶</w:t>
            </w:r>
          </w:p>
          <w:p w14:paraId="6CA38DBC">
            <w:pPr>
              <w:numPr>
                <w:ilvl w:val="0"/>
                <w:numId w:val="9"/>
              </w:numPr>
              <w:ind w:left="0" w:firstLine="79" w:firstLineChars="38"/>
              <w:jc w:val="left"/>
            </w:pPr>
            <w:r>
              <w:rPr>
                <w:rFonts w:hint="eastAsia"/>
              </w:rPr>
              <w:t>包装完整、有生产厂家、地址、联系号码、生产日期（近期）和保质期；</w:t>
            </w:r>
          </w:p>
          <w:p w14:paraId="326C450B">
            <w:pPr>
              <w:numPr>
                <w:ilvl w:val="0"/>
                <w:numId w:val="9"/>
              </w:numPr>
              <w:ind w:left="0" w:firstLine="79" w:firstLineChars="38"/>
              <w:jc w:val="left"/>
            </w:pPr>
            <w:r>
              <w:rPr>
                <w:rFonts w:hint="eastAsia"/>
              </w:rPr>
              <w:t>产品无沙子、无杂质、无发霉、变质和异味。</w:t>
            </w:r>
          </w:p>
        </w:tc>
        <w:tc>
          <w:tcPr>
            <w:tcW w:w="1134" w:type="dxa"/>
            <w:tcBorders>
              <w:top w:val="single" w:color="auto" w:sz="4" w:space="0"/>
              <w:left w:val="single" w:color="auto" w:sz="4" w:space="0"/>
              <w:bottom w:val="single" w:color="auto" w:sz="4" w:space="0"/>
              <w:right w:val="single" w:color="auto" w:sz="4" w:space="0"/>
            </w:tcBorders>
            <w:vAlign w:val="center"/>
          </w:tcPr>
          <w:p w14:paraId="57754979">
            <w:pPr>
              <w:widowControl/>
              <w:jc w:val="center"/>
              <w:rPr>
                <w:lang w:bidi="ar"/>
              </w:rPr>
            </w:pPr>
            <w:r>
              <w:rPr>
                <w:lang w:bidi="ar"/>
              </w:rPr>
              <w:t xml:space="preserve">19.00 </w:t>
            </w:r>
          </w:p>
        </w:tc>
      </w:tr>
      <w:tr w14:paraId="5B7DA6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14:paraId="428C87FF">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89DAE1E">
            <w:pPr>
              <w:jc w:val="center"/>
              <w:rPr>
                <w:rFonts w:ascii="宋体" w:hAnsi="宋体" w:cs="宋体"/>
                <w:sz w:val="24"/>
              </w:rPr>
            </w:pPr>
            <w:r>
              <w:rPr>
                <w:rFonts w:hint="eastAsia"/>
              </w:rPr>
              <w:t>9</w:t>
            </w:r>
          </w:p>
        </w:tc>
        <w:tc>
          <w:tcPr>
            <w:tcW w:w="1131" w:type="dxa"/>
            <w:tcBorders>
              <w:top w:val="single" w:color="auto" w:sz="4" w:space="0"/>
              <w:left w:val="single" w:color="auto" w:sz="4" w:space="0"/>
              <w:bottom w:val="single" w:color="auto" w:sz="4" w:space="0"/>
              <w:right w:val="single" w:color="auto" w:sz="4" w:space="0"/>
            </w:tcBorders>
            <w:vAlign w:val="center"/>
          </w:tcPr>
          <w:p w14:paraId="700655C6">
            <w:pPr>
              <w:jc w:val="center"/>
              <w:rPr>
                <w:rFonts w:ascii="宋体" w:hAnsi="宋体" w:cs="宋体"/>
                <w:sz w:val="24"/>
              </w:rPr>
            </w:pPr>
            <w:r>
              <w:rPr>
                <w:rFonts w:hint="eastAsia"/>
              </w:rPr>
              <w:t>老抽</w:t>
            </w:r>
          </w:p>
        </w:tc>
        <w:tc>
          <w:tcPr>
            <w:tcW w:w="666" w:type="dxa"/>
            <w:tcBorders>
              <w:top w:val="single" w:color="auto" w:sz="4" w:space="0"/>
              <w:left w:val="single" w:color="auto" w:sz="4" w:space="0"/>
              <w:bottom w:val="single" w:color="auto" w:sz="4" w:space="0"/>
              <w:right w:val="single" w:color="auto" w:sz="4" w:space="0"/>
            </w:tcBorders>
            <w:vAlign w:val="center"/>
          </w:tcPr>
          <w:p w14:paraId="3231EB15">
            <w:pPr>
              <w:jc w:val="center"/>
              <w:rPr>
                <w:rFonts w:ascii="宋体" w:hAnsi="宋体" w:cs="宋体"/>
                <w:sz w:val="24"/>
              </w:rPr>
            </w:pPr>
            <w:r>
              <w:rPr>
                <w:rFonts w:hint="eastAsia"/>
              </w:rPr>
              <w:t>桶</w:t>
            </w:r>
          </w:p>
        </w:tc>
        <w:tc>
          <w:tcPr>
            <w:tcW w:w="1057" w:type="dxa"/>
            <w:tcBorders>
              <w:top w:val="single" w:color="auto" w:sz="4" w:space="0"/>
              <w:left w:val="single" w:color="auto" w:sz="4" w:space="0"/>
              <w:bottom w:val="single" w:color="auto" w:sz="4" w:space="0"/>
              <w:right w:val="single" w:color="auto" w:sz="4" w:space="0"/>
            </w:tcBorders>
            <w:vAlign w:val="center"/>
          </w:tcPr>
          <w:p w14:paraId="2E19CD9A">
            <w:pPr>
              <w:widowControl/>
              <w:jc w:val="center"/>
              <w:textAlignment w:val="center"/>
              <w:rPr>
                <w:lang w:bidi="ar"/>
              </w:rPr>
            </w:pPr>
            <w:r>
              <w:rPr>
                <w:kern w:val="0"/>
                <w:szCs w:val="21"/>
                <w:lang w:bidi="ar"/>
              </w:rPr>
              <w:t>1500</w:t>
            </w:r>
            <w:r>
              <w:rPr>
                <w:rFonts w:hint="eastAsia"/>
                <w:kern w:val="0"/>
                <w:szCs w:val="21"/>
                <w:lang w:bidi="ar"/>
              </w:rPr>
              <w:t>.00</w:t>
            </w:r>
          </w:p>
        </w:tc>
        <w:tc>
          <w:tcPr>
            <w:tcW w:w="1072" w:type="dxa"/>
            <w:vMerge w:val="continue"/>
            <w:tcBorders>
              <w:left w:val="single" w:color="auto" w:sz="4" w:space="0"/>
              <w:right w:val="single" w:color="auto" w:sz="4" w:space="0"/>
            </w:tcBorders>
            <w:vAlign w:val="center"/>
          </w:tcPr>
          <w:p w14:paraId="67B52357">
            <w:pPr>
              <w:jc w:val="center"/>
            </w:pPr>
          </w:p>
        </w:tc>
        <w:tc>
          <w:tcPr>
            <w:tcW w:w="4231" w:type="dxa"/>
            <w:tcBorders>
              <w:top w:val="single" w:color="auto" w:sz="4" w:space="0"/>
              <w:left w:val="single" w:color="auto" w:sz="4" w:space="0"/>
              <w:bottom w:val="single" w:color="auto" w:sz="4" w:space="0"/>
              <w:right w:val="single" w:color="auto" w:sz="4" w:space="0"/>
            </w:tcBorders>
            <w:vAlign w:val="center"/>
          </w:tcPr>
          <w:p w14:paraId="64F6316B">
            <w:pPr>
              <w:numPr>
                <w:ilvl w:val="0"/>
                <w:numId w:val="10"/>
              </w:numPr>
              <w:ind w:hanging="339"/>
              <w:jc w:val="left"/>
            </w:pPr>
            <w:r>
              <w:rPr>
                <w:rFonts w:hint="eastAsia"/>
              </w:rPr>
              <w:t>规格：1.9L/桶</w:t>
            </w:r>
          </w:p>
          <w:p w14:paraId="39B97381">
            <w:pPr>
              <w:numPr>
                <w:ilvl w:val="0"/>
                <w:numId w:val="10"/>
              </w:numPr>
              <w:ind w:left="0" w:firstLine="79" w:firstLineChars="38"/>
              <w:jc w:val="left"/>
            </w:pPr>
            <w:r>
              <w:rPr>
                <w:rFonts w:hint="eastAsia"/>
              </w:rPr>
              <w:t>包装完整、有生产厂家、地址、联系号码、生产日期（近期）和保质期；</w:t>
            </w:r>
          </w:p>
          <w:p w14:paraId="5EC2F885">
            <w:pPr>
              <w:numPr>
                <w:ilvl w:val="0"/>
                <w:numId w:val="10"/>
              </w:numPr>
              <w:ind w:left="0" w:firstLine="79" w:firstLineChars="38"/>
              <w:jc w:val="left"/>
            </w:pPr>
            <w:r>
              <w:rPr>
                <w:rFonts w:hint="eastAsia"/>
              </w:rPr>
              <w:t xml:space="preserve">产品无杂质、无发霉、变质和异味；                                                              </w:t>
            </w:r>
          </w:p>
          <w:p w14:paraId="04754B36">
            <w:pPr>
              <w:numPr>
                <w:ilvl w:val="0"/>
                <w:numId w:val="10"/>
              </w:numPr>
              <w:ind w:left="0" w:firstLine="79" w:firstLineChars="38"/>
              <w:jc w:val="left"/>
            </w:pPr>
            <w:r>
              <w:t>符合国家标准：GB/T 18186</w:t>
            </w:r>
            <w:r>
              <w:rPr>
                <w:rFonts w:hint="eastAsia"/>
              </w:rPr>
              <w:t>。</w:t>
            </w:r>
          </w:p>
        </w:tc>
        <w:tc>
          <w:tcPr>
            <w:tcW w:w="1134" w:type="dxa"/>
            <w:tcBorders>
              <w:top w:val="single" w:color="auto" w:sz="4" w:space="0"/>
              <w:left w:val="single" w:color="auto" w:sz="4" w:space="0"/>
              <w:bottom w:val="single" w:color="auto" w:sz="4" w:space="0"/>
              <w:right w:val="single" w:color="auto" w:sz="4" w:space="0"/>
            </w:tcBorders>
            <w:vAlign w:val="center"/>
          </w:tcPr>
          <w:p w14:paraId="578BD23A">
            <w:pPr>
              <w:widowControl/>
              <w:jc w:val="center"/>
              <w:rPr>
                <w:lang w:bidi="ar"/>
              </w:rPr>
            </w:pPr>
            <w:r>
              <w:rPr>
                <w:lang w:bidi="ar"/>
              </w:rPr>
              <w:t xml:space="preserve">14.00 </w:t>
            </w:r>
          </w:p>
        </w:tc>
      </w:tr>
      <w:tr w14:paraId="2DF5D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14:paraId="683D50AA">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776A04E">
            <w:pPr>
              <w:jc w:val="center"/>
              <w:rPr>
                <w:rFonts w:ascii="宋体" w:hAnsi="宋体" w:cs="宋体"/>
                <w:sz w:val="24"/>
              </w:rPr>
            </w:pPr>
            <w:r>
              <w:rPr>
                <w:rFonts w:hint="eastAsia"/>
              </w:rPr>
              <w:t>10</w:t>
            </w:r>
          </w:p>
        </w:tc>
        <w:tc>
          <w:tcPr>
            <w:tcW w:w="1131" w:type="dxa"/>
            <w:tcBorders>
              <w:top w:val="single" w:color="auto" w:sz="4" w:space="0"/>
              <w:left w:val="single" w:color="auto" w:sz="4" w:space="0"/>
              <w:bottom w:val="single" w:color="auto" w:sz="4" w:space="0"/>
              <w:right w:val="single" w:color="auto" w:sz="4" w:space="0"/>
            </w:tcBorders>
            <w:vAlign w:val="center"/>
          </w:tcPr>
          <w:p w14:paraId="76E065BC">
            <w:pPr>
              <w:jc w:val="center"/>
              <w:rPr>
                <w:rFonts w:ascii="宋体" w:hAnsi="宋体" w:cs="宋体"/>
                <w:sz w:val="24"/>
              </w:rPr>
            </w:pPr>
            <w:r>
              <w:rPr>
                <w:rFonts w:hint="eastAsia"/>
              </w:rPr>
              <w:t>米醋</w:t>
            </w:r>
          </w:p>
        </w:tc>
        <w:tc>
          <w:tcPr>
            <w:tcW w:w="666" w:type="dxa"/>
            <w:tcBorders>
              <w:top w:val="single" w:color="auto" w:sz="4" w:space="0"/>
              <w:left w:val="single" w:color="auto" w:sz="4" w:space="0"/>
              <w:bottom w:val="single" w:color="auto" w:sz="4" w:space="0"/>
              <w:right w:val="single" w:color="auto" w:sz="4" w:space="0"/>
            </w:tcBorders>
            <w:vAlign w:val="center"/>
          </w:tcPr>
          <w:p w14:paraId="6CAD105F">
            <w:pPr>
              <w:jc w:val="center"/>
              <w:rPr>
                <w:rFonts w:ascii="宋体" w:hAnsi="宋体" w:cs="宋体"/>
                <w:sz w:val="24"/>
              </w:rPr>
            </w:pPr>
            <w:r>
              <w:rPr>
                <w:rFonts w:hint="eastAsia"/>
              </w:rPr>
              <w:t>包</w:t>
            </w:r>
          </w:p>
        </w:tc>
        <w:tc>
          <w:tcPr>
            <w:tcW w:w="1057" w:type="dxa"/>
            <w:tcBorders>
              <w:top w:val="single" w:color="auto" w:sz="4" w:space="0"/>
              <w:left w:val="single" w:color="auto" w:sz="4" w:space="0"/>
              <w:bottom w:val="single" w:color="auto" w:sz="4" w:space="0"/>
              <w:right w:val="single" w:color="auto" w:sz="4" w:space="0"/>
            </w:tcBorders>
            <w:vAlign w:val="center"/>
          </w:tcPr>
          <w:p w14:paraId="0FD35A77">
            <w:pPr>
              <w:widowControl/>
              <w:jc w:val="center"/>
              <w:textAlignment w:val="center"/>
              <w:rPr>
                <w:lang w:bidi="ar"/>
              </w:rPr>
            </w:pPr>
            <w:r>
              <w:rPr>
                <w:kern w:val="0"/>
                <w:szCs w:val="21"/>
                <w:lang w:bidi="ar"/>
              </w:rPr>
              <w:t>700</w:t>
            </w:r>
            <w:r>
              <w:rPr>
                <w:rFonts w:hint="eastAsia"/>
                <w:kern w:val="0"/>
                <w:szCs w:val="21"/>
                <w:lang w:bidi="ar"/>
              </w:rPr>
              <w:t>.00</w:t>
            </w:r>
          </w:p>
        </w:tc>
        <w:tc>
          <w:tcPr>
            <w:tcW w:w="1072" w:type="dxa"/>
            <w:vMerge w:val="continue"/>
            <w:tcBorders>
              <w:left w:val="single" w:color="auto" w:sz="4" w:space="0"/>
              <w:right w:val="single" w:color="auto" w:sz="4" w:space="0"/>
            </w:tcBorders>
            <w:vAlign w:val="center"/>
          </w:tcPr>
          <w:p w14:paraId="1C4CE0D8">
            <w:pPr>
              <w:jc w:val="center"/>
            </w:pPr>
          </w:p>
        </w:tc>
        <w:tc>
          <w:tcPr>
            <w:tcW w:w="4231" w:type="dxa"/>
            <w:tcBorders>
              <w:top w:val="single" w:color="auto" w:sz="4" w:space="0"/>
              <w:left w:val="single" w:color="auto" w:sz="4" w:space="0"/>
              <w:bottom w:val="single" w:color="auto" w:sz="4" w:space="0"/>
              <w:right w:val="single" w:color="auto" w:sz="4" w:space="0"/>
            </w:tcBorders>
            <w:vAlign w:val="center"/>
          </w:tcPr>
          <w:p w14:paraId="7BB30443">
            <w:pPr>
              <w:numPr>
                <w:ilvl w:val="0"/>
                <w:numId w:val="11"/>
              </w:numPr>
              <w:ind w:hanging="339"/>
              <w:jc w:val="left"/>
            </w:pPr>
            <w:r>
              <w:rPr>
                <w:rFonts w:hint="eastAsia"/>
              </w:rPr>
              <w:t>规格：400g/包</w:t>
            </w:r>
          </w:p>
          <w:p w14:paraId="09B60E19">
            <w:pPr>
              <w:numPr>
                <w:ilvl w:val="0"/>
                <w:numId w:val="11"/>
              </w:numPr>
              <w:ind w:left="0" w:firstLine="79" w:firstLineChars="38"/>
              <w:jc w:val="left"/>
              <w:rPr>
                <w:rFonts w:ascii="宋体" w:hAnsi="宋体" w:cs="宋体"/>
                <w:sz w:val="24"/>
              </w:rPr>
            </w:pPr>
            <w:r>
              <w:rPr>
                <w:rFonts w:hint="eastAsia"/>
              </w:rPr>
              <w:t>包装完整、有生产厂家、地址、联系号码、生产日期（近期）和保质期；</w:t>
            </w:r>
          </w:p>
          <w:p w14:paraId="3F039990">
            <w:pPr>
              <w:numPr>
                <w:ilvl w:val="0"/>
                <w:numId w:val="11"/>
              </w:numPr>
              <w:ind w:left="0" w:firstLine="79" w:firstLineChars="38"/>
              <w:jc w:val="left"/>
              <w:rPr>
                <w:rFonts w:ascii="宋体" w:hAnsi="宋体" w:cs="宋体"/>
                <w:sz w:val="24"/>
              </w:rPr>
            </w:pPr>
            <w:r>
              <w:rPr>
                <w:rFonts w:hint="eastAsia"/>
              </w:rPr>
              <w:t xml:space="preserve">产品无杂质、无发霉、变质和异味。                                                   </w:t>
            </w:r>
          </w:p>
        </w:tc>
        <w:tc>
          <w:tcPr>
            <w:tcW w:w="1134" w:type="dxa"/>
            <w:tcBorders>
              <w:top w:val="single" w:color="auto" w:sz="4" w:space="0"/>
              <w:left w:val="single" w:color="auto" w:sz="4" w:space="0"/>
              <w:bottom w:val="single" w:color="auto" w:sz="4" w:space="0"/>
              <w:right w:val="single" w:color="auto" w:sz="4" w:space="0"/>
            </w:tcBorders>
            <w:vAlign w:val="center"/>
          </w:tcPr>
          <w:p w14:paraId="1E0FC42E">
            <w:pPr>
              <w:widowControl/>
              <w:jc w:val="center"/>
              <w:rPr>
                <w:lang w:bidi="ar"/>
              </w:rPr>
            </w:pPr>
            <w:r>
              <w:rPr>
                <w:lang w:bidi="ar"/>
              </w:rPr>
              <w:t xml:space="preserve">1.14 </w:t>
            </w:r>
          </w:p>
        </w:tc>
      </w:tr>
      <w:tr w14:paraId="24D49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14:paraId="6C1F6C7B">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3FAB328">
            <w:pPr>
              <w:jc w:val="center"/>
              <w:rPr>
                <w:rFonts w:ascii="宋体" w:hAnsi="宋体" w:cs="宋体"/>
                <w:sz w:val="24"/>
              </w:rPr>
            </w:pPr>
            <w:r>
              <w:rPr>
                <w:rFonts w:hint="eastAsia"/>
              </w:rPr>
              <w:t>11</w:t>
            </w:r>
          </w:p>
        </w:tc>
        <w:tc>
          <w:tcPr>
            <w:tcW w:w="1131" w:type="dxa"/>
            <w:tcBorders>
              <w:top w:val="single" w:color="auto" w:sz="4" w:space="0"/>
              <w:left w:val="single" w:color="auto" w:sz="4" w:space="0"/>
              <w:bottom w:val="single" w:color="auto" w:sz="4" w:space="0"/>
              <w:right w:val="single" w:color="auto" w:sz="4" w:space="0"/>
            </w:tcBorders>
            <w:vAlign w:val="center"/>
          </w:tcPr>
          <w:p w14:paraId="31694C09">
            <w:pPr>
              <w:jc w:val="center"/>
              <w:rPr>
                <w:rFonts w:ascii="宋体" w:hAnsi="宋体" w:cs="宋体"/>
                <w:sz w:val="24"/>
              </w:rPr>
            </w:pPr>
            <w:r>
              <w:rPr>
                <w:rFonts w:hint="eastAsia"/>
              </w:rPr>
              <w:t>豆腐乳</w:t>
            </w:r>
          </w:p>
        </w:tc>
        <w:tc>
          <w:tcPr>
            <w:tcW w:w="666" w:type="dxa"/>
            <w:tcBorders>
              <w:top w:val="single" w:color="auto" w:sz="4" w:space="0"/>
              <w:left w:val="single" w:color="auto" w:sz="4" w:space="0"/>
              <w:bottom w:val="single" w:color="auto" w:sz="4" w:space="0"/>
              <w:right w:val="single" w:color="auto" w:sz="4" w:space="0"/>
            </w:tcBorders>
            <w:vAlign w:val="center"/>
          </w:tcPr>
          <w:p w14:paraId="034EDE51">
            <w:pPr>
              <w:jc w:val="center"/>
              <w:rPr>
                <w:rFonts w:ascii="宋体" w:hAnsi="宋体" w:cs="宋体"/>
                <w:sz w:val="24"/>
              </w:rPr>
            </w:pPr>
            <w:r>
              <w:rPr>
                <w:rFonts w:hint="eastAsia"/>
              </w:rPr>
              <w:t>瓶</w:t>
            </w:r>
          </w:p>
        </w:tc>
        <w:tc>
          <w:tcPr>
            <w:tcW w:w="1057" w:type="dxa"/>
            <w:tcBorders>
              <w:top w:val="single" w:color="auto" w:sz="4" w:space="0"/>
              <w:left w:val="single" w:color="auto" w:sz="4" w:space="0"/>
              <w:bottom w:val="single" w:color="auto" w:sz="4" w:space="0"/>
              <w:right w:val="single" w:color="auto" w:sz="4" w:space="0"/>
            </w:tcBorders>
            <w:vAlign w:val="center"/>
          </w:tcPr>
          <w:p w14:paraId="55D24ABF">
            <w:pPr>
              <w:widowControl/>
              <w:jc w:val="center"/>
              <w:textAlignment w:val="center"/>
              <w:rPr>
                <w:lang w:bidi="ar"/>
              </w:rPr>
            </w:pPr>
            <w:r>
              <w:rPr>
                <w:kern w:val="0"/>
                <w:szCs w:val="21"/>
                <w:lang w:bidi="ar"/>
              </w:rPr>
              <w:t>1500</w:t>
            </w:r>
            <w:r>
              <w:rPr>
                <w:rFonts w:hint="eastAsia"/>
                <w:kern w:val="0"/>
                <w:szCs w:val="21"/>
                <w:lang w:bidi="ar"/>
              </w:rPr>
              <w:t>.00</w:t>
            </w:r>
          </w:p>
        </w:tc>
        <w:tc>
          <w:tcPr>
            <w:tcW w:w="1072" w:type="dxa"/>
            <w:vMerge w:val="continue"/>
            <w:tcBorders>
              <w:left w:val="single" w:color="auto" w:sz="4" w:space="0"/>
              <w:right w:val="single" w:color="auto" w:sz="4" w:space="0"/>
            </w:tcBorders>
            <w:vAlign w:val="center"/>
          </w:tcPr>
          <w:p w14:paraId="388969CF">
            <w:pPr>
              <w:jc w:val="center"/>
            </w:pPr>
          </w:p>
        </w:tc>
        <w:tc>
          <w:tcPr>
            <w:tcW w:w="4231" w:type="dxa"/>
            <w:tcBorders>
              <w:top w:val="single" w:color="auto" w:sz="4" w:space="0"/>
              <w:left w:val="single" w:color="auto" w:sz="4" w:space="0"/>
              <w:bottom w:val="single" w:color="auto" w:sz="4" w:space="0"/>
              <w:right w:val="single" w:color="auto" w:sz="4" w:space="0"/>
            </w:tcBorders>
            <w:vAlign w:val="center"/>
          </w:tcPr>
          <w:p w14:paraId="46693A88">
            <w:pPr>
              <w:numPr>
                <w:ilvl w:val="0"/>
                <w:numId w:val="12"/>
              </w:numPr>
              <w:ind w:hanging="339"/>
              <w:jc w:val="left"/>
            </w:pPr>
            <w:r>
              <w:rPr>
                <w:rFonts w:hint="eastAsia"/>
              </w:rPr>
              <w:t>规格：280g/瓶</w:t>
            </w:r>
          </w:p>
          <w:p w14:paraId="0E0A124F">
            <w:pPr>
              <w:numPr>
                <w:ilvl w:val="0"/>
                <w:numId w:val="12"/>
              </w:numPr>
              <w:ind w:left="0" w:firstLine="79" w:firstLineChars="38"/>
              <w:jc w:val="left"/>
              <w:rPr>
                <w:rFonts w:ascii="宋体" w:hAnsi="宋体" w:cs="宋体"/>
                <w:sz w:val="24"/>
              </w:rPr>
            </w:pPr>
            <w:r>
              <w:rPr>
                <w:rFonts w:hint="eastAsia"/>
              </w:rPr>
              <w:t>包装完整（包装为非玻璃制品）、有生产厂家、地址、联系号码、生产日期（近期）和保质期；</w:t>
            </w:r>
          </w:p>
          <w:p w14:paraId="41C0D201">
            <w:pPr>
              <w:numPr>
                <w:ilvl w:val="0"/>
                <w:numId w:val="12"/>
              </w:numPr>
              <w:ind w:left="0" w:firstLine="79" w:firstLineChars="38"/>
              <w:jc w:val="left"/>
              <w:rPr>
                <w:rFonts w:ascii="宋体" w:hAnsi="宋体" w:cs="宋体"/>
                <w:sz w:val="24"/>
              </w:rPr>
            </w:pPr>
            <w:r>
              <w:rPr>
                <w:rFonts w:hint="eastAsia"/>
              </w:rPr>
              <w:t xml:space="preserve">产品无杂质、无发霉、变质和异味。                                                             </w:t>
            </w:r>
          </w:p>
        </w:tc>
        <w:tc>
          <w:tcPr>
            <w:tcW w:w="1134" w:type="dxa"/>
            <w:tcBorders>
              <w:top w:val="single" w:color="auto" w:sz="4" w:space="0"/>
              <w:left w:val="single" w:color="auto" w:sz="4" w:space="0"/>
              <w:bottom w:val="single" w:color="auto" w:sz="4" w:space="0"/>
              <w:right w:val="single" w:color="auto" w:sz="4" w:space="0"/>
            </w:tcBorders>
            <w:vAlign w:val="center"/>
          </w:tcPr>
          <w:p w14:paraId="54253400">
            <w:pPr>
              <w:widowControl/>
              <w:jc w:val="center"/>
              <w:rPr>
                <w:lang w:bidi="ar"/>
              </w:rPr>
            </w:pPr>
            <w:r>
              <w:rPr>
                <w:lang w:bidi="ar"/>
              </w:rPr>
              <w:t xml:space="preserve">5.70 </w:t>
            </w:r>
          </w:p>
        </w:tc>
      </w:tr>
      <w:tr w14:paraId="0DB68B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14:paraId="5B2CBC01">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D70C47D">
            <w:pPr>
              <w:jc w:val="center"/>
              <w:rPr>
                <w:rFonts w:ascii="宋体" w:hAnsi="宋体" w:cs="宋体"/>
                <w:sz w:val="24"/>
              </w:rPr>
            </w:pPr>
            <w:r>
              <w:rPr>
                <w:rFonts w:hint="eastAsia"/>
              </w:rPr>
              <w:t>12</w:t>
            </w:r>
          </w:p>
        </w:tc>
        <w:tc>
          <w:tcPr>
            <w:tcW w:w="1131" w:type="dxa"/>
            <w:tcBorders>
              <w:top w:val="single" w:color="auto" w:sz="4" w:space="0"/>
              <w:left w:val="single" w:color="auto" w:sz="4" w:space="0"/>
              <w:bottom w:val="single" w:color="auto" w:sz="4" w:space="0"/>
              <w:right w:val="single" w:color="auto" w:sz="4" w:space="0"/>
            </w:tcBorders>
            <w:vAlign w:val="center"/>
          </w:tcPr>
          <w:p w14:paraId="3F505DFD">
            <w:pPr>
              <w:jc w:val="center"/>
              <w:rPr>
                <w:rFonts w:ascii="宋体" w:hAnsi="宋体" w:cs="宋体"/>
                <w:sz w:val="24"/>
              </w:rPr>
            </w:pPr>
            <w:r>
              <w:rPr>
                <w:rFonts w:hint="eastAsia"/>
              </w:rPr>
              <w:t>干酵母粉</w:t>
            </w:r>
          </w:p>
        </w:tc>
        <w:tc>
          <w:tcPr>
            <w:tcW w:w="666" w:type="dxa"/>
            <w:tcBorders>
              <w:top w:val="single" w:color="auto" w:sz="4" w:space="0"/>
              <w:left w:val="single" w:color="auto" w:sz="4" w:space="0"/>
              <w:bottom w:val="single" w:color="auto" w:sz="4" w:space="0"/>
              <w:right w:val="single" w:color="auto" w:sz="4" w:space="0"/>
            </w:tcBorders>
            <w:vAlign w:val="center"/>
          </w:tcPr>
          <w:p w14:paraId="4D713E8B">
            <w:pPr>
              <w:jc w:val="center"/>
              <w:rPr>
                <w:rFonts w:ascii="宋体" w:hAnsi="宋体" w:cs="宋体"/>
                <w:sz w:val="24"/>
              </w:rPr>
            </w:pPr>
            <w:r>
              <w:rPr>
                <w:rFonts w:hint="eastAsia"/>
              </w:rPr>
              <w:t>包</w:t>
            </w:r>
          </w:p>
        </w:tc>
        <w:tc>
          <w:tcPr>
            <w:tcW w:w="1057" w:type="dxa"/>
            <w:tcBorders>
              <w:top w:val="single" w:color="auto" w:sz="4" w:space="0"/>
              <w:left w:val="single" w:color="auto" w:sz="4" w:space="0"/>
              <w:bottom w:val="single" w:color="auto" w:sz="4" w:space="0"/>
              <w:right w:val="single" w:color="auto" w:sz="4" w:space="0"/>
            </w:tcBorders>
            <w:vAlign w:val="center"/>
          </w:tcPr>
          <w:p w14:paraId="2871C571">
            <w:pPr>
              <w:widowControl/>
              <w:jc w:val="center"/>
              <w:textAlignment w:val="center"/>
              <w:rPr>
                <w:lang w:bidi="ar"/>
              </w:rPr>
            </w:pPr>
            <w:r>
              <w:rPr>
                <w:kern w:val="0"/>
                <w:szCs w:val="21"/>
                <w:lang w:bidi="ar"/>
              </w:rPr>
              <w:t>700</w:t>
            </w:r>
            <w:r>
              <w:rPr>
                <w:rFonts w:hint="eastAsia"/>
                <w:kern w:val="0"/>
                <w:szCs w:val="21"/>
                <w:lang w:bidi="ar"/>
              </w:rPr>
              <w:t>.00</w:t>
            </w:r>
          </w:p>
        </w:tc>
        <w:tc>
          <w:tcPr>
            <w:tcW w:w="1072" w:type="dxa"/>
            <w:vMerge w:val="continue"/>
            <w:tcBorders>
              <w:left w:val="single" w:color="auto" w:sz="4" w:space="0"/>
              <w:right w:val="single" w:color="auto" w:sz="4" w:space="0"/>
            </w:tcBorders>
            <w:vAlign w:val="center"/>
          </w:tcPr>
          <w:p w14:paraId="2F6B309A">
            <w:pPr>
              <w:jc w:val="center"/>
            </w:pPr>
          </w:p>
        </w:tc>
        <w:tc>
          <w:tcPr>
            <w:tcW w:w="4231" w:type="dxa"/>
            <w:tcBorders>
              <w:top w:val="single" w:color="auto" w:sz="4" w:space="0"/>
              <w:left w:val="single" w:color="auto" w:sz="4" w:space="0"/>
              <w:bottom w:val="single" w:color="auto" w:sz="4" w:space="0"/>
              <w:right w:val="single" w:color="auto" w:sz="4" w:space="0"/>
            </w:tcBorders>
            <w:vAlign w:val="center"/>
          </w:tcPr>
          <w:p w14:paraId="60A623AC">
            <w:pPr>
              <w:numPr>
                <w:ilvl w:val="0"/>
                <w:numId w:val="13"/>
              </w:numPr>
              <w:ind w:hanging="339"/>
              <w:jc w:val="left"/>
            </w:pPr>
            <w:r>
              <w:rPr>
                <w:rFonts w:hint="eastAsia"/>
              </w:rPr>
              <w:t>规格：500g/包</w:t>
            </w:r>
          </w:p>
          <w:p w14:paraId="08698B83">
            <w:pPr>
              <w:numPr>
                <w:ilvl w:val="0"/>
                <w:numId w:val="13"/>
              </w:numPr>
              <w:ind w:left="0" w:firstLine="79" w:firstLineChars="38"/>
              <w:jc w:val="left"/>
            </w:pPr>
            <w:r>
              <w:rPr>
                <w:rFonts w:hint="eastAsia"/>
              </w:rPr>
              <w:t>包装完整、有生产厂家、地址、联系号码、生产日期（近期）和保质期；</w:t>
            </w:r>
          </w:p>
          <w:p w14:paraId="1C368136">
            <w:pPr>
              <w:numPr>
                <w:ilvl w:val="0"/>
                <w:numId w:val="13"/>
              </w:numPr>
              <w:ind w:left="0" w:firstLine="79" w:firstLineChars="38"/>
              <w:jc w:val="left"/>
              <w:rPr>
                <w:rFonts w:ascii="宋体" w:hAnsi="宋体" w:cs="宋体"/>
                <w:sz w:val="24"/>
              </w:rPr>
            </w:pPr>
            <w:r>
              <w:rPr>
                <w:rFonts w:hint="eastAsia"/>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vAlign w:val="center"/>
          </w:tcPr>
          <w:p w14:paraId="07654AAD">
            <w:pPr>
              <w:widowControl/>
              <w:jc w:val="center"/>
              <w:rPr>
                <w:lang w:bidi="ar"/>
              </w:rPr>
            </w:pPr>
            <w:r>
              <w:rPr>
                <w:lang w:bidi="ar"/>
              </w:rPr>
              <w:t xml:space="preserve">19.00 </w:t>
            </w:r>
          </w:p>
        </w:tc>
      </w:tr>
      <w:tr w14:paraId="16D9A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14:paraId="6B59A053">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7E558DB">
            <w:pPr>
              <w:jc w:val="center"/>
              <w:rPr>
                <w:rFonts w:ascii="宋体" w:hAnsi="宋体" w:cs="宋体"/>
                <w:sz w:val="24"/>
              </w:rPr>
            </w:pPr>
            <w:r>
              <w:rPr>
                <w:rFonts w:hint="eastAsia"/>
              </w:rPr>
              <w:t>13</w:t>
            </w:r>
          </w:p>
        </w:tc>
        <w:tc>
          <w:tcPr>
            <w:tcW w:w="1131" w:type="dxa"/>
            <w:tcBorders>
              <w:top w:val="single" w:color="auto" w:sz="4" w:space="0"/>
              <w:left w:val="single" w:color="auto" w:sz="4" w:space="0"/>
              <w:bottom w:val="single" w:color="auto" w:sz="4" w:space="0"/>
              <w:right w:val="single" w:color="auto" w:sz="4" w:space="0"/>
            </w:tcBorders>
            <w:vAlign w:val="center"/>
          </w:tcPr>
          <w:p w14:paraId="202AD068">
            <w:pPr>
              <w:jc w:val="center"/>
              <w:rPr>
                <w:rFonts w:ascii="宋体" w:hAnsi="宋体" w:cs="宋体"/>
                <w:sz w:val="24"/>
              </w:rPr>
            </w:pPr>
            <w:r>
              <w:rPr>
                <w:rFonts w:hint="eastAsia"/>
              </w:rPr>
              <w:t>胡椒粉</w:t>
            </w:r>
          </w:p>
        </w:tc>
        <w:tc>
          <w:tcPr>
            <w:tcW w:w="666" w:type="dxa"/>
            <w:tcBorders>
              <w:top w:val="single" w:color="auto" w:sz="4" w:space="0"/>
              <w:left w:val="single" w:color="auto" w:sz="4" w:space="0"/>
              <w:bottom w:val="single" w:color="auto" w:sz="4" w:space="0"/>
              <w:right w:val="single" w:color="auto" w:sz="4" w:space="0"/>
            </w:tcBorders>
            <w:vAlign w:val="center"/>
          </w:tcPr>
          <w:p w14:paraId="3FEAF595">
            <w:pPr>
              <w:jc w:val="center"/>
              <w:rPr>
                <w:rFonts w:ascii="宋体" w:hAnsi="宋体" w:cs="宋体"/>
                <w:sz w:val="24"/>
              </w:rPr>
            </w:pPr>
            <w:r>
              <w:rPr>
                <w:rFonts w:hint="eastAsia"/>
              </w:rPr>
              <w:t>包</w:t>
            </w:r>
          </w:p>
        </w:tc>
        <w:tc>
          <w:tcPr>
            <w:tcW w:w="1057" w:type="dxa"/>
            <w:tcBorders>
              <w:top w:val="single" w:color="auto" w:sz="4" w:space="0"/>
              <w:left w:val="single" w:color="auto" w:sz="4" w:space="0"/>
              <w:bottom w:val="single" w:color="auto" w:sz="4" w:space="0"/>
              <w:right w:val="single" w:color="auto" w:sz="4" w:space="0"/>
            </w:tcBorders>
            <w:vAlign w:val="center"/>
          </w:tcPr>
          <w:p w14:paraId="656B0A0F">
            <w:pPr>
              <w:widowControl/>
              <w:jc w:val="center"/>
              <w:textAlignment w:val="center"/>
              <w:rPr>
                <w:lang w:bidi="ar"/>
              </w:rPr>
            </w:pPr>
            <w:r>
              <w:rPr>
                <w:kern w:val="0"/>
                <w:szCs w:val="21"/>
                <w:lang w:bidi="ar"/>
              </w:rPr>
              <w:t>500</w:t>
            </w:r>
            <w:r>
              <w:rPr>
                <w:rFonts w:hint="eastAsia"/>
                <w:kern w:val="0"/>
                <w:szCs w:val="21"/>
                <w:lang w:bidi="ar"/>
              </w:rPr>
              <w:t>.00</w:t>
            </w:r>
          </w:p>
        </w:tc>
        <w:tc>
          <w:tcPr>
            <w:tcW w:w="1072" w:type="dxa"/>
            <w:vMerge w:val="continue"/>
            <w:tcBorders>
              <w:left w:val="single" w:color="auto" w:sz="4" w:space="0"/>
              <w:right w:val="single" w:color="auto" w:sz="4" w:space="0"/>
            </w:tcBorders>
            <w:vAlign w:val="center"/>
          </w:tcPr>
          <w:p w14:paraId="0979BAC5">
            <w:pPr>
              <w:jc w:val="center"/>
            </w:pPr>
          </w:p>
        </w:tc>
        <w:tc>
          <w:tcPr>
            <w:tcW w:w="4231" w:type="dxa"/>
            <w:tcBorders>
              <w:top w:val="single" w:color="auto" w:sz="4" w:space="0"/>
              <w:left w:val="single" w:color="auto" w:sz="4" w:space="0"/>
              <w:bottom w:val="single" w:color="auto" w:sz="4" w:space="0"/>
              <w:right w:val="single" w:color="auto" w:sz="4" w:space="0"/>
            </w:tcBorders>
            <w:vAlign w:val="center"/>
          </w:tcPr>
          <w:p w14:paraId="1AECAB25">
            <w:pPr>
              <w:numPr>
                <w:ilvl w:val="0"/>
                <w:numId w:val="14"/>
              </w:numPr>
              <w:ind w:hanging="339"/>
              <w:jc w:val="left"/>
            </w:pPr>
            <w:r>
              <w:rPr>
                <w:rFonts w:hint="eastAsia"/>
              </w:rPr>
              <w:t>规格：400g/包</w:t>
            </w:r>
          </w:p>
          <w:p w14:paraId="1BDBC921">
            <w:pPr>
              <w:numPr>
                <w:ilvl w:val="0"/>
                <w:numId w:val="14"/>
              </w:numPr>
              <w:ind w:left="0" w:firstLine="79" w:firstLineChars="38"/>
              <w:jc w:val="left"/>
            </w:pPr>
            <w:r>
              <w:rPr>
                <w:rFonts w:hint="eastAsia"/>
              </w:rPr>
              <w:t>包装完整、有生产厂家、地址、联系号码、生产日期（近期）和保质期；</w:t>
            </w:r>
          </w:p>
          <w:p w14:paraId="0644959B">
            <w:pPr>
              <w:numPr>
                <w:ilvl w:val="0"/>
                <w:numId w:val="14"/>
              </w:numPr>
              <w:ind w:left="0" w:firstLine="79" w:firstLineChars="38"/>
              <w:jc w:val="left"/>
            </w:pPr>
            <w:r>
              <w:rPr>
                <w:rFonts w:hint="eastAsia"/>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vAlign w:val="center"/>
          </w:tcPr>
          <w:p w14:paraId="5757AEBE">
            <w:pPr>
              <w:widowControl/>
              <w:jc w:val="center"/>
              <w:rPr>
                <w:lang w:bidi="ar"/>
              </w:rPr>
            </w:pPr>
            <w:r>
              <w:rPr>
                <w:lang w:bidi="ar"/>
              </w:rPr>
              <w:t xml:space="preserve">6.65 </w:t>
            </w:r>
          </w:p>
        </w:tc>
      </w:tr>
      <w:tr w14:paraId="569A2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14:paraId="7ACDFDD7">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52CDF49">
            <w:pPr>
              <w:jc w:val="center"/>
              <w:rPr>
                <w:rFonts w:ascii="宋体" w:hAnsi="宋体" w:cs="宋体"/>
                <w:sz w:val="24"/>
              </w:rPr>
            </w:pPr>
            <w:r>
              <w:rPr>
                <w:rFonts w:hint="eastAsia"/>
              </w:rPr>
              <w:t>14</w:t>
            </w:r>
          </w:p>
        </w:tc>
        <w:tc>
          <w:tcPr>
            <w:tcW w:w="1131" w:type="dxa"/>
            <w:tcBorders>
              <w:top w:val="single" w:color="auto" w:sz="4" w:space="0"/>
              <w:left w:val="single" w:color="auto" w:sz="4" w:space="0"/>
              <w:bottom w:val="single" w:color="auto" w:sz="4" w:space="0"/>
              <w:right w:val="single" w:color="auto" w:sz="4" w:space="0"/>
            </w:tcBorders>
            <w:vAlign w:val="center"/>
          </w:tcPr>
          <w:p w14:paraId="376B1F69">
            <w:pPr>
              <w:jc w:val="center"/>
              <w:rPr>
                <w:rFonts w:ascii="宋体" w:hAnsi="宋体" w:cs="宋体"/>
                <w:sz w:val="24"/>
              </w:rPr>
            </w:pPr>
            <w:r>
              <w:rPr>
                <w:rFonts w:hint="eastAsia"/>
              </w:rPr>
              <w:t>白糖</w:t>
            </w:r>
          </w:p>
        </w:tc>
        <w:tc>
          <w:tcPr>
            <w:tcW w:w="666" w:type="dxa"/>
            <w:tcBorders>
              <w:top w:val="single" w:color="auto" w:sz="4" w:space="0"/>
              <w:left w:val="single" w:color="auto" w:sz="4" w:space="0"/>
              <w:bottom w:val="single" w:color="auto" w:sz="4" w:space="0"/>
              <w:right w:val="single" w:color="auto" w:sz="4" w:space="0"/>
            </w:tcBorders>
            <w:vAlign w:val="center"/>
          </w:tcPr>
          <w:p w14:paraId="37F1D285">
            <w:pPr>
              <w:jc w:val="center"/>
              <w:rPr>
                <w:rFonts w:ascii="宋体" w:hAnsi="宋体" w:cs="宋体"/>
                <w:sz w:val="24"/>
              </w:rPr>
            </w:pPr>
            <w:r>
              <w:rPr>
                <w:rFonts w:hint="eastAsia"/>
              </w:rPr>
              <w:t>斤</w:t>
            </w:r>
          </w:p>
        </w:tc>
        <w:tc>
          <w:tcPr>
            <w:tcW w:w="1057" w:type="dxa"/>
            <w:tcBorders>
              <w:top w:val="single" w:color="auto" w:sz="4" w:space="0"/>
              <w:left w:val="single" w:color="auto" w:sz="4" w:space="0"/>
              <w:bottom w:val="single" w:color="auto" w:sz="4" w:space="0"/>
              <w:right w:val="single" w:color="auto" w:sz="4" w:space="0"/>
            </w:tcBorders>
            <w:vAlign w:val="center"/>
          </w:tcPr>
          <w:p w14:paraId="74F6247B">
            <w:pPr>
              <w:widowControl/>
              <w:jc w:val="center"/>
              <w:textAlignment w:val="center"/>
              <w:rPr>
                <w:lang w:bidi="ar"/>
              </w:rPr>
            </w:pPr>
            <w:r>
              <w:rPr>
                <w:kern w:val="0"/>
                <w:szCs w:val="21"/>
                <w:lang w:bidi="ar"/>
              </w:rPr>
              <w:t>2200</w:t>
            </w:r>
            <w:r>
              <w:rPr>
                <w:rFonts w:hint="eastAsia"/>
                <w:kern w:val="0"/>
                <w:szCs w:val="21"/>
                <w:lang w:bidi="ar"/>
              </w:rPr>
              <w:t>.00</w:t>
            </w:r>
          </w:p>
        </w:tc>
        <w:tc>
          <w:tcPr>
            <w:tcW w:w="1072" w:type="dxa"/>
            <w:vMerge w:val="continue"/>
            <w:tcBorders>
              <w:left w:val="single" w:color="auto" w:sz="4" w:space="0"/>
              <w:right w:val="single" w:color="auto" w:sz="4" w:space="0"/>
            </w:tcBorders>
            <w:vAlign w:val="center"/>
          </w:tcPr>
          <w:p w14:paraId="2CBE6B06">
            <w:pPr>
              <w:jc w:val="center"/>
            </w:pPr>
          </w:p>
        </w:tc>
        <w:tc>
          <w:tcPr>
            <w:tcW w:w="4231" w:type="dxa"/>
            <w:tcBorders>
              <w:top w:val="single" w:color="auto" w:sz="4" w:space="0"/>
              <w:left w:val="single" w:color="auto" w:sz="4" w:space="0"/>
              <w:bottom w:val="single" w:color="auto" w:sz="4" w:space="0"/>
              <w:right w:val="single" w:color="auto" w:sz="4" w:space="0"/>
            </w:tcBorders>
            <w:vAlign w:val="center"/>
          </w:tcPr>
          <w:p w14:paraId="7C82238C">
            <w:pPr>
              <w:numPr>
                <w:ilvl w:val="0"/>
                <w:numId w:val="15"/>
              </w:numPr>
              <w:ind w:hanging="339"/>
              <w:jc w:val="left"/>
            </w:pPr>
            <w:r>
              <w:rPr>
                <w:rFonts w:hint="eastAsia"/>
              </w:rPr>
              <w:t>规格：500g/斤</w:t>
            </w:r>
          </w:p>
          <w:p w14:paraId="3008679D">
            <w:pPr>
              <w:numPr>
                <w:ilvl w:val="0"/>
                <w:numId w:val="15"/>
              </w:numPr>
              <w:ind w:left="0" w:firstLine="79" w:firstLineChars="38"/>
              <w:jc w:val="left"/>
            </w:pPr>
            <w:r>
              <w:rPr>
                <w:rFonts w:hint="eastAsia"/>
              </w:rPr>
              <w:t>包装完整、有生产厂家、地址、联系号码、生产日期（近期）和保质期；</w:t>
            </w:r>
          </w:p>
          <w:p w14:paraId="77447A42">
            <w:pPr>
              <w:numPr>
                <w:ilvl w:val="0"/>
                <w:numId w:val="15"/>
              </w:numPr>
              <w:ind w:left="0" w:firstLine="79" w:firstLineChars="38"/>
              <w:jc w:val="left"/>
            </w:pPr>
            <w:r>
              <w:rPr>
                <w:rFonts w:hint="eastAsia"/>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vAlign w:val="center"/>
          </w:tcPr>
          <w:p w14:paraId="128533EE">
            <w:pPr>
              <w:widowControl/>
              <w:jc w:val="center"/>
              <w:rPr>
                <w:lang w:bidi="ar"/>
              </w:rPr>
            </w:pPr>
            <w:r>
              <w:rPr>
                <w:lang w:bidi="ar"/>
              </w:rPr>
              <w:t xml:space="preserve">3.59 </w:t>
            </w:r>
          </w:p>
        </w:tc>
      </w:tr>
      <w:tr w14:paraId="79AEE2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14:paraId="38BAF2D2">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78B722D">
            <w:pPr>
              <w:jc w:val="center"/>
              <w:rPr>
                <w:rFonts w:ascii="宋体" w:hAnsi="宋体" w:cs="宋体"/>
                <w:sz w:val="24"/>
              </w:rPr>
            </w:pPr>
            <w:r>
              <w:rPr>
                <w:rFonts w:hint="eastAsia"/>
              </w:rPr>
              <w:t>15</w:t>
            </w:r>
          </w:p>
        </w:tc>
        <w:tc>
          <w:tcPr>
            <w:tcW w:w="1131" w:type="dxa"/>
            <w:tcBorders>
              <w:top w:val="single" w:color="auto" w:sz="4" w:space="0"/>
              <w:left w:val="single" w:color="auto" w:sz="4" w:space="0"/>
              <w:bottom w:val="single" w:color="auto" w:sz="4" w:space="0"/>
              <w:right w:val="single" w:color="auto" w:sz="4" w:space="0"/>
            </w:tcBorders>
            <w:vAlign w:val="center"/>
          </w:tcPr>
          <w:p w14:paraId="52A929DA">
            <w:pPr>
              <w:jc w:val="center"/>
              <w:rPr>
                <w:rFonts w:ascii="宋体" w:hAnsi="宋体" w:cs="宋体"/>
                <w:sz w:val="24"/>
              </w:rPr>
            </w:pPr>
            <w:r>
              <w:rPr>
                <w:rFonts w:hint="eastAsia"/>
              </w:rPr>
              <w:t>盐焗鸡粉</w:t>
            </w:r>
          </w:p>
        </w:tc>
        <w:tc>
          <w:tcPr>
            <w:tcW w:w="666" w:type="dxa"/>
            <w:tcBorders>
              <w:top w:val="single" w:color="auto" w:sz="4" w:space="0"/>
              <w:left w:val="single" w:color="auto" w:sz="4" w:space="0"/>
              <w:bottom w:val="single" w:color="auto" w:sz="4" w:space="0"/>
              <w:right w:val="single" w:color="auto" w:sz="4" w:space="0"/>
            </w:tcBorders>
            <w:vAlign w:val="center"/>
          </w:tcPr>
          <w:p w14:paraId="71DDAB62">
            <w:pPr>
              <w:jc w:val="center"/>
              <w:rPr>
                <w:rFonts w:ascii="宋体" w:hAnsi="宋体" w:cs="宋体"/>
                <w:sz w:val="24"/>
              </w:rPr>
            </w:pPr>
            <w:r>
              <w:rPr>
                <w:rFonts w:hint="eastAsia"/>
              </w:rPr>
              <w:t>包</w:t>
            </w:r>
          </w:p>
        </w:tc>
        <w:tc>
          <w:tcPr>
            <w:tcW w:w="1057" w:type="dxa"/>
            <w:tcBorders>
              <w:top w:val="single" w:color="auto" w:sz="4" w:space="0"/>
              <w:left w:val="single" w:color="auto" w:sz="4" w:space="0"/>
              <w:bottom w:val="single" w:color="auto" w:sz="4" w:space="0"/>
              <w:right w:val="single" w:color="auto" w:sz="4" w:space="0"/>
            </w:tcBorders>
            <w:vAlign w:val="center"/>
          </w:tcPr>
          <w:p w14:paraId="76FFB68C">
            <w:pPr>
              <w:widowControl/>
              <w:jc w:val="center"/>
              <w:textAlignment w:val="center"/>
              <w:rPr>
                <w:lang w:bidi="ar"/>
              </w:rPr>
            </w:pPr>
            <w:r>
              <w:rPr>
                <w:kern w:val="0"/>
                <w:szCs w:val="21"/>
                <w:lang w:bidi="ar"/>
              </w:rPr>
              <w:t>800</w:t>
            </w:r>
            <w:r>
              <w:rPr>
                <w:rFonts w:hint="eastAsia"/>
                <w:kern w:val="0"/>
                <w:szCs w:val="21"/>
                <w:lang w:bidi="ar"/>
              </w:rPr>
              <w:t>.00</w:t>
            </w:r>
          </w:p>
        </w:tc>
        <w:tc>
          <w:tcPr>
            <w:tcW w:w="1072" w:type="dxa"/>
            <w:vMerge w:val="continue"/>
            <w:tcBorders>
              <w:left w:val="single" w:color="auto" w:sz="4" w:space="0"/>
              <w:right w:val="single" w:color="auto" w:sz="4" w:space="0"/>
            </w:tcBorders>
            <w:vAlign w:val="center"/>
          </w:tcPr>
          <w:p w14:paraId="40908710">
            <w:pPr>
              <w:jc w:val="center"/>
            </w:pPr>
          </w:p>
        </w:tc>
        <w:tc>
          <w:tcPr>
            <w:tcW w:w="4231" w:type="dxa"/>
            <w:tcBorders>
              <w:top w:val="single" w:color="auto" w:sz="4" w:space="0"/>
              <w:left w:val="single" w:color="auto" w:sz="4" w:space="0"/>
              <w:bottom w:val="single" w:color="auto" w:sz="4" w:space="0"/>
              <w:right w:val="single" w:color="auto" w:sz="4" w:space="0"/>
            </w:tcBorders>
            <w:vAlign w:val="center"/>
          </w:tcPr>
          <w:p w14:paraId="2C3FDCF9">
            <w:pPr>
              <w:numPr>
                <w:ilvl w:val="0"/>
                <w:numId w:val="16"/>
              </w:numPr>
              <w:ind w:hanging="339"/>
              <w:jc w:val="left"/>
            </w:pPr>
            <w:r>
              <w:rPr>
                <w:rFonts w:hint="eastAsia"/>
              </w:rPr>
              <w:t>规格：30g/包</w:t>
            </w:r>
          </w:p>
          <w:p w14:paraId="42DC2420">
            <w:pPr>
              <w:numPr>
                <w:ilvl w:val="0"/>
                <w:numId w:val="16"/>
              </w:numPr>
              <w:ind w:left="0" w:firstLine="79" w:firstLineChars="38"/>
              <w:jc w:val="left"/>
            </w:pPr>
            <w:r>
              <w:rPr>
                <w:rFonts w:hint="eastAsia"/>
              </w:rPr>
              <w:t>包装完整、有生产厂家、地址、联系号码、生产日期（近期）和保质期；</w:t>
            </w:r>
          </w:p>
          <w:p w14:paraId="26801C86">
            <w:pPr>
              <w:numPr>
                <w:ilvl w:val="0"/>
                <w:numId w:val="16"/>
              </w:numPr>
              <w:ind w:left="0" w:firstLine="79" w:firstLineChars="38"/>
              <w:jc w:val="left"/>
            </w:pPr>
            <w:r>
              <w:rPr>
                <w:rFonts w:hint="eastAsia"/>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vAlign w:val="center"/>
          </w:tcPr>
          <w:p w14:paraId="2BD87EF0">
            <w:pPr>
              <w:widowControl/>
              <w:jc w:val="center"/>
              <w:rPr>
                <w:lang w:bidi="ar"/>
              </w:rPr>
            </w:pPr>
            <w:r>
              <w:rPr>
                <w:lang w:bidi="ar"/>
              </w:rPr>
              <w:t xml:space="preserve">1.14 </w:t>
            </w:r>
          </w:p>
        </w:tc>
      </w:tr>
      <w:tr w14:paraId="0C1E03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14:paraId="483073F7">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FAA7002">
            <w:pPr>
              <w:jc w:val="center"/>
              <w:rPr>
                <w:rFonts w:ascii="宋体" w:hAnsi="宋体" w:cs="宋体"/>
                <w:sz w:val="24"/>
              </w:rPr>
            </w:pPr>
            <w:r>
              <w:rPr>
                <w:rFonts w:hint="eastAsia"/>
              </w:rPr>
              <w:t>16</w:t>
            </w:r>
          </w:p>
        </w:tc>
        <w:tc>
          <w:tcPr>
            <w:tcW w:w="1131" w:type="dxa"/>
            <w:tcBorders>
              <w:top w:val="single" w:color="auto" w:sz="4" w:space="0"/>
              <w:left w:val="single" w:color="auto" w:sz="4" w:space="0"/>
              <w:bottom w:val="single" w:color="auto" w:sz="4" w:space="0"/>
              <w:right w:val="single" w:color="auto" w:sz="4" w:space="0"/>
            </w:tcBorders>
            <w:vAlign w:val="center"/>
          </w:tcPr>
          <w:p w14:paraId="76342BE6">
            <w:pPr>
              <w:jc w:val="center"/>
              <w:rPr>
                <w:rFonts w:ascii="宋体" w:hAnsi="宋体" w:cs="宋体"/>
                <w:sz w:val="24"/>
              </w:rPr>
            </w:pPr>
            <w:r>
              <w:rPr>
                <w:rFonts w:hint="eastAsia"/>
              </w:rPr>
              <w:t>沙姜片</w:t>
            </w:r>
          </w:p>
        </w:tc>
        <w:tc>
          <w:tcPr>
            <w:tcW w:w="666" w:type="dxa"/>
            <w:tcBorders>
              <w:top w:val="single" w:color="auto" w:sz="4" w:space="0"/>
              <w:left w:val="single" w:color="auto" w:sz="4" w:space="0"/>
              <w:bottom w:val="single" w:color="auto" w:sz="4" w:space="0"/>
              <w:right w:val="single" w:color="auto" w:sz="4" w:space="0"/>
            </w:tcBorders>
            <w:vAlign w:val="center"/>
          </w:tcPr>
          <w:p w14:paraId="1B4318FA">
            <w:pPr>
              <w:jc w:val="center"/>
              <w:rPr>
                <w:rFonts w:ascii="宋体" w:hAnsi="宋体" w:cs="宋体"/>
                <w:sz w:val="24"/>
              </w:rPr>
            </w:pPr>
            <w:r>
              <w:rPr>
                <w:rFonts w:hint="eastAsia"/>
              </w:rPr>
              <w:t>斤</w:t>
            </w:r>
          </w:p>
        </w:tc>
        <w:tc>
          <w:tcPr>
            <w:tcW w:w="1057" w:type="dxa"/>
            <w:tcBorders>
              <w:top w:val="single" w:color="auto" w:sz="4" w:space="0"/>
              <w:left w:val="single" w:color="auto" w:sz="4" w:space="0"/>
              <w:bottom w:val="single" w:color="auto" w:sz="4" w:space="0"/>
              <w:right w:val="single" w:color="auto" w:sz="4" w:space="0"/>
            </w:tcBorders>
            <w:vAlign w:val="center"/>
          </w:tcPr>
          <w:p w14:paraId="5638F073">
            <w:pPr>
              <w:widowControl/>
              <w:jc w:val="center"/>
              <w:textAlignment w:val="center"/>
              <w:rPr>
                <w:lang w:bidi="ar"/>
              </w:rPr>
            </w:pPr>
            <w:r>
              <w:rPr>
                <w:kern w:val="0"/>
                <w:szCs w:val="21"/>
                <w:lang w:bidi="ar"/>
              </w:rPr>
              <w:t>210</w:t>
            </w:r>
            <w:r>
              <w:rPr>
                <w:rFonts w:hint="eastAsia"/>
                <w:kern w:val="0"/>
                <w:szCs w:val="21"/>
                <w:lang w:bidi="ar"/>
              </w:rPr>
              <w:t>.00</w:t>
            </w:r>
          </w:p>
        </w:tc>
        <w:tc>
          <w:tcPr>
            <w:tcW w:w="1072" w:type="dxa"/>
            <w:vMerge w:val="continue"/>
            <w:tcBorders>
              <w:left w:val="single" w:color="auto" w:sz="4" w:space="0"/>
              <w:right w:val="single" w:color="auto" w:sz="4" w:space="0"/>
            </w:tcBorders>
            <w:vAlign w:val="center"/>
          </w:tcPr>
          <w:p w14:paraId="06056F76">
            <w:pPr>
              <w:jc w:val="center"/>
            </w:pPr>
          </w:p>
        </w:tc>
        <w:tc>
          <w:tcPr>
            <w:tcW w:w="4231" w:type="dxa"/>
            <w:tcBorders>
              <w:top w:val="single" w:color="auto" w:sz="4" w:space="0"/>
              <w:left w:val="single" w:color="auto" w:sz="4" w:space="0"/>
              <w:bottom w:val="single" w:color="auto" w:sz="4" w:space="0"/>
              <w:right w:val="single" w:color="auto" w:sz="4" w:space="0"/>
            </w:tcBorders>
            <w:vAlign w:val="center"/>
          </w:tcPr>
          <w:p w14:paraId="2CDDE11B">
            <w:pPr>
              <w:numPr>
                <w:ilvl w:val="0"/>
                <w:numId w:val="17"/>
              </w:numPr>
              <w:ind w:hanging="339"/>
              <w:jc w:val="left"/>
            </w:pPr>
            <w:r>
              <w:rPr>
                <w:rFonts w:hint="eastAsia"/>
              </w:rPr>
              <w:t>规格：500g/斤</w:t>
            </w:r>
          </w:p>
          <w:p w14:paraId="1DA9BC2D">
            <w:pPr>
              <w:numPr>
                <w:ilvl w:val="0"/>
                <w:numId w:val="17"/>
              </w:numPr>
              <w:ind w:left="0" w:firstLine="79" w:firstLineChars="38"/>
              <w:jc w:val="left"/>
            </w:pPr>
            <w:r>
              <w:rPr>
                <w:rFonts w:hint="eastAsia"/>
              </w:rPr>
              <w:t>包装完整、有生产厂家、地址、联系号码、生产日期（近期）和保质期；</w:t>
            </w:r>
          </w:p>
          <w:p w14:paraId="2D67C903">
            <w:pPr>
              <w:numPr>
                <w:ilvl w:val="0"/>
                <w:numId w:val="17"/>
              </w:numPr>
              <w:ind w:left="0" w:firstLine="79" w:firstLineChars="38"/>
              <w:jc w:val="left"/>
            </w:pPr>
            <w:r>
              <w:rPr>
                <w:rFonts w:hint="eastAsia"/>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vAlign w:val="center"/>
          </w:tcPr>
          <w:p w14:paraId="442DA82F">
            <w:pPr>
              <w:widowControl/>
              <w:jc w:val="center"/>
              <w:rPr>
                <w:lang w:bidi="ar"/>
              </w:rPr>
            </w:pPr>
            <w:r>
              <w:rPr>
                <w:lang w:bidi="ar"/>
              </w:rPr>
              <w:t xml:space="preserve">19.00 </w:t>
            </w:r>
          </w:p>
        </w:tc>
      </w:tr>
      <w:tr w14:paraId="4F0F9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14:paraId="6E20EBD7">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7B23763">
            <w:pPr>
              <w:jc w:val="center"/>
              <w:rPr>
                <w:rFonts w:ascii="宋体" w:hAnsi="宋体" w:cs="宋体"/>
                <w:sz w:val="24"/>
              </w:rPr>
            </w:pPr>
            <w:r>
              <w:rPr>
                <w:rFonts w:hint="eastAsia"/>
              </w:rPr>
              <w:t>17</w:t>
            </w:r>
          </w:p>
        </w:tc>
        <w:tc>
          <w:tcPr>
            <w:tcW w:w="1131" w:type="dxa"/>
            <w:tcBorders>
              <w:top w:val="single" w:color="auto" w:sz="4" w:space="0"/>
              <w:left w:val="single" w:color="auto" w:sz="4" w:space="0"/>
              <w:bottom w:val="single" w:color="auto" w:sz="4" w:space="0"/>
              <w:right w:val="single" w:color="auto" w:sz="4" w:space="0"/>
            </w:tcBorders>
            <w:vAlign w:val="center"/>
          </w:tcPr>
          <w:p w14:paraId="0870213C">
            <w:pPr>
              <w:jc w:val="center"/>
              <w:rPr>
                <w:rFonts w:ascii="宋体" w:hAnsi="宋体" w:cs="宋体"/>
                <w:sz w:val="24"/>
              </w:rPr>
            </w:pPr>
            <w:r>
              <w:rPr>
                <w:rFonts w:hint="eastAsia"/>
              </w:rPr>
              <w:t>八角</w:t>
            </w:r>
          </w:p>
        </w:tc>
        <w:tc>
          <w:tcPr>
            <w:tcW w:w="666" w:type="dxa"/>
            <w:tcBorders>
              <w:top w:val="single" w:color="auto" w:sz="4" w:space="0"/>
              <w:left w:val="single" w:color="auto" w:sz="4" w:space="0"/>
              <w:bottom w:val="single" w:color="auto" w:sz="4" w:space="0"/>
              <w:right w:val="single" w:color="auto" w:sz="4" w:space="0"/>
            </w:tcBorders>
            <w:vAlign w:val="center"/>
          </w:tcPr>
          <w:p w14:paraId="0E29E3CF">
            <w:pPr>
              <w:jc w:val="center"/>
              <w:rPr>
                <w:rFonts w:ascii="宋体" w:hAnsi="宋体" w:cs="宋体"/>
                <w:sz w:val="24"/>
              </w:rPr>
            </w:pPr>
            <w:r>
              <w:rPr>
                <w:rFonts w:hint="eastAsia"/>
              </w:rPr>
              <w:t>斤</w:t>
            </w:r>
          </w:p>
        </w:tc>
        <w:tc>
          <w:tcPr>
            <w:tcW w:w="1057" w:type="dxa"/>
            <w:tcBorders>
              <w:top w:val="single" w:color="auto" w:sz="4" w:space="0"/>
              <w:left w:val="single" w:color="auto" w:sz="4" w:space="0"/>
              <w:bottom w:val="single" w:color="auto" w:sz="4" w:space="0"/>
              <w:right w:val="single" w:color="auto" w:sz="4" w:space="0"/>
            </w:tcBorders>
            <w:vAlign w:val="center"/>
          </w:tcPr>
          <w:p w14:paraId="1D91FF9F">
            <w:pPr>
              <w:widowControl/>
              <w:jc w:val="center"/>
              <w:textAlignment w:val="center"/>
              <w:rPr>
                <w:lang w:bidi="ar"/>
              </w:rPr>
            </w:pPr>
            <w:r>
              <w:rPr>
                <w:kern w:val="0"/>
                <w:szCs w:val="21"/>
                <w:lang w:bidi="ar"/>
              </w:rPr>
              <w:t>240</w:t>
            </w:r>
            <w:r>
              <w:rPr>
                <w:rFonts w:hint="eastAsia"/>
                <w:kern w:val="0"/>
                <w:szCs w:val="21"/>
                <w:lang w:bidi="ar"/>
              </w:rPr>
              <w:t>.00</w:t>
            </w:r>
          </w:p>
        </w:tc>
        <w:tc>
          <w:tcPr>
            <w:tcW w:w="1072" w:type="dxa"/>
            <w:vMerge w:val="continue"/>
            <w:tcBorders>
              <w:left w:val="single" w:color="auto" w:sz="4" w:space="0"/>
              <w:right w:val="single" w:color="auto" w:sz="4" w:space="0"/>
            </w:tcBorders>
            <w:vAlign w:val="center"/>
          </w:tcPr>
          <w:p w14:paraId="047BC510">
            <w:pPr>
              <w:jc w:val="center"/>
            </w:pPr>
          </w:p>
        </w:tc>
        <w:tc>
          <w:tcPr>
            <w:tcW w:w="4231" w:type="dxa"/>
            <w:tcBorders>
              <w:top w:val="single" w:color="auto" w:sz="4" w:space="0"/>
              <w:left w:val="single" w:color="auto" w:sz="4" w:space="0"/>
              <w:bottom w:val="single" w:color="auto" w:sz="4" w:space="0"/>
              <w:right w:val="single" w:color="auto" w:sz="4" w:space="0"/>
            </w:tcBorders>
            <w:vAlign w:val="center"/>
          </w:tcPr>
          <w:p w14:paraId="5B130194">
            <w:pPr>
              <w:numPr>
                <w:ilvl w:val="0"/>
                <w:numId w:val="18"/>
              </w:numPr>
              <w:ind w:hanging="339"/>
              <w:jc w:val="left"/>
            </w:pPr>
            <w:r>
              <w:rPr>
                <w:rFonts w:hint="eastAsia"/>
              </w:rPr>
              <w:t>规格：500g/斤</w:t>
            </w:r>
          </w:p>
          <w:p w14:paraId="4604C481">
            <w:pPr>
              <w:numPr>
                <w:ilvl w:val="0"/>
                <w:numId w:val="18"/>
              </w:numPr>
              <w:ind w:left="0" w:firstLine="79" w:firstLineChars="38"/>
              <w:jc w:val="left"/>
            </w:pPr>
            <w:r>
              <w:rPr>
                <w:rFonts w:hint="eastAsia"/>
              </w:rPr>
              <w:t>包装完整、有生产厂家、地址、联系号码、生产日期（近期）和保质期；</w:t>
            </w:r>
          </w:p>
          <w:p w14:paraId="1076D6D0">
            <w:pPr>
              <w:numPr>
                <w:ilvl w:val="0"/>
                <w:numId w:val="18"/>
              </w:numPr>
              <w:ind w:left="0" w:firstLine="79" w:firstLineChars="38"/>
              <w:jc w:val="left"/>
            </w:pPr>
            <w:r>
              <w:rPr>
                <w:rFonts w:hint="eastAsia"/>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vAlign w:val="center"/>
          </w:tcPr>
          <w:p w14:paraId="431138E4">
            <w:pPr>
              <w:widowControl/>
              <w:jc w:val="center"/>
              <w:rPr>
                <w:lang w:bidi="ar"/>
              </w:rPr>
            </w:pPr>
            <w:r>
              <w:rPr>
                <w:lang w:bidi="ar"/>
              </w:rPr>
              <w:t xml:space="preserve">23.75 </w:t>
            </w:r>
          </w:p>
        </w:tc>
      </w:tr>
      <w:tr w14:paraId="0FB9F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14:paraId="23463127">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C0DC862">
            <w:pPr>
              <w:jc w:val="center"/>
              <w:rPr>
                <w:rFonts w:ascii="宋体" w:hAnsi="宋体" w:cs="宋体"/>
                <w:sz w:val="24"/>
              </w:rPr>
            </w:pPr>
            <w:r>
              <w:rPr>
                <w:rFonts w:hint="eastAsia" w:ascii="宋体" w:hAnsi="宋体" w:cs="宋体"/>
                <w:sz w:val="24"/>
              </w:rPr>
              <w:t>18</w:t>
            </w:r>
          </w:p>
        </w:tc>
        <w:tc>
          <w:tcPr>
            <w:tcW w:w="1131" w:type="dxa"/>
            <w:tcBorders>
              <w:top w:val="single" w:color="auto" w:sz="4" w:space="0"/>
              <w:left w:val="single" w:color="auto" w:sz="4" w:space="0"/>
              <w:bottom w:val="single" w:color="auto" w:sz="4" w:space="0"/>
              <w:right w:val="single" w:color="auto" w:sz="4" w:space="0"/>
            </w:tcBorders>
            <w:vAlign w:val="center"/>
          </w:tcPr>
          <w:p w14:paraId="2E74BB61">
            <w:pPr>
              <w:jc w:val="center"/>
              <w:rPr>
                <w:rFonts w:ascii="宋体" w:hAnsi="宋体" w:cs="宋体"/>
                <w:sz w:val="24"/>
              </w:rPr>
            </w:pPr>
            <w:r>
              <w:rPr>
                <w:rFonts w:hint="eastAsia"/>
              </w:rPr>
              <w:t>豆豉</w:t>
            </w:r>
          </w:p>
        </w:tc>
        <w:tc>
          <w:tcPr>
            <w:tcW w:w="666" w:type="dxa"/>
            <w:tcBorders>
              <w:top w:val="single" w:color="auto" w:sz="4" w:space="0"/>
              <w:left w:val="single" w:color="auto" w:sz="4" w:space="0"/>
              <w:bottom w:val="single" w:color="auto" w:sz="4" w:space="0"/>
              <w:right w:val="single" w:color="auto" w:sz="4" w:space="0"/>
            </w:tcBorders>
            <w:vAlign w:val="center"/>
          </w:tcPr>
          <w:p w14:paraId="1930664D">
            <w:pPr>
              <w:jc w:val="center"/>
              <w:rPr>
                <w:rFonts w:ascii="宋体" w:hAnsi="宋体" w:cs="宋体"/>
                <w:sz w:val="24"/>
              </w:rPr>
            </w:pPr>
            <w:r>
              <w:rPr>
                <w:rFonts w:hint="eastAsia"/>
              </w:rPr>
              <w:t>包</w:t>
            </w:r>
          </w:p>
        </w:tc>
        <w:tc>
          <w:tcPr>
            <w:tcW w:w="1057" w:type="dxa"/>
            <w:tcBorders>
              <w:top w:val="single" w:color="auto" w:sz="4" w:space="0"/>
              <w:left w:val="single" w:color="auto" w:sz="4" w:space="0"/>
              <w:bottom w:val="single" w:color="auto" w:sz="4" w:space="0"/>
              <w:right w:val="single" w:color="auto" w:sz="4" w:space="0"/>
            </w:tcBorders>
            <w:vAlign w:val="center"/>
          </w:tcPr>
          <w:p w14:paraId="58ECC7E5">
            <w:pPr>
              <w:widowControl/>
              <w:jc w:val="center"/>
              <w:textAlignment w:val="center"/>
              <w:rPr>
                <w:lang w:bidi="ar"/>
              </w:rPr>
            </w:pPr>
            <w:r>
              <w:rPr>
                <w:kern w:val="0"/>
                <w:szCs w:val="21"/>
                <w:lang w:bidi="ar"/>
              </w:rPr>
              <w:t>350</w:t>
            </w:r>
            <w:r>
              <w:rPr>
                <w:rFonts w:hint="eastAsia"/>
                <w:kern w:val="0"/>
                <w:szCs w:val="21"/>
                <w:lang w:bidi="ar"/>
              </w:rPr>
              <w:t>.00</w:t>
            </w:r>
          </w:p>
        </w:tc>
        <w:tc>
          <w:tcPr>
            <w:tcW w:w="1072" w:type="dxa"/>
            <w:vMerge w:val="continue"/>
            <w:tcBorders>
              <w:left w:val="single" w:color="auto" w:sz="4" w:space="0"/>
              <w:right w:val="single" w:color="auto" w:sz="4" w:space="0"/>
            </w:tcBorders>
            <w:vAlign w:val="center"/>
          </w:tcPr>
          <w:p w14:paraId="493B2D3F">
            <w:pPr>
              <w:jc w:val="center"/>
            </w:pPr>
          </w:p>
        </w:tc>
        <w:tc>
          <w:tcPr>
            <w:tcW w:w="4231" w:type="dxa"/>
            <w:tcBorders>
              <w:top w:val="single" w:color="auto" w:sz="4" w:space="0"/>
              <w:left w:val="single" w:color="auto" w:sz="4" w:space="0"/>
              <w:bottom w:val="single" w:color="auto" w:sz="4" w:space="0"/>
              <w:right w:val="single" w:color="auto" w:sz="4" w:space="0"/>
            </w:tcBorders>
            <w:vAlign w:val="center"/>
          </w:tcPr>
          <w:p w14:paraId="615BDA30">
            <w:pPr>
              <w:numPr>
                <w:ilvl w:val="0"/>
                <w:numId w:val="19"/>
              </w:numPr>
              <w:ind w:hanging="339"/>
              <w:jc w:val="left"/>
            </w:pPr>
            <w:r>
              <w:rPr>
                <w:rFonts w:hint="eastAsia"/>
              </w:rPr>
              <w:t>规格：10斤/包</w:t>
            </w:r>
          </w:p>
          <w:p w14:paraId="79BA0025">
            <w:pPr>
              <w:numPr>
                <w:ilvl w:val="0"/>
                <w:numId w:val="19"/>
              </w:numPr>
              <w:ind w:left="0" w:firstLine="79" w:firstLineChars="38"/>
              <w:jc w:val="left"/>
            </w:pPr>
            <w:r>
              <w:rPr>
                <w:rFonts w:hint="eastAsia"/>
              </w:rPr>
              <w:t>包装完整、有生产厂家、地址、联系号码、生产日期（近期）和保质期；</w:t>
            </w:r>
          </w:p>
          <w:p w14:paraId="32A9912B">
            <w:pPr>
              <w:numPr>
                <w:ilvl w:val="0"/>
                <w:numId w:val="19"/>
              </w:numPr>
              <w:ind w:left="0" w:firstLine="79" w:firstLineChars="38"/>
              <w:jc w:val="left"/>
            </w:pPr>
            <w:r>
              <w:rPr>
                <w:rFonts w:hint="eastAsia"/>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vAlign w:val="center"/>
          </w:tcPr>
          <w:p w14:paraId="38B0C70C">
            <w:pPr>
              <w:widowControl/>
              <w:jc w:val="center"/>
              <w:rPr>
                <w:lang w:bidi="ar"/>
              </w:rPr>
            </w:pPr>
            <w:r>
              <w:rPr>
                <w:lang w:bidi="ar"/>
              </w:rPr>
              <w:t xml:space="preserve">39.90 </w:t>
            </w:r>
          </w:p>
        </w:tc>
      </w:tr>
      <w:tr w14:paraId="1607C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14:paraId="55E3B1A7">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2D40057">
            <w:pPr>
              <w:jc w:val="center"/>
              <w:rPr>
                <w:rFonts w:ascii="宋体" w:hAnsi="宋体" w:cs="宋体"/>
                <w:sz w:val="24"/>
              </w:rPr>
            </w:pPr>
            <w:r>
              <w:rPr>
                <w:rFonts w:hint="eastAsia" w:ascii="宋体" w:hAnsi="宋体" w:cs="宋体"/>
                <w:sz w:val="24"/>
              </w:rPr>
              <w:t>19</w:t>
            </w:r>
          </w:p>
        </w:tc>
        <w:tc>
          <w:tcPr>
            <w:tcW w:w="1131" w:type="dxa"/>
            <w:tcBorders>
              <w:top w:val="single" w:color="auto" w:sz="4" w:space="0"/>
              <w:left w:val="single" w:color="auto" w:sz="4" w:space="0"/>
              <w:bottom w:val="single" w:color="auto" w:sz="4" w:space="0"/>
              <w:right w:val="single" w:color="auto" w:sz="4" w:space="0"/>
            </w:tcBorders>
            <w:vAlign w:val="center"/>
          </w:tcPr>
          <w:p w14:paraId="79C952EF">
            <w:pPr>
              <w:jc w:val="center"/>
              <w:rPr>
                <w:rFonts w:ascii="宋体" w:hAnsi="宋体" w:cs="宋体"/>
                <w:sz w:val="24"/>
              </w:rPr>
            </w:pPr>
            <w:r>
              <w:rPr>
                <w:rFonts w:hint="eastAsia"/>
              </w:rPr>
              <w:t>十三香</w:t>
            </w:r>
          </w:p>
        </w:tc>
        <w:tc>
          <w:tcPr>
            <w:tcW w:w="666" w:type="dxa"/>
            <w:tcBorders>
              <w:top w:val="single" w:color="auto" w:sz="4" w:space="0"/>
              <w:left w:val="single" w:color="auto" w:sz="4" w:space="0"/>
              <w:bottom w:val="single" w:color="auto" w:sz="4" w:space="0"/>
              <w:right w:val="single" w:color="auto" w:sz="4" w:space="0"/>
            </w:tcBorders>
            <w:vAlign w:val="center"/>
          </w:tcPr>
          <w:p w14:paraId="614BAA17">
            <w:pPr>
              <w:jc w:val="center"/>
              <w:rPr>
                <w:rFonts w:ascii="宋体" w:hAnsi="宋体" w:cs="宋体"/>
                <w:sz w:val="24"/>
              </w:rPr>
            </w:pPr>
            <w:r>
              <w:rPr>
                <w:rFonts w:hint="eastAsia"/>
              </w:rPr>
              <w:t>盒</w:t>
            </w:r>
          </w:p>
        </w:tc>
        <w:tc>
          <w:tcPr>
            <w:tcW w:w="1057" w:type="dxa"/>
            <w:tcBorders>
              <w:top w:val="single" w:color="auto" w:sz="4" w:space="0"/>
              <w:left w:val="single" w:color="auto" w:sz="4" w:space="0"/>
              <w:bottom w:val="single" w:color="auto" w:sz="4" w:space="0"/>
              <w:right w:val="single" w:color="auto" w:sz="4" w:space="0"/>
            </w:tcBorders>
            <w:vAlign w:val="center"/>
          </w:tcPr>
          <w:p w14:paraId="2DAB2F6C">
            <w:pPr>
              <w:widowControl/>
              <w:jc w:val="center"/>
              <w:textAlignment w:val="center"/>
              <w:rPr>
                <w:lang w:bidi="ar"/>
              </w:rPr>
            </w:pPr>
            <w:r>
              <w:rPr>
                <w:kern w:val="0"/>
                <w:szCs w:val="21"/>
                <w:lang w:bidi="ar"/>
              </w:rPr>
              <w:t>350</w:t>
            </w:r>
            <w:r>
              <w:rPr>
                <w:rFonts w:hint="eastAsia"/>
                <w:kern w:val="0"/>
                <w:szCs w:val="21"/>
                <w:lang w:bidi="ar"/>
              </w:rPr>
              <w:t>.00</w:t>
            </w:r>
          </w:p>
        </w:tc>
        <w:tc>
          <w:tcPr>
            <w:tcW w:w="1072" w:type="dxa"/>
            <w:vMerge w:val="continue"/>
            <w:tcBorders>
              <w:left w:val="single" w:color="auto" w:sz="4" w:space="0"/>
              <w:right w:val="single" w:color="auto" w:sz="4" w:space="0"/>
            </w:tcBorders>
            <w:vAlign w:val="center"/>
          </w:tcPr>
          <w:p w14:paraId="72AF005A">
            <w:pPr>
              <w:jc w:val="center"/>
            </w:pPr>
          </w:p>
        </w:tc>
        <w:tc>
          <w:tcPr>
            <w:tcW w:w="4231" w:type="dxa"/>
            <w:tcBorders>
              <w:top w:val="single" w:color="auto" w:sz="4" w:space="0"/>
              <w:left w:val="single" w:color="auto" w:sz="4" w:space="0"/>
              <w:bottom w:val="single" w:color="auto" w:sz="4" w:space="0"/>
              <w:right w:val="single" w:color="auto" w:sz="4" w:space="0"/>
            </w:tcBorders>
            <w:vAlign w:val="center"/>
          </w:tcPr>
          <w:p w14:paraId="1197B312">
            <w:pPr>
              <w:numPr>
                <w:ilvl w:val="0"/>
                <w:numId w:val="20"/>
              </w:numPr>
              <w:ind w:hanging="339"/>
              <w:jc w:val="left"/>
            </w:pPr>
            <w:r>
              <w:rPr>
                <w:rFonts w:hint="eastAsia"/>
              </w:rPr>
              <w:t>规格：40g/盒</w:t>
            </w:r>
          </w:p>
          <w:p w14:paraId="63125BBA">
            <w:pPr>
              <w:numPr>
                <w:ilvl w:val="0"/>
                <w:numId w:val="20"/>
              </w:numPr>
              <w:ind w:left="0" w:firstLine="79" w:firstLineChars="38"/>
              <w:jc w:val="left"/>
            </w:pPr>
            <w:r>
              <w:rPr>
                <w:rFonts w:hint="eastAsia"/>
              </w:rPr>
              <w:t>包装完整、有生产厂家、地址、联系号码、生产日期（近期）和保质期；</w:t>
            </w:r>
          </w:p>
          <w:p w14:paraId="236FB9EB">
            <w:pPr>
              <w:numPr>
                <w:ilvl w:val="0"/>
                <w:numId w:val="20"/>
              </w:numPr>
              <w:ind w:left="0" w:firstLine="79" w:firstLineChars="38"/>
              <w:jc w:val="left"/>
            </w:pPr>
            <w:r>
              <w:rPr>
                <w:rFonts w:hint="eastAsia"/>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vAlign w:val="center"/>
          </w:tcPr>
          <w:p w14:paraId="5A0EA54C">
            <w:pPr>
              <w:widowControl/>
              <w:jc w:val="center"/>
              <w:rPr>
                <w:lang w:bidi="ar"/>
              </w:rPr>
            </w:pPr>
            <w:r>
              <w:rPr>
                <w:lang w:bidi="ar"/>
              </w:rPr>
              <w:t xml:space="preserve">3.04 </w:t>
            </w:r>
          </w:p>
        </w:tc>
      </w:tr>
      <w:tr w14:paraId="031A1B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14:paraId="526E27E2">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8F66CA7">
            <w:pPr>
              <w:jc w:val="center"/>
              <w:rPr>
                <w:rFonts w:ascii="宋体" w:hAnsi="宋体" w:cs="宋体"/>
                <w:sz w:val="24"/>
              </w:rPr>
            </w:pPr>
            <w:r>
              <w:rPr>
                <w:rFonts w:hint="eastAsia"/>
              </w:rPr>
              <w:t>20</w:t>
            </w:r>
          </w:p>
        </w:tc>
        <w:tc>
          <w:tcPr>
            <w:tcW w:w="1131" w:type="dxa"/>
            <w:tcBorders>
              <w:top w:val="single" w:color="auto" w:sz="4" w:space="0"/>
              <w:left w:val="single" w:color="auto" w:sz="4" w:space="0"/>
              <w:bottom w:val="single" w:color="auto" w:sz="4" w:space="0"/>
              <w:right w:val="single" w:color="auto" w:sz="4" w:space="0"/>
            </w:tcBorders>
            <w:vAlign w:val="center"/>
          </w:tcPr>
          <w:p w14:paraId="40A7F48F">
            <w:pPr>
              <w:jc w:val="center"/>
              <w:rPr>
                <w:rFonts w:ascii="宋体" w:hAnsi="宋体" w:cs="宋体"/>
                <w:sz w:val="24"/>
              </w:rPr>
            </w:pPr>
            <w:r>
              <w:rPr>
                <w:rFonts w:hint="eastAsia"/>
              </w:rPr>
              <w:t>辣椒粉</w:t>
            </w:r>
          </w:p>
        </w:tc>
        <w:tc>
          <w:tcPr>
            <w:tcW w:w="666" w:type="dxa"/>
            <w:tcBorders>
              <w:top w:val="single" w:color="auto" w:sz="4" w:space="0"/>
              <w:left w:val="single" w:color="auto" w:sz="4" w:space="0"/>
              <w:bottom w:val="single" w:color="auto" w:sz="4" w:space="0"/>
              <w:right w:val="single" w:color="auto" w:sz="4" w:space="0"/>
            </w:tcBorders>
            <w:vAlign w:val="center"/>
          </w:tcPr>
          <w:p w14:paraId="56E0C56F">
            <w:pPr>
              <w:jc w:val="center"/>
              <w:rPr>
                <w:rFonts w:ascii="宋体" w:hAnsi="宋体" w:cs="宋体"/>
                <w:sz w:val="24"/>
              </w:rPr>
            </w:pPr>
            <w:r>
              <w:rPr>
                <w:rFonts w:hint="eastAsia"/>
              </w:rPr>
              <w:t>斤</w:t>
            </w:r>
          </w:p>
        </w:tc>
        <w:tc>
          <w:tcPr>
            <w:tcW w:w="1057" w:type="dxa"/>
            <w:tcBorders>
              <w:top w:val="single" w:color="auto" w:sz="4" w:space="0"/>
              <w:left w:val="single" w:color="auto" w:sz="4" w:space="0"/>
              <w:bottom w:val="single" w:color="auto" w:sz="4" w:space="0"/>
              <w:right w:val="single" w:color="auto" w:sz="4" w:space="0"/>
            </w:tcBorders>
            <w:vAlign w:val="center"/>
          </w:tcPr>
          <w:p w14:paraId="0453D725">
            <w:pPr>
              <w:widowControl/>
              <w:jc w:val="center"/>
              <w:textAlignment w:val="center"/>
              <w:rPr>
                <w:lang w:bidi="ar"/>
              </w:rPr>
            </w:pPr>
            <w:r>
              <w:rPr>
                <w:kern w:val="0"/>
                <w:szCs w:val="21"/>
                <w:lang w:bidi="ar"/>
              </w:rPr>
              <w:t>750</w:t>
            </w:r>
            <w:r>
              <w:rPr>
                <w:rFonts w:hint="eastAsia"/>
                <w:kern w:val="0"/>
                <w:szCs w:val="21"/>
                <w:lang w:bidi="ar"/>
              </w:rPr>
              <w:t>.00</w:t>
            </w:r>
          </w:p>
        </w:tc>
        <w:tc>
          <w:tcPr>
            <w:tcW w:w="1072" w:type="dxa"/>
            <w:vMerge w:val="continue"/>
            <w:tcBorders>
              <w:left w:val="single" w:color="auto" w:sz="4" w:space="0"/>
              <w:right w:val="single" w:color="auto" w:sz="4" w:space="0"/>
            </w:tcBorders>
            <w:vAlign w:val="center"/>
          </w:tcPr>
          <w:p w14:paraId="55F9BD36">
            <w:pPr>
              <w:jc w:val="center"/>
            </w:pPr>
          </w:p>
        </w:tc>
        <w:tc>
          <w:tcPr>
            <w:tcW w:w="4231" w:type="dxa"/>
            <w:tcBorders>
              <w:top w:val="single" w:color="auto" w:sz="4" w:space="0"/>
              <w:left w:val="single" w:color="auto" w:sz="4" w:space="0"/>
              <w:bottom w:val="single" w:color="auto" w:sz="4" w:space="0"/>
              <w:right w:val="single" w:color="auto" w:sz="4" w:space="0"/>
            </w:tcBorders>
            <w:vAlign w:val="center"/>
          </w:tcPr>
          <w:p w14:paraId="7D7F1AC1">
            <w:pPr>
              <w:numPr>
                <w:ilvl w:val="0"/>
                <w:numId w:val="21"/>
              </w:numPr>
              <w:ind w:hanging="339"/>
              <w:jc w:val="left"/>
            </w:pPr>
            <w:r>
              <w:rPr>
                <w:rFonts w:hint="eastAsia"/>
              </w:rPr>
              <w:t>规格：500g/斤</w:t>
            </w:r>
          </w:p>
          <w:p w14:paraId="3F7BDBFE">
            <w:pPr>
              <w:numPr>
                <w:ilvl w:val="0"/>
                <w:numId w:val="21"/>
              </w:numPr>
              <w:ind w:left="0" w:firstLine="79" w:firstLineChars="38"/>
              <w:jc w:val="left"/>
            </w:pPr>
            <w:r>
              <w:rPr>
                <w:rFonts w:hint="eastAsia"/>
              </w:rPr>
              <w:t>包装完整、有生产厂家、地址、联系号码、生产日期（近期）和保质期；</w:t>
            </w:r>
          </w:p>
          <w:p w14:paraId="4DA54354">
            <w:pPr>
              <w:numPr>
                <w:ilvl w:val="0"/>
                <w:numId w:val="21"/>
              </w:numPr>
              <w:ind w:left="0" w:firstLine="79" w:firstLineChars="38"/>
              <w:jc w:val="left"/>
            </w:pPr>
            <w:r>
              <w:rPr>
                <w:rFonts w:hint="eastAsia"/>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vAlign w:val="center"/>
          </w:tcPr>
          <w:p w14:paraId="69F4CF7B">
            <w:pPr>
              <w:widowControl/>
              <w:jc w:val="center"/>
              <w:rPr>
                <w:lang w:bidi="ar"/>
              </w:rPr>
            </w:pPr>
            <w:r>
              <w:rPr>
                <w:lang w:bidi="ar"/>
              </w:rPr>
              <w:t xml:space="preserve">11.40 </w:t>
            </w:r>
          </w:p>
        </w:tc>
      </w:tr>
      <w:tr w14:paraId="4B6CB0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14:paraId="6F13B592">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54D985F">
            <w:pPr>
              <w:jc w:val="center"/>
              <w:rPr>
                <w:rFonts w:ascii="宋体" w:hAnsi="宋体" w:cs="宋体"/>
                <w:sz w:val="24"/>
              </w:rPr>
            </w:pPr>
            <w:r>
              <w:rPr>
                <w:rFonts w:hint="eastAsia"/>
              </w:rPr>
              <w:t>21</w:t>
            </w:r>
          </w:p>
        </w:tc>
        <w:tc>
          <w:tcPr>
            <w:tcW w:w="1131" w:type="dxa"/>
            <w:tcBorders>
              <w:top w:val="single" w:color="auto" w:sz="4" w:space="0"/>
              <w:left w:val="single" w:color="auto" w:sz="4" w:space="0"/>
              <w:bottom w:val="single" w:color="auto" w:sz="4" w:space="0"/>
              <w:right w:val="single" w:color="auto" w:sz="4" w:space="0"/>
            </w:tcBorders>
            <w:vAlign w:val="center"/>
          </w:tcPr>
          <w:p w14:paraId="381BC0D2">
            <w:pPr>
              <w:jc w:val="center"/>
              <w:rPr>
                <w:rFonts w:ascii="宋体" w:hAnsi="宋体" w:cs="宋体"/>
                <w:sz w:val="24"/>
              </w:rPr>
            </w:pPr>
            <w:r>
              <w:rPr>
                <w:rFonts w:hint="eastAsia"/>
              </w:rPr>
              <w:t>生粉</w:t>
            </w:r>
          </w:p>
        </w:tc>
        <w:tc>
          <w:tcPr>
            <w:tcW w:w="666" w:type="dxa"/>
            <w:tcBorders>
              <w:top w:val="single" w:color="auto" w:sz="4" w:space="0"/>
              <w:left w:val="single" w:color="auto" w:sz="4" w:space="0"/>
              <w:bottom w:val="single" w:color="auto" w:sz="4" w:space="0"/>
              <w:right w:val="single" w:color="auto" w:sz="4" w:space="0"/>
            </w:tcBorders>
            <w:vAlign w:val="center"/>
          </w:tcPr>
          <w:p w14:paraId="2671CDF0">
            <w:pPr>
              <w:jc w:val="center"/>
              <w:rPr>
                <w:rFonts w:ascii="宋体" w:hAnsi="宋体" w:cs="宋体"/>
                <w:sz w:val="24"/>
              </w:rPr>
            </w:pPr>
            <w:r>
              <w:rPr>
                <w:rFonts w:hint="eastAsia"/>
              </w:rPr>
              <w:t>包</w:t>
            </w:r>
          </w:p>
        </w:tc>
        <w:tc>
          <w:tcPr>
            <w:tcW w:w="1057" w:type="dxa"/>
            <w:tcBorders>
              <w:top w:val="single" w:color="auto" w:sz="4" w:space="0"/>
              <w:left w:val="single" w:color="auto" w:sz="4" w:space="0"/>
              <w:bottom w:val="single" w:color="auto" w:sz="4" w:space="0"/>
              <w:right w:val="single" w:color="auto" w:sz="4" w:space="0"/>
            </w:tcBorders>
            <w:vAlign w:val="center"/>
          </w:tcPr>
          <w:p w14:paraId="72ABFB90">
            <w:pPr>
              <w:widowControl/>
              <w:jc w:val="center"/>
              <w:textAlignment w:val="center"/>
              <w:rPr>
                <w:lang w:bidi="ar"/>
              </w:rPr>
            </w:pPr>
            <w:r>
              <w:rPr>
                <w:kern w:val="0"/>
                <w:szCs w:val="21"/>
                <w:lang w:bidi="ar"/>
              </w:rPr>
              <w:t>810</w:t>
            </w:r>
            <w:r>
              <w:rPr>
                <w:rFonts w:hint="eastAsia"/>
                <w:kern w:val="0"/>
                <w:szCs w:val="21"/>
                <w:lang w:bidi="ar"/>
              </w:rPr>
              <w:t>.00</w:t>
            </w:r>
          </w:p>
        </w:tc>
        <w:tc>
          <w:tcPr>
            <w:tcW w:w="1072" w:type="dxa"/>
            <w:vMerge w:val="continue"/>
            <w:tcBorders>
              <w:left w:val="single" w:color="auto" w:sz="4" w:space="0"/>
              <w:right w:val="single" w:color="auto" w:sz="4" w:space="0"/>
            </w:tcBorders>
            <w:vAlign w:val="center"/>
          </w:tcPr>
          <w:p w14:paraId="50069FF8">
            <w:pPr>
              <w:jc w:val="center"/>
            </w:pPr>
          </w:p>
        </w:tc>
        <w:tc>
          <w:tcPr>
            <w:tcW w:w="4231" w:type="dxa"/>
            <w:tcBorders>
              <w:top w:val="single" w:color="auto" w:sz="4" w:space="0"/>
              <w:left w:val="single" w:color="auto" w:sz="4" w:space="0"/>
              <w:bottom w:val="single" w:color="auto" w:sz="4" w:space="0"/>
              <w:right w:val="single" w:color="auto" w:sz="4" w:space="0"/>
            </w:tcBorders>
            <w:vAlign w:val="center"/>
          </w:tcPr>
          <w:p w14:paraId="494E8B49">
            <w:pPr>
              <w:numPr>
                <w:ilvl w:val="0"/>
                <w:numId w:val="22"/>
              </w:numPr>
              <w:ind w:hanging="339"/>
              <w:jc w:val="left"/>
            </w:pPr>
            <w:r>
              <w:rPr>
                <w:rFonts w:hint="eastAsia"/>
              </w:rPr>
              <w:t>规格：200g/包</w:t>
            </w:r>
          </w:p>
          <w:p w14:paraId="115E31CC">
            <w:pPr>
              <w:numPr>
                <w:ilvl w:val="0"/>
                <w:numId w:val="22"/>
              </w:numPr>
              <w:ind w:left="0" w:firstLine="79" w:firstLineChars="38"/>
              <w:jc w:val="left"/>
            </w:pPr>
            <w:r>
              <w:rPr>
                <w:rFonts w:hint="eastAsia"/>
              </w:rPr>
              <w:t>包装完整、有生产厂家、地址、联系号码、生产日期（近期）和保质期；</w:t>
            </w:r>
          </w:p>
          <w:p w14:paraId="72B9BCF8">
            <w:pPr>
              <w:numPr>
                <w:ilvl w:val="0"/>
                <w:numId w:val="22"/>
              </w:numPr>
              <w:ind w:left="0" w:firstLine="79" w:firstLineChars="38"/>
              <w:jc w:val="left"/>
            </w:pPr>
            <w:r>
              <w:rPr>
                <w:rFonts w:hint="eastAsia"/>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vAlign w:val="center"/>
          </w:tcPr>
          <w:p w14:paraId="2D63A0FF">
            <w:pPr>
              <w:widowControl/>
              <w:jc w:val="center"/>
              <w:rPr>
                <w:lang w:bidi="ar"/>
              </w:rPr>
            </w:pPr>
            <w:r>
              <w:rPr>
                <w:lang w:bidi="ar"/>
              </w:rPr>
              <w:t xml:space="preserve">1.90 </w:t>
            </w:r>
          </w:p>
        </w:tc>
      </w:tr>
      <w:tr w14:paraId="23BB38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14:paraId="35C601B4">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292AE5C">
            <w:pPr>
              <w:jc w:val="center"/>
              <w:rPr>
                <w:rFonts w:ascii="宋体" w:hAnsi="宋体" w:cs="宋体"/>
                <w:sz w:val="24"/>
              </w:rPr>
            </w:pPr>
            <w:r>
              <w:rPr>
                <w:rFonts w:hint="eastAsia"/>
              </w:rPr>
              <w:t>22</w:t>
            </w:r>
          </w:p>
        </w:tc>
        <w:tc>
          <w:tcPr>
            <w:tcW w:w="1131" w:type="dxa"/>
            <w:tcBorders>
              <w:top w:val="single" w:color="auto" w:sz="4" w:space="0"/>
              <w:left w:val="single" w:color="auto" w:sz="4" w:space="0"/>
              <w:bottom w:val="single" w:color="auto" w:sz="4" w:space="0"/>
              <w:right w:val="single" w:color="auto" w:sz="4" w:space="0"/>
            </w:tcBorders>
            <w:vAlign w:val="center"/>
          </w:tcPr>
          <w:p w14:paraId="72D38330">
            <w:pPr>
              <w:jc w:val="center"/>
              <w:rPr>
                <w:rFonts w:ascii="宋体" w:hAnsi="宋体" w:cs="宋体"/>
                <w:sz w:val="24"/>
              </w:rPr>
            </w:pPr>
            <w:r>
              <w:rPr>
                <w:rFonts w:hint="eastAsia"/>
              </w:rPr>
              <w:t>嫩肉粉</w:t>
            </w:r>
          </w:p>
        </w:tc>
        <w:tc>
          <w:tcPr>
            <w:tcW w:w="666" w:type="dxa"/>
            <w:tcBorders>
              <w:top w:val="single" w:color="auto" w:sz="4" w:space="0"/>
              <w:left w:val="single" w:color="auto" w:sz="4" w:space="0"/>
              <w:bottom w:val="single" w:color="auto" w:sz="4" w:space="0"/>
              <w:right w:val="single" w:color="auto" w:sz="4" w:space="0"/>
            </w:tcBorders>
            <w:vAlign w:val="center"/>
          </w:tcPr>
          <w:p w14:paraId="3C7E8509">
            <w:pPr>
              <w:jc w:val="center"/>
              <w:rPr>
                <w:rFonts w:ascii="宋体" w:hAnsi="宋体" w:cs="宋体"/>
                <w:sz w:val="24"/>
              </w:rPr>
            </w:pPr>
            <w:r>
              <w:rPr>
                <w:rFonts w:hint="eastAsia"/>
              </w:rPr>
              <w:t>瓶</w:t>
            </w:r>
          </w:p>
        </w:tc>
        <w:tc>
          <w:tcPr>
            <w:tcW w:w="1057" w:type="dxa"/>
            <w:tcBorders>
              <w:top w:val="single" w:color="auto" w:sz="4" w:space="0"/>
              <w:left w:val="single" w:color="auto" w:sz="4" w:space="0"/>
              <w:bottom w:val="single" w:color="auto" w:sz="4" w:space="0"/>
              <w:right w:val="single" w:color="auto" w:sz="4" w:space="0"/>
            </w:tcBorders>
            <w:vAlign w:val="center"/>
          </w:tcPr>
          <w:p w14:paraId="52973951">
            <w:pPr>
              <w:widowControl/>
              <w:jc w:val="center"/>
              <w:textAlignment w:val="center"/>
              <w:rPr>
                <w:lang w:bidi="ar"/>
              </w:rPr>
            </w:pPr>
            <w:r>
              <w:rPr>
                <w:kern w:val="0"/>
                <w:szCs w:val="21"/>
                <w:lang w:bidi="ar"/>
              </w:rPr>
              <w:t>400</w:t>
            </w:r>
            <w:r>
              <w:rPr>
                <w:rFonts w:hint="eastAsia"/>
                <w:kern w:val="0"/>
                <w:szCs w:val="21"/>
                <w:lang w:bidi="ar"/>
              </w:rPr>
              <w:t>.00</w:t>
            </w:r>
          </w:p>
        </w:tc>
        <w:tc>
          <w:tcPr>
            <w:tcW w:w="1072" w:type="dxa"/>
            <w:vMerge w:val="continue"/>
            <w:tcBorders>
              <w:left w:val="single" w:color="auto" w:sz="4" w:space="0"/>
              <w:right w:val="single" w:color="auto" w:sz="4" w:space="0"/>
            </w:tcBorders>
            <w:vAlign w:val="center"/>
          </w:tcPr>
          <w:p w14:paraId="0DE0ADC1">
            <w:pPr>
              <w:jc w:val="center"/>
            </w:pPr>
          </w:p>
        </w:tc>
        <w:tc>
          <w:tcPr>
            <w:tcW w:w="4231" w:type="dxa"/>
            <w:tcBorders>
              <w:top w:val="single" w:color="auto" w:sz="4" w:space="0"/>
              <w:left w:val="single" w:color="auto" w:sz="4" w:space="0"/>
              <w:bottom w:val="single" w:color="auto" w:sz="4" w:space="0"/>
              <w:right w:val="single" w:color="auto" w:sz="4" w:space="0"/>
            </w:tcBorders>
            <w:vAlign w:val="center"/>
          </w:tcPr>
          <w:p w14:paraId="7F67476D">
            <w:pPr>
              <w:numPr>
                <w:ilvl w:val="0"/>
                <w:numId w:val="23"/>
              </w:numPr>
              <w:ind w:hanging="339"/>
              <w:jc w:val="left"/>
            </w:pPr>
            <w:r>
              <w:rPr>
                <w:rFonts w:hint="eastAsia"/>
              </w:rPr>
              <w:t>规格：250g/瓶</w:t>
            </w:r>
          </w:p>
          <w:p w14:paraId="7D250A49">
            <w:pPr>
              <w:numPr>
                <w:ilvl w:val="0"/>
                <w:numId w:val="23"/>
              </w:numPr>
              <w:ind w:left="0" w:firstLine="79" w:firstLineChars="38"/>
              <w:jc w:val="left"/>
            </w:pPr>
            <w:r>
              <w:rPr>
                <w:rFonts w:hint="eastAsia"/>
              </w:rPr>
              <w:t>包装完整（包装为非玻璃制品）、有生产厂家、地址、联系号码、生产日期（近期）和保质期；</w:t>
            </w:r>
          </w:p>
          <w:p w14:paraId="46A9A9B7">
            <w:pPr>
              <w:numPr>
                <w:ilvl w:val="0"/>
                <w:numId w:val="23"/>
              </w:numPr>
              <w:ind w:left="0" w:firstLine="79" w:firstLineChars="38"/>
              <w:jc w:val="left"/>
            </w:pPr>
            <w:r>
              <w:rPr>
                <w:rFonts w:hint="eastAsia"/>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vAlign w:val="center"/>
          </w:tcPr>
          <w:p w14:paraId="0930FC07">
            <w:pPr>
              <w:widowControl/>
              <w:jc w:val="center"/>
              <w:rPr>
                <w:lang w:bidi="ar"/>
              </w:rPr>
            </w:pPr>
            <w:r>
              <w:rPr>
                <w:lang w:bidi="ar"/>
              </w:rPr>
              <w:t xml:space="preserve">4.28 </w:t>
            </w:r>
          </w:p>
        </w:tc>
      </w:tr>
      <w:tr w14:paraId="7EC61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79" w:type="dxa"/>
            <w:vMerge w:val="continue"/>
            <w:tcBorders>
              <w:left w:val="single" w:color="auto" w:sz="4" w:space="0"/>
              <w:right w:val="single" w:color="auto" w:sz="4" w:space="0"/>
            </w:tcBorders>
            <w:vAlign w:val="center"/>
          </w:tcPr>
          <w:p w14:paraId="58BFD2E7">
            <w:pPr>
              <w:jc w:val="center"/>
              <w:rPr>
                <w:rFonts w:ascii="宋体" w:hAnsi="宋体" w:cs="宋体"/>
                <w:szCs w:val="21"/>
              </w:rPr>
            </w:pP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2B512BC">
            <w:pPr>
              <w:jc w:val="center"/>
              <w:rPr>
                <w:rFonts w:ascii="宋体" w:hAnsi="宋体" w:cs="宋体"/>
                <w:sz w:val="24"/>
              </w:rPr>
            </w:pPr>
            <w:r>
              <w:rPr>
                <w:rFonts w:hint="eastAsia"/>
              </w:rPr>
              <w:t>23</w:t>
            </w:r>
          </w:p>
        </w:tc>
        <w:tc>
          <w:tcPr>
            <w:tcW w:w="1131" w:type="dxa"/>
            <w:tcBorders>
              <w:top w:val="single" w:color="auto" w:sz="4" w:space="0"/>
              <w:left w:val="single" w:color="auto" w:sz="4" w:space="0"/>
              <w:bottom w:val="single" w:color="auto" w:sz="4" w:space="0"/>
              <w:right w:val="single" w:color="auto" w:sz="4" w:space="0"/>
            </w:tcBorders>
            <w:vAlign w:val="center"/>
          </w:tcPr>
          <w:p w14:paraId="64F1DABB">
            <w:pPr>
              <w:jc w:val="center"/>
              <w:rPr>
                <w:rFonts w:ascii="宋体" w:hAnsi="宋体" w:cs="宋体"/>
                <w:sz w:val="24"/>
              </w:rPr>
            </w:pPr>
            <w:r>
              <w:rPr>
                <w:rFonts w:hint="eastAsia"/>
              </w:rPr>
              <w:t>骨头汤料</w:t>
            </w:r>
          </w:p>
        </w:tc>
        <w:tc>
          <w:tcPr>
            <w:tcW w:w="666" w:type="dxa"/>
            <w:tcBorders>
              <w:top w:val="single" w:color="auto" w:sz="4" w:space="0"/>
              <w:left w:val="single" w:color="auto" w:sz="4" w:space="0"/>
              <w:bottom w:val="single" w:color="auto" w:sz="4" w:space="0"/>
              <w:right w:val="single" w:color="auto" w:sz="4" w:space="0"/>
            </w:tcBorders>
            <w:vAlign w:val="center"/>
          </w:tcPr>
          <w:p w14:paraId="399DDAC7">
            <w:pPr>
              <w:jc w:val="center"/>
              <w:rPr>
                <w:rFonts w:ascii="宋体" w:hAnsi="宋体" w:cs="宋体"/>
                <w:sz w:val="24"/>
              </w:rPr>
            </w:pPr>
            <w:r>
              <w:rPr>
                <w:rFonts w:hint="eastAsia"/>
              </w:rPr>
              <w:t>罐</w:t>
            </w:r>
          </w:p>
        </w:tc>
        <w:tc>
          <w:tcPr>
            <w:tcW w:w="1057" w:type="dxa"/>
            <w:tcBorders>
              <w:top w:val="single" w:color="auto" w:sz="4" w:space="0"/>
              <w:left w:val="single" w:color="auto" w:sz="4" w:space="0"/>
              <w:bottom w:val="single" w:color="auto" w:sz="4" w:space="0"/>
              <w:right w:val="single" w:color="auto" w:sz="4" w:space="0"/>
            </w:tcBorders>
            <w:vAlign w:val="center"/>
          </w:tcPr>
          <w:p w14:paraId="6A5C1497">
            <w:pPr>
              <w:widowControl/>
              <w:jc w:val="center"/>
              <w:textAlignment w:val="center"/>
              <w:rPr>
                <w:lang w:bidi="ar"/>
              </w:rPr>
            </w:pPr>
            <w:r>
              <w:rPr>
                <w:kern w:val="0"/>
                <w:szCs w:val="21"/>
                <w:lang w:bidi="ar"/>
              </w:rPr>
              <w:t>400</w:t>
            </w:r>
            <w:r>
              <w:rPr>
                <w:rFonts w:hint="eastAsia"/>
                <w:kern w:val="0"/>
                <w:szCs w:val="21"/>
                <w:lang w:bidi="ar"/>
              </w:rPr>
              <w:t>.00</w:t>
            </w:r>
          </w:p>
        </w:tc>
        <w:tc>
          <w:tcPr>
            <w:tcW w:w="1072" w:type="dxa"/>
            <w:vMerge w:val="continue"/>
            <w:tcBorders>
              <w:left w:val="single" w:color="auto" w:sz="4" w:space="0"/>
              <w:right w:val="single" w:color="auto" w:sz="4" w:space="0"/>
            </w:tcBorders>
            <w:vAlign w:val="center"/>
          </w:tcPr>
          <w:p w14:paraId="50FA7F14">
            <w:pPr>
              <w:jc w:val="center"/>
            </w:pPr>
          </w:p>
        </w:tc>
        <w:tc>
          <w:tcPr>
            <w:tcW w:w="4231" w:type="dxa"/>
            <w:tcBorders>
              <w:top w:val="single" w:color="auto" w:sz="4" w:space="0"/>
              <w:left w:val="single" w:color="auto" w:sz="4" w:space="0"/>
              <w:bottom w:val="single" w:color="auto" w:sz="4" w:space="0"/>
              <w:right w:val="single" w:color="auto" w:sz="4" w:space="0"/>
            </w:tcBorders>
            <w:vAlign w:val="center"/>
          </w:tcPr>
          <w:p w14:paraId="1BDCEEC3">
            <w:pPr>
              <w:numPr>
                <w:ilvl w:val="0"/>
                <w:numId w:val="24"/>
              </w:numPr>
              <w:ind w:hanging="339"/>
              <w:jc w:val="left"/>
            </w:pPr>
            <w:r>
              <w:rPr>
                <w:rFonts w:hint="eastAsia"/>
              </w:rPr>
              <w:t>规格：1000g/罐</w:t>
            </w:r>
          </w:p>
          <w:p w14:paraId="65F88365">
            <w:pPr>
              <w:numPr>
                <w:ilvl w:val="0"/>
                <w:numId w:val="24"/>
              </w:numPr>
              <w:ind w:left="0" w:firstLine="79" w:firstLineChars="38"/>
              <w:jc w:val="left"/>
            </w:pPr>
            <w:r>
              <w:rPr>
                <w:rFonts w:hint="eastAsia"/>
              </w:rPr>
              <w:t>包装完整、有生产厂家、地址、联系号码、生产日期（近期）和保质期；</w:t>
            </w:r>
          </w:p>
          <w:p w14:paraId="69C636A5">
            <w:pPr>
              <w:numPr>
                <w:ilvl w:val="0"/>
                <w:numId w:val="24"/>
              </w:numPr>
              <w:ind w:left="0" w:firstLine="79" w:firstLineChars="38"/>
              <w:jc w:val="left"/>
            </w:pPr>
            <w:r>
              <w:rPr>
                <w:rFonts w:hint="eastAsia"/>
              </w:rPr>
              <w:t>产品无杂质、无发霉、变质和异味。</w:t>
            </w:r>
          </w:p>
        </w:tc>
        <w:tc>
          <w:tcPr>
            <w:tcW w:w="1134" w:type="dxa"/>
            <w:tcBorders>
              <w:top w:val="single" w:color="auto" w:sz="4" w:space="0"/>
              <w:left w:val="single" w:color="auto" w:sz="4" w:space="0"/>
              <w:bottom w:val="single" w:color="auto" w:sz="4" w:space="0"/>
              <w:right w:val="single" w:color="auto" w:sz="4" w:space="0"/>
            </w:tcBorders>
            <w:vAlign w:val="center"/>
          </w:tcPr>
          <w:p w14:paraId="10D3D208">
            <w:pPr>
              <w:widowControl/>
              <w:jc w:val="center"/>
              <w:rPr>
                <w:lang w:bidi="ar"/>
              </w:rPr>
            </w:pPr>
            <w:r>
              <w:rPr>
                <w:lang w:bidi="ar"/>
              </w:rPr>
              <w:t xml:space="preserve">50.35 </w:t>
            </w:r>
          </w:p>
        </w:tc>
      </w:tr>
      <w:tr w14:paraId="082BF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479" w:type="dxa"/>
            <w:tcBorders>
              <w:top w:val="single" w:color="auto" w:sz="4" w:space="0"/>
              <w:left w:val="single" w:color="auto" w:sz="4" w:space="0"/>
              <w:bottom w:val="single" w:color="auto" w:sz="4" w:space="0"/>
              <w:right w:val="single" w:color="auto" w:sz="4" w:space="0"/>
            </w:tcBorders>
          </w:tcPr>
          <w:p w14:paraId="3F00BE3E">
            <w:pPr>
              <w:jc w:val="center"/>
              <w:rPr>
                <w:rFonts w:ascii="宋体" w:hAnsi="宋体"/>
                <w:szCs w:val="21"/>
              </w:rPr>
            </w:pPr>
          </w:p>
          <w:p w14:paraId="7C93274A">
            <w:pPr>
              <w:jc w:val="center"/>
              <w:rPr>
                <w:rFonts w:ascii="宋体" w:hAnsi="宋体"/>
                <w:szCs w:val="21"/>
              </w:rPr>
            </w:pPr>
          </w:p>
          <w:p w14:paraId="426BE97F">
            <w:pPr>
              <w:jc w:val="center"/>
              <w:rPr>
                <w:rFonts w:ascii="宋体" w:hAnsi="宋体"/>
                <w:szCs w:val="21"/>
              </w:rPr>
            </w:pPr>
            <w:r>
              <w:rPr>
                <w:rFonts w:hint="eastAsia" w:ascii="宋体" w:hAnsi="宋体"/>
                <w:szCs w:val="21"/>
              </w:rPr>
              <w:t>商务条款</w:t>
            </w:r>
          </w:p>
        </w:tc>
        <w:tc>
          <w:tcPr>
            <w:tcW w:w="9807" w:type="dxa"/>
            <w:gridSpan w:val="7"/>
            <w:tcBorders>
              <w:top w:val="single" w:color="auto" w:sz="4" w:space="0"/>
              <w:left w:val="single" w:color="auto" w:sz="4" w:space="0"/>
              <w:bottom w:val="single" w:color="auto" w:sz="4" w:space="0"/>
              <w:right w:val="single" w:color="auto" w:sz="4" w:space="0"/>
            </w:tcBorders>
          </w:tcPr>
          <w:p w14:paraId="37BCE4B4">
            <w:pPr>
              <w:numPr>
                <w:ilvl w:val="255"/>
                <w:numId w:val="0"/>
              </w:numPr>
              <w:spacing w:line="360" w:lineRule="auto"/>
              <w:rPr>
                <w:rFonts w:ascii="宋体" w:hAnsi="宋体" w:cs="宋体"/>
              </w:rPr>
            </w:pPr>
            <w:r>
              <w:rPr>
                <w:rFonts w:hint="eastAsia" w:ascii="宋体" w:hAnsi="宋体" w:cs="宋体"/>
                <w:b/>
              </w:rPr>
              <w:t>一、合同签订期</w:t>
            </w:r>
            <w:r>
              <w:rPr>
                <w:rFonts w:hint="eastAsia" w:ascii="宋体" w:hAnsi="宋体" w:cs="宋体"/>
              </w:rPr>
              <w:t>：自中标通知书发出之日起25日内。</w:t>
            </w:r>
          </w:p>
          <w:p w14:paraId="02B7663B">
            <w:pPr>
              <w:numPr>
                <w:ilvl w:val="255"/>
                <w:numId w:val="0"/>
              </w:numPr>
              <w:spacing w:line="360" w:lineRule="auto"/>
              <w:rPr>
                <w:rFonts w:ascii="宋体" w:hAnsi="宋体" w:cs="宋体"/>
                <w:b/>
                <w:bCs/>
              </w:rPr>
            </w:pPr>
            <w:r>
              <w:rPr>
                <w:rFonts w:hint="eastAsia" w:ascii="宋体" w:hAnsi="宋体" w:cs="宋体"/>
                <w:b/>
                <w:bCs/>
              </w:rPr>
              <w:t>二、交货要求</w:t>
            </w:r>
          </w:p>
          <w:p w14:paraId="0C328A3B">
            <w:pPr>
              <w:spacing w:line="360" w:lineRule="auto"/>
              <w:rPr>
                <w:rFonts w:ascii="宋体" w:hAnsi="宋体" w:cs="宋体"/>
              </w:rPr>
            </w:pPr>
            <w:r>
              <w:rPr>
                <w:rFonts w:hint="eastAsia" w:ascii="宋体" w:hAnsi="宋体" w:cs="宋体"/>
              </w:rPr>
              <w:t>1.交货地点：</w:t>
            </w:r>
            <w:r>
              <w:rPr>
                <w:rFonts w:hint="eastAsia" w:ascii="宋体" w:hAnsi="宋体" w:cs="宋体"/>
                <w:szCs w:val="21"/>
              </w:rPr>
              <w:t>广西梧州市</w:t>
            </w:r>
            <w:r>
              <w:rPr>
                <w:rFonts w:hint="eastAsia" w:ascii="宋体" w:hAnsi="宋体" w:cs="宋体"/>
              </w:rPr>
              <w:t>采购人指定地点。</w:t>
            </w:r>
          </w:p>
          <w:p w14:paraId="1FC642E3">
            <w:pPr>
              <w:spacing w:line="360" w:lineRule="auto"/>
              <w:rPr>
                <w:rFonts w:ascii="宋体" w:hAnsi="宋体" w:cs="宋体"/>
              </w:rPr>
            </w:pPr>
            <w:r>
              <w:rPr>
                <w:rFonts w:hint="eastAsia" w:ascii="宋体" w:hAnsi="宋体" w:cs="宋体"/>
              </w:rPr>
              <w:t>2.交货时间：调味品收到采购人供货通知书次日早上8点前供货，特殊情况双方协商确定</w:t>
            </w:r>
            <w:r>
              <w:rPr>
                <w:rFonts w:hint="eastAsia" w:ascii="宋体" w:hAnsi="宋体" w:cs="宋体"/>
                <w:szCs w:val="21"/>
              </w:rPr>
              <w:t>。产品运输由中标人负责，运输及卸车费用由中标人承担</w:t>
            </w:r>
            <w:r>
              <w:rPr>
                <w:rFonts w:hint="eastAsia" w:ascii="宋体" w:hAnsi="宋体" w:cs="宋体"/>
              </w:rPr>
              <w:t>。</w:t>
            </w:r>
          </w:p>
          <w:p w14:paraId="52B3D3B4">
            <w:pPr>
              <w:spacing w:line="360" w:lineRule="auto"/>
              <w:rPr>
                <w:rFonts w:ascii="宋体" w:hAnsi="宋体" w:cs="宋体"/>
              </w:rPr>
            </w:pPr>
            <w:r>
              <w:rPr>
                <w:rFonts w:hint="eastAsia" w:ascii="宋体" w:hAnsi="宋体" w:cs="宋体"/>
              </w:rPr>
              <w:t>3.交货方式：现场交货。</w:t>
            </w:r>
          </w:p>
          <w:p w14:paraId="3E7F13FB">
            <w:pPr>
              <w:spacing w:line="360" w:lineRule="auto"/>
              <w:rPr>
                <w:rFonts w:ascii="宋体" w:hAnsi="宋体" w:cs="宋体"/>
              </w:rPr>
            </w:pPr>
            <w:r>
              <w:rPr>
                <w:rFonts w:hint="eastAsia" w:ascii="宋体" w:hAnsi="宋体" w:cs="宋体"/>
              </w:rPr>
              <w:t>4.合同履行期限：自合同签订之日起一年。</w:t>
            </w:r>
          </w:p>
          <w:p w14:paraId="26025D64">
            <w:pPr>
              <w:numPr>
                <w:ilvl w:val="255"/>
                <w:numId w:val="0"/>
              </w:numPr>
              <w:spacing w:line="360" w:lineRule="auto"/>
              <w:rPr>
                <w:rFonts w:ascii="宋体" w:hAnsi="宋体" w:cs="宋体"/>
                <w:b/>
              </w:rPr>
            </w:pPr>
            <w:r>
              <w:rPr>
                <w:rFonts w:hint="eastAsia" w:ascii="宋体" w:hAnsi="宋体" w:cs="宋体"/>
                <w:b/>
              </w:rPr>
              <w:t>三、质保期</w:t>
            </w:r>
          </w:p>
          <w:p w14:paraId="1545EF70">
            <w:pPr>
              <w:spacing w:line="360" w:lineRule="auto"/>
              <w:rPr>
                <w:rFonts w:ascii="宋体" w:hAnsi="宋体" w:cs="宋体"/>
              </w:rPr>
            </w:pPr>
            <w:r>
              <w:rPr>
                <w:rFonts w:hint="eastAsia" w:ascii="宋体" w:hAnsi="宋体" w:cs="宋体"/>
              </w:rPr>
              <w:t>自每批次货物验收合格起计算，不少于货物外包装上注明总质保期的三分之二。</w:t>
            </w:r>
          </w:p>
          <w:p w14:paraId="53BED4BD">
            <w:pPr>
              <w:numPr>
                <w:ilvl w:val="255"/>
                <w:numId w:val="0"/>
              </w:numPr>
              <w:spacing w:line="360" w:lineRule="auto"/>
              <w:rPr>
                <w:rFonts w:ascii="宋体" w:hAnsi="宋体" w:cs="宋体"/>
                <w:b/>
                <w:bCs/>
              </w:rPr>
            </w:pPr>
            <w:r>
              <w:rPr>
                <w:rFonts w:hint="eastAsia" w:ascii="宋体" w:hAnsi="宋体" w:cs="宋体"/>
                <w:b/>
                <w:bCs/>
              </w:rPr>
              <w:t>四、供货要求</w:t>
            </w:r>
          </w:p>
          <w:p w14:paraId="7D2F2030">
            <w:pPr>
              <w:spacing w:line="360" w:lineRule="auto"/>
              <w:rPr>
                <w:rFonts w:ascii="宋体" w:hAnsi="宋体" w:cs="宋体"/>
              </w:rPr>
            </w:pPr>
            <w:r>
              <w:rPr>
                <w:rFonts w:hint="eastAsia" w:ascii="宋体" w:hAnsi="宋体" w:cs="宋体"/>
              </w:rPr>
              <w:t>1.一般供货要求：采购人根据实际需要，每天下午18时前列出一份第二天需要补充采购的食品请购清单，在收到采购人发出供货通知后，中标人最迟在次日上午8：00前提供当次物资。</w:t>
            </w:r>
          </w:p>
          <w:p w14:paraId="0C52A52F">
            <w:pPr>
              <w:spacing w:line="360" w:lineRule="auto"/>
              <w:rPr>
                <w:rFonts w:ascii="宋体" w:hAnsi="宋体" w:cs="宋体"/>
              </w:rPr>
            </w:pPr>
            <w:r>
              <w:rPr>
                <w:rFonts w:hint="eastAsia" w:ascii="宋体" w:hAnsi="宋体" w:cs="宋体"/>
              </w:rPr>
              <w:t>2.紧急供货要求：有紧急供货需求时，中标人在收到采购人发出紧急供货通知后，中标人最迟1小时内完成当次现场供货。</w:t>
            </w:r>
          </w:p>
          <w:p w14:paraId="4DCB97CD">
            <w:pPr>
              <w:spacing w:line="360" w:lineRule="auto"/>
              <w:rPr>
                <w:rFonts w:ascii="宋体" w:hAnsi="宋体" w:cs="宋体"/>
              </w:rPr>
            </w:pPr>
            <w:r>
              <w:rPr>
                <w:rFonts w:hint="eastAsia" w:ascii="宋体" w:hAnsi="宋体" w:cs="宋体"/>
              </w:rPr>
              <w:t>3.中标人不能满足供货要求时，应提前1个月通知采购人，采购人同意后方可终止合同。</w:t>
            </w:r>
          </w:p>
          <w:p w14:paraId="5F32A93A">
            <w:pPr>
              <w:spacing w:line="360" w:lineRule="auto"/>
              <w:rPr>
                <w:rFonts w:ascii="宋体" w:hAnsi="宋体" w:cs="宋体"/>
              </w:rPr>
            </w:pPr>
            <w:r>
              <w:rPr>
                <w:rFonts w:hint="eastAsia" w:ascii="宋体" w:hAnsi="宋体" w:cs="宋体"/>
              </w:rPr>
              <w:t>4.中标人提供的货物必须是具有合法销售途径的、完整、新鲜合格产品。货物的技术质量必须符合《中华人民共和国农产品质量安全法》等有关规定。</w:t>
            </w:r>
          </w:p>
          <w:p w14:paraId="4BA0BB29">
            <w:pPr>
              <w:spacing w:line="360" w:lineRule="auto"/>
              <w:rPr>
                <w:rFonts w:ascii="宋体" w:hAnsi="宋体" w:cs="宋体"/>
              </w:rPr>
            </w:pPr>
            <w:r>
              <w:rPr>
                <w:rFonts w:hint="eastAsia" w:ascii="宋体" w:hAnsi="宋体" w:cs="宋体"/>
              </w:rPr>
              <w:t>5.食材品质要求：中标人提供的粮油、干杂、调味品等副食品必须达到质量要求。所有粮油、干杂、调味品等副食品必须严格按照国家《中华人民共和国食品安全法》有关要求进行加工生产和供应，必须确保饮食安全。货物有包装的，货物的包装必须完整清洁（无损、无污、无皱），采购人有权拒收包装不整齐、已拆封的商品。中标人提供的产品质量达不到规定标准，采购人有权拒绝接受，如因使用供应商的质量不合格的产品，造成食物中毒或产生其他不适症状，中标人必须承担由此产生的一切经济、法律责任，同时采购人可以无条件终止协议并拒付所有未付货款，扣罚</w:t>
            </w:r>
            <w:bookmarkStart w:id="186" w:name="OLE_LINK34"/>
            <w:r>
              <w:rPr>
                <w:rFonts w:hint="eastAsia" w:ascii="宋体" w:hAnsi="宋体" w:cs="宋体"/>
              </w:rPr>
              <w:t>中标人</w:t>
            </w:r>
            <w:bookmarkEnd w:id="186"/>
            <w:r>
              <w:rPr>
                <w:rFonts w:hint="eastAsia" w:ascii="宋体" w:hAnsi="宋体" w:cs="宋体"/>
              </w:rPr>
              <w:t>所有履约保证金。</w:t>
            </w:r>
          </w:p>
          <w:p w14:paraId="06A72767">
            <w:pPr>
              <w:spacing w:line="360" w:lineRule="auto"/>
              <w:rPr>
                <w:rFonts w:ascii="宋体" w:hAnsi="宋体" w:cs="宋体"/>
              </w:rPr>
            </w:pPr>
            <w:r>
              <w:rPr>
                <w:rFonts w:hint="eastAsia" w:ascii="宋体" w:hAnsi="宋体" w:cs="宋体"/>
              </w:rPr>
              <w:t>6. 投标产品具备生产许可证编号。</w:t>
            </w:r>
          </w:p>
          <w:p w14:paraId="40511889">
            <w:pPr>
              <w:spacing w:line="360" w:lineRule="auto"/>
              <w:rPr>
                <w:rFonts w:ascii="宋体" w:hAnsi="宋体" w:cs="宋体"/>
              </w:rPr>
            </w:pPr>
            <w:r>
              <w:rPr>
                <w:rFonts w:hint="eastAsia" w:ascii="宋体" w:hAnsi="宋体" w:cs="宋体"/>
              </w:rPr>
              <w:t>7.</w:t>
            </w:r>
            <w:r>
              <w:rPr>
                <w:rFonts w:hint="eastAsia" w:ascii="宋体" w:hAnsi="宋体" w:cs="宋体"/>
                <w:szCs w:val="21"/>
              </w:rPr>
              <w:t xml:space="preserve"> 投标人必须保证所提供的产品必须严格按照国家《</w:t>
            </w:r>
            <w:r>
              <w:rPr>
                <w:rFonts w:hint="eastAsia" w:ascii="宋体" w:hAnsi="宋体" w:cs="宋体"/>
              </w:rPr>
              <w:t>中华人民共和国食品安全法</w:t>
            </w:r>
            <w:r>
              <w:rPr>
                <w:rFonts w:hint="eastAsia" w:ascii="宋体" w:hAnsi="宋体" w:cs="宋体"/>
                <w:szCs w:val="21"/>
              </w:rPr>
              <w:t>》有关要求进行加工生产和供应，投标人所有供应食品必须符合《中华人民共和国农产品质量安全法》《中华人民共和国食品安全法实施条例》副食品安全有关要求，确保采购人饮食安全，严禁供应假冒伪劣产品和过期食品</w:t>
            </w:r>
            <w:r>
              <w:rPr>
                <w:rFonts w:hint="eastAsia" w:ascii="宋体" w:hAnsi="宋体" w:cs="宋体"/>
              </w:rPr>
              <w:t>。</w:t>
            </w:r>
          </w:p>
          <w:p w14:paraId="7C5C44A7">
            <w:pPr>
              <w:spacing w:line="360" w:lineRule="auto"/>
              <w:rPr>
                <w:rFonts w:ascii="宋体" w:hAnsi="宋体" w:cs="宋体"/>
              </w:rPr>
            </w:pPr>
            <w:r>
              <w:rPr>
                <w:rFonts w:hint="eastAsia" w:ascii="宋体" w:hAnsi="宋体" w:cs="宋体"/>
              </w:rPr>
              <w:t>8. 配送供应服务内容及要求详见附件一《配送供应内容及要求》。</w:t>
            </w:r>
          </w:p>
          <w:p w14:paraId="73A82254">
            <w:pPr>
              <w:numPr>
                <w:ilvl w:val="255"/>
                <w:numId w:val="0"/>
              </w:numPr>
              <w:spacing w:line="360" w:lineRule="auto"/>
              <w:rPr>
                <w:rFonts w:ascii="宋体" w:hAnsi="宋体" w:cs="宋体"/>
                <w:b/>
                <w:bCs/>
              </w:rPr>
            </w:pPr>
            <w:r>
              <w:rPr>
                <w:rFonts w:hint="eastAsia" w:ascii="宋体" w:hAnsi="宋体"/>
                <w:b/>
                <w:bCs/>
                <w:szCs w:val="21"/>
              </w:rPr>
              <w:t>五、售后服务要求</w:t>
            </w:r>
          </w:p>
          <w:p w14:paraId="0C6E4B93">
            <w:pPr>
              <w:spacing w:line="360" w:lineRule="auto"/>
              <w:rPr>
                <w:rFonts w:ascii="宋体" w:hAnsi="宋体" w:cs="宋体"/>
              </w:rPr>
            </w:pPr>
            <w:r>
              <w:rPr>
                <w:rFonts w:hint="eastAsia" w:ascii="宋体" w:hAnsi="宋体" w:cs="宋体"/>
              </w:rPr>
              <w:t>1.中标人负责货物的供应、包装、运输、装卸、交货，以及途中冷链和售后服务等工作。</w:t>
            </w:r>
          </w:p>
          <w:p w14:paraId="7EC604EA">
            <w:pPr>
              <w:spacing w:line="360" w:lineRule="auto"/>
              <w:rPr>
                <w:rFonts w:ascii="宋体" w:hAnsi="宋体" w:cs="宋体"/>
              </w:rPr>
            </w:pPr>
            <w:r>
              <w:rPr>
                <w:rFonts w:hint="eastAsia" w:ascii="宋体" w:hAnsi="宋体" w:cs="宋体"/>
              </w:rPr>
              <w:t>2.保质保量，如在质保期内发现质量问题，中标人必须在接到采购人通知后1小时内响应并处理，如属质量问题的及时给予更换；</w:t>
            </w:r>
          </w:p>
          <w:p w14:paraId="5F4DA656">
            <w:pPr>
              <w:spacing w:line="360" w:lineRule="auto"/>
              <w:rPr>
                <w:rFonts w:ascii="宋体" w:hAnsi="宋体" w:cs="宋体"/>
              </w:rPr>
            </w:pPr>
            <w:r>
              <w:rPr>
                <w:rFonts w:hint="eastAsia" w:ascii="宋体" w:hAnsi="宋体" w:cs="宋体"/>
              </w:rPr>
              <w:t>3.投标人必须在投标文件中提供具体的“售后服务承诺书”；</w:t>
            </w:r>
          </w:p>
          <w:p w14:paraId="5B142BFD">
            <w:pPr>
              <w:spacing w:line="360" w:lineRule="auto"/>
              <w:rPr>
                <w:rFonts w:ascii="宋体" w:hAnsi="宋体" w:cs="宋体"/>
              </w:rPr>
            </w:pPr>
            <w:r>
              <w:rPr>
                <w:rFonts w:hint="eastAsia" w:ascii="宋体" w:hAnsi="宋体" w:cs="宋体"/>
              </w:rPr>
              <w:t>4.中标人必须严格按采购单位需要的数量和时间供货；</w:t>
            </w:r>
          </w:p>
          <w:p w14:paraId="6B29C4EA">
            <w:pPr>
              <w:spacing w:line="360" w:lineRule="auto"/>
              <w:rPr>
                <w:rFonts w:ascii="宋体" w:hAnsi="宋体" w:cs="宋体"/>
              </w:rPr>
            </w:pPr>
            <w:r>
              <w:rPr>
                <w:rFonts w:hint="eastAsia" w:ascii="宋体" w:hAnsi="宋体" w:cs="宋体"/>
              </w:rPr>
              <w:t>5.采购人发现商品出现损坏（包括表面损坏），或出现水渍、串味、受潮等导致货物性质改变的，中标人必须无条件退货或者更换商品。</w:t>
            </w:r>
          </w:p>
          <w:p w14:paraId="3B09E1F1">
            <w:pPr>
              <w:numPr>
                <w:ilvl w:val="255"/>
                <w:numId w:val="0"/>
              </w:numPr>
              <w:spacing w:line="360" w:lineRule="auto"/>
              <w:rPr>
                <w:rFonts w:ascii="宋体" w:hAnsi="宋体" w:cs="宋体"/>
                <w:b/>
                <w:bCs/>
              </w:rPr>
            </w:pPr>
            <w:r>
              <w:rPr>
                <w:rFonts w:hint="eastAsia" w:ascii="宋体" w:hAnsi="宋体" w:cs="宋体"/>
                <w:b/>
                <w:bCs/>
              </w:rPr>
              <w:t>六、验收方法</w:t>
            </w:r>
          </w:p>
          <w:p w14:paraId="67A1F082">
            <w:pPr>
              <w:spacing w:line="360" w:lineRule="auto"/>
              <w:rPr>
                <w:rFonts w:ascii="宋体" w:hAnsi="宋体" w:cs="宋体"/>
              </w:rPr>
            </w:pPr>
            <w:r>
              <w:rPr>
                <w:rFonts w:hint="eastAsia" w:ascii="宋体" w:hAnsi="宋体" w:cs="宋体"/>
              </w:rPr>
              <w:t>1.货物的验收工作由采购人和中标人共同进行。中标人提供的产品须经过采购人的感官检验、外观检验，若产品外观、包装、形式、质量不符合要求或感官检验不能达到食品卫生要求，当即拒收；中标人不能满足食品的质、量及售后服务要求时，采购人有权进行处罚或终止合同。</w:t>
            </w:r>
          </w:p>
          <w:p w14:paraId="20387700">
            <w:pPr>
              <w:spacing w:line="360" w:lineRule="auto"/>
              <w:rPr>
                <w:rFonts w:ascii="宋体" w:hAnsi="宋体" w:cs="宋体"/>
              </w:rPr>
            </w:pPr>
            <w:r>
              <w:rPr>
                <w:rFonts w:hint="eastAsia" w:ascii="宋体" w:hAnsi="宋体" w:cs="宋体"/>
              </w:rPr>
              <w:t>2.验收工作的一般程序为：根据供货清单的具体要求，对所购物料进行清点、外观检查以及对物料的各项指标和性能进行实测，并逐项记录。检测结束后，验收人员在验收单上签字。对未能通过验收的，一律退货、更换直至验收合格。</w:t>
            </w:r>
          </w:p>
          <w:p w14:paraId="008BEB40">
            <w:pPr>
              <w:numPr>
                <w:ilvl w:val="255"/>
                <w:numId w:val="0"/>
              </w:numPr>
              <w:spacing w:line="360" w:lineRule="auto"/>
              <w:rPr>
                <w:rFonts w:ascii="宋体" w:hAnsi="宋体" w:cs="宋体"/>
              </w:rPr>
            </w:pPr>
            <w:r>
              <w:rPr>
                <w:rFonts w:hint="eastAsia" w:ascii="宋体" w:hAnsi="宋体" w:cs="宋体"/>
                <w:b/>
                <w:bCs/>
              </w:rPr>
              <w:t>七、结算方式</w:t>
            </w:r>
          </w:p>
          <w:p w14:paraId="436AFADB">
            <w:pPr>
              <w:spacing w:line="360" w:lineRule="auto"/>
              <w:rPr>
                <w:rFonts w:ascii="宋体" w:hAnsi="宋体" w:cs="宋体"/>
              </w:rPr>
            </w:pPr>
            <w:r>
              <w:rPr>
                <w:rFonts w:hint="eastAsia" w:ascii="宋体" w:hAnsi="宋体" w:cs="宋体"/>
              </w:rPr>
              <w:t>1.本项目采用先供货后对账再结算方式。</w:t>
            </w:r>
          </w:p>
          <w:p w14:paraId="77F3D59E">
            <w:pPr>
              <w:spacing w:line="360" w:lineRule="auto"/>
              <w:rPr>
                <w:rFonts w:ascii="宋体" w:hAnsi="宋体" w:cs="宋体"/>
              </w:rPr>
            </w:pPr>
            <w:r>
              <w:rPr>
                <w:rFonts w:hint="eastAsia" w:ascii="宋体" w:hAnsi="宋体" w:cs="宋体"/>
              </w:rPr>
              <w:t>2.食材价格调动机制：本标段合同期内不允许调价，投标人应充分考虑到供货期间物品供应基准价上涨的风险（如有新的价格调动机制文件，按新的文件规定执行）。</w:t>
            </w:r>
          </w:p>
          <w:p w14:paraId="19FC0013">
            <w:pPr>
              <w:spacing w:line="360" w:lineRule="auto"/>
              <w:rPr>
                <w:rFonts w:ascii="宋体" w:hAnsi="宋体" w:cs="宋体"/>
              </w:rPr>
            </w:pPr>
            <w:r>
              <w:rPr>
                <w:rFonts w:hint="eastAsia" w:ascii="宋体" w:hAnsi="宋体" w:cs="宋体"/>
              </w:rPr>
              <w:t>3.食材供货期内，某一食材供应价款实际结算方式为：实际食材结算金额=供应基准单价×实际采购数量×中标折扣系数(%)。</w:t>
            </w:r>
          </w:p>
          <w:p w14:paraId="009EB83E">
            <w:pPr>
              <w:numPr>
                <w:ilvl w:val="255"/>
                <w:numId w:val="0"/>
              </w:numPr>
              <w:spacing w:line="360" w:lineRule="auto"/>
              <w:rPr>
                <w:rFonts w:ascii="宋体" w:hAnsi="宋体" w:cs="宋体"/>
                <w:b/>
                <w:bCs/>
              </w:rPr>
            </w:pPr>
            <w:r>
              <w:rPr>
                <w:rFonts w:hint="eastAsia" w:ascii="宋体" w:hAnsi="宋体" w:cs="宋体"/>
                <w:b/>
                <w:bCs/>
              </w:rPr>
              <w:t>八、其他要求</w:t>
            </w:r>
          </w:p>
          <w:p w14:paraId="67EA0A00">
            <w:pPr>
              <w:spacing w:line="360" w:lineRule="auto"/>
              <w:rPr>
                <w:rFonts w:ascii="宋体" w:hAnsi="宋体" w:cs="宋体"/>
              </w:rPr>
            </w:pPr>
            <w:r>
              <w:rPr>
                <w:rFonts w:hint="eastAsia" w:ascii="宋体" w:hAnsi="宋体" w:cs="宋体"/>
              </w:rPr>
              <w:t>1.中标人必须遵守采购人有关管理规定，否则采购人有权终止合同。</w:t>
            </w:r>
          </w:p>
          <w:p w14:paraId="62F47AB7">
            <w:pPr>
              <w:spacing w:line="360" w:lineRule="auto"/>
              <w:rPr>
                <w:rFonts w:ascii="宋体" w:hAnsi="宋体" w:cs="宋体"/>
              </w:rPr>
            </w:pPr>
            <w:r>
              <w:rPr>
                <w:rFonts w:hint="eastAsia" w:ascii="宋体" w:hAnsi="宋体" w:cs="宋体"/>
              </w:rPr>
              <w:t>2.配送人员必须办理健康证，针对各分标投标文件中提供2名以上员工的健康证明、</w:t>
            </w:r>
            <w:r>
              <w:rPr>
                <w:rFonts w:hint="eastAsia" w:ascii="宋体" w:hAnsi="宋体" w:cs="宋体"/>
                <w:bCs/>
                <w:kern w:val="0"/>
                <w:szCs w:val="21"/>
              </w:rPr>
              <w:t>提供无犯罪证明材料</w:t>
            </w:r>
            <w:r>
              <w:rPr>
                <w:rFonts w:hint="eastAsia" w:ascii="宋体" w:hAnsi="宋体" w:cs="宋体"/>
              </w:rPr>
              <w:t>。如临时非固定人员送货，须取得采购人同意。</w:t>
            </w:r>
          </w:p>
          <w:p w14:paraId="770B6C3F">
            <w:pPr>
              <w:spacing w:line="360" w:lineRule="auto"/>
              <w:rPr>
                <w:rFonts w:ascii="宋体" w:hAnsi="宋体" w:cs="宋体"/>
              </w:rPr>
            </w:pPr>
            <w:r>
              <w:rPr>
                <w:rFonts w:hint="eastAsia" w:ascii="宋体" w:hAnsi="宋体" w:cs="宋体"/>
              </w:rPr>
              <w:t>3.</w:t>
            </w:r>
            <w:bookmarkStart w:id="187" w:name="OLE_LINK36"/>
            <w:r>
              <w:rPr>
                <w:rFonts w:hint="eastAsia" w:ascii="宋体" w:hAnsi="宋体" w:cs="宋体"/>
              </w:rPr>
              <w:t>投标人</w:t>
            </w:r>
            <w:bookmarkEnd w:id="187"/>
            <w:r>
              <w:rPr>
                <w:rFonts w:hint="eastAsia" w:ascii="宋体" w:hAnsi="宋体" w:cs="宋体"/>
              </w:rPr>
              <w:t>针对各分标必须拥有专用配送车辆（投标文件中提供如下证明资料：驾驶证、行驶证、车辆≥1辆、车辆照片），车厢内干净、整洁且能按采购人规定的时间及地点一次完成该批次货物的供应。</w:t>
            </w:r>
          </w:p>
          <w:p w14:paraId="42470997">
            <w:pPr>
              <w:spacing w:line="360" w:lineRule="auto"/>
              <w:rPr>
                <w:rFonts w:ascii="宋体" w:hAnsi="宋体" w:cs="宋体"/>
              </w:rPr>
            </w:pPr>
            <w:r>
              <w:rPr>
                <w:rFonts w:hint="eastAsia" w:ascii="宋体" w:hAnsi="宋体" w:cs="宋体"/>
              </w:rPr>
              <w:t>4.</w:t>
            </w:r>
            <w:r>
              <w:rPr>
                <w:rFonts w:hint="eastAsia" w:ascii="宋体" w:hAnsi="宋体" w:cs="宋体"/>
                <w:b/>
              </w:rPr>
              <w:t>本项目采购需求中的要求均为实质性要求，投标人必须满足或优于，否则按投标无效处理</w:t>
            </w:r>
            <w:r>
              <w:rPr>
                <w:rFonts w:hint="eastAsia" w:ascii="宋体" w:hAnsi="宋体" w:cs="宋体"/>
              </w:rPr>
              <w:t>。实际数量为采购人根据实际需要；</w:t>
            </w:r>
            <w:bookmarkStart w:id="188" w:name="OLE_LINK35"/>
            <w:r>
              <w:rPr>
                <w:rFonts w:hint="eastAsia" w:ascii="宋体" w:hAnsi="宋体" w:cs="宋体"/>
              </w:rPr>
              <w:t>中标人</w:t>
            </w:r>
            <w:bookmarkEnd w:id="188"/>
            <w:r>
              <w:rPr>
                <w:rFonts w:hint="eastAsia" w:ascii="宋体" w:hAnsi="宋体" w:cs="宋体"/>
              </w:rPr>
              <w:t>不得因实际供应量提出异议。</w:t>
            </w:r>
          </w:p>
          <w:p w14:paraId="2F40BF49">
            <w:pPr>
              <w:numPr>
                <w:ilvl w:val="255"/>
                <w:numId w:val="0"/>
              </w:numPr>
              <w:spacing w:line="360" w:lineRule="auto"/>
              <w:rPr>
                <w:rFonts w:ascii="宋体" w:hAnsi="宋体" w:cs="宋体"/>
                <w:b/>
                <w:bCs/>
              </w:rPr>
            </w:pPr>
            <w:r>
              <w:rPr>
                <w:rFonts w:hint="eastAsia" w:ascii="宋体" w:hAnsi="宋体" w:cs="宋体"/>
                <w:b/>
                <w:bCs/>
              </w:rPr>
              <w:t>九、安全责任</w:t>
            </w:r>
          </w:p>
          <w:p w14:paraId="769C5E11">
            <w:pPr>
              <w:spacing w:line="360" w:lineRule="auto"/>
              <w:rPr>
                <w:rFonts w:ascii="宋体" w:hAnsi="宋体" w:cs="宋体"/>
              </w:rPr>
            </w:pPr>
            <w:r>
              <w:rPr>
                <w:rFonts w:hint="eastAsia" w:ascii="宋体" w:hAnsi="宋体" w:cs="宋体"/>
              </w:rPr>
              <w:t>1.采购人有权随时对产品进行抽样送检，检测费用由中标人承担。中标人必须依法接受质量技术监督、卫生、市场监督管理局等职能部门的监督管理，并接受、配合相关职能部门的检测。因产品卫生和质量不合格而发生安全事故，中标人无条件承担全部责任，有关职能部门依法追究其责任，并取消</w:t>
            </w:r>
            <w:bookmarkStart w:id="189" w:name="OLE_LINK38"/>
            <w:r>
              <w:rPr>
                <w:rFonts w:hint="eastAsia" w:ascii="宋体" w:hAnsi="宋体" w:cs="宋体"/>
              </w:rPr>
              <w:t>中标人</w:t>
            </w:r>
            <w:bookmarkEnd w:id="189"/>
            <w:r>
              <w:rPr>
                <w:rFonts w:hint="eastAsia" w:ascii="宋体" w:hAnsi="宋体" w:cs="宋体"/>
              </w:rPr>
              <w:t>配送资格。</w:t>
            </w:r>
          </w:p>
          <w:p w14:paraId="4A90F02E">
            <w:pPr>
              <w:spacing w:line="360" w:lineRule="auto"/>
              <w:rPr>
                <w:rFonts w:ascii="宋体" w:hAnsi="宋体" w:cs="宋体"/>
              </w:rPr>
            </w:pPr>
            <w:r>
              <w:rPr>
                <w:rFonts w:hint="eastAsia" w:ascii="宋体" w:hAnsi="宋体" w:cs="宋体"/>
              </w:rPr>
              <w:t>2.中标人应严格遵守《中华人民共和国食品安全法》等相关规定，所提供的产品是合格安全的产品，一经发现供应以下食品，采购人除全部退货外，有权可取消中标人配送资格，没收全部履约保证金，中标人并承担由此造成的经济责任和法律责任。</w:t>
            </w:r>
          </w:p>
          <w:p w14:paraId="2911368B">
            <w:pPr>
              <w:spacing w:line="360" w:lineRule="auto"/>
              <w:rPr>
                <w:rFonts w:ascii="宋体" w:hAnsi="宋体" w:cs="宋体"/>
              </w:rPr>
            </w:pPr>
            <w:r>
              <w:rPr>
                <w:rFonts w:hint="eastAsia" w:ascii="宋体" w:hAnsi="宋体" w:cs="宋体"/>
              </w:rPr>
              <w:t>①腐败变质、油脂酸败、霉变、生虫、污秽不洁、混有异物或者其他感官性状异常，对人体健康有害的；</w:t>
            </w:r>
          </w:p>
          <w:p w14:paraId="112253EF">
            <w:pPr>
              <w:spacing w:line="360" w:lineRule="auto"/>
              <w:rPr>
                <w:rFonts w:ascii="宋体" w:hAnsi="宋体" w:cs="宋体"/>
              </w:rPr>
            </w:pPr>
            <w:r>
              <w:rPr>
                <w:rFonts w:hint="eastAsia" w:ascii="宋体" w:hAnsi="宋体" w:cs="宋体"/>
              </w:rPr>
              <w:t>②含有毒、有害物质或者被有害物质污染，对人体健康有害的；</w:t>
            </w:r>
          </w:p>
          <w:p w14:paraId="61A325DC">
            <w:pPr>
              <w:spacing w:line="360" w:lineRule="auto"/>
              <w:rPr>
                <w:rFonts w:ascii="宋体" w:hAnsi="宋体" w:cs="宋体"/>
              </w:rPr>
            </w:pPr>
            <w:r>
              <w:rPr>
                <w:rFonts w:hint="eastAsia" w:ascii="宋体" w:hAnsi="宋体" w:cs="宋体"/>
              </w:rPr>
              <w:t>③含有致病性寄生虫、微生物或者微生物含量超过国家限定标准的；</w:t>
            </w:r>
          </w:p>
          <w:p w14:paraId="7F3E7B6D">
            <w:pPr>
              <w:spacing w:line="360" w:lineRule="auto"/>
              <w:rPr>
                <w:rFonts w:ascii="宋体" w:hAnsi="宋体" w:cs="宋体"/>
              </w:rPr>
            </w:pPr>
            <w:r>
              <w:rPr>
                <w:rFonts w:hint="eastAsia" w:ascii="宋体" w:hAnsi="宋体" w:cs="宋体"/>
              </w:rPr>
              <w:t>④掺假、掺杂、伪造，影响营养、卫生的；</w:t>
            </w:r>
          </w:p>
          <w:p w14:paraId="07A5F473">
            <w:pPr>
              <w:spacing w:line="360" w:lineRule="auto"/>
              <w:rPr>
                <w:rFonts w:ascii="宋体" w:hAnsi="宋体" w:cs="宋体"/>
              </w:rPr>
            </w:pPr>
            <w:r>
              <w:rPr>
                <w:rFonts w:hint="eastAsia" w:ascii="宋体" w:hAnsi="宋体" w:cs="宋体"/>
              </w:rPr>
              <w:t>⑤用非食品原料加工的，加入非食品用化学物质或者将非食品当作食品的；</w:t>
            </w:r>
          </w:p>
          <w:p w14:paraId="3E538626">
            <w:pPr>
              <w:spacing w:line="360" w:lineRule="auto"/>
              <w:rPr>
                <w:rFonts w:ascii="宋体" w:hAnsi="宋体" w:cs="宋体"/>
              </w:rPr>
            </w:pPr>
            <w:r>
              <w:rPr>
                <w:rFonts w:hint="eastAsia" w:ascii="宋体" w:hAnsi="宋体" w:cs="宋体"/>
              </w:rPr>
              <w:t>⑥超过保质期限的。</w:t>
            </w:r>
          </w:p>
          <w:p w14:paraId="5E386D31">
            <w:pPr>
              <w:spacing w:line="360" w:lineRule="auto"/>
              <w:rPr>
                <w:rFonts w:ascii="宋体" w:hAnsi="宋体" w:cs="宋体"/>
              </w:rPr>
            </w:pPr>
            <w:r>
              <w:rPr>
                <w:rFonts w:hint="eastAsia" w:ascii="宋体" w:hAnsi="宋体" w:cs="宋体"/>
              </w:rPr>
              <w:t>⑦病死、毒死或者死因不明的禽、畜、兽动物等及其制品；</w:t>
            </w:r>
          </w:p>
          <w:p w14:paraId="1C9F7EC8">
            <w:pPr>
              <w:spacing w:line="360" w:lineRule="auto"/>
            </w:pPr>
            <w:r>
              <w:rPr>
                <w:rFonts w:hint="eastAsia" w:ascii="宋体" w:hAnsi="宋体" w:cs="宋体"/>
              </w:rPr>
              <w:t>⑧</w:t>
            </w:r>
            <w:r>
              <w:rPr>
                <w:rFonts w:hint="eastAsia"/>
              </w:rPr>
              <w:t>食材没有合法供货来源的；</w:t>
            </w:r>
          </w:p>
          <w:p w14:paraId="0163252E">
            <w:pPr>
              <w:spacing w:line="360" w:lineRule="auto"/>
              <w:rPr>
                <w:rFonts w:ascii="宋体" w:hAnsi="宋体" w:cs="宋体"/>
              </w:rPr>
            </w:pPr>
            <w:r>
              <w:rPr>
                <w:rFonts w:hint="eastAsia" w:ascii="宋体" w:hAnsi="宋体" w:cs="宋体"/>
                <w:szCs w:val="21"/>
              </w:rPr>
              <w:t>⑨</w:t>
            </w:r>
            <w:r>
              <w:rPr>
                <w:rFonts w:hint="eastAsia" w:ascii="宋体" w:hAnsi="宋体"/>
                <w:szCs w:val="21"/>
              </w:rPr>
              <w:t>未经检疫部门检疫、检验或者检疫、检验不合格的；</w:t>
            </w:r>
          </w:p>
          <w:p w14:paraId="383C7671">
            <w:pPr>
              <w:spacing w:line="360" w:lineRule="auto"/>
              <w:rPr>
                <w:rFonts w:ascii="宋体" w:hAnsi="宋体" w:cs="宋体"/>
              </w:rPr>
            </w:pPr>
            <w:r>
              <w:rPr>
                <w:rFonts w:hint="eastAsia" w:ascii="宋体" w:hAnsi="宋体" w:cs="宋体"/>
              </w:rPr>
              <w:t>⑩其他不符合食品卫生标准的情形。</w:t>
            </w:r>
          </w:p>
          <w:p w14:paraId="2027A7F6">
            <w:pPr>
              <w:spacing w:line="360" w:lineRule="auto"/>
              <w:rPr>
                <w:rFonts w:ascii="宋体" w:hAnsi="宋体" w:cs="宋体"/>
              </w:rPr>
            </w:pPr>
            <w:r>
              <w:rPr>
                <w:rFonts w:hint="eastAsia" w:ascii="宋体" w:hAnsi="宋体" w:cs="宋体"/>
              </w:rPr>
              <w:t>3.服务期限内，如有以下情形之一的，终止其配送资格。</w:t>
            </w:r>
          </w:p>
          <w:p w14:paraId="52A2492D">
            <w:pPr>
              <w:spacing w:line="360" w:lineRule="auto"/>
              <w:rPr>
                <w:rFonts w:ascii="宋体" w:hAnsi="宋体" w:cs="宋体"/>
              </w:rPr>
            </w:pPr>
            <w:r>
              <w:rPr>
                <w:rFonts w:hint="eastAsia" w:ascii="宋体" w:hAnsi="宋体" w:cs="宋体"/>
              </w:rPr>
              <w:t>①严重违法违规，被食品安全监管部门或其他部门处罚的；</w:t>
            </w:r>
          </w:p>
          <w:p w14:paraId="0902A87F">
            <w:pPr>
              <w:spacing w:line="360" w:lineRule="auto"/>
              <w:rPr>
                <w:rFonts w:ascii="宋体" w:hAnsi="宋体" w:cs="宋体"/>
              </w:rPr>
            </w:pPr>
            <w:r>
              <w:rPr>
                <w:rFonts w:hint="eastAsia" w:ascii="宋体" w:hAnsi="宋体" w:cs="宋体"/>
              </w:rPr>
              <w:t>②虚开发票，套取资金，被监察、审计、财政、物价等有关部门查实的；</w:t>
            </w:r>
          </w:p>
          <w:p w14:paraId="1CED7D97">
            <w:pPr>
              <w:spacing w:line="360" w:lineRule="auto"/>
              <w:rPr>
                <w:rFonts w:ascii="宋体" w:hAnsi="宋体" w:cs="宋体"/>
              </w:rPr>
            </w:pPr>
            <w:r>
              <w:rPr>
                <w:rFonts w:hint="eastAsia" w:ascii="宋体" w:hAnsi="宋体" w:cs="宋体"/>
              </w:rPr>
              <w:t>③因食品原材料问题而发生食品安全事故，造成不良后果的；</w:t>
            </w:r>
          </w:p>
          <w:p w14:paraId="47857C7A">
            <w:pPr>
              <w:spacing w:line="360" w:lineRule="auto"/>
              <w:rPr>
                <w:rFonts w:ascii="宋体" w:hAnsi="宋体" w:cs="宋体"/>
              </w:rPr>
            </w:pPr>
            <w:r>
              <w:rPr>
                <w:rFonts w:hint="eastAsia" w:ascii="宋体" w:hAnsi="宋体" w:cs="宋体"/>
              </w:rPr>
              <w:t>④被</w:t>
            </w:r>
            <w:r>
              <w:rPr>
                <w:rFonts w:hint="eastAsia" w:ascii="宋体" w:hAnsi="宋体"/>
                <w:szCs w:val="21"/>
              </w:rPr>
              <w:t>市场监督管理局</w:t>
            </w:r>
            <w:r>
              <w:rPr>
                <w:rFonts w:hint="eastAsia" w:ascii="宋体" w:hAnsi="宋体" w:cs="宋体"/>
              </w:rPr>
              <w:t>、农业农村局抽检食品原材料发现存在严重质量问题的；</w:t>
            </w:r>
          </w:p>
          <w:p w14:paraId="49137C47">
            <w:pPr>
              <w:spacing w:line="360" w:lineRule="auto"/>
              <w:rPr>
                <w:rFonts w:ascii="宋体" w:hAnsi="宋体" w:cs="宋体"/>
              </w:rPr>
            </w:pPr>
            <w:r>
              <w:rPr>
                <w:rFonts w:hint="eastAsia" w:ascii="宋体" w:hAnsi="宋体" w:cs="宋体"/>
              </w:rPr>
              <w:t>⑤被媒体曝光，造成不良影响的；</w:t>
            </w:r>
          </w:p>
          <w:p w14:paraId="703DF523">
            <w:pPr>
              <w:spacing w:line="360" w:lineRule="auto"/>
              <w:rPr>
                <w:rFonts w:ascii="宋体" w:hAnsi="宋体" w:cs="宋体"/>
              </w:rPr>
            </w:pPr>
            <w:r>
              <w:rPr>
                <w:rFonts w:hint="eastAsia" w:ascii="宋体" w:hAnsi="宋体" w:cs="宋体"/>
              </w:rPr>
              <w:t>⑥经查实，存在严重短斤缺两行为；</w:t>
            </w:r>
          </w:p>
          <w:p w14:paraId="13A131BA">
            <w:pPr>
              <w:widowControl/>
              <w:shd w:val="clear" w:color="auto" w:fill="FFFFFF"/>
              <w:spacing w:line="312" w:lineRule="auto"/>
              <w:jc w:val="left"/>
              <w:rPr>
                <w:rFonts w:ascii="宋体" w:hAnsi="宋体"/>
                <w:szCs w:val="21"/>
              </w:rPr>
            </w:pPr>
            <w:r>
              <w:rPr>
                <w:rFonts w:hint="eastAsia" w:ascii="宋体" w:hAnsi="宋体" w:cs="宋体"/>
              </w:rPr>
              <w:t>⑦</w:t>
            </w:r>
            <w:r>
              <w:rPr>
                <w:rFonts w:hint="eastAsia" w:ascii="宋体" w:hAnsi="宋体"/>
                <w:szCs w:val="21"/>
              </w:rPr>
              <w:t>被吊销或注销食品生产许可证或者食品经营许可证的；</w:t>
            </w:r>
          </w:p>
          <w:p w14:paraId="0C41BA5D">
            <w:pPr>
              <w:spacing w:line="360" w:lineRule="auto"/>
              <w:rPr>
                <w:rFonts w:ascii="宋体" w:hAnsi="宋体"/>
                <w:szCs w:val="21"/>
              </w:rPr>
            </w:pPr>
            <w:r>
              <w:rPr>
                <w:rFonts w:hint="eastAsia" w:ascii="宋体" w:hAnsi="宋体" w:cs="宋体"/>
              </w:rPr>
              <w:t>⑧</w:t>
            </w:r>
            <w:r>
              <w:rPr>
                <w:rFonts w:hint="eastAsia" w:ascii="宋体" w:hAnsi="宋体"/>
                <w:szCs w:val="21"/>
              </w:rPr>
              <w:t xml:space="preserve">违反食堂食品原材料采购配送规定，上级主管部门认定应退出的； </w:t>
            </w:r>
          </w:p>
          <w:p w14:paraId="4C530879">
            <w:pPr>
              <w:spacing w:line="360" w:lineRule="auto"/>
              <w:rPr>
                <w:rFonts w:ascii="宋体" w:hAnsi="宋体"/>
                <w:szCs w:val="21"/>
              </w:rPr>
            </w:pPr>
            <w:r>
              <w:rPr>
                <w:rFonts w:hint="eastAsia" w:ascii="宋体" w:hAnsi="宋体" w:cs="宋体"/>
                <w:szCs w:val="21"/>
              </w:rPr>
              <w:t>⑨</w:t>
            </w:r>
            <w:r>
              <w:rPr>
                <w:rFonts w:hint="eastAsia" w:ascii="宋体" w:hAnsi="宋体"/>
                <w:szCs w:val="21"/>
              </w:rPr>
              <w:t>存在转包发包行为的。</w:t>
            </w:r>
          </w:p>
          <w:p w14:paraId="5E123BF3">
            <w:pPr>
              <w:numPr>
                <w:ilvl w:val="255"/>
                <w:numId w:val="0"/>
              </w:numPr>
              <w:spacing w:line="360" w:lineRule="auto"/>
              <w:jc w:val="left"/>
              <w:rPr>
                <w:rFonts w:ascii="宋体" w:hAnsi="宋体" w:cs="宋体"/>
                <w:b/>
                <w:bCs/>
              </w:rPr>
            </w:pPr>
            <w:r>
              <w:rPr>
                <w:rFonts w:hint="eastAsia" w:ascii="宋体" w:hAnsi="宋体" w:cs="宋体"/>
                <w:b/>
                <w:bCs/>
              </w:rPr>
              <w:t>十、报价要求</w:t>
            </w:r>
          </w:p>
          <w:p w14:paraId="6E39A54E">
            <w:pPr>
              <w:spacing w:line="360" w:lineRule="auto"/>
              <w:rPr>
                <w:rFonts w:ascii="宋体" w:hAnsi="宋体" w:cs="宋体"/>
                <w:szCs w:val="21"/>
              </w:rPr>
            </w:pPr>
            <w:r>
              <w:rPr>
                <w:rFonts w:hint="eastAsia" w:ascii="宋体" w:hAnsi="宋体" w:cs="宋体"/>
              </w:rPr>
              <w:t>1.</w:t>
            </w:r>
            <w:r>
              <w:rPr>
                <w:rFonts w:hint="eastAsia" w:ascii="宋体" w:hAnsi="宋体" w:cs="宋体"/>
                <w:szCs w:val="21"/>
              </w:rPr>
              <w:t xml:space="preserve"> 超出有效报价范围的视为投标无效；投标报价按综合折扣系数报价（保留小数点后2位），投标报价有效报价范围为：折扣系数≤100%，投标人的投标单价为供应基准单价×投标报价折扣系数。</w:t>
            </w:r>
          </w:p>
          <w:p w14:paraId="09D77C07">
            <w:pPr>
              <w:spacing w:line="360" w:lineRule="auto"/>
              <w:rPr>
                <w:rFonts w:ascii="宋体" w:hAnsi="宋体" w:cs="宋体"/>
                <w:b/>
                <w:bCs/>
              </w:rPr>
            </w:pPr>
            <w:r>
              <w:rPr>
                <w:rFonts w:hint="eastAsia" w:ascii="宋体" w:hAnsi="宋体" w:cs="宋体"/>
              </w:rPr>
              <w:t>2.投标报价结合市场价格、成本及自身条件、市场风险考虑报出综合的折扣系数。</w:t>
            </w:r>
            <w:r>
              <w:rPr>
                <w:rFonts w:hint="eastAsia" w:ascii="宋体" w:hAnsi="宋体" w:cs="宋体"/>
                <w:b/>
                <w:bCs/>
              </w:rPr>
              <w:t>投标人一旦中标，中标折扣系数在合同服务期内不得改变。</w:t>
            </w:r>
          </w:p>
          <w:p w14:paraId="71FBDB86">
            <w:pPr>
              <w:spacing w:line="360" w:lineRule="auto"/>
              <w:rPr>
                <w:rFonts w:ascii="宋体" w:hAnsi="宋体" w:cs="宋体"/>
              </w:rPr>
            </w:pPr>
            <w:r>
              <w:rPr>
                <w:rFonts w:hint="eastAsia" w:ascii="宋体" w:hAnsi="宋体" w:cs="宋体"/>
              </w:rPr>
              <w:t>3.报价必须含以下部分，包括：</w:t>
            </w:r>
          </w:p>
          <w:p w14:paraId="0CB4287E">
            <w:pPr>
              <w:spacing w:line="360" w:lineRule="auto"/>
              <w:rPr>
                <w:rFonts w:ascii="宋体" w:hAnsi="宋体" w:cs="宋体"/>
              </w:rPr>
            </w:pPr>
            <w:r>
              <w:rPr>
                <w:rFonts w:hint="eastAsia" w:ascii="宋体" w:hAnsi="宋体" w:cs="宋体"/>
              </w:rPr>
              <w:t>①货物、服务的价格；</w:t>
            </w:r>
          </w:p>
          <w:p w14:paraId="5F94DD28">
            <w:pPr>
              <w:spacing w:line="360" w:lineRule="auto"/>
              <w:rPr>
                <w:rFonts w:ascii="宋体" w:hAnsi="宋体" w:cs="宋体"/>
              </w:rPr>
            </w:pPr>
            <w:r>
              <w:rPr>
                <w:rFonts w:hint="eastAsia" w:ascii="宋体" w:hAnsi="宋体" w:cs="宋体"/>
              </w:rPr>
              <w:t>②必要的保险费用和各项税金；</w:t>
            </w:r>
          </w:p>
          <w:p w14:paraId="4FE34106">
            <w:pPr>
              <w:spacing w:line="360" w:lineRule="auto"/>
              <w:rPr>
                <w:rFonts w:ascii="宋体" w:hAnsi="宋体" w:cs="宋体"/>
              </w:rPr>
            </w:pPr>
            <w:r>
              <w:rPr>
                <w:rFonts w:hint="eastAsia" w:ascii="宋体" w:hAnsi="宋体" w:cs="宋体"/>
              </w:rPr>
              <w:t>③</w:t>
            </w:r>
            <w:r>
              <w:rPr>
                <w:rFonts w:hint="eastAsia" w:ascii="宋体" w:hAnsi="宋体"/>
                <w:szCs w:val="21"/>
              </w:rPr>
              <w:t>检验检测、</w:t>
            </w:r>
            <w:r>
              <w:rPr>
                <w:rFonts w:hint="eastAsia" w:ascii="宋体" w:hAnsi="宋体" w:cs="宋体"/>
              </w:rPr>
              <w:t>包装费、运输、搬运装卸、配件加工、</w:t>
            </w:r>
            <w:r>
              <w:rPr>
                <w:rFonts w:hint="eastAsia" w:ascii="宋体" w:hAnsi="宋体"/>
                <w:szCs w:val="21"/>
              </w:rPr>
              <w:t>仓储、人工费及配送费、</w:t>
            </w:r>
            <w:r>
              <w:rPr>
                <w:rFonts w:hint="eastAsia" w:ascii="宋体" w:hAnsi="宋体" w:cs="宋体"/>
              </w:rPr>
              <w:t>售后服务等费用；</w:t>
            </w:r>
          </w:p>
          <w:p w14:paraId="61D0787E">
            <w:pPr>
              <w:spacing w:line="360" w:lineRule="auto"/>
              <w:rPr>
                <w:rFonts w:ascii="宋体" w:hAnsi="宋体" w:cs="宋体"/>
              </w:rPr>
            </w:pPr>
            <w:r>
              <w:rPr>
                <w:rFonts w:hint="eastAsia" w:ascii="宋体" w:hAnsi="宋体" w:cs="宋体"/>
              </w:rPr>
              <w:t>④招标文件所要求的相关服务以及合同所示全部责任、义务和一般风险等全过程产生的所有成本和费用以及税费与投标人认为应包含在本项目中的一切费用等有关费用。</w:t>
            </w:r>
          </w:p>
          <w:p w14:paraId="4BB3827A">
            <w:pPr>
              <w:spacing w:line="360" w:lineRule="auto"/>
              <w:rPr>
                <w:rFonts w:ascii="宋体" w:hAnsi="宋体" w:cs="宋体"/>
              </w:rPr>
            </w:pPr>
            <w:r>
              <w:rPr>
                <w:rFonts w:hint="eastAsia" w:ascii="宋体" w:hAnsi="宋体" w:cs="宋体"/>
              </w:rPr>
              <w:t>4.采购人经市场多方面询价发现</w:t>
            </w:r>
            <w:bookmarkStart w:id="190" w:name="OLE_LINK39"/>
            <w:r>
              <w:rPr>
                <w:rFonts w:hint="eastAsia" w:ascii="宋体" w:hAnsi="宋体" w:cs="宋体"/>
              </w:rPr>
              <w:t>中标人</w:t>
            </w:r>
            <w:bookmarkEnd w:id="190"/>
            <w:r>
              <w:rPr>
                <w:rFonts w:hint="eastAsia" w:ascii="宋体" w:hAnsi="宋体" w:cs="宋体"/>
              </w:rPr>
              <w:t>在合同服务期内所提供的商品价格普遍比市场询价高的、提供假冒伪劣、质量缺陷、非正品的产品，采购人向中标人发出累计二次书面问责书后合同自动解除。</w:t>
            </w:r>
          </w:p>
          <w:p w14:paraId="093CF957">
            <w:pPr>
              <w:numPr>
                <w:ilvl w:val="255"/>
                <w:numId w:val="0"/>
              </w:numPr>
              <w:spacing w:line="360" w:lineRule="auto"/>
              <w:jc w:val="left"/>
              <w:rPr>
                <w:rFonts w:ascii="宋体" w:hAnsi="宋体" w:cs="宋体"/>
                <w:b/>
                <w:bCs/>
              </w:rPr>
            </w:pPr>
            <w:r>
              <w:rPr>
                <w:rFonts w:hint="eastAsia" w:ascii="宋体" w:hAnsi="宋体" w:cs="宋体"/>
                <w:b/>
                <w:bCs/>
              </w:rPr>
              <w:t>十一、付款方式：</w:t>
            </w:r>
          </w:p>
          <w:p w14:paraId="3ACCBBF7">
            <w:pPr>
              <w:spacing w:line="360" w:lineRule="auto"/>
              <w:rPr>
                <w:szCs w:val="21"/>
              </w:rPr>
            </w:pPr>
            <w:r>
              <w:rPr>
                <w:rFonts w:hint="eastAsia" w:ascii="宋体" w:hAnsi="宋体" w:cs="宋体"/>
              </w:rPr>
              <w:t>中标人</w:t>
            </w:r>
            <w:r>
              <w:rPr>
                <w:rFonts w:hint="eastAsia" w:ascii="宋体" w:hAnsi="宋体" w:cs="宋体"/>
                <w:szCs w:val="21"/>
              </w:rPr>
              <w:t>每月26日与</w:t>
            </w:r>
            <w:r>
              <w:rPr>
                <w:rFonts w:hint="eastAsia" w:ascii="宋体" w:hAnsi="宋体" w:cs="宋体"/>
              </w:rPr>
              <w:t>采购人</w:t>
            </w:r>
            <w:r>
              <w:rPr>
                <w:rFonts w:hint="eastAsia" w:ascii="宋体" w:hAnsi="宋体" w:cs="宋体"/>
                <w:szCs w:val="21"/>
              </w:rPr>
              <w:t>核对本月的采购数量（结算周期：上月26日至本月25日为一个结算周期），每月27日提供当月供应食材的等额发票及供货单据结算货款，每月结算一次。采购人收到发票及相关票据后，以银行转账方式向</w:t>
            </w:r>
            <w:r>
              <w:rPr>
                <w:rFonts w:hint="eastAsia" w:ascii="宋体" w:hAnsi="宋体" w:cs="宋体"/>
              </w:rPr>
              <w:t>中标人</w:t>
            </w:r>
            <w:r>
              <w:rPr>
                <w:rFonts w:hint="eastAsia" w:ascii="宋体" w:hAnsi="宋体" w:cs="宋体"/>
                <w:szCs w:val="21"/>
              </w:rPr>
              <w:t>支付货款。</w:t>
            </w:r>
            <w:r>
              <w:rPr>
                <w:rFonts w:hint="eastAsia" w:ascii="宋体" w:hAnsi="宋体" w:cs="宋体"/>
              </w:rPr>
              <w:t>中标人</w:t>
            </w:r>
            <w:r>
              <w:rPr>
                <w:rFonts w:hint="eastAsia" w:ascii="宋体" w:hAnsi="宋体" w:cs="宋体"/>
                <w:szCs w:val="21"/>
              </w:rPr>
              <w:t>须按时足额提供发票及相关票据，否则采购人有权拒绝付款而不构成违约。</w:t>
            </w:r>
            <w:r>
              <w:rPr>
                <w:rFonts w:hint="eastAsia" w:ascii="宋体" w:hAnsi="宋体" w:cs="宋体"/>
              </w:rPr>
              <w:t>中标人</w:t>
            </w:r>
            <w:r>
              <w:rPr>
                <w:rFonts w:hint="eastAsia" w:ascii="宋体" w:hAnsi="宋体" w:cs="宋体"/>
                <w:szCs w:val="21"/>
              </w:rPr>
              <w:t>开具的发票必须真实、合法、有效，如</w:t>
            </w:r>
            <w:r>
              <w:rPr>
                <w:rFonts w:hint="eastAsia" w:ascii="宋体" w:hAnsi="宋体" w:cs="宋体"/>
              </w:rPr>
              <w:t>中标人</w:t>
            </w:r>
            <w:r>
              <w:rPr>
                <w:rFonts w:hint="eastAsia" w:ascii="宋体" w:hAnsi="宋体" w:cs="宋体"/>
                <w:szCs w:val="21"/>
              </w:rPr>
              <w:t>提供虚假发票，由此引发的一切责任由</w:t>
            </w:r>
            <w:r>
              <w:rPr>
                <w:rFonts w:hint="eastAsia" w:ascii="宋体" w:hAnsi="宋体" w:cs="宋体"/>
              </w:rPr>
              <w:t>中标人</w:t>
            </w:r>
            <w:r>
              <w:rPr>
                <w:rFonts w:hint="eastAsia" w:ascii="宋体" w:hAnsi="宋体" w:cs="宋体"/>
                <w:szCs w:val="21"/>
              </w:rPr>
              <w:t>负责。</w:t>
            </w:r>
          </w:p>
          <w:p w14:paraId="3ECBA3D9">
            <w:pPr>
              <w:numPr>
                <w:ilvl w:val="255"/>
                <w:numId w:val="0"/>
              </w:numPr>
              <w:spacing w:line="360" w:lineRule="auto"/>
              <w:rPr>
                <w:szCs w:val="21"/>
              </w:rPr>
            </w:pPr>
            <w:r>
              <w:rPr>
                <w:rFonts w:hint="eastAsia" w:ascii="宋体" w:hAnsi="宋体" w:cs="宋体"/>
                <w:b/>
                <w:bCs/>
              </w:rPr>
              <w:t>十二、</w:t>
            </w:r>
            <w:bookmarkStart w:id="191" w:name="OLE_LINK40"/>
            <w:r>
              <w:rPr>
                <w:rFonts w:hint="eastAsia" w:ascii="宋体" w:hAnsi="宋体" w:cs="宋体"/>
              </w:rPr>
              <w:t>采购人</w:t>
            </w:r>
            <w:bookmarkEnd w:id="191"/>
            <w:r>
              <w:rPr>
                <w:rFonts w:hint="eastAsia" w:ascii="宋体" w:hAnsi="宋体" w:cs="宋体"/>
              </w:rPr>
              <w:t>对中标人实施考核管理制度，详见附件二《广西监狱罪犯生活物资供货商考核管理办法》。投标人在投标文件中出具承诺函：承诺如中标即服从“广西监狱罪犯生活物资供货商考核管理办法”；承诺函格式自拟。</w:t>
            </w:r>
          </w:p>
        </w:tc>
      </w:tr>
      <w:tr w14:paraId="7472A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44" w:hRule="atLeast"/>
          <w:jc w:val="center"/>
        </w:trPr>
        <w:tc>
          <w:tcPr>
            <w:tcW w:w="479" w:type="dxa"/>
            <w:tcBorders>
              <w:top w:val="single" w:color="auto" w:sz="4" w:space="0"/>
              <w:left w:val="single" w:color="auto" w:sz="4" w:space="0"/>
              <w:bottom w:val="single" w:color="auto" w:sz="4" w:space="0"/>
              <w:right w:val="single" w:color="auto" w:sz="4" w:space="0"/>
            </w:tcBorders>
            <w:vAlign w:val="center"/>
          </w:tcPr>
          <w:p w14:paraId="7C3F6D4E">
            <w:pPr>
              <w:jc w:val="center"/>
              <w:rPr>
                <w:rFonts w:ascii="宋体" w:hAnsi="宋体"/>
                <w:szCs w:val="21"/>
              </w:rPr>
            </w:pPr>
            <w:r>
              <w:rPr>
                <w:rFonts w:hint="eastAsia" w:ascii="宋体" w:hAnsi="宋体"/>
                <w:szCs w:val="21"/>
              </w:rPr>
              <w:t>其他说明</w:t>
            </w:r>
          </w:p>
        </w:tc>
        <w:tc>
          <w:tcPr>
            <w:tcW w:w="9807" w:type="dxa"/>
            <w:gridSpan w:val="7"/>
            <w:tcBorders>
              <w:top w:val="single" w:color="auto" w:sz="4" w:space="0"/>
              <w:left w:val="single" w:color="auto" w:sz="4" w:space="0"/>
              <w:bottom w:val="single" w:color="auto" w:sz="4" w:space="0"/>
              <w:right w:val="single" w:color="auto" w:sz="4" w:space="0"/>
            </w:tcBorders>
          </w:tcPr>
          <w:p w14:paraId="21DBA91D">
            <w:pPr>
              <w:widowControl/>
              <w:shd w:val="clear" w:color="auto" w:fill="FFFFFF"/>
              <w:spacing w:line="480" w:lineRule="exact"/>
              <w:rPr>
                <w:rFonts w:ascii="宋体" w:hAnsi="宋体"/>
                <w:szCs w:val="21"/>
              </w:rPr>
            </w:pPr>
            <w:r>
              <w:rPr>
                <w:rFonts w:hint="eastAsia" w:ascii="宋体" w:hAnsi="宋体"/>
                <w:szCs w:val="21"/>
              </w:rPr>
              <w:t>一、进口产品说明（根据项目实际情况选择）</w:t>
            </w:r>
          </w:p>
          <w:p w14:paraId="10667C97">
            <w:pPr>
              <w:tabs>
                <w:tab w:val="left" w:pos="180"/>
                <w:tab w:val="left" w:pos="1620"/>
              </w:tabs>
              <w:spacing w:line="480" w:lineRule="exact"/>
              <w:ind w:firstLine="413" w:firstLineChars="197"/>
              <w:rPr>
                <w:rFonts w:ascii="宋体" w:hAnsi="宋体"/>
                <w:szCs w:val="21"/>
              </w:rPr>
            </w:pPr>
            <w:r>
              <w:rPr>
                <w:rFonts w:hint="eastAsia" w:ascii="宋体" w:hAnsi="宋体"/>
                <w:szCs w:val="21"/>
              </w:rPr>
              <w:t>本分标货物所涉及的货物不接受进口产品（即通过中国海关报关验放进入中国境内且产自关境外的产品）参与投标，</w:t>
            </w:r>
            <w:r>
              <w:rPr>
                <w:rFonts w:hint="eastAsia" w:ascii="宋体" w:hAnsi="宋体"/>
                <w:b/>
                <w:szCs w:val="21"/>
              </w:rPr>
              <w:t>如有进口产品参与投标的作无效标处理</w:t>
            </w:r>
            <w:r>
              <w:rPr>
                <w:rFonts w:hint="eastAsia" w:ascii="宋体" w:hAnsi="宋体"/>
                <w:szCs w:val="21"/>
              </w:rPr>
              <w:t>。</w:t>
            </w:r>
          </w:p>
          <w:p w14:paraId="668085F5">
            <w:pPr>
              <w:widowControl/>
              <w:shd w:val="clear" w:color="auto" w:fill="FFFFFF"/>
              <w:spacing w:line="480" w:lineRule="exact"/>
            </w:pPr>
            <w:r>
              <w:rPr>
                <w:rFonts w:hint="eastAsia" w:ascii="宋体" w:hAnsi="宋体"/>
                <w:szCs w:val="21"/>
              </w:rPr>
              <w:t>二、</w:t>
            </w:r>
            <w:r>
              <w:rPr>
                <w:rFonts w:hint="eastAsia" w:ascii="宋体" w:hAnsi="宋体" w:cs="宋体"/>
                <w:szCs w:val="21"/>
              </w:rPr>
              <w:t>偏离条款说明</w:t>
            </w:r>
          </w:p>
          <w:p w14:paraId="00E82B4D">
            <w:pPr>
              <w:widowControl/>
              <w:shd w:val="clear" w:color="auto" w:fill="FFFFFF"/>
              <w:spacing w:line="480" w:lineRule="exact"/>
              <w:ind w:firstLine="422" w:firstLineChars="200"/>
              <w:rPr>
                <w:rFonts w:ascii="宋体" w:hAnsi="宋体" w:cs="宋体"/>
                <w:bCs/>
                <w:szCs w:val="21"/>
              </w:rPr>
            </w:pPr>
            <w:r>
              <w:rPr>
                <w:rFonts w:hint="eastAsia" w:ascii="宋体" w:hAnsi="宋体" w:cs="宋体"/>
                <w:b/>
                <w:szCs w:val="21"/>
              </w:rPr>
              <w:t>带“▲”系指实质性要求条款，投标产品必须满足，否则投标无效；单个项号的货物（产品）允许偏离的非“▲”技术指标或要求发生负偏离的项数达</w:t>
            </w:r>
            <w:r>
              <w:rPr>
                <w:rFonts w:hint="eastAsia" w:ascii="宋体" w:hAnsi="宋体" w:cs="宋体"/>
                <w:b/>
                <w:szCs w:val="21"/>
                <w:u w:val="single"/>
              </w:rPr>
              <w:t>1项（含1项）</w:t>
            </w:r>
            <w:r>
              <w:rPr>
                <w:rFonts w:hint="eastAsia" w:ascii="宋体" w:hAnsi="宋体" w:cs="宋体"/>
                <w:b/>
                <w:szCs w:val="21"/>
              </w:rPr>
              <w:t>以上的，按投标文件作无效处理</w:t>
            </w:r>
            <w:r>
              <w:rPr>
                <w:rFonts w:hint="eastAsia" w:ascii="宋体" w:hAnsi="宋体" w:cs="宋体"/>
                <w:bCs/>
                <w:szCs w:val="21"/>
              </w:rPr>
              <w:t>。</w:t>
            </w:r>
          </w:p>
          <w:p w14:paraId="5AC5351B">
            <w:pPr>
              <w:widowControl/>
              <w:shd w:val="clear" w:color="auto" w:fill="FFFFFF"/>
              <w:spacing w:line="480" w:lineRule="exact"/>
            </w:pPr>
            <w:r>
              <w:rPr>
                <w:rFonts w:hint="eastAsia" w:ascii="宋体" w:hAnsi="宋体" w:cs="宋体"/>
                <w:szCs w:val="21"/>
              </w:rPr>
              <w:t>三、本表中所列的采购数量均为暂估量，具体数量以食材供应期限内实际供应量结算。中标供应商不得因实际供应量与本表中暂估数量不一致提出异议。</w:t>
            </w:r>
          </w:p>
        </w:tc>
      </w:tr>
    </w:tbl>
    <w:p w14:paraId="37B9029E">
      <w:pPr>
        <w:spacing w:line="360" w:lineRule="auto"/>
        <w:ind w:firstLine="310" w:firstLineChars="147"/>
        <w:jc w:val="left"/>
        <w:rPr>
          <w:rFonts w:ascii="宋体" w:hAnsi="宋体"/>
          <w:b/>
          <w:szCs w:val="21"/>
          <w:u w:val="single"/>
        </w:rPr>
      </w:pPr>
    </w:p>
    <w:p w14:paraId="26FA6CA0">
      <w:pPr>
        <w:spacing w:before="64" w:line="227" w:lineRule="auto"/>
        <w:ind w:left="22"/>
        <w:rPr>
          <w:rFonts w:ascii="宋体" w:hAnsi="宋体" w:cs="宋体"/>
          <w:sz w:val="31"/>
          <w:szCs w:val="31"/>
        </w:rPr>
      </w:pPr>
      <w:r>
        <w:rPr>
          <w:rFonts w:ascii="宋体" w:hAnsi="宋体"/>
          <w:b/>
          <w:szCs w:val="21"/>
          <w:u w:val="single"/>
        </w:rPr>
        <w:br w:type="page"/>
      </w:r>
      <w:r>
        <w:rPr>
          <w:rFonts w:hint="eastAsia" w:ascii="宋体" w:hAnsi="宋体" w:cs="宋体"/>
          <w:spacing w:val="-15"/>
          <w:sz w:val="31"/>
          <w:szCs w:val="31"/>
        </w:rPr>
        <w:t>附</w:t>
      </w:r>
      <w:r>
        <w:rPr>
          <w:rFonts w:hint="eastAsia" w:ascii="宋体" w:hAnsi="宋体" w:cs="宋体"/>
          <w:spacing w:val="-14"/>
          <w:sz w:val="31"/>
          <w:szCs w:val="31"/>
        </w:rPr>
        <w:t xml:space="preserve">件 </w:t>
      </w:r>
      <w:r>
        <w:rPr>
          <w:rFonts w:hint="eastAsia" w:ascii="宋体" w:hAnsi="宋体" w:cs="宋体"/>
          <w:b/>
          <w:bCs/>
          <w:spacing w:val="-14"/>
          <w:sz w:val="31"/>
          <w:szCs w:val="31"/>
        </w:rPr>
        <w:t>一</w:t>
      </w:r>
    </w:p>
    <w:p w14:paraId="7B668A4B">
      <w:pPr>
        <w:spacing w:before="237" w:line="225" w:lineRule="auto"/>
        <w:ind w:left="3379"/>
        <w:rPr>
          <w:rFonts w:ascii="宋体" w:hAnsi="宋体" w:cs="宋体"/>
          <w:sz w:val="31"/>
          <w:szCs w:val="31"/>
        </w:rPr>
      </w:pPr>
      <w:r>
        <w:rPr>
          <w:rFonts w:hint="eastAsia" w:ascii="宋体" w:hAnsi="宋体" w:cs="宋体"/>
          <w:spacing w:val="12"/>
          <w:sz w:val="31"/>
          <w:szCs w:val="31"/>
        </w:rPr>
        <w:t>配</w:t>
      </w:r>
      <w:r>
        <w:rPr>
          <w:rFonts w:hint="eastAsia" w:ascii="宋体" w:hAnsi="宋体" w:cs="宋体"/>
          <w:spacing w:val="9"/>
          <w:sz w:val="31"/>
          <w:szCs w:val="31"/>
        </w:rPr>
        <w:t>送供应内容及要求</w:t>
      </w:r>
    </w:p>
    <w:p w14:paraId="1AD0DBA1">
      <w:pPr>
        <w:spacing w:line="265" w:lineRule="auto"/>
        <w:rPr>
          <w:rFonts w:ascii="宋体" w:hAnsi="宋体" w:cs="宋体"/>
        </w:rPr>
      </w:pPr>
    </w:p>
    <w:p w14:paraId="5572F51A">
      <w:pPr>
        <w:spacing w:before="68" w:line="316" w:lineRule="auto"/>
        <w:ind w:left="21" w:right="64" w:firstLine="511"/>
        <w:rPr>
          <w:rFonts w:ascii="宋体" w:hAnsi="宋体" w:cs="宋体"/>
          <w:szCs w:val="21"/>
        </w:rPr>
      </w:pPr>
      <w:r>
        <w:rPr>
          <w:rFonts w:hint="eastAsia" w:ascii="宋体" w:hAnsi="宋体" w:cs="宋体"/>
          <w:spacing w:val="4"/>
          <w:szCs w:val="21"/>
        </w:rPr>
        <w:t>（一）基本要求：供应商提供的食材配送供应能确保采购人所需食材采购顺畅、规范，并严格遵</w:t>
      </w:r>
      <w:r>
        <w:rPr>
          <w:rFonts w:hint="eastAsia" w:ascii="宋体" w:hAnsi="宋体" w:cs="宋体"/>
          <w:szCs w:val="21"/>
        </w:rPr>
        <w:t xml:space="preserve">守 </w:t>
      </w:r>
      <w:r>
        <w:rPr>
          <w:rFonts w:hint="eastAsia" w:ascii="宋体" w:hAnsi="宋体" w:cs="宋体"/>
          <w:spacing w:val="-2"/>
          <w:szCs w:val="21"/>
        </w:rPr>
        <w:t>国家及相关食品安</w:t>
      </w:r>
      <w:r>
        <w:rPr>
          <w:rFonts w:hint="eastAsia" w:ascii="宋体" w:hAnsi="宋体" w:cs="宋体"/>
          <w:spacing w:val="-1"/>
          <w:szCs w:val="21"/>
        </w:rPr>
        <w:t>全、卫生等法律法规及保障要求，确保供应期限内所配送的食材品质及供应的及时性。</w:t>
      </w:r>
    </w:p>
    <w:p w14:paraId="5ED4F447">
      <w:pPr>
        <w:spacing w:line="218" w:lineRule="auto"/>
        <w:ind w:left="324"/>
        <w:rPr>
          <w:rFonts w:ascii="宋体" w:hAnsi="宋体" w:cs="宋体"/>
          <w:szCs w:val="21"/>
        </w:rPr>
      </w:pPr>
      <w:r>
        <w:rPr>
          <w:rFonts w:hint="eastAsia" w:ascii="宋体" w:hAnsi="宋体" w:cs="宋体"/>
          <w:spacing w:val="10"/>
          <w:szCs w:val="21"/>
        </w:rPr>
        <w:t>（二）</w:t>
      </w:r>
      <w:r>
        <w:rPr>
          <w:rFonts w:hint="eastAsia" w:ascii="宋体" w:hAnsi="宋体" w:cs="宋体"/>
          <w:spacing w:val="5"/>
          <w:szCs w:val="21"/>
        </w:rPr>
        <w:t>供货方式和供货时限等要求</w:t>
      </w:r>
    </w:p>
    <w:p w14:paraId="5593CD95">
      <w:pPr>
        <w:spacing w:before="112" w:line="316" w:lineRule="auto"/>
        <w:ind w:left="20" w:right="83" w:firstLine="418"/>
        <w:rPr>
          <w:rFonts w:ascii="宋体" w:hAnsi="宋体" w:cs="宋体"/>
          <w:szCs w:val="21"/>
        </w:rPr>
      </w:pPr>
      <w:r>
        <w:rPr>
          <w:rFonts w:hint="eastAsia" w:ascii="宋体" w:hAnsi="宋体" w:cs="宋体"/>
          <w:spacing w:val="-2"/>
          <w:szCs w:val="21"/>
        </w:rPr>
        <w:t>1.采购人实行食材统一集中采购，非采购人指定工</w:t>
      </w:r>
      <w:r>
        <w:rPr>
          <w:rFonts w:hint="eastAsia" w:ascii="宋体" w:hAnsi="宋体" w:cs="宋体"/>
          <w:spacing w:val="-1"/>
          <w:szCs w:val="21"/>
        </w:rPr>
        <w:t>作人员通知，严禁私自交易。采购订单一经确认，</w:t>
      </w:r>
      <w:r>
        <w:rPr>
          <w:rFonts w:hint="eastAsia" w:ascii="宋体" w:hAnsi="宋体" w:cs="宋体"/>
          <w:spacing w:val="-2"/>
          <w:szCs w:val="21"/>
        </w:rPr>
        <w:t>中标人需确保按时准点、保质保量进行</w:t>
      </w:r>
      <w:r>
        <w:rPr>
          <w:rFonts w:hint="eastAsia" w:ascii="宋体" w:hAnsi="宋体" w:cs="宋体"/>
          <w:spacing w:val="-1"/>
          <w:szCs w:val="21"/>
        </w:rPr>
        <w:t>货物配送。</w:t>
      </w:r>
    </w:p>
    <w:p w14:paraId="5178AD37">
      <w:pPr>
        <w:spacing w:before="2" w:line="316" w:lineRule="auto"/>
        <w:ind w:left="9" w:right="83" w:firstLine="417"/>
        <w:rPr>
          <w:rFonts w:ascii="宋体" w:hAnsi="宋体" w:cs="宋体"/>
          <w:szCs w:val="21"/>
        </w:rPr>
      </w:pPr>
      <w:r>
        <w:rPr>
          <w:rFonts w:hint="eastAsia" w:ascii="宋体" w:hAnsi="宋体" w:cs="宋体"/>
          <w:spacing w:val="-2"/>
          <w:szCs w:val="21"/>
        </w:rPr>
        <w:t>2.一般供货要求：按</w:t>
      </w:r>
      <w:r>
        <w:rPr>
          <w:rFonts w:hint="eastAsia" w:ascii="宋体" w:hAnsi="宋体" w:cs="宋体"/>
          <w:spacing w:val="-1"/>
          <w:szCs w:val="21"/>
        </w:rPr>
        <w:t>采购人具体采购批次的时间、品种、数量要求，由中标人按采购人要求的时间，负责配送到采购人指定</w:t>
      </w:r>
      <w:r>
        <w:rPr>
          <w:rFonts w:hint="eastAsia" w:ascii="宋体" w:hAnsi="宋体" w:cs="宋体"/>
          <w:szCs w:val="21"/>
        </w:rPr>
        <w:t>地点。具体采供时间、品种、数量以采购人通知为准。</w:t>
      </w:r>
    </w:p>
    <w:p w14:paraId="494E1669">
      <w:pPr>
        <w:spacing w:line="218" w:lineRule="auto"/>
        <w:ind w:left="427"/>
        <w:rPr>
          <w:rFonts w:ascii="宋体" w:hAnsi="宋体" w:cs="宋体"/>
          <w:szCs w:val="21"/>
        </w:rPr>
      </w:pPr>
      <w:r>
        <w:rPr>
          <w:rFonts w:hint="eastAsia" w:ascii="宋体" w:hAnsi="宋体" w:cs="宋体"/>
          <w:spacing w:val="-3"/>
          <w:szCs w:val="21"/>
        </w:rPr>
        <w:t>3.紧急供货要求：在收到采购人发出紧急供货通知后，中标人最迟1小时内完成当次现场</w:t>
      </w:r>
      <w:r>
        <w:rPr>
          <w:rFonts w:hint="eastAsia" w:ascii="宋体" w:hAnsi="宋体" w:cs="宋体"/>
          <w:spacing w:val="-2"/>
          <w:szCs w:val="21"/>
        </w:rPr>
        <w:t>供</w:t>
      </w:r>
      <w:r>
        <w:rPr>
          <w:rFonts w:hint="eastAsia" w:ascii="宋体" w:hAnsi="宋体" w:cs="宋体"/>
          <w:szCs w:val="21"/>
        </w:rPr>
        <w:t>货。</w:t>
      </w:r>
    </w:p>
    <w:p w14:paraId="1D2D53C7">
      <w:pPr>
        <w:spacing w:before="112" w:line="220" w:lineRule="auto"/>
        <w:ind w:left="420"/>
        <w:rPr>
          <w:rFonts w:ascii="宋体" w:hAnsi="宋体" w:cs="宋体"/>
          <w:szCs w:val="21"/>
        </w:rPr>
      </w:pPr>
      <w:r>
        <w:rPr>
          <w:rFonts w:hint="eastAsia" w:ascii="宋体" w:hAnsi="宋体" w:cs="宋体"/>
          <w:spacing w:val="-5"/>
          <w:szCs w:val="21"/>
        </w:rPr>
        <w:t>4.中标人不能满足供货要求时，应提前1个月通知采购人，采购人同意后方可终止合同</w:t>
      </w:r>
      <w:r>
        <w:rPr>
          <w:rFonts w:hint="eastAsia" w:ascii="宋体" w:hAnsi="宋体" w:cs="宋体"/>
          <w:szCs w:val="21"/>
        </w:rPr>
        <w:t>。</w:t>
      </w:r>
    </w:p>
    <w:p w14:paraId="784E9AB0">
      <w:pPr>
        <w:spacing w:before="111" w:line="316" w:lineRule="auto"/>
        <w:ind w:right="57" w:firstLine="425"/>
        <w:rPr>
          <w:rFonts w:ascii="宋体" w:hAnsi="宋体" w:cs="宋体"/>
          <w:szCs w:val="21"/>
        </w:rPr>
      </w:pPr>
      <w:r>
        <w:rPr>
          <w:rFonts w:hint="eastAsia" w:ascii="宋体" w:hAnsi="宋体" w:cs="宋体"/>
          <w:spacing w:val="-3"/>
          <w:szCs w:val="21"/>
        </w:rPr>
        <w:t>5.供应商送货车辆必须手续齐全，司机必须持有相应车辆驾驶执照。采取送货上门的服务方式，</w:t>
      </w:r>
      <w:r>
        <w:rPr>
          <w:rFonts w:hint="eastAsia" w:ascii="宋体" w:hAnsi="宋体" w:cs="宋体"/>
          <w:spacing w:val="-1"/>
          <w:szCs w:val="21"/>
        </w:rPr>
        <w:t>根</w:t>
      </w:r>
      <w:r>
        <w:rPr>
          <w:rFonts w:hint="eastAsia" w:ascii="宋体" w:hAnsi="宋体" w:cs="宋体"/>
          <w:szCs w:val="21"/>
        </w:rPr>
        <w:t>据</w:t>
      </w:r>
      <w:r>
        <w:rPr>
          <w:rFonts w:hint="eastAsia" w:ascii="宋体" w:hAnsi="宋体" w:cs="宋体"/>
          <w:spacing w:val="-6"/>
          <w:szCs w:val="21"/>
        </w:rPr>
        <w:t>采购的</w:t>
      </w:r>
      <w:r>
        <w:rPr>
          <w:rFonts w:hint="eastAsia" w:ascii="宋体" w:hAnsi="宋体" w:cs="宋体"/>
          <w:spacing w:val="-5"/>
          <w:szCs w:val="21"/>
        </w:rPr>
        <w:t>数</w:t>
      </w:r>
      <w:r>
        <w:rPr>
          <w:rFonts w:hint="eastAsia" w:ascii="宋体" w:hAnsi="宋体" w:cs="宋体"/>
          <w:spacing w:val="-3"/>
          <w:szCs w:val="21"/>
        </w:rPr>
        <w:t>量分类包装，于每天上午 8:00 前送到采购人指定地点。</w:t>
      </w:r>
    </w:p>
    <w:p w14:paraId="7970E1C0">
      <w:pPr>
        <w:spacing w:before="1" w:line="316" w:lineRule="auto"/>
        <w:ind w:left="5" w:firstLine="417"/>
        <w:rPr>
          <w:rFonts w:ascii="宋体" w:hAnsi="宋体" w:cs="宋体"/>
          <w:szCs w:val="21"/>
        </w:rPr>
      </w:pPr>
      <w:r>
        <w:rPr>
          <w:rFonts w:hint="eastAsia" w:ascii="宋体" w:hAnsi="宋体" w:cs="宋体"/>
          <w:spacing w:val="-4"/>
          <w:szCs w:val="21"/>
        </w:rPr>
        <w:t>6.接受监督。供应商必须自觉配合采购人有关部门对所供应食材的质量、价格、卫生标准等进行监</w:t>
      </w:r>
      <w:r>
        <w:rPr>
          <w:rFonts w:hint="eastAsia" w:ascii="宋体" w:hAnsi="宋体" w:cs="宋体"/>
          <w:spacing w:val="-2"/>
          <w:szCs w:val="21"/>
        </w:rPr>
        <w:t>督</w:t>
      </w:r>
      <w:r>
        <w:rPr>
          <w:rFonts w:hint="eastAsia" w:ascii="宋体" w:hAnsi="宋体" w:cs="宋体"/>
          <w:szCs w:val="21"/>
        </w:rPr>
        <w:t>，</w:t>
      </w:r>
      <w:r>
        <w:rPr>
          <w:rFonts w:hint="eastAsia" w:ascii="宋体" w:hAnsi="宋体" w:cs="宋体"/>
          <w:spacing w:val="-8"/>
          <w:szCs w:val="21"/>
        </w:rPr>
        <w:t>并做到热</w:t>
      </w:r>
      <w:r>
        <w:rPr>
          <w:rFonts w:hint="eastAsia" w:ascii="宋体" w:hAnsi="宋体" w:cs="宋体"/>
          <w:spacing w:val="-5"/>
          <w:szCs w:val="21"/>
        </w:rPr>
        <w:t>情</w:t>
      </w:r>
      <w:r>
        <w:rPr>
          <w:rFonts w:hint="eastAsia" w:ascii="宋体" w:hAnsi="宋体" w:cs="宋体"/>
          <w:spacing w:val="-4"/>
          <w:szCs w:val="21"/>
        </w:rPr>
        <w:t>周到，耐心细致，有问必答，有疑必释。</w:t>
      </w:r>
    </w:p>
    <w:p w14:paraId="3F2BF64C">
      <w:pPr>
        <w:spacing w:before="1" w:line="316" w:lineRule="auto"/>
        <w:ind w:left="5" w:right="62" w:firstLine="421"/>
        <w:rPr>
          <w:rFonts w:ascii="宋体" w:hAnsi="宋体" w:cs="宋体"/>
          <w:szCs w:val="21"/>
        </w:rPr>
      </w:pPr>
      <w:r>
        <w:rPr>
          <w:rFonts w:hint="eastAsia" w:ascii="宋体" w:hAnsi="宋体" w:cs="宋体"/>
          <w:spacing w:val="-1"/>
          <w:szCs w:val="21"/>
        </w:rPr>
        <w:t>7.服从管理。供应商的服务人员，配送车辆进入采购人区域时，必须严格遵</w:t>
      </w:r>
      <w:r>
        <w:rPr>
          <w:rFonts w:hint="eastAsia" w:ascii="宋体" w:hAnsi="宋体" w:cs="宋体"/>
          <w:szCs w:val="21"/>
        </w:rPr>
        <w:t>守采购人的管理规定，自</w:t>
      </w:r>
      <w:r>
        <w:rPr>
          <w:rFonts w:hint="eastAsia" w:ascii="宋体" w:hAnsi="宋体" w:cs="宋体"/>
          <w:spacing w:val="-2"/>
          <w:szCs w:val="21"/>
        </w:rPr>
        <w:t>觉接受</w:t>
      </w:r>
      <w:r>
        <w:rPr>
          <w:rFonts w:hint="eastAsia" w:ascii="宋体" w:hAnsi="宋体" w:cs="宋体"/>
          <w:spacing w:val="-1"/>
          <w:szCs w:val="21"/>
        </w:rPr>
        <w:t>采购人相关部门及人员的检查和盘问。</w:t>
      </w:r>
    </w:p>
    <w:p w14:paraId="221E3BBC">
      <w:pPr>
        <w:spacing w:before="1" w:line="218" w:lineRule="auto"/>
        <w:ind w:left="324"/>
        <w:rPr>
          <w:rFonts w:ascii="宋体" w:hAnsi="宋体" w:cs="宋体"/>
          <w:szCs w:val="21"/>
        </w:rPr>
      </w:pPr>
      <w:r>
        <w:rPr>
          <w:rFonts w:hint="eastAsia" w:ascii="宋体" w:hAnsi="宋体" w:cs="宋体"/>
          <w:spacing w:val="11"/>
          <w:szCs w:val="21"/>
        </w:rPr>
        <w:t>（</w:t>
      </w:r>
      <w:r>
        <w:rPr>
          <w:rFonts w:hint="eastAsia" w:ascii="宋体" w:hAnsi="宋体" w:cs="宋体"/>
          <w:spacing w:val="8"/>
          <w:szCs w:val="21"/>
        </w:rPr>
        <w:t>三）收货及验收方式</w:t>
      </w:r>
    </w:p>
    <w:p w14:paraId="761350AF">
      <w:pPr>
        <w:spacing w:before="112" w:line="316" w:lineRule="auto"/>
        <w:ind w:left="2" w:right="57" w:firstLine="434"/>
        <w:rPr>
          <w:rFonts w:ascii="宋体" w:hAnsi="宋体" w:cs="宋体"/>
          <w:szCs w:val="21"/>
        </w:rPr>
      </w:pPr>
      <w:r>
        <w:rPr>
          <w:rFonts w:hint="eastAsia" w:ascii="宋体" w:hAnsi="宋体" w:cs="宋体"/>
          <w:spacing w:val="-6"/>
          <w:szCs w:val="21"/>
        </w:rPr>
        <w:t>1.</w:t>
      </w:r>
      <w:r>
        <w:rPr>
          <w:rFonts w:hint="eastAsia" w:ascii="宋体" w:hAnsi="宋体" w:cs="宋体"/>
          <w:spacing w:val="-4"/>
          <w:szCs w:val="21"/>
        </w:rPr>
        <w:t>所</w:t>
      </w:r>
      <w:r>
        <w:rPr>
          <w:rFonts w:hint="eastAsia" w:ascii="宋体" w:hAnsi="宋体" w:cs="宋体"/>
          <w:spacing w:val="-3"/>
          <w:szCs w:val="21"/>
        </w:rPr>
        <w:t>有采购食材均须由中标人配送到采购人指定地点，由采购人、中标人分别指定的验收人双方共同</w:t>
      </w:r>
      <w:r>
        <w:rPr>
          <w:rFonts w:hint="eastAsia" w:ascii="宋体" w:hAnsi="宋体" w:cs="宋体"/>
          <w:spacing w:val="-1"/>
          <w:szCs w:val="21"/>
        </w:rPr>
        <w:t>就采供品名、规格、数量、质量等方面进行</w:t>
      </w:r>
      <w:r>
        <w:rPr>
          <w:rFonts w:hint="eastAsia" w:ascii="宋体" w:hAnsi="宋体" w:cs="宋体"/>
          <w:szCs w:val="21"/>
        </w:rPr>
        <w:t>验收确认和签字。</w:t>
      </w:r>
    </w:p>
    <w:p w14:paraId="5A6BBFAF">
      <w:pPr>
        <w:spacing w:before="3" w:line="316" w:lineRule="auto"/>
        <w:ind w:left="1" w:right="2" w:firstLine="422"/>
        <w:rPr>
          <w:rFonts w:ascii="宋体" w:hAnsi="宋体" w:cs="宋体"/>
          <w:szCs w:val="21"/>
        </w:rPr>
      </w:pPr>
      <w:r>
        <w:rPr>
          <w:rFonts w:hint="eastAsia" w:ascii="宋体" w:hAnsi="宋体" w:cs="宋体"/>
          <w:spacing w:val="-1"/>
          <w:szCs w:val="21"/>
        </w:rPr>
        <w:t>2.中标人所供食材品名、规格、数量与采购人采购通知不相符的，或</w:t>
      </w:r>
      <w:r>
        <w:rPr>
          <w:rFonts w:hint="eastAsia" w:ascii="宋体" w:hAnsi="宋体" w:cs="宋体"/>
          <w:szCs w:val="21"/>
        </w:rPr>
        <w:t>所供食材质量与合同约定、中标</w:t>
      </w:r>
      <w:r>
        <w:rPr>
          <w:rFonts w:hint="eastAsia" w:ascii="宋体" w:hAnsi="宋体" w:cs="宋体"/>
          <w:spacing w:val="-10"/>
          <w:szCs w:val="21"/>
        </w:rPr>
        <w:t>人承诺的产品</w:t>
      </w:r>
      <w:r>
        <w:rPr>
          <w:rFonts w:hint="eastAsia" w:ascii="宋体" w:hAnsi="宋体" w:cs="宋体"/>
          <w:spacing w:val="-9"/>
          <w:szCs w:val="21"/>
        </w:rPr>
        <w:t>质</w:t>
      </w:r>
      <w:r>
        <w:rPr>
          <w:rFonts w:hint="eastAsia" w:ascii="宋体" w:hAnsi="宋体" w:cs="宋体"/>
          <w:spacing w:val="-5"/>
          <w:szCs w:val="21"/>
        </w:rPr>
        <w:t>量不相符的，采购人有权拒收，要求中标人在1小时内更换有质量问题的食材。验收后，</w:t>
      </w:r>
      <w:r>
        <w:rPr>
          <w:rFonts w:hint="eastAsia" w:ascii="宋体" w:hAnsi="宋体" w:cs="宋体"/>
          <w:spacing w:val="-1"/>
          <w:szCs w:val="21"/>
        </w:rPr>
        <w:t>如发现商品存在其他问题，可要求中标人进行换货，中标</w:t>
      </w:r>
      <w:r>
        <w:rPr>
          <w:rFonts w:hint="eastAsia" w:ascii="宋体" w:hAnsi="宋体" w:cs="宋体"/>
          <w:szCs w:val="21"/>
        </w:rPr>
        <w:t>人应在采购人要求的时间内及时调换符合采购人</w:t>
      </w:r>
      <w:r>
        <w:rPr>
          <w:rFonts w:hint="eastAsia" w:ascii="宋体" w:hAnsi="宋体" w:cs="宋体"/>
          <w:spacing w:val="-2"/>
          <w:szCs w:val="21"/>
        </w:rPr>
        <w:t>要求的产</w:t>
      </w:r>
      <w:r>
        <w:rPr>
          <w:rFonts w:hint="eastAsia" w:ascii="宋体" w:hAnsi="宋体" w:cs="宋体"/>
          <w:spacing w:val="-1"/>
          <w:szCs w:val="21"/>
        </w:rPr>
        <w:t>品并送达采购人指定地点。</w:t>
      </w:r>
    </w:p>
    <w:p w14:paraId="058EECBD">
      <w:pPr>
        <w:spacing w:before="1" w:line="316" w:lineRule="auto"/>
        <w:ind w:left="12" w:right="63" w:firstLine="413"/>
        <w:rPr>
          <w:rFonts w:ascii="宋体" w:hAnsi="宋体" w:cs="宋体"/>
          <w:szCs w:val="21"/>
        </w:rPr>
      </w:pPr>
      <w:r>
        <w:rPr>
          <w:rFonts w:hint="eastAsia" w:ascii="宋体" w:hAnsi="宋体" w:cs="宋体"/>
          <w:spacing w:val="-1"/>
          <w:szCs w:val="21"/>
        </w:rPr>
        <w:t>3.每批次中标人无法按规定时间交货，采购人从其他地方进行临时应急补货</w:t>
      </w:r>
      <w:r>
        <w:rPr>
          <w:rFonts w:hint="eastAsia" w:ascii="宋体" w:hAnsi="宋体" w:cs="宋体"/>
          <w:szCs w:val="21"/>
        </w:rPr>
        <w:t>的，产生的相关成本及</w:t>
      </w:r>
      <w:r>
        <w:rPr>
          <w:rFonts w:hint="eastAsia" w:ascii="宋体" w:hAnsi="宋体" w:cs="宋体"/>
          <w:spacing w:val="-6"/>
          <w:szCs w:val="21"/>
        </w:rPr>
        <w:t>费</w:t>
      </w:r>
      <w:r>
        <w:rPr>
          <w:rFonts w:hint="eastAsia" w:ascii="宋体" w:hAnsi="宋体" w:cs="宋体"/>
          <w:spacing w:val="-5"/>
          <w:szCs w:val="21"/>
        </w:rPr>
        <w:t>用</w:t>
      </w:r>
      <w:r>
        <w:rPr>
          <w:rFonts w:hint="eastAsia" w:ascii="宋体" w:hAnsi="宋体" w:cs="宋体"/>
          <w:spacing w:val="-3"/>
          <w:szCs w:val="21"/>
        </w:rPr>
        <w:t>由中标人负责。</w:t>
      </w:r>
    </w:p>
    <w:p w14:paraId="76C4D3B8">
      <w:pPr>
        <w:spacing w:before="1" w:line="217" w:lineRule="auto"/>
        <w:ind w:left="427"/>
        <w:rPr>
          <w:rFonts w:ascii="宋体" w:hAnsi="宋体" w:cs="宋体"/>
          <w:szCs w:val="21"/>
        </w:rPr>
      </w:pPr>
      <w:r>
        <w:rPr>
          <w:rFonts w:hint="eastAsia" w:ascii="宋体" w:hAnsi="宋体" w:cs="宋体"/>
          <w:spacing w:val="17"/>
          <w:szCs w:val="21"/>
        </w:rPr>
        <w:t>（</w:t>
      </w:r>
      <w:r>
        <w:rPr>
          <w:rFonts w:hint="eastAsia" w:ascii="宋体" w:hAnsi="宋体" w:cs="宋体"/>
          <w:spacing w:val="11"/>
          <w:szCs w:val="21"/>
        </w:rPr>
        <w:t>四） 违约责任</w:t>
      </w:r>
    </w:p>
    <w:p w14:paraId="707F1047">
      <w:pPr>
        <w:spacing w:before="113" w:line="218" w:lineRule="auto"/>
        <w:ind w:left="436"/>
        <w:rPr>
          <w:rFonts w:ascii="宋体" w:hAnsi="宋体" w:cs="宋体"/>
          <w:szCs w:val="21"/>
        </w:rPr>
      </w:pPr>
      <w:r>
        <w:rPr>
          <w:rFonts w:hint="eastAsia" w:ascii="宋体" w:hAnsi="宋体" w:cs="宋体"/>
          <w:spacing w:val="-3"/>
          <w:szCs w:val="21"/>
        </w:rPr>
        <w:t>1．采购人延迟付款，造成中标人损失的，应按《中华人民共和国民法典》有关规定赔偿损</w:t>
      </w:r>
      <w:r>
        <w:rPr>
          <w:rFonts w:hint="eastAsia" w:ascii="宋体" w:hAnsi="宋体" w:cs="宋体"/>
          <w:szCs w:val="21"/>
        </w:rPr>
        <w:t>失。</w:t>
      </w:r>
    </w:p>
    <w:p w14:paraId="5AD75620">
      <w:pPr>
        <w:spacing w:before="113" w:line="316" w:lineRule="auto"/>
        <w:ind w:left="2" w:right="57" w:firstLine="421"/>
        <w:rPr>
          <w:rFonts w:ascii="宋体" w:hAnsi="宋体" w:cs="宋体"/>
          <w:szCs w:val="21"/>
        </w:rPr>
      </w:pPr>
      <w:r>
        <w:rPr>
          <w:rFonts w:hint="eastAsia" w:ascii="宋体" w:hAnsi="宋体" w:cs="宋体"/>
          <w:spacing w:val="-1"/>
          <w:szCs w:val="21"/>
        </w:rPr>
        <w:t>2．中标人存</w:t>
      </w:r>
      <w:r>
        <w:rPr>
          <w:rFonts w:hint="eastAsia" w:ascii="宋体" w:hAnsi="宋体" w:cs="宋体"/>
          <w:szCs w:val="21"/>
        </w:rPr>
        <w:t>在提高价格、质量下降、以次充好、服务质量不达标等问题，采购人视中标人违约情况</w:t>
      </w:r>
      <w:r>
        <w:rPr>
          <w:rFonts w:hint="eastAsia" w:ascii="宋体" w:hAnsi="宋体" w:cs="宋体"/>
          <w:spacing w:val="-4"/>
          <w:szCs w:val="21"/>
        </w:rPr>
        <w:t>可要求中标人赔偿损失。中标人在供应的</w:t>
      </w:r>
      <w:r>
        <w:rPr>
          <w:rFonts w:hint="eastAsia" w:ascii="宋体" w:hAnsi="宋体" w:cs="宋体"/>
          <w:spacing w:val="-3"/>
          <w:szCs w:val="21"/>
        </w:rPr>
        <w:t>食</w:t>
      </w:r>
      <w:r>
        <w:rPr>
          <w:rFonts w:hint="eastAsia" w:ascii="宋体" w:hAnsi="宋体" w:cs="宋体"/>
          <w:spacing w:val="-2"/>
          <w:szCs w:val="21"/>
        </w:rPr>
        <w:t>材中存在下列情形的，采购人可直接单方终止合同，中标人还需承担由此造成的经济责任</w:t>
      </w:r>
      <w:r>
        <w:rPr>
          <w:rFonts w:hint="eastAsia" w:ascii="宋体" w:hAnsi="宋体" w:cs="宋体"/>
          <w:spacing w:val="-1"/>
          <w:szCs w:val="21"/>
        </w:rPr>
        <w:t>和法律责任：</w:t>
      </w:r>
    </w:p>
    <w:p w14:paraId="1469CA9C">
      <w:pPr>
        <w:spacing w:before="1" w:line="316" w:lineRule="auto"/>
        <w:ind w:left="5" w:right="141" w:firstLine="453"/>
        <w:rPr>
          <w:rFonts w:ascii="宋体" w:hAnsi="宋体" w:cs="宋体"/>
          <w:szCs w:val="21"/>
        </w:rPr>
      </w:pPr>
      <w:r>
        <w:rPr>
          <w:rFonts w:hint="eastAsia" w:ascii="宋体" w:hAnsi="宋体" w:cs="宋体"/>
          <w:spacing w:val="-1"/>
          <w:szCs w:val="21"/>
        </w:rPr>
        <w:t>(1)腐败变质、油脂酸败、霉变、生虫、污秽不洁、混有异物或者其他感官性状异常，对</w:t>
      </w:r>
      <w:r>
        <w:rPr>
          <w:rFonts w:hint="eastAsia" w:ascii="宋体" w:hAnsi="宋体" w:cs="宋体"/>
          <w:szCs w:val="21"/>
        </w:rPr>
        <w:t xml:space="preserve">人体健康有 </w:t>
      </w:r>
      <w:r>
        <w:rPr>
          <w:rFonts w:hint="eastAsia" w:ascii="宋体" w:hAnsi="宋体" w:cs="宋体"/>
          <w:spacing w:val="-14"/>
          <w:szCs w:val="21"/>
        </w:rPr>
        <w:t>害</w:t>
      </w:r>
      <w:r>
        <w:rPr>
          <w:rFonts w:hint="eastAsia" w:ascii="宋体" w:hAnsi="宋体" w:cs="宋体"/>
          <w:spacing w:val="-13"/>
          <w:szCs w:val="21"/>
        </w:rPr>
        <w:t>的；</w:t>
      </w:r>
    </w:p>
    <w:p w14:paraId="6AAD476E">
      <w:pPr>
        <w:spacing w:before="1" w:line="220" w:lineRule="auto"/>
        <w:ind w:left="458"/>
        <w:rPr>
          <w:rFonts w:ascii="宋体" w:hAnsi="宋体" w:cs="宋体"/>
          <w:szCs w:val="21"/>
        </w:rPr>
      </w:pPr>
      <w:r>
        <w:rPr>
          <w:rFonts w:hint="eastAsia" w:ascii="宋体" w:hAnsi="宋体" w:cs="宋体"/>
          <w:spacing w:val="-2"/>
          <w:szCs w:val="21"/>
        </w:rPr>
        <w:t>(2)含有毒、有害物质</w:t>
      </w:r>
      <w:r>
        <w:rPr>
          <w:rFonts w:hint="eastAsia" w:ascii="宋体" w:hAnsi="宋体" w:cs="宋体"/>
          <w:spacing w:val="-1"/>
          <w:szCs w:val="21"/>
        </w:rPr>
        <w:t>或者被有害物质污染，对人体健康有害的；</w:t>
      </w:r>
    </w:p>
    <w:p w14:paraId="353FC6F9">
      <w:pPr>
        <w:spacing w:before="109" w:line="221" w:lineRule="auto"/>
        <w:ind w:left="458"/>
        <w:rPr>
          <w:rFonts w:ascii="宋体" w:hAnsi="宋体" w:cs="宋体"/>
          <w:szCs w:val="21"/>
        </w:rPr>
      </w:pPr>
      <w:r>
        <w:rPr>
          <w:rFonts w:hint="eastAsia" w:ascii="宋体" w:hAnsi="宋体" w:cs="宋体"/>
          <w:spacing w:val="-2"/>
          <w:szCs w:val="21"/>
        </w:rPr>
        <w:t>(3)含有致病性寄</w:t>
      </w:r>
      <w:r>
        <w:rPr>
          <w:rFonts w:hint="eastAsia" w:ascii="宋体" w:hAnsi="宋体" w:cs="宋体"/>
          <w:spacing w:val="-1"/>
          <w:szCs w:val="21"/>
        </w:rPr>
        <w:t>生虫、微生物或者微生物含量超过国家限定标准的；</w:t>
      </w:r>
    </w:p>
    <w:p w14:paraId="3D137D47">
      <w:pPr>
        <w:spacing w:before="109" w:line="220" w:lineRule="auto"/>
        <w:ind w:left="458"/>
        <w:rPr>
          <w:rFonts w:ascii="宋体" w:hAnsi="宋体" w:cs="宋体"/>
          <w:szCs w:val="21"/>
        </w:rPr>
      </w:pPr>
      <w:r>
        <w:rPr>
          <w:rFonts w:hint="eastAsia" w:ascii="宋体" w:hAnsi="宋体" w:cs="宋体"/>
          <w:spacing w:val="-12"/>
          <w:szCs w:val="21"/>
        </w:rPr>
        <w:t>(4)</w:t>
      </w:r>
      <w:r>
        <w:rPr>
          <w:rFonts w:hint="eastAsia" w:ascii="宋体" w:hAnsi="宋体" w:cs="宋体"/>
          <w:spacing w:val="-6"/>
          <w:szCs w:val="21"/>
        </w:rPr>
        <w:t>掺假、掺杂、伪造，影响营养、卫生的；</w:t>
      </w:r>
    </w:p>
    <w:p w14:paraId="10B55011">
      <w:pPr>
        <w:spacing w:before="109" w:line="218" w:lineRule="auto"/>
        <w:ind w:left="458"/>
        <w:rPr>
          <w:rFonts w:ascii="宋体" w:hAnsi="宋体" w:cs="宋体"/>
          <w:szCs w:val="21"/>
        </w:rPr>
      </w:pPr>
      <w:r>
        <w:rPr>
          <w:rFonts w:hint="eastAsia" w:ascii="宋体" w:hAnsi="宋体" w:cs="宋体"/>
          <w:spacing w:val="-2"/>
          <w:szCs w:val="21"/>
        </w:rPr>
        <w:t>(5)用非食品原料加工的，加入非食品用化学物质或者将非食品当作食品</w:t>
      </w:r>
      <w:r>
        <w:rPr>
          <w:rFonts w:hint="eastAsia" w:ascii="宋体" w:hAnsi="宋体" w:cs="宋体"/>
          <w:szCs w:val="21"/>
        </w:rPr>
        <w:t>的；</w:t>
      </w:r>
    </w:p>
    <w:p w14:paraId="0EAF65D2">
      <w:pPr>
        <w:spacing w:before="113" w:line="221" w:lineRule="auto"/>
        <w:ind w:left="458"/>
        <w:rPr>
          <w:rFonts w:ascii="宋体" w:hAnsi="宋体" w:cs="宋体"/>
          <w:szCs w:val="21"/>
        </w:rPr>
      </w:pPr>
      <w:r>
        <w:rPr>
          <w:rFonts w:hint="eastAsia" w:ascii="宋体" w:hAnsi="宋体" w:cs="宋体"/>
          <w:spacing w:val="-4"/>
          <w:szCs w:val="21"/>
        </w:rPr>
        <w:t>(6)超过保质期限的</w:t>
      </w:r>
      <w:r>
        <w:rPr>
          <w:rFonts w:hint="eastAsia" w:ascii="宋体" w:hAnsi="宋体" w:cs="宋体"/>
          <w:spacing w:val="-3"/>
          <w:szCs w:val="21"/>
        </w:rPr>
        <w:t>。</w:t>
      </w:r>
    </w:p>
    <w:p w14:paraId="68A92009">
      <w:pPr>
        <w:rPr>
          <w:rFonts w:ascii="宋体" w:hAnsi="宋体" w:cs="宋体"/>
        </w:rPr>
        <w:sectPr>
          <w:footerReference r:id="rId9" w:type="default"/>
          <w:pgSz w:w="11907" w:h="16839"/>
          <w:pgMar w:top="1344" w:right="1070" w:bottom="877" w:left="1140" w:header="0" w:footer="717" w:gutter="0"/>
          <w:cols w:space="720" w:num="1"/>
        </w:sectPr>
      </w:pPr>
    </w:p>
    <w:p w14:paraId="2309652B">
      <w:pPr>
        <w:spacing w:before="41" w:line="317" w:lineRule="auto"/>
        <w:ind w:right="84" w:firstLine="425"/>
        <w:rPr>
          <w:rFonts w:ascii="宋体" w:hAnsi="宋体" w:cs="宋体"/>
          <w:szCs w:val="21"/>
        </w:rPr>
      </w:pPr>
      <w:r>
        <w:rPr>
          <w:rFonts w:hint="eastAsia" w:ascii="宋体" w:hAnsi="宋体" w:cs="宋体"/>
          <w:spacing w:val="-1"/>
          <w:szCs w:val="21"/>
        </w:rPr>
        <w:t>3．中标人在合</w:t>
      </w:r>
      <w:r>
        <w:rPr>
          <w:rFonts w:hint="eastAsia" w:ascii="宋体" w:hAnsi="宋体" w:cs="宋体"/>
          <w:szCs w:val="21"/>
        </w:rPr>
        <w:t>同有效期内，被国家、行业管理部门通报批评并取消经营资格，或无正当理由中断向</w:t>
      </w:r>
      <w:r>
        <w:rPr>
          <w:rFonts w:hint="eastAsia" w:ascii="宋体" w:hAnsi="宋体" w:cs="宋体"/>
          <w:spacing w:val="-11"/>
          <w:szCs w:val="21"/>
        </w:rPr>
        <w:t>采</w:t>
      </w:r>
      <w:r>
        <w:rPr>
          <w:rFonts w:hint="eastAsia" w:ascii="宋体" w:hAnsi="宋体" w:cs="宋体"/>
          <w:spacing w:val="-7"/>
          <w:szCs w:val="21"/>
        </w:rPr>
        <w:t>购人供货的，采购人将终止合同。</w:t>
      </w:r>
    </w:p>
    <w:p w14:paraId="1DE88BD7">
      <w:pPr>
        <w:spacing w:before="1" w:line="316" w:lineRule="auto"/>
        <w:ind w:firstLine="419"/>
        <w:rPr>
          <w:rFonts w:ascii="宋体" w:hAnsi="宋体" w:cs="宋体"/>
          <w:szCs w:val="21"/>
        </w:rPr>
      </w:pPr>
      <w:r>
        <w:rPr>
          <w:rFonts w:hint="eastAsia" w:ascii="宋体" w:hAnsi="宋体" w:cs="宋体"/>
          <w:spacing w:val="-1"/>
          <w:szCs w:val="21"/>
        </w:rPr>
        <w:t>4.中标供应商如有断供行为的，每出现一次采购人</w:t>
      </w:r>
      <w:r>
        <w:rPr>
          <w:rFonts w:hint="eastAsia" w:ascii="宋体" w:hAnsi="宋体" w:cs="宋体"/>
          <w:szCs w:val="21"/>
        </w:rPr>
        <w:t>将扣除履约保证金的三分之一，直至扣完为止，断</w:t>
      </w:r>
      <w:r>
        <w:rPr>
          <w:rFonts w:hint="eastAsia" w:ascii="宋体" w:hAnsi="宋体" w:cs="宋体"/>
          <w:spacing w:val="-1"/>
          <w:szCs w:val="21"/>
        </w:rPr>
        <w:t>供三次后，采购人有权解除合同。中标供应商的履约保</w:t>
      </w:r>
      <w:r>
        <w:rPr>
          <w:rFonts w:hint="eastAsia" w:ascii="宋体" w:hAnsi="宋体" w:cs="宋体"/>
          <w:szCs w:val="21"/>
        </w:rPr>
        <w:t>证金不能赔偿采购人损失的，中标供应商必须足额</w:t>
      </w:r>
      <w:r>
        <w:rPr>
          <w:rFonts w:hint="eastAsia" w:ascii="宋体" w:hAnsi="宋体" w:cs="宋体"/>
          <w:spacing w:val="-1"/>
          <w:szCs w:val="21"/>
        </w:rPr>
        <w:t>赔偿采购</w:t>
      </w:r>
      <w:r>
        <w:rPr>
          <w:rFonts w:hint="eastAsia" w:ascii="宋体" w:hAnsi="宋体" w:cs="宋体"/>
          <w:szCs w:val="21"/>
        </w:rPr>
        <w:t>人由于断供产生的损失。</w:t>
      </w:r>
    </w:p>
    <w:p w14:paraId="722C1CAE">
      <w:pPr>
        <w:spacing w:line="218" w:lineRule="auto"/>
        <w:ind w:left="427"/>
        <w:rPr>
          <w:rFonts w:ascii="宋体" w:hAnsi="宋体" w:cs="宋体"/>
          <w:szCs w:val="21"/>
        </w:rPr>
      </w:pPr>
      <w:r>
        <w:rPr>
          <w:rFonts w:hint="eastAsia" w:ascii="宋体" w:hAnsi="宋体" w:cs="宋体"/>
          <w:spacing w:val="14"/>
          <w:szCs w:val="21"/>
        </w:rPr>
        <w:t>（</w:t>
      </w:r>
      <w:r>
        <w:rPr>
          <w:rFonts w:hint="eastAsia" w:ascii="宋体" w:hAnsi="宋体" w:cs="宋体"/>
          <w:spacing w:val="10"/>
          <w:szCs w:val="21"/>
        </w:rPr>
        <w:t>五）其它要求：</w:t>
      </w:r>
    </w:p>
    <w:p w14:paraId="3391E0C0">
      <w:pPr>
        <w:spacing w:before="112" w:line="316" w:lineRule="auto"/>
        <w:ind w:left="3" w:firstLine="433"/>
        <w:rPr>
          <w:rFonts w:ascii="宋体" w:hAnsi="宋体" w:cs="宋体"/>
          <w:szCs w:val="21"/>
        </w:rPr>
      </w:pPr>
      <w:r>
        <w:rPr>
          <w:rFonts w:hint="eastAsia" w:ascii="宋体" w:hAnsi="宋体" w:cs="宋体"/>
          <w:spacing w:val="-6"/>
          <w:szCs w:val="21"/>
        </w:rPr>
        <w:t>1.</w:t>
      </w:r>
      <w:r>
        <w:rPr>
          <w:rFonts w:hint="eastAsia" w:ascii="宋体" w:hAnsi="宋体" w:cs="宋体"/>
          <w:spacing w:val="-4"/>
          <w:szCs w:val="21"/>
        </w:rPr>
        <w:t>如</w:t>
      </w:r>
      <w:r>
        <w:rPr>
          <w:rFonts w:hint="eastAsia" w:ascii="宋体" w:hAnsi="宋体" w:cs="宋体"/>
          <w:spacing w:val="-3"/>
          <w:szCs w:val="21"/>
        </w:rPr>
        <w:t>中标人不按双方签订的合同规定履约，由采购人按规定从履约保证金中扣除罚款金额，供应商被取消供应资格的，履约保证金不予退还，履约保证金不足以赔偿损失的，按实际损失赔偿。</w:t>
      </w:r>
    </w:p>
    <w:p w14:paraId="05DB0D28">
      <w:pPr>
        <w:ind w:left="423"/>
        <w:rPr>
          <w:rFonts w:ascii="宋体" w:hAnsi="宋体" w:cs="宋体"/>
          <w:szCs w:val="21"/>
        </w:rPr>
      </w:pPr>
      <w:r>
        <w:rPr>
          <w:rFonts w:hint="eastAsia" w:ascii="宋体" w:hAnsi="宋体" w:cs="宋体"/>
          <w:spacing w:val="-1"/>
          <w:szCs w:val="21"/>
        </w:rPr>
        <w:t>2.投标人提供的所有食材必须是正规渠道的产</w:t>
      </w:r>
      <w:r>
        <w:rPr>
          <w:rFonts w:hint="eastAsia" w:ascii="宋体" w:hAnsi="宋体" w:cs="宋体"/>
          <w:szCs w:val="21"/>
        </w:rPr>
        <w:t>品。</w:t>
      </w:r>
    </w:p>
    <w:p w14:paraId="33723350">
      <w:pPr>
        <w:spacing w:line="453" w:lineRule="auto"/>
        <w:rPr>
          <w:rFonts w:ascii="宋体" w:hAnsi="宋体" w:cs="宋体"/>
        </w:rPr>
      </w:pPr>
    </w:p>
    <w:p w14:paraId="1893F9FD">
      <w:pPr>
        <w:jc w:val="left"/>
        <w:rPr>
          <w:rFonts w:ascii="宋体" w:hAnsi="宋体" w:cs="宋体"/>
          <w:spacing w:val="-21"/>
          <w:sz w:val="31"/>
          <w:szCs w:val="31"/>
        </w:rPr>
      </w:pPr>
      <w:r>
        <w:rPr>
          <w:rFonts w:hint="eastAsia" w:ascii="宋体" w:hAnsi="宋体" w:cs="宋体"/>
          <w:spacing w:val="-21"/>
          <w:sz w:val="31"/>
          <w:szCs w:val="31"/>
        </w:rPr>
        <w:br w:type="page"/>
      </w:r>
      <w:r>
        <w:rPr>
          <w:rFonts w:hint="eastAsia" w:ascii="宋体" w:hAnsi="宋体" w:cs="宋体"/>
          <w:spacing w:val="-21"/>
          <w:sz w:val="31"/>
          <w:szCs w:val="31"/>
        </w:rPr>
        <w:t>附件二</w:t>
      </w:r>
    </w:p>
    <w:p w14:paraId="10C8E6C5">
      <w:pPr>
        <w:spacing w:line="560" w:lineRule="exact"/>
        <w:jc w:val="center"/>
        <w:rPr>
          <w:rFonts w:ascii="Calibri" w:hAnsi="Calibri" w:eastAsia="方正小标宋简体"/>
          <w:bCs/>
          <w:sz w:val="30"/>
          <w:szCs w:val="30"/>
        </w:rPr>
      </w:pPr>
      <w:r>
        <w:rPr>
          <w:rFonts w:ascii="Calibri" w:hAnsi="Calibri" w:eastAsia="方正小标宋简体"/>
          <w:bCs/>
          <w:sz w:val="30"/>
          <w:szCs w:val="30"/>
        </w:rPr>
        <w:t>广西监狱罪犯生活物资供货商考核管理办法</w:t>
      </w:r>
    </w:p>
    <w:p w14:paraId="430838E9">
      <w:pPr>
        <w:spacing w:line="380" w:lineRule="exact"/>
        <w:ind w:firstLine="420" w:firstLineChars="200"/>
        <w:rPr>
          <w:rFonts w:ascii="宋体" w:hAnsi="宋体"/>
          <w:strike/>
          <w:szCs w:val="21"/>
        </w:rPr>
      </w:pPr>
      <w:r>
        <w:rPr>
          <w:rFonts w:ascii="宋体" w:hAnsi="宋体"/>
          <w:szCs w:val="21"/>
        </w:rPr>
        <w:t>第一条 为加强罪犯生活物资采购的管理工作，确保狱内物资的正常供应，结合广西监狱工作的实际，制定本办法。</w:t>
      </w:r>
    </w:p>
    <w:p w14:paraId="3455ABB3">
      <w:pPr>
        <w:spacing w:line="380" w:lineRule="exact"/>
        <w:ind w:firstLine="420" w:firstLineChars="200"/>
        <w:rPr>
          <w:rFonts w:ascii="宋体" w:hAnsi="宋体"/>
          <w:szCs w:val="21"/>
          <w:u w:val="single"/>
        </w:rPr>
      </w:pPr>
      <w:r>
        <w:rPr>
          <w:rFonts w:ascii="宋体" w:hAnsi="宋体"/>
          <w:szCs w:val="21"/>
        </w:rPr>
        <w:t>第二条 本办法适用的对象是自治区监狱管理局和各监狱组织的罪犯生活物资采购项目评选出的中标（成交）供应商（以下统称供货商）。</w:t>
      </w:r>
    </w:p>
    <w:p w14:paraId="11DD6C9D">
      <w:pPr>
        <w:spacing w:line="380" w:lineRule="exact"/>
        <w:ind w:firstLine="420" w:firstLineChars="200"/>
        <w:rPr>
          <w:rFonts w:ascii="宋体" w:hAnsi="宋体"/>
          <w:szCs w:val="21"/>
        </w:rPr>
      </w:pPr>
      <w:r>
        <w:rPr>
          <w:rFonts w:ascii="宋体" w:hAnsi="宋体"/>
          <w:szCs w:val="21"/>
        </w:rPr>
        <w:t>第三条 供货商必须向供货的每个监狱单位分别缴纳履约保证金，收取标准为</w:t>
      </w:r>
      <w:r>
        <w:rPr>
          <w:rFonts w:hint="eastAsia" w:ascii="宋体" w:hAnsi="宋体"/>
          <w:szCs w:val="21"/>
        </w:rPr>
        <w:t>按各分标预算金额</w:t>
      </w:r>
      <w:r>
        <w:rPr>
          <w:rFonts w:ascii="宋体" w:hAnsi="宋体"/>
          <w:szCs w:val="21"/>
        </w:rPr>
        <w:t>×</w:t>
      </w:r>
      <w:r>
        <w:rPr>
          <w:rFonts w:hint="eastAsia" w:ascii="宋体" w:hAnsi="宋体"/>
          <w:szCs w:val="21"/>
        </w:rPr>
        <w:t>折扣系数</w:t>
      </w:r>
      <w:r>
        <w:rPr>
          <w:rFonts w:ascii="宋体" w:hAnsi="宋体"/>
          <w:szCs w:val="21"/>
        </w:rPr>
        <w:t>×2</w:t>
      </w:r>
      <w:r>
        <w:rPr>
          <w:rFonts w:hint="eastAsia" w:ascii="宋体" w:hAnsi="宋体"/>
          <w:szCs w:val="21"/>
        </w:rPr>
        <w:t xml:space="preserve"> %</w:t>
      </w:r>
      <w:r>
        <w:rPr>
          <w:rFonts w:ascii="宋体" w:hAnsi="宋体"/>
          <w:szCs w:val="21"/>
        </w:rPr>
        <w:t>（</w:t>
      </w:r>
      <w:r>
        <w:rPr>
          <w:rFonts w:hint="eastAsia" w:ascii="宋体" w:hAnsi="宋体"/>
          <w:szCs w:val="21"/>
        </w:rPr>
        <w:t>根据《广西壮族自治区财政厅关于持续优化政府采购营商环境推动高质量发展的通知》（桂财采〔2024〕55号）规定，采购文件要求中标或者成交供应商提交履约保证金的，履约保证金数额不得超过政府采购合同金额的5%，对中小企业收取的履约保证金数额不得超过政府采购合同金额的2%</w:t>
      </w:r>
      <w:r>
        <w:rPr>
          <w:rFonts w:ascii="宋体" w:hAnsi="宋体"/>
          <w:szCs w:val="21"/>
        </w:rPr>
        <w:t>），货物出现质量问题或供货商出现其他违约行为时，各监狱按本办法从履约保证金中扣除相应金额</w:t>
      </w:r>
      <w:r>
        <w:rPr>
          <w:rFonts w:ascii="宋体" w:hAnsi="宋体"/>
          <w:szCs w:val="21"/>
          <w:lang w:val="en"/>
        </w:rPr>
        <w:t>，供货商应在</w:t>
      </w:r>
      <w:r>
        <w:rPr>
          <w:rFonts w:ascii="宋体" w:hAnsi="宋体"/>
          <w:szCs w:val="21"/>
        </w:rPr>
        <w:t>15个工作日内补足履约保证金。供货合同终止（解除）时剩余履约保证金按双方约定返还。</w:t>
      </w:r>
    </w:p>
    <w:p w14:paraId="35AEA3A1">
      <w:pPr>
        <w:tabs>
          <w:tab w:val="center" w:pos="4153"/>
          <w:tab w:val="right" w:pos="8306"/>
        </w:tabs>
        <w:snapToGrid w:val="0"/>
        <w:spacing w:line="380" w:lineRule="exact"/>
        <w:ind w:firstLine="420" w:firstLineChars="200"/>
        <w:rPr>
          <w:rFonts w:ascii="宋体" w:hAnsi="宋体"/>
          <w:szCs w:val="21"/>
        </w:rPr>
      </w:pPr>
      <w:r>
        <w:rPr>
          <w:rFonts w:ascii="宋体" w:hAnsi="宋体"/>
          <w:szCs w:val="21"/>
        </w:rPr>
        <w:t>供货商有违反本办法规定，被取消供货商资格或者被直接终止供货合同的，履约保证金不予退还。</w:t>
      </w:r>
    </w:p>
    <w:p w14:paraId="6B09261F">
      <w:pPr>
        <w:spacing w:line="380" w:lineRule="exact"/>
        <w:ind w:firstLine="420" w:firstLineChars="200"/>
        <w:rPr>
          <w:rFonts w:ascii="宋体" w:hAnsi="宋体"/>
          <w:szCs w:val="21"/>
        </w:rPr>
      </w:pPr>
      <w:r>
        <w:rPr>
          <w:rFonts w:ascii="宋体" w:hAnsi="宋体"/>
          <w:szCs w:val="21"/>
        </w:rPr>
        <w:t>第四条 供货商按招（投）标文件、采购（响应）文件以及双方签订的合同内容要求开展物资配送业务，安排有授权的业务代表运送货物到监狱单位，所有单据双方代表共同签字、盖章生效。</w:t>
      </w:r>
    </w:p>
    <w:p w14:paraId="7347B2CD">
      <w:pPr>
        <w:spacing w:line="380" w:lineRule="exact"/>
        <w:ind w:firstLine="420" w:firstLineChars="200"/>
        <w:rPr>
          <w:rFonts w:ascii="宋体" w:hAnsi="宋体"/>
          <w:szCs w:val="21"/>
        </w:rPr>
      </w:pPr>
      <w:r>
        <w:rPr>
          <w:rFonts w:ascii="宋体" w:hAnsi="宋体"/>
          <w:szCs w:val="21"/>
        </w:rPr>
        <w:t>第五条 供货商不得将供货资格转包、分包给第三方，一经发现核实，取消供货资格，同时依法追究供货商的相关责任。</w:t>
      </w:r>
    </w:p>
    <w:p w14:paraId="517444E9">
      <w:pPr>
        <w:spacing w:line="380" w:lineRule="exact"/>
        <w:ind w:firstLine="420" w:firstLineChars="200"/>
        <w:rPr>
          <w:rFonts w:ascii="宋体" w:hAnsi="宋体"/>
          <w:szCs w:val="21"/>
        </w:rPr>
      </w:pPr>
      <w:r>
        <w:rPr>
          <w:rFonts w:ascii="宋体" w:hAnsi="宋体"/>
          <w:szCs w:val="21"/>
        </w:rPr>
        <w:t>第六条 本办法采用扣分制进行，标准分为100分，各监狱按本办法规定对供货商供货过程中的违约等行为进行记分考核，监狱局或各监狱根据扣分情况按规定对供货商进行处理。</w:t>
      </w:r>
    </w:p>
    <w:p w14:paraId="7988AD86">
      <w:pPr>
        <w:spacing w:line="380" w:lineRule="exact"/>
        <w:ind w:firstLine="420" w:firstLineChars="200"/>
        <w:rPr>
          <w:rFonts w:ascii="宋体" w:hAnsi="宋体"/>
          <w:szCs w:val="21"/>
        </w:rPr>
      </w:pPr>
      <w:r>
        <w:rPr>
          <w:rFonts w:ascii="宋体" w:hAnsi="宋体"/>
          <w:szCs w:val="21"/>
        </w:rPr>
        <w:t>第七条 对供货商进行处理的主要方式：</w:t>
      </w:r>
    </w:p>
    <w:p w14:paraId="0A61DFB0">
      <w:pPr>
        <w:spacing w:line="380" w:lineRule="exact"/>
        <w:ind w:firstLine="420" w:firstLineChars="200"/>
        <w:rPr>
          <w:rFonts w:ascii="宋体" w:hAnsi="宋体"/>
          <w:szCs w:val="21"/>
        </w:rPr>
      </w:pPr>
      <w:r>
        <w:rPr>
          <w:rFonts w:ascii="宋体" w:hAnsi="宋体"/>
          <w:szCs w:val="21"/>
        </w:rPr>
        <w:t>（一）供货商各项扣分达到100分直接终止所有供货合同；</w:t>
      </w:r>
    </w:p>
    <w:p w14:paraId="6885AFD3">
      <w:pPr>
        <w:spacing w:line="380" w:lineRule="exact"/>
        <w:ind w:firstLine="420" w:firstLineChars="200"/>
        <w:rPr>
          <w:rFonts w:ascii="宋体" w:hAnsi="宋体"/>
          <w:szCs w:val="21"/>
        </w:rPr>
      </w:pPr>
      <w:r>
        <w:rPr>
          <w:rFonts w:ascii="宋体" w:hAnsi="宋体"/>
          <w:szCs w:val="21"/>
        </w:rPr>
        <w:t>（二）供货商单批货物按退货处理的，按合同规定扣履约保证金500-2000元，扣考核分5-20分；</w:t>
      </w:r>
    </w:p>
    <w:p w14:paraId="10DD681C">
      <w:pPr>
        <w:spacing w:line="380" w:lineRule="exact"/>
        <w:ind w:firstLine="420" w:firstLineChars="200"/>
        <w:rPr>
          <w:rFonts w:ascii="宋体" w:hAnsi="宋体"/>
          <w:szCs w:val="21"/>
        </w:rPr>
      </w:pPr>
      <w:r>
        <w:rPr>
          <w:rFonts w:ascii="宋体" w:hAnsi="宋体"/>
          <w:szCs w:val="21"/>
        </w:rPr>
        <w:t>（三）累计退货记录有3-6次（根据需采购的物资品种</w:t>
      </w:r>
      <w:r>
        <w:rPr>
          <w:rFonts w:hint="eastAsia" w:ascii="宋体" w:hAnsi="宋体"/>
          <w:szCs w:val="21"/>
        </w:rPr>
        <w:t>确</w:t>
      </w:r>
      <w:r>
        <w:rPr>
          <w:rFonts w:ascii="宋体" w:hAnsi="宋体"/>
          <w:szCs w:val="21"/>
        </w:rPr>
        <w:t>定）的，直接取消该供货商的供应资格；</w:t>
      </w:r>
    </w:p>
    <w:p w14:paraId="42A93151">
      <w:pPr>
        <w:spacing w:line="380" w:lineRule="exact"/>
        <w:ind w:firstLine="420" w:firstLineChars="200"/>
        <w:rPr>
          <w:rFonts w:ascii="宋体" w:hAnsi="宋体"/>
          <w:szCs w:val="21"/>
        </w:rPr>
      </w:pPr>
      <w:r>
        <w:rPr>
          <w:rFonts w:ascii="宋体" w:hAnsi="宋体"/>
          <w:szCs w:val="21"/>
        </w:rPr>
        <w:t>（四）按招（投）标文件和采购（响应）文件以及双方签订的合同内容设定的其他规定对供货商进行处理。</w:t>
      </w:r>
    </w:p>
    <w:p w14:paraId="1900450C">
      <w:pPr>
        <w:spacing w:line="380" w:lineRule="exact"/>
        <w:ind w:firstLine="420" w:firstLineChars="200"/>
        <w:rPr>
          <w:rFonts w:ascii="宋体" w:hAnsi="宋体"/>
          <w:szCs w:val="21"/>
        </w:rPr>
      </w:pPr>
      <w:r>
        <w:rPr>
          <w:rFonts w:ascii="宋体" w:hAnsi="宋体"/>
          <w:szCs w:val="21"/>
        </w:rPr>
        <w:t>第八条 供货商考核</w:t>
      </w:r>
      <w:r>
        <w:rPr>
          <w:rFonts w:hint="eastAsia" w:ascii="宋体" w:hAnsi="宋体"/>
          <w:szCs w:val="21"/>
        </w:rPr>
        <w:t>计</w:t>
      </w:r>
      <w:r>
        <w:rPr>
          <w:rFonts w:ascii="宋体" w:hAnsi="宋体"/>
          <w:szCs w:val="21"/>
        </w:rPr>
        <w:t>分的主要内容。</w:t>
      </w:r>
    </w:p>
    <w:p w14:paraId="222223C1">
      <w:pPr>
        <w:spacing w:line="380" w:lineRule="exact"/>
        <w:ind w:firstLine="420" w:firstLineChars="200"/>
        <w:rPr>
          <w:rFonts w:ascii="宋体" w:hAnsi="宋体"/>
          <w:szCs w:val="21"/>
        </w:rPr>
      </w:pPr>
      <w:r>
        <w:rPr>
          <w:rFonts w:ascii="宋体" w:hAnsi="宋体"/>
          <w:szCs w:val="21"/>
        </w:rPr>
        <w:t>（一）供货商必须按时将货物送达监狱单位指定地点。超过规定时间在24小时内的，考核分扣1-6分；超过规定时间在48小时内的，考核分扣7-12分；超过48小时未能送达的，直接终止供货商在该监狱单位的供货合同。</w:t>
      </w:r>
    </w:p>
    <w:p w14:paraId="0C75C283">
      <w:pPr>
        <w:spacing w:line="380" w:lineRule="exact"/>
        <w:ind w:firstLine="420" w:firstLineChars="200"/>
        <w:rPr>
          <w:rFonts w:ascii="宋体" w:hAnsi="宋体"/>
          <w:szCs w:val="21"/>
        </w:rPr>
      </w:pPr>
      <w:r>
        <w:rPr>
          <w:rFonts w:ascii="宋体" w:hAnsi="宋体"/>
          <w:szCs w:val="21"/>
        </w:rPr>
        <w:t>（二）供货商的货物到达监狱单位后，要配合监狱单位进行现场验收，验收不合格则进行退货处理，考核分扣20分，按合同规定扣履约保证金。退货后供货商必须在24小时内送合格的货物到监狱单位，否则视为连续2次送货不合格。</w:t>
      </w:r>
    </w:p>
    <w:p w14:paraId="7D327D50">
      <w:pPr>
        <w:spacing w:line="380" w:lineRule="exact"/>
        <w:ind w:firstLine="420" w:firstLineChars="200"/>
        <w:rPr>
          <w:rFonts w:ascii="宋体" w:hAnsi="宋体"/>
          <w:szCs w:val="21"/>
        </w:rPr>
      </w:pPr>
      <w:r>
        <w:rPr>
          <w:rFonts w:ascii="宋体" w:hAnsi="宋体"/>
          <w:szCs w:val="21"/>
        </w:rPr>
        <w:t>（三）供货商供应的货物出现违规品、违禁品流入监内，造成不良后果的，直接终止其供货资格，并依法依规追究供货商的责任。</w:t>
      </w:r>
    </w:p>
    <w:p w14:paraId="705CB296">
      <w:pPr>
        <w:spacing w:line="380" w:lineRule="exact"/>
        <w:ind w:firstLine="420" w:firstLineChars="200"/>
        <w:rPr>
          <w:rFonts w:ascii="宋体" w:hAnsi="宋体"/>
          <w:szCs w:val="21"/>
        </w:rPr>
      </w:pPr>
      <w:r>
        <w:rPr>
          <w:rFonts w:ascii="宋体" w:hAnsi="宋体"/>
          <w:szCs w:val="21"/>
        </w:rPr>
        <w:t>（四）入库的货物出现质量问题，由监狱单位通知供货商到场协商处理。供货商必须12小时内到场处理，超过12小时不到场处理的考核分扣5分，超过24小时不到场处理的视为质量不合格，直接按退货处理。超过48小时不应答的，直接终止供货商在该监狱单位的供货合同。</w:t>
      </w:r>
    </w:p>
    <w:p w14:paraId="6015FE62">
      <w:pPr>
        <w:spacing w:line="380" w:lineRule="exact"/>
        <w:ind w:firstLine="420" w:firstLineChars="200"/>
        <w:rPr>
          <w:rFonts w:ascii="宋体" w:hAnsi="宋体"/>
          <w:szCs w:val="21"/>
        </w:rPr>
      </w:pPr>
      <w:r>
        <w:rPr>
          <w:rFonts w:ascii="宋体" w:hAnsi="宋体"/>
          <w:szCs w:val="21"/>
        </w:rPr>
        <w:t>（五）双方对质量问题意见不一致的，由双方共同在该批货物随机抽取3份样品到当地质量监督部门检验，有一份样品不达标即视为该批货物不达标，按退货程序处理，检测费用由供货商负责；样品都合格的视为该批货物合格，则由监狱负责检测费用。</w:t>
      </w:r>
    </w:p>
    <w:p w14:paraId="6D15E856">
      <w:pPr>
        <w:spacing w:line="380" w:lineRule="exact"/>
        <w:ind w:firstLine="420" w:firstLineChars="200"/>
        <w:rPr>
          <w:rFonts w:ascii="宋体" w:hAnsi="宋体"/>
          <w:szCs w:val="21"/>
        </w:rPr>
      </w:pPr>
      <w:r>
        <w:rPr>
          <w:rFonts w:ascii="宋体" w:hAnsi="宋体"/>
          <w:szCs w:val="21"/>
        </w:rPr>
        <w:t>（六）供货商必须按包装要求足量向监狱单位送货。</w:t>
      </w:r>
    </w:p>
    <w:p w14:paraId="42096BFA">
      <w:pPr>
        <w:spacing w:line="380" w:lineRule="exact"/>
        <w:ind w:firstLine="420" w:firstLineChars="200"/>
        <w:rPr>
          <w:rFonts w:ascii="宋体" w:hAnsi="宋体"/>
          <w:szCs w:val="21"/>
        </w:rPr>
      </w:pPr>
      <w:r>
        <w:rPr>
          <w:rFonts w:ascii="宋体" w:hAnsi="宋体"/>
          <w:szCs w:val="21"/>
        </w:rPr>
        <w:t>1. 供货商供应的货物不得短斤少两，分包装的重量必须达到规定重量，每发现1个分包装的重量出现短缺的扣2分，发现10个以上（含10个）分包装的重量出现短缺的扣20分，该批货物视为不达标，进行退货处理。</w:t>
      </w:r>
    </w:p>
    <w:p w14:paraId="2C226496">
      <w:pPr>
        <w:spacing w:line="380" w:lineRule="exact"/>
        <w:ind w:firstLine="420" w:firstLineChars="200"/>
        <w:rPr>
          <w:rFonts w:ascii="宋体" w:hAnsi="宋体"/>
          <w:szCs w:val="21"/>
        </w:rPr>
      </w:pPr>
      <w:r>
        <w:rPr>
          <w:rFonts w:ascii="宋体" w:hAnsi="宋体"/>
          <w:szCs w:val="21"/>
        </w:rPr>
        <w:t>2. 供货商送货的总数应当与监狱单位</w:t>
      </w:r>
      <w:r>
        <w:rPr>
          <w:rFonts w:hint="eastAsia" w:ascii="宋体" w:hAnsi="宋体"/>
          <w:szCs w:val="21"/>
        </w:rPr>
        <w:t>订</w:t>
      </w:r>
      <w:r>
        <w:rPr>
          <w:rFonts w:ascii="宋体" w:hAnsi="宋体"/>
          <w:szCs w:val="21"/>
        </w:rPr>
        <w:t>货品种、数量一致。</w:t>
      </w:r>
    </w:p>
    <w:p w14:paraId="65087312">
      <w:pPr>
        <w:spacing w:line="380" w:lineRule="exact"/>
        <w:ind w:firstLine="420" w:firstLineChars="200"/>
        <w:rPr>
          <w:rFonts w:ascii="宋体" w:hAnsi="宋体"/>
          <w:szCs w:val="21"/>
        </w:rPr>
      </w:pPr>
      <w:r>
        <w:rPr>
          <w:rFonts w:ascii="宋体" w:hAnsi="宋体"/>
          <w:szCs w:val="21"/>
        </w:rPr>
        <w:t>3. 供货商供应必须按规定对货物进行分包装，分包装应当满足运输距离、防潮、防震、防腐和防破损的要求，每发现1个分包装不达标扣2分。</w:t>
      </w:r>
    </w:p>
    <w:p w14:paraId="6F342EF7">
      <w:pPr>
        <w:spacing w:line="380" w:lineRule="exact"/>
        <w:ind w:firstLine="420" w:firstLineChars="200"/>
        <w:rPr>
          <w:rFonts w:ascii="宋体" w:hAnsi="宋体"/>
          <w:szCs w:val="21"/>
        </w:rPr>
      </w:pPr>
      <w:r>
        <w:rPr>
          <w:rFonts w:ascii="宋体" w:hAnsi="宋体"/>
          <w:szCs w:val="21"/>
        </w:rPr>
        <w:t>（七）供货商提供的货物造成食品安全事故的，直接取消供货商的供货资格，并追究供货商相关责任。</w:t>
      </w:r>
    </w:p>
    <w:p w14:paraId="698A8EC1">
      <w:pPr>
        <w:spacing w:line="380" w:lineRule="exact"/>
        <w:ind w:firstLine="420" w:firstLineChars="200"/>
        <w:rPr>
          <w:rFonts w:ascii="宋体" w:hAnsi="宋体"/>
          <w:szCs w:val="21"/>
        </w:rPr>
      </w:pPr>
      <w:r>
        <w:rPr>
          <w:rFonts w:ascii="宋体" w:hAnsi="宋体"/>
          <w:szCs w:val="21"/>
        </w:rPr>
        <w:t>（八）因采购物资品种特殊性需要对供货商设定其他考核记分内容的，将增加的考核记分内容列入合同条款作为本办法的附则执行。</w:t>
      </w:r>
    </w:p>
    <w:p w14:paraId="62239C42">
      <w:pPr>
        <w:spacing w:line="380" w:lineRule="exact"/>
        <w:ind w:firstLine="420" w:firstLineChars="200"/>
        <w:rPr>
          <w:rFonts w:ascii="宋体" w:hAnsi="宋体"/>
          <w:szCs w:val="21"/>
        </w:rPr>
      </w:pPr>
      <w:r>
        <w:rPr>
          <w:rFonts w:ascii="宋体" w:hAnsi="宋体"/>
          <w:szCs w:val="21"/>
        </w:rPr>
        <w:t>（九）供货商代表（包括送货人员）进入监管场所必须服从管理，出现与罪犯私自接触、捎带物品和利益交易等违规行为经监狱查证属实的，直接取消其供货资格。</w:t>
      </w:r>
    </w:p>
    <w:p w14:paraId="44D5DB15">
      <w:pPr>
        <w:spacing w:line="380" w:lineRule="exact"/>
        <w:ind w:firstLine="420" w:firstLineChars="200"/>
        <w:rPr>
          <w:rFonts w:ascii="宋体" w:hAnsi="宋体"/>
          <w:szCs w:val="21"/>
        </w:rPr>
      </w:pPr>
      <w:r>
        <w:rPr>
          <w:rFonts w:ascii="宋体" w:hAnsi="宋体"/>
          <w:szCs w:val="21"/>
        </w:rPr>
        <w:t>第九条 对供货商的处理以监狱局或各监狱出具的书面文件（处理单据）为准，被取消供应资格的供货商两年内不得参加广西监狱系统组织的罪犯生活物资集中采购活动。</w:t>
      </w:r>
    </w:p>
    <w:p w14:paraId="41870AE4">
      <w:pPr>
        <w:spacing w:line="380" w:lineRule="exact"/>
        <w:ind w:firstLine="420" w:firstLineChars="200"/>
        <w:rPr>
          <w:rFonts w:ascii="宋体" w:hAnsi="宋体"/>
          <w:szCs w:val="21"/>
        </w:rPr>
      </w:pPr>
      <w:r>
        <w:rPr>
          <w:rFonts w:ascii="宋体" w:hAnsi="宋体"/>
          <w:szCs w:val="21"/>
        </w:rPr>
        <w:t>第十条 本办法应当列为罪犯生活物资采购项目相应的招标文件、采购文件和合同的主要条款，具体内容可根据采购物资的需要进行适当调整。</w:t>
      </w:r>
    </w:p>
    <w:p w14:paraId="1DEF8DD4">
      <w:pPr>
        <w:spacing w:line="380" w:lineRule="exact"/>
        <w:ind w:firstLine="420" w:firstLineChars="200"/>
        <w:rPr>
          <w:rFonts w:ascii="宋体" w:hAnsi="宋体"/>
          <w:szCs w:val="21"/>
        </w:rPr>
      </w:pPr>
      <w:r>
        <w:rPr>
          <w:rFonts w:ascii="宋体" w:hAnsi="宋体"/>
          <w:szCs w:val="21"/>
        </w:rPr>
        <w:t>第十一条 本办法由自治区监狱管理局负责解释。各监狱可根据本办法制定本单位的考核管理细则，并报自治区监狱管理局生活卫生处备案。</w:t>
      </w:r>
    </w:p>
    <w:p w14:paraId="1787DFAB">
      <w:pPr>
        <w:spacing w:line="400" w:lineRule="exact"/>
        <w:jc w:val="left"/>
        <w:rPr>
          <w:rFonts w:ascii="宋体" w:hAnsi="宋体"/>
          <w:szCs w:val="21"/>
        </w:rPr>
      </w:pPr>
      <w:r>
        <w:rPr>
          <w:rFonts w:hint="eastAsia" w:ascii="宋体" w:hAnsi="宋体"/>
          <w:szCs w:val="21"/>
        </w:rPr>
        <w:t xml:space="preserve">   </w:t>
      </w:r>
      <w:r>
        <w:rPr>
          <w:rFonts w:ascii="宋体" w:hAnsi="宋体"/>
          <w:szCs w:val="21"/>
        </w:rPr>
        <w:t>第十二条 本办法自印发之日起施行。</w:t>
      </w:r>
      <w:bookmarkEnd w:id="135"/>
      <w:bookmarkEnd w:id="136"/>
    </w:p>
    <w:p w14:paraId="23CF690D">
      <w:pPr>
        <w:pStyle w:val="3"/>
        <w:rPr>
          <w:rFonts w:ascii="宋体" w:hAnsi="宋体"/>
          <w:szCs w:val="21"/>
        </w:rPr>
      </w:pPr>
    </w:p>
    <w:p w14:paraId="5308F817">
      <w:pPr>
        <w:rPr>
          <w:rFonts w:ascii="宋体" w:hAnsi="宋体"/>
          <w:szCs w:val="21"/>
        </w:rPr>
      </w:pPr>
    </w:p>
    <w:p w14:paraId="19EE4B89">
      <w:pPr>
        <w:widowControl/>
        <w:tabs>
          <w:tab w:val="left" w:pos="540"/>
        </w:tabs>
        <w:jc w:val="left"/>
        <w:rPr>
          <w:rFonts w:hint="eastAsia" w:ascii="方正小标宋简体" w:hAnsi="方正小标宋简体" w:cs="方正小标宋简体"/>
          <w:sz w:val="32"/>
          <w:szCs w:val="32"/>
        </w:rPr>
      </w:pPr>
    </w:p>
    <w:p w14:paraId="12E5DA32">
      <w:pPr>
        <w:pStyle w:val="11"/>
        <w:ind w:left="0"/>
        <w:sectPr>
          <w:headerReference r:id="rId10" w:type="first"/>
          <w:footerReference r:id="rId12" w:type="first"/>
          <w:footerReference r:id="rId11" w:type="default"/>
          <w:pgSz w:w="11906" w:h="16838"/>
          <w:pgMar w:top="1134" w:right="1312" w:bottom="1134" w:left="1354" w:header="720" w:footer="720" w:gutter="0"/>
          <w:cols w:space="720" w:num="1"/>
          <w:docGrid w:type="lines" w:linePitch="331" w:charSpace="0"/>
        </w:sectPr>
      </w:pPr>
    </w:p>
    <w:p w14:paraId="166037C3">
      <w:pPr>
        <w:spacing w:line="580" w:lineRule="exact"/>
        <w:ind w:left="1871"/>
        <w:rPr>
          <w:rFonts w:ascii="宋体" w:hAnsi="宋体" w:cs="宋体"/>
          <w:sz w:val="40"/>
          <w:szCs w:val="40"/>
        </w:rPr>
      </w:pPr>
      <w:r>
        <w:rPr>
          <w:rFonts w:hint="eastAsia" w:ascii="宋体" w:hAnsi="宋体" w:cs="宋体"/>
          <w:sz w:val="40"/>
          <w:szCs w:val="40"/>
        </w:rPr>
        <w:t>附表：中小微企业划型标准</w:t>
      </w:r>
    </w:p>
    <w:tbl>
      <w:tblPr>
        <w:tblStyle w:val="37"/>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552"/>
        <w:gridCol w:w="1145"/>
        <w:gridCol w:w="1693"/>
        <w:gridCol w:w="1614"/>
        <w:gridCol w:w="1036"/>
      </w:tblGrid>
      <w:tr w14:paraId="7C367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06" w:type="dxa"/>
            <w:vAlign w:val="center"/>
          </w:tcPr>
          <w:p w14:paraId="4D8DA721">
            <w:pPr>
              <w:widowControl/>
              <w:spacing w:line="320" w:lineRule="exact"/>
              <w:jc w:val="center"/>
              <w:rPr>
                <w:rFonts w:ascii="宋体" w:hAnsi="宋体" w:cs="宋体"/>
                <w:b/>
                <w:kern w:val="0"/>
                <w:sz w:val="24"/>
              </w:rPr>
            </w:pPr>
            <w:r>
              <w:rPr>
                <w:rFonts w:hint="eastAsia" w:ascii="宋体" w:hAnsi="宋体" w:cs="宋体"/>
                <w:b/>
                <w:kern w:val="0"/>
                <w:sz w:val="24"/>
              </w:rPr>
              <w:t>行业名称</w:t>
            </w:r>
          </w:p>
        </w:tc>
        <w:tc>
          <w:tcPr>
            <w:tcW w:w="1552" w:type="dxa"/>
            <w:vAlign w:val="center"/>
          </w:tcPr>
          <w:p w14:paraId="5F79EAAF">
            <w:pPr>
              <w:widowControl/>
              <w:spacing w:line="320" w:lineRule="exact"/>
              <w:jc w:val="center"/>
              <w:rPr>
                <w:rFonts w:ascii="宋体" w:hAnsi="宋体" w:cs="宋体"/>
                <w:b/>
                <w:kern w:val="0"/>
                <w:sz w:val="24"/>
              </w:rPr>
            </w:pPr>
            <w:r>
              <w:rPr>
                <w:rFonts w:hint="eastAsia" w:ascii="宋体" w:hAnsi="宋体" w:cs="宋体"/>
                <w:b/>
                <w:kern w:val="0"/>
                <w:sz w:val="24"/>
              </w:rPr>
              <w:t>指标名称</w:t>
            </w:r>
          </w:p>
        </w:tc>
        <w:tc>
          <w:tcPr>
            <w:tcW w:w="1145" w:type="dxa"/>
            <w:vAlign w:val="center"/>
          </w:tcPr>
          <w:p w14:paraId="33BAD4D0">
            <w:pPr>
              <w:widowControl/>
              <w:spacing w:line="320" w:lineRule="exact"/>
              <w:jc w:val="center"/>
              <w:rPr>
                <w:rFonts w:ascii="宋体" w:hAnsi="宋体" w:cs="宋体"/>
                <w:b/>
                <w:kern w:val="0"/>
                <w:sz w:val="24"/>
              </w:rPr>
            </w:pPr>
            <w:r>
              <w:rPr>
                <w:rFonts w:hint="eastAsia" w:ascii="宋体" w:hAnsi="宋体" w:cs="宋体"/>
                <w:b/>
                <w:kern w:val="0"/>
                <w:sz w:val="24"/>
              </w:rPr>
              <w:t>计量单位</w:t>
            </w:r>
          </w:p>
        </w:tc>
        <w:tc>
          <w:tcPr>
            <w:tcW w:w="1693" w:type="dxa"/>
            <w:vAlign w:val="center"/>
          </w:tcPr>
          <w:p w14:paraId="312E512C">
            <w:pPr>
              <w:widowControl/>
              <w:spacing w:line="320" w:lineRule="exact"/>
              <w:jc w:val="center"/>
              <w:rPr>
                <w:rFonts w:ascii="宋体" w:hAnsi="宋体" w:cs="宋体"/>
                <w:b/>
                <w:kern w:val="0"/>
                <w:sz w:val="24"/>
              </w:rPr>
            </w:pPr>
            <w:r>
              <w:rPr>
                <w:rFonts w:hint="eastAsia" w:ascii="宋体" w:hAnsi="宋体" w:cs="宋体"/>
                <w:b/>
                <w:kern w:val="0"/>
                <w:sz w:val="24"/>
              </w:rPr>
              <w:t>中型</w:t>
            </w:r>
          </w:p>
        </w:tc>
        <w:tc>
          <w:tcPr>
            <w:tcW w:w="1614" w:type="dxa"/>
            <w:vAlign w:val="center"/>
          </w:tcPr>
          <w:p w14:paraId="1B33E8F1">
            <w:pPr>
              <w:widowControl/>
              <w:spacing w:line="320" w:lineRule="exact"/>
              <w:jc w:val="center"/>
              <w:rPr>
                <w:rFonts w:ascii="宋体" w:hAnsi="宋体" w:cs="宋体"/>
                <w:b/>
                <w:kern w:val="0"/>
                <w:sz w:val="24"/>
              </w:rPr>
            </w:pPr>
            <w:r>
              <w:rPr>
                <w:rFonts w:hint="eastAsia" w:ascii="宋体" w:hAnsi="宋体" w:cs="宋体"/>
                <w:b/>
                <w:kern w:val="0"/>
                <w:sz w:val="24"/>
              </w:rPr>
              <w:t>小型</w:t>
            </w:r>
          </w:p>
        </w:tc>
        <w:tc>
          <w:tcPr>
            <w:tcW w:w="1036" w:type="dxa"/>
            <w:vAlign w:val="center"/>
          </w:tcPr>
          <w:p w14:paraId="3C0D52B8">
            <w:pPr>
              <w:widowControl/>
              <w:spacing w:line="320" w:lineRule="exact"/>
              <w:jc w:val="center"/>
              <w:rPr>
                <w:rFonts w:ascii="宋体" w:hAnsi="宋体" w:cs="宋体"/>
                <w:b/>
                <w:kern w:val="0"/>
                <w:sz w:val="24"/>
              </w:rPr>
            </w:pPr>
            <w:r>
              <w:rPr>
                <w:rFonts w:hint="eastAsia" w:ascii="宋体" w:hAnsi="宋体" w:cs="宋体"/>
                <w:b/>
                <w:kern w:val="0"/>
                <w:sz w:val="24"/>
              </w:rPr>
              <w:t>微型</w:t>
            </w:r>
          </w:p>
        </w:tc>
      </w:tr>
      <w:tr w14:paraId="6A111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Align w:val="center"/>
          </w:tcPr>
          <w:p w14:paraId="61763630">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农、林、牧、渔</w:t>
            </w:r>
          </w:p>
        </w:tc>
        <w:tc>
          <w:tcPr>
            <w:tcW w:w="1552" w:type="dxa"/>
            <w:vAlign w:val="center"/>
          </w:tcPr>
          <w:p w14:paraId="723540E2">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1145" w:type="dxa"/>
            <w:vAlign w:val="center"/>
          </w:tcPr>
          <w:p w14:paraId="6FDA6D16">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93" w:type="dxa"/>
            <w:vAlign w:val="center"/>
          </w:tcPr>
          <w:p w14:paraId="785ACDA6">
            <w:pPr>
              <w:widowControl/>
              <w:spacing w:line="320" w:lineRule="exact"/>
              <w:jc w:val="left"/>
              <w:rPr>
                <w:rFonts w:ascii="宋体" w:hAnsi="宋体" w:cs="宋体"/>
                <w:kern w:val="0"/>
                <w:sz w:val="18"/>
                <w:szCs w:val="18"/>
              </w:rPr>
            </w:pPr>
            <w:r>
              <w:rPr>
                <w:rFonts w:hint="eastAsia" w:ascii="宋体" w:hAnsi="宋体" w:cs="宋体"/>
                <w:kern w:val="0"/>
                <w:sz w:val="18"/>
                <w:szCs w:val="18"/>
              </w:rPr>
              <w:t>500≤Y＜20000</w:t>
            </w:r>
          </w:p>
        </w:tc>
        <w:tc>
          <w:tcPr>
            <w:tcW w:w="1614" w:type="dxa"/>
            <w:vAlign w:val="center"/>
          </w:tcPr>
          <w:p w14:paraId="4AE721FC">
            <w:pPr>
              <w:widowControl/>
              <w:spacing w:line="320" w:lineRule="exact"/>
              <w:jc w:val="left"/>
              <w:rPr>
                <w:rFonts w:ascii="宋体" w:hAnsi="宋体" w:cs="宋体"/>
                <w:kern w:val="0"/>
                <w:sz w:val="18"/>
                <w:szCs w:val="18"/>
              </w:rPr>
            </w:pPr>
            <w:r>
              <w:rPr>
                <w:rFonts w:hint="eastAsia" w:ascii="宋体" w:hAnsi="宋体" w:cs="宋体"/>
                <w:kern w:val="0"/>
                <w:sz w:val="18"/>
                <w:szCs w:val="18"/>
              </w:rPr>
              <w:t>50≤Y＜500</w:t>
            </w:r>
          </w:p>
        </w:tc>
        <w:tc>
          <w:tcPr>
            <w:tcW w:w="1036" w:type="dxa"/>
            <w:vAlign w:val="center"/>
          </w:tcPr>
          <w:p w14:paraId="01F46205">
            <w:pPr>
              <w:widowControl/>
              <w:spacing w:line="320" w:lineRule="exact"/>
              <w:jc w:val="left"/>
              <w:rPr>
                <w:rFonts w:ascii="宋体" w:hAnsi="宋体" w:cs="宋体"/>
                <w:kern w:val="0"/>
                <w:sz w:val="18"/>
                <w:szCs w:val="18"/>
              </w:rPr>
            </w:pPr>
            <w:r>
              <w:rPr>
                <w:rFonts w:hint="eastAsia" w:ascii="宋体" w:hAnsi="宋体" w:cs="宋体"/>
                <w:kern w:val="0"/>
                <w:sz w:val="18"/>
                <w:szCs w:val="18"/>
              </w:rPr>
              <w:t>Y＜50</w:t>
            </w:r>
          </w:p>
        </w:tc>
      </w:tr>
      <w:tr w14:paraId="01F80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restart"/>
            <w:vAlign w:val="center"/>
          </w:tcPr>
          <w:p w14:paraId="2B5FB693">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工业</w:t>
            </w:r>
          </w:p>
        </w:tc>
        <w:tc>
          <w:tcPr>
            <w:tcW w:w="1552" w:type="dxa"/>
            <w:vAlign w:val="center"/>
          </w:tcPr>
          <w:p w14:paraId="4FA3B756">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1145" w:type="dxa"/>
            <w:vAlign w:val="center"/>
          </w:tcPr>
          <w:p w14:paraId="169174DE">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93" w:type="dxa"/>
            <w:vAlign w:val="center"/>
          </w:tcPr>
          <w:p w14:paraId="21731803">
            <w:pPr>
              <w:widowControl/>
              <w:spacing w:line="320" w:lineRule="exact"/>
              <w:jc w:val="left"/>
              <w:rPr>
                <w:rFonts w:ascii="宋体" w:hAnsi="宋体" w:cs="宋体"/>
                <w:kern w:val="0"/>
                <w:sz w:val="18"/>
                <w:szCs w:val="18"/>
              </w:rPr>
            </w:pPr>
            <w:r>
              <w:rPr>
                <w:rFonts w:hint="eastAsia" w:ascii="宋体" w:hAnsi="宋体" w:cs="宋体"/>
                <w:kern w:val="0"/>
                <w:sz w:val="18"/>
                <w:szCs w:val="18"/>
              </w:rPr>
              <w:t>300≤X＜1000</w:t>
            </w:r>
          </w:p>
        </w:tc>
        <w:tc>
          <w:tcPr>
            <w:tcW w:w="1614" w:type="dxa"/>
            <w:vAlign w:val="center"/>
          </w:tcPr>
          <w:p w14:paraId="05E37BF0">
            <w:pPr>
              <w:widowControl/>
              <w:spacing w:line="320" w:lineRule="exact"/>
              <w:jc w:val="left"/>
              <w:rPr>
                <w:rFonts w:ascii="宋体" w:hAnsi="宋体" w:cs="宋体"/>
                <w:kern w:val="0"/>
                <w:sz w:val="18"/>
                <w:szCs w:val="18"/>
              </w:rPr>
            </w:pPr>
            <w:r>
              <w:rPr>
                <w:rFonts w:hint="eastAsia" w:ascii="宋体" w:hAnsi="宋体" w:cs="宋体"/>
                <w:kern w:val="0"/>
                <w:sz w:val="18"/>
                <w:szCs w:val="18"/>
              </w:rPr>
              <w:t>20≤X＜300</w:t>
            </w:r>
          </w:p>
        </w:tc>
        <w:tc>
          <w:tcPr>
            <w:tcW w:w="1036" w:type="dxa"/>
            <w:vAlign w:val="center"/>
          </w:tcPr>
          <w:p w14:paraId="42DCB15E">
            <w:pPr>
              <w:widowControl/>
              <w:spacing w:line="320" w:lineRule="exact"/>
              <w:jc w:val="left"/>
              <w:rPr>
                <w:rFonts w:ascii="宋体" w:hAnsi="宋体" w:cs="宋体"/>
                <w:kern w:val="0"/>
                <w:sz w:val="18"/>
                <w:szCs w:val="18"/>
              </w:rPr>
            </w:pPr>
            <w:r>
              <w:rPr>
                <w:rFonts w:hint="eastAsia" w:ascii="宋体" w:hAnsi="宋体" w:cs="宋体"/>
                <w:kern w:val="0"/>
                <w:sz w:val="18"/>
                <w:szCs w:val="18"/>
              </w:rPr>
              <w:t>X＜20</w:t>
            </w:r>
          </w:p>
        </w:tc>
      </w:tr>
      <w:tr w14:paraId="3DDD1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continue"/>
            <w:vAlign w:val="center"/>
          </w:tcPr>
          <w:p w14:paraId="33CCE8AF">
            <w:pPr>
              <w:widowControl/>
              <w:spacing w:line="320" w:lineRule="exact"/>
              <w:jc w:val="left"/>
              <w:rPr>
                <w:rFonts w:ascii="宋体" w:hAnsi="宋体" w:cs="宋体"/>
                <w:b/>
                <w:bCs/>
                <w:kern w:val="0"/>
                <w:sz w:val="18"/>
                <w:szCs w:val="18"/>
              </w:rPr>
            </w:pPr>
          </w:p>
        </w:tc>
        <w:tc>
          <w:tcPr>
            <w:tcW w:w="1552" w:type="dxa"/>
            <w:vAlign w:val="center"/>
          </w:tcPr>
          <w:p w14:paraId="7C9D1737">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1145" w:type="dxa"/>
            <w:vAlign w:val="center"/>
          </w:tcPr>
          <w:p w14:paraId="5BA52811">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93" w:type="dxa"/>
            <w:vAlign w:val="center"/>
          </w:tcPr>
          <w:p w14:paraId="22428FBF">
            <w:pPr>
              <w:widowControl/>
              <w:spacing w:line="320" w:lineRule="exact"/>
              <w:jc w:val="left"/>
              <w:rPr>
                <w:rFonts w:ascii="宋体" w:hAnsi="宋体" w:cs="宋体"/>
                <w:kern w:val="0"/>
                <w:sz w:val="18"/>
                <w:szCs w:val="18"/>
              </w:rPr>
            </w:pPr>
            <w:r>
              <w:rPr>
                <w:rFonts w:hint="eastAsia" w:ascii="宋体" w:hAnsi="宋体" w:cs="宋体"/>
                <w:kern w:val="0"/>
                <w:sz w:val="18"/>
                <w:szCs w:val="18"/>
              </w:rPr>
              <w:t>2000≤Y＜40000</w:t>
            </w:r>
          </w:p>
        </w:tc>
        <w:tc>
          <w:tcPr>
            <w:tcW w:w="1614" w:type="dxa"/>
            <w:vAlign w:val="center"/>
          </w:tcPr>
          <w:p w14:paraId="77EEDEA7">
            <w:pPr>
              <w:widowControl/>
              <w:spacing w:line="320" w:lineRule="exact"/>
              <w:jc w:val="left"/>
              <w:rPr>
                <w:rFonts w:ascii="宋体" w:hAnsi="宋体" w:cs="宋体"/>
                <w:kern w:val="0"/>
                <w:sz w:val="18"/>
                <w:szCs w:val="18"/>
              </w:rPr>
            </w:pPr>
            <w:r>
              <w:rPr>
                <w:rFonts w:hint="eastAsia" w:ascii="宋体" w:hAnsi="宋体" w:cs="宋体"/>
                <w:kern w:val="0"/>
                <w:sz w:val="18"/>
                <w:szCs w:val="18"/>
              </w:rPr>
              <w:t>300≤Y＜2000</w:t>
            </w:r>
          </w:p>
        </w:tc>
        <w:tc>
          <w:tcPr>
            <w:tcW w:w="1036" w:type="dxa"/>
            <w:vAlign w:val="center"/>
          </w:tcPr>
          <w:p w14:paraId="6E717C79">
            <w:pPr>
              <w:widowControl/>
              <w:spacing w:line="320" w:lineRule="exact"/>
              <w:jc w:val="left"/>
              <w:rPr>
                <w:rFonts w:ascii="宋体" w:hAnsi="宋体" w:cs="宋体"/>
                <w:kern w:val="0"/>
                <w:sz w:val="18"/>
                <w:szCs w:val="18"/>
              </w:rPr>
            </w:pPr>
            <w:r>
              <w:rPr>
                <w:rFonts w:hint="eastAsia" w:ascii="宋体" w:hAnsi="宋体" w:cs="宋体"/>
                <w:kern w:val="0"/>
                <w:sz w:val="18"/>
                <w:szCs w:val="18"/>
              </w:rPr>
              <w:t>Y＜300</w:t>
            </w:r>
          </w:p>
        </w:tc>
      </w:tr>
      <w:tr w14:paraId="1F6CE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restart"/>
            <w:vAlign w:val="center"/>
          </w:tcPr>
          <w:p w14:paraId="2113D61B">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建筑业</w:t>
            </w:r>
          </w:p>
        </w:tc>
        <w:tc>
          <w:tcPr>
            <w:tcW w:w="1552" w:type="dxa"/>
            <w:vAlign w:val="center"/>
          </w:tcPr>
          <w:p w14:paraId="6C2B3D2A">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1145" w:type="dxa"/>
            <w:vAlign w:val="center"/>
          </w:tcPr>
          <w:p w14:paraId="43293B57">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93" w:type="dxa"/>
            <w:vAlign w:val="center"/>
          </w:tcPr>
          <w:p w14:paraId="1D2045FE">
            <w:pPr>
              <w:widowControl/>
              <w:spacing w:line="320" w:lineRule="exact"/>
              <w:jc w:val="left"/>
              <w:rPr>
                <w:rFonts w:ascii="宋体" w:hAnsi="宋体" w:cs="宋体"/>
                <w:kern w:val="0"/>
                <w:sz w:val="18"/>
                <w:szCs w:val="18"/>
              </w:rPr>
            </w:pPr>
            <w:r>
              <w:rPr>
                <w:rFonts w:hint="eastAsia" w:ascii="宋体" w:hAnsi="宋体" w:cs="宋体"/>
                <w:kern w:val="0"/>
                <w:sz w:val="18"/>
                <w:szCs w:val="18"/>
              </w:rPr>
              <w:t>6000≤Y＜80000</w:t>
            </w:r>
          </w:p>
        </w:tc>
        <w:tc>
          <w:tcPr>
            <w:tcW w:w="1614" w:type="dxa"/>
            <w:vAlign w:val="center"/>
          </w:tcPr>
          <w:p w14:paraId="19BD0ECA">
            <w:pPr>
              <w:widowControl/>
              <w:spacing w:line="320" w:lineRule="exact"/>
              <w:jc w:val="left"/>
              <w:rPr>
                <w:rFonts w:ascii="宋体" w:hAnsi="宋体" w:cs="宋体"/>
                <w:kern w:val="0"/>
                <w:sz w:val="18"/>
                <w:szCs w:val="18"/>
              </w:rPr>
            </w:pPr>
            <w:r>
              <w:rPr>
                <w:rFonts w:hint="eastAsia" w:ascii="宋体" w:hAnsi="宋体" w:cs="宋体"/>
                <w:kern w:val="0"/>
                <w:sz w:val="18"/>
                <w:szCs w:val="18"/>
              </w:rPr>
              <w:t>300≤Y＜6000</w:t>
            </w:r>
          </w:p>
        </w:tc>
        <w:tc>
          <w:tcPr>
            <w:tcW w:w="1036" w:type="dxa"/>
            <w:vAlign w:val="center"/>
          </w:tcPr>
          <w:p w14:paraId="1B8AEC31">
            <w:pPr>
              <w:widowControl/>
              <w:spacing w:line="320" w:lineRule="exact"/>
              <w:jc w:val="left"/>
              <w:rPr>
                <w:rFonts w:ascii="宋体" w:hAnsi="宋体" w:cs="宋体"/>
                <w:kern w:val="0"/>
                <w:sz w:val="18"/>
                <w:szCs w:val="18"/>
              </w:rPr>
            </w:pPr>
            <w:r>
              <w:rPr>
                <w:rFonts w:hint="eastAsia" w:ascii="宋体" w:hAnsi="宋体" w:cs="宋体"/>
                <w:kern w:val="0"/>
                <w:sz w:val="18"/>
                <w:szCs w:val="18"/>
              </w:rPr>
              <w:t>Y＜300</w:t>
            </w:r>
          </w:p>
        </w:tc>
      </w:tr>
      <w:tr w14:paraId="290C2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continue"/>
            <w:vAlign w:val="center"/>
          </w:tcPr>
          <w:p w14:paraId="723EDC40">
            <w:pPr>
              <w:widowControl/>
              <w:spacing w:line="320" w:lineRule="exact"/>
              <w:jc w:val="left"/>
              <w:rPr>
                <w:rFonts w:ascii="宋体" w:hAnsi="宋体" w:cs="宋体"/>
                <w:b/>
                <w:bCs/>
                <w:kern w:val="0"/>
                <w:sz w:val="18"/>
                <w:szCs w:val="18"/>
              </w:rPr>
            </w:pPr>
          </w:p>
        </w:tc>
        <w:tc>
          <w:tcPr>
            <w:tcW w:w="1552" w:type="dxa"/>
            <w:vAlign w:val="center"/>
          </w:tcPr>
          <w:p w14:paraId="212E771D">
            <w:pPr>
              <w:widowControl/>
              <w:spacing w:line="320" w:lineRule="exact"/>
              <w:jc w:val="left"/>
              <w:rPr>
                <w:rFonts w:ascii="宋体" w:hAnsi="宋体" w:cs="宋体"/>
                <w:kern w:val="0"/>
                <w:sz w:val="18"/>
                <w:szCs w:val="18"/>
              </w:rPr>
            </w:pPr>
            <w:r>
              <w:rPr>
                <w:rFonts w:hint="eastAsia" w:ascii="宋体" w:hAnsi="宋体" w:cs="宋体"/>
                <w:kern w:val="0"/>
                <w:sz w:val="18"/>
                <w:szCs w:val="18"/>
              </w:rPr>
              <w:t>资产总额（Z）</w:t>
            </w:r>
          </w:p>
        </w:tc>
        <w:tc>
          <w:tcPr>
            <w:tcW w:w="1145" w:type="dxa"/>
            <w:vAlign w:val="center"/>
          </w:tcPr>
          <w:p w14:paraId="50E9D703">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93" w:type="dxa"/>
            <w:vAlign w:val="center"/>
          </w:tcPr>
          <w:p w14:paraId="5EF1C832">
            <w:pPr>
              <w:widowControl/>
              <w:spacing w:line="320" w:lineRule="exact"/>
              <w:jc w:val="left"/>
              <w:rPr>
                <w:rFonts w:ascii="宋体" w:hAnsi="宋体" w:cs="宋体"/>
                <w:kern w:val="0"/>
                <w:sz w:val="18"/>
                <w:szCs w:val="18"/>
              </w:rPr>
            </w:pPr>
            <w:r>
              <w:rPr>
                <w:rFonts w:hint="eastAsia" w:ascii="宋体" w:hAnsi="宋体" w:cs="宋体"/>
                <w:kern w:val="0"/>
                <w:sz w:val="18"/>
                <w:szCs w:val="18"/>
              </w:rPr>
              <w:t>5000≤Z＜80000</w:t>
            </w:r>
          </w:p>
        </w:tc>
        <w:tc>
          <w:tcPr>
            <w:tcW w:w="1614" w:type="dxa"/>
            <w:vAlign w:val="center"/>
          </w:tcPr>
          <w:p w14:paraId="3EB8BF2D">
            <w:pPr>
              <w:widowControl/>
              <w:spacing w:line="320" w:lineRule="exact"/>
              <w:jc w:val="left"/>
              <w:rPr>
                <w:rFonts w:ascii="宋体" w:hAnsi="宋体" w:cs="宋体"/>
                <w:kern w:val="0"/>
                <w:sz w:val="18"/>
                <w:szCs w:val="18"/>
              </w:rPr>
            </w:pPr>
            <w:r>
              <w:rPr>
                <w:rFonts w:hint="eastAsia" w:ascii="宋体" w:hAnsi="宋体" w:cs="宋体"/>
                <w:kern w:val="0"/>
                <w:sz w:val="18"/>
                <w:szCs w:val="18"/>
              </w:rPr>
              <w:t>300≤Z＜5000</w:t>
            </w:r>
          </w:p>
        </w:tc>
        <w:tc>
          <w:tcPr>
            <w:tcW w:w="1036" w:type="dxa"/>
            <w:vAlign w:val="center"/>
          </w:tcPr>
          <w:p w14:paraId="24C3DD1E">
            <w:pPr>
              <w:widowControl/>
              <w:spacing w:line="320" w:lineRule="exact"/>
              <w:jc w:val="left"/>
              <w:rPr>
                <w:rFonts w:ascii="宋体" w:hAnsi="宋体" w:cs="宋体"/>
                <w:kern w:val="0"/>
                <w:sz w:val="18"/>
                <w:szCs w:val="18"/>
              </w:rPr>
            </w:pPr>
            <w:r>
              <w:rPr>
                <w:rFonts w:hint="eastAsia" w:ascii="宋体" w:hAnsi="宋体" w:cs="宋体"/>
                <w:kern w:val="0"/>
                <w:sz w:val="18"/>
                <w:szCs w:val="18"/>
              </w:rPr>
              <w:t>Z＜300</w:t>
            </w:r>
          </w:p>
        </w:tc>
      </w:tr>
      <w:tr w14:paraId="7D02D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restart"/>
            <w:vAlign w:val="center"/>
          </w:tcPr>
          <w:p w14:paraId="63B1DE8F">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批发业</w:t>
            </w:r>
          </w:p>
        </w:tc>
        <w:tc>
          <w:tcPr>
            <w:tcW w:w="1552" w:type="dxa"/>
            <w:vAlign w:val="center"/>
          </w:tcPr>
          <w:p w14:paraId="55285F12">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1145" w:type="dxa"/>
            <w:vAlign w:val="center"/>
          </w:tcPr>
          <w:p w14:paraId="4A327593">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93" w:type="dxa"/>
            <w:vAlign w:val="center"/>
          </w:tcPr>
          <w:p w14:paraId="71FD1544">
            <w:pPr>
              <w:widowControl/>
              <w:spacing w:line="320" w:lineRule="exact"/>
              <w:jc w:val="left"/>
              <w:rPr>
                <w:rFonts w:ascii="宋体" w:hAnsi="宋体" w:cs="宋体"/>
                <w:kern w:val="0"/>
                <w:sz w:val="18"/>
                <w:szCs w:val="18"/>
              </w:rPr>
            </w:pPr>
            <w:r>
              <w:rPr>
                <w:rFonts w:hint="eastAsia" w:ascii="宋体" w:hAnsi="宋体" w:cs="宋体"/>
                <w:kern w:val="0"/>
                <w:sz w:val="18"/>
                <w:szCs w:val="18"/>
              </w:rPr>
              <w:t>20≤X＜200</w:t>
            </w:r>
          </w:p>
        </w:tc>
        <w:tc>
          <w:tcPr>
            <w:tcW w:w="1614" w:type="dxa"/>
            <w:vAlign w:val="center"/>
          </w:tcPr>
          <w:p w14:paraId="406D52C0">
            <w:pPr>
              <w:widowControl/>
              <w:spacing w:line="320" w:lineRule="exact"/>
              <w:jc w:val="left"/>
              <w:rPr>
                <w:rFonts w:ascii="宋体" w:hAnsi="宋体" w:cs="宋体"/>
                <w:kern w:val="0"/>
                <w:sz w:val="18"/>
                <w:szCs w:val="18"/>
              </w:rPr>
            </w:pPr>
            <w:r>
              <w:rPr>
                <w:rFonts w:hint="eastAsia" w:ascii="宋体" w:hAnsi="宋体" w:cs="宋体"/>
                <w:kern w:val="0"/>
                <w:sz w:val="18"/>
                <w:szCs w:val="18"/>
              </w:rPr>
              <w:t>5≤X＜20</w:t>
            </w:r>
          </w:p>
        </w:tc>
        <w:tc>
          <w:tcPr>
            <w:tcW w:w="1036" w:type="dxa"/>
            <w:vAlign w:val="center"/>
          </w:tcPr>
          <w:p w14:paraId="32D14F8F">
            <w:pPr>
              <w:widowControl/>
              <w:spacing w:line="320" w:lineRule="exact"/>
              <w:jc w:val="left"/>
              <w:rPr>
                <w:rFonts w:ascii="宋体" w:hAnsi="宋体" w:cs="宋体"/>
                <w:kern w:val="0"/>
                <w:sz w:val="18"/>
                <w:szCs w:val="18"/>
              </w:rPr>
            </w:pPr>
            <w:r>
              <w:rPr>
                <w:rFonts w:hint="eastAsia" w:ascii="宋体" w:hAnsi="宋体" w:cs="宋体"/>
                <w:kern w:val="0"/>
                <w:sz w:val="18"/>
                <w:szCs w:val="18"/>
              </w:rPr>
              <w:t>X＜5</w:t>
            </w:r>
          </w:p>
        </w:tc>
      </w:tr>
      <w:tr w14:paraId="45CFF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continue"/>
            <w:vAlign w:val="center"/>
          </w:tcPr>
          <w:p w14:paraId="3936037F">
            <w:pPr>
              <w:widowControl/>
              <w:spacing w:line="320" w:lineRule="exact"/>
              <w:jc w:val="left"/>
              <w:rPr>
                <w:rFonts w:ascii="宋体" w:hAnsi="宋体" w:cs="宋体"/>
                <w:b/>
                <w:bCs/>
                <w:kern w:val="0"/>
                <w:sz w:val="18"/>
                <w:szCs w:val="18"/>
              </w:rPr>
            </w:pPr>
          </w:p>
        </w:tc>
        <w:tc>
          <w:tcPr>
            <w:tcW w:w="1552" w:type="dxa"/>
            <w:vAlign w:val="center"/>
          </w:tcPr>
          <w:p w14:paraId="766283A4">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1145" w:type="dxa"/>
            <w:vAlign w:val="center"/>
          </w:tcPr>
          <w:p w14:paraId="218398D0">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93" w:type="dxa"/>
            <w:vAlign w:val="center"/>
          </w:tcPr>
          <w:p w14:paraId="723E8E32">
            <w:pPr>
              <w:widowControl/>
              <w:spacing w:line="320" w:lineRule="exact"/>
              <w:jc w:val="left"/>
              <w:rPr>
                <w:rFonts w:ascii="宋体" w:hAnsi="宋体" w:cs="宋体"/>
                <w:kern w:val="0"/>
                <w:sz w:val="18"/>
                <w:szCs w:val="18"/>
              </w:rPr>
            </w:pPr>
            <w:r>
              <w:rPr>
                <w:rFonts w:hint="eastAsia" w:ascii="宋体" w:hAnsi="宋体" w:cs="宋体"/>
                <w:kern w:val="0"/>
                <w:sz w:val="18"/>
                <w:szCs w:val="18"/>
              </w:rPr>
              <w:t>5000≤Y＜40000</w:t>
            </w:r>
          </w:p>
        </w:tc>
        <w:tc>
          <w:tcPr>
            <w:tcW w:w="1614" w:type="dxa"/>
            <w:vAlign w:val="center"/>
          </w:tcPr>
          <w:p w14:paraId="0A95A6AF">
            <w:pPr>
              <w:widowControl/>
              <w:spacing w:line="320" w:lineRule="exact"/>
              <w:jc w:val="left"/>
              <w:rPr>
                <w:rFonts w:ascii="宋体" w:hAnsi="宋体" w:cs="宋体"/>
                <w:kern w:val="0"/>
                <w:sz w:val="18"/>
                <w:szCs w:val="18"/>
              </w:rPr>
            </w:pPr>
            <w:r>
              <w:rPr>
                <w:rFonts w:hint="eastAsia" w:ascii="宋体" w:hAnsi="宋体" w:cs="宋体"/>
                <w:kern w:val="0"/>
                <w:sz w:val="18"/>
                <w:szCs w:val="18"/>
              </w:rPr>
              <w:t>1000≤Y＜5000</w:t>
            </w:r>
          </w:p>
        </w:tc>
        <w:tc>
          <w:tcPr>
            <w:tcW w:w="1036" w:type="dxa"/>
            <w:vAlign w:val="center"/>
          </w:tcPr>
          <w:p w14:paraId="17407997">
            <w:pPr>
              <w:widowControl/>
              <w:spacing w:line="320" w:lineRule="exact"/>
              <w:jc w:val="left"/>
              <w:rPr>
                <w:rFonts w:ascii="宋体" w:hAnsi="宋体" w:cs="宋体"/>
                <w:kern w:val="0"/>
                <w:sz w:val="18"/>
                <w:szCs w:val="18"/>
              </w:rPr>
            </w:pPr>
            <w:r>
              <w:rPr>
                <w:rFonts w:hint="eastAsia" w:ascii="宋体" w:hAnsi="宋体" w:cs="宋体"/>
                <w:kern w:val="0"/>
                <w:sz w:val="18"/>
                <w:szCs w:val="18"/>
              </w:rPr>
              <w:t>Y＜1000</w:t>
            </w:r>
          </w:p>
        </w:tc>
      </w:tr>
      <w:tr w14:paraId="33E5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restart"/>
            <w:vAlign w:val="center"/>
          </w:tcPr>
          <w:p w14:paraId="01DE3648">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零售业</w:t>
            </w:r>
          </w:p>
        </w:tc>
        <w:tc>
          <w:tcPr>
            <w:tcW w:w="1552" w:type="dxa"/>
            <w:vAlign w:val="center"/>
          </w:tcPr>
          <w:p w14:paraId="6F9B06FA">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1145" w:type="dxa"/>
            <w:vAlign w:val="center"/>
          </w:tcPr>
          <w:p w14:paraId="2626DF5A">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93" w:type="dxa"/>
            <w:vAlign w:val="center"/>
          </w:tcPr>
          <w:p w14:paraId="20C28E2A">
            <w:pPr>
              <w:widowControl/>
              <w:spacing w:line="320" w:lineRule="exact"/>
              <w:jc w:val="left"/>
              <w:rPr>
                <w:rFonts w:ascii="宋体" w:hAnsi="宋体" w:cs="宋体"/>
                <w:kern w:val="0"/>
                <w:sz w:val="18"/>
                <w:szCs w:val="18"/>
              </w:rPr>
            </w:pPr>
            <w:r>
              <w:rPr>
                <w:rFonts w:hint="eastAsia" w:ascii="宋体" w:hAnsi="宋体" w:cs="宋体"/>
                <w:kern w:val="0"/>
                <w:sz w:val="18"/>
                <w:szCs w:val="18"/>
              </w:rPr>
              <w:t>50≤X＜300</w:t>
            </w:r>
          </w:p>
        </w:tc>
        <w:tc>
          <w:tcPr>
            <w:tcW w:w="1614" w:type="dxa"/>
            <w:vAlign w:val="center"/>
          </w:tcPr>
          <w:p w14:paraId="4BA3F1BF">
            <w:pPr>
              <w:widowControl/>
              <w:spacing w:line="320" w:lineRule="exact"/>
              <w:jc w:val="left"/>
              <w:rPr>
                <w:rFonts w:ascii="宋体" w:hAnsi="宋体" w:cs="宋体"/>
                <w:kern w:val="0"/>
                <w:sz w:val="18"/>
                <w:szCs w:val="18"/>
              </w:rPr>
            </w:pPr>
            <w:r>
              <w:rPr>
                <w:rFonts w:hint="eastAsia" w:ascii="宋体" w:hAnsi="宋体" w:cs="宋体"/>
                <w:kern w:val="0"/>
                <w:sz w:val="18"/>
                <w:szCs w:val="18"/>
              </w:rPr>
              <w:t>10≤X＜50</w:t>
            </w:r>
          </w:p>
        </w:tc>
        <w:tc>
          <w:tcPr>
            <w:tcW w:w="1036" w:type="dxa"/>
            <w:vAlign w:val="center"/>
          </w:tcPr>
          <w:p w14:paraId="0B35590B">
            <w:pPr>
              <w:widowControl/>
              <w:spacing w:line="320" w:lineRule="exact"/>
              <w:jc w:val="left"/>
              <w:rPr>
                <w:rFonts w:ascii="宋体" w:hAnsi="宋体" w:cs="宋体"/>
                <w:kern w:val="0"/>
                <w:sz w:val="18"/>
                <w:szCs w:val="18"/>
              </w:rPr>
            </w:pPr>
            <w:r>
              <w:rPr>
                <w:rFonts w:hint="eastAsia" w:ascii="宋体" w:hAnsi="宋体" w:cs="宋体"/>
                <w:kern w:val="0"/>
                <w:sz w:val="18"/>
                <w:szCs w:val="18"/>
              </w:rPr>
              <w:t>X＜10</w:t>
            </w:r>
          </w:p>
        </w:tc>
      </w:tr>
      <w:tr w14:paraId="2513D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continue"/>
            <w:vAlign w:val="center"/>
          </w:tcPr>
          <w:p w14:paraId="1BD01F59">
            <w:pPr>
              <w:widowControl/>
              <w:spacing w:line="320" w:lineRule="exact"/>
              <w:jc w:val="left"/>
              <w:rPr>
                <w:rFonts w:ascii="宋体" w:hAnsi="宋体" w:cs="宋体"/>
                <w:b/>
                <w:bCs/>
                <w:kern w:val="0"/>
                <w:sz w:val="18"/>
                <w:szCs w:val="18"/>
              </w:rPr>
            </w:pPr>
          </w:p>
        </w:tc>
        <w:tc>
          <w:tcPr>
            <w:tcW w:w="1552" w:type="dxa"/>
            <w:vAlign w:val="center"/>
          </w:tcPr>
          <w:p w14:paraId="10628BB8">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1145" w:type="dxa"/>
            <w:vAlign w:val="center"/>
          </w:tcPr>
          <w:p w14:paraId="3F51FC2C">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93" w:type="dxa"/>
            <w:vAlign w:val="center"/>
          </w:tcPr>
          <w:p w14:paraId="31C70EE3">
            <w:pPr>
              <w:widowControl/>
              <w:spacing w:line="320" w:lineRule="exact"/>
              <w:jc w:val="left"/>
              <w:rPr>
                <w:rFonts w:ascii="宋体" w:hAnsi="宋体" w:cs="宋体"/>
                <w:kern w:val="0"/>
                <w:sz w:val="18"/>
                <w:szCs w:val="18"/>
              </w:rPr>
            </w:pPr>
            <w:r>
              <w:rPr>
                <w:rFonts w:hint="eastAsia" w:ascii="宋体" w:hAnsi="宋体" w:cs="宋体"/>
                <w:kern w:val="0"/>
                <w:sz w:val="18"/>
                <w:szCs w:val="18"/>
              </w:rPr>
              <w:t>500≤Y＜20000</w:t>
            </w:r>
          </w:p>
        </w:tc>
        <w:tc>
          <w:tcPr>
            <w:tcW w:w="1614" w:type="dxa"/>
            <w:vAlign w:val="center"/>
          </w:tcPr>
          <w:p w14:paraId="65BF60A9">
            <w:pPr>
              <w:widowControl/>
              <w:spacing w:line="320" w:lineRule="exact"/>
              <w:jc w:val="left"/>
              <w:rPr>
                <w:rFonts w:ascii="宋体" w:hAnsi="宋体" w:cs="宋体"/>
                <w:kern w:val="0"/>
                <w:sz w:val="18"/>
                <w:szCs w:val="18"/>
              </w:rPr>
            </w:pPr>
            <w:r>
              <w:rPr>
                <w:rFonts w:hint="eastAsia" w:ascii="宋体" w:hAnsi="宋体" w:cs="宋体"/>
                <w:kern w:val="0"/>
                <w:sz w:val="18"/>
                <w:szCs w:val="18"/>
              </w:rPr>
              <w:t>100≤Y＜500</w:t>
            </w:r>
          </w:p>
        </w:tc>
        <w:tc>
          <w:tcPr>
            <w:tcW w:w="1036" w:type="dxa"/>
            <w:vAlign w:val="center"/>
          </w:tcPr>
          <w:p w14:paraId="52C80D0D">
            <w:pPr>
              <w:widowControl/>
              <w:spacing w:line="320" w:lineRule="exact"/>
              <w:jc w:val="left"/>
              <w:rPr>
                <w:rFonts w:ascii="宋体" w:hAnsi="宋体" w:cs="宋体"/>
                <w:kern w:val="0"/>
                <w:sz w:val="18"/>
                <w:szCs w:val="18"/>
              </w:rPr>
            </w:pPr>
            <w:r>
              <w:rPr>
                <w:rFonts w:hint="eastAsia" w:ascii="宋体" w:hAnsi="宋体" w:cs="宋体"/>
                <w:kern w:val="0"/>
                <w:sz w:val="18"/>
                <w:szCs w:val="18"/>
              </w:rPr>
              <w:t>Y＜100</w:t>
            </w:r>
          </w:p>
        </w:tc>
      </w:tr>
      <w:tr w14:paraId="55CB9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restart"/>
            <w:vAlign w:val="center"/>
          </w:tcPr>
          <w:p w14:paraId="714E0E30">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交通运输业</w:t>
            </w:r>
          </w:p>
        </w:tc>
        <w:tc>
          <w:tcPr>
            <w:tcW w:w="1552" w:type="dxa"/>
            <w:vAlign w:val="center"/>
          </w:tcPr>
          <w:p w14:paraId="51456ADB">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1145" w:type="dxa"/>
            <w:vAlign w:val="center"/>
          </w:tcPr>
          <w:p w14:paraId="76ACD999">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93" w:type="dxa"/>
            <w:vAlign w:val="center"/>
          </w:tcPr>
          <w:p w14:paraId="7DCC0D7D">
            <w:pPr>
              <w:widowControl/>
              <w:spacing w:line="320" w:lineRule="exact"/>
              <w:jc w:val="left"/>
              <w:rPr>
                <w:rFonts w:ascii="宋体" w:hAnsi="宋体" w:cs="宋体"/>
                <w:kern w:val="0"/>
                <w:sz w:val="18"/>
                <w:szCs w:val="18"/>
              </w:rPr>
            </w:pPr>
            <w:r>
              <w:rPr>
                <w:rFonts w:hint="eastAsia" w:ascii="宋体" w:hAnsi="宋体" w:cs="宋体"/>
                <w:kern w:val="0"/>
                <w:sz w:val="18"/>
                <w:szCs w:val="18"/>
              </w:rPr>
              <w:t>300≤X＜1000</w:t>
            </w:r>
          </w:p>
        </w:tc>
        <w:tc>
          <w:tcPr>
            <w:tcW w:w="1614" w:type="dxa"/>
            <w:vAlign w:val="center"/>
          </w:tcPr>
          <w:p w14:paraId="322D3AE9">
            <w:pPr>
              <w:widowControl/>
              <w:spacing w:line="320" w:lineRule="exact"/>
              <w:jc w:val="left"/>
              <w:rPr>
                <w:rFonts w:ascii="宋体" w:hAnsi="宋体" w:cs="宋体"/>
                <w:kern w:val="0"/>
                <w:sz w:val="18"/>
                <w:szCs w:val="18"/>
              </w:rPr>
            </w:pPr>
            <w:r>
              <w:rPr>
                <w:rFonts w:hint="eastAsia" w:ascii="宋体" w:hAnsi="宋体" w:cs="宋体"/>
                <w:kern w:val="0"/>
                <w:sz w:val="18"/>
                <w:szCs w:val="18"/>
              </w:rPr>
              <w:t>20≤X＜300</w:t>
            </w:r>
          </w:p>
        </w:tc>
        <w:tc>
          <w:tcPr>
            <w:tcW w:w="1036" w:type="dxa"/>
            <w:vAlign w:val="center"/>
          </w:tcPr>
          <w:p w14:paraId="20464A42">
            <w:pPr>
              <w:widowControl/>
              <w:spacing w:line="320" w:lineRule="exact"/>
              <w:jc w:val="left"/>
              <w:rPr>
                <w:rFonts w:ascii="宋体" w:hAnsi="宋体" w:cs="宋体"/>
                <w:kern w:val="0"/>
                <w:sz w:val="18"/>
                <w:szCs w:val="18"/>
              </w:rPr>
            </w:pPr>
            <w:r>
              <w:rPr>
                <w:rFonts w:hint="eastAsia" w:ascii="宋体" w:hAnsi="宋体" w:cs="宋体"/>
                <w:kern w:val="0"/>
                <w:sz w:val="18"/>
                <w:szCs w:val="18"/>
              </w:rPr>
              <w:t>X＜20</w:t>
            </w:r>
          </w:p>
        </w:tc>
      </w:tr>
      <w:tr w14:paraId="47C84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continue"/>
            <w:vAlign w:val="center"/>
          </w:tcPr>
          <w:p w14:paraId="622B21F6">
            <w:pPr>
              <w:widowControl/>
              <w:spacing w:line="320" w:lineRule="exact"/>
              <w:jc w:val="left"/>
              <w:rPr>
                <w:rFonts w:ascii="宋体" w:hAnsi="宋体" w:cs="宋体"/>
                <w:b/>
                <w:bCs/>
                <w:kern w:val="0"/>
                <w:sz w:val="18"/>
                <w:szCs w:val="18"/>
              </w:rPr>
            </w:pPr>
          </w:p>
        </w:tc>
        <w:tc>
          <w:tcPr>
            <w:tcW w:w="1552" w:type="dxa"/>
            <w:vAlign w:val="center"/>
          </w:tcPr>
          <w:p w14:paraId="3235587C">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1145" w:type="dxa"/>
            <w:vAlign w:val="center"/>
          </w:tcPr>
          <w:p w14:paraId="717D33A1">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93" w:type="dxa"/>
            <w:vAlign w:val="center"/>
          </w:tcPr>
          <w:p w14:paraId="1ACDCC6D">
            <w:pPr>
              <w:widowControl/>
              <w:spacing w:line="320" w:lineRule="exact"/>
              <w:jc w:val="left"/>
              <w:rPr>
                <w:rFonts w:ascii="宋体" w:hAnsi="宋体" w:cs="宋体"/>
                <w:kern w:val="0"/>
                <w:sz w:val="18"/>
                <w:szCs w:val="18"/>
              </w:rPr>
            </w:pPr>
            <w:r>
              <w:rPr>
                <w:rFonts w:hint="eastAsia" w:ascii="宋体" w:hAnsi="宋体" w:cs="宋体"/>
                <w:kern w:val="0"/>
                <w:sz w:val="18"/>
                <w:szCs w:val="18"/>
              </w:rPr>
              <w:t>3000≤Y＜30000</w:t>
            </w:r>
          </w:p>
        </w:tc>
        <w:tc>
          <w:tcPr>
            <w:tcW w:w="1614" w:type="dxa"/>
            <w:vAlign w:val="center"/>
          </w:tcPr>
          <w:p w14:paraId="00CEF6BC">
            <w:pPr>
              <w:widowControl/>
              <w:spacing w:line="320" w:lineRule="exact"/>
              <w:jc w:val="left"/>
              <w:rPr>
                <w:rFonts w:ascii="宋体" w:hAnsi="宋体" w:cs="宋体"/>
                <w:kern w:val="0"/>
                <w:sz w:val="18"/>
                <w:szCs w:val="18"/>
              </w:rPr>
            </w:pPr>
            <w:r>
              <w:rPr>
                <w:rFonts w:hint="eastAsia" w:ascii="宋体" w:hAnsi="宋体" w:cs="宋体"/>
                <w:kern w:val="0"/>
                <w:sz w:val="18"/>
                <w:szCs w:val="18"/>
              </w:rPr>
              <w:t>200≤Y＜3000</w:t>
            </w:r>
          </w:p>
        </w:tc>
        <w:tc>
          <w:tcPr>
            <w:tcW w:w="1036" w:type="dxa"/>
            <w:vAlign w:val="center"/>
          </w:tcPr>
          <w:p w14:paraId="6B3CD031">
            <w:pPr>
              <w:widowControl/>
              <w:spacing w:line="320" w:lineRule="exact"/>
              <w:jc w:val="left"/>
              <w:rPr>
                <w:rFonts w:ascii="宋体" w:hAnsi="宋体" w:cs="宋体"/>
                <w:kern w:val="0"/>
                <w:sz w:val="18"/>
                <w:szCs w:val="18"/>
              </w:rPr>
            </w:pPr>
            <w:r>
              <w:rPr>
                <w:rFonts w:hint="eastAsia" w:ascii="宋体" w:hAnsi="宋体" w:cs="宋体"/>
                <w:kern w:val="0"/>
                <w:sz w:val="18"/>
                <w:szCs w:val="18"/>
              </w:rPr>
              <w:t>Y＜200</w:t>
            </w:r>
          </w:p>
        </w:tc>
      </w:tr>
      <w:tr w14:paraId="7BAFB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restart"/>
            <w:vAlign w:val="center"/>
          </w:tcPr>
          <w:p w14:paraId="7515BF9D">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仓储业</w:t>
            </w:r>
          </w:p>
        </w:tc>
        <w:tc>
          <w:tcPr>
            <w:tcW w:w="1552" w:type="dxa"/>
            <w:vAlign w:val="center"/>
          </w:tcPr>
          <w:p w14:paraId="0E5327F8">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1145" w:type="dxa"/>
            <w:vAlign w:val="center"/>
          </w:tcPr>
          <w:p w14:paraId="797F9A52">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93" w:type="dxa"/>
            <w:vAlign w:val="center"/>
          </w:tcPr>
          <w:p w14:paraId="40AFD387">
            <w:pPr>
              <w:widowControl/>
              <w:spacing w:line="320" w:lineRule="exact"/>
              <w:jc w:val="left"/>
              <w:rPr>
                <w:rFonts w:ascii="宋体" w:hAnsi="宋体" w:cs="宋体"/>
                <w:kern w:val="0"/>
                <w:sz w:val="18"/>
                <w:szCs w:val="18"/>
              </w:rPr>
            </w:pPr>
            <w:r>
              <w:rPr>
                <w:rFonts w:hint="eastAsia" w:ascii="宋体" w:hAnsi="宋体" w:cs="宋体"/>
                <w:kern w:val="0"/>
                <w:sz w:val="18"/>
                <w:szCs w:val="18"/>
              </w:rPr>
              <w:t>100≤X＜200</w:t>
            </w:r>
          </w:p>
        </w:tc>
        <w:tc>
          <w:tcPr>
            <w:tcW w:w="1614" w:type="dxa"/>
            <w:vAlign w:val="center"/>
          </w:tcPr>
          <w:p w14:paraId="18128F90">
            <w:pPr>
              <w:widowControl/>
              <w:spacing w:line="320" w:lineRule="exact"/>
              <w:jc w:val="left"/>
              <w:rPr>
                <w:rFonts w:ascii="宋体" w:hAnsi="宋体" w:cs="宋体"/>
                <w:kern w:val="0"/>
                <w:sz w:val="18"/>
                <w:szCs w:val="18"/>
              </w:rPr>
            </w:pPr>
            <w:r>
              <w:rPr>
                <w:rFonts w:hint="eastAsia" w:ascii="宋体" w:hAnsi="宋体" w:cs="宋体"/>
                <w:kern w:val="0"/>
                <w:sz w:val="18"/>
                <w:szCs w:val="18"/>
              </w:rPr>
              <w:t>20≤X＜100</w:t>
            </w:r>
          </w:p>
        </w:tc>
        <w:tc>
          <w:tcPr>
            <w:tcW w:w="1036" w:type="dxa"/>
            <w:vAlign w:val="center"/>
          </w:tcPr>
          <w:p w14:paraId="7FBCC940">
            <w:pPr>
              <w:widowControl/>
              <w:spacing w:line="320" w:lineRule="exact"/>
              <w:jc w:val="left"/>
              <w:rPr>
                <w:rFonts w:ascii="宋体" w:hAnsi="宋体" w:cs="宋体"/>
                <w:kern w:val="0"/>
                <w:sz w:val="18"/>
                <w:szCs w:val="18"/>
              </w:rPr>
            </w:pPr>
            <w:r>
              <w:rPr>
                <w:rFonts w:hint="eastAsia" w:ascii="宋体" w:hAnsi="宋体" w:cs="宋体"/>
                <w:kern w:val="0"/>
                <w:sz w:val="18"/>
                <w:szCs w:val="18"/>
              </w:rPr>
              <w:t>X＜20</w:t>
            </w:r>
          </w:p>
        </w:tc>
      </w:tr>
      <w:tr w14:paraId="177A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continue"/>
            <w:vAlign w:val="center"/>
          </w:tcPr>
          <w:p w14:paraId="088CE57E">
            <w:pPr>
              <w:widowControl/>
              <w:spacing w:line="320" w:lineRule="exact"/>
              <w:jc w:val="left"/>
              <w:rPr>
                <w:rFonts w:ascii="宋体" w:hAnsi="宋体" w:cs="宋体"/>
                <w:b/>
                <w:bCs/>
                <w:kern w:val="0"/>
                <w:sz w:val="18"/>
                <w:szCs w:val="18"/>
              </w:rPr>
            </w:pPr>
          </w:p>
        </w:tc>
        <w:tc>
          <w:tcPr>
            <w:tcW w:w="1552" w:type="dxa"/>
            <w:vAlign w:val="center"/>
          </w:tcPr>
          <w:p w14:paraId="3B271BC9">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1145" w:type="dxa"/>
            <w:vAlign w:val="center"/>
          </w:tcPr>
          <w:p w14:paraId="2EC02A4F">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93" w:type="dxa"/>
            <w:vAlign w:val="center"/>
          </w:tcPr>
          <w:p w14:paraId="0F22F7A0">
            <w:pPr>
              <w:widowControl/>
              <w:spacing w:line="320" w:lineRule="exact"/>
              <w:jc w:val="left"/>
              <w:rPr>
                <w:rFonts w:ascii="宋体" w:hAnsi="宋体" w:cs="宋体"/>
                <w:kern w:val="0"/>
                <w:sz w:val="18"/>
                <w:szCs w:val="18"/>
              </w:rPr>
            </w:pPr>
            <w:r>
              <w:rPr>
                <w:rFonts w:hint="eastAsia" w:ascii="宋体" w:hAnsi="宋体" w:cs="宋体"/>
                <w:kern w:val="0"/>
                <w:sz w:val="18"/>
                <w:szCs w:val="18"/>
              </w:rPr>
              <w:t>1000≤Y＜30000</w:t>
            </w:r>
          </w:p>
        </w:tc>
        <w:tc>
          <w:tcPr>
            <w:tcW w:w="1614" w:type="dxa"/>
            <w:vAlign w:val="center"/>
          </w:tcPr>
          <w:p w14:paraId="1094E994">
            <w:pPr>
              <w:widowControl/>
              <w:spacing w:line="320" w:lineRule="exact"/>
              <w:jc w:val="left"/>
              <w:rPr>
                <w:rFonts w:ascii="宋体" w:hAnsi="宋体" w:cs="宋体"/>
                <w:kern w:val="0"/>
                <w:sz w:val="18"/>
                <w:szCs w:val="18"/>
              </w:rPr>
            </w:pPr>
            <w:r>
              <w:rPr>
                <w:rFonts w:hint="eastAsia" w:ascii="宋体" w:hAnsi="宋体" w:cs="宋体"/>
                <w:kern w:val="0"/>
                <w:sz w:val="18"/>
                <w:szCs w:val="18"/>
              </w:rPr>
              <w:t>100≤Y＜1000</w:t>
            </w:r>
          </w:p>
        </w:tc>
        <w:tc>
          <w:tcPr>
            <w:tcW w:w="1036" w:type="dxa"/>
            <w:vAlign w:val="center"/>
          </w:tcPr>
          <w:p w14:paraId="5B5DF984">
            <w:pPr>
              <w:widowControl/>
              <w:spacing w:line="320" w:lineRule="exact"/>
              <w:jc w:val="left"/>
              <w:rPr>
                <w:rFonts w:ascii="宋体" w:hAnsi="宋体" w:cs="宋体"/>
                <w:kern w:val="0"/>
                <w:sz w:val="18"/>
                <w:szCs w:val="18"/>
              </w:rPr>
            </w:pPr>
            <w:r>
              <w:rPr>
                <w:rFonts w:hint="eastAsia" w:ascii="宋体" w:hAnsi="宋体" w:cs="宋体"/>
                <w:kern w:val="0"/>
                <w:sz w:val="18"/>
                <w:szCs w:val="18"/>
              </w:rPr>
              <w:t>Y＜100</w:t>
            </w:r>
          </w:p>
        </w:tc>
      </w:tr>
      <w:tr w14:paraId="2FD0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restart"/>
            <w:vAlign w:val="center"/>
          </w:tcPr>
          <w:p w14:paraId="27BAE27B">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邮政业</w:t>
            </w:r>
          </w:p>
        </w:tc>
        <w:tc>
          <w:tcPr>
            <w:tcW w:w="1552" w:type="dxa"/>
            <w:vAlign w:val="center"/>
          </w:tcPr>
          <w:p w14:paraId="45850C73">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1145" w:type="dxa"/>
            <w:vAlign w:val="center"/>
          </w:tcPr>
          <w:p w14:paraId="2EA63364">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93" w:type="dxa"/>
            <w:vAlign w:val="center"/>
          </w:tcPr>
          <w:p w14:paraId="43AAB65D">
            <w:pPr>
              <w:widowControl/>
              <w:spacing w:line="320" w:lineRule="exact"/>
              <w:jc w:val="left"/>
              <w:rPr>
                <w:rFonts w:ascii="宋体" w:hAnsi="宋体" w:cs="宋体"/>
                <w:kern w:val="0"/>
                <w:sz w:val="18"/>
                <w:szCs w:val="18"/>
              </w:rPr>
            </w:pPr>
            <w:r>
              <w:rPr>
                <w:rFonts w:hint="eastAsia" w:ascii="宋体" w:hAnsi="宋体" w:cs="宋体"/>
                <w:kern w:val="0"/>
                <w:sz w:val="18"/>
                <w:szCs w:val="18"/>
              </w:rPr>
              <w:t>300≤X＜1000</w:t>
            </w:r>
          </w:p>
        </w:tc>
        <w:tc>
          <w:tcPr>
            <w:tcW w:w="1614" w:type="dxa"/>
            <w:vAlign w:val="center"/>
          </w:tcPr>
          <w:p w14:paraId="5CEB1327">
            <w:pPr>
              <w:widowControl/>
              <w:spacing w:line="320" w:lineRule="exact"/>
              <w:jc w:val="left"/>
              <w:rPr>
                <w:rFonts w:ascii="宋体" w:hAnsi="宋体" w:cs="宋体"/>
                <w:kern w:val="0"/>
                <w:sz w:val="18"/>
                <w:szCs w:val="18"/>
              </w:rPr>
            </w:pPr>
            <w:r>
              <w:rPr>
                <w:rFonts w:hint="eastAsia" w:ascii="宋体" w:hAnsi="宋体" w:cs="宋体"/>
                <w:kern w:val="0"/>
                <w:sz w:val="18"/>
                <w:szCs w:val="18"/>
              </w:rPr>
              <w:t>20≤X＜300</w:t>
            </w:r>
          </w:p>
        </w:tc>
        <w:tc>
          <w:tcPr>
            <w:tcW w:w="1036" w:type="dxa"/>
            <w:vAlign w:val="center"/>
          </w:tcPr>
          <w:p w14:paraId="0A4F3F18">
            <w:pPr>
              <w:widowControl/>
              <w:spacing w:line="320" w:lineRule="exact"/>
              <w:jc w:val="left"/>
              <w:rPr>
                <w:rFonts w:ascii="宋体" w:hAnsi="宋体" w:cs="宋体"/>
                <w:kern w:val="0"/>
                <w:sz w:val="18"/>
                <w:szCs w:val="18"/>
              </w:rPr>
            </w:pPr>
            <w:r>
              <w:rPr>
                <w:rFonts w:hint="eastAsia" w:ascii="宋体" w:hAnsi="宋体" w:cs="宋体"/>
                <w:kern w:val="0"/>
                <w:sz w:val="18"/>
                <w:szCs w:val="18"/>
              </w:rPr>
              <w:t>X＜20</w:t>
            </w:r>
          </w:p>
        </w:tc>
      </w:tr>
      <w:tr w14:paraId="45B61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continue"/>
            <w:vAlign w:val="center"/>
          </w:tcPr>
          <w:p w14:paraId="3F4E2C90">
            <w:pPr>
              <w:widowControl/>
              <w:spacing w:line="320" w:lineRule="exact"/>
              <w:jc w:val="left"/>
              <w:rPr>
                <w:rFonts w:ascii="宋体" w:hAnsi="宋体" w:cs="宋体"/>
                <w:b/>
                <w:bCs/>
                <w:kern w:val="0"/>
                <w:sz w:val="18"/>
                <w:szCs w:val="18"/>
              </w:rPr>
            </w:pPr>
          </w:p>
        </w:tc>
        <w:tc>
          <w:tcPr>
            <w:tcW w:w="1552" w:type="dxa"/>
            <w:vAlign w:val="center"/>
          </w:tcPr>
          <w:p w14:paraId="16F325AD">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1145" w:type="dxa"/>
            <w:vAlign w:val="center"/>
          </w:tcPr>
          <w:p w14:paraId="1691178E">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93" w:type="dxa"/>
            <w:vAlign w:val="center"/>
          </w:tcPr>
          <w:p w14:paraId="6F46B4C9">
            <w:pPr>
              <w:widowControl/>
              <w:spacing w:line="320" w:lineRule="exact"/>
              <w:jc w:val="left"/>
              <w:rPr>
                <w:rFonts w:ascii="宋体" w:hAnsi="宋体" w:cs="宋体"/>
                <w:kern w:val="0"/>
                <w:sz w:val="18"/>
                <w:szCs w:val="18"/>
              </w:rPr>
            </w:pPr>
            <w:r>
              <w:rPr>
                <w:rFonts w:hint="eastAsia" w:ascii="宋体" w:hAnsi="宋体" w:cs="宋体"/>
                <w:kern w:val="0"/>
                <w:sz w:val="18"/>
                <w:szCs w:val="18"/>
              </w:rPr>
              <w:t>2000≤Y＜30000</w:t>
            </w:r>
          </w:p>
        </w:tc>
        <w:tc>
          <w:tcPr>
            <w:tcW w:w="1614" w:type="dxa"/>
            <w:vAlign w:val="center"/>
          </w:tcPr>
          <w:p w14:paraId="64CED49F">
            <w:pPr>
              <w:widowControl/>
              <w:spacing w:line="320" w:lineRule="exact"/>
              <w:jc w:val="left"/>
              <w:rPr>
                <w:rFonts w:ascii="宋体" w:hAnsi="宋体" w:cs="宋体"/>
                <w:kern w:val="0"/>
                <w:sz w:val="18"/>
                <w:szCs w:val="18"/>
              </w:rPr>
            </w:pPr>
            <w:r>
              <w:rPr>
                <w:rFonts w:hint="eastAsia" w:ascii="宋体" w:hAnsi="宋体" w:cs="宋体"/>
                <w:kern w:val="0"/>
                <w:sz w:val="18"/>
                <w:szCs w:val="18"/>
              </w:rPr>
              <w:t>100≤Y＜2000</w:t>
            </w:r>
          </w:p>
        </w:tc>
        <w:tc>
          <w:tcPr>
            <w:tcW w:w="1036" w:type="dxa"/>
            <w:vAlign w:val="center"/>
          </w:tcPr>
          <w:p w14:paraId="59033A54">
            <w:pPr>
              <w:widowControl/>
              <w:spacing w:line="320" w:lineRule="exact"/>
              <w:jc w:val="left"/>
              <w:rPr>
                <w:rFonts w:ascii="宋体" w:hAnsi="宋体" w:cs="宋体"/>
                <w:kern w:val="0"/>
                <w:sz w:val="18"/>
                <w:szCs w:val="18"/>
              </w:rPr>
            </w:pPr>
            <w:r>
              <w:rPr>
                <w:rFonts w:hint="eastAsia" w:ascii="宋体" w:hAnsi="宋体" w:cs="宋体"/>
                <w:kern w:val="0"/>
                <w:sz w:val="18"/>
                <w:szCs w:val="18"/>
              </w:rPr>
              <w:t>Y＜100</w:t>
            </w:r>
          </w:p>
        </w:tc>
      </w:tr>
      <w:tr w14:paraId="58B6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restart"/>
            <w:vAlign w:val="center"/>
          </w:tcPr>
          <w:p w14:paraId="78115EA9">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住宿业</w:t>
            </w:r>
          </w:p>
        </w:tc>
        <w:tc>
          <w:tcPr>
            <w:tcW w:w="1552" w:type="dxa"/>
            <w:vAlign w:val="center"/>
          </w:tcPr>
          <w:p w14:paraId="3280422E">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1145" w:type="dxa"/>
            <w:vAlign w:val="center"/>
          </w:tcPr>
          <w:p w14:paraId="11F2E99B">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93" w:type="dxa"/>
            <w:vAlign w:val="center"/>
          </w:tcPr>
          <w:p w14:paraId="5782CCE0">
            <w:pPr>
              <w:widowControl/>
              <w:spacing w:line="320" w:lineRule="exact"/>
              <w:jc w:val="left"/>
              <w:rPr>
                <w:rFonts w:ascii="宋体" w:hAnsi="宋体" w:cs="宋体"/>
                <w:kern w:val="0"/>
                <w:sz w:val="18"/>
                <w:szCs w:val="18"/>
              </w:rPr>
            </w:pPr>
            <w:r>
              <w:rPr>
                <w:rFonts w:hint="eastAsia" w:ascii="宋体" w:hAnsi="宋体" w:cs="宋体"/>
                <w:kern w:val="0"/>
                <w:sz w:val="18"/>
                <w:szCs w:val="18"/>
              </w:rPr>
              <w:t>100≤X＜300</w:t>
            </w:r>
          </w:p>
        </w:tc>
        <w:tc>
          <w:tcPr>
            <w:tcW w:w="1614" w:type="dxa"/>
            <w:vAlign w:val="center"/>
          </w:tcPr>
          <w:p w14:paraId="0EA8062F">
            <w:pPr>
              <w:widowControl/>
              <w:spacing w:line="320" w:lineRule="exact"/>
              <w:jc w:val="left"/>
              <w:rPr>
                <w:rFonts w:ascii="宋体" w:hAnsi="宋体" w:cs="宋体"/>
                <w:kern w:val="0"/>
                <w:sz w:val="18"/>
                <w:szCs w:val="18"/>
              </w:rPr>
            </w:pPr>
            <w:r>
              <w:rPr>
                <w:rFonts w:hint="eastAsia" w:ascii="宋体" w:hAnsi="宋体" w:cs="宋体"/>
                <w:kern w:val="0"/>
                <w:sz w:val="18"/>
                <w:szCs w:val="18"/>
              </w:rPr>
              <w:t>10≤X＜100</w:t>
            </w:r>
          </w:p>
        </w:tc>
        <w:tc>
          <w:tcPr>
            <w:tcW w:w="1036" w:type="dxa"/>
            <w:vAlign w:val="center"/>
          </w:tcPr>
          <w:p w14:paraId="644A8CA3">
            <w:pPr>
              <w:widowControl/>
              <w:spacing w:line="320" w:lineRule="exact"/>
              <w:jc w:val="left"/>
              <w:rPr>
                <w:rFonts w:ascii="宋体" w:hAnsi="宋体" w:cs="宋体"/>
                <w:kern w:val="0"/>
                <w:sz w:val="18"/>
                <w:szCs w:val="18"/>
              </w:rPr>
            </w:pPr>
            <w:r>
              <w:rPr>
                <w:rFonts w:hint="eastAsia" w:ascii="宋体" w:hAnsi="宋体" w:cs="宋体"/>
                <w:kern w:val="0"/>
                <w:sz w:val="18"/>
                <w:szCs w:val="18"/>
              </w:rPr>
              <w:t>X＜10</w:t>
            </w:r>
          </w:p>
        </w:tc>
      </w:tr>
      <w:tr w14:paraId="7BEEF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continue"/>
            <w:vAlign w:val="center"/>
          </w:tcPr>
          <w:p w14:paraId="0A0A2C0B">
            <w:pPr>
              <w:widowControl/>
              <w:spacing w:line="320" w:lineRule="exact"/>
              <w:jc w:val="left"/>
              <w:rPr>
                <w:rFonts w:ascii="宋体" w:hAnsi="宋体" w:cs="宋体"/>
                <w:b/>
                <w:bCs/>
                <w:kern w:val="0"/>
                <w:sz w:val="18"/>
                <w:szCs w:val="18"/>
              </w:rPr>
            </w:pPr>
          </w:p>
        </w:tc>
        <w:tc>
          <w:tcPr>
            <w:tcW w:w="1552" w:type="dxa"/>
            <w:vAlign w:val="center"/>
          </w:tcPr>
          <w:p w14:paraId="4AE6F575">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1145" w:type="dxa"/>
            <w:vAlign w:val="center"/>
          </w:tcPr>
          <w:p w14:paraId="77F853E1">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93" w:type="dxa"/>
            <w:vAlign w:val="center"/>
          </w:tcPr>
          <w:p w14:paraId="1F95259A">
            <w:pPr>
              <w:widowControl/>
              <w:spacing w:line="320" w:lineRule="exact"/>
              <w:jc w:val="left"/>
              <w:rPr>
                <w:rFonts w:ascii="宋体" w:hAnsi="宋体" w:cs="宋体"/>
                <w:kern w:val="0"/>
                <w:sz w:val="18"/>
                <w:szCs w:val="18"/>
              </w:rPr>
            </w:pPr>
            <w:r>
              <w:rPr>
                <w:rFonts w:hint="eastAsia" w:ascii="宋体" w:hAnsi="宋体" w:cs="宋体"/>
                <w:kern w:val="0"/>
                <w:sz w:val="18"/>
                <w:szCs w:val="18"/>
              </w:rPr>
              <w:t>2000≤Y＜10000</w:t>
            </w:r>
          </w:p>
        </w:tc>
        <w:tc>
          <w:tcPr>
            <w:tcW w:w="1614" w:type="dxa"/>
            <w:vAlign w:val="center"/>
          </w:tcPr>
          <w:p w14:paraId="6670E97E">
            <w:pPr>
              <w:widowControl/>
              <w:spacing w:line="320" w:lineRule="exact"/>
              <w:jc w:val="left"/>
              <w:rPr>
                <w:rFonts w:ascii="宋体" w:hAnsi="宋体" w:cs="宋体"/>
                <w:kern w:val="0"/>
                <w:sz w:val="18"/>
                <w:szCs w:val="18"/>
              </w:rPr>
            </w:pPr>
            <w:r>
              <w:rPr>
                <w:rFonts w:hint="eastAsia" w:ascii="宋体" w:hAnsi="宋体" w:cs="宋体"/>
                <w:kern w:val="0"/>
                <w:sz w:val="18"/>
                <w:szCs w:val="18"/>
              </w:rPr>
              <w:t>100≤Y＜2000</w:t>
            </w:r>
          </w:p>
        </w:tc>
        <w:tc>
          <w:tcPr>
            <w:tcW w:w="1036" w:type="dxa"/>
            <w:vAlign w:val="center"/>
          </w:tcPr>
          <w:p w14:paraId="0A456E39">
            <w:pPr>
              <w:widowControl/>
              <w:spacing w:line="320" w:lineRule="exact"/>
              <w:jc w:val="left"/>
              <w:rPr>
                <w:rFonts w:ascii="宋体" w:hAnsi="宋体" w:cs="宋体"/>
                <w:kern w:val="0"/>
                <w:sz w:val="18"/>
                <w:szCs w:val="18"/>
              </w:rPr>
            </w:pPr>
            <w:r>
              <w:rPr>
                <w:rFonts w:hint="eastAsia" w:ascii="宋体" w:hAnsi="宋体" w:cs="宋体"/>
                <w:kern w:val="0"/>
                <w:sz w:val="18"/>
                <w:szCs w:val="18"/>
              </w:rPr>
              <w:t>Y＜100</w:t>
            </w:r>
          </w:p>
        </w:tc>
      </w:tr>
      <w:tr w14:paraId="48E01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restart"/>
            <w:vAlign w:val="center"/>
          </w:tcPr>
          <w:p w14:paraId="40605F54">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餐饮业</w:t>
            </w:r>
          </w:p>
        </w:tc>
        <w:tc>
          <w:tcPr>
            <w:tcW w:w="1552" w:type="dxa"/>
            <w:vAlign w:val="center"/>
          </w:tcPr>
          <w:p w14:paraId="0B23A09D">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1145" w:type="dxa"/>
            <w:vAlign w:val="center"/>
          </w:tcPr>
          <w:p w14:paraId="6DA97DD4">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93" w:type="dxa"/>
            <w:vAlign w:val="center"/>
          </w:tcPr>
          <w:p w14:paraId="1CC0974B">
            <w:pPr>
              <w:widowControl/>
              <w:spacing w:line="320" w:lineRule="exact"/>
              <w:jc w:val="left"/>
              <w:rPr>
                <w:rFonts w:ascii="宋体" w:hAnsi="宋体" w:cs="宋体"/>
                <w:kern w:val="0"/>
                <w:sz w:val="18"/>
                <w:szCs w:val="18"/>
              </w:rPr>
            </w:pPr>
            <w:r>
              <w:rPr>
                <w:rFonts w:hint="eastAsia" w:ascii="宋体" w:hAnsi="宋体" w:cs="宋体"/>
                <w:kern w:val="0"/>
                <w:sz w:val="18"/>
                <w:szCs w:val="18"/>
              </w:rPr>
              <w:t>100≤X＜300</w:t>
            </w:r>
          </w:p>
        </w:tc>
        <w:tc>
          <w:tcPr>
            <w:tcW w:w="1614" w:type="dxa"/>
            <w:vAlign w:val="center"/>
          </w:tcPr>
          <w:p w14:paraId="5B59726D">
            <w:pPr>
              <w:widowControl/>
              <w:spacing w:line="320" w:lineRule="exact"/>
              <w:jc w:val="left"/>
              <w:rPr>
                <w:rFonts w:ascii="宋体" w:hAnsi="宋体" w:cs="宋体"/>
                <w:kern w:val="0"/>
                <w:sz w:val="18"/>
                <w:szCs w:val="18"/>
              </w:rPr>
            </w:pPr>
            <w:r>
              <w:rPr>
                <w:rFonts w:hint="eastAsia" w:ascii="宋体" w:hAnsi="宋体" w:cs="宋体"/>
                <w:kern w:val="0"/>
                <w:sz w:val="18"/>
                <w:szCs w:val="18"/>
              </w:rPr>
              <w:t>10≤X＜100</w:t>
            </w:r>
          </w:p>
        </w:tc>
        <w:tc>
          <w:tcPr>
            <w:tcW w:w="1036" w:type="dxa"/>
            <w:vAlign w:val="center"/>
          </w:tcPr>
          <w:p w14:paraId="0DA22B1B">
            <w:pPr>
              <w:widowControl/>
              <w:spacing w:line="320" w:lineRule="exact"/>
              <w:jc w:val="left"/>
              <w:rPr>
                <w:rFonts w:ascii="宋体" w:hAnsi="宋体" w:cs="宋体"/>
                <w:kern w:val="0"/>
                <w:sz w:val="18"/>
                <w:szCs w:val="18"/>
              </w:rPr>
            </w:pPr>
            <w:r>
              <w:rPr>
                <w:rFonts w:hint="eastAsia" w:ascii="宋体" w:hAnsi="宋体" w:cs="宋体"/>
                <w:kern w:val="0"/>
                <w:sz w:val="18"/>
                <w:szCs w:val="18"/>
              </w:rPr>
              <w:t>X＜10</w:t>
            </w:r>
          </w:p>
        </w:tc>
      </w:tr>
      <w:tr w14:paraId="73D1B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continue"/>
            <w:vAlign w:val="center"/>
          </w:tcPr>
          <w:p w14:paraId="21573FF9">
            <w:pPr>
              <w:widowControl/>
              <w:spacing w:line="320" w:lineRule="exact"/>
              <w:jc w:val="left"/>
              <w:rPr>
                <w:rFonts w:ascii="宋体" w:hAnsi="宋体" w:cs="宋体"/>
                <w:b/>
                <w:bCs/>
                <w:kern w:val="0"/>
                <w:sz w:val="18"/>
                <w:szCs w:val="18"/>
              </w:rPr>
            </w:pPr>
          </w:p>
        </w:tc>
        <w:tc>
          <w:tcPr>
            <w:tcW w:w="1552" w:type="dxa"/>
            <w:vAlign w:val="center"/>
          </w:tcPr>
          <w:p w14:paraId="3527D164">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1145" w:type="dxa"/>
            <w:vAlign w:val="center"/>
          </w:tcPr>
          <w:p w14:paraId="0B719258">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93" w:type="dxa"/>
            <w:vAlign w:val="center"/>
          </w:tcPr>
          <w:p w14:paraId="43AD2C20">
            <w:pPr>
              <w:widowControl/>
              <w:spacing w:line="320" w:lineRule="exact"/>
              <w:jc w:val="left"/>
              <w:rPr>
                <w:rFonts w:ascii="宋体" w:hAnsi="宋体" w:cs="宋体"/>
                <w:kern w:val="0"/>
                <w:sz w:val="18"/>
                <w:szCs w:val="18"/>
              </w:rPr>
            </w:pPr>
            <w:r>
              <w:rPr>
                <w:rFonts w:hint="eastAsia" w:ascii="宋体" w:hAnsi="宋体" w:cs="宋体"/>
                <w:kern w:val="0"/>
                <w:sz w:val="18"/>
                <w:szCs w:val="18"/>
              </w:rPr>
              <w:t>2000≤Y＜10000</w:t>
            </w:r>
          </w:p>
        </w:tc>
        <w:tc>
          <w:tcPr>
            <w:tcW w:w="1614" w:type="dxa"/>
            <w:vAlign w:val="center"/>
          </w:tcPr>
          <w:p w14:paraId="743BEF1E">
            <w:pPr>
              <w:widowControl/>
              <w:spacing w:line="320" w:lineRule="exact"/>
              <w:jc w:val="left"/>
              <w:rPr>
                <w:rFonts w:ascii="宋体" w:hAnsi="宋体" w:cs="宋体"/>
                <w:kern w:val="0"/>
                <w:sz w:val="18"/>
                <w:szCs w:val="18"/>
              </w:rPr>
            </w:pPr>
            <w:r>
              <w:rPr>
                <w:rFonts w:hint="eastAsia" w:ascii="宋体" w:hAnsi="宋体" w:cs="宋体"/>
                <w:kern w:val="0"/>
                <w:sz w:val="18"/>
                <w:szCs w:val="18"/>
              </w:rPr>
              <w:t>100≤Y＜2000</w:t>
            </w:r>
          </w:p>
        </w:tc>
        <w:tc>
          <w:tcPr>
            <w:tcW w:w="1036" w:type="dxa"/>
            <w:vAlign w:val="center"/>
          </w:tcPr>
          <w:p w14:paraId="3218756A">
            <w:pPr>
              <w:widowControl/>
              <w:spacing w:line="320" w:lineRule="exact"/>
              <w:jc w:val="left"/>
              <w:rPr>
                <w:rFonts w:ascii="宋体" w:hAnsi="宋体" w:cs="宋体"/>
                <w:kern w:val="0"/>
                <w:sz w:val="18"/>
                <w:szCs w:val="18"/>
              </w:rPr>
            </w:pPr>
            <w:r>
              <w:rPr>
                <w:rFonts w:hint="eastAsia" w:ascii="宋体" w:hAnsi="宋体" w:cs="宋体"/>
                <w:kern w:val="0"/>
                <w:sz w:val="18"/>
                <w:szCs w:val="18"/>
              </w:rPr>
              <w:t>Y＜100</w:t>
            </w:r>
          </w:p>
        </w:tc>
      </w:tr>
      <w:tr w14:paraId="26D43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restart"/>
            <w:vAlign w:val="center"/>
          </w:tcPr>
          <w:p w14:paraId="6645BA0A">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信息传输业</w:t>
            </w:r>
          </w:p>
        </w:tc>
        <w:tc>
          <w:tcPr>
            <w:tcW w:w="1552" w:type="dxa"/>
            <w:vAlign w:val="center"/>
          </w:tcPr>
          <w:p w14:paraId="2CE331FB">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1145" w:type="dxa"/>
            <w:vAlign w:val="center"/>
          </w:tcPr>
          <w:p w14:paraId="05D42429">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93" w:type="dxa"/>
            <w:vAlign w:val="center"/>
          </w:tcPr>
          <w:p w14:paraId="1BBDE5DB">
            <w:pPr>
              <w:widowControl/>
              <w:spacing w:line="320" w:lineRule="exact"/>
              <w:jc w:val="left"/>
              <w:rPr>
                <w:rFonts w:ascii="宋体" w:hAnsi="宋体" w:cs="宋体"/>
                <w:kern w:val="0"/>
                <w:sz w:val="18"/>
                <w:szCs w:val="18"/>
              </w:rPr>
            </w:pPr>
            <w:r>
              <w:rPr>
                <w:rFonts w:hint="eastAsia" w:ascii="宋体" w:hAnsi="宋体" w:cs="宋体"/>
                <w:kern w:val="0"/>
                <w:sz w:val="18"/>
                <w:szCs w:val="18"/>
              </w:rPr>
              <w:t>100≤X＜2000</w:t>
            </w:r>
          </w:p>
        </w:tc>
        <w:tc>
          <w:tcPr>
            <w:tcW w:w="1614" w:type="dxa"/>
            <w:vAlign w:val="center"/>
          </w:tcPr>
          <w:p w14:paraId="6DC5E636">
            <w:pPr>
              <w:widowControl/>
              <w:spacing w:line="320" w:lineRule="exact"/>
              <w:jc w:val="left"/>
              <w:rPr>
                <w:rFonts w:ascii="宋体" w:hAnsi="宋体" w:cs="宋体"/>
                <w:kern w:val="0"/>
                <w:sz w:val="18"/>
                <w:szCs w:val="18"/>
              </w:rPr>
            </w:pPr>
            <w:r>
              <w:rPr>
                <w:rFonts w:hint="eastAsia" w:ascii="宋体" w:hAnsi="宋体" w:cs="宋体"/>
                <w:kern w:val="0"/>
                <w:sz w:val="18"/>
                <w:szCs w:val="18"/>
              </w:rPr>
              <w:t>10≤X＜100</w:t>
            </w:r>
          </w:p>
        </w:tc>
        <w:tc>
          <w:tcPr>
            <w:tcW w:w="1036" w:type="dxa"/>
            <w:vAlign w:val="center"/>
          </w:tcPr>
          <w:p w14:paraId="15BB8AE8">
            <w:pPr>
              <w:widowControl/>
              <w:spacing w:line="320" w:lineRule="exact"/>
              <w:jc w:val="left"/>
              <w:rPr>
                <w:rFonts w:ascii="宋体" w:hAnsi="宋体" w:cs="宋体"/>
                <w:kern w:val="0"/>
                <w:sz w:val="18"/>
                <w:szCs w:val="18"/>
              </w:rPr>
            </w:pPr>
            <w:r>
              <w:rPr>
                <w:rFonts w:hint="eastAsia" w:ascii="宋体" w:hAnsi="宋体" w:cs="宋体"/>
                <w:kern w:val="0"/>
                <w:sz w:val="18"/>
                <w:szCs w:val="18"/>
              </w:rPr>
              <w:t>X＜10</w:t>
            </w:r>
          </w:p>
        </w:tc>
      </w:tr>
      <w:tr w14:paraId="45488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continue"/>
            <w:vAlign w:val="center"/>
          </w:tcPr>
          <w:p w14:paraId="5BD10B75">
            <w:pPr>
              <w:widowControl/>
              <w:spacing w:line="320" w:lineRule="exact"/>
              <w:jc w:val="left"/>
              <w:rPr>
                <w:rFonts w:ascii="宋体" w:hAnsi="宋体" w:cs="宋体"/>
                <w:b/>
                <w:bCs/>
                <w:kern w:val="0"/>
                <w:sz w:val="18"/>
                <w:szCs w:val="18"/>
              </w:rPr>
            </w:pPr>
          </w:p>
        </w:tc>
        <w:tc>
          <w:tcPr>
            <w:tcW w:w="1552" w:type="dxa"/>
            <w:vAlign w:val="center"/>
          </w:tcPr>
          <w:p w14:paraId="21AFF7A1">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1145" w:type="dxa"/>
            <w:vAlign w:val="center"/>
          </w:tcPr>
          <w:p w14:paraId="195B7FEC">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93" w:type="dxa"/>
            <w:vAlign w:val="center"/>
          </w:tcPr>
          <w:p w14:paraId="1236C845">
            <w:pPr>
              <w:widowControl/>
              <w:spacing w:line="320" w:lineRule="exact"/>
              <w:jc w:val="left"/>
              <w:rPr>
                <w:rFonts w:ascii="宋体" w:hAnsi="宋体" w:cs="宋体"/>
                <w:kern w:val="0"/>
                <w:sz w:val="18"/>
                <w:szCs w:val="18"/>
              </w:rPr>
            </w:pPr>
            <w:r>
              <w:rPr>
                <w:rFonts w:hint="eastAsia" w:ascii="宋体" w:hAnsi="宋体" w:cs="宋体"/>
                <w:kern w:val="0"/>
                <w:sz w:val="18"/>
                <w:szCs w:val="18"/>
              </w:rPr>
              <w:t>1000≤Y＜100000</w:t>
            </w:r>
          </w:p>
        </w:tc>
        <w:tc>
          <w:tcPr>
            <w:tcW w:w="1614" w:type="dxa"/>
            <w:vAlign w:val="center"/>
          </w:tcPr>
          <w:p w14:paraId="1A09C5E5">
            <w:pPr>
              <w:widowControl/>
              <w:spacing w:line="320" w:lineRule="exact"/>
              <w:jc w:val="left"/>
              <w:rPr>
                <w:rFonts w:ascii="宋体" w:hAnsi="宋体" w:cs="宋体"/>
                <w:kern w:val="0"/>
                <w:sz w:val="18"/>
                <w:szCs w:val="18"/>
              </w:rPr>
            </w:pPr>
            <w:r>
              <w:rPr>
                <w:rFonts w:hint="eastAsia" w:ascii="宋体" w:hAnsi="宋体" w:cs="宋体"/>
                <w:kern w:val="0"/>
                <w:sz w:val="18"/>
                <w:szCs w:val="18"/>
              </w:rPr>
              <w:t>100≤Y＜1000</w:t>
            </w:r>
          </w:p>
        </w:tc>
        <w:tc>
          <w:tcPr>
            <w:tcW w:w="1036" w:type="dxa"/>
            <w:vAlign w:val="center"/>
          </w:tcPr>
          <w:p w14:paraId="651057EE">
            <w:pPr>
              <w:widowControl/>
              <w:spacing w:line="320" w:lineRule="exact"/>
              <w:jc w:val="left"/>
              <w:rPr>
                <w:rFonts w:ascii="宋体" w:hAnsi="宋体" w:cs="宋体"/>
                <w:kern w:val="0"/>
                <w:sz w:val="18"/>
                <w:szCs w:val="18"/>
              </w:rPr>
            </w:pPr>
            <w:r>
              <w:rPr>
                <w:rFonts w:hint="eastAsia" w:ascii="宋体" w:hAnsi="宋体" w:cs="宋体"/>
                <w:kern w:val="0"/>
                <w:sz w:val="18"/>
                <w:szCs w:val="18"/>
              </w:rPr>
              <w:t>Y＜100</w:t>
            </w:r>
          </w:p>
        </w:tc>
      </w:tr>
      <w:tr w14:paraId="552FD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restart"/>
            <w:vAlign w:val="center"/>
          </w:tcPr>
          <w:p w14:paraId="7F450AD3">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软件和信息技术服务业</w:t>
            </w:r>
          </w:p>
        </w:tc>
        <w:tc>
          <w:tcPr>
            <w:tcW w:w="1552" w:type="dxa"/>
            <w:vAlign w:val="center"/>
          </w:tcPr>
          <w:p w14:paraId="053E1641">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1145" w:type="dxa"/>
            <w:vAlign w:val="center"/>
          </w:tcPr>
          <w:p w14:paraId="6EB9D609">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93" w:type="dxa"/>
            <w:vAlign w:val="center"/>
          </w:tcPr>
          <w:p w14:paraId="62D954D0">
            <w:pPr>
              <w:widowControl/>
              <w:spacing w:line="320" w:lineRule="exact"/>
              <w:jc w:val="left"/>
              <w:rPr>
                <w:rFonts w:ascii="宋体" w:hAnsi="宋体" w:cs="宋体"/>
                <w:kern w:val="0"/>
                <w:sz w:val="18"/>
                <w:szCs w:val="18"/>
              </w:rPr>
            </w:pPr>
            <w:r>
              <w:rPr>
                <w:rFonts w:hint="eastAsia" w:ascii="宋体" w:hAnsi="宋体" w:cs="宋体"/>
                <w:kern w:val="0"/>
                <w:sz w:val="18"/>
                <w:szCs w:val="18"/>
              </w:rPr>
              <w:t>100≤X＜300</w:t>
            </w:r>
          </w:p>
        </w:tc>
        <w:tc>
          <w:tcPr>
            <w:tcW w:w="1614" w:type="dxa"/>
            <w:vAlign w:val="center"/>
          </w:tcPr>
          <w:p w14:paraId="50ABF057">
            <w:pPr>
              <w:widowControl/>
              <w:spacing w:line="320" w:lineRule="exact"/>
              <w:jc w:val="left"/>
              <w:rPr>
                <w:rFonts w:ascii="宋体" w:hAnsi="宋体" w:cs="宋体"/>
                <w:kern w:val="0"/>
                <w:sz w:val="18"/>
                <w:szCs w:val="18"/>
              </w:rPr>
            </w:pPr>
            <w:r>
              <w:rPr>
                <w:rFonts w:hint="eastAsia" w:ascii="宋体" w:hAnsi="宋体" w:cs="宋体"/>
                <w:kern w:val="0"/>
                <w:sz w:val="18"/>
                <w:szCs w:val="18"/>
              </w:rPr>
              <w:t>10≤X＜100</w:t>
            </w:r>
          </w:p>
        </w:tc>
        <w:tc>
          <w:tcPr>
            <w:tcW w:w="1036" w:type="dxa"/>
            <w:vAlign w:val="center"/>
          </w:tcPr>
          <w:p w14:paraId="21C1BDF2">
            <w:pPr>
              <w:widowControl/>
              <w:spacing w:line="320" w:lineRule="exact"/>
              <w:jc w:val="left"/>
              <w:rPr>
                <w:rFonts w:ascii="宋体" w:hAnsi="宋体" w:cs="宋体"/>
                <w:kern w:val="0"/>
                <w:sz w:val="18"/>
                <w:szCs w:val="18"/>
              </w:rPr>
            </w:pPr>
            <w:r>
              <w:rPr>
                <w:rFonts w:hint="eastAsia" w:ascii="宋体" w:hAnsi="宋体" w:cs="宋体"/>
                <w:kern w:val="0"/>
                <w:sz w:val="18"/>
                <w:szCs w:val="18"/>
              </w:rPr>
              <w:t>X＜10</w:t>
            </w:r>
          </w:p>
        </w:tc>
      </w:tr>
      <w:tr w14:paraId="53B05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continue"/>
            <w:vAlign w:val="center"/>
          </w:tcPr>
          <w:p w14:paraId="0C80175C">
            <w:pPr>
              <w:widowControl/>
              <w:spacing w:line="320" w:lineRule="exact"/>
              <w:jc w:val="left"/>
              <w:rPr>
                <w:rFonts w:ascii="宋体" w:hAnsi="宋体" w:cs="宋体"/>
                <w:b/>
                <w:bCs/>
                <w:kern w:val="0"/>
                <w:sz w:val="18"/>
                <w:szCs w:val="18"/>
              </w:rPr>
            </w:pPr>
          </w:p>
        </w:tc>
        <w:tc>
          <w:tcPr>
            <w:tcW w:w="1552" w:type="dxa"/>
            <w:vAlign w:val="center"/>
          </w:tcPr>
          <w:p w14:paraId="5FAE7DF4">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1145" w:type="dxa"/>
            <w:vAlign w:val="center"/>
          </w:tcPr>
          <w:p w14:paraId="71271CF4">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93" w:type="dxa"/>
            <w:vAlign w:val="center"/>
          </w:tcPr>
          <w:p w14:paraId="2A2C5B6F">
            <w:pPr>
              <w:widowControl/>
              <w:spacing w:line="320" w:lineRule="exact"/>
              <w:jc w:val="left"/>
              <w:rPr>
                <w:rFonts w:ascii="宋体" w:hAnsi="宋体" w:cs="宋体"/>
                <w:kern w:val="0"/>
                <w:sz w:val="18"/>
                <w:szCs w:val="18"/>
              </w:rPr>
            </w:pPr>
            <w:r>
              <w:rPr>
                <w:rFonts w:hint="eastAsia" w:ascii="宋体" w:hAnsi="宋体" w:cs="宋体"/>
                <w:kern w:val="0"/>
                <w:sz w:val="18"/>
                <w:szCs w:val="18"/>
              </w:rPr>
              <w:t>1000≤Y＜10000</w:t>
            </w:r>
          </w:p>
        </w:tc>
        <w:tc>
          <w:tcPr>
            <w:tcW w:w="1614" w:type="dxa"/>
            <w:vAlign w:val="center"/>
          </w:tcPr>
          <w:p w14:paraId="68BAB6B7">
            <w:pPr>
              <w:widowControl/>
              <w:spacing w:line="320" w:lineRule="exact"/>
              <w:jc w:val="left"/>
              <w:rPr>
                <w:rFonts w:ascii="宋体" w:hAnsi="宋体" w:cs="宋体"/>
                <w:kern w:val="0"/>
                <w:sz w:val="18"/>
                <w:szCs w:val="18"/>
              </w:rPr>
            </w:pPr>
            <w:r>
              <w:rPr>
                <w:rFonts w:hint="eastAsia" w:ascii="宋体" w:hAnsi="宋体" w:cs="宋体"/>
                <w:kern w:val="0"/>
                <w:sz w:val="18"/>
                <w:szCs w:val="18"/>
              </w:rPr>
              <w:t>50≤Y＜1000</w:t>
            </w:r>
          </w:p>
        </w:tc>
        <w:tc>
          <w:tcPr>
            <w:tcW w:w="1036" w:type="dxa"/>
            <w:vAlign w:val="center"/>
          </w:tcPr>
          <w:p w14:paraId="7451F167">
            <w:pPr>
              <w:widowControl/>
              <w:spacing w:line="320" w:lineRule="exact"/>
              <w:jc w:val="left"/>
              <w:rPr>
                <w:rFonts w:ascii="宋体" w:hAnsi="宋体" w:cs="宋体"/>
                <w:kern w:val="0"/>
                <w:sz w:val="18"/>
                <w:szCs w:val="18"/>
              </w:rPr>
            </w:pPr>
            <w:r>
              <w:rPr>
                <w:rFonts w:hint="eastAsia" w:ascii="宋体" w:hAnsi="宋体" w:cs="宋体"/>
                <w:kern w:val="0"/>
                <w:sz w:val="18"/>
                <w:szCs w:val="18"/>
              </w:rPr>
              <w:t>Y＜50</w:t>
            </w:r>
          </w:p>
        </w:tc>
      </w:tr>
      <w:tr w14:paraId="45A2A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restart"/>
            <w:vAlign w:val="center"/>
          </w:tcPr>
          <w:p w14:paraId="0509AF5F">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房地产开发经营</w:t>
            </w:r>
          </w:p>
        </w:tc>
        <w:tc>
          <w:tcPr>
            <w:tcW w:w="1552" w:type="dxa"/>
            <w:vAlign w:val="center"/>
          </w:tcPr>
          <w:p w14:paraId="153BBE4D">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1145" w:type="dxa"/>
            <w:vAlign w:val="center"/>
          </w:tcPr>
          <w:p w14:paraId="30215497">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93" w:type="dxa"/>
            <w:vAlign w:val="center"/>
          </w:tcPr>
          <w:p w14:paraId="3B9DA194">
            <w:pPr>
              <w:widowControl/>
              <w:spacing w:line="320" w:lineRule="exact"/>
              <w:jc w:val="left"/>
              <w:rPr>
                <w:rFonts w:ascii="宋体" w:hAnsi="宋体" w:cs="宋体"/>
                <w:kern w:val="0"/>
                <w:sz w:val="18"/>
                <w:szCs w:val="18"/>
              </w:rPr>
            </w:pPr>
            <w:r>
              <w:rPr>
                <w:rFonts w:hint="eastAsia" w:ascii="宋体" w:hAnsi="宋体" w:cs="宋体"/>
                <w:kern w:val="0"/>
                <w:sz w:val="18"/>
                <w:szCs w:val="18"/>
              </w:rPr>
              <w:t>1000≤Y＜200000</w:t>
            </w:r>
          </w:p>
        </w:tc>
        <w:tc>
          <w:tcPr>
            <w:tcW w:w="1614" w:type="dxa"/>
            <w:vAlign w:val="center"/>
          </w:tcPr>
          <w:p w14:paraId="2070E3C9">
            <w:pPr>
              <w:widowControl/>
              <w:spacing w:line="320" w:lineRule="exact"/>
              <w:jc w:val="left"/>
              <w:rPr>
                <w:rFonts w:ascii="宋体" w:hAnsi="宋体" w:cs="宋体"/>
                <w:kern w:val="0"/>
                <w:sz w:val="18"/>
                <w:szCs w:val="18"/>
              </w:rPr>
            </w:pPr>
            <w:r>
              <w:rPr>
                <w:rFonts w:hint="eastAsia" w:ascii="宋体" w:hAnsi="宋体" w:cs="宋体"/>
                <w:kern w:val="0"/>
                <w:sz w:val="18"/>
                <w:szCs w:val="18"/>
              </w:rPr>
              <w:t>100≤X＜1000</w:t>
            </w:r>
          </w:p>
        </w:tc>
        <w:tc>
          <w:tcPr>
            <w:tcW w:w="1036" w:type="dxa"/>
            <w:vAlign w:val="center"/>
          </w:tcPr>
          <w:p w14:paraId="68FC1AF9">
            <w:pPr>
              <w:widowControl/>
              <w:spacing w:line="320" w:lineRule="exact"/>
              <w:jc w:val="left"/>
              <w:rPr>
                <w:rFonts w:ascii="宋体" w:hAnsi="宋体" w:cs="宋体"/>
                <w:kern w:val="0"/>
                <w:sz w:val="18"/>
                <w:szCs w:val="18"/>
              </w:rPr>
            </w:pPr>
            <w:r>
              <w:rPr>
                <w:rFonts w:hint="eastAsia" w:ascii="宋体" w:hAnsi="宋体" w:cs="宋体"/>
                <w:kern w:val="0"/>
                <w:sz w:val="18"/>
                <w:szCs w:val="18"/>
              </w:rPr>
              <w:t>X＜100</w:t>
            </w:r>
          </w:p>
        </w:tc>
      </w:tr>
      <w:tr w14:paraId="0B3F5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continue"/>
            <w:vAlign w:val="center"/>
          </w:tcPr>
          <w:p w14:paraId="6F446088">
            <w:pPr>
              <w:widowControl/>
              <w:spacing w:line="320" w:lineRule="exact"/>
              <w:jc w:val="left"/>
              <w:rPr>
                <w:rFonts w:ascii="宋体" w:hAnsi="宋体" w:cs="宋体"/>
                <w:b/>
                <w:bCs/>
                <w:kern w:val="0"/>
                <w:sz w:val="18"/>
                <w:szCs w:val="18"/>
              </w:rPr>
            </w:pPr>
          </w:p>
        </w:tc>
        <w:tc>
          <w:tcPr>
            <w:tcW w:w="1552" w:type="dxa"/>
            <w:vAlign w:val="center"/>
          </w:tcPr>
          <w:p w14:paraId="3D82078A">
            <w:pPr>
              <w:widowControl/>
              <w:spacing w:line="320" w:lineRule="exact"/>
              <w:jc w:val="left"/>
              <w:rPr>
                <w:rFonts w:ascii="宋体" w:hAnsi="宋体" w:cs="宋体"/>
                <w:kern w:val="0"/>
                <w:sz w:val="18"/>
                <w:szCs w:val="18"/>
              </w:rPr>
            </w:pPr>
            <w:r>
              <w:rPr>
                <w:rFonts w:hint="eastAsia" w:ascii="宋体" w:hAnsi="宋体" w:cs="宋体"/>
                <w:kern w:val="0"/>
                <w:sz w:val="18"/>
                <w:szCs w:val="18"/>
              </w:rPr>
              <w:t>资产总额（Z）</w:t>
            </w:r>
          </w:p>
        </w:tc>
        <w:tc>
          <w:tcPr>
            <w:tcW w:w="1145" w:type="dxa"/>
            <w:vAlign w:val="center"/>
          </w:tcPr>
          <w:p w14:paraId="7B84BF6B">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93" w:type="dxa"/>
            <w:vAlign w:val="center"/>
          </w:tcPr>
          <w:p w14:paraId="63144652">
            <w:pPr>
              <w:widowControl/>
              <w:spacing w:line="320" w:lineRule="exact"/>
              <w:jc w:val="left"/>
              <w:rPr>
                <w:rFonts w:ascii="宋体" w:hAnsi="宋体" w:cs="宋体"/>
                <w:kern w:val="0"/>
                <w:sz w:val="18"/>
                <w:szCs w:val="18"/>
              </w:rPr>
            </w:pPr>
            <w:r>
              <w:rPr>
                <w:rFonts w:hint="eastAsia" w:ascii="宋体" w:hAnsi="宋体" w:cs="宋体"/>
                <w:kern w:val="0"/>
                <w:sz w:val="18"/>
                <w:szCs w:val="18"/>
              </w:rPr>
              <w:t>5000≤Z＜10000</w:t>
            </w:r>
          </w:p>
        </w:tc>
        <w:tc>
          <w:tcPr>
            <w:tcW w:w="1614" w:type="dxa"/>
            <w:vAlign w:val="center"/>
          </w:tcPr>
          <w:p w14:paraId="690C8DEA">
            <w:pPr>
              <w:widowControl/>
              <w:spacing w:line="320" w:lineRule="exact"/>
              <w:jc w:val="left"/>
              <w:rPr>
                <w:rFonts w:ascii="宋体" w:hAnsi="宋体" w:cs="宋体"/>
                <w:kern w:val="0"/>
                <w:sz w:val="18"/>
                <w:szCs w:val="18"/>
              </w:rPr>
            </w:pPr>
            <w:r>
              <w:rPr>
                <w:rFonts w:hint="eastAsia" w:ascii="宋体" w:hAnsi="宋体" w:cs="宋体"/>
                <w:kern w:val="0"/>
                <w:sz w:val="18"/>
                <w:szCs w:val="18"/>
              </w:rPr>
              <w:t>2000≤Y＜5000</w:t>
            </w:r>
          </w:p>
        </w:tc>
        <w:tc>
          <w:tcPr>
            <w:tcW w:w="1036" w:type="dxa"/>
            <w:vAlign w:val="center"/>
          </w:tcPr>
          <w:p w14:paraId="36BA2FC2">
            <w:pPr>
              <w:widowControl/>
              <w:spacing w:line="320" w:lineRule="exact"/>
              <w:jc w:val="left"/>
              <w:rPr>
                <w:rFonts w:ascii="宋体" w:hAnsi="宋体" w:cs="宋体"/>
                <w:kern w:val="0"/>
                <w:sz w:val="18"/>
                <w:szCs w:val="18"/>
              </w:rPr>
            </w:pPr>
            <w:r>
              <w:rPr>
                <w:rFonts w:hint="eastAsia" w:ascii="宋体" w:hAnsi="宋体" w:cs="宋体"/>
                <w:kern w:val="0"/>
                <w:sz w:val="18"/>
                <w:szCs w:val="18"/>
              </w:rPr>
              <w:t>Y＜2000</w:t>
            </w:r>
          </w:p>
        </w:tc>
      </w:tr>
      <w:tr w14:paraId="0C46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restart"/>
            <w:vAlign w:val="center"/>
          </w:tcPr>
          <w:p w14:paraId="5CC22FDF">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物业管理</w:t>
            </w:r>
          </w:p>
        </w:tc>
        <w:tc>
          <w:tcPr>
            <w:tcW w:w="1552" w:type="dxa"/>
            <w:vAlign w:val="center"/>
          </w:tcPr>
          <w:p w14:paraId="2DD38BD3">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1145" w:type="dxa"/>
            <w:vAlign w:val="center"/>
          </w:tcPr>
          <w:p w14:paraId="710C181E">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93" w:type="dxa"/>
            <w:vAlign w:val="center"/>
          </w:tcPr>
          <w:p w14:paraId="6A7DFFA8">
            <w:pPr>
              <w:widowControl/>
              <w:spacing w:line="320" w:lineRule="exact"/>
              <w:jc w:val="left"/>
              <w:rPr>
                <w:rFonts w:ascii="宋体" w:hAnsi="宋体" w:cs="宋体"/>
                <w:kern w:val="0"/>
                <w:sz w:val="18"/>
                <w:szCs w:val="18"/>
              </w:rPr>
            </w:pPr>
            <w:r>
              <w:rPr>
                <w:rFonts w:hint="eastAsia" w:ascii="宋体" w:hAnsi="宋体" w:cs="宋体"/>
                <w:kern w:val="0"/>
                <w:sz w:val="18"/>
                <w:szCs w:val="18"/>
              </w:rPr>
              <w:t>300≤X＜1000</w:t>
            </w:r>
          </w:p>
        </w:tc>
        <w:tc>
          <w:tcPr>
            <w:tcW w:w="1614" w:type="dxa"/>
            <w:vAlign w:val="center"/>
          </w:tcPr>
          <w:p w14:paraId="26CBDFF1">
            <w:pPr>
              <w:widowControl/>
              <w:spacing w:line="320" w:lineRule="exact"/>
              <w:jc w:val="left"/>
              <w:rPr>
                <w:rFonts w:ascii="宋体" w:hAnsi="宋体" w:cs="宋体"/>
                <w:kern w:val="0"/>
                <w:sz w:val="18"/>
                <w:szCs w:val="18"/>
              </w:rPr>
            </w:pPr>
            <w:r>
              <w:rPr>
                <w:rFonts w:hint="eastAsia" w:ascii="宋体" w:hAnsi="宋体" w:cs="宋体"/>
                <w:kern w:val="0"/>
                <w:sz w:val="18"/>
                <w:szCs w:val="18"/>
              </w:rPr>
              <w:t>100≤X＜300</w:t>
            </w:r>
          </w:p>
        </w:tc>
        <w:tc>
          <w:tcPr>
            <w:tcW w:w="1036" w:type="dxa"/>
            <w:vAlign w:val="center"/>
          </w:tcPr>
          <w:p w14:paraId="61B72343">
            <w:pPr>
              <w:widowControl/>
              <w:spacing w:line="320" w:lineRule="exact"/>
              <w:jc w:val="left"/>
              <w:rPr>
                <w:rFonts w:ascii="宋体" w:hAnsi="宋体" w:cs="宋体"/>
                <w:kern w:val="0"/>
                <w:sz w:val="18"/>
                <w:szCs w:val="18"/>
              </w:rPr>
            </w:pPr>
            <w:r>
              <w:rPr>
                <w:rFonts w:hint="eastAsia" w:ascii="宋体" w:hAnsi="宋体" w:cs="宋体"/>
                <w:kern w:val="0"/>
                <w:sz w:val="18"/>
                <w:szCs w:val="18"/>
              </w:rPr>
              <w:t>X＜100</w:t>
            </w:r>
          </w:p>
        </w:tc>
      </w:tr>
      <w:tr w14:paraId="7B269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continue"/>
            <w:vAlign w:val="center"/>
          </w:tcPr>
          <w:p w14:paraId="295C180F">
            <w:pPr>
              <w:widowControl/>
              <w:spacing w:line="320" w:lineRule="exact"/>
              <w:jc w:val="left"/>
              <w:rPr>
                <w:rFonts w:ascii="宋体" w:hAnsi="宋体" w:cs="宋体"/>
                <w:b/>
                <w:bCs/>
                <w:kern w:val="0"/>
                <w:sz w:val="18"/>
                <w:szCs w:val="18"/>
              </w:rPr>
            </w:pPr>
          </w:p>
        </w:tc>
        <w:tc>
          <w:tcPr>
            <w:tcW w:w="1552" w:type="dxa"/>
            <w:vAlign w:val="center"/>
          </w:tcPr>
          <w:p w14:paraId="0974FC72">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1145" w:type="dxa"/>
            <w:vAlign w:val="center"/>
          </w:tcPr>
          <w:p w14:paraId="327A45EA">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93" w:type="dxa"/>
            <w:vAlign w:val="center"/>
          </w:tcPr>
          <w:p w14:paraId="74816E79">
            <w:pPr>
              <w:widowControl/>
              <w:spacing w:line="320" w:lineRule="exact"/>
              <w:jc w:val="left"/>
              <w:rPr>
                <w:rFonts w:ascii="宋体" w:hAnsi="宋体" w:cs="宋体"/>
                <w:kern w:val="0"/>
                <w:sz w:val="18"/>
                <w:szCs w:val="18"/>
              </w:rPr>
            </w:pPr>
            <w:r>
              <w:rPr>
                <w:rFonts w:hint="eastAsia" w:ascii="宋体" w:hAnsi="宋体" w:cs="宋体"/>
                <w:kern w:val="0"/>
                <w:sz w:val="18"/>
                <w:szCs w:val="18"/>
              </w:rPr>
              <w:t>1000≤Y＜5000</w:t>
            </w:r>
          </w:p>
        </w:tc>
        <w:tc>
          <w:tcPr>
            <w:tcW w:w="1614" w:type="dxa"/>
            <w:vAlign w:val="center"/>
          </w:tcPr>
          <w:p w14:paraId="6F384624">
            <w:pPr>
              <w:widowControl/>
              <w:spacing w:line="320" w:lineRule="exact"/>
              <w:jc w:val="left"/>
              <w:rPr>
                <w:rFonts w:ascii="宋体" w:hAnsi="宋体" w:cs="宋体"/>
                <w:kern w:val="0"/>
                <w:sz w:val="18"/>
                <w:szCs w:val="18"/>
              </w:rPr>
            </w:pPr>
            <w:r>
              <w:rPr>
                <w:rFonts w:hint="eastAsia" w:ascii="宋体" w:hAnsi="宋体" w:cs="宋体"/>
                <w:kern w:val="0"/>
                <w:sz w:val="18"/>
                <w:szCs w:val="18"/>
              </w:rPr>
              <w:t>500≤Y＜1000</w:t>
            </w:r>
          </w:p>
        </w:tc>
        <w:tc>
          <w:tcPr>
            <w:tcW w:w="1036" w:type="dxa"/>
            <w:vAlign w:val="center"/>
          </w:tcPr>
          <w:p w14:paraId="663BFF67">
            <w:pPr>
              <w:widowControl/>
              <w:spacing w:line="320" w:lineRule="exact"/>
              <w:jc w:val="left"/>
              <w:rPr>
                <w:rFonts w:ascii="宋体" w:hAnsi="宋体" w:cs="宋体"/>
                <w:kern w:val="0"/>
                <w:sz w:val="18"/>
                <w:szCs w:val="18"/>
              </w:rPr>
            </w:pPr>
            <w:r>
              <w:rPr>
                <w:rFonts w:hint="eastAsia" w:ascii="宋体" w:hAnsi="宋体" w:cs="宋体"/>
                <w:kern w:val="0"/>
                <w:sz w:val="18"/>
                <w:szCs w:val="18"/>
              </w:rPr>
              <w:t>Y＜500</w:t>
            </w:r>
          </w:p>
        </w:tc>
      </w:tr>
      <w:tr w14:paraId="2F20E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restart"/>
            <w:vAlign w:val="center"/>
          </w:tcPr>
          <w:p w14:paraId="58EB60EC">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租赁和商务服务业</w:t>
            </w:r>
          </w:p>
        </w:tc>
        <w:tc>
          <w:tcPr>
            <w:tcW w:w="1552" w:type="dxa"/>
            <w:vAlign w:val="center"/>
          </w:tcPr>
          <w:p w14:paraId="16B5E154">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1145" w:type="dxa"/>
            <w:vAlign w:val="center"/>
          </w:tcPr>
          <w:p w14:paraId="041136C0">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93" w:type="dxa"/>
            <w:vAlign w:val="center"/>
          </w:tcPr>
          <w:p w14:paraId="19AE722F">
            <w:pPr>
              <w:widowControl/>
              <w:spacing w:line="320" w:lineRule="exact"/>
              <w:jc w:val="left"/>
              <w:rPr>
                <w:rFonts w:ascii="宋体" w:hAnsi="宋体" w:cs="宋体"/>
                <w:kern w:val="0"/>
                <w:sz w:val="18"/>
                <w:szCs w:val="18"/>
              </w:rPr>
            </w:pPr>
            <w:r>
              <w:rPr>
                <w:rFonts w:hint="eastAsia" w:ascii="宋体" w:hAnsi="宋体" w:cs="宋体"/>
                <w:kern w:val="0"/>
                <w:sz w:val="18"/>
                <w:szCs w:val="18"/>
              </w:rPr>
              <w:t>100≤X＜300</w:t>
            </w:r>
          </w:p>
        </w:tc>
        <w:tc>
          <w:tcPr>
            <w:tcW w:w="1614" w:type="dxa"/>
            <w:vAlign w:val="center"/>
          </w:tcPr>
          <w:p w14:paraId="1ED7265A">
            <w:pPr>
              <w:widowControl/>
              <w:spacing w:line="320" w:lineRule="exact"/>
              <w:jc w:val="left"/>
              <w:rPr>
                <w:rFonts w:ascii="宋体" w:hAnsi="宋体" w:cs="宋体"/>
                <w:kern w:val="0"/>
                <w:sz w:val="18"/>
                <w:szCs w:val="18"/>
              </w:rPr>
            </w:pPr>
            <w:r>
              <w:rPr>
                <w:rFonts w:hint="eastAsia" w:ascii="宋体" w:hAnsi="宋体" w:cs="宋体"/>
                <w:kern w:val="0"/>
                <w:sz w:val="18"/>
                <w:szCs w:val="18"/>
              </w:rPr>
              <w:t>10≤X＜100</w:t>
            </w:r>
          </w:p>
        </w:tc>
        <w:tc>
          <w:tcPr>
            <w:tcW w:w="1036" w:type="dxa"/>
            <w:vAlign w:val="center"/>
          </w:tcPr>
          <w:p w14:paraId="64287989">
            <w:pPr>
              <w:widowControl/>
              <w:spacing w:line="320" w:lineRule="exact"/>
              <w:jc w:val="left"/>
              <w:rPr>
                <w:rFonts w:ascii="宋体" w:hAnsi="宋体" w:cs="宋体"/>
                <w:kern w:val="0"/>
                <w:sz w:val="18"/>
                <w:szCs w:val="18"/>
              </w:rPr>
            </w:pPr>
            <w:r>
              <w:rPr>
                <w:rFonts w:hint="eastAsia" w:ascii="宋体" w:hAnsi="宋体" w:cs="宋体"/>
                <w:kern w:val="0"/>
                <w:sz w:val="18"/>
                <w:szCs w:val="18"/>
              </w:rPr>
              <w:t>X＜10</w:t>
            </w:r>
          </w:p>
        </w:tc>
      </w:tr>
      <w:tr w14:paraId="22495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Merge w:val="continue"/>
            <w:vAlign w:val="center"/>
          </w:tcPr>
          <w:p w14:paraId="301BEF15">
            <w:pPr>
              <w:widowControl/>
              <w:spacing w:line="320" w:lineRule="exact"/>
              <w:jc w:val="left"/>
              <w:rPr>
                <w:rFonts w:ascii="宋体" w:hAnsi="宋体" w:cs="宋体"/>
                <w:b/>
                <w:bCs/>
                <w:kern w:val="0"/>
                <w:sz w:val="18"/>
                <w:szCs w:val="18"/>
              </w:rPr>
            </w:pPr>
          </w:p>
        </w:tc>
        <w:tc>
          <w:tcPr>
            <w:tcW w:w="1552" w:type="dxa"/>
            <w:vAlign w:val="center"/>
          </w:tcPr>
          <w:p w14:paraId="46265A47">
            <w:pPr>
              <w:widowControl/>
              <w:spacing w:line="320" w:lineRule="exact"/>
              <w:jc w:val="left"/>
              <w:rPr>
                <w:rFonts w:ascii="宋体" w:hAnsi="宋体" w:cs="宋体"/>
                <w:kern w:val="0"/>
                <w:sz w:val="18"/>
                <w:szCs w:val="18"/>
              </w:rPr>
            </w:pPr>
            <w:r>
              <w:rPr>
                <w:rFonts w:hint="eastAsia" w:ascii="宋体" w:hAnsi="宋体" w:cs="宋体"/>
                <w:kern w:val="0"/>
                <w:sz w:val="18"/>
                <w:szCs w:val="18"/>
              </w:rPr>
              <w:t>资产总额（Z）</w:t>
            </w:r>
          </w:p>
        </w:tc>
        <w:tc>
          <w:tcPr>
            <w:tcW w:w="1145" w:type="dxa"/>
            <w:vAlign w:val="center"/>
          </w:tcPr>
          <w:p w14:paraId="42081B84">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93" w:type="dxa"/>
            <w:vAlign w:val="center"/>
          </w:tcPr>
          <w:p w14:paraId="4566FEA9">
            <w:pPr>
              <w:widowControl/>
              <w:spacing w:line="320" w:lineRule="exact"/>
              <w:jc w:val="left"/>
              <w:rPr>
                <w:rFonts w:ascii="宋体" w:hAnsi="宋体" w:cs="宋体"/>
                <w:kern w:val="0"/>
                <w:sz w:val="18"/>
                <w:szCs w:val="18"/>
              </w:rPr>
            </w:pPr>
            <w:r>
              <w:rPr>
                <w:rFonts w:hint="eastAsia" w:ascii="宋体" w:hAnsi="宋体" w:cs="宋体"/>
                <w:kern w:val="0"/>
                <w:sz w:val="18"/>
                <w:szCs w:val="18"/>
              </w:rPr>
              <w:t>8000≤Z＜120000</w:t>
            </w:r>
          </w:p>
        </w:tc>
        <w:tc>
          <w:tcPr>
            <w:tcW w:w="1614" w:type="dxa"/>
            <w:vAlign w:val="center"/>
          </w:tcPr>
          <w:p w14:paraId="3E97D304">
            <w:pPr>
              <w:widowControl/>
              <w:spacing w:line="320" w:lineRule="exact"/>
              <w:jc w:val="left"/>
              <w:rPr>
                <w:rFonts w:ascii="宋体" w:hAnsi="宋体" w:cs="宋体"/>
                <w:kern w:val="0"/>
                <w:sz w:val="18"/>
                <w:szCs w:val="18"/>
              </w:rPr>
            </w:pPr>
            <w:r>
              <w:rPr>
                <w:rFonts w:hint="eastAsia" w:ascii="宋体" w:hAnsi="宋体" w:cs="宋体"/>
                <w:kern w:val="0"/>
                <w:sz w:val="18"/>
                <w:szCs w:val="18"/>
              </w:rPr>
              <w:t>100≤Z＜8000</w:t>
            </w:r>
          </w:p>
        </w:tc>
        <w:tc>
          <w:tcPr>
            <w:tcW w:w="1036" w:type="dxa"/>
            <w:vAlign w:val="center"/>
          </w:tcPr>
          <w:p w14:paraId="2DEE1F2B">
            <w:pPr>
              <w:widowControl/>
              <w:spacing w:line="320" w:lineRule="exact"/>
              <w:jc w:val="left"/>
              <w:rPr>
                <w:rFonts w:ascii="宋体" w:hAnsi="宋体" w:cs="宋体"/>
                <w:kern w:val="0"/>
                <w:sz w:val="18"/>
                <w:szCs w:val="18"/>
              </w:rPr>
            </w:pPr>
            <w:r>
              <w:rPr>
                <w:rFonts w:hint="eastAsia" w:ascii="宋体" w:hAnsi="宋体" w:cs="宋体"/>
                <w:kern w:val="0"/>
                <w:sz w:val="18"/>
                <w:szCs w:val="18"/>
              </w:rPr>
              <w:t>Y＜100</w:t>
            </w:r>
          </w:p>
        </w:tc>
      </w:tr>
      <w:tr w14:paraId="7DF23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906" w:type="dxa"/>
            <w:vAlign w:val="center"/>
          </w:tcPr>
          <w:p w14:paraId="1595FE20">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其他未列明行业</w:t>
            </w:r>
          </w:p>
        </w:tc>
        <w:tc>
          <w:tcPr>
            <w:tcW w:w="1552" w:type="dxa"/>
            <w:vAlign w:val="center"/>
          </w:tcPr>
          <w:p w14:paraId="471017CB">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1145" w:type="dxa"/>
            <w:vAlign w:val="center"/>
          </w:tcPr>
          <w:p w14:paraId="7B922504">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93" w:type="dxa"/>
            <w:vAlign w:val="center"/>
          </w:tcPr>
          <w:p w14:paraId="7E8D58A0">
            <w:pPr>
              <w:widowControl/>
              <w:spacing w:line="320" w:lineRule="exact"/>
              <w:jc w:val="left"/>
              <w:rPr>
                <w:rFonts w:ascii="宋体" w:hAnsi="宋体" w:cs="宋体"/>
                <w:kern w:val="0"/>
                <w:sz w:val="18"/>
                <w:szCs w:val="18"/>
              </w:rPr>
            </w:pPr>
            <w:r>
              <w:rPr>
                <w:rFonts w:hint="eastAsia" w:ascii="宋体" w:hAnsi="宋体" w:cs="宋体"/>
                <w:kern w:val="0"/>
                <w:sz w:val="18"/>
                <w:szCs w:val="18"/>
              </w:rPr>
              <w:t>100≤X＜300</w:t>
            </w:r>
          </w:p>
        </w:tc>
        <w:tc>
          <w:tcPr>
            <w:tcW w:w="1614" w:type="dxa"/>
            <w:vAlign w:val="center"/>
          </w:tcPr>
          <w:p w14:paraId="7D614F47">
            <w:pPr>
              <w:widowControl/>
              <w:spacing w:line="320" w:lineRule="exact"/>
              <w:jc w:val="left"/>
              <w:rPr>
                <w:rFonts w:ascii="宋体" w:hAnsi="宋体" w:cs="宋体"/>
                <w:kern w:val="0"/>
                <w:sz w:val="18"/>
                <w:szCs w:val="18"/>
              </w:rPr>
            </w:pPr>
            <w:r>
              <w:rPr>
                <w:rFonts w:hint="eastAsia" w:ascii="宋体" w:hAnsi="宋体" w:cs="宋体"/>
                <w:kern w:val="0"/>
                <w:sz w:val="18"/>
                <w:szCs w:val="18"/>
              </w:rPr>
              <w:t>10≤X＜100</w:t>
            </w:r>
          </w:p>
        </w:tc>
        <w:tc>
          <w:tcPr>
            <w:tcW w:w="1036" w:type="dxa"/>
            <w:vAlign w:val="center"/>
          </w:tcPr>
          <w:p w14:paraId="7CE5A4F6">
            <w:pPr>
              <w:widowControl/>
              <w:spacing w:line="320" w:lineRule="exact"/>
              <w:jc w:val="left"/>
              <w:rPr>
                <w:rFonts w:ascii="宋体" w:hAnsi="宋体" w:cs="宋体"/>
                <w:kern w:val="0"/>
                <w:sz w:val="18"/>
                <w:szCs w:val="18"/>
              </w:rPr>
            </w:pPr>
            <w:r>
              <w:rPr>
                <w:rFonts w:hint="eastAsia" w:ascii="宋体" w:hAnsi="宋体" w:cs="宋体"/>
                <w:kern w:val="0"/>
                <w:sz w:val="18"/>
                <w:szCs w:val="18"/>
              </w:rPr>
              <w:t>X＜10</w:t>
            </w:r>
          </w:p>
        </w:tc>
      </w:tr>
    </w:tbl>
    <w:p w14:paraId="61586191">
      <w:pPr>
        <w:sectPr>
          <w:pgSz w:w="11906" w:h="16838"/>
          <w:pgMar w:top="1134" w:right="1312" w:bottom="1134" w:left="1354" w:header="720" w:footer="720" w:gutter="0"/>
          <w:cols w:space="720" w:num="1"/>
          <w:docGrid w:type="lines" w:linePitch="331" w:charSpace="0"/>
        </w:sectPr>
      </w:pPr>
      <w:r>
        <w:rPr>
          <w:rFonts w:hint="eastAsia" w:ascii="宋体" w:hAnsi="宋体" w:cs="宋体"/>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2EC15587">
      <w:pPr>
        <w:pStyle w:val="20"/>
        <w:jc w:val="center"/>
        <w:outlineLvl w:val="0"/>
        <w:rPr>
          <w:rFonts w:hAnsi="宋体" w:cs="宋体"/>
          <w:b/>
          <w:sz w:val="36"/>
          <w:szCs w:val="36"/>
        </w:rPr>
      </w:pPr>
      <w:bookmarkStart w:id="192" w:name="_Toc532545044"/>
      <w:bookmarkStart w:id="193" w:name="_Toc1526"/>
      <w:bookmarkStart w:id="194" w:name="_Toc20863"/>
      <w:bookmarkStart w:id="195" w:name="_Toc24275"/>
      <w:bookmarkStart w:id="196" w:name="_Toc13648"/>
      <w:bookmarkStart w:id="197" w:name="OLE_LINK144"/>
      <w:r>
        <w:rPr>
          <w:rFonts w:hint="eastAsia" w:hAnsi="宋体" w:cs="宋体"/>
          <w:b/>
          <w:sz w:val="36"/>
        </w:rPr>
        <w:t>第三章  投标人须知</w:t>
      </w:r>
      <w:bookmarkEnd w:id="192"/>
      <w:bookmarkEnd w:id="193"/>
      <w:bookmarkEnd w:id="194"/>
      <w:bookmarkEnd w:id="195"/>
      <w:bookmarkEnd w:id="196"/>
    </w:p>
    <w:p w14:paraId="7B9B4DA3">
      <w:pPr>
        <w:pStyle w:val="20"/>
        <w:spacing w:line="720" w:lineRule="auto"/>
        <w:jc w:val="center"/>
        <w:outlineLvl w:val="1"/>
        <w:rPr>
          <w:rFonts w:hAnsi="宋体" w:cs="宋体"/>
          <w:b/>
          <w:sz w:val="30"/>
          <w:szCs w:val="30"/>
        </w:rPr>
      </w:pPr>
      <w:bookmarkStart w:id="198" w:name="_Toc1438"/>
      <w:bookmarkStart w:id="199" w:name="_Toc21997"/>
      <w:bookmarkStart w:id="200" w:name="_Toc12594"/>
      <w:bookmarkStart w:id="201" w:name="_Toc18628"/>
      <w:r>
        <w:rPr>
          <w:rFonts w:hint="eastAsia" w:hAnsi="宋体" w:cs="宋体"/>
          <w:b/>
          <w:sz w:val="30"/>
          <w:szCs w:val="30"/>
        </w:rPr>
        <w:t>第一节 投标人须知前附表</w:t>
      </w:r>
      <w:bookmarkEnd w:id="198"/>
      <w:bookmarkEnd w:id="199"/>
      <w:bookmarkEnd w:id="200"/>
      <w:bookmarkEnd w:id="201"/>
    </w:p>
    <w:bookmarkEnd w:id="197"/>
    <w:tbl>
      <w:tblPr>
        <w:tblStyle w:val="37"/>
        <w:tblW w:w="92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6"/>
        <w:gridCol w:w="1997"/>
        <w:gridCol w:w="6334"/>
      </w:tblGrid>
      <w:tr w14:paraId="59C2D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6097C6EA">
            <w:pPr>
              <w:snapToGrid w:val="0"/>
              <w:jc w:val="left"/>
              <w:rPr>
                <w:rFonts w:ascii="宋体" w:hAnsi="宋体" w:cs="宋体"/>
                <w:b/>
                <w:bCs/>
                <w:szCs w:val="21"/>
              </w:rPr>
            </w:pPr>
            <w:r>
              <w:rPr>
                <w:rFonts w:hint="eastAsia" w:ascii="宋体" w:hAnsi="宋体" w:cs="宋体"/>
                <w:b/>
                <w:bCs/>
                <w:szCs w:val="21"/>
              </w:rPr>
              <w:t>条款号</w:t>
            </w:r>
          </w:p>
        </w:tc>
        <w:tc>
          <w:tcPr>
            <w:tcW w:w="1997" w:type="dxa"/>
            <w:tcBorders>
              <w:top w:val="single" w:color="auto" w:sz="4" w:space="0"/>
              <w:left w:val="single" w:color="auto" w:sz="4" w:space="0"/>
              <w:bottom w:val="single" w:color="auto" w:sz="4" w:space="0"/>
              <w:right w:val="single" w:color="auto" w:sz="4" w:space="0"/>
            </w:tcBorders>
            <w:vAlign w:val="center"/>
          </w:tcPr>
          <w:p w14:paraId="6C3B409F">
            <w:pPr>
              <w:snapToGrid w:val="0"/>
              <w:jc w:val="left"/>
              <w:rPr>
                <w:rFonts w:ascii="宋体" w:hAnsi="宋体" w:cs="宋体"/>
                <w:b/>
                <w:bCs/>
                <w:szCs w:val="21"/>
              </w:rPr>
            </w:pPr>
            <w:r>
              <w:rPr>
                <w:rFonts w:hint="eastAsia" w:ascii="宋体" w:hAnsi="宋体" w:cs="宋体"/>
                <w:b/>
                <w:bCs/>
                <w:szCs w:val="21"/>
              </w:rPr>
              <w:t>项目内容</w:t>
            </w:r>
          </w:p>
        </w:tc>
        <w:tc>
          <w:tcPr>
            <w:tcW w:w="6334" w:type="dxa"/>
            <w:tcBorders>
              <w:top w:val="single" w:color="auto" w:sz="4" w:space="0"/>
              <w:left w:val="single" w:color="auto" w:sz="4" w:space="0"/>
              <w:bottom w:val="single" w:color="auto" w:sz="4" w:space="0"/>
              <w:right w:val="single" w:color="auto" w:sz="4" w:space="0"/>
            </w:tcBorders>
            <w:vAlign w:val="center"/>
          </w:tcPr>
          <w:p w14:paraId="33C65C49">
            <w:pPr>
              <w:snapToGrid w:val="0"/>
              <w:jc w:val="center"/>
              <w:rPr>
                <w:rFonts w:ascii="宋体" w:hAnsi="宋体" w:cs="宋体"/>
                <w:b/>
                <w:bCs/>
                <w:szCs w:val="21"/>
              </w:rPr>
            </w:pPr>
            <w:r>
              <w:rPr>
                <w:rFonts w:hint="eastAsia" w:ascii="宋体" w:hAnsi="宋体" w:cs="宋体"/>
                <w:b/>
                <w:bCs/>
                <w:szCs w:val="21"/>
              </w:rPr>
              <w:t>编列内容</w:t>
            </w:r>
          </w:p>
        </w:tc>
      </w:tr>
      <w:tr w14:paraId="2E6C6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4D0212D9">
            <w:pPr>
              <w:spacing w:line="380" w:lineRule="exact"/>
              <w:rPr>
                <w:rFonts w:ascii="宋体" w:hAnsi="宋体" w:cs="宋体"/>
                <w:szCs w:val="21"/>
              </w:rPr>
            </w:pPr>
            <w:r>
              <w:rPr>
                <w:rFonts w:hint="eastAsia" w:ascii="宋体" w:hAnsi="宋体" w:cs="宋体"/>
                <w:szCs w:val="21"/>
              </w:rPr>
              <w:t>6.1</w:t>
            </w:r>
          </w:p>
        </w:tc>
        <w:tc>
          <w:tcPr>
            <w:tcW w:w="1997" w:type="dxa"/>
            <w:tcBorders>
              <w:top w:val="single" w:color="auto" w:sz="4" w:space="0"/>
              <w:left w:val="single" w:color="auto" w:sz="4" w:space="0"/>
              <w:bottom w:val="single" w:color="auto" w:sz="4" w:space="0"/>
              <w:right w:val="single" w:color="auto" w:sz="4" w:space="0"/>
            </w:tcBorders>
            <w:vAlign w:val="center"/>
          </w:tcPr>
          <w:p w14:paraId="0A3F176C">
            <w:pPr>
              <w:spacing w:line="380" w:lineRule="exact"/>
              <w:rPr>
                <w:rFonts w:ascii="宋体" w:hAnsi="宋体" w:cs="宋体"/>
                <w:szCs w:val="21"/>
              </w:rPr>
            </w:pPr>
            <w:bookmarkStart w:id="202" w:name="_8.1"/>
            <w:bookmarkEnd w:id="202"/>
            <w:bookmarkStart w:id="203" w:name="_5"/>
            <w:bookmarkEnd w:id="203"/>
            <w:bookmarkStart w:id="204" w:name="_9.2"/>
            <w:bookmarkEnd w:id="204"/>
            <w:r>
              <w:rPr>
                <w:rFonts w:hint="eastAsia" w:ascii="宋体" w:hAnsi="宋体" w:cs="宋体"/>
                <w:szCs w:val="21"/>
              </w:rPr>
              <w:t>是否接受联合体投标</w:t>
            </w:r>
          </w:p>
        </w:tc>
        <w:tc>
          <w:tcPr>
            <w:tcW w:w="6334" w:type="dxa"/>
            <w:tcBorders>
              <w:top w:val="single" w:color="auto" w:sz="4" w:space="0"/>
              <w:left w:val="single" w:color="auto" w:sz="4" w:space="0"/>
              <w:bottom w:val="single" w:color="auto" w:sz="4" w:space="0"/>
              <w:right w:val="single" w:color="auto" w:sz="4" w:space="0"/>
            </w:tcBorders>
            <w:vAlign w:val="center"/>
          </w:tcPr>
          <w:p w14:paraId="182E329E">
            <w:pPr>
              <w:pStyle w:val="14"/>
              <w:spacing w:line="360" w:lineRule="exact"/>
              <w:rPr>
                <w:rFonts w:ascii="宋体" w:hAnsi="宋体" w:cs="宋体"/>
                <w:szCs w:val="21"/>
              </w:rPr>
            </w:pPr>
            <w:bookmarkStart w:id="205" w:name="PO_3000001866_PM007"/>
            <w:r>
              <w:rPr>
                <w:rFonts w:hint="eastAsia" w:ascii="宋体" w:hAnsi="宋体" w:cs="宋体"/>
                <w:szCs w:val="21"/>
              </w:rPr>
              <w:t>不允许联合体投标</w:t>
            </w:r>
            <w:bookmarkEnd w:id="205"/>
            <w:r>
              <w:rPr>
                <w:rFonts w:hint="eastAsia" w:ascii="宋体" w:hAnsi="宋体" w:cs="宋体"/>
                <w:szCs w:val="21"/>
              </w:rPr>
              <w:t>。</w:t>
            </w:r>
          </w:p>
        </w:tc>
      </w:tr>
      <w:tr w14:paraId="7C5CBC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3CC99DCE">
            <w:pPr>
              <w:spacing w:line="380" w:lineRule="exact"/>
              <w:rPr>
                <w:rFonts w:ascii="宋体" w:hAnsi="宋体" w:cs="宋体"/>
                <w:szCs w:val="21"/>
              </w:rPr>
            </w:pPr>
            <w:r>
              <w:rPr>
                <w:rFonts w:hint="eastAsia" w:ascii="宋体" w:hAnsi="宋体" w:cs="宋体"/>
                <w:szCs w:val="21"/>
              </w:rPr>
              <w:t>6.2</w:t>
            </w:r>
          </w:p>
        </w:tc>
        <w:tc>
          <w:tcPr>
            <w:tcW w:w="1997" w:type="dxa"/>
            <w:tcBorders>
              <w:top w:val="single" w:color="auto" w:sz="4" w:space="0"/>
              <w:left w:val="single" w:color="auto" w:sz="4" w:space="0"/>
              <w:bottom w:val="single" w:color="auto" w:sz="4" w:space="0"/>
              <w:right w:val="single" w:color="auto" w:sz="4" w:space="0"/>
            </w:tcBorders>
            <w:vAlign w:val="center"/>
          </w:tcPr>
          <w:p w14:paraId="4928A403">
            <w:pPr>
              <w:spacing w:line="380" w:lineRule="exact"/>
              <w:rPr>
                <w:rFonts w:ascii="宋体" w:hAnsi="宋体" w:cs="宋体"/>
                <w:szCs w:val="21"/>
              </w:rPr>
            </w:pPr>
            <w:r>
              <w:rPr>
                <w:rFonts w:hint="eastAsia" w:ascii="宋体" w:hAnsi="宋体" w:cs="宋体"/>
                <w:szCs w:val="21"/>
              </w:rPr>
              <w:t>联合体投标要求</w:t>
            </w:r>
          </w:p>
        </w:tc>
        <w:tc>
          <w:tcPr>
            <w:tcW w:w="6334" w:type="dxa"/>
            <w:tcBorders>
              <w:top w:val="single" w:color="auto" w:sz="4" w:space="0"/>
              <w:left w:val="single" w:color="auto" w:sz="4" w:space="0"/>
              <w:bottom w:val="single" w:color="auto" w:sz="4" w:space="0"/>
              <w:right w:val="single" w:color="auto" w:sz="4" w:space="0"/>
            </w:tcBorders>
            <w:vAlign w:val="center"/>
          </w:tcPr>
          <w:p w14:paraId="166A147B">
            <w:pPr>
              <w:pStyle w:val="14"/>
              <w:spacing w:line="360" w:lineRule="exact"/>
              <w:rPr>
                <w:rFonts w:ascii="宋体" w:hAnsi="宋体" w:cs="宋体"/>
                <w:szCs w:val="21"/>
              </w:rPr>
            </w:pPr>
            <w:r>
              <w:rPr>
                <w:rFonts w:hint="eastAsia" w:ascii="宋体" w:hAnsi="宋体" w:cs="宋体"/>
                <w:szCs w:val="21"/>
              </w:rPr>
              <w:t>本项目不接受联合体投标。</w:t>
            </w:r>
          </w:p>
        </w:tc>
      </w:tr>
      <w:tr w14:paraId="2D7A5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60DB4BC2">
            <w:pPr>
              <w:spacing w:line="380" w:lineRule="exact"/>
              <w:rPr>
                <w:rFonts w:ascii="宋体" w:hAnsi="宋体" w:cs="宋体"/>
                <w:szCs w:val="21"/>
              </w:rPr>
            </w:pPr>
            <w:r>
              <w:rPr>
                <w:rFonts w:hint="eastAsia" w:ascii="宋体" w:hAnsi="宋体" w:cs="宋体"/>
                <w:szCs w:val="21"/>
              </w:rPr>
              <w:t>7.2</w:t>
            </w:r>
          </w:p>
        </w:tc>
        <w:tc>
          <w:tcPr>
            <w:tcW w:w="1997" w:type="dxa"/>
            <w:tcBorders>
              <w:top w:val="single" w:color="auto" w:sz="4" w:space="0"/>
              <w:left w:val="single" w:color="auto" w:sz="4" w:space="0"/>
              <w:bottom w:val="single" w:color="auto" w:sz="4" w:space="0"/>
              <w:right w:val="single" w:color="auto" w:sz="4" w:space="0"/>
            </w:tcBorders>
            <w:vAlign w:val="center"/>
          </w:tcPr>
          <w:p w14:paraId="0AFEA5B3">
            <w:pPr>
              <w:spacing w:line="380" w:lineRule="exact"/>
              <w:rPr>
                <w:rFonts w:ascii="宋体" w:hAnsi="宋体" w:cs="宋体"/>
                <w:szCs w:val="21"/>
              </w:rPr>
            </w:pPr>
            <w:r>
              <w:rPr>
                <w:rFonts w:hint="eastAsia" w:ascii="宋体" w:hAnsi="宋体" w:cs="宋体"/>
                <w:szCs w:val="21"/>
              </w:rPr>
              <w:t>是否允许转包/分包</w:t>
            </w:r>
          </w:p>
        </w:tc>
        <w:tc>
          <w:tcPr>
            <w:tcW w:w="6334" w:type="dxa"/>
            <w:tcBorders>
              <w:top w:val="single" w:color="auto" w:sz="4" w:space="0"/>
              <w:left w:val="single" w:color="auto" w:sz="4" w:space="0"/>
              <w:bottom w:val="single" w:color="auto" w:sz="4" w:space="0"/>
              <w:right w:val="single" w:color="auto" w:sz="4" w:space="0"/>
            </w:tcBorders>
            <w:vAlign w:val="center"/>
          </w:tcPr>
          <w:p w14:paraId="4C71838B">
            <w:pPr>
              <w:pStyle w:val="14"/>
              <w:spacing w:line="360" w:lineRule="exact"/>
              <w:rPr>
                <w:rFonts w:ascii="宋体" w:hAnsi="宋体" w:cs="宋体"/>
                <w:szCs w:val="21"/>
              </w:rPr>
            </w:pPr>
            <w:r>
              <w:rPr>
                <w:rFonts w:hint="eastAsia" w:ascii="宋体" w:hAnsi="宋体" w:cs="宋体"/>
                <w:szCs w:val="21"/>
              </w:rPr>
              <w:t>转包/分包内容：</w:t>
            </w:r>
            <w:r>
              <w:rPr>
                <w:rFonts w:hint="eastAsia" w:ascii="宋体" w:hAnsi="宋体" w:cs="宋体"/>
                <w:szCs w:val="21"/>
                <w:u w:val="single"/>
              </w:rPr>
              <w:t xml:space="preserve">  /  </w:t>
            </w:r>
            <w:r>
              <w:rPr>
                <w:rFonts w:hint="eastAsia" w:ascii="宋体" w:hAnsi="宋体" w:cs="宋体"/>
                <w:szCs w:val="21"/>
              </w:rPr>
              <w:t>。</w:t>
            </w:r>
          </w:p>
          <w:p w14:paraId="5414A8A3">
            <w:pPr>
              <w:pStyle w:val="14"/>
              <w:spacing w:line="360" w:lineRule="exact"/>
              <w:rPr>
                <w:rFonts w:ascii="宋体" w:hAnsi="宋体" w:cs="宋体"/>
                <w:szCs w:val="21"/>
              </w:rPr>
            </w:pPr>
            <w:r>
              <w:rPr>
                <w:rFonts w:hint="eastAsia" w:ascii="宋体" w:hAnsi="宋体" w:cs="宋体"/>
                <w:szCs w:val="21"/>
              </w:rPr>
              <w:t>转包/分包金额或者比例：</w:t>
            </w:r>
            <w:r>
              <w:rPr>
                <w:rFonts w:hint="eastAsia" w:ascii="宋体" w:hAnsi="宋体" w:cs="宋体"/>
                <w:szCs w:val="21"/>
                <w:u w:val="single"/>
              </w:rPr>
              <w:t xml:space="preserve">   /  </w:t>
            </w:r>
            <w:r>
              <w:rPr>
                <w:rFonts w:hint="eastAsia" w:ascii="宋体" w:hAnsi="宋体" w:cs="宋体"/>
                <w:szCs w:val="21"/>
              </w:rPr>
              <w:t>。</w:t>
            </w:r>
          </w:p>
        </w:tc>
      </w:tr>
      <w:tr w14:paraId="351859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6" w:type="dxa"/>
            <w:tcBorders>
              <w:top w:val="single" w:color="auto" w:sz="4" w:space="0"/>
              <w:left w:val="single" w:color="auto" w:sz="4" w:space="0"/>
              <w:bottom w:val="single" w:color="auto" w:sz="4" w:space="0"/>
              <w:right w:val="single" w:color="auto" w:sz="4" w:space="0"/>
            </w:tcBorders>
            <w:vAlign w:val="center"/>
          </w:tcPr>
          <w:p w14:paraId="763CE92D">
            <w:pPr>
              <w:spacing w:line="380" w:lineRule="exact"/>
              <w:rPr>
                <w:rFonts w:ascii="宋体" w:hAnsi="宋体" w:cs="宋体"/>
                <w:szCs w:val="21"/>
              </w:rPr>
            </w:pPr>
            <w:r>
              <w:rPr>
                <w:rFonts w:hint="eastAsia" w:ascii="宋体" w:hAnsi="宋体" w:cs="宋体"/>
                <w:szCs w:val="21"/>
              </w:rPr>
              <w:t>11.2</w:t>
            </w:r>
          </w:p>
        </w:tc>
        <w:tc>
          <w:tcPr>
            <w:tcW w:w="1997" w:type="dxa"/>
            <w:tcBorders>
              <w:top w:val="single" w:color="auto" w:sz="4" w:space="0"/>
              <w:left w:val="single" w:color="auto" w:sz="4" w:space="0"/>
              <w:bottom w:val="single" w:color="auto" w:sz="4" w:space="0"/>
              <w:right w:val="single" w:color="auto" w:sz="4" w:space="0"/>
            </w:tcBorders>
            <w:vAlign w:val="center"/>
          </w:tcPr>
          <w:p w14:paraId="16C0DDF4">
            <w:pPr>
              <w:spacing w:line="380" w:lineRule="exact"/>
              <w:rPr>
                <w:rFonts w:ascii="宋体" w:hAnsi="宋体" w:cs="宋体"/>
                <w:szCs w:val="21"/>
              </w:rPr>
            </w:pPr>
            <w:r>
              <w:rPr>
                <w:rFonts w:hint="eastAsia" w:ascii="宋体" w:hAnsi="宋体" w:cs="宋体"/>
                <w:szCs w:val="21"/>
              </w:rPr>
              <w:t>现场考察</w:t>
            </w:r>
          </w:p>
        </w:tc>
        <w:tc>
          <w:tcPr>
            <w:tcW w:w="6334" w:type="dxa"/>
            <w:tcBorders>
              <w:top w:val="single" w:color="auto" w:sz="4" w:space="0"/>
              <w:left w:val="single" w:color="auto" w:sz="4" w:space="0"/>
              <w:bottom w:val="single" w:color="auto" w:sz="4" w:space="0"/>
              <w:right w:val="single" w:color="auto" w:sz="4" w:space="0"/>
            </w:tcBorders>
            <w:vAlign w:val="center"/>
          </w:tcPr>
          <w:p w14:paraId="23F99059">
            <w:pPr>
              <w:snapToGrid w:val="0"/>
              <w:spacing w:line="360" w:lineRule="exact"/>
              <w:rPr>
                <w:rFonts w:ascii="宋体" w:hAnsi="宋体"/>
                <w:szCs w:val="21"/>
              </w:rPr>
            </w:pPr>
            <w:r>
              <w:rPr>
                <w:rFonts w:hint="eastAsia" w:ascii="宋体" w:hAnsi="宋体"/>
                <w:szCs w:val="21"/>
              </w:rPr>
              <w:t>☑不组织现场考察</w:t>
            </w:r>
          </w:p>
          <w:p w14:paraId="5A3F2A69">
            <w:pPr>
              <w:snapToGrid w:val="0"/>
              <w:spacing w:line="360" w:lineRule="exact"/>
              <w:rPr>
                <w:rFonts w:ascii="宋体" w:hAnsi="宋体"/>
                <w:szCs w:val="21"/>
              </w:rPr>
            </w:pPr>
            <w:r>
              <w:rPr>
                <w:rFonts w:hint="eastAsia" w:ascii="宋体" w:hAnsi="宋体"/>
                <w:szCs w:val="21"/>
              </w:rPr>
              <w:t>□组织现场考察：</w:t>
            </w:r>
          </w:p>
          <w:p w14:paraId="6824110D">
            <w:pPr>
              <w:snapToGrid w:val="0"/>
              <w:spacing w:line="360" w:lineRule="exact"/>
              <w:rPr>
                <w:rFonts w:ascii="宋体" w:hAnsi="宋体"/>
                <w:szCs w:val="21"/>
                <w:u w:val="single"/>
              </w:rPr>
            </w:pPr>
            <w:r>
              <w:rPr>
                <w:rFonts w:hint="eastAsia" w:ascii="宋体" w:hAnsi="宋体"/>
                <w:szCs w:val="21"/>
              </w:rPr>
              <w:t>集中时间：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分</w:t>
            </w:r>
            <w:r>
              <w:rPr>
                <w:rFonts w:hint="eastAsia" w:ascii="宋体" w:hAnsi="宋体"/>
                <w:szCs w:val="21"/>
              </w:rPr>
              <w:t>，逾期后果自负。集中地点：</w:t>
            </w:r>
            <w:r>
              <w:rPr>
                <w:rFonts w:hint="eastAsia" w:ascii="宋体" w:hAnsi="宋体"/>
                <w:szCs w:val="21"/>
                <w:u w:val="single"/>
              </w:rPr>
              <w:t xml:space="preserve"> </w:t>
            </w:r>
            <w:r>
              <w:rPr>
                <w:rFonts w:ascii="宋体" w:hAnsi="宋体"/>
                <w:szCs w:val="21"/>
                <w:u w:val="single"/>
              </w:rPr>
              <w:t xml:space="preserve">             </w:t>
            </w:r>
          </w:p>
          <w:p w14:paraId="0FB9A469">
            <w:pPr>
              <w:snapToGrid w:val="0"/>
              <w:spacing w:line="360" w:lineRule="exact"/>
              <w:rPr>
                <w:rFonts w:ascii="宋体" w:hAnsi="宋体"/>
                <w:szCs w:val="21"/>
                <w:u w:val="single"/>
              </w:rPr>
            </w:pPr>
            <w:r>
              <w:rPr>
                <w:rFonts w:hint="eastAsia" w:ascii="宋体" w:hAnsi="宋体"/>
                <w:szCs w:val="21"/>
              </w:rPr>
              <w:t>联系人：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；联系电话：</w:t>
            </w:r>
            <w:r>
              <w:rPr>
                <w:rFonts w:ascii="宋体" w:hAnsi="宋体"/>
                <w:szCs w:val="21"/>
                <w:u w:val="single"/>
              </w:rPr>
              <w:t xml:space="preserve">                </w:t>
            </w:r>
          </w:p>
          <w:p w14:paraId="0F6F42E3">
            <w:pPr>
              <w:snapToGrid w:val="0"/>
              <w:spacing w:line="360" w:lineRule="exact"/>
              <w:rPr>
                <w:rFonts w:ascii="宋体" w:hAnsi="宋体"/>
                <w:szCs w:val="21"/>
              </w:rPr>
            </w:pPr>
            <w:r>
              <w:rPr>
                <w:rFonts w:hint="eastAsia" w:ascii="宋体" w:hAnsi="宋体"/>
                <w:szCs w:val="21"/>
              </w:rPr>
              <w:t>☑不组织召开开标前答疑会</w:t>
            </w:r>
          </w:p>
          <w:p w14:paraId="6E4F953B">
            <w:pPr>
              <w:snapToGrid w:val="0"/>
              <w:spacing w:line="360" w:lineRule="exact"/>
              <w:rPr>
                <w:rFonts w:ascii="宋体" w:hAnsi="宋体"/>
                <w:szCs w:val="21"/>
              </w:rPr>
            </w:pPr>
            <w:r>
              <w:rPr>
                <w:rFonts w:hint="eastAsia" w:ascii="宋体" w:hAnsi="宋体"/>
                <w:szCs w:val="21"/>
              </w:rPr>
              <w:t>□组织召开开标前答疑会</w:t>
            </w:r>
          </w:p>
          <w:p w14:paraId="1799E042">
            <w:pPr>
              <w:pStyle w:val="14"/>
              <w:spacing w:line="360" w:lineRule="exact"/>
              <w:rPr>
                <w:rFonts w:ascii="宋体" w:hAnsi="宋体" w:cs="宋体"/>
                <w:szCs w:val="21"/>
              </w:rPr>
            </w:pPr>
            <w:r>
              <w:rPr>
                <w:rFonts w:hint="eastAsia" w:ascii="宋体" w:hAnsi="宋体"/>
                <w:szCs w:val="21"/>
              </w:rPr>
              <w:t>会议开始时间：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分</w:t>
            </w:r>
            <w:r>
              <w:rPr>
                <w:rFonts w:hint="eastAsia" w:ascii="宋体" w:hAnsi="宋体"/>
                <w:szCs w:val="21"/>
              </w:rPr>
              <w:t>，逾期后果自负。会议地点：</w:t>
            </w:r>
            <w:r>
              <w:rPr>
                <w:rFonts w:hint="eastAsia" w:ascii="宋体" w:hAnsi="宋体"/>
                <w:szCs w:val="21"/>
                <w:u w:val="single"/>
              </w:rPr>
              <w:t xml:space="preserve"> </w:t>
            </w:r>
            <w:r>
              <w:rPr>
                <w:rFonts w:ascii="宋体" w:hAnsi="宋体"/>
                <w:szCs w:val="21"/>
                <w:u w:val="single"/>
              </w:rPr>
              <w:t xml:space="preserve">             </w:t>
            </w:r>
          </w:p>
        </w:tc>
      </w:tr>
      <w:tr w14:paraId="49DE5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5"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6B90D5B0">
            <w:pPr>
              <w:spacing w:line="380" w:lineRule="exact"/>
              <w:rPr>
                <w:rFonts w:ascii="宋体" w:hAnsi="宋体" w:cs="宋体"/>
                <w:szCs w:val="21"/>
              </w:rPr>
            </w:pPr>
            <w:r>
              <w:rPr>
                <w:rFonts w:hint="eastAsia" w:ascii="宋体" w:hAnsi="宋体" w:cs="宋体"/>
                <w:szCs w:val="21"/>
              </w:rPr>
              <w:t>11.4</w:t>
            </w:r>
          </w:p>
        </w:tc>
        <w:tc>
          <w:tcPr>
            <w:tcW w:w="1997" w:type="dxa"/>
            <w:tcBorders>
              <w:top w:val="single" w:color="auto" w:sz="4" w:space="0"/>
              <w:left w:val="single" w:color="auto" w:sz="4" w:space="0"/>
              <w:bottom w:val="single" w:color="auto" w:sz="4" w:space="0"/>
              <w:right w:val="single" w:color="auto" w:sz="4" w:space="0"/>
            </w:tcBorders>
            <w:vAlign w:val="center"/>
          </w:tcPr>
          <w:p w14:paraId="5AE78272">
            <w:pPr>
              <w:spacing w:line="360" w:lineRule="exact"/>
              <w:rPr>
                <w:rFonts w:ascii="宋体" w:hAnsi="宋体" w:cs="宋体"/>
                <w:szCs w:val="21"/>
              </w:rPr>
            </w:pPr>
            <w:r>
              <w:rPr>
                <w:rFonts w:hint="eastAsia" w:ascii="宋体" w:hAnsi="宋体" w:cs="宋体"/>
                <w:szCs w:val="21"/>
              </w:rPr>
              <w:t>网上查询地址</w:t>
            </w:r>
          </w:p>
        </w:tc>
        <w:tc>
          <w:tcPr>
            <w:tcW w:w="6334" w:type="dxa"/>
            <w:tcBorders>
              <w:top w:val="single" w:color="auto" w:sz="4" w:space="0"/>
              <w:left w:val="single" w:color="auto" w:sz="4" w:space="0"/>
              <w:bottom w:val="single" w:color="auto" w:sz="4" w:space="0"/>
              <w:right w:val="single" w:color="auto" w:sz="4" w:space="0"/>
            </w:tcBorders>
            <w:vAlign w:val="center"/>
          </w:tcPr>
          <w:p w14:paraId="4D8DBED9">
            <w:pPr>
              <w:spacing w:line="360" w:lineRule="exact"/>
              <w:rPr>
                <w:rFonts w:ascii="宋体" w:hAnsi="宋体" w:cs="宋体"/>
                <w:szCs w:val="21"/>
              </w:rPr>
            </w:pPr>
            <w:r>
              <w:rPr>
                <w:rFonts w:hint="eastAsia" w:ascii="宋体" w:hAnsi="宋体" w:cs="宋体"/>
                <w:szCs w:val="21"/>
              </w:rPr>
              <w:t>与本项目相关的政府采购业务澄清、更正及与之相关的事项详见http://www.ccgp.gov.cn（中国政府采购网）、http://zfcg.gxzf.gov.cn（广西壮族自治区政府采购网）、http://gxggzy.gxzf.gov.cn（广西壮族自治区公共资源交易中心）</w:t>
            </w:r>
          </w:p>
          <w:p w14:paraId="1B8E71A2">
            <w:pPr>
              <w:spacing w:line="360" w:lineRule="exact"/>
              <w:rPr>
                <w:rFonts w:ascii="宋体" w:hAnsi="宋体" w:cs="宋体"/>
                <w:sz w:val="28"/>
                <w:szCs w:val="18"/>
              </w:rPr>
            </w:pPr>
            <w:r>
              <w:rPr>
                <w:rFonts w:hint="eastAsia" w:ascii="宋体" w:hAnsi="宋体" w:cs="宋体"/>
                <w:szCs w:val="21"/>
              </w:rPr>
              <w:t>上发布</w:t>
            </w:r>
            <w:r>
              <w:rPr>
                <w:rFonts w:hint="eastAsia" w:ascii="宋体" w:hAnsi="宋体" w:cs="宋体"/>
                <w:kern w:val="0"/>
                <w:szCs w:val="21"/>
              </w:rPr>
              <w:t>。</w:t>
            </w:r>
          </w:p>
        </w:tc>
      </w:tr>
      <w:tr w14:paraId="1F103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6" w:type="dxa"/>
            <w:tcBorders>
              <w:left w:val="single" w:color="auto" w:sz="4" w:space="0"/>
              <w:right w:val="single" w:color="auto" w:sz="4" w:space="0"/>
            </w:tcBorders>
            <w:vAlign w:val="center"/>
          </w:tcPr>
          <w:p w14:paraId="503F19FC">
            <w:pPr>
              <w:spacing w:line="380" w:lineRule="exact"/>
              <w:rPr>
                <w:rFonts w:ascii="宋体" w:hAnsi="宋体" w:cs="宋体"/>
                <w:szCs w:val="21"/>
              </w:rPr>
            </w:pPr>
            <w:r>
              <w:rPr>
                <w:rFonts w:hint="eastAsia" w:ascii="宋体" w:hAnsi="宋体" w:cs="宋体"/>
                <w:szCs w:val="21"/>
              </w:rPr>
              <w:t>13.1</w:t>
            </w:r>
          </w:p>
        </w:tc>
        <w:tc>
          <w:tcPr>
            <w:tcW w:w="1997" w:type="dxa"/>
            <w:tcBorders>
              <w:top w:val="single" w:color="auto" w:sz="4" w:space="0"/>
              <w:left w:val="single" w:color="auto" w:sz="4" w:space="0"/>
              <w:bottom w:val="single" w:color="auto" w:sz="4" w:space="0"/>
              <w:right w:val="single" w:color="auto" w:sz="4" w:space="0"/>
            </w:tcBorders>
            <w:vAlign w:val="center"/>
          </w:tcPr>
          <w:p w14:paraId="02FFA414">
            <w:pPr>
              <w:snapToGrid w:val="0"/>
              <w:spacing w:line="380" w:lineRule="exact"/>
              <w:jc w:val="left"/>
              <w:rPr>
                <w:rFonts w:ascii="宋体" w:hAnsi="宋体" w:cs="宋体"/>
                <w:szCs w:val="21"/>
              </w:rPr>
            </w:pPr>
            <w:bookmarkStart w:id="206" w:name="_13.2"/>
            <w:bookmarkEnd w:id="206"/>
            <w:r>
              <w:rPr>
                <w:rFonts w:hint="eastAsia" w:ascii="宋体" w:hAnsi="宋体" w:cs="宋体"/>
                <w:szCs w:val="21"/>
              </w:rPr>
              <w:t>资格证明文件组成</w:t>
            </w:r>
          </w:p>
        </w:tc>
        <w:tc>
          <w:tcPr>
            <w:tcW w:w="6334" w:type="dxa"/>
            <w:tcBorders>
              <w:top w:val="single" w:color="auto" w:sz="4" w:space="0"/>
              <w:left w:val="single" w:color="auto" w:sz="4" w:space="0"/>
              <w:bottom w:val="single" w:color="auto" w:sz="4" w:space="0"/>
              <w:right w:val="single" w:color="auto" w:sz="4" w:space="0"/>
            </w:tcBorders>
            <w:vAlign w:val="center"/>
          </w:tcPr>
          <w:p w14:paraId="747D0A30">
            <w:pPr>
              <w:snapToGrid w:val="0"/>
              <w:spacing w:line="360" w:lineRule="exact"/>
              <w:jc w:val="left"/>
              <w:rPr>
                <w:rFonts w:ascii="宋体" w:hAnsi="宋体" w:cs="宋体"/>
                <w:szCs w:val="21"/>
              </w:rPr>
            </w:pPr>
            <w:r>
              <w:rPr>
                <w:rFonts w:hint="eastAsia" w:ascii="宋体" w:hAnsi="宋体" w:cs="宋体"/>
                <w:szCs w:val="21"/>
              </w:rPr>
              <w:t>1、投标人为法人（负责人）或者其他组织的，提供营业执照等证明文件（如营业执照或者事业单位法人（负责人）证书或者</w:t>
            </w:r>
            <w:r>
              <w:rPr>
                <w:rStyle w:val="81"/>
                <w:rFonts w:hint="eastAsia"/>
                <w:color w:val="auto"/>
                <w:sz w:val="21"/>
                <w:szCs w:val="21"/>
              </w:rPr>
              <w:t>执业许可证</w:t>
            </w:r>
            <w:r>
              <w:rPr>
                <w:rFonts w:hint="eastAsia" w:ascii="宋体" w:hAnsi="宋体" w:cs="宋体"/>
                <w:szCs w:val="21"/>
              </w:rPr>
              <w:t>等），投标人为自然人的，提供身份证复印件。（</w:t>
            </w:r>
            <w:r>
              <w:rPr>
                <w:rFonts w:hint="eastAsia" w:ascii="宋体" w:hAnsi="宋体" w:cs="宋体"/>
                <w:b/>
                <w:szCs w:val="21"/>
              </w:rPr>
              <w:t>必须提供，否则作无效投标处理</w:t>
            </w:r>
            <w:r>
              <w:rPr>
                <w:rFonts w:hint="eastAsia" w:ascii="宋体" w:hAnsi="宋体" w:cs="宋体"/>
                <w:szCs w:val="21"/>
              </w:rPr>
              <w:t>）</w:t>
            </w:r>
          </w:p>
          <w:p w14:paraId="76C3B1E4">
            <w:pPr>
              <w:snapToGrid w:val="0"/>
              <w:spacing w:line="400" w:lineRule="exact"/>
              <w:jc w:val="left"/>
              <w:rPr>
                <w:rFonts w:ascii="宋体" w:hAnsi="宋体" w:cs="宋体"/>
                <w:b/>
                <w:sz w:val="24"/>
              </w:rPr>
            </w:pPr>
            <w:r>
              <w:rPr>
                <w:rFonts w:hint="eastAsia" w:ascii="宋体" w:hAnsi="宋体" w:cs="宋体"/>
                <w:szCs w:val="21"/>
              </w:rPr>
              <w:t>2、投标供应商依法缴纳税收的相关材料（</w:t>
            </w:r>
            <w:bookmarkStart w:id="207" w:name="OLE_LINK42"/>
            <w:r>
              <w:rPr>
                <w:rFonts w:hint="eastAsia" w:ascii="宋体" w:hAnsi="宋体" w:cs="宋体"/>
                <w:szCs w:val="21"/>
              </w:rPr>
              <w:t>2024年11月至2025年4月</w:t>
            </w:r>
            <w:bookmarkEnd w:id="207"/>
            <w:r>
              <w:rPr>
                <w:rFonts w:hint="eastAsia" w:ascii="宋体" w:hAnsi="宋体" w:cs="宋体"/>
                <w:szCs w:val="21"/>
              </w:rPr>
              <w:t>）内连续 3个月的依法缴纳税收的证明材料（凭证或税务机关出具的证明）复印件（或扫描件）；依法免税的供应商，必须提供相应文件证明其依法免税。从成立之日起到投标文件提交截止时间止不足要求月数的，只需提供从成立之日起的依法缴纳税收相应证明文件）；</w:t>
            </w:r>
            <w:r>
              <w:rPr>
                <w:rFonts w:hint="eastAsia" w:ascii="宋体" w:hAnsi="宋体" w:cs="宋体"/>
                <w:b/>
                <w:szCs w:val="21"/>
              </w:rPr>
              <w:t>（必须提供，否则按无效投标处理）</w:t>
            </w:r>
          </w:p>
          <w:p w14:paraId="5DC6BEF3">
            <w:pPr>
              <w:snapToGrid w:val="0"/>
              <w:spacing w:line="360" w:lineRule="exact"/>
              <w:jc w:val="left"/>
              <w:rPr>
                <w:rFonts w:ascii="宋体" w:hAnsi="宋体" w:cs="宋体"/>
                <w:b/>
                <w:szCs w:val="21"/>
              </w:rPr>
            </w:pPr>
            <w:r>
              <w:rPr>
                <w:rFonts w:hint="eastAsia" w:ascii="宋体" w:hAnsi="宋体" w:cs="宋体"/>
                <w:szCs w:val="21"/>
              </w:rPr>
              <w:t>3、投标供应商依法缴纳社会保障资金的相关材料（2024年11月至2025年4月）内连续3个月的依法缴纳社会保障资金的缴费凭证（专用收据或者社会保险缴纳清单或者社保部门出具的证明文件）复印件（或扫描件）；依法不需要缴纳社会保障资金的供应商，必须提供相应文件证明不需要缴纳社会保障资金；如投标人社保由上级公司缴纳的，须提供以下资料：上级公司营业执照副本复印件；上级公司出具的社保缴纳情况说明原件（附投标人拟投入人员名单）；上级公司于开标前最近一次社会保障资金的缴费凭证；上级公司于开标前最近一次缴纳社会保险的投标人拟投入人员明细；从成立之日起到投标文件提交截止时间止不足要求月数的只需提供从成立之日起的依法缴纳社会保障资金的相应证明文件）；</w:t>
            </w:r>
            <w:r>
              <w:rPr>
                <w:rFonts w:hint="eastAsia" w:ascii="宋体" w:hAnsi="宋体" w:cs="宋体"/>
                <w:b/>
                <w:szCs w:val="21"/>
              </w:rPr>
              <w:t>（必须提供，否则按无效投标处理）</w:t>
            </w:r>
          </w:p>
          <w:p w14:paraId="3EC72CD6">
            <w:pPr>
              <w:snapToGrid w:val="0"/>
              <w:spacing w:line="360" w:lineRule="exact"/>
              <w:jc w:val="left"/>
              <w:rPr>
                <w:rFonts w:ascii="宋体" w:hAnsi="宋体" w:cs="宋体"/>
                <w:szCs w:val="21"/>
              </w:rPr>
            </w:pPr>
            <w:r>
              <w:rPr>
                <w:rFonts w:hint="eastAsia" w:ascii="宋体" w:hAnsi="宋体" w:cs="宋体"/>
                <w:szCs w:val="21"/>
              </w:rPr>
              <w:t>4、投标人</w:t>
            </w:r>
            <w:bookmarkStart w:id="208" w:name="OLE_LINK45"/>
            <w:r>
              <w:rPr>
                <w:rFonts w:hint="eastAsia" w:ascii="宋体" w:hAnsi="宋体" w:cs="宋体"/>
                <w:szCs w:val="21"/>
              </w:rPr>
              <w:t>2023年或2024年</w:t>
            </w:r>
            <w:bookmarkEnd w:id="208"/>
            <w:r>
              <w:rPr>
                <w:rFonts w:hint="eastAsia" w:ascii="宋体" w:hAnsi="宋体" w:cs="宋体"/>
                <w:szCs w:val="21"/>
              </w:rPr>
              <w:t>财务状况报告</w:t>
            </w:r>
            <w:bookmarkStart w:id="209" w:name="OLE_LINK86"/>
            <w:r>
              <w:rPr>
                <w:rFonts w:hint="eastAsia" w:ascii="宋体" w:hAnsi="宋体" w:cs="宋体"/>
                <w:szCs w:val="21"/>
              </w:rPr>
              <w:t>复印件</w:t>
            </w:r>
            <w:bookmarkEnd w:id="209"/>
            <w:r>
              <w:rPr>
                <w:rFonts w:hint="eastAsia" w:ascii="宋体" w:hAnsi="宋体" w:cs="宋体"/>
                <w:szCs w:val="21"/>
              </w:rPr>
              <w:t>【①可以是经会计师事务所审计的财务报告，或是本公司出具的财务报表（供应商执行《企业会计准则》的，提供资产负债表、利润表、现金流量表、所有者权益变动表及其附注；供应商执行《小企业会计准则》的，提供资产负债表、利润表、现金流量表及其附注；供应商执行《政府会计制度》的，提供资产负债表、收入费用表和净资产变动表及其附注）；②新近成立不足半年的公司按实际提供财务报表】，或者银行出具的资信证明（说明：资信证明指：反映投标人资金结算无异常，无违规透支，无理拒付、无逾期（垫款）和欠息等不良记录，结算纪律良好的相关证明，并非指存款证明。如所提供该证明仅为存款数额信息的将作无效证明处理，并按无效投标处理）；（</w:t>
            </w:r>
            <w:r>
              <w:rPr>
                <w:rFonts w:hint="eastAsia" w:ascii="宋体" w:hAnsi="宋体" w:cs="宋体"/>
                <w:b/>
                <w:szCs w:val="21"/>
              </w:rPr>
              <w:t>必须提供，否则作无效投标处理</w:t>
            </w:r>
            <w:r>
              <w:rPr>
                <w:rFonts w:hint="eastAsia" w:ascii="宋体" w:hAnsi="宋体" w:cs="宋体"/>
                <w:szCs w:val="21"/>
              </w:rPr>
              <w:t>）</w:t>
            </w:r>
          </w:p>
          <w:p w14:paraId="33808FD1">
            <w:pPr>
              <w:snapToGrid w:val="0"/>
              <w:spacing w:line="360" w:lineRule="exact"/>
              <w:jc w:val="left"/>
              <w:rPr>
                <w:rFonts w:ascii="宋体" w:hAnsi="宋体" w:cs="宋体"/>
                <w:szCs w:val="21"/>
              </w:rPr>
            </w:pPr>
            <w:r>
              <w:rPr>
                <w:rFonts w:hint="eastAsia" w:ascii="宋体" w:hAnsi="宋体" w:cs="宋体"/>
                <w:szCs w:val="21"/>
              </w:rPr>
              <w:t>5、投标人直接控股、管理关系信息表。</w:t>
            </w:r>
            <w:bookmarkStart w:id="210" w:name="OLE_LINK116"/>
            <w:r>
              <w:rPr>
                <w:rFonts w:hint="eastAsia" w:ascii="宋体" w:hAnsi="宋体" w:cs="宋体"/>
                <w:szCs w:val="21"/>
              </w:rPr>
              <w:t>（</w:t>
            </w:r>
            <w:r>
              <w:rPr>
                <w:rFonts w:hint="eastAsia" w:ascii="宋体" w:hAnsi="宋体" w:cs="宋体"/>
                <w:b/>
                <w:szCs w:val="21"/>
              </w:rPr>
              <w:t>必须提供，否则作无效投标处理</w:t>
            </w:r>
            <w:r>
              <w:rPr>
                <w:rFonts w:hint="eastAsia" w:ascii="宋体" w:hAnsi="宋体" w:cs="宋体"/>
                <w:szCs w:val="21"/>
              </w:rPr>
              <w:t>）</w:t>
            </w:r>
          </w:p>
          <w:bookmarkEnd w:id="210"/>
          <w:p w14:paraId="45D49041">
            <w:pPr>
              <w:numPr>
                <w:ilvl w:val="255"/>
                <w:numId w:val="0"/>
              </w:numPr>
              <w:snapToGrid w:val="0"/>
              <w:spacing w:line="360" w:lineRule="exact"/>
              <w:jc w:val="left"/>
              <w:rPr>
                <w:rFonts w:ascii="宋体" w:hAnsi="宋体" w:cs="宋体"/>
                <w:szCs w:val="21"/>
              </w:rPr>
            </w:pPr>
            <w:r>
              <w:rPr>
                <w:rFonts w:hint="eastAsia" w:ascii="宋体" w:hAnsi="宋体" w:cs="宋体"/>
                <w:szCs w:val="21"/>
              </w:rPr>
              <w:t>6、</w:t>
            </w:r>
            <w:bookmarkStart w:id="211" w:name="OLE_LINK117"/>
            <w:r>
              <w:rPr>
                <w:rFonts w:hint="eastAsia" w:ascii="宋体" w:hAnsi="宋体" w:cs="宋体"/>
                <w:szCs w:val="21"/>
              </w:rPr>
              <w:t>投标声明。</w:t>
            </w:r>
            <w:bookmarkEnd w:id="211"/>
            <w:r>
              <w:rPr>
                <w:rFonts w:hint="eastAsia" w:ascii="宋体" w:hAnsi="宋体" w:cs="宋体"/>
                <w:szCs w:val="21"/>
              </w:rPr>
              <w:t>（</w:t>
            </w:r>
            <w:r>
              <w:rPr>
                <w:rFonts w:hint="eastAsia" w:ascii="宋体" w:hAnsi="宋体" w:cs="宋体"/>
                <w:b/>
                <w:szCs w:val="21"/>
              </w:rPr>
              <w:t>必须提供，否则作无效投标处理</w:t>
            </w:r>
            <w:r>
              <w:rPr>
                <w:rFonts w:hint="eastAsia" w:ascii="宋体" w:hAnsi="宋体" w:cs="宋体"/>
                <w:szCs w:val="21"/>
              </w:rPr>
              <w:t>）</w:t>
            </w:r>
          </w:p>
          <w:p w14:paraId="287B80E7">
            <w:pPr>
              <w:numPr>
                <w:ilvl w:val="255"/>
                <w:numId w:val="0"/>
              </w:numPr>
              <w:snapToGrid w:val="0"/>
              <w:spacing w:line="360" w:lineRule="exact"/>
              <w:jc w:val="left"/>
              <w:rPr>
                <w:rFonts w:ascii="宋体" w:hAnsi="宋体" w:cs="宋体"/>
                <w:b/>
                <w:bCs/>
                <w:szCs w:val="21"/>
              </w:rPr>
            </w:pPr>
            <w:r>
              <w:rPr>
                <w:rFonts w:hint="eastAsia" w:ascii="宋体" w:hAnsi="宋体" w:cs="宋体"/>
                <w:szCs w:val="21"/>
              </w:rPr>
              <w:t>7、本项目的特定资格要求证明文件：供应商必须具有有效的《食品生产许可证》或《食品经营许可证》，提供复印件；</w:t>
            </w:r>
            <w:r>
              <w:rPr>
                <w:rFonts w:hint="eastAsia" w:ascii="宋体" w:hAnsi="宋体" w:cs="宋体"/>
                <w:b/>
                <w:bCs/>
                <w:szCs w:val="21"/>
              </w:rPr>
              <w:t>（必须提供，否则按无效投标处理）</w:t>
            </w:r>
          </w:p>
          <w:p w14:paraId="306A32DD">
            <w:pPr>
              <w:snapToGrid w:val="0"/>
              <w:spacing w:line="400" w:lineRule="exact"/>
              <w:jc w:val="left"/>
              <w:rPr>
                <w:rFonts w:ascii="宋体" w:hAnsi="宋体" w:cs="宋体"/>
                <w:szCs w:val="21"/>
              </w:rPr>
            </w:pPr>
            <w:r>
              <w:rPr>
                <w:rFonts w:hint="eastAsia" w:ascii="宋体" w:hAnsi="宋体" w:cs="宋体"/>
                <w:szCs w:val="21"/>
              </w:rPr>
              <w:t>8、</w:t>
            </w:r>
            <w:bookmarkStart w:id="212" w:name="OLE_LINK119"/>
            <w:r>
              <w:rPr>
                <w:rFonts w:hint="eastAsia" w:ascii="宋体" w:hAnsi="宋体"/>
                <w:szCs w:val="21"/>
              </w:rPr>
              <w:t>落实政府采购政策需满足的资格要求：供应商必须提供《中小企业声明函》或《残疾人福利性单位声明函》或由省级或以上监狱管理局、戒毒管理局（含新疆生产建设兵团）出具的属于监狱企业的证明文件（复印件）；</w:t>
            </w:r>
            <w:bookmarkEnd w:id="212"/>
            <w:r>
              <w:rPr>
                <w:rFonts w:hint="eastAsia" w:ascii="宋体" w:hAnsi="宋体"/>
                <w:b/>
                <w:szCs w:val="21"/>
              </w:rPr>
              <w:t>（</w:t>
            </w:r>
            <w:bookmarkStart w:id="213" w:name="OLE_LINK118"/>
            <w:r>
              <w:rPr>
                <w:rFonts w:hint="eastAsia" w:ascii="宋体" w:hAnsi="宋体" w:cs="宋体"/>
                <w:b/>
                <w:szCs w:val="21"/>
              </w:rPr>
              <w:t>B、C、D、E、F分标根据招标公告对应的落实政府采购政策需满足的资格要求必须提供相应的声</w:t>
            </w:r>
            <w:r>
              <w:rPr>
                <w:rFonts w:ascii="宋体" w:hAnsi="宋体" w:cs="宋体"/>
                <w:b/>
                <w:szCs w:val="21"/>
              </w:rPr>
              <w:t>明或证明材料</w:t>
            </w:r>
            <w:r>
              <w:rPr>
                <w:rFonts w:hint="eastAsia" w:ascii="宋体" w:hAnsi="宋体" w:cs="宋体"/>
                <w:b/>
                <w:szCs w:val="21"/>
              </w:rPr>
              <w:t>，否则作无效投标处理</w:t>
            </w:r>
            <w:bookmarkEnd w:id="213"/>
            <w:r>
              <w:rPr>
                <w:rFonts w:hint="eastAsia" w:ascii="宋体" w:hAnsi="宋体" w:cs="宋体"/>
                <w:b/>
                <w:szCs w:val="21"/>
              </w:rPr>
              <w:t>，A、G分标如有请提供</w:t>
            </w:r>
            <w:r>
              <w:rPr>
                <w:rFonts w:hint="eastAsia" w:ascii="宋体" w:hAnsi="宋体"/>
                <w:b/>
                <w:szCs w:val="21"/>
              </w:rPr>
              <w:t>）</w:t>
            </w:r>
          </w:p>
          <w:p w14:paraId="287A963C">
            <w:pPr>
              <w:numPr>
                <w:ilvl w:val="255"/>
                <w:numId w:val="0"/>
              </w:numPr>
              <w:snapToGrid w:val="0"/>
              <w:spacing w:line="360" w:lineRule="exact"/>
              <w:jc w:val="left"/>
              <w:rPr>
                <w:rFonts w:ascii="宋体" w:hAnsi="宋体" w:cs="宋体"/>
                <w:szCs w:val="21"/>
              </w:rPr>
            </w:pPr>
            <w:r>
              <w:rPr>
                <w:rFonts w:hint="eastAsia" w:ascii="宋体" w:hAnsi="宋体" w:cs="宋体"/>
                <w:szCs w:val="21"/>
              </w:rPr>
              <w:t>9、除招标文件规定必须提供以外，投标人认为需要提供的其他证明材料。</w:t>
            </w:r>
          </w:p>
          <w:p w14:paraId="43A19C4E">
            <w:pPr>
              <w:snapToGrid w:val="0"/>
              <w:spacing w:line="360" w:lineRule="exact"/>
              <w:jc w:val="left"/>
              <w:rPr>
                <w:rFonts w:ascii="宋体" w:hAnsi="宋体" w:cs="宋体"/>
                <w:b/>
                <w:bCs/>
                <w:szCs w:val="21"/>
              </w:rPr>
            </w:pPr>
            <w:r>
              <w:rPr>
                <w:rFonts w:hint="eastAsia" w:ascii="宋体" w:hAnsi="宋体" w:cs="宋体"/>
                <w:b/>
                <w:bCs/>
                <w:szCs w:val="21"/>
              </w:rPr>
              <w:t>注：1.</w:t>
            </w:r>
            <w:r>
              <w:rPr>
                <w:rFonts w:hint="eastAsia" w:ascii="宋体" w:hAnsi="宋体" w:cs="宋体"/>
                <w:szCs w:val="21"/>
              </w:rPr>
              <w:t xml:space="preserve"> </w:t>
            </w:r>
            <w:r>
              <w:rPr>
                <w:rFonts w:hint="eastAsia" w:ascii="宋体" w:hAnsi="宋体" w:cs="宋体"/>
                <w:b/>
                <w:bCs/>
                <w:szCs w:val="21"/>
              </w:rPr>
              <w:t>以上标明“必须提供”的材料</w:t>
            </w:r>
            <w:r>
              <w:rPr>
                <w:rFonts w:hint="eastAsia" w:ascii="宋体" w:hAnsi="宋体" w:cs="宋体"/>
                <w:b/>
                <w:szCs w:val="21"/>
              </w:rPr>
              <w:t>属于复印件的扫描件的</w:t>
            </w:r>
            <w:r>
              <w:rPr>
                <w:rFonts w:hint="eastAsia" w:ascii="宋体" w:hAnsi="宋体" w:cs="宋体"/>
                <w:b/>
                <w:bCs/>
                <w:szCs w:val="21"/>
              </w:rPr>
              <w:t>，必须加盖投标人电子公章，否则作无效投标处理。</w:t>
            </w:r>
          </w:p>
          <w:p w14:paraId="41A23D25">
            <w:pPr>
              <w:snapToGrid w:val="0"/>
              <w:spacing w:line="360" w:lineRule="exact"/>
              <w:jc w:val="left"/>
              <w:rPr>
                <w:rFonts w:ascii="宋体" w:hAnsi="宋体" w:cs="宋体"/>
                <w:b/>
                <w:bCs/>
                <w:szCs w:val="21"/>
              </w:rPr>
            </w:pPr>
            <w:r>
              <w:rPr>
                <w:rFonts w:hint="eastAsia" w:ascii="宋体" w:hAnsi="宋体" w:cs="宋体"/>
                <w:b/>
                <w:bCs/>
                <w:szCs w:val="21"/>
              </w:rPr>
              <w:t>2.投标声明必须由法定代表人在规定签章处签字并加盖投标人电子公章，否则作无效投标处理。</w:t>
            </w:r>
          </w:p>
        </w:tc>
      </w:tr>
      <w:tr w14:paraId="0CDD3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6" w:type="dxa"/>
            <w:tcBorders>
              <w:left w:val="single" w:color="auto" w:sz="4" w:space="0"/>
              <w:right w:val="single" w:color="auto" w:sz="4" w:space="0"/>
            </w:tcBorders>
            <w:vAlign w:val="center"/>
          </w:tcPr>
          <w:p w14:paraId="61D3D735">
            <w:pPr>
              <w:spacing w:line="380" w:lineRule="exact"/>
              <w:rPr>
                <w:rFonts w:ascii="宋体" w:hAnsi="宋体" w:cs="宋体"/>
                <w:szCs w:val="21"/>
              </w:rPr>
            </w:pPr>
          </w:p>
        </w:tc>
        <w:tc>
          <w:tcPr>
            <w:tcW w:w="1997" w:type="dxa"/>
            <w:tcBorders>
              <w:top w:val="single" w:color="auto" w:sz="4" w:space="0"/>
              <w:left w:val="single" w:color="auto" w:sz="4" w:space="0"/>
              <w:bottom w:val="single" w:color="auto" w:sz="4" w:space="0"/>
              <w:right w:val="single" w:color="auto" w:sz="4" w:space="0"/>
            </w:tcBorders>
            <w:vAlign w:val="center"/>
          </w:tcPr>
          <w:p w14:paraId="19567B3F">
            <w:pPr>
              <w:snapToGrid w:val="0"/>
              <w:spacing w:line="380" w:lineRule="exact"/>
              <w:jc w:val="left"/>
              <w:rPr>
                <w:rFonts w:ascii="宋体" w:hAnsi="宋体" w:cs="宋体"/>
                <w:szCs w:val="21"/>
              </w:rPr>
            </w:pPr>
            <w:bookmarkStart w:id="214" w:name="_13.3"/>
            <w:bookmarkEnd w:id="214"/>
            <w:r>
              <w:rPr>
                <w:rFonts w:hint="eastAsia" w:ascii="宋体" w:hAnsi="宋体" w:cs="宋体"/>
                <w:szCs w:val="21"/>
              </w:rPr>
              <w:t>商务文件组成</w:t>
            </w:r>
          </w:p>
          <w:p w14:paraId="7EB0AEBE">
            <w:pPr>
              <w:spacing w:line="380" w:lineRule="exact"/>
              <w:rPr>
                <w:rFonts w:ascii="宋体" w:hAnsi="宋体" w:cs="宋体"/>
                <w:szCs w:val="21"/>
              </w:rPr>
            </w:pPr>
          </w:p>
        </w:tc>
        <w:tc>
          <w:tcPr>
            <w:tcW w:w="6334" w:type="dxa"/>
            <w:tcBorders>
              <w:top w:val="single" w:color="auto" w:sz="4" w:space="0"/>
              <w:left w:val="single" w:color="auto" w:sz="4" w:space="0"/>
              <w:bottom w:val="single" w:color="auto" w:sz="4" w:space="0"/>
              <w:right w:val="single" w:color="auto" w:sz="4" w:space="0"/>
            </w:tcBorders>
            <w:vAlign w:val="center"/>
          </w:tcPr>
          <w:p w14:paraId="4033A634">
            <w:pPr>
              <w:snapToGrid w:val="0"/>
              <w:spacing w:line="360" w:lineRule="exact"/>
              <w:jc w:val="left"/>
              <w:rPr>
                <w:rFonts w:ascii="宋体" w:hAnsi="宋体" w:cs="宋体"/>
                <w:szCs w:val="21"/>
              </w:rPr>
            </w:pPr>
            <w:r>
              <w:rPr>
                <w:rFonts w:hint="eastAsia" w:ascii="宋体" w:hAnsi="宋体" w:cs="宋体"/>
                <w:szCs w:val="21"/>
              </w:rPr>
              <w:t>1、</w:t>
            </w:r>
            <w:bookmarkStart w:id="215" w:name="OLE_LINK121"/>
            <w:r>
              <w:rPr>
                <w:rFonts w:hint="eastAsia" w:ascii="宋体" w:hAnsi="宋体" w:cs="宋体"/>
                <w:szCs w:val="21"/>
              </w:rPr>
              <w:t>无串通投标行为的承诺函（格式见第六章）；</w:t>
            </w:r>
            <w:bookmarkEnd w:id="215"/>
            <w:r>
              <w:rPr>
                <w:rFonts w:hint="eastAsia" w:ascii="宋体" w:hAnsi="宋体" w:cs="宋体"/>
                <w:szCs w:val="21"/>
              </w:rPr>
              <w:t>（</w:t>
            </w:r>
            <w:r>
              <w:rPr>
                <w:rFonts w:hint="eastAsia" w:ascii="宋体" w:hAnsi="宋体" w:cs="宋体"/>
                <w:b/>
                <w:szCs w:val="21"/>
              </w:rPr>
              <w:t>必须提供，否则作无效投标处理</w:t>
            </w:r>
            <w:r>
              <w:rPr>
                <w:rFonts w:hint="eastAsia" w:ascii="宋体" w:hAnsi="宋体" w:cs="宋体"/>
                <w:szCs w:val="21"/>
              </w:rPr>
              <w:t>）</w:t>
            </w:r>
          </w:p>
          <w:p w14:paraId="3269966D">
            <w:pPr>
              <w:snapToGrid w:val="0"/>
              <w:spacing w:line="360" w:lineRule="exact"/>
              <w:jc w:val="left"/>
              <w:rPr>
                <w:rFonts w:ascii="宋体" w:hAnsi="宋体" w:cs="宋体"/>
                <w:szCs w:val="21"/>
              </w:rPr>
            </w:pPr>
            <w:r>
              <w:rPr>
                <w:rFonts w:hint="eastAsia" w:ascii="宋体" w:hAnsi="宋体" w:cs="宋体"/>
                <w:szCs w:val="21"/>
              </w:rPr>
              <w:t>2、</w:t>
            </w:r>
            <w:bookmarkStart w:id="216" w:name="OLE_LINK122"/>
            <w:r>
              <w:rPr>
                <w:rFonts w:hint="eastAsia" w:ascii="宋体" w:hAnsi="宋体" w:cs="宋体"/>
                <w:szCs w:val="21"/>
              </w:rPr>
              <w:t>法定代表人（或负责人）身份证明书原件及法定代表人（或负责人）有效身份证正反面复印件（格式见第六章）；</w:t>
            </w:r>
            <w:bookmarkEnd w:id="216"/>
            <w:bookmarkStart w:id="217" w:name="OLE_LINK120"/>
            <w:r>
              <w:rPr>
                <w:rFonts w:hint="eastAsia" w:ascii="宋体" w:hAnsi="宋体" w:cs="宋体"/>
                <w:szCs w:val="21"/>
              </w:rPr>
              <w:t>（</w:t>
            </w:r>
            <w:r>
              <w:rPr>
                <w:rFonts w:hint="eastAsia" w:ascii="宋体" w:hAnsi="宋体" w:cs="宋体"/>
                <w:b/>
                <w:bCs/>
                <w:szCs w:val="21"/>
              </w:rPr>
              <w:t>除自然人投标外</w:t>
            </w:r>
            <w:r>
              <w:rPr>
                <w:rFonts w:hint="eastAsia" w:ascii="宋体" w:hAnsi="宋体" w:cs="宋体"/>
                <w:b/>
                <w:szCs w:val="21"/>
              </w:rPr>
              <w:t>必须提供，否则作无效投标处理</w:t>
            </w:r>
            <w:r>
              <w:rPr>
                <w:rFonts w:hint="eastAsia" w:ascii="宋体" w:hAnsi="宋体" w:cs="宋体"/>
                <w:szCs w:val="21"/>
              </w:rPr>
              <w:t>）</w:t>
            </w:r>
          </w:p>
          <w:bookmarkEnd w:id="217"/>
          <w:p w14:paraId="6F6120F7">
            <w:pPr>
              <w:snapToGrid w:val="0"/>
              <w:spacing w:line="360" w:lineRule="exact"/>
              <w:jc w:val="left"/>
              <w:rPr>
                <w:rFonts w:ascii="宋体" w:hAnsi="宋体" w:cs="宋体"/>
                <w:szCs w:val="21"/>
              </w:rPr>
            </w:pPr>
            <w:r>
              <w:rPr>
                <w:rFonts w:hint="eastAsia" w:ascii="宋体" w:hAnsi="宋体" w:cs="宋体"/>
                <w:szCs w:val="21"/>
              </w:rPr>
              <w:t>3、法定代表人（或负责人）授权委托书原件及委托代理人有效身份证正反面复印件（格式见第六章）；（</w:t>
            </w:r>
            <w:r>
              <w:rPr>
                <w:rFonts w:hint="eastAsia" w:ascii="宋体" w:hAnsi="宋体" w:cs="宋体"/>
                <w:b/>
                <w:szCs w:val="21"/>
              </w:rPr>
              <w:t>委托时必须提供，否则作无效投标处理</w:t>
            </w:r>
            <w:r>
              <w:rPr>
                <w:rFonts w:hint="eastAsia" w:ascii="宋体" w:hAnsi="宋体" w:cs="宋体"/>
                <w:szCs w:val="21"/>
              </w:rPr>
              <w:t>）</w:t>
            </w:r>
          </w:p>
          <w:p w14:paraId="0A2EC61F">
            <w:pPr>
              <w:snapToGrid w:val="0"/>
              <w:spacing w:line="360" w:lineRule="exact"/>
              <w:jc w:val="left"/>
              <w:rPr>
                <w:rFonts w:ascii="宋体" w:hAnsi="宋体" w:cs="宋体"/>
                <w:szCs w:val="21"/>
              </w:rPr>
            </w:pPr>
            <w:r>
              <w:rPr>
                <w:rFonts w:hint="eastAsia" w:ascii="宋体" w:hAnsi="宋体" w:cs="宋体"/>
                <w:szCs w:val="21"/>
              </w:rPr>
              <w:t>4、</w:t>
            </w:r>
            <w:bookmarkStart w:id="218" w:name="OLE_LINK123"/>
            <w:r>
              <w:rPr>
                <w:rFonts w:hint="eastAsia" w:ascii="宋体" w:hAnsi="宋体" w:cs="宋体"/>
                <w:szCs w:val="21"/>
              </w:rPr>
              <w:t>商务条款偏离表（格式见第六章）；</w:t>
            </w:r>
            <w:bookmarkEnd w:id="218"/>
            <w:bookmarkStart w:id="219" w:name="OLE_LINK73"/>
            <w:r>
              <w:rPr>
                <w:rFonts w:hint="eastAsia" w:ascii="宋体" w:hAnsi="宋体" w:cs="宋体"/>
                <w:szCs w:val="21"/>
              </w:rPr>
              <w:t>（</w:t>
            </w:r>
            <w:r>
              <w:rPr>
                <w:rFonts w:hint="eastAsia" w:ascii="宋体" w:hAnsi="宋体" w:cs="宋体"/>
                <w:b/>
                <w:szCs w:val="21"/>
              </w:rPr>
              <w:t>必须提供，否则作无效投标处理</w:t>
            </w:r>
            <w:r>
              <w:rPr>
                <w:rFonts w:hint="eastAsia" w:ascii="宋体" w:hAnsi="宋体" w:cs="宋体"/>
                <w:szCs w:val="21"/>
              </w:rPr>
              <w:t>）</w:t>
            </w:r>
            <w:bookmarkEnd w:id="219"/>
          </w:p>
          <w:p w14:paraId="0449EFB2">
            <w:pPr>
              <w:snapToGrid w:val="0"/>
              <w:spacing w:line="360" w:lineRule="exact"/>
              <w:jc w:val="left"/>
              <w:rPr>
                <w:rFonts w:ascii="宋体" w:hAnsi="宋体" w:cs="宋体"/>
                <w:szCs w:val="21"/>
              </w:rPr>
            </w:pPr>
            <w:r>
              <w:rPr>
                <w:rFonts w:hint="eastAsia" w:ascii="宋体" w:hAnsi="宋体" w:cs="宋体"/>
                <w:szCs w:val="21"/>
              </w:rPr>
              <w:t>5、</w:t>
            </w:r>
            <w:r>
              <w:rPr>
                <w:rFonts w:hint="eastAsia" w:ascii="宋体" w:hAnsi="宋体"/>
                <w:szCs w:val="21"/>
              </w:rPr>
              <w:t>售后服务承诺（格式自拟）；</w:t>
            </w:r>
            <w:bookmarkStart w:id="220" w:name="OLE_LINK124"/>
            <w:r>
              <w:rPr>
                <w:rFonts w:hint="eastAsia" w:ascii="宋体" w:hAnsi="宋体" w:cs="宋体"/>
                <w:szCs w:val="21"/>
              </w:rPr>
              <w:t>（</w:t>
            </w:r>
            <w:r>
              <w:rPr>
                <w:rFonts w:hint="eastAsia" w:ascii="宋体" w:hAnsi="宋体" w:cs="宋体"/>
                <w:b/>
                <w:szCs w:val="21"/>
              </w:rPr>
              <w:t>必须提供，否则作无效投标处理</w:t>
            </w:r>
            <w:r>
              <w:rPr>
                <w:rFonts w:hint="eastAsia" w:ascii="宋体" w:hAnsi="宋体" w:cs="宋体"/>
                <w:szCs w:val="21"/>
              </w:rPr>
              <w:t>）</w:t>
            </w:r>
            <w:bookmarkEnd w:id="220"/>
          </w:p>
          <w:p w14:paraId="1E2FD786">
            <w:pPr>
              <w:snapToGrid w:val="0"/>
              <w:spacing w:line="360" w:lineRule="exact"/>
              <w:jc w:val="left"/>
              <w:rPr>
                <w:rFonts w:ascii="宋体" w:hAnsi="宋体" w:cs="宋体"/>
                <w:szCs w:val="21"/>
              </w:rPr>
            </w:pPr>
            <w:r>
              <w:rPr>
                <w:rFonts w:hint="eastAsia" w:ascii="宋体" w:hAnsi="宋体" w:cs="宋体"/>
                <w:szCs w:val="21"/>
              </w:rPr>
              <w:t>6、投标人情况介绍（格式自拟）；</w:t>
            </w:r>
            <w:r>
              <w:rPr>
                <w:rFonts w:hint="eastAsia" w:ascii="宋体" w:hAnsi="宋体"/>
                <w:szCs w:val="21"/>
              </w:rPr>
              <w:t>（如有，请提供）</w:t>
            </w:r>
          </w:p>
          <w:p w14:paraId="63D779EE">
            <w:pPr>
              <w:snapToGrid w:val="0"/>
              <w:spacing w:line="360" w:lineRule="exact"/>
              <w:jc w:val="left"/>
              <w:rPr>
                <w:rFonts w:ascii="宋体" w:hAnsi="宋体" w:cs="宋体"/>
                <w:szCs w:val="21"/>
              </w:rPr>
            </w:pPr>
            <w:r>
              <w:rPr>
                <w:rFonts w:hint="eastAsia" w:ascii="宋体" w:hAnsi="宋体" w:cs="宋体"/>
                <w:szCs w:val="21"/>
              </w:rPr>
              <w:t>7、投标保证金转账证明；（</w:t>
            </w:r>
            <w:r>
              <w:rPr>
                <w:rFonts w:hint="eastAsia" w:ascii="宋体" w:hAnsi="宋体" w:cs="宋体"/>
                <w:b/>
                <w:szCs w:val="21"/>
              </w:rPr>
              <w:t>必须提供，否则作无效投标处理</w:t>
            </w:r>
            <w:r>
              <w:rPr>
                <w:rFonts w:hint="eastAsia" w:ascii="宋体" w:hAnsi="宋体" w:cs="宋体"/>
                <w:szCs w:val="21"/>
              </w:rPr>
              <w:t>）</w:t>
            </w:r>
          </w:p>
          <w:p w14:paraId="58987E06">
            <w:pPr>
              <w:snapToGrid w:val="0"/>
              <w:spacing w:line="360" w:lineRule="exact"/>
              <w:jc w:val="left"/>
              <w:rPr>
                <w:rFonts w:ascii="宋体" w:hAnsi="宋体" w:cs="宋体"/>
                <w:szCs w:val="21"/>
              </w:rPr>
            </w:pPr>
            <w:r>
              <w:rPr>
                <w:rFonts w:hint="eastAsia" w:ascii="宋体" w:hAnsi="宋体" w:cs="宋体"/>
                <w:szCs w:val="21"/>
              </w:rPr>
              <w:t>8、除招标文件规定必须提供以外，投标人认为需要提供的其他证明材料（格式自拟）。（投标人根据“第二章 采购需求”及“第四章 评标方法及评标标准”提供有关证明材料）。</w:t>
            </w:r>
          </w:p>
          <w:p w14:paraId="16D12D68">
            <w:pPr>
              <w:snapToGrid w:val="0"/>
              <w:spacing w:line="360" w:lineRule="exact"/>
              <w:jc w:val="left"/>
              <w:rPr>
                <w:rFonts w:ascii="宋体" w:hAnsi="宋体" w:cs="宋体"/>
                <w:b/>
                <w:bCs/>
                <w:szCs w:val="21"/>
              </w:rPr>
            </w:pPr>
            <w:r>
              <w:rPr>
                <w:rFonts w:hint="eastAsia" w:ascii="宋体" w:hAnsi="宋体" w:cs="宋体"/>
                <w:b/>
                <w:bCs/>
                <w:szCs w:val="21"/>
              </w:rPr>
              <w:t>注： 1.法定代表人授权委托书必须由法定代表人及委托代理人签字，并加盖投标人电子公章，否则作无效投标处理。</w:t>
            </w:r>
          </w:p>
          <w:p w14:paraId="41773203">
            <w:pPr>
              <w:snapToGrid w:val="0"/>
              <w:spacing w:line="360" w:lineRule="exact"/>
              <w:jc w:val="left"/>
              <w:rPr>
                <w:rFonts w:ascii="宋体" w:hAnsi="宋体" w:cs="宋体"/>
                <w:b/>
                <w:szCs w:val="21"/>
              </w:rPr>
            </w:pPr>
            <w:r>
              <w:rPr>
                <w:rFonts w:hint="eastAsia" w:ascii="宋体" w:hAnsi="宋体" w:cs="宋体"/>
                <w:b/>
                <w:bCs/>
                <w:szCs w:val="21"/>
              </w:rPr>
              <w:t>2.</w:t>
            </w:r>
            <w:r>
              <w:rPr>
                <w:rFonts w:hint="eastAsia" w:ascii="宋体" w:hAnsi="宋体" w:cs="宋体"/>
                <w:szCs w:val="21"/>
              </w:rPr>
              <w:t xml:space="preserve"> </w:t>
            </w:r>
            <w:r>
              <w:rPr>
                <w:rFonts w:hint="eastAsia" w:ascii="宋体" w:hAnsi="宋体" w:cs="宋体"/>
                <w:b/>
                <w:bCs/>
                <w:szCs w:val="21"/>
              </w:rPr>
              <w:t>以上标明“必须提供”的材料</w:t>
            </w:r>
            <w:r>
              <w:rPr>
                <w:rFonts w:hint="eastAsia" w:ascii="宋体" w:hAnsi="宋体" w:cs="宋体"/>
                <w:b/>
                <w:szCs w:val="21"/>
              </w:rPr>
              <w:t>属于复印件的扫描件的</w:t>
            </w:r>
            <w:r>
              <w:rPr>
                <w:rFonts w:hint="eastAsia" w:ascii="宋体" w:hAnsi="宋体" w:cs="宋体"/>
                <w:b/>
                <w:bCs/>
                <w:szCs w:val="21"/>
              </w:rPr>
              <w:t>，必须加盖投标人电子公章，否则</w:t>
            </w:r>
            <w:r>
              <w:rPr>
                <w:rFonts w:hint="eastAsia" w:ascii="宋体" w:hAnsi="宋体" w:cs="宋体"/>
                <w:b/>
                <w:szCs w:val="21"/>
              </w:rPr>
              <w:t>作无效投标处理</w:t>
            </w:r>
            <w:r>
              <w:rPr>
                <w:rFonts w:hint="eastAsia" w:ascii="宋体" w:hAnsi="宋体" w:cs="宋体"/>
                <w:b/>
                <w:bCs/>
                <w:szCs w:val="21"/>
              </w:rPr>
              <w:t>。</w:t>
            </w:r>
          </w:p>
        </w:tc>
      </w:tr>
      <w:tr w14:paraId="308841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7" w:hRule="atLeast"/>
          <w:jc w:val="center"/>
        </w:trPr>
        <w:tc>
          <w:tcPr>
            <w:tcW w:w="946" w:type="dxa"/>
            <w:vMerge w:val="restart"/>
            <w:tcBorders>
              <w:left w:val="single" w:color="auto" w:sz="4" w:space="0"/>
              <w:right w:val="single" w:color="auto" w:sz="4" w:space="0"/>
            </w:tcBorders>
            <w:vAlign w:val="center"/>
          </w:tcPr>
          <w:p w14:paraId="70640956">
            <w:pPr>
              <w:spacing w:line="380" w:lineRule="exact"/>
              <w:rPr>
                <w:rFonts w:ascii="宋体" w:hAnsi="宋体" w:cs="宋体"/>
                <w:szCs w:val="21"/>
              </w:rPr>
            </w:pPr>
          </w:p>
        </w:tc>
        <w:tc>
          <w:tcPr>
            <w:tcW w:w="1997" w:type="dxa"/>
            <w:tcBorders>
              <w:top w:val="single" w:color="auto" w:sz="4" w:space="0"/>
              <w:left w:val="single" w:color="auto" w:sz="4" w:space="0"/>
              <w:bottom w:val="single" w:color="auto" w:sz="4" w:space="0"/>
              <w:right w:val="single" w:color="auto" w:sz="4" w:space="0"/>
            </w:tcBorders>
            <w:vAlign w:val="center"/>
          </w:tcPr>
          <w:p w14:paraId="0CEAE676">
            <w:pPr>
              <w:snapToGrid w:val="0"/>
              <w:spacing w:line="380" w:lineRule="exact"/>
              <w:jc w:val="left"/>
              <w:rPr>
                <w:rFonts w:ascii="宋体" w:hAnsi="宋体" w:cs="宋体"/>
                <w:szCs w:val="21"/>
              </w:rPr>
            </w:pPr>
            <w:bookmarkStart w:id="221" w:name="_13.4"/>
            <w:bookmarkEnd w:id="221"/>
            <w:r>
              <w:rPr>
                <w:rFonts w:hint="eastAsia" w:ascii="宋体" w:hAnsi="宋体" w:cs="宋体"/>
                <w:szCs w:val="21"/>
              </w:rPr>
              <w:t>技术文件组成</w:t>
            </w:r>
          </w:p>
          <w:p w14:paraId="5E7433EB">
            <w:pPr>
              <w:spacing w:line="380" w:lineRule="exact"/>
              <w:rPr>
                <w:rFonts w:ascii="宋体" w:hAnsi="宋体" w:cs="宋体"/>
                <w:szCs w:val="21"/>
              </w:rPr>
            </w:pPr>
          </w:p>
        </w:tc>
        <w:tc>
          <w:tcPr>
            <w:tcW w:w="6334" w:type="dxa"/>
            <w:tcBorders>
              <w:top w:val="single" w:color="auto" w:sz="4" w:space="0"/>
              <w:left w:val="single" w:color="auto" w:sz="4" w:space="0"/>
              <w:bottom w:val="single" w:color="auto" w:sz="4" w:space="0"/>
              <w:right w:val="single" w:color="auto" w:sz="4" w:space="0"/>
            </w:tcBorders>
            <w:vAlign w:val="center"/>
          </w:tcPr>
          <w:p w14:paraId="3FFA067B">
            <w:pPr>
              <w:numPr>
                <w:ilvl w:val="0"/>
                <w:numId w:val="25"/>
              </w:numPr>
              <w:snapToGrid w:val="0"/>
              <w:spacing w:line="360" w:lineRule="exact"/>
              <w:jc w:val="left"/>
              <w:rPr>
                <w:rFonts w:ascii="宋体" w:hAnsi="宋体" w:cs="宋体"/>
                <w:szCs w:val="21"/>
              </w:rPr>
            </w:pPr>
            <w:r>
              <w:rPr>
                <w:rFonts w:hint="eastAsia" w:ascii="宋体" w:hAnsi="宋体"/>
                <w:szCs w:val="21"/>
              </w:rPr>
              <w:t>技术需求</w:t>
            </w:r>
            <w:r>
              <w:rPr>
                <w:rFonts w:hint="eastAsia" w:ascii="宋体" w:hAnsi="宋体" w:cs="宋体"/>
                <w:szCs w:val="21"/>
              </w:rPr>
              <w:t>偏离表（格式见第六章）；（</w:t>
            </w:r>
            <w:r>
              <w:rPr>
                <w:rFonts w:hint="eastAsia" w:ascii="宋体" w:hAnsi="宋体" w:cs="宋体"/>
                <w:b/>
                <w:szCs w:val="21"/>
              </w:rPr>
              <w:t>必须提供，否则作无效投标处理</w:t>
            </w:r>
            <w:r>
              <w:rPr>
                <w:rFonts w:hint="eastAsia" w:ascii="宋体" w:hAnsi="宋体" w:cs="宋体"/>
                <w:szCs w:val="21"/>
              </w:rPr>
              <w:t>）</w:t>
            </w:r>
          </w:p>
          <w:p w14:paraId="5E515C40">
            <w:pPr>
              <w:numPr>
                <w:ilvl w:val="0"/>
                <w:numId w:val="25"/>
              </w:numPr>
              <w:snapToGrid w:val="0"/>
              <w:spacing w:line="360" w:lineRule="exact"/>
              <w:jc w:val="left"/>
              <w:rPr>
                <w:rFonts w:ascii="宋体" w:hAnsi="宋体" w:cs="宋体"/>
                <w:szCs w:val="21"/>
              </w:rPr>
            </w:pPr>
            <w:r>
              <w:rPr>
                <w:rFonts w:hint="eastAsia" w:ascii="宋体" w:hAnsi="宋体" w:cs="宋体"/>
                <w:szCs w:val="21"/>
              </w:rPr>
              <w:t>项目实施方案；（</w:t>
            </w:r>
            <w:r>
              <w:rPr>
                <w:rFonts w:hint="eastAsia" w:ascii="宋体" w:hAnsi="宋体"/>
                <w:b/>
                <w:szCs w:val="21"/>
              </w:rPr>
              <w:t>如有，请提供</w:t>
            </w:r>
            <w:r>
              <w:rPr>
                <w:rFonts w:hint="eastAsia" w:ascii="宋体" w:hAnsi="宋体" w:cs="宋体"/>
                <w:szCs w:val="21"/>
              </w:rPr>
              <w:t>）</w:t>
            </w:r>
          </w:p>
          <w:p w14:paraId="172C1CED">
            <w:pPr>
              <w:snapToGrid w:val="0"/>
              <w:spacing w:line="360" w:lineRule="exact"/>
              <w:jc w:val="left"/>
              <w:rPr>
                <w:rFonts w:ascii="宋体" w:hAnsi="宋体" w:cs="宋体"/>
                <w:szCs w:val="21"/>
              </w:rPr>
            </w:pPr>
            <w:r>
              <w:rPr>
                <w:rFonts w:hint="eastAsia" w:ascii="宋体" w:hAnsi="宋体" w:cs="宋体"/>
                <w:szCs w:val="21"/>
              </w:rPr>
              <w:t>3、项目拟投入人员一览表及证明材料；</w:t>
            </w:r>
            <w:bookmarkStart w:id="222" w:name="OLE_LINK125"/>
            <w:r>
              <w:rPr>
                <w:rFonts w:hint="eastAsia" w:ascii="宋体" w:hAnsi="宋体" w:cs="宋体"/>
                <w:szCs w:val="21"/>
              </w:rPr>
              <w:t>（</w:t>
            </w:r>
            <w:r>
              <w:rPr>
                <w:rFonts w:hint="eastAsia" w:ascii="宋体" w:hAnsi="宋体" w:cs="宋体"/>
                <w:b/>
                <w:szCs w:val="21"/>
              </w:rPr>
              <w:t>必须提供，否则作无效投标处理</w:t>
            </w:r>
            <w:r>
              <w:rPr>
                <w:rFonts w:hint="eastAsia" w:ascii="宋体" w:hAnsi="宋体" w:cs="宋体"/>
                <w:szCs w:val="21"/>
              </w:rPr>
              <w:t>）</w:t>
            </w:r>
          </w:p>
          <w:bookmarkEnd w:id="222"/>
          <w:p w14:paraId="3B068FD8">
            <w:pPr>
              <w:snapToGrid w:val="0"/>
              <w:spacing w:line="360" w:lineRule="exact"/>
              <w:jc w:val="left"/>
              <w:rPr>
                <w:rFonts w:ascii="宋体" w:hAnsi="宋体" w:cs="宋体"/>
                <w:szCs w:val="21"/>
              </w:rPr>
            </w:pPr>
            <w:r>
              <w:rPr>
                <w:rFonts w:hint="eastAsia" w:ascii="宋体" w:hAnsi="宋体" w:cs="宋体"/>
                <w:szCs w:val="21"/>
              </w:rPr>
              <w:t>4、投标人对本项目的合理化建议和改进措施（格式自拟）；</w:t>
            </w:r>
          </w:p>
          <w:p w14:paraId="21814BFC">
            <w:pPr>
              <w:snapToGrid w:val="0"/>
              <w:spacing w:line="360" w:lineRule="exact"/>
              <w:jc w:val="left"/>
              <w:rPr>
                <w:rFonts w:ascii="宋体" w:hAnsi="宋体" w:cs="宋体"/>
                <w:szCs w:val="21"/>
              </w:rPr>
            </w:pPr>
            <w:r>
              <w:rPr>
                <w:rFonts w:hint="eastAsia" w:ascii="宋体" w:hAnsi="宋体" w:cs="宋体"/>
                <w:szCs w:val="21"/>
              </w:rPr>
              <w:t>5、投标人需要说明的其他文件和说明（格式自拟，如有请提供）。</w:t>
            </w:r>
          </w:p>
          <w:p w14:paraId="4CB73C77">
            <w:pPr>
              <w:snapToGrid w:val="0"/>
              <w:spacing w:line="360" w:lineRule="exact"/>
              <w:jc w:val="left"/>
              <w:rPr>
                <w:rFonts w:ascii="宋体" w:hAnsi="宋体" w:cs="宋体"/>
                <w:b/>
                <w:bCs/>
                <w:szCs w:val="21"/>
              </w:rPr>
            </w:pPr>
            <w:r>
              <w:rPr>
                <w:rFonts w:hint="eastAsia" w:ascii="宋体" w:hAnsi="宋体" w:cs="宋体"/>
                <w:b/>
                <w:bCs/>
                <w:szCs w:val="21"/>
              </w:rPr>
              <w:t>注：以上标明“必须提供”的材料属于复印件的，必须加盖投标人电子公章，否则</w:t>
            </w:r>
            <w:r>
              <w:rPr>
                <w:rFonts w:hint="eastAsia" w:ascii="宋体" w:hAnsi="宋体" w:cs="宋体"/>
                <w:b/>
                <w:szCs w:val="21"/>
              </w:rPr>
              <w:t>作无效投标处理</w:t>
            </w:r>
            <w:r>
              <w:rPr>
                <w:rFonts w:hint="eastAsia" w:ascii="宋体" w:hAnsi="宋体" w:cs="宋体"/>
                <w:b/>
                <w:bCs/>
                <w:szCs w:val="21"/>
              </w:rPr>
              <w:t>。</w:t>
            </w:r>
          </w:p>
        </w:tc>
      </w:tr>
      <w:tr w14:paraId="118F3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8" w:hRule="atLeast"/>
          <w:jc w:val="center"/>
        </w:trPr>
        <w:tc>
          <w:tcPr>
            <w:tcW w:w="946" w:type="dxa"/>
            <w:vMerge w:val="continue"/>
            <w:tcBorders>
              <w:left w:val="single" w:color="auto" w:sz="4" w:space="0"/>
              <w:bottom w:val="single" w:color="auto" w:sz="4" w:space="0"/>
              <w:right w:val="single" w:color="auto" w:sz="4" w:space="0"/>
            </w:tcBorders>
            <w:vAlign w:val="center"/>
          </w:tcPr>
          <w:p w14:paraId="5FFABF44">
            <w:pPr>
              <w:spacing w:line="380" w:lineRule="exact"/>
              <w:rPr>
                <w:rFonts w:ascii="宋体" w:hAnsi="宋体" w:cs="宋体"/>
                <w:szCs w:val="21"/>
              </w:rPr>
            </w:pPr>
          </w:p>
        </w:tc>
        <w:tc>
          <w:tcPr>
            <w:tcW w:w="1997" w:type="dxa"/>
            <w:tcBorders>
              <w:top w:val="single" w:color="auto" w:sz="4" w:space="0"/>
              <w:left w:val="single" w:color="auto" w:sz="4" w:space="0"/>
              <w:bottom w:val="single" w:color="auto" w:sz="4" w:space="0"/>
              <w:right w:val="single" w:color="auto" w:sz="4" w:space="0"/>
            </w:tcBorders>
            <w:vAlign w:val="center"/>
          </w:tcPr>
          <w:p w14:paraId="25F3E4AB">
            <w:pPr>
              <w:snapToGrid w:val="0"/>
              <w:spacing w:line="380" w:lineRule="exact"/>
              <w:jc w:val="left"/>
              <w:rPr>
                <w:rFonts w:ascii="宋体" w:hAnsi="宋体" w:cs="宋体"/>
                <w:szCs w:val="21"/>
              </w:rPr>
            </w:pPr>
            <w:r>
              <w:rPr>
                <w:rFonts w:hint="eastAsia" w:ascii="宋体" w:hAnsi="宋体" w:cs="宋体"/>
                <w:szCs w:val="21"/>
              </w:rPr>
              <w:t>报价文件组成</w:t>
            </w:r>
          </w:p>
        </w:tc>
        <w:tc>
          <w:tcPr>
            <w:tcW w:w="6334" w:type="dxa"/>
            <w:tcBorders>
              <w:top w:val="single" w:color="auto" w:sz="4" w:space="0"/>
              <w:left w:val="single" w:color="auto" w:sz="4" w:space="0"/>
              <w:bottom w:val="single" w:color="auto" w:sz="4" w:space="0"/>
              <w:right w:val="single" w:color="auto" w:sz="4" w:space="0"/>
            </w:tcBorders>
            <w:vAlign w:val="center"/>
          </w:tcPr>
          <w:p w14:paraId="79290B56">
            <w:pPr>
              <w:tabs>
                <w:tab w:val="left" w:pos="459"/>
              </w:tabs>
              <w:snapToGrid w:val="0"/>
              <w:spacing w:line="360" w:lineRule="exact"/>
              <w:jc w:val="left"/>
              <w:rPr>
                <w:b/>
                <w:bCs/>
                <w:szCs w:val="21"/>
              </w:rPr>
            </w:pPr>
            <w:r>
              <w:rPr>
                <w:rFonts w:hint="eastAsia"/>
                <w:szCs w:val="21"/>
              </w:rPr>
              <w:t>1、</w:t>
            </w:r>
            <w:bookmarkStart w:id="223" w:name="OLE_LINK126"/>
            <w:r>
              <w:rPr>
                <w:rFonts w:hint="eastAsia"/>
                <w:szCs w:val="21"/>
              </w:rPr>
              <w:t>投标函；</w:t>
            </w:r>
            <w:bookmarkEnd w:id="223"/>
            <w:r>
              <w:rPr>
                <w:rFonts w:hint="eastAsia"/>
                <w:b/>
                <w:bCs/>
                <w:szCs w:val="21"/>
              </w:rPr>
              <w:t>（必须提供，否则作无效投标处理）</w:t>
            </w:r>
          </w:p>
          <w:p w14:paraId="7844BC34">
            <w:pPr>
              <w:tabs>
                <w:tab w:val="left" w:pos="459"/>
              </w:tabs>
              <w:snapToGrid w:val="0"/>
              <w:spacing w:line="360" w:lineRule="exact"/>
              <w:jc w:val="left"/>
              <w:rPr>
                <w:b/>
                <w:bCs/>
                <w:szCs w:val="21"/>
              </w:rPr>
            </w:pPr>
            <w:r>
              <w:rPr>
                <w:rFonts w:hint="eastAsia"/>
                <w:szCs w:val="21"/>
              </w:rPr>
              <w:t>2、</w:t>
            </w:r>
            <w:bookmarkStart w:id="224" w:name="OLE_LINK127"/>
            <w:r>
              <w:rPr>
                <w:rFonts w:hint="eastAsia"/>
                <w:szCs w:val="21"/>
              </w:rPr>
              <w:t>开标一览表；</w:t>
            </w:r>
            <w:bookmarkEnd w:id="224"/>
            <w:r>
              <w:rPr>
                <w:rFonts w:hint="eastAsia"/>
                <w:b/>
                <w:bCs/>
                <w:szCs w:val="21"/>
              </w:rPr>
              <w:t>（必须提供，否则作无效投标处理）</w:t>
            </w:r>
          </w:p>
          <w:p w14:paraId="60615D6D">
            <w:pPr>
              <w:tabs>
                <w:tab w:val="left" w:pos="459"/>
              </w:tabs>
              <w:snapToGrid w:val="0"/>
              <w:spacing w:line="360" w:lineRule="exact"/>
              <w:jc w:val="left"/>
              <w:rPr>
                <w:szCs w:val="21"/>
              </w:rPr>
            </w:pPr>
            <w:r>
              <w:rPr>
                <w:rFonts w:hint="eastAsia"/>
                <w:szCs w:val="21"/>
              </w:rPr>
              <w:t>3、投标人针对报价需要说明的其他文件和说明（如有，格式自拟）。</w:t>
            </w:r>
          </w:p>
          <w:p w14:paraId="5D5EBA11">
            <w:pPr>
              <w:pStyle w:val="25"/>
              <w:spacing w:line="360" w:lineRule="exact"/>
              <w:rPr>
                <w:sz w:val="21"/>
                <w:szCs w:val="21"/>
              </w:rPr>
            </w:pPr>
            <w:r>
              <w:rPr>
                <w:rFonts w:hint="eastAsia"/>
                <w:b/>
                <w:bCs/>
                <w:sz w:val="21"/>
                <w:szCs w:val="21"/>
              </w:rPr>
              <w:t>注：投标函必须由法定代表人或者委托代理人在规定签章处逐一签字并加盖投标人电子公章，否则作无效投标处理。</w:t>
            </w:r>
          </w:p>
        </w:tc>
      </w:tr>
      <w:tr w14:paraId="70E4C1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5"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76B72C2B">
            <w:pPr>
              <w:spacing w:line="380" w:lineRule="exact"/>
              <w:rPr>
                <w:rFonts w:ascii="宋体" w:hAnsi="宋体" w:cs="宋体"/>
                <w:szCs w:val="21"/>
              </w:rPr>
            </w:pPr>
            <w:r>
              <w:rPr>
                <w:rFonts w:hint="eastAsia" w:ascii="宋体" w:hAnsi="宋体" w:cs="宋体"/>
                <w:szCs w:val="21"/>
              </w:rPr>
              <w:t>16.2</w:t>
            </w:r>
          </w:p>
        </w:tc>
        <w:tc>
          <w:tcPr>
            <w:tcW w:w="1997" w:type="dxa"/>
            <w:tcBorders>
              <w:top w:val="single" w:color="auto" w:sz="4" w:space="0"/>
              <w:left w:val="single" w:color="auto" w:sz="4" w:space="0"/>
              <w:bottom w:val="single" w:color="auto" w:sz="4" w:space="0"/>
              <w:right w:val="single" w:color="auto" w:sz="4" w:space="0"/>
            </w:tcBorders>
            <w:vAlign w:val="center"/>
          </w:tcPr>
          <w:p w14:paraId="1672CE79">
            <w:pPr>
              <w:spacing w:line="380" w:lineRule="exact"/>
              <w:rPr>
                <w:rFonts w:ascii="宋体" w:hAnsi="宋体" w:cs="宋体"/>
                <w:szCs w:val="21"/>
              </w:rPr>
            </w:pPr>
            <w:bookmarkStart w:id="225" w:name="_16.2"/>
            <w:bookmarkEnd w:id="225"/>
            <w:r>
              <w:rPr>
                <w:rFonts w:hint="eastAsia" w:ascii="宋体" w:hAnsi="宋体" w:cs="宋体"/>
                <w:szCs w:val="21"/>
              </w:rPr>
              <w:t>投标报价要求</w:t>
            </w:r>
          </w:p>
        </w:tc>
        <w:tc>
          <w:tcPr>
            <w:tcW w:w="6334" w:type="dxa"/>
            <w:tcBorders>
              <w:top w:val="single" w:color="auto" w:sz="4" w:space="0"/>
              <w:left w:val="single" w:color="auto" w:sz="4" w:space="0"/>
              <w:bottom w:val="single" w:color="auto" w:sz="4" w:space="0"/>
              <w:right w:val="single" w:color="auto" w:sz="4" w:space="0"/>
            </w:tcBorders>
            <w:vAlign w:val="center"/>
          </w:tcPr>
          <w:p w14:paraId="4446E45A">
            <w:pPr>
              <w:numPr>
                <w:ilvl w:val="255"/>
                <w:numId w:val="0"/>
              </w:numPr>
              <w:snapToGrid w:val="0"/>
              <w:spacing w:line="360" w:lineRule="exact"/>
              <w:rPr>
                <w:rFonts w:ascii="宋体" w:hAnsi="宋体" w:cs="宋体"/>
                <w:szCs w:val="21"/>
              </w:rPr>
            </w:pPr>
            <w:r>
              <w:rPr>
                <w:rFonts w:hint="eastAsia" w:ascii="宋体" w:hAnsi="宋体"/>
                <w:szCs w:val="21"/>
              </w:rPr>
              <w:t>投标报价是履行合同的最终价格，具体见第二章各分标要求。合同履行过程中采购人不再支付任何费用。</w:t>
            </w:r>
          </w:p>
        </w:tc>
      </w:tr>
      <w:tr w14:paraId="39DDA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7DC24B1B">
            <w:pPr>
              <w:spacing w:line="380" w:lineRule="exact"/>
              <w:rPr>
                <w:rFonts w:ascii="宋体" w:hAnsi="宋体" w:cs="宋体"/>
                <w:szCs w:val="21"/>
              </w:rPr>
            </w:pPr>
            <w:r>
              <w:rPr>
                <w:rFonts w:hint="eastAsia" w:ascii="宋体" w:hAnsi="宋体" w:cs="宋体"/>
                <w:szCs w:val="21"/>
              </w:rPr>
              <w:t>17.2</w:t>
            </w:r>
          </w:p>
        </w:tc>
        <w:tc>
          <w:tcPr>
            <w:tcW w:w="1997" w:type="dxa"/>
            <w:tcBorders>
              <w:top w:val="single" w:color="auto" w:sz="4" w:space="0"/>
              <w:left w:val="single" w:color="auto" w:sz="4" w:space="0"/>
              <w:bottom w:val="single" w:color="auto" w:sz="4" w:space="0"/>
              <w:right w:val="single" w:color="auto" w:sz="4" w:space="0"/>
            </w:tcBorders>
            <w:vAlign w:val="center"/>
          </w:tcPr>
          <w:p w14:paraId="6F212A7A">
            <w:pPr>
              <w:spacing w:line="380" w:lineRule="exact"/>
              <w:rPr>
                <w:rFonts w:ascii="宋体" w:hAnsi="宋体" w:cs="宋体"/>
                <w:szCs w:val="21"/>
              </w:rPr>
            </w:pPr>
            <w:bookmarkStart w:id="226" w:name="_17.1"/>
            <w:bookmarkEnd w:id="226"/>
            <w:r>
              <w:rPr>
                <w:rFonts w:hint="eastAsia" w:ascii="宋体" w:hAnsi="宋体" w:cs="宋体"/>
                <w:szCs w:val="21"/>
              </w:rPr>
              <w:t>投标有效期</w:t>
            </w:r>
          </w:p>
        </w:tc>
        <w:tc>
          <w:tcPr>
            <w:tcW w:w="6334" w:type="dxa"/>
            <w:tcBorders>
              <w:top w:val="single" w:color="auto" w:sz="4" w:space="0"/>
              <w:left w:val="single" w:color="auto" w:sz="4" w:space="0"/>
              <w:bottom w:val="single" w:color="auto" w:sz="4" w:space="0"/>
              <w:right w:val="single" w:color="auto" w:sz="4" w:space="0"/>
            </w:tcBorders>
            <w:vAlign w:val="center"/>
          </w:tcPr>
          <w:p w14:paraId="33556C27">
            <w:pPr>
              <w:snapToGrid w:val="0"/>
              <w:spacing w:line="360" w:lineRule="exact"/>
              <w:rPr>
                <w:rFonts w:ascii="宋体" w:hAnsi="宋体" w:cs="宋体"/>
                <w:szCs w:val="21"/>
              </w:rPr>
            </w:pPr>
            <w:r>
              <w:rPr>
                <w:rFonts w:hint="eastAsia" w:ascii="宋体" w:hAnsi="宋体" w:cs="宋体"/>
                <w:szCs w:val="21"/>
              </w:rPr>
              <w:t>自投标截止之日起</w:t>
            </w:r>
            <w:r>
              <w:rPr>
                <w:rFonts w:hint="eastAsia" w:ascii="宋体" w:hAnsi="宋体" w:cs="宋体"/>
                <w:szCs w:val="21"/>
                <w:u w:val="single"/>
              </w:rPr>
              <w:t xml:space="preserve"> </w:t>
            </w:r>
            <w:bookmarkStart w:id="227" w:name="PO_3000001866_PM046"/>
            <w:r>
              <w:rPr>
                <w:rFonts w:hint="eastAsia" w:ascii="宋体" w:hAnsi="宋体" w:cs="宋体"/>
                <w:szCs w:val="21"/>
                <w:u w:val="single"/>
              </w:rPr>
              <w:t xml:space="preserve"> 90</w:t>
            </w:r>
            <w:bookmarkEnd w:id="227"/>
            <w:r>
              <w:rPr>
                <w:rFonts w:hint="eastAsia" w:ascii="宋体" w:hAnsi="宋体" w:cs="宋体"/>
                <w:szCs w:val="21"/>
                <w:u w:val="single"/>
              </w:rPr>
              <w:t xml:space="preserve"> </w:t>
            </w:r>
            <w:r>
              <w:rPr>
                <w:rFonts w:hint="eastAsia" w:ascii="宋体" w:hAnsi="宋体" w:cs="宋体"/>
                <w:szCs w:val="21"/>
              </w:rPr>
              <w:t>日。</w:t>
            </w:r>
          </w:p>
        </w:tc>
      </w:tr>
      <w:tr w14:paraId="6F3F0E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51CABF62">
            <w:pPr>
              <w:spacing w:line="380" w:lineRule="exact"/>
              <w:rPr>
                <w:rFonts w:ascii="宋体" w:hAnsi="宋体" w:cs="宋体"/>
                <w:szCs w:val="21"/>
              </w:rPr>
            </w:pPr>
            <w:r>
              <w:rPr>
                <w:rFonts w:hint="eastAsia" w:ascii="宋体" w:hAnsi="宋体" w:cs="宋体"/>
                <w:szCs w:val="21"/>
              </w:rPr>
              <w:t>18</w:t>
            </w:r>
          </w:p>
        </w:tc>
        <w:tc>
          <w:tcPr>
            <w:tcW w:w="1997" w:type="dxa"/>
            <w:tcBorders>
              <w:top w:val="single" w:color="auto" w:sz="4" w:space="0"/>
              <w:left w:val="single" w:color="auto" w:sz="4" w:space="0"/>
              <w:bottom w:val="single" w:color="auto" w:sz="4" w:space="0"/>
              <w:right w:val="single" w:color="auto" w:sz="4" w:space="0"/>
            </w:tcBorders>
            <w:vAlign w:val="center"/>
          </w:tcPr>
          <w:p w14:paraId="193F3CFA">
            <w:pPr>
              <w:spacing w:line="380" w:lineRule="exact"/>
              <w:rPr>
                <w:rFonts w:ascii="宋体" w:hAnsi="宋体" w:cs="宋体"/>
                <w:szCs w:val="21"/>
              </w:rPr>
            </w:pPr>
            <w:bookmarkStart w:id="228" w:name="_18"/>
            <w:bookmarkEnd w:id="228"/>
            <w:r>
              <w:rPr>
                <w:rFonts w:hint="eastAsia" w:ascii="宋体" w:hAnsi="宋体" w:cs="宋体"/>
                <w:szCs w:val="21"/>
              </w:rPr>
              <w:t>投标保证金金额</w:t>
            </w:r>
          </w:p>
        </w:tc>
        <w:tc>
          <w:tcPr>
            <w:tcW w:w="6334" w:type="dxa"/>
            <w:tcBorders>
              <w:top w:val="single" w:color="auto" w:sz="4" w:space="0"/>
              <w:left w:val="single" w:color="auto" w:sz="4" w:space="0"/>
              <w:bottom w:val="single" w:color="auto" w:sz="4" w:space="0"/>
              <w:right w:val="single" w:color="auto" w:sz="4" w:space="0"/>
            </w:tcBorders>
            <w:vAlign w:val="center"/>
          </w:tcPr>
          <w:p w14:paraId="35C674DE">
            <w:pPr>
              <w:snapToGrid w:val="0"/>
              <w:spacing w:line="360" w:lineRule="exact"/>
              <w:rPr>
                <w:rFonts w:ascii="宋体" w:hAnsi="宋体"/>
                <w:szCs w:val="21"/>
              </w:rPr>
            </w:pPr>
            <w:r>
              <w:rPr>
                <w:rFonts w:hint="eastAsia" w:ascii="宋体" w:hAnsi="宋体"/>
                <w:szCs w:val="21"/>
              </w:rPr>
              <w:t>□本项目不收取投标保证金。</w:t>
            </w:r>
          </w:p>
          <w:p w14:paraId="3F66F059">
            <w:pPr>
              <w:snapToGrid w:val="0"/>
              <w:spacing w:line="360" w:lineRule="exact"/>
              <w:rPr>
                <w:rFonts w:ascii="宋体" w:hAnsi="宋体"/>
                <w:szCs w:val="21"/>
              </w:rPr>
            </w:pPr>
            <w:r>
              <w:rPr>
                <w:rFonts w:hint="eastAsia" w:ascii="宋体" w:hAnsi="宋体"/>
                <w:szCs w:val="21"/>
              </w:rPr>
              <w:t>☑本项目收取投标保证金，具体规定如下：</w:t>
            </w:r>
          </w:p>
          <w:p w14:paraId="68ACFDDF">
            <w:pPr>
              <w:spacing w:line="460" w:lineRule="exact"/>
              <w:ind w:firstLine="420" w:firstLineChars="200"/>
              <w:rPr>
                <w:rFonts w:ascii="宋体" w:hAnsi="宋体" w:cs="宋体"/>
                <w:szCs w:val="21"/>
              </w:rPr>
            </w:pPr>
            <w:r>
              <w:rPr>
                <w:rFonts w:hint="eastAsia" w:ascii="宋体" w:hAnsi="宋体" w:cs="宋体"/>
                <w:szCs w:val="21"/>
              </w:rPr>
              <w:t>A分标：投标保证金人民币贰万肆仟元整（¥24000.00）；</w:t>
            </w:r>
          </w:p>
          <w:p w14:paraId="7C52D76F">
            <w:pPr>
              <w:spacing w:line="460" w:lineRule="exact"/>
              <w:ind w:firstLine="420" w:firstLineChars="200"/>
              <w:rPr>
                <w:rFonts w:ascii="宋体" w:hAnsi="宋体" w:cs="宋体"/>
                <w:szCs w:val="21"/>
              </w:rPr>
            </w:pPr>
            <w:r>
              <w:rPr>
                <w:rFonts w:hint="eastAsia" w:ascii="宋体" w:hAnsi="宋体" w:cs="宋体"/>
                <w:szCs w:val="21"/>
              </w:rPr>
              <w:t>B分标：投标保证金人民币玖仟元整（¥9000.00）；</w:t>
            </w:r>
          </w:p>
          <w:p w14:paraId="004380C7">
            <w:pPr>
              <w:spacing w:line="460" w:lineRule="exact"/>
              <w:ind w:firstLine="420" w:firstLineChars="200"/>
              <w:rPr>
                <w:rFonts w:ascii="宋体" w:hAnsi="宋体" w:cs="宋体"/>
                <w:szCs w:val="21"/>
              </w:rPr>
            </w:pPr>
            <w:r>
              <w:rPr>
                <w:rFonts w:hint="eastAsia" w:ascii="宋体" w:hAnsi="宋体" w:cs="宋体"/>
                <w:szCs w:val="21"/>
              </w:rPr>
              <w:t>C分标：投标保证金人民币贰仟玖佰元整（¥2900.00）；</w:t>
            </w:r>
          </w:p>
          <w:p w14:paraId="5C0A5DD4">
            <w:pPr>
              <w:spacing w:line="460" w:lineRule="exact"/>
              <w:ind w:firstLine="420" w:firstLineChars="200"/>
              <w:rPr>
                <w:rFonts w:ascii="宋体" w:hAnsi="宋体" w:cs="宋体"/>
                <w:szCs w:val="21"/>
              </w:rPr>
            </w:pPr>
            <w:r>
              <w:rPr>
                <w:rFonts w:hint="eastAsia" w:ascii="宋体" w:hAnsi="宋体" w:cs="宋体"/>
                <w:szCs w:val="21"/>
              </w:rPr>
              <w:t>D分标：投标保证金人民币壹万肆仟元整（¥14000.00）；</w:t>
            </w:r>
          </w:p>
          <w:p w14:paraId="0DAC677F">
            <w:pPr>
              <w:spacing w:line="460" w:lineRule="exact"/>
              <w:ind w:firstLine="420" w:firstLineChars="200"/>
              <w:rPr>
                <w:rFonts w:ascii="宋体" w:hAnsi="宋体" w:cs="宋体"/>
                <w:szCs w:val="21"/>
              </w:rPr>
            </w:pPr>
            <w:r>
              <w:rPr>
                <w:rFonts w:hint="eastAsia" w:ascii="宋体" w:hAnsi="宋体" w:cs="宋体"/>
                <w:szCs w:val="21"/>
              </w:rPr>
              <w:t>E分标：投标保证金人民币壹万叁仟元整 （¥13000.00）；</w:t>
            </w:r>
          </w:p>
          <w:p w14:paraId="74F4EA80">
            <w:pPr>
              <w:spacing w:line="460" w:lineRule="exact"/>
              <w:ind w:firstLine="420" w:firstLineChars="200"/>
              <w:rPr>
                <w:rFonts w:ascii="宋体" w:hAnsi="宋体" w:cs="宋体"/>
                <w:szCs w:val="21"/>
              </w:rPr>
            </w:pPr>
            <w:r>
              <w:rPr>
                <w:rFonts w:hint="eastAsia" w:ascii="宋体" w:hAnsi="宋体" w:cs="宋体"/>
                <w:szCs w:val="21"/>
              </w:rPr>
              <w:t>F分标：投标保证金人民币壹万肆仟元整（¥14000.00）；</w:t>
            </w:r>
          </w:p>
          <w:p w14:paraId="397911E2">
            <w:pPr>
              <w:numPr>
                <w:ilvl w:val="255"/>
                <w:numId w:val="0"/>
              </w:numPr>
              <w:spacing w:line="460" w:lineRule="exact"/>
              <w:ind w:firstLine="420" w:firstLineChars="200"/>
              <w:rPr>
                <w:rFonts w:ascii="宋体" w:hAnsi="宋体"/>
                <w:szCs w:val="21"/>
              </w:rPr>
            </w:pPr>
            <w:r>
              <w:rPr>
                <w:rFonts w:hint="eastAsia" w:ascii="宋体" w:hAnsi="宋体" w:cs="宋体"/>
                <w:szCs w:val="21"/>
              </w:rPr>
              <w:t xml:space="preserve">G分标：投标保证金人民币叁仟叁佰元整 （¥3300.00）。  </w:t>
            </w:r>
          </w:p>
          <w:p w14:paraId="35326660">
            <w:pPr>
              <w:snapToGrid w:val="0"/>
              <w:spacing w:line="360" w:lineRule="exact"/>
              <w:rPr>
                <w:rFonts w:ascii="宋体" w:hAnsi="宋体"/>
                <w:szCs w:val="21"/>
              </w:rPr>
            </w:pPr>
            <w:r>
              <w:rPr>
                <w:rFonts w:hint="eastAsia" w:ascii="宋体" w:hAnsi="宋体"/>
                <w:szCs w:val="21"/>
              </w:rPr>
              <w:t>投标保证金的交纳方式：银行转账、支票、汇票、本票或者银行、保险机构出具的保函，禁止采用现钞方式。采用银行转账方式的，在投标截止时间前交至指定账户并且到账</w:t>
            </w:r>
            <w:r>
              <w:rPr>
                <w:rFonts w:hint="eastAsia" w:ascii="宋体" w:hAnsi="宋体"/>
                <w:b/>
                <w:bCs/>
                <w:szCs w:val="21"/>
              </w:rPr>
              <w:t>（开户银行：</w:t>
            </w:r>
            <w:r>
              <w:rPr>
                <w:rFonts w:hint="eastAsia" w:ascii="宋体" w:hAnsi="宋体" w:cs="宋体"/>
                <w:szCs w:val="21"/>
              </w:rPr>
              <w:t>中国银行柳州市八一支行</w:t>
            </w:r>
            <w:r>
              <w:rPr>
                <w:rFonts w:hint="eastAsia" w:ascii="宋体" w:hAnsi="宋体"/>
                <w:b/>
                <w:bCs/>
                <w:szCs w:val="21"/>
              </w:rPr>
              <w:t>，开户名称：</w:t>
            </w:r>
            <w:r>
              <w:rPr>
                <w:rFonts w:hint="eastAsia" w:ascii="宋体" w:hAnsi="宋体" w:cs="宋体"/>
                <w:szCs w:val="21"/>
              </w:rPr>
              <w:t>广西德元工程项目管理有限责任公司</w:t>
            </w:r>
            <w:r>
              <w:rPr>
                <w:rFonts w:hint="eastAsia" w:ascii="宋体" w:hAnsi="宋体"/>
                <w:b/>
                <w:bCs/>
                <w:szCs w:val="21"/>
              </w:rPr>
              <w:t>，银行账号：</w:t>
            </w:r>
            <w:bookmarkStart w:id="229" w:name="OLE_LINK74"/>
            <w:r>
              <w:rPr>
                <w:rFonts w:hint="eastAsia" w:ascii="宋体" w:hAnsi="宋体" w:cs="宋体"/>
                <w:szCs w:val="21"/>
              </w:rPr>
              <w:t>6158  6557  4841</w:t>
            </w:r>
            <w:bookmarkEnd w:id="229"/>
            <w:r>
              <w:rPr>
                <w:rFonts w:hint="eastAsia" w:ascii="宋体" w:hAnsi="宋体"/>
                <w:b/>
                <w:bCs/>
                <w:szCs w:val="21"/>
              </w:rPr>
              <w:t>）；</w:t>
            </w:r>
            <w:r>
              <w:rPr>
                <w:rFonts w:hint="eastAsia" w:ascii="宋体" w:hAnsi="宋体"/>
                <w:szCs w:val="21"/>
              </w:rPr>
              <w:t>采用支票、汇票、本票或者保函等方式的，在投标截止时间前，投标人必须递交单独密封的支票、汇票、本票或者保函原件。否则视为无效投标保证金。</w:t>
            </w:r>
          </w:p>
          <w:p w14:paraId="33C9A48B">
            <w:pPr>
              <w:snapToGrid w:val="0"/>
              <w:spacing w:line="360" w:lineRule="exact"/>
              <w:rPr>
                <w:rFonts w:ascii="宋体" w:hAnsi="宋体"/>
                <w:szCs w:val="21"/>
              </w:rPr>
            </w:pPr>
            <w:r>
              <w:rPr>
                <w:rFonts w:hint="eastAsia" w:ascii="宋体" w:hAnsi="宋体"/>
                <w:szCs w:val="21"/>
              </w:rPr>
              <w:t>相关要求：</w:t>
            </w:r>
          </w:p>
          <w:p w14:paraId="71136B8D">
            <w:pPr>
              <w:snapToGrid w:val="0"/>
              <w:spacing w:line="360" w:lineRule="exact"/>
              <w:rPr>
                <w:rFonts w:ascii="宋体" w:hAnsi="宋体"/>
                <w:b/>
                <w:bCs/>
                <w:szCs w:val="21"/>
              </w:rPr>
            </w:pPr>
            <w:r>
              <w:rPr>
                <w:rFonts w:hint="eastAsia" w:ascii="宋体" w:hAnsi="宋体"/>
                <w:szCs w:val="21"/>
              </w:rPr>
              <w:t>1.投标保证金采用银行转账交纳方式的，投标人转帐时请在银行转账底单备注“</w:t>
            </w:r>
            <w:r>
              <w:rPr>
                <w:rFonts w:hint="eastAsia" w:ascii="宋体" w:hAnsi="宋体" w:cs="宋体"/>
                <w:szCs w:val="21"/>
              </w:rPr>
              <w:t>项目名称或项目编号（A分标或B分标） 投标保证金</w:t>
            </w:r>
            <w:r>
              <w:rPr>
                <w:rFonts w:hint="eastAsia" w:ascii="宋体" w:hAnsi="宋体"/>
                <w:szCs w:val="21"/>
              </w:rPr>
              <w:t>”，在投标截止时间前交至指定账户并且到账，投标人应将银行转账底单的复印件作为投标保证金提交凭证，放置于商务文件中，</w:t>
            </w:r>
            <w:r>
              <w:rPr>
                <w:rFonts w:hint="eastAsia" w:ascii="宋体" w:hAnsi="宋体"/>
                <w:b/>
                <w:bCs/>
                <w:szCs w:val="21"/>
              </w:rPr>
              <w:t>否则投标无效。</w:t>
            </w:r>
          </w:p>
          <w:p w14:paraId="6B34B455">
            <w:pPr>
              <w:snapToGrid w:val="0"/>
              <w:spacing w:line="360" w:lineRule="exact"/>
              <w:rPr>
                <w:rFonts w:ascii="宋体" w:hAnsi="宋体"/>
                <w:b/>
                <w:bCs/>
                <w:szCs w:val="21"/>
              </w:rPr>
            </w:pPr>
            <w:r>
              <w:rPr>
                <w:rFonts w:hint="eastAsia" w:ascii="宋体" w:hAnsi="宋体"/>
                <w:szCs w:val="21"/>
              </w:rPr>
              <w:t>2.投标保证金采用支票、汇票、本票或者银行、保险机构出具的保函交纳方式的，投标人应将支票、汇票、本票或者银行、保险机构出具的保函的复印件作为投标保证金提交凭证，放置于商务文件中，</w:t>
            </w:r>
            <w:r>
              <w:rPr>
                <w:rFonts w:hint="eastAsia" w:ascii="宋体" w:hAnsi="宋体"/>
                <w:b/>
                <w:bCs/>
                <w:szCs w:val="21"/>
              </w:rPr>
              <w:t>否则投标无效。</w:t>
            </w:r>
            <w:r>
              <w:rPr>
                <w:rFonts w:hint="eastAsia" w:ascii="宋体" w:hAnsi="宋体"/>
                <w:szCs w:val="21"/>
              </w:rPr>
              <w:t>投标人必须在投标截止时间前采用现场或邮寄方式（现场提交或邮寄地址：南宁市良庆区凯旋路15号绿地中心7号楼8楼；收件人：黄工；联系方式：</w:t>
            </w:r>
            <w:bookmarkStart w:id="230" w:name="OLE_LINK49"/>
            <w:r>
              <w:rPr>
                <w:rFonts w:hint="eastAsia" w:ascii="宋体" w:hAnsi="宋体"/>
                <w:szCs w:val="21"/>
              </w:rPr>
              <w:t>0771-5084767、</w:t>
            </w:r>
            <w:r>
              <w:rPr>
                <w:rFonts w:hint="eastAsia" w:ascii="宋体" w:hAnsi="宋体" w:cs="宋体"/>
                <w:szCs w:val="21"/>
              </w:rPr>
              <w:t>17373191483</w:t>
            </w:r>
            <w:bookmarkEnd w:id="230"/>
            <w:r>
              <w:rPr>
                <w:rFonts w:hint="eastAsia" w:ascii="宋体" w:hAnsi="宋体"/>
                <w:szCs w:val="21"/>
              </w:rPr>
              <w:t>）将单独密封的支票、汇票、本票或者银行、保险机构出具的保函原件提交给采购人或者采购代理机构，由采购人或者采购代理机构向投标人出具回执（邮寄方式的除外），并妥善保管。</w:t>
            </w:r>
            <w:r>
              <w:rPr>
                <w:rFonts w:hint="eastAsia" w:ascii="宋体" w:hAnsi="宋体"/>
                <w:b/>
                <w:bCs/>
                <w:szCs w:val="21"/>
              </w:rPr>
              <w:t>（采用邮寄方式提交支票、汇票、本票或者银行、保险机构出具的保函原件的，以邮件抵达邮寄地址的时间为准，邮件寄出不等于将原件在规定时间内提交送达）</w:t>
            </w:r>
          </w:p>
          <w:p w14:paraId="5C0C5229">
            <w:pPr>
              <w:snapToGrid w:val="0"/>
              <w:spacing w:line="360" w:lineRule="exact"/>
              <w:rPr>
                <w:rFonts w:ascii="宋体" w:hAnsi="宋体"/>
                <w:szCs w:val="21"/>
              </w:rPr>
            </w:pPr>
            <w:r>
              <w:rPr>
                <w:rFonts w:hint="eastAsia" w:ascii="宋体" w:hAnsi="宋体"/>
                <w:szCs w:val="21"/>
              </w:rPr>
              <w:t>3.投标人为联合体的，可以由联合体中的一方或者多方共同交纳投标保证金，其交纳的保证金对联合体各方均具有约束力。</w:t>
            </w:r>
          </w:p>
          <w:p w14:paraId="681E5332">
            <w:pPr>
              <w:snapToGrid w:val="0"/>
              <w:spacing w:line="360" w:lineRule="exact"/>
              <w:rPr>
                <w:rFonts w:ascii="宋体" w:hAnsi="宋体"/>
                <w:b/>
                <w:bCs/>
                <w:szCs w:val="21"/>
              </w:rPr>
            </w:pPr>
            <w:r>
              <w:rPr>
                <w:rFonts w:hint="eastAsia" w:ascii="宋体" w:hAnsi="宋体"/>
                <w:b/>
                <w:bCs/>
                <w:szCs w:val="21"/>
              </w:rPr>
              <w:t xml:space="preserve">备注： </w:t>
            </w:r>
          </w:p>
          <w:p w14:paraId="3DB3FA4B">
            <w:pPr>
              <w:snapToGrid w:val="0"/>
              <w:spacing w:line="360" w:lineRule="exact"/>
              <w:rPr>
                <w:rFonts w:ascii="宋体" w:hAnsi="宋体"/>
                <w:b/>
                <w:bCs/>
                <w:szCs w:val="21"/>
              </w:rPr>
            </w:pPr>
            <w:r>
              <w:rPr>
                <w:rFonts w:hint="eastAsia" w:ascii="宋体" w:hAnsi="宋体"/>
                <w:b/>
                <w:bCs/>
                <w:szCs w:val="21"/>
              </w:rPr>
              <w:t>1.投标保证金在投标截止时间后提交的，或者不按规定交纳方式交纳的，或者未足额交纳的（包含保函额度不足的），视为无效投标保证金。</w:t>
            </w:r>
          </w:p>
          <w:p w14:paraId="1AB8171F">
            <w:pPr>
              <w:snapToGrid w:val="0"/>
              <w:spacing w:line="360" w:lineRule="exact"/>
              <w:rPr>
                <w:rFonts w:ascii="宋体" w:hAnsi="宋体"/>
                <w:b/>
                <w:bCs/>
                <w:szCs w:val="21"/>
              </w:rPr>
            </w:pPr>
            <w:r>
              <w:rPr>
                <w:rFonts w:hint="eastAsia" w:ascii="宋体" w:hAnsi="宋体"/>
                <w:b/>
                <w:bCs/>
                <w:szCs w:val="21"/>
              </w:rPr>
              <w:t>2.投标人采用现钞方式或者从个人账户（自然人投标除外）转出的投标保证金，视为无效投标保证金。</w:t>
            </w:r>
          </w:p>
          <w:p w14:paraId="62C67B45">
            <w:pPr>
              <w:snapToGrid w:val="0"/>
              <w:spacing w:line="360" w:lineRule="exact"/>
              <w:rPr>
                <w:rFonts w:ascii="宋体" w:hAnsi="宋体"/>
                <w:b/>
                <w:bCs/>
                <w:szCs w:val="21"/>
              </w:rPr>
            </w:pPr>
            <w:r>
              <w:rPr>
                <w:rFonts w:hint="eastAsia" w:ascii="宋体" w:hAnsi="宋体"/>
                <w:b/>
                <w:bCs/>
                <w:szCs w:val="21"/>
              </w:rPr>
              <w:t>3.支票、汇票或者本票出现无效或者背书情形的，视为无效投标保证金。</w:t>
            </w:r>
          </w:p>
          <w:p w14:paraId="498C933D">
            <w:pPr>
              <w:snapToGrid w:val="0"/>
              <w:spacing w:line="360" w:lineRule="exact"/>
              <w:rPr>
                <w:rFonts w:ascii="宋体" w:hAnsi="宋体"/>
                <w:b/>
                <w:bCs/>
                <w:szCs w:val="21"/>
              </w:rPr>
            </w:pPr>
            <w:r>
              <w:rPr>
                <w:rFonts w:hint="eastAsia" w:ascii="宋体" w:hAnsi="宋体"/>
                <w:b/>
                <w:bCs/>
                <w:szCs w:val="21"/>
              </w:rPr>
              <w:t>4.保函有效期低于投标有效期的，视为无效投标保证金。</w:t>
            </w:r>
          </w:p>
          <w:p w14:paraId="79C8F1FC">
            <w:pPr>
              <w:snapToGrid w:val="0"/>
              <w:spacing w:line="360" w:lineRule="exact"/>
              <w:rPr>
                <w:rFonts w:ascii="宋体" w:hAnsi="宋体"/>
                <w:b/>
                <w:bCs/>
                <w:szCs w:val="21"/>
              </w:rPr>
            </w:pPr>
            <w:r>
              <w:rPr>
                <w:rFonts w:hint="eastAsia" w:ascii="宋体" w:hAnsi="宋体"/>
                <w:b/>
                <w:bCs/>
                <w:szCs w:val="21"/>
              </w:rPr>
              <w:t>5.采用银行、保险机构出具保函的，必须为无条件保函，否则视为无效投标保证金。</w:t>
            </w:r>
          </w:p>
          <w:p w14:paraId="2F20412F">
            <w:pPr>
              <w:snapToGrid w:val="0"/>
              <w:spacing w:line="360" w:lineRule="exact"/>
              <w:rPr>
                <w:rFonts w:ascii="宋体" w:hAnsi="宋体"/>
                <w:szCs w:val="21"/>
              </w:rPr>
            </w:pPr>
            <w:r>
              <w:rPr>
                <w:rFonts w:hint="eastAsia" w:ascii="宋体" w:hAnsi="宋体"/>
                <w:b/>
                <w:bCs/>
                <w:szCs w:val="21"/>
              </w:rPr>
              <w:t>6.广西政府采购云平台暂未支持电子保函功能，故本项目暂不接受电子保函形式的保证金。</w:t>
            </w:r>
          </w:p>
        </w:tc>
      </w:tr>
      <w:tr w14:paraId="7B3F9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6" w:type="dxa"/>
            <w:tcBorders>
              <w:top w:val="single" w:color="auto" w:sz="4" w:space="0"/>
              <w:left w:val="single" w:color="auto" w:sz="4" w:space="0"/>
              <w:bottom w:val="single" w:color="auto" w:sz="4" w:space="0"/>
              <w:right w:val="single" w:color="auto" w:sz="4" w:space="0"/>
            </w:tcBorders>
            <w:vAlign w:val="center"/>
          </w:tcPr>
          <w:p w14:paraId="7E934CC2">
            <w:pPr>
              <w:spacing w:line="380" w:lineRule="exact"/>
              <w:rPr>
                <w:rFonts w:ascii="宋体" w:hAnsi="宋体" w:cs="宋体"/>
                <w:szCs w:val="21"/>
              </w:rPr>
            </w:pPr>
            <w:r>
              <w:rPr>
                <w:rFonts w:hint="eastAsia" w:ascii="宋体" w:hAnsi="宋体" w:cs="宋体"/>
                <w:szCs w:val="21"/>
              </w:rPr>
              <w:t>19.1</w:t>
            </w:r>
          </w:p>
        </w:tc>
        <w:tc>
          <w:tcPr>
            <w:tcW w:w="1997" w:type="dxa"/>
            <w:tcBorders>
              <w:top w:val="single" w:color="auto" w:sz="4" w:space="0"/>
              <w:left w:val="single" w:color="auto" w:sz="4" w:space="0"/>
              <w:bottom w:val="single" w:color="auto" w:sz="4" w:space="0"/>
              <w:right w:val="single" w:color="auto" w:sz="4" w:space="0"/>
            </w:tcBorders>
            <w:vAlign w:val="center"/>
          </w:tcPr>
          <w:p w14:paraId="20AE730B">
            <w:pPr>
              <w:spacing w:line="380" w:lineRule="exact"/>
              <w:rPr>
                <w:rFonts w:ascii="宋体" w:hAnsi="宋体" w:cs="宋体"/>
                <w:szCs w:val="21"/>
              </w:rPr>
            </w:pPr>
            <w:r>
              <w:rPr>
                <w:rFonts w:hint="eastAsia" w:ascii="宋体" w:hAnsi="宋体" w:cs="宋体"/>
                <w:szCs w:val="21"/>
              </w:rPr>
              <w:t>投标文件编制要求</w:t>
            </w:r>
          </w:p>
        </w:tc>
        <w:tc>
          <w:tcPr>
            <w:tcW w:w="6334" w:type="dxa"/>
            <w:tcBorders>
              <w:top w:val="single" w:color="auto" w:sz="4" w:space="0"/>
              <w:left w:val="single" w:color="auto" w:sz="4" w:space="0"/>
              <w:bottom w:val="single" w:color="auto" w:sz="4" w:space="0"/>
              <w:right w:val="single" w:color="auto" w:sz="4" w:space="0"/>
            </w:tcBorders>
            <w:vAlign w:val="center"/>
          </w:tcPr>
          <w:p w14:paraId="5940569F">
            <w:pPr>
              <w:spacing w:line="360" w:lineRule="exact"/>
              <w:rPr>
                <w:rFonts w:ascii="宋体" w:hAnsi="宋体" w:cs="宋体"/>
                <w:b/>
                <w:szCs w:val="21"/>
                <w:u w:val="single"/>
              </w:rPr>
            </w:pPr>
            <w:r>
              <w:rPr>
                <w:rFonts w:hint="eastAsia" w:ascii="宋体" w:hAnsi="宋体" w:cs="宋体"/>
                <w:szCs w:val="21"/>
              </w:rPr>
              <w:t>投标文件应按报价文件、资格证明文件、商务技术文件分别编制，报价文件、资格证明文件分别生产电子文件，商务技术文件按顺序合并生成电子文件。</w:t>
            </w:r>
            <w:r>
              <w:rPr>
                <w:rFonts w:hint="eastAsia" w:ascii="宋体" w:hAnsi="宋体" w:cs="宋体"/>
                <w:b/>
                <w:szCs w:val="21"/>
                <w:u w:val="single"/>
              </w:rPr>
              <w:t>电子版投标文件制作方式见招标公告附件。</w:t>
            </w:r>
          </w:p>
        </w:tc>
      </w:tr>
      <w:tr w14:paraId="42C1AB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079B4D3D">
            <w:pPr>
              <w:spacing w:line="380" w:lineRule="exact"/>
              <w:rPr>
                <w:rFonts w:ascii="宋体" w:hAnsi="宋体" w:cs="宋体"/>
                <w:szCs w:val="21"/>
              </w:rPr>
            </w:pPr>
            <w:r>
              <w:rPr>
                <w:rFonts w:hint="eastAsia" w:ascii="宋体" w:hAnsi="宋体" w:cs="宋体"/>
                <w:szCs w:val="21"/>
              </w:rPr>
              <w:t>20</w:t>
            </w:r>
          </w:p>
        </w:tc>
        <w:tc>
          <w:tcPr>
            <w:tcW w:w="1997" w:type="dxa"/>
            <w:tcBorders>
              <w:top w:val="single" w:color="auto" w:sz="4" w:space="0"/>
              <w:left w:val="single" w:color="auto" w:sz="4" w:space="0"/>
              <w:bottom w:val="single" w:color="auto" w:sz="4" w:space="0"/>
              <w:right w:val="single" w:color="auto" w:sz="4" w:space="0"/>
            </w:tcBorders>
            <w:vAlign w:val="center"/>
          </w:tcPr>
          <w:p w14:paraId="49F4B549">
            <w:pPr>
              <w:spacing w:line="380" w:lineRule="exact"/>
              <w:rPr>
                <w:rFonts w:ascii="宋体" w:hAnsi="宋体" w:cs="宋体"/>
                <w:szCs w:val="21"/>
              </w:rPr>
            </w:pPr>
            <w:r>
              <w:rPr>
                <w:rFonts w:hint="eastAsia" w:ascii="宋体" w:hAnsi="宋体" w:cs="宋体"/>
                <w:szCs w:val="21"/>
              </w:rPr>
              <w:t>备份投标文件</w:t>
            </w:r>
          </w:p>
        </w:tc>
        <w:tc>
          <w:tcPr>
            <w:tcW w:w="6334" w:type="dxa"/>
            <w:tcBorders>
              <w:top w:val="single" w:color="auto" w:sz="4" w:space="0"/>
              <w:left w:val="single" w:color="auto" w:sz="4" w:space="0"/>
              <w:bottom w:val="single" w:color="auto" w:sz="4" w:space="0"/>
              <w:right w:val="single" w:color="auto" w:sz="4" w:space="0"/>
            </w:tcBorders>
            <w:vAlign w:val="center"/>
          </w:tcPr>
          <w:p w14:paraId="63CE52DE">
            <w:pPr>
              <w:autoSpaceDE w:val="0"/>
              <w:autoSpaceDN w:val="0"/>
              <w:snapToGrid w:val="0"/>
              <w:spacing w:line="360" w:lineRule="exact"/>
              <w:textAlignment w:val="bottom"/>
              <w:rPr>
                <w:rFonts w:ascii="宋体" w:hAnsi="宋体" w:cs="宋体"/>
                <w:szCs w:val="21"/>
              </w:rPr>
            </w:pPr>
            <w:r>
              <w:rPr>
                <w:rFonts w:hint="eastAsia" w:ascii="宋体" w:hAnsi="宋体" w:cs="宋体"/>
                <w:szCs w:val="21"/>
              </w:rPr>
              <w:t>本项目不接受备份投标文件。</w:t>
            </w:r>
          </w:p>
        </w:tc>
      </w:tr>
      <w:tr w14:paraId="103CA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946" w:type="dxa"/>
            <w:vMerge w:val="restart"/>
            <w:tcBorders>
              <w:top w:val="single" w:color="auto" w:sz="4" w:space="0"/>
              <w:left w:val="single" w:color="auto" w:sz="4" w:space="0"/>
              <w:right w:val="single" w:color="auto" w:sz="4" w:space="0"/>
            </w:tcBorders>
            <w:vAlign w:val="center"/>
          </w:tcPr>
          <w:p w14:paraId="354D422F">
            <w:pPr>
              <w:spacing w:line="380" w:lineRule="exact"/>
              <w:rPr>
                <w:rFonts w:ascii="宋体" w:hAnsi="宋体" w:cs="宋体"/>
                <w:szCs w:val="21"/>
              </w:rPr>
            </w:pPr>
            <w:r>
              <w:rPr>
                <w:rFonts w:hint="eastAsia" w:ascii="宋体" w:hAnsi="宋体" w:cs="宋体"/>
                <w:szCs w:val="21"/>
              </w:rPr>
              <w:t>21.1</w:t>
            </w:r>
          </w:p>
        </w:tc>
        <w:tc>
          <w:tcPr>
            <w:tcW w:w="1997" w:type="dxa"/>
            <w:tcBorders>
              <w:top w:val="single" w:color="auto" w:sz="4" w:space="0"/>
              <w:left w:val="single" w:color="auto" w:sz="4" w:space="0"/>
              <w:bottom w:val="single" w:color="auto" w:sz="4" w:space="0"/>
              <w:right w:val="single" w:color="auto" w:sz="4" w:space="0"/>
            </w:tcBorders>
            <w:vAlign w:val="center"/>
          </w:tcPr>
          <w:p w14:paraId="08F1114F">
            <w:pPr>
              <w:spacing w:line="380" w:lineRule="exact"/>
              <w:rPr>
                <w:rFonts w:ascii="宋体" w:hAnsi="宋体" w:cs="宋体"/>
                <w:szCs w:val="21"/>
              </w:rPr>
            </w:pPr>
            <w:bookmarkStart w:id="231" w:name="_21.1"/>
            <w:bookmarkEnd w:id="231"/>
            <w:r>
              <w:rPr>
                <w:rFonts w:hint="eastAsia" w:ascii="宋体" w:hAnsi="宋体" w:cs="宋体"/>
                <w:szCs w:val="21"/>
              </w:rPr>
              <w:t>投标截止时间</w:t>
            </w:r>
          </w:p>
        </w:tc>
        <w:tc>
          <w:tcPr>
            <w:tcW w:w="6334" w:type="dxa"/>
            <w:tcBorders>
              <w:top w:val="single" w:color="auto" w:sz="4" w:space="0"/>
              <w:left w:val="single" w:color="auto" w:sz="4" w:space="0"/>
              <w:bottom w:val="single" w:color="auto" w:sz="4" w:space="0"/>
              <w:right w:val="single" w:color="auto" w:sz="4" w:space="0"/>
            </w:tcBorders>
            <w:vAlign w:val="center"/>
          </w:tcPr>
          <w:p w14:paraId="11E81675">
            <w:pPr>
              <w:snapToGrid w:val="0"/>
              <w:spacing w:line="360" w:lineRule="exact"/>
              <w:rPr>
                <w:rFonts w:ascii="宋体" w:hAnsi="宋体" w:cs="宋体"/>
                <w:szCs w:val="21"/>
                <w:u w:val="single"/>
              </w:rPr>
            </w:pPr>
            <w:r>
              <w:rPr>
                <w:rFonts w:hint="eastAsia" w:ascii="宋体" w:hAnsi="宋体" w:cs="宋体"/>
                <w:szCs w:val="21"/>
              </w:rPr>
              <w:t>详见招标公告</w:t>
            </w:r>
          </w:p>
        </w:tc>
      </w:tr>
      <w:tr w14:paraId="0925B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946" w:type="dxa"/>
            <w:vMerge w:val="continue"/>
            <w:tcBorders>
              <w:left w:val="single" w:color="auto" w:sz="4" w:space="0"/>
              <w:right w:val="single" w:color="auto" w:sz="4" w:space="0"/>
            </w:tcBorders>
            <w:vAlign w:val="center"/>
          </w:tcPr>
          <w:p w14:paraId="7966E993">
            <w:pPr>
              <w:spacing w:line="380" w:lineRule="exact"/>
              <w:rPr>
                <w:rFonts w:ascii="宋体" w:hAnsi="宋体" w:cs="宋体"/>
                <w:szCs w:val="21"/>
              </w:rPr>
            </w:pPr>
          </w:p>
        </w:tc>
        <w:tc>
          <w:tcPr>
            <w:tcW w:w="1997" w:type="dxa"/>
            <w:tcBorders>
              <w:top w:val="single" w:color="auto" w:sz="4" w:space="0"/>
              <w:left w:val="single" w:color="auto" w:sz="4" w:space="0"/>
              <w:bottom w:val="single" w:color="auto" w:sz="4" w:space="0"/>
              <w:right w:val="single" w:color="auto" w:sz="4" w:space="0"/>
            </w:tcBorders>
            <w:vAlign w:val="center"/>
          </w:tcPr>
          <w:p w14:paraId="45375198">
            <w:pPr>
              <w:spacing w:line="380" w:lineRule="exact"/>
              <w:rPr>
                <w:rFonts w:ascii="宋体" w:hAnsi="宋体" w:cs="宋体"/>
                <w:szCs w:val="21"/>
              </w:rPr>
            </w:pPr>
            <w:r>
              <w:rPr>
                <w:rFonts w:hint="eastAsia" w:ascii="宋体" w:hAnsi="宋体" w:cs="宋体"/>
                <w:szCs w:val="21"/>
              </w:rPr>
              <w:t>投标文件提交起止时间</w:t>
            </w:r>
          </w:p>
        </w:tc>
        <w:tc>
          <w:tcPr>
            <w:tcW w:w="6334" w:type="dxa"/>
            <w:tcBorders>
              <w:top w:val="single" w:color="auto" w:sz="4" w:space="0"/>
              <w:left w:val="single" w:color="auto" w:sz="4" w:space="0"/>
              <w:bottom w:val="single" w:color="auto" w:sz="4" w:space="0"/>
              <w:right w:val="single" w:color="auto" w:sz="4" w:space="0"/>
            </w:tcBorders>
            <w:vAlign w:val="center"/>
          </w:tcPr>
          <w:p w14:paraId="0768E940">
            <w:pPr>
              <w:snapToGrid w:val="0"/>
              <w:spacing w:line="360" w:lineRule="exact"/>
              <w:rPr>
                <w:rFonts w:ascii="宋体" w:hAnsi="宋体" w:cs="宋体"/>
                <w:szCs w:val="21"/>
              </w:rPr>
            </w:pPr>
            <w:r>
              <w:rPr>
                <w:rFonts w:hint="eastAsia" w:ascii="宋体" w:hAnsi="宋体" w:cs="宋体"/>
                <w:szCs w:val="21"/>
              </w:rPr>
              <w:t>详见招标公告</w:t>
            </w:r>
          </w:p>
        </w:tc>
      </w:tr>
      <w:tr w14:paraId="2BFDD7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946" w:type="dxa"/>
            <w:vMerge w:val="continue"/>
            <w:tcBorders>
              <w:left w:val="single" w:color="auto" w:sz="4" w:space="0"/>
              <w:right w:val="single" w:color="auto" w:sz="4" w:space="0"/>
            </w:tcBorders>
            <w:vAlign w:val="center"/>
          </w:tcPr>
          <w:p w14:paraId="50E29746">
            <w:pPr>
              <w:spacing w:line="380" w:lineRule="exact"/>
              <w:rPr>
                <w:rFonts w:ascii="宋体" w:hAnsi="宋体" w:cs="宋体"/>
                <w:szCs w:val="21"/>
              </w:rPr>
            </w:pPr>
          </w:p>
        </w:tc>
        <w:tc>
          <w:tcPr>
            <w:tcW w:w="1997" w:type="dxa"/>
            <w:tcBorders>
              <w:top w:val="single" w:color="auto" w:sz="4" w:space="0"/>
              <w:left w:val="single" w:color="auto" w:sz="4" w:space="0"/>
              <w:bottom w:val="single" w:color="auto" w:sz="4" w:space="0"/>
              <w:right w:val="single" w:color="auto" w:sz="4" w:space="0"/>
            </w:tcBorders>
            <w:vAlign w:val="center"/>
          </w:tcPr>
          <w:p w14:paraId="6AA46819">
            <w:pPr>
              <w:spacing w:line="380" w:lineRule="exact"/>
              <w:rPr>
                <w:rFonts w:ascii="宋体" w:hAnsi="宋体" w:cs="宋体"/>
                <w:szCs w:val="21"/>
              </w:rPr>
            </w:pPr>
            <w:r>
              <w:rPr>
                <w:rFonts w:hint="eastAsia" w:ascii="宋体" w:hAnsi="宋体" w:cs="宋体"/>
                <w:szCs w:val="21"/>
              </w:rPr>
              <w:t>投标地点</w:t>
            </w:r>
          </w:p>
        </w:tc>
        <w:tc>
          <w:tcPr>
            <w:tcW w:w="6334" w:type="dxa"/>
            <w:tcBorders>
              <w:top w:val="single" w:color="auto" w:sz="4" w:space="0"/>
              <w:left w:val="single" w:color="auto" w:sz="4" w:space="0"/>
              <w:bottom w:val="single" w:color="auto" w:sz="4" w:space="0"/>
              <w:right w:val="single" w:color="auto" w:sz="4" w:space="0"/>
            </w:tcBorders>
            <w:vAlign w:val="center"/>
          </w:tcPr>
          <w:p w14:paraId="45FACF79">
            <w:pPr>
              <w:snapToGrid w:val="0"/>
              <w:spacing w:line="360" w:lineRule="exact"/>
              <w:rPr>
                <w:rFonts w:ascii="宋体" w:hAnsi="宋体" w:cs="宋体"/>
                <w:szCs w:val="21"/>
              </w:rPr>
            </w:pPr>
            <w:r>
              <w:rPr>
                <w:rFonts w:hint="eastAsia" w:ascii="宋体" w:hAnsi="宋体" w:cs="宋体"/>
                <w:szCs w:val="21"/>
              </w:rPr>
              <w:t>详见招标公告</w:t>
            </w:r>
          </w:p>
        </w:tc>
      </w:tr>
      <w:tr w14:paraId="02DD3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946" w:type="dxa"/>
            <w:vMerge w:val="continue"/>
            <w:tcBorders>
              <w:left w:val="single" w:color="auto" w:sz="4" w:space="0"/>
              <w:right w:val="single" w:color="auto" w:sz="4" w:space="0"/>
            </w:tcBorders>
            <w:vAlign w:val="center"/>
          </w:tcPr>
          <w:p w14:paraId="524D6A3A">
            <w:pPr>
              <w:spacing w:line="380" w:lineRule="exact"/>
              <w:rPr>
                <w:rFonts w:ascii="宋体" w:hAnsi="宋体" w:cs="宋体"/>
                <w:szCs w:val="21"/>
              </w:rPr>
            </w:pPr>
          </w:p>
        </w:tc>
        <w:tc>
          <w:tcPr>
            <w:tcW w:w="1997" w:type="dxa"/>
            <w:tcBorders>
              <w:top w:val="single" w:color="auto" w:sz="4" w:space="0"/>
              <w:left w:val="single" w:color="auto" w:sz="4" w:space="0"/>
              <w:bottom w:val="single" w:color="auto" w:sz="4" w:space="0"/>
              <w:right w:val="single" w:color="auto" w:sz="4" w:space="0"/>
            </w:tcBorders>
            <w:vAlign w:val="center"/>
          </w:tcPr>
          <w:p w14:paraId="337C7DD4">
            <w:pPr>
              <w:spacing w:line="380" w:lineRule="exact"/>
              <w:rPr>
                <w:rFonts w:ascii="宋体" w:hAnsi="宋体" w:cs="宋体"/>
                <w:szCs w:val="21"/>
              </w:rPr>
            </w:pPr>
            <w:r>
              <w:rPr>
                <w:rFonts w:hint="eastAsia" w:ascii="宋体" w:hAnsi="宋体" w:cs="宋体"/>
                <w:szCs w:val="21"/>
              </w:rPr>
              <w:t>投标人递交投标样品截止时间及地点</w:t>
            </w:r>
          </w:p>
        </w:tc>
        <w:tc>
          <w:tcPr>
            <w:tcW w:w="6334" w:type="dxa"/>
            <w:tcBorders>
              <w:top w:val="single" w:color="auto" w:sz="4" w:space="0"/>
              <w:left w:val="single" w:color="auto" w:sz="4" w:space="0"/>
              <w:bottom w:val="single" w:color="auto" w:sz="4" w:space="0"/>
              <w:right w:val="single" w:color="auto" w:sz="4" w:space="0"/>
            </w:tcBorders>
            <w:vAlign w:val="center"/>
          </w:tcPr>
          <w:p w14:paraId="2E91F65A">
            <w:pPr>
              <w:snapToGrid w:val="0"/>
              <w:spacing w:line="360" w:lineRule="exact"/>
              <w:rPr>
                <w:rFonts w:ascii="宋体" w:hAnsi="宋体" w:cs="宋体"/>
                <w:szCs w:val="21"/>
              </w:rPr>
            </w:pPr>
            <w:r>
              <w:rPr>
                <w:rFonts w:hint="eastAsia" w:ascii="宋体" w:hAnsi="宋体" w:cs="宋体"/>
                <w:bCs/>
                <w:szCs w:val="21"/>
              </w:rPr>
              <w:t>无</w:t>
            </w:r>
          </w:p>
        </w:tc>
      </w:tr>
      <w:tr w14:paraId="25E41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6" w:type="dxa"/>
            <w:tcBorders>
              <w:top w:val="single" w:color="auto" w:sz="4" w:space="0"/>
              <w:left w:val="single" w:color="auto" w:sz="4" w:space="0"/>
              <w:bottom w:val="single" w:color="auto" w:sz="4" w:space="0"/>
              <w:right w:val="single" w:color="auto" w:sz="4" w:space="0"/>
            </w:tcBorders>
            <w:vAlign w:val="center"/>
          </w:tcPr>
          <w:p w14:paraId="4363A949">
            <w:pPr>
              <w:spacing w:line="380" w:lineRule="exact"/>
              <w:rPr>
                <w:rFonts w:ascii="宋体" w:hAnsi="宋体" w:cs="宋体"/>
                <w:szCs w:val="21"/>
              </w:rPr>
            </w:pPr>
            <w:r>
              <w:rPr>
                <w:rFonts w:hint="eastAsia" w:ascii="宋体" w:hAnsi="宋体" w:cs="宋体"/>
                <w:szCs w:val="21"/>
              </w:rPr>
              <w:t>23</w:t>
            </w:r>
          </w:p>
        </w:tc>
        <w:tc>
          <w:tcPr>
            <w:tcW w:w="1997" w:type="dxa"/>
            <w:tcBorders>
              <w:top w:val="single" w:color="auto" w:sz="4" w:space="0"/>
              <w:left w:val="single" w:color="auto" w:sz="4" w:space="0"/>
              <w:bottom w:val="single" w:color="auto" w:sz="4" w:space="0"/>
              <w:right w:val="single" w:color="auto" w:sz="4" w:space="0"/>
            </w:tcBorders>
            <w:vAlign w:val="center"/>
          </w:tcPr>
          <w:p w14:paraId="158E37AA">
            <w:pPr>
              <w:spacing w:line="380" w:lineRule="exact"/>
              <w:rPr>
                <w:rFonts w:ascii="宋体" w:hAnsi="宋体" w:cs="宋体"/>
                <w:szCs w:val="21"/>
              </w:rPr>
            </w:pPr>
            <w:bookmarkStart w:id="232" w:name="_23"/>
            <w:bookmarkEnd w:id="232"/>
            <w:r>
              <w:rPr>
                <w:rFonts w:hint="eastAsia" w:ascii="宋体" w:hAnsi="宋体" w:cs="宋体"/>
                <w:szCs w:val="21"/>
              </w:rPr>
              <w:t>开标时间、地点</w:t>
            </w:r>
          </w:p>
        </w:tc>
        <w:tc>
          <w:tcPr>
            <w:tcW w:w="6334" w:type="dxa"/>
            <w:tcBorders>
              <w:top w:val="single" w:color="auto" w:sz="4" w:space="0"/>
              <w:left w:val="single" w:color="auto" w:sz="4" w:space="0"/>
              <w:bottom w:val="single" w:color="auto" w:sz="4" w:space="0"/>
              <w:right w:val="single" w:color="auto" w:sz="4" w:space="0"/>
            </w:tcBorders>
            <w:vAlign w:val="center"/>
          </w:tcPr>
          <w:p w14:paraId="350373DD">
            <w:pPr>
              <w:snapToGrid w:val="0"/>
              <w:spacing w:line="360" w:lineRule="exact"/>
              <w:rPr>
                <w:rFonts w:ascii="宋体" w:hAnsi="宋体" w:cs="宋体"/>
                <w:szCs w:val="21"/>
              </w:rPr>
            </w:pPr>
            <w:r>
              <w:rPr>
                <w:rFonts w:hint="eastAsia" w:ascii="宋体" w:hAnsi="宋体" w:cs="宋体"/>
                <w:szCs w:val="21"/>
              </w:rPr>
              <w:t xml:space="preserve">详见招标公告 </w:t>
            </w:r>
          </w:p>
        </w:tc>
      </w:tr>
      <w:tr w14:paraId="18FB12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6" w:type="dxa"/>
            <w:tcBorders>
              <w:top w:val="single" w:color="auto" w:sz="4" w:space="0"/>
              <w:left w:val="single" w:color="auto" w:sz="4" w:space="0"/>
              <w:bottom w:val="single" w:color="auto" w:sz="4" w:space="0"/>
              <w:right w:val="single" w:color="auto" w:sz="4" w:space="0"/>
            </w:tcBorders>
            <w:vAlign w:val="center"/>
          </w:tcPr>
          <w:p w14:paraId="5F6D3401">
            <w:pPr>
              <w:spacing w:line="380" w:lineRule="exact"/>
              <w:rPr>
                <w:rFonts w:ascii="宋体" w:hAnsi="宋体" w:cs="宋体"/>
                <w:szCs w:val="21"/>
              </w:rPr>
            </w:pPr>
            <w:r>
              <w:rPr>
                <w:rFonts w:hint="eastAsia" w:ascii="宋体" w:hAnsi="宋体"/>
                <w:szCs w:val="21"/>
              </w:rPr>
              <w:t>24.3（1）</w:t>
            </w:r>
          </w:p>
        </w:tc>
        <w:tc>
          <w:tcPr>
            <w:tcW w:w="1997" w:type="dxa"/>
            <w:tcBorders>
              <w:top w:val="single" w:color="auto" w:sz="4" w:space="0"/>
              <w:left w:val="single" w:color="auto" w:sz="4" w:space="0"/>
              <w:bottom w:val="single" w:color="auto" w:sz="4" w:space="0"/>
              <w:right w:val="single" w:color="auto" w:sz="4" w:space="0"/>
            </w:tcBorders>
            <w:vAlign w:val="center"/>
          </w:tcPr>
          <w:p w14:paraId="413DEBEE">
            <w:pPr>
              <w:spacing w:line="380" w:lineRule="exact"/>
              <w:rPr>
                <w:rFonts w:ascii="宋体" w:hAnsi="宋体" w:cs="宋体"/>
                <w:szCs w:val="21"/>
              </w:rPr>
            </w:pPr>
            <w:r>
              <w:rPr>
                <w:rFonts w:hint="eastAsia" w:ascii="宋体" w:hAnsi="宋体" w:cs="宋体"/>
                <w:szCs w:val="21"/>
              </w:rPr>
              <w:t>解密电子投标文件</w:t>
            </w:r>
          </w:p>
        </w:tc>
        <w:tc>
          <w:tcPr>
            <w:tcW w:w="6334" w:type="dxa"/>
            <w:tcBorders>
              <w:top w:val="single" w:color="auto" w:sz="4" w:space="0"/>
              <w:left w:val="single" w:color="auto" w:sz="4" w:space="0"/>
              <w:bottom w:val="single" w:color="auto" w:sz="4" w:space="0"/>
              <w:right w:val="single" w:color="auto" w:sz="4" w:space="0"/>
            </w:tcBorders>
            <w:vAlign w:val="center"/>
          </w:tcPr>
          <w:p w14:paraId="3B9DA61D">
            <w:pPr>
              <w:snapToGrid w:val="0"/>
              <w:spacing w:line="360" w:lineRule="exact"/>
              <w:rPr>
                <w:rFonts w:ascii="宋体" w:hAnsi="宋体" w:cs="宋体"/>
                <w:szCs w:val="21"/>
              </w:rPr>
            </w:pPr>
            <w:r>
              <w:rPr>
                <w:rFonts w:hint="eastAsia" w:ascii="宋体" w:hAnsi="宋体" w:cs="宋体"/>
                <w:szCs w:val="21"/>
              </w:rPr>
              <w:t>电子投标文件解密时间</w:t>
            </w:r>
            <w:bookmarkStart w:id="233" w:name="OLE_LINK48"/>
            <w:r>
              <w:rPr>
                <w:rFonts w:hint="eastAsia" w:ascii="宋体" w:hAnsi="宋体" w:cs="宋体"/>
                <w:szCs w:val="21"/>
              </w:rPr>
              <w:t>：</w:t>
            </w:r>
            <w:r>
              <w:rPr>
                <w:rFonts w:hint="eastAsia" w:ascii="宋体" w:hAnsi="宋体" w:cs="宋体"/>
                <w:szCs w:val="21"/>
                <w:u w:val="single"/>
              </w:rPr>
              <w:t xml:space="preserve"> </w:t>
            </w:r>
            <w:bookmarkEnd w:id="233"/>
            <w:r>
              <w:rPr>
                <w:rFonts w:hint="eastAsia" w:ascii="宋体" w:hAnsi="宋体" w:cs="宋体"/>
                <w:szCs w:val="21"/>
                <w:u w:val="single"/>
              </w:rPr>
              <w:t xml:space="preserve">30 </w:t>
            </w:r>
            <w:r>
              <w:rPr>
                <w:rFonts w:hint="eastAsia" w:ascii="宋体" w:hAnsi="宋体" w:cs="宋体"/>
                <w:szCs w:val="21"/>
              </w:rPr>
              <w:t>分钟。</w:t>
            </w:r>
          </w:p>
        </w:tc>
      </w:tr>
      <w:tr w14:paraId="15C44A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946" w:type="dxa"/>
            <w:vMerge w:val="restart"/>
            <w:tcBorders>
              <w:top w:val="single" w:color="auto" w:sz="4" w:space="0"/>
              <w:left w:val="single" w:color="auto" w:sz="4" w:space="0"/>
              <w:right w:val="single" w:color="auto" w:sz="4" w:space="0"/>
            </w:tcBorders>
            <w:vAlign w:val="center"/>
          </w:tcPr>
          <w:p w14:paraId="53F04F01">
            <w:pPr>
              <w:spacing w:line="380" w:lineRule="exact"/>
              <w:rPr>
                <w:rFonts w:ascii="宋体" w:hAnsi="宋体" w:cs="宋体"/>
                <w:szCs w:val="21"/>
              </w:rPr>
            </w:pPr>
            <w:r>
              <w:rPr>
                <w:rFonts w:hint="eastAsia" w:ascii="宋体" w:hAnsi="宋体" w:cs="宋体"/>
                <w:szCs w:val="21"/>
              </w:rPr>
              <w:t>25.3（2）</w:t>
            </w:r>
          </w:p>
        </w:tc>
        <w:tc>
          <w:tcPr>
            <w:tcW w:w="1997" w:type="dxa"/>
            <w:tcBorders>
              <w:top w:val="single" w:color="auto" w:sz="4" w:space="0"/>
              <w:left w:val="single" w:color="auto" w:sz="4" w:space="0"/>
              <w:bottom w:val="single" w:color="auto" w:sz="4" w:space="0"/>
              <w:right w:val="single" w:color="auto" w:sz="4" w:space="0"/>
            </w:tcBorders>
            <w:vAlign w:val="center"/>
          </w:tcPr>
          <w:p w14:paraId="28B39774">
            <w:pPr>
              <w:spacing w:line="380" w:lineRule="exact"/>
              <w:rPr>
                <w:rFonts w:ascii="宋体" w:hAnsi="宋体" w:cs="宋体"/>
                <w:szCs w:val="21"/>
              </w:rPr>
            </w:pPr>
            <w:bookmarkStart w:id="234" w:name="_25.3"/>
            <w:bookmarkEnd w:id="234"/>
            <w:r>
              <w:rPr>
                <w:rFonts w:hint="eastAsia" w:ascii="宋体" w:hAnsi="宋体" w:cs="宋体"/>
                <w:szCs w:val="21"/>
              </w:rPr>
              <w:t>投标人信用查询渠道</w:t>
            </w:r>
          </w:p>
        </w:tc>
        <w:tc>
          <w:tcPr>
            <w:tcW w:w="6334" w:type="dxa"/>
            <w:tcBorders>
              <w:top w:val="single" w:color="auto" w:sz="4" w:space="0"/>
              <w:left w:val="single" w:color="auto" w:sz="4" w:space="0"/>
              <w:bottom w:val="single" w:color="auto" w:sz="4" w:space="0"/>
              <w:right w:val="single" w:color="auto" w:sz="4" w:space="0"/>
            </w:tcBorders>
            <w:vAlign w:val="center"/>
          </w:tcPr>
          <w:p w14:paraId="29F3A834">
            <w:pPr>
              <w:snapToGrid w:val="0"/>
              <w:spacing w:line="360" w:lineRule="exact"/>
              <w:rPr>
                <w:rFonts w:ascii="宋体" w:hAnsi="宋体" w:cs="宋体"/>
                <w:szCs w:val="21"/>
              </w:rPr>
            </w:pPr>
            <w:r>
              <w:rPr>
                <w:rFonts w:hint="eastAsia" w:ascii="宋体" w:hAnsi="宋体" w:cs="宋体"/>
                <w:szCs w:val="21"/>
              </w:rPr>
              <w:t>采购人或者采购代理机构在资格审查结束前，对投标人进行信用查询。</w:t>
            </w:r>
          </w:p>
          <w:p w14:paraId="1319F465">
            <w:pPr>
              <w:snapToGrid w:val="0"/>
              <w:spacing w:line="360" w:lineRule="exact"/>
              <w:rPr>
                <w:rFonts w:ascii="宋体" w:hAnsi="宋体" w:cs="宋体"/>
                <w:szCs w:val="21"/>
              </w:rPr>
            </w:pPr>
            <w:r>
              <w:rPr>
                <w:rFonts w:hint="eastAsia" w:ascii="宋体" w:hAnsi="宋体" w:cs="宋体"/>
                <w:szCs w:val="21"/>
              </w:rPr>
              <w:t>查询渠道：“信用中国”网站(www.creditchina.gov.cn) 、中国政府采购网(www.ccgp.gov.cn)。</w:t>
            </w:r>
          </w:p>
        </w:tc>
      </w:tr>
      <w:tr w14:paraId="29228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946" w:type="dxa"/>
            <w:vMerge w:val="continue"/>
            <w:tcBorders>
              <w:left w:val="single" w:color="auto" w:sz="4" w:space="0"/>
              <w:right w:val="single" w:color="auto" w:sz="4" w:space="0"/>
            </w:tcBorders>
            <w:vAlign w:val="center"/>
          </w:tcPr>
          <w:p w14:paraId="09C98DE4">
            <w:pPr>
              <w:spacing w:line="380" w:lineRule="exact"/>
              <w:rPr>
                <w:rFonts w:ascii="宋体" w:hAnsi="宋体" w:cs="宋体"/>
                <w:szCs w:val="21"/>
              </w:rPr>
            </w:pPr>
          </w:p>
        </w:tc>
        <w:tc>
          <w:tcPr>
            <w:tcW w:w="1997" w:type="dxa"/>
            <w:tcBorders>
              <w:top w:val="single" w:color="auto" w:sz="4" w:space="0"/>
              <w:left w:val="single" w:color="auto" w:sz="4" w:space="0"/>
              <w:bottom w:val="single" w:color="auto" w:sz="4" w:space="0"/>
              <w:right w:val="single" w:color="auto" w:sz="4" w:space="0"/>
            </w:tcBorders>
            <w:vAlign w:val="center"/>
          </w:tcPr>
          <w:p w14:paraId="7918157F">
            <w:pPr>
              <w:spacing w:line="380" w:lineRule="exact"/>
              <w:rPr>
                <w:rFonts w:ascii="宋体" w:hAnsi="宋体" w:cs="宋体"/>
                <w:szCs w:val="21"/>
              </w:rPr>
            </w:pPr>
            <w:r>
              <w:rPr>
                <w:rFonts w:hint="eastAsia" w:ascii="宋体" w:hAnsi="宋体" w:cs="宋体"/>
                <w:szCs w:val="21"/>
              </w:rPr>
              <w:t>信用查询截止时点</w:t>
            </w:r>
          </w:p>
        </w:tc>
        <w:tc>
          <w:tcPr>
            <w:tcW w:w="6334" w:type="dxa"/>
            <w:tcBorders>
              <w:top w:val="single" w:color="auto" w:sz="4" w:space="0"/>
              <w:left w:val="single" w:color="auto" w:sz="4" w:space="0"/>
              <w:bottom w:val="single" w:color="auto" w:sz="4" w:space="0"/>
              <w:right w:val="single" w:color="auto" w:sz="4" w:space="0"/>
            </w:tcBorders>
            <w:vAlign w:val="center"/>
          </w:tcPr>
          <w:p w14:paraId="52BA013D">
            <w:pPr>
              <w:snapToGrid w:val="0"/>
              <w:spacing w:line="360" w:lineRule="exact"/>
              <w:rPr>
                <w:rFonts w:ascii="宋体" w:hAnsi="宋体" w:cs="宋体"/>
                <w:szCs w:val="21"/>
              </w:rPr>
            </w:pPr>
            <w:r>
              <w:rPr>
                <w:rFonts w:hint="eastAsia" w:ascii="宋体" w:hAnsi="宋体" w:cs="宋体"/>
                <w:szCs w:val="21"/>
              </w:rPr>
              <w:t>资格审查结束前</w:t>
            </w:r>
          </w:p>
        </w:tc>
      </w:tr>
      <w:tr w14:paraId="46D4FC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946" w:type="dxa"/>
            <w:vMerge w:val="continue"/>
            <w:tcBorders>
              <w:left w:val="single" w:color="auto" w:sz="4" w:space="0"/>
              <w:right w:val="single" w:color="auto" w:sz="4" w:space="0"/>
            </w:tcBorders>
            <w:vAlign w:val="center"/>
          </w:tcPr>
          <w:p w14:paraId="335BE11A">
            <w:pPr>
              <w:spacing w:line="380" w:lineRule="exact"/>
              <w:rPr>
                <w:rFonts w:ascii="宋体" w:hAnsi="宋体" w:cs="宋体"/>
                <w:szCs w:val="21"/>
              </w:rPr>
            </w:pPr>
          </w:p>
        </w:tc>
        <w:tc>
          <w:tcPr>
            <w:tcW w:w="1997" w:type="dxa"/>
            <w:tcBorders>
              <w:top w:val="single" w:color="auto" w:sz="4" w:space="0"/>
              <w:left w:val="single" w:color="auto" w:sz="4" w:space="0"/>
              <w:bottom w:val="single" w:color="auto" w:sz="4" w:space="0"/>
              <w:right w:val="single" w:color="auto" w:sz="4" w:space="0"/>
            </w:tcBorders>
            <w:vAlign w:val="center"/>
          </w:tcPr>
          <w:p w14:paraId="4FE49967">
            <w:pPr>
              <w:spacing w:line="380" w:lineRule="exact"/>
              <w:rPr>
                <w:rFonts w:ascii="宋体" w:hAnsi="宋体" w:cs="宋体"/>
                <w:szCs w:val="21"/>
              </w:rPr>
            </w:pPr>
            <w:r>
              <w:rPr>
                <w:rFonts w:hint="eastAsia" w:ascii="宋体" w:hAnsi="宋体" w:cs="宋体"/>
                <w:szCs w:val="21"/>
              </w:rPr>
              <w:t>查询记录和证据留存方式</w:t>
            </w:r>
          </w:p>
        </w:tc>
        <w:tc>
          <w:tcPr>
            <w:tcW w:w="6334" w:type="dxa"/>
            <w:tcBorders>
              <w:top w:val="single" w:color="auto" w:sz="4" w:space="0"/>
              <w:left w:val="single" w:color="auto" w:sz="4" w:space="0"/>
              <w:bottom w:val="single" w:color="auto" w:sz="4" w:space="0"/>
              <w:right w:val="single" w:color="auto" w:sz="4" w:space="0"/>
            </w:tcBorders>
            <w:vAlign w:val="center"/>
          </w:tcPr>
          <w:p w14:paraId="346F7251">
            <w:pPr>
              <w:snapToGrid w:val="0"/>
              <w:spacing w:line="360" w:lineRule="exact"/>
              <w:rPr>
                <w:rFonts w:ascii="宋体" w:hAnsi="宋体" w:cs="宋体"/>
                <w:szCs w:val="21"/>
              </w:rPr>
            </w:pPr>
            <w:r>
              <w:rPr>
                <w:rFonts w:hint="eastAsia" w:ascii="宋体" w:hAnsi="宋体" w:cs="宋体"/>
                <w:szCs w:val="21"/>
              </w:rPr>
              <w:t>在查询网站中直接截图查询记录，截图作为在“政采云”平台作为附件上传保存。</w:t>
            </w:r>
          </w:p>
        </w:tc>
      </w:tr>
      <w:tr w14:paraId="2B9EE6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946" w:type="dxa"/>
            <w:vMerge w:val="continue"/>
            <w:tcBorders>
              <w:left w:val="single" w:color="auto" w:sz="4" w:space="0"/>
              <w:bottom w:val="single" w:color="auto" w:sz="4" w:space="0"/>
              <w:right w:val="single" w:color="auto" w:sz="4" w:space="0"/>
            </w:tcBorders>
            <w:vAlign w:val="center"/>
          </w:tcPr>
          <w:p w14:paraId="5236C018">
            <w:pPr>
              <w:spacing w:line="380" w:lineRule="exact"/>
              <w:rPr>
                <w:rFonts w:ascii="宋体" w:hAnsi="宋体" w:cs="宋体"/>
                <w:szCs w:val="21"/>
              </w:rPr>
            </w:pPr>
          </w:p>
        </w:tc>
        <w:tc>
          <w:tcPr>
            <w:tcW w:w="1997" w:type="dxa"/>
            <w:tcBorders>
              <w:top w:val="single" w:color="auto" w:sz="4" w:space="0"/>
              <w:left w:val="single" w:color="auto" w:sz="4" w:space="0"/>
              <w:bottom w:val="single" w:color="auto" w:sz="4" w:space="0"/>
              <w:right w:val="single" w:color="auto" w:sz="4" w:space="0"/>
            </w:tcBorders>
            <w:vAlign w:val="center"/>
          </w:tcPr>
          <w:p w14:paraId="36F718AB">
            <w:pPr>
              <w:spacing w:line="380" w:lineRule="exact"/>
              <w:rPr>
                <w:rFonts w:ascii="宋体" w:hAnsi="宋体" w:cs="宋体"/>
                <w:szCs w:val="21"/>
              </w:rPr>
            </w:pPr>
            <w:r>
              <w:rPr>
                <w:rFonts w:hint="eastAsia" w:ascii="宋体" w:hAnsi="宋体" w:cs="宋体"/>
                <w:szCs w:val="21"/>
              </w:rPr>
              <w:t>信用信息使用规则</w:t>
            </w:r>
          </w:p>
        </w:tc>
        <w:tc>
          <w:tcPr>
            <w:tcW w:w="6334" w:type="dxa"/>
            <w:tcBorders>
              <w:top w:val="single" w:color="auto" w:sz="4" w:space="0"/>
              <w:left w:val="single" w:color="auto" w:sz="4" w:space="0"/>
              <w:bottom w:val="single" w:color="auto" w:sz="4" w:space="0"/>
              <w:right w:val="single" w:color="auto" w:sz="4" w:space="0"/>
            </w:tcBorders>
            <w:vAlign w:val="center"/>
          </w:tcPr>
          <w:p w14:paraId="5EF3ADDD">
            <w:pPr>
              <w:snapToGrid w:val="0"/>
              <w:spacing w:line="360" w:lineRule="exact"/>
              <w:rPr>
                <w:rFonts w:ascii="宋体" w:hAnsi="宋体" w:cs="宋体"/>
                <w:szCs w:val="21"/>
              </w:rPr>
            </w:pPr>
            <w:r>
              <w:rPr>
                <w:rFonts w:hint="eastAsia" w:ascii="宋体" w:hAnsi="宋体" w:cs="宋体"/>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ascii="宋体" w:hAnsi="宋体" w:cs="宋体"/>
                <w:sz w:val="22"/>
                <w:szCs w:val="22"/>
              </w:rPr>
              <w:t>应当拒绝其参与政府采购活动</w:t>
            </w:r>
            <w:r>
              <w:rPr>
                <w:rFonts w:hint="eastAsia" w:ascii="宋体" w:hAnsi="宋体" w:cs="宋体"/>
                <w:szCs w:val="21"/>
              </w:rPr>
              <w:t>。两个以上的自然人、法人（负责人）或者其他组织组成一个联合体，以一个供应商的身份共同参加政府采购活动的，应当对所有联合体成员进行信用记录查询，联合体成员存在不良信用记录的，视同联合体存在不良信用记录。</w:t>
            </w:r>
          </w:p>
        </w:tc>
      </w:tr>
      <w:tr w14:paraId="2BD2D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946" w:type="dxa"/>
            <w:tcBorders>
              <w:left w:val="single" w:color="auto" w:sz="4" w:space="0"/>
              <w:bottom w:val="single" w:color="auto" w:sz="4" w:space="0"/>
              <w:right w:val="single" w:color="auto" w:sz="4" w:space="0"/>
            </w:tcBorders>
            <w:vAlign w:val="center"/>
          </w:tcPr>
          <w:p w14:paraId="5AA324D6">
            <w:pPr>
              <w:spacing w:line="380" w:lineRule="exact"/>
              <w:rPr>
                <w:rFonts w:ascii="宋体" w:hAnsi="宋体" w:cs="宋体"/>
                <w:szCs w:val="21"/>
              </w:rPr>
            </w:pPr>
            <w:r>
              <w:rPr>
                <w:rFonts w:hint="eastAsia" w:ascii="宋体" w:hAnsi="宋体" w:cs="宋体"/>
                <w:szCs w:val="21"/>
              </w:rPr>
              <w:t>26</w:t>
            </w:r>
          </w:p>
        </w:tc>
        <w:tc>
          <w:tcPr>
            <w:tcW w:w="1997" w:type="dxa"/>
            <w:tcBorders>
              <w:top w:val="single" w:color="auto" w:sz="4" w:space="0"/>
              <w:left w:val="single" w:color="auto" w:sz="4" w:space="0"/>
              <w:bottom w:val="single" w:color="auto" w:sz="4" w:space="0"/>
              <w:right w:val="single" w:color="auto" w:sz="4" w:space="0"/>
            </w:tcBorders>
            <w:vAlign w:val="center"/>
          </w:tcPr>
          <w:p w14:paraId="0295A598">
            <w:pPr>
              <w:spacing w:line="380" w:lineRule="exact"/>
              <w:rPr>
                <w:rFonts w:ascii="宋体" w:hAnsi="宋体" w:cs="宋体"/>
                <w:szCs w:val="21"/>
              </w:rPr>
            </w:pPr>
            <w:r>
              <w:rPr>
                <w:rFonts w:hint="eastAsia" w:ascii="宋体" w:hAnsi="宋体" w:cs="宋体"/>
                <w:szCs w:val="21"/>
              </w:rPr>
              <w:t>评标委员会组成</w:t>
            </w:r>
          </w:p>
        </w:tc>
        <w:tc>
          <w:tcPr>
            <w:tcW w:w="6334" w:type="dxa"/>
            <w:tcBorders>
              <w:top w:val="single" w:color="auto" w:sz="4" w:space="0"/>
              <w:left w:val="single" w:color="auto" w:sz="4" w:space="0"/>
              <w:bottom w:val="single" w:color="auto" w:sz="4" w:space="0"/>
              <w:right w:val="single" w:color="auto" w:sz="4" w:space="0"/>
            </w:tcBorders>
            <w:vAlign w:val="center"/>
          </w:tcPr>
          <w:p w14:paraId="01EE9085">
            <w:pPr>
              <w:snapToGrid w:val="0"/>
              <w:spacing w:line="360" w:lineRule="exact"/>
              <w:rPr>
                <w:rFonts w:ascii="宋体" w:hAnsi="宋体" w:cs="宋体"/>
                <w:szCs w:val="21"/>
              </w:rPr>
            </w:pPr>
            <w:r>
              <w:rPr>
                <w:rFonts w:hint="eastAsia" w:ascii="宋体" w:hAnsi="宋体"/>
                <w:szCs w:val="21"/>
              </w:rPr>
              <w:t>评标委员会的人数：</w:t>
            </w:r>
            <w:r>
              <w:rPr>
                <w:rFonts w:ascii="宋体" w:hAnsi="宋体"/>
                <w:szCs w:val="21"/>
                <w:u w:val="single"/>
              </w:rPr>
              <w:t>5</w:t>
            </w:r>
            <w:r>
              <w:rPr>
                <w:rFonts w:hint="eastAsia" w:ascii="宋体" w:hAnsi="宋体"/>
                <w:szCs w:val="21"/>
              </w:rPr>
              <w:t>人或以上单数</w:t>
            </w:r>
          </w:p>
        </w:tc>
      </w:tr>
      <w:tr w14:paraId="11C38E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6" w:type="dxa"/>
            <w:tcBorders>
              <w:top w:val="single" w:color="auto" w:sz="4" w:space="0"/>
              <w:left w:val="single" w:color="auto" w:sz="4" w:space="0"/>
              <w:bottom w:val="single" w:color="auto" w:sz="4" w:space="0"/>
              <w:right w:val="single" w:color="auto" w:sz="4" w:space="0"/>
            </w:tcBorders>
            <w:vAlign w:val="center"/>
          </w:tcPr>
          <w:p w14:paraId="47551BC3">
            <w:pPr>
              <w:spacing w:line="380" w:lineRule="exact"/>
              <w:rPr>
                <w:rFonts w:ascii="宋体" w:hAnsi="宋体" w:cs="宋体"/>
                <w:szCs w:val="21"/>
              </w:rPr>
            </w:pPr>
            <w:r>
              <w:rPr>
                <w:rFonts w:hint="eastAsia" w:ascii="宋体" w:hAnsi="宋体" w:cs="宋体"/>
                <w:szCs w:val="21"/>
              </w:rPr>
              <w:t>29.1</w:t>
            </w:r>
          </w:p>
        </w:tc>
        <w:tc>
          <w:tcPr>
            <w:tcW w:w="1997" w:type="dxa"/>
            <w:tcBorders>
              <w:top w:val="single" w:color="auto" w:sz="4" w:space="0"/>
              <w:left w:val="single" w:color="auto" w:sz="4" w:space="0"/>
              <w:bottom w:val="single" w:color="auto" w:sz="4" w:space="0"/>
              <w:right w:val="single" w:color="auto" w:sz="4" w:space="0"/>
            </w:tcBorders>
            <w:vAlign w:val="center"/>
          </w:tcPr>
          <w:p w14:paraId="6709E024">
            <w:pPr>
              <w:spacing w:line="380" w:lineRule="exact"/>
              <w:rPr>
                <w:rFonts w:ascii="宋体" w:hAnsi="宋体" w:cs="宋体"/>
                <w:szCs w:val="21"/>
              </w:rPr>
            </w:pPr>
            <w:bookmarkStart w:id="235" w:name="_26"/>
            <w:bookmarkEnd w:id="235"/>
            <w:bookmarkStart w:id="236" w:name="_28.3"/>
            <w:bookmarkEnd w:id="236"/>
            <w:r>
              <w:rPr>
                <w:rFonts w:hint="eastAsia" w:ascii="宋体" w:hAnsi="宋体" w:cs="宋体"/>
                <w:szCs w:val="21"/>
              </w:rPr>
              <w:t>评标方法</w:t>
            </w:r>
          </w:p>
        </w:tc>
        <w:tc>
          <w:tcPr>
            <w:tcW w:w="6334" w:type="dxa"/>
            <w:tcBorders>
              <w:top w:val="single" w:color="auto" w:sz="4" w:space="0"/>
              <w:left w:val="single" w:color="auto" w:sz="4" w:space="0"/>
              <w:bottom w:val="single" w:color="auto" w:sz="4" w:space="0"/>
              <w:right w:val="single" w:color="auto" w:sz="4" w:space="0"/>
            </w:tcBorders>
            <w:vAlign w:val="center"/>
          </w:tcPr>
          <w:p w14:paraId="539AE63E">
            <w:pPr>
              <w:autoSpaceDE w:val="0"/>
              <w:autoSpaceDN w:val="0"/>
              <w:snapToGrid w:val="0"/>
              <w:spacing w:line="360" w:lineRule="exact"/>
              <w:textAlignment w:val="bottom"/>
              <w:rPr>
                <w:rFonts w:ascii="宋体" w:hAnsi="宋体" w:cs="宋体"/>
                <w:szCs w:val="21"/>
              </w:rPr>
            </w:pPr>
            <w:r>
              <w:rPr>
                <w:rFonts w:hint="eastAsia" w:ascii="宋体" w:hAnsi="宋体" w:cs="宋体"/>
                <w:szCs w:val="21"/>
              </w:rPr>
              <w:t>☑综合评分法</w:t>
            </w:r>
          </w:p>
          <w:p w14:paraId="0AB6F28B">
            <w:pPr>
              <w:autoSpaceDE w:val="0"/>
              <w:autoSpaceDN w:val="0"/>
              <w:snapToGrid w:val="0"/>
              <w:spacing w:line="360" w:lineRule="exact"/>
              <w:textAlignment w:val="bottom"/>
              <w:rPr>
                <w:rFonts w:ascii="宋体" w:hAnsi="宋体" w:cs="宋体"/>
                <w:szCs w:val="21"/>
              </w:rPr>
            </w:pPr>
            <w:r>
              <w:rPr>
                <w:rFonts w:hint="eastAsia" w:ascii="宋体" w:hAnsi="宋体" w:cs="宋体"/>
                <w:szCs w:val="21"/>
              </w:rPr>
              <w:t>□最低评标价法</w:t>
            </w:r>
          </w:p>
        </w:tc>
      </w:tr>
      <w:tr w14:paraId="2B14A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946" w:type="dxa"/>
            <w:tcBorders>
              <w:top w:val="single" w:color="auto" w:sz="4" w:space="0"/>
              <w:left w:val="single" w:color="auto" w:sz="4" w:space="0"/>
              <w:right w:val="single" w:color="auto" w:sz="4" w:space="0"/>
            </w:tcBorders>
            <w:vAlign w:val="center"/>
          </w:tcPr>
          <w:p w14:paraId="78884AD3">
            <w:pPr>
              <w:spacing w:line="380" w:lineRule="exact"/>
              <w:rPr>
                <w:rFonts w:ascii="宋体" w:hAnsi="宋体" w:cs="宋体"/>
                <w:szCs w:val="21"/>
              </w:rPr>
            </w:pPr>
            <w:r>
              <w:rPr>
                <w:rFonts w:hint="eastAsia" w:ascii="宋体" w:hAnsi="宋体" w:cs="宋体"/>
                <w:szCs w:val="21"/>
              </w:rPr>
              <w:t>29.2</w:t>
            </w:r>
          </w:p>
        </w:tc>
        <w:tc>
          <w:tcPr>
            <w:tcW w:w="1997" w:type="dxa"/>
            <w:tcBorders>
              <w:top w:val="single" w:color="auto" w:sz="4" w:space="0"/>
              <w:left w:val="single" w:color="auto" w:sz="4" w:space="0"/>
              <w:right w:val="single" w:color="auto" w:sz="4" w:space="0"/>
            </w:tcBorders>
            <w:vAlign w:val="center"/>
          </w:tcPr>
          <w:p w14:paraId="38A828CF">
            <w:pPr>
              <w:spacing w:line="380" w:lineRule="exact"/>
              <w:rPr>
                <w:rFonts w:ascii="宋体" w:hAnsi="宋体" w:cs="宋体"/>
                <w:szCs w:val="21"/>
              </w:rPr>
            </w:pPr>
            <w:bookmarkStart w:id="237" w:name="_29.2.2（2）"/>
            <w:bookmarkEnd w:id="237"/>
            <w:r>
              <w:rPr>
                <w:rFonts w:hint="eastAsia" w:ascii="宋体" w:hAnsi="宋体" w:cs="宋体"/>
                <w:szCs w:val="21"/>
              </w:rPr>
              <w:t>允许负偏离项</w:t>
            </w:r>
          </w:p>
        </w:tc>
        <w:tc>
          <w:tcPr>
            <w:tcW w:w="6334" w:type="dxa"/>
            <w:tcBorders>
              <w:top w:val="single" w:color="auto" w:sz="4" w:space="0"/>
              <w:left w:val="single" w:color="auto" w:sz="4" w:space="0"/>
              <w:right w:val="single" w:color="auto" w:sz="4" w:space="0"/>
            </w:tcBorders>
            <w:vAlign w:val="center"/>
          </w:tcPr>
          <w:p w14:paraId="5F8B008B">
            <w:pPr>
              <w:numPr>
                <w:ilvl w:val="0"/>
                <w:numId w:val="26"/>
              </w:numPr>
              <w:snapToGrid w:val="0"/>
              <w:spacing w:line="360" w:lineRule="exact"/>
              <w:rPr>
                <w:rFonts w:ascii="宋体" w:hAnsi="宋体" w:cs="宋体"/>
                <w:szCs w:val="21"/>
              </w:rPr>
            </w:pPr>
            <w:r>
              <w:rPr>
                <w:rFonts w:hint="eastAsia" w:ascii="宋体" w:hAnsi="宋体" w:cs="宋体"/>
                <w:szCs w:val="21"/>
              </w:rPr>
              <w:t>商务条款：评审中实质性参数“▲”允许负偏离的条款数为 0 项，非实质性参数允许负偏离的条款数为 0 项；</w:t>
            </w:r>
          </w:p>
          <w:p w14:paraId="5A674BA3">
            <w:pPr>
              <w:snapToGrid w:val="0"/>
              <w:spacing w:line="360" w:lineRule="exact"/>
              <w:rPr>
                <w:rFonts w:ascii="宋体" w:hAnsi="宋体" w:cs="宋体"/>
                <w:szCs w:val="21"/>
              </w:rPr>
            </w:pPr>
            <w:r>
              <w:rPr>
                <w:rFonts w:hint="eastAsia" w:ascii="宋体" w:hAnsi="宋体" w:cs="宋体"/>
                <w:szCs w:val="21"/>
              </w:rPr>
              <w:t>（2）技术需求：评审中实质性参数“▲”允许负偏离的条款数为 0 项，非实质性参数允许负偏离的条款数为0项。</w:t>
            </w:r>
          </w:p>
        </w:tc>
      </w:tr>
      <w:tr w14:paraId="62DF3B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6" w:type="dxa"/>
            <w:tcBorders>
              <w:top w:val="single" w:color="auto" w:sz="4" w:space="0"/>
              <w:left w:val="single" w:color="auto" w:sz="4" w:space="0"/>
              <w:bottom w:val="single" w:color="auto" w:sz="4" w:space="0"/>
              <w:right w:val="single" w:color="auto" w:sz="4" w:space="0"/>
            </w:tcBorders>
            <w:vAlign w:val="center"/>
          </w:tcPr>
          <w:p w14:paraId="0D429E28">
            <w:pPr>
              <w:spacing w:line="380" w:lineRule="exact"/>
              <w:rPr>
                <w:rFonts w:ascii="宋体" w:hAnsi="宋体" w:cs="宋体"/>
                <w:szCs w:val="21"/>
              </w:rPr>
            </w:pPr>
            <w:r>
              <w:rPr>
                <w:rFonts w:hint="eastAsia" w:ascii="宋体" w:hAnsi="宋体" w:cs="宋体"/>
                <w:szCs w:val="21"/>
              </w:rPr>
              <w:t>30.1</w:t>
            </w:r>
          </w:p>
        </w:tc>
        <w:tc>
          <w:tcPr>
            <w:tcW w:w="1997" w:type="dxa"/>
            <w:tcBorders>
              <w:top w:val="single" w:color="auto" w:sz="4" w:space="0"/>
              <w:left w:val="single" w:color="auto" w:sz="4" w:space="0"/>
              <w:bottom w:val="single" w:color="auto" w:sz="4" w:space="0"/>
              <w:right w:val="single" w:color="auto" w:sz="4" w:space="0"/>
            </w:tcBorders>
            <w:vAlign w:val="center"/>
          </w:tcPr>
          <w:p w14:paraId="327F2FC0">
            <w:pPr>
              <w:autoSpaceDE w:val="0"/>
              <w:autoSpaceDN w:val="0"/>
              <w:snapToGrid w:val="0"/>
              <w:spacing w:line="380" w:lineRule="exact"/>
              <w:textAlignment w:val="bottom"/>
              <w:rPr>
                <w:rFonts w:ascii="宋体" w:hAnsi="宋体" w:cs="宋体"/>
                <w:szCs w:val="21"/>
              </w:rPr>
            </w:pPr>
            <w:r>
              <w:rPr>
                <w:rFonts w:hint="eastAsia" w:ascii="宋体" w:hAnsi="宋体" w:cs="宋体"/>
                <w:szCs w:val="21"/>
              </w:rPr>
              <w:t xml:space="preserve">确定中标人时，出现中标候选人分数并列的情形，确定中标人方式 </w:t>
            </w:r>
          </w:p>
        </w:tc>
        <w:tc>
          <w:tcPr>
            <w:tcW w:w="6334" w:type="dxa"/>
            <w:tcBorders>
              <w:top w:val="single" w:color="auto" w:sz="4" w:space="0"/>
              <w:left w:val="single" w:color="auto" w:sz="4" w:space="0"/>
              <w:bottom w:val="single" w:color="auto" w:sz="4" w:space="0"/>
              <w:right w:val="single" w:color="auto" w:sz="4" w:space="0"/>
            </w:tcBorders>
            <w:vAlign w:val="center"/>
          </w:tcPr>
          <w:p w14:paraId="61A9B66E">
            <w:pPr>
              <w:autoSpaceDE w:val="0"/>
              <w:autoSpaceDN w:val="0"/>
              <w:snapToGrid w:val="0"/>
              <w:spacing w:line="360" w:lineRule="exact"/>
              <w:textAlignment w:val="bottom"/>
              <w:rPr>
                <w:rFonts w:ascii="宋体" w:hAnsi="宋体" w:cs="宋体"/>
                <w:szCs w:val="21"/>
              </w:rPr>
            </w:pPr>
            <w:r>
              <w:rPr>
                <w:rFonts w:hint="eastAsia" w:ascii="宋体" w:hAnsi="宋体" w:cs="宋体"/>
                <w:szCs w:val="21"/>
              </w:rPr>
              <w:t xml:space="preserve">□采用最低评标价法的，投标文件满足招标文件全部实质性要求且投标报价最低的投标人为排名第一的中标候选人； </w:t>
            </w:r>
          </w:p>
          <w:p w14:paraId="483C6CFE">
            <w:pPr>
              <w:autoSpaceDE w:val="0"/>
              <w:autoSpaceDN w:val="0"/>
              <w:snapToGrid w:val="0"/>
              <w:spacing w:line="360" w:lineRule="exact"/>
              <w:textAlignment w:val="bottom"/>
              <w:rPr>
                <w:rFonts w:ascii="宋体" w:hAnsi="宋体" w:cs="宋体"/>
                <w:b/>
                <w:szCs w:val="21"/>
              </w:rPr>
            </w:pPr>
            <w:r>
              <w:rPr>
                <w:rFonts w:hint="eastAsia" w:ascii="宋体" w:hAnsi="宋体" w:cs="宋体"/>
                <w:szCs w:val="21"/>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79BCD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6C0727CC">
            <w:pPr>
              <w:spacing w:line="380" w:lineRule="exact"/>
              <w:rPr>
                <w:rFonts w:ascii="宋体" w:hAnsi="宋体" w:cs="宋体"/>
                <w:szCs w:val="21"/>
              </w:rPr>
            </w:pPr>
            <w:bookmarkStart w:id="238" w:name="OLE_LINK145"/>
            <w:r>
              <w:rPr>
                <w:rFonts w:hint="eastAsia" w:ascii="宋体" w:hAnsi="宋体" w:cs="宋体"/>
                <w:szCs w:val="21"/>
              </w:rPr>
              <w:t>35</w:t>
            </w:r>
            <w:bookmarkEnd w:id="238"/>
          </w:p>
        </w:tc>
        <w:tc>
          <w:tcPr>
            <w:tcW w:w="1997" w:type="dxa"/>
            <w:tcBorders>
              <w:top w:val="single" w:color="auto" w:sz="4" w:space="0"/>
              <w:left w:val="single" w:color="auto" w:sz="4" w:space="0"/>
              <w:bottom w:val="single" w:color="auto" w:sz="4" w:space="0"/>
              <w:right w:val="single" w:color="auto" w:sz="4" w:space="0"/>
            </w:tcBorders>
            <w:vAlign w:val="center"/>
          </w:tcPr>
          <w:p w14:paraId="316C2944">
            <w:pPr>
              <w:spacing w:line="380" w:lineRule="exact"/>
              <w:rPr>
                <w:rFonts w:ascii="宋体" w:hAnsi="宋体" w:cs="宋体"/>
                <w:szCs w:val="21"/>
              </w:rPr>
            </w:pPr>
            <w:bookmarkStart w:id="239" w:name="_39.1"/>
            <w:bookmarkEnd w:id="239"/>
            <w:r>
              <w:rPr>
                <w:rFonts w:hint="eastAsia" w:ascii="宋体" w:hAnsi="宋体" w:cs="宋体"/>
                <w:szCs w:val="21"/>
              </w:rPr>
              <w:t>履约保证金金额</w:t>
            </w:r>
          </w:p>
        </w:tc>
        <w:tc>
          <w:tcPr>
            <w:tcW w:w="6334" w:type="dxa"/>
            <w:tcBorders>
              <w:top w:val="single" w:color="auto" w:sz="4" w:space="0"/>
              <w:left w:val="single" w:color="auto" w:sz="4" w:space="0"/>
              <w:bottom w:val="single" w:color="auto" w:sz="4" w:space="0"/>
              <w:right w:val="single" w:color="auto" w:sz="4" w:space="0"/>
            </w:tcBorders>
            <w:vAlign w:val="bottom"/>
          </w:tcPr>
          <w:p w14:paraId="4FDA2377">
            <w:pPr>
              <w:autoSpaceDE w:val="0"/>
              <w:autoSpaceDN w:val="0"/>
              <w:snapToGrid w:val="0"/>
              <w:spacing w:line="360" w:lineRule="exact"/>
              <w:jc w:val="left"/>
              <w:textAlignment w:val="bottom"/>
              <w:rPr>
                <w:rFonts w:ascii="宋体" w:hAnsi="宋体" w:cs="宋体"/>
                <w:szCs w:val="21"/>
              </w:rPr>
            </w:pPr>
            <w:bookmarkStart w:id="240" w:name="OLE_LINK146"/>
            <w:r>
              <w:rPr>
                <w:rFonts w:hint="eastAsia" w:ascii="宋体" w:hAnsi="宋体" w:cs="宋体"/>
                <w:szCs w:val="21"/>
              </w:rPr>
              <w:t>本项目收取履约保证金。</w:t>
            </w:r>
          </w:p>
          <w:p w14:paraId="3DBE4051">
            <w:pPr>
              <w:autoSpaceDE w:val="0"/>
              <w:autoSpaceDN w:val="0"/>
              <w:snapToGrid w:val="0"/>
              <w:spacing w:line="360" w:lineRule="exact"/>
              <w:jc w:val="left"/>
              <w:textAlignment w:val="bottom"/>
              <w:rPr>
                <w:rFonts w:ascii="宋体" w:hAnsi="宋体" w:cs="宋体"/>
                <w:szCs w:val="21"/>
              </w:rPr>
            </w:pPr>
            <w:r>
              <w:rPr>
                <w:rFonts w:hint="eastAsia" w:ascii="宋体" w:hAnsi="宋体" w:cs="宋体"/>
                <w:szCs w:val="21"/>
              </w:rPr>
              <w:t>履约保证金金额及递交方式：</w:t>
            </w:r>
            <w:r>
              <w:rPr>
                <w:rFonts w:hint="eastAsia" w:ascii="宋体" w:hAnsi="宋体"/>
                <w:szCs w:val="21"/>
              </w:rPr>
              <w:t>按</w:t>
            </w:r>
            <w:r>
              <w:rPr>
                <w:rFonts w:hint="eastAsia" w:ascii="宋体" w:hAnsi="宋体" w:cs="宋体"/>
                <w:kern w:val="0"/>
                <w:szCs w:val="21"/>
              </w:rPr>
              <w:t>各分标预算金额</w:t>
            </w:r>
            <w:r>
              <w:rPr>
                <w:rFonts w:ascii="Arial" w:hAnsi="Arial" w:cs="Arial"/>
                <w:kern w:val="0"/>
                <w:szCs w:val="21"/>
              </w:rPr>
              <w:t>×</w:t>
            </w:r>
            <w:r>
              <w:rPr>
                <w:rFonts w:hint="eastAsia" w:ascii="宋体" w:hAnsi="宋体" w:cs="宋体"/>
                <w:kern w:val="0"/>
                <w:szCs w:val="21"/>
              </w:rPr>
              <w:t>折扣系数</w:t>
            </w:r>
            <w:r>
              <w:rPr>
                <w:rFonts w:ascii="Arial" w:hAnsi="Arial" w:cs="Arial"/>
                <w:kern w:val="0"/>
                <w:szCs w:val="21"/>
              </w:rPr>
              <w:t>×</w:t>
            </w:r>
            <w:r>
              <w:rPr>
                <w:rFonts w:hint="eastAsia" w:ascii="宋体" w:hAnsi="宋体" w:cs="Arial"/>
                <w:szCs w:val="21"/>
              </w:rPr>
              <w:t xml:space="preserve"> </w:t>
            </w:r>
            <w:r>
              <w:rPr>
                <w:rFonts w:ascii="宋体" w:hAnsi="宋体" w:cs="Arial"/>
                <w:szCs w:val="21"/>
              </w:rPr>
              <w:t>2</w:t>
            </w:r>
            <w:r>
              <w:rPr>
                <w:rFonts w:hint="eastAsia" w:ascii="宋体" w:hAnsi="宋体" w:cs="Arial"/>
                <w:szCs w:val="21"/>
              </w:rPr>
              <w:t xml:space="preserve"> </w:t>
            </w:r>
            <w:r>
              <w:rPr>
                <w:rFonts w:hint="eastAsia" w:ascii="宋体" w:hAnsi="宋体"/>
                <w:szCs w:val="21"/>
              </w:rPr>
              <w:t>%</w:t>
            </w:r>
            <w:r>
              <w:rPr>
                <w:rFonts w:hint="eastAsia" w:ascii="宋体" w:hAnsi="宋体" w:cs="宋体"/>
                <w:szCs w:val="21"/>
              </w:rPr>
              <w:t>。</w:t>
            </w:r>
          </w:p>
          <w:p w14:paraId="2B6C10B4">
            <w:pPr>
              <w:pStyle w:val="14"/>
              <w:spacing w:line="400" w:lineRule="exact"/>
              <w:rPr>
                <w:rFonts w:ascii="宋体" w:hAnsi="宋体" w:cs="宋体"/>
                <w:szCs w:val="21"/>
              </w:rPr>
            </w:pPr>
            <w:r>
              <w:rPr>
                <w:rFonts w:hint="eastAsia" w:ascii="宋体" w:hAnsi="宋体"/>
                <w:szCs w:val="21"/>
              </w:rPr>
              <w:t>1</w:t>
            </w:r>
            <w:r>
              <w:rPr>
                <w:rFonts w:ascii="宋体" w:hAnsi="宋体"/>
                <w:szCs w:val="21"/>
              </w:rPr>
              <w:t>.</w:t>
            </w:r>
            <w:r>
              <w:rPr>
                <w:rFonts w:hint="eastAsia" w:ascii="宋体" w:hAnsi="宋体"/>
                <w:szCs w:val="21"/>
              </w:rPr>
              <w:t>履约保证金金额：</w:t>
            </w:r>
            <w:bookmarkStart w:id="241" w:name="OLE_LINK20"/>
            <w:r>
              <w:rPr>
                <w:rFonts w:hint="eastAsia" w:ascii="宋体" w:hAnsi="宋体"/>
                <w:szCs w:val="21"/>
              </w:rPr>
              <w:t>按</w:t>
            </w:r>
            <w:r>
              <w:rPr>
                <w:rFonts w:hint="eastAsia" w:ascii="宋体" w:hAnsi="宋体" w:cs="宋体"/>
                <w:kern w:val="0"/>
                <w:szCs w:val="21"/>
              </w:rPr>
              <w:t>各分标预算金额</w:t>
            </w:r>
            <w:r>
              <w:rPr>
                <w:rFonts w:ascii="Arial" w:hAnsi="Arial" w:cs="Arial"/>
                <w:kern w:val="0"/>
                <w:szCs w:val="21"/>
              </w:rPr>
              <w:t>×</w:t>
            </w:r>
            <w:r>
              <w:rPr>
                <w:rFonts w:hint="eastAsia" w:ascii="宋体" w:hAnsi="宋体" w:cs="宋体"/>
                <w:kern w:val="0"/>
                <w:szCs w:val="21"/>
              </w:rPr>
              <w:t>折扣系数</w:t>
            </w:r>
            <w:r>
              <w:rPr>
                <w:rFonts w:ascii="Arial" w:hAnsi="Arial" w:cs="Arial"/>
                <w:kern w:val="0"/>
                <w:szCs w:val="21"/>
              </w:rPr>
              <w:t>×</w:t>
            </w:r>
            <w:r>
              <w:rPr>
                <w:rFonts w:hint="eastAsia" w:ascii="宋体" w:hAnsi="宋体" w:cs="Arial"/>
                <w:szCs w:val="21"/>
                <w:u w:val="single"/>
              </w:rPr>
              <w:t xml:space="preserve"> </w:t>
            </w:r>
            <w:r>
              <w:rPr>
                <w:rFonts w:ascii="宋体" w:hAnsi="宋体" w:cs="Arial"/>
                <w:szCs w:val="21"/>
                <w:u w:val="single"/>
              </w:rPr>
              <w:t>2</w:t>
            </w:r>
            <w:r>
              <w:rPr>
                <w:rFonts w:hint="eastAsia" w:ascii="宋体" w:hAnsi="宋体" w:cs="Arial"/>
                <w:szCs w:val="21"/>
                <w:u w:val="single"/>
              </w:rPr>
              <w:t xml:space="preserve"> </w:t>
            </w:r>
            <w:r>
              <w:rPr>
                <w:rFonts w:hint="eastAsia" w:ascii="宋体" w:hAnsi="宋体"/>
                <w:szCs w:val="21"/>
              </w:rPr>
              <w:t>%</w:t>
            </w:r>
            <w:bookmarkEnd w:id="241"/>
            <w:r>
              <w:rPr>
                <w:rFonts w:hint="eastAsia" w:ascii="宋体" w:hAnsi="宋体"/>
                <w:szCs w:val="21"/>
              </w:rPr>
              <w:t>收取，于签订合同之前提交至采购人指定账户，否则按放弃中标资格处理并没收其投标保证金。履约保证金被扣后，中标人应于五个工作日内补齐被扣金额。</w:t>
            </w:r>
          </w:p>
          <w:p w14:paraId="56965486">
            <w:pPr>
              <w:spacing w:line="400" w:lineRule="exact"/>
              <w:contextualSpacing/>
              <w:rPr>
                <w:rFonts w:ascii="宋体" w:hAnsi="宋体" w:cs="宋体"/>
                <w:szCs w:val="21"/>
              </w:rPr>
            </w:pPr>
            <w:r>
              <w:rPr>
                <w:rFonts w:hint="eastAsia" w:ascii="宋体" w:hAnsi="宋体" w:cs="宋体"/>
                <w:szCs w:val="21"/>
              </w:rPr>
              <w:t>2.履约保证金提交方式：银行转账、支票、汇票、本票或者银行、保险机构出具的保函等非现金方式。</w:t>
            </w:r>
          </w:p>
          <w:p w14:paraId="0BF007E6">
            <w:pPr>
              <w:spacing w:line="400" w:lineRule="exact"/>
              <w:contextualSpacing/>
              <w:jc w:val="left"/>
              <w:rPr>
                <w:rFonts w:ascii="宋体" w:hAnsi="宋体" w:cs="宋体"/>
                <w:szCs w:val="21"/>
              </w:rPr>
            </w:pPr>
            <w:r>
              <w:rPr>
                <w:rFonts w:hint="eastAsia" w:ascii="宋体" w:hAnsi="宋体" w:cs="宋体"/>
                <w:szCs w:val="21"/>
              </w:rPr>
              <w:t>3.履约保证金退付方式、时间及条件：</w:t>
            </w:r>
            <w:bookmarkStart w:id="242" w:name="OLE_LINK147"/>
            <w:r>
              <w:rPr>
                <w:rFonts w:hint="eastAsia" w:ascii="宋体" w:hAnsi="宋体" w:cs="宋体"/>
                <w:szCs w:val="21"/>
                <w:u w:val="single"/>
              </w:rPr>
              <w:t>合同期满后，由中标供应商向采购人提出申请，采购人在收到申请材料后对相关违约情况进行核对，如有违约或赔偿的，涉及违约的违约金和损失赔偿从履约保证金中扣减后，采购人15个工作日内转账退还（无息）。</w:t>
            </w:r>
            <w:bookmarkEnd w:id="242"/>
          </w:p>
          <w:p w14:paraId="66AFEF08">
            <w:pPr>
              <w:autoSpaceDE w:val="0"/>
              <w:autoSpaceDN w:val="0"/>
              <w:snapToGrid w:val="0"/>
              <w:spacing w:line="360" w:lineRule="exact"/>
              <w:jc w:val="left"/>
              <w:textAlignment w:val="bottom"/>
              <w:rPr>
                <w:rFonts w:ascii="宋体" w:hAnsi="宋体" w:cs="宋体"/>
                <w:szCs w:val="21"/>
              </w:rPr>
            </w:pPr>
            <w:r>
              <w:rPr>
                <w:rFonts w:hint="eastAsia" w:ascii="宋体" w:hAnsi="宋体" w:cs="宋体"/>
                <w:szCs w:val="21"/>
              </w:rPr>
              <w:t xml:space="preserve">履约保证金指定账户： </w:t>
            </w:r>
          </w:p>
          <w:p w14:paraId="092F730D">
            <w:pPr>
              <w:spacing w:line="400" w:lineRule="exact"/>
              <w:contextualSpacing/>
              <w:rPr>
                <w:rFonts w:ascii="宋体" w:hAnsi="宋体" w:cs="宋体"/>
                <w:szCs w:val="21"/>
              </w:rPr>
            </w:pPr>
            <w:r>
              <w:rPr>
                <w:rFonts w:hint="eastAsia" w:ascii="宋体" w:hAnsi="宋体" w:cs="宋体"/>
                <w:szCs w:val="21"/>
              </w:rPr>
              <w:t>开户名称：</w:t>
            </w:r>
            <w:r>
              <w:rPr>
                <w:rFonts w:hint="eastAsia" w:ascii="宋体" w:hAnsi="宋体"/>
                <w:szCs w:val="21"/>
              </w:rPr>
              <w:t>广西壮族自治区梧州监狱</w:t>
            </w:r>
          </w:p>
          <w:p w14:paraId="2799B80A">
            <w:pPr>
              <w:spacing w:line="400" w:lineRule="exact"/>
              <w:contextualSpacing/>
              <w:rPr>
                <w:rFonts w:ascii="宋体" w:hAnsi="宋体" w:cs="宋体"/>
                <w:szCs w:val="21"/>
              </w:rPr>
            </w:pPr>
            <w:r>
              <w:rPr>
                <w:rFonts w:hint="eastAsia" w:ascii="宋体" w:hAnsi="宋体" w:cs="宋体"/>
                <w:szCs w:val="21"/>
              </w:rPr>
              <w:t>开户银行：农行苍梧县支行营业室</w:t>
            </w:r>
          </w:p>
          <w:p w14:paraId="11D8EE70">
            <w:pPr>
              <w:spacing w:line="400" w:lineRule="exact"/>
              <w:jc w:val="left"/>
              <w:rPr>
                <w:rFonts w:ascii="宋体" w:hAnsi="宋体" w:cs="宋体"/>
                <w:szCs w:val="21"/>
              </w:rPr>
            </w:pPr>
            <w:r>
              <w:rPr>
                <w:rFonts w:hint="eastAsia" w:ascii="宋体" w:hAnsi="宋体" w:cs="宋体"/>
                <w:szCs w:val="21"/>
              </w:rPr>
              <w:t xml:space="preserve">银行账号：20351101040022692 </w:t>
            </w:r>
          </w:p>
          <w:p w14:paraId="4895F624">
            <w:pPr>
              <w:autoSpaceDE w:val="0"/>
              <w:autoSpaceDN w:val="0"/>
              <w:snapToGrid w:val="0"/>
              <w:spacing w:line="360" w:lineRule="exact"/>
              <w:jc w:val="left"/>
              <w:textAlignment w:val="bottom"/>
              <w:rPr>
                <w:rFonts w:ascii="宋体" w:hAnsi="宋体" w:cs="宋体"/>
                <w:szCs w:val="21"/>
              </w:rPr>
            </w:pPr>
            <w:r>
              <w:rPr>
                <w:rFonts w:hint="eastAsia" w:ascii="宋体" w:hAnsi="宋体" w:cs="宋体"/>
                <w:szCs w:val="21"/>
              </w:rPr>
              <w:t>备注：</w:t>
            </w:r>
          </w:p>
          <w:p w14:paraId="14BE3A10">
            <w:pPr>
              <w:autoSpaceDE w:val="0"/>
              <w:autoSpaceDN w:val="0"/>
              <w:snapToGrid w:val="0"/>
              <w:spacing w:line="360" w:lineRule="exact"/>
              <w:jc w:val="left"/>
              <w:textAlignment w:val="bottom"/>
              <w:rPr>
                <w:rFonts w:ascii="宋体" w:hAnsi="宋体" w:cs="宋体"/>
                <w:szCs w:val="21"/>
              </w:rPr>
            </w:pPr>
            <w:r>
              <w:rPr>
                <w:rFonts w:hint="eastAsia" w:ascii="宋体" w:hAnsi="宋体" w:cs="宋体"/>
                <w:szCs w:val="21"/>
              </w:rPr>
              <w:t>1.根据《广西壮族自治区财政厅关于持续优化政府采购营商环境推动高质量发展的通知》（桂财采〔2024〕55号）规定，采购文件要求中标或者成交供应商提交履约保证金的，履约保证金数额不得超过政府采购合同金额的5%，对中小企业收取的履约保证金数额不得超过政府采购合同金额的2%。</w:t>
            </w:r>
          </w:p>
          <w:p w14:paraId="7D0CBD7A">
            <w:pPr>
              <w:autoSpaceDE w:val="0"/>
              <w:autoSpaceDN w:val="0"/>
              <w:snapToGrid w:val="0"/>
              <w:spacing w:line="360" w:lineRule="exact"/>
              <w:jc w:val="left"/>
              <w:textAlignment w:val="bottom"/>
              <w:rPr>
                <w:rFonts w:ascii="宋体" w:hAnsi="宋体" w:cs="宋体"/>
                <w:szCs w:val="21"/>
              </w:rPr>
            </w:pPr>
            <w:r>
              <w:rPr>
                <w:rFonts w:hint="eastAsia" w:ascii="宋体" w:hAnsi="宋体" w:cs="宋体"/>
                <w:szCs w:val="21"/>
              </w:rPr>
              <w:t>2.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6BE08482">
            <w:pPr>
              <w:autoSpaceDE w:val="0"/>
              <w:autoSpaceDN w:val="0"/>
              <w:snapToGrid w:val="0"/>
              <w:spacing w:line="360" w:lineRule="exact"/>
              <w:jc w:val="left"/>
              <w:textAlignment w:val="bottom"/>
              <w:rPr>
                <w:rFonts w:ascii="宋体" w:hAnsi="宋体" w:cs="宋体"/>
                <w:szCs w:val="21"/>
              </w:rPr>
            </w:pPr>
            <w:r>
              <w:rPr>
                <w:rFonts w:hint="eastAsia" w:ascii="宋体" w:hAnsi="宋体" w:cs="宋体"/>
                <w:szCs w:val="21"/>
              </w:rPr>
              <w:t>3.采用银行、保险机构出具的保函（含电子保函）的，必须为无条件保函，否则不予签订合同。</w:t>
            </w:r>
            <w:bookmarkEnd w:id="240"/>
          </w:p>
        </w:tc>
      </w:tr>
      <w:tr w14:paraId="47E93E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5"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1AD16A98">
            <w:pPr>
              <w:spacing w:line="380" w:lineRule="exact"/>
              <w:rPr>
                <w:rFonts w:ascii="宋体" w:hAnsi="宋体" w:cs="宋体"/>
                <w:szCs w:val="21"/>
              </w:rPr>
            </w:pPr>
            <w:r>
              <w:rPr>
                <w:rFonts w:hint="eastAsia" w:ascii="宋体" w:hAnsi="宋体" w:cs="宋体"/>
                <w:szCs w:val="21"/>
              </w:rPr>
              <w:t>36.1</w:t>
            </w:r>
          </w:p>
        </w:tc>
        <w:tc>
          <w:tcPr>
            <w:tcW w:w="1997" w:type="dxa"/>
            <w:tcBorders>
              <w:top w:val="single" w:color="auto" w:sz="4" w:space="0"/>
              <w:left w:val="single" w:color="auto" w:sz="4" w:space="0"/>
              <w:bottom w:val="single" w:color="auto" w:sz="4" w:space="0"/>
              <w:right w:val="single" w:color="auto" w:sz="4" w:space="0"/>
            </w:tcBorders>
            <w:vAlign w:val="center"/>
          </w:tcPr>
          <w:p w14:paraId="4853ECB0">
            <w:pPr>
              <w:spacing w:line="380" w:lineRule="exact"/>
              <w:rPr>
                <w:rFonts w:ascii="宋体" w:hAnsi="宋体" w:cs="宋体"/>
                <w:szCs w:val="21"/>
              </w:rPr>
            </w:pPr>
            <w:bookmarkStart w:id="243" w:name="_40.1"/>
            <w:bookmarkEnd w:id="243"/>
            <w:r>
              <w:rPr>
                <w:rFonts w:hint="eastAsia" w:ascii="宋体" w:hAnsi="宋体" w:cs="宋体"/>
                <w:szCs w:val="21"/>
              </w:rPr>
              <w:t>签订合同携带的材料</w:t>
            </w:r>
          </w:p>
        </w:tc>
        <w:tc>
          <w:tcPr>
            <w:tcW w:w="6334" w:type="dxa"/>
            <w:tcBorders>
              <w:top w:val="single" w:color="auto" w:sz="4" w:space="0"/>
              <w:left w:val="single" w:color="auto" w:sz="4" w:space="0"/>
              <w:bottom w:val="single" w:color="auto" w:sz="4" w:space="0"/>
              <w:right w:val="single" w:color="auto" w:sz="4" w:space="0"/>
            </w:tcBorders>
            <w:vAlign w:val="center"/>
          </w:tcPr>
          <w:p w14:paraId="1520DEF3">
            <w:pPr>
              <w:autoSpaceDE w:val="0"/>
              <w:autoSpaceDN w:val="0"/>
              <w:snapToGrid w:val="0"/>
              <w:spacing w:line="360" w:lineRule="exact"/>
              <w:textAlignment w:val="bottom"/>
              <w:rPr>
                <w:rFonts w:ascii="宋体" w:hAnsi="宋体" w:cs="宋体"/>
                <w:szCs w:val="21"/>
              </w:rPr>
            </w:pPr>
            <w:r>
              <w:rPr>
                <w:rFonts w:hint="eastAsia" w:ascii="宋体" w:hAnsi="宋体" w:cs="宋体"/>
                <w:szCs w:val="21"/>
              </w:rPr>
              <w:t>委托代理人负责签订合同的，须携带授权委托书及委托代理人身份证原件等其他资格证件。</w:t>
            </w:r>
          </w:p>
          <w:p w14:paraId="34B2EF00">
            <w:pPr>
              <w:autoSpaceDE w:val="0"/>
              <w:autoSpaceDN w:val="0"/>
              <w:snapToGrid w:val="0"/>
              <w:spacing w:line="360" w:lineRule="exact"/>
              <w:textAlignment w:val="bottom"/>
              <w:rPr>
                <w:rFonts w:ascii="宋体" w:hAnsi="宋体" w:cs="宋体"/>
                <w:szCs w:val="21"/>
              </w:rPr>
            </w:pPr>
            <w:r>
              <w:rPr>
                <w:rFonts w:hint="eastAsia" w:ascii="宋体" w:hAnsi="宋体" w:cs="宋体"/>
                <w:szCs w:val="21"/>
              </w:rPr>
              <w:t>法定代表人负责签订合同的，须携带法定代表人身份证明原件及身份证原件等其他证明材料。</w:t>
            </w:r>
          </w:p>
        </w:tc>
      </w:tr>
      <w:tr w14:paraId="6A79FF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946" w:type="dxa"/>
            <w:vMerge w:val="restart"/>
            <w:tcBorders>
              <w:top w:val="single" w:color="auto" w:sz="4" w:space="0"/>
              <w:left w:val="single" w:color="auto" w:sz="4" w:space="0"/>
              <w:right w:val="single" w:color="auto" w:sz="4" w:space="0"/>
            </w:tcBorders>
            <w:vAlign w:val="center"/>
          </w:tcPr>
          <w:p w14:paraId="0EB0E319">
            <w:pPr>
              <w:spacing w:line="380" w:lineRule="exact"/>
              <w:rPr>
                <w:rFonts w:ascii="宋体" w:hAnsi="宋体" w:cs="宋体"/>
                <w:szCs w:val="21"/>
              </w:rPr>
            </w:pPr>
            <w:r>
              <w:rPr>
                <w:rFonts w:hint="eastAsia" w:ascii="宋体" w:hAnsi="宋体" w:cs="宋体"/>
                <w:szCs w:val="21"/>
              </w:rPr>
              <w:t>38.2.1</w:t>
            </w:r>
          </w:p>
        </w:tc>
        <w:tc>
          <w:tcPr>
            <w:tcW w:w="1997" w:type="dxa"/>
            <w:tcBorders>
              <w:top w:val="single" w:color="auto" w:sz="4" w:space="0"/>
              <w:left w:val="single" w:color="auto" w:sz="4" w:space="0"/>
              <w:bottom w:val="single" w:color="auto" w:sz="4" w:space="0"/>
              <w:right w:val="single" w:color="auto" w:sz="4" w:space="0"/>
            </w:tcBorders>
            <w:vAlign w:val="center"/>
          </w:tcPr>
          <w:p w14:paraId="741D4C48">
            <w:pPr>
              <w:spacing w:line="380" w:lineRule="exact"/>
              <w:rPr>
                <w:rFonts w:ascii="宋体" w:hAnsi="宋体" w:cs="宋体"/>
                <w:szCs w:val="21"/>
              </w:rPr>
            </w:pPr>
            <w:r>
              <w:rPr>
                <w:rFonts w:hint="eastAsia" w:ascii="宋体" w:hAnsi="宋体" w:cs="宋体"/>
                <w:szCs w:val="21"/>
              </w:rPr>
              <w:t>接收质疑函方式</w:t>
            </w:r>
          </w:p>
        </w:tc>
        <w:tc>
          <w:tcPr>
            <w:tcW w:w="6334" w:type="dxa"/>
            <w:tcBorders>
              <w:top w:val="single" w:color="auto" w:sz="4" w:space="0"/>
              <w:left w:val="single" w:color="auto" w:sz="4" w:space="0"/>
              <w:bottom w:val="single" w:color="auto" w:sz="4" w:space="0"/>
              <w:right w:val="single" w:color="auto" w:sz="4" w:space="0"/>
            </w:tcBorders>
            <w:vAlign w:val="center"/>
          </w:tcPr>
          <w:p w14:paraId="4A38F7DA">
            <w:pPr>
              <w:snapToGrid w:val="0"/>
              <w:spacing w:line="360" w:lineRule="exact"/>
              <w:rPr>
                <w:rFonts w:ascii="宋体" w:hAnsi="宋体" w:cs="宋体"/>
                <w:szCs w:val="21"/>
              </w:rPr>
            </w:pPr>
            <w:r>
              <w:rPr>
                <w:rFonts w:hint="eastAsia" w:ascii="宋体" w:hAnsi="宋体" w:cs="宋体"/>
                <w:szCs w:val="21"/>
              </w:rPr>
              <w:t>以书面形式</w:t>
            </w:r>
          </w:p>
        </w:tc>
      </w:tr>
      <w:tr w14:paraId="7F1E7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946" w:type="dxa"/>
            <w:vMerge w:val="continue"/>
            <w:tcBorders>
              <w:left w:val="single" w:color="auto" w:sz="4" w:space="0"/>
              <w:right w:val="single" w:color="auto" w:sz="4" w:space="0"/>
            </w:tcBorders>
            <w:vAlign w:val="center"/>
          </w:tcPr>
          <w:p w14:paraId="28DCF49A">
            <w:pPr>
              <w:spacing w:line="380" w:lineRule="exact"/>
              <w:rPr>
                <w:rFonts w:ascii="宋体" w:hAnsi="宋体" w:cs="宋体"/>
                <w:szCs w:val="21"/>
              </w:rPr>
            </w:pPr>
          </w:p>
        </w:tc>
        <w:tc>
          <w:tcPr>
            <w:tcW w:w="1997" w:type="dxa"/>
            <w:tcBorders>
              <w:top w:val="single" w:color="auto" w:sz="4" w:space="0"/>
              <w:left w:val="single" w:color="auto" w:sz="4" w:space="0"/>
              <w:bottom w:val="single" w:color="auto" w:sz="4" w:space="0"/>
              <w:right w:val="single" w:color="auto" w:sz="4" w:space="0"/>
            </w:tcBorders>
            <w:vAlign w:val="center"/>
          </w:tcPr>
          <w:p w14:paraId="28F7444D">
            <w:pPr>
              <w:spacing w:line="380" w:lineRule="exact"/>
              <w:rPr>
                <w:rFonts w:ascii="宋体" w:hAnsi="宋体" w:cs="宋体"/>
                <w:szCs w:val="21"/>
              </w:rPr>
            </w:pPr>
            <w:r>
              <w:rPr>
                <w:rFonts w:hint="eastAsia" w:ascii="宋体" w:hAnsi="宋体" w:cs="宋体"/>
                <w:szCs w:val="21"/>
              </w:rPr>
              <w:t>质疑联系部门及联系方式</w:t>
            </w:r>
          </w:p>
        </w:tc>
        <w:tc>
          <w:tcPr>
            <w:tcW w:w="6334" w:type="dxa"/>
            <w:tcBorders>
              <w:top w:val="single" w:color="auto" w:sz="4" w:space="0"/>
              <w:left w:val="single" w:color="auto" w:sz="4" w:space="0"/>
              <w:bottom w:val="single" w:color="auto" w:sz="4" w:space="0"/>
              <w:right w:val="single" w:color="auto" w:sz="4" w:space="0"/>
            </w:tcBorders>
            <w:vAlign w:val="center"/>
          </w:tcPr>
          <w:p w14:paraId="3C0C4EE6">
            <w:pPr>
              <w:snapToGrid w:val="0"/>
              <w:spacing w:line="360" w:lineRule="exact"/>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广西德元工程项目管理有限责任公司  招标  </w:t>
            </w:r>
            <w:r>
              <w:rPr>
                <w:rFonts w:hint="eastAsia" w:ascii="宋体" w:hAnsi="宋体" w:cs="宋体"/>
                <w:szCs w:val="21"/>
              </w:rPr>
              <w:t>部门；</w:t>
            </w:r>
          </w:p>
          <w:p w14:paraId="6358389F">
            <w:pPr>
              <w:snapToGrid w:val="0"/>
              <w:spacing w:line="360" w:lineRule="exact"/>
              <w:rPr>
                <w:rFonts w:ascii="宋体" w:hAnsi="宋体" w:cs="宋体"/>
                <w:szCs w:val="21"/>
              </w:rPr>
            </w:pPr>
            <w:r>
              <w:rPr>
                <w:rFonts w:hint="eastAsia" w:ascii="宋体" w:hAnsi="宋体" w:cs="宋体"/>
                <w:szCs w:val="21"/>
              </w:rPr>
              <w:t>联系电话：</w:t>
            </w:r>
            <w:r>
              <w:rPr>
                <w:rFonts w:hint="eastAsia" w:ascii="宋体" w:hAnsi="宋体"/>
                <w:szCs w:val="21"/>
              </w:rPr>
              <w:t>0771-5084767、</w:t>
            </w:r>
            <w:r>
              <w:rPr>
                <w:rFonts w:hint="eastAsia" w:ascii="宋体" w:hAnsi="宋体" w:cs="宋体"/>
                <w:szCs w:val="21"/>
              </w:rPr>
              <w:t>17373191483，</w:t>
            </w:r>
          </w:p>
          <w:p w14:paraId="1EE80E66">
            <w:pPr>
              <w:snapToGrid w:val="0"/>
              <w:spacing w:line="360" w:lineRule="exact"/>
              <w:rPr>
                <w:rFonts w:ascii="宋体" w:hAnsi="宋体" w:cs="宋体"/>
                <w:szCs w:val="21"/>
              </w:rPr>
            </w:pPr>
            <w:r>
              <w:rPr>
                <w:rFonts w:hint="eastAsia" w:ascii="宋体" w:hAnsi="宋体" w:cs="宋体"/>
                <w:szCs w:val="21"/>
              </w:rPr>
              <w:t xml:space="preserve">通讯地址：南宁市良庆区凯旋路15号绿地中心七号楼八楼 </w:t>
            </w:r>
          </w:p>
        </w:tc>
      </w:tr>
      <w:tr w14:paraId="38731C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946" w:type="dxa"/>
            <w:vMerge w:val="continue"/>
            <w:tcBorders>
              <w:left w:val="single" w:color="auto" w:sz="4" w:space="0"/>
              <w:bottom w:val="single" w:color="auto" w:sz="4" w:space="0"/>
              <w:right w:val="single" w:color="auto" w:sz="4" w:space="0"/>
            </w:tcBorders>
            <w:vAlign w:val="center"/>
          </w:tcPr>
          <w:p w14:paraId="211C59FF">
            <w:pPr>
              <w:spacing w:line="380" w:lineRule="exact"/>
              <w:rPr>
                <w:rFonts w:ascii="宋体" w:hAnsi="宋体" w:cs="宋体"/>
                <w:szCs w:val="21"/>
              </w:rPr>
            </w:pPr>
          </w:p>
        </w:tc>
        <w:tc>
          <w:tcPr>
            <w:tcW w:w="1997" w:type="dxa"/>
            <w:tcBorders>
              <w:top w:val="single" w:color="auto" w:sz="4" w:space="0"/>
              <w:left w:val="single" w:color="auto" w:sz="4" w:space="0"/>
              <w:bottom w:val="single" w:color="auto" w:sz="4" w:space="0"/>
              <w:right w:val="single" w:color="auto" w:sz="4" w:space="0"/>
            </w:tcBorders>
            <w:vAlign w:val="center"/>
          </w:tcPr>
          <w:p w14:paraId="6D36216C">
            <w:pPr>
              <w:spacing w:line="380" w:lineRule="exact"/>
              <w:rPr>
                <w:rFonts w:ascii="宋体" w:hAnsi="宋体" w:cs="宋体"/>
                <w:szCs w:val="21"/>
              </w:rPr>
            </w:pPr>
            <w:r>
              <w:rPr>
                <w:rFonts w:hint="eastAsia" w:ascii="宋体" w:hAnsi="宋体" w:cs="宋体"/>
              </w:rPr>
              <w:t>现场提交质疑办理业务时间</w:t>
            </w:r>
          </w:p>
        </w:tc>
        <w:tc>
          <w:tcPr>
            <w:tcW w:w="6334" w:type="dxa"/>
            <w:tcBorders>
              <w:top w:val="single" w:color="auto" w:sz="4" w:space="0"/>
              <w:left w:val="single" w:color="auto" w:sz="4" w:space="0"/>
              <w:bottom w:val="single" w:color="auto" w:sz="4" w:space="0"/>
              <w:right w:val="single" w:color="auto" w:sz="4" w:space="0"/>
            </w:tcBorders>
            <w:vAlign w:val="center"/>
          </w:tcPr>
          <w:p w14:paraId="00C9558A">
            <w:pPr>
              <w:snapToGrid w:val="0"/>
              <w:spacing w:line="360" w:lineRule="exact"/>
              <w:rPr>
                <w:rFonts w:ascii="宋体" w:hAnsi="宋体" w:cs="宋体"/>
                <w:szCs w:val="21"/>
              </w:rPr>
            </w:pPr>
            <w:r>
              <w:rPr>
                <w:rFonts w:hint="eastAsia" w:ascii="宋体" w:hAnsi="宋体" w:cs="宋体"/>
              </w:rPr>
              <w:t>质疑期内每个工作日</w:t>
            </w:r>
            <w:r>
              <w:rPr>
                <w:rFonts w:hint="eastAsia" w:ascii="宋体" w:hAnsi="宋体" w:cs="宋体"/>
                <w:u w:val="single"/>
              </w:rPr>
              <w:t xml:space="preserve"> 09 </w:t>
            </w:r>
            <w:r>
              <w:rPr>
                <w:rFonts w:hint="eastAsia" w:ascii="宋体" w:hAnsi="宋体" w:cs="宋体"/>
              </w:rPr>
              <w:t>时</w:t>
            </w:r>
            <w:r>
              <w:rPr>
                <w:rFonts w:hint="eastAsia" w:ascii="宋体" w:hAnsi="宋体" w:cs="宋体"/>
                <w:u w:val="single"/>
              </w:rPr>
              <w:t xml:space="preserve"> 30 </w:t>
            </w:r>
            <w:r>
              <w:rPr>
                <w:rFonts w:hint="eastAsia" w:ascii="宋体" w:hAnsi="宋体" w:cs="宋体"/>
              </w:rPr>
              <w:t>分到</w:t>
            </w:r>
            <w:r>
              <w:rPr>
                <w:rFonts w:hint="eastAsia" w:ascii="宋体" w:hAnsi="宋体" w:cs="宋体"/>
                <w:u w:val="single"/>
              </w:rPr>
              <w:t xml:space="preserve"> 12 </w:t>
            </w:r>
            <w:r>
              <w:rPr>
                <w:rFonts w:hint="eastAsia" w:ascii="宋体" w:hAnsi="宋体" w:cs="宋体"/>
              </w:rPr>
              <w:t>时</w:t>
            </w:r>
            <w:r>
              <w:rPr>
                <w:rFonts w:hint="eastAsia" w:ascii="宋体" w:hAnsi="宋体" w:cs="宋体"/>
                <w:u w:val="single"/>
              </w:rPr>
              <w:t xml:space="preserve"> 00  </w:t>
            </w:r>
            <w:r>
              <w:rPr>
                <w:rFonts w:hint="eastAsia" w:ascii="宋体" w:hAnsi="宋体" w:cs="宋体"/>
              </w:rPr>
              <w:t>分，</w:t>
            </w:r>
            <w:r>
              <w:rPr>
                <w:rFonts w:hint="eastAsia" w:ascii="宋体" w:hAnsi="宋体" w:cs="宋体"/>
                <w:u w:val="single"/>
              </w:rPr>
              <w:t xml:space="preserve"> 15 </w:t>
            </w:r>
            <w:r>
              <w:rPr>
                <w:rFonts w:hint="eastAsia" w:ascii="宋体" w:hAnsi="宋体" w:cs="宋体"/>
              </w:rPr>
              <w:t>时</w:t>
            </w:r>
            <w:r>
              <w:rPr>
                <w:rFonts w:hint="eastAsia" w:ascii="宋体" w:hAnsi="宋体" w:cs="宋体"/>
                <w:u w:val="single"/>
              </w:rPr>
              <w:t xml:space="preserve"> 00 </w:t>
            </w:r>
            <w:r>
              <w:rPr>
                <w:rFonts w:hint="eastAsia" w:ascii="宋体" w:hAnsi="宋体" w:cs="宋体"/>
              </w:rPr>
              <w:t>分到</w:t>
            </w:r>
            <w:r>
              <w:rPr>
                <w:rFonts w:hint="eastAsia" w:ascii="宋体" w:hAnsi="宋体" w:cs="宋体"/>
                <w:u w:val="single"/>
              </w:rPr>
              <w:t xml:space="preserve"> 18  </w:t>
            </w:r>
            <w:r>
              <w:rPr>
                <w:rFonts w:hint="eastAsia" w:ascii="宋体" w:hAnsi="宋体" w:cs="宋体"/>
              </w:rPr>
              <w:t>时</w:t>
            </w:r>
            <w:r>
              <w:rPr>
                <w:rFonts w:hint="eastAsia" w:ascii="宋体" w:hAnsi="宋体" w:cs="宋体"/>
                <w:u w:val="single"/>
              </w:rPr>
              <w:t xml:space="preserve">  00 </w:t>
            </w:r>
            <w:r>
              <w:rPr>
                <w:rFonts w:hint="eastAsia" w:ascii="宋体" w:hAnsi="宋体" w:cs="宋体"/>
              </w:rPr>
              <w:t>分，业务时间以外、双休日和法定节假日不办理业务。</w:t>
            </w:r>
          </w:p>
        </w:tc>
      </w:tr>
      <w:tr w14:paraId="55212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4" w:hRule="atLeast"/>
          <w:jc w:val="center"/>
        </w:trPr>
        <w:tc>
          <w:tcPr>
            <w:tcW w:w="946" w:type="dxa"/>
            <w:tcBorders>
              <w:top w:val="single" w:color="auto" w:sz="4" w:space="0"/>
              <w:left w:val="single" w:color="auto" w:sz="4" w:space="0"/>
              <w:right w:val="single" w:color="auto" w:sz="4" w:space="0"/>
            </w:tcBorders>
            <w:vAlign w:val="center"/>
          </w:tcPr>
          <w:p w14:paraId="74EE6AF1">
            <w:pPr>
              <w:spacing w:line="380" w:lineRule="exact"/>
              <w:rPr>
                <w:rFonts w:ascii="宋体" w:hAnsi="宋体" w:cs="宋体"/>
                <w:szCs w:val="21"/>
              </w:rPr>
            </w:pPr>
            <w:bookmarkStart w:id="244" w:name="_Hlt17709148"/>
            <w:r>
              <w:rPr>
                <w:rFonts w:hint="eastAsia" w:ascii="宋体" w:hAnsi="宋体"/>
                <w:szCs w:val="21"/>
              </w:rPr>
              <w:t>3</w:t>
            </w:r>
            <w:bookmarkEnd w:id="244"/>
            <w:r>
              <w:rPr>
                <w:rFonts w:ascii="宋体" w:hAnsi="宋体"/>
                <w:szCs w:val="21"/>
              </w:rPr>
              <w:t>9.1</w:t>
            </w:r>
          </w:p>
        </w:tc>
        <w:tc>
          <w:tcPr>
            <w:tcW w:w="1997" w:type="dxa"/>
            <w:tcBorders>
              <w:top w:val="single" w:color="auto" w:sz="4" w:space="0"/>
              <w:left w:val="single" w:color="auto" w:sz="4" w:space="0"/>
              <w:right w:val="single" w:color="auto" w:sz="4" w:space="0"/>
            </w:tcBorders>
            <w:vAlign w:val="center"/>
          </w:tcPr>
          <w:p w14:paraId="67922D3A">
            <w:pPr>
              <w:spacing w:line="380" w:lineRule="exact"/>
              <w:rPr>
                <w:rFonts w:ascii="宋体" w:hAnsi="宋体" w:cs="宋体"/>
                <w:szCs w:val="21"/>
              </w:rPr>
            </w:pPr>
            <w:bookmarkStart w:id="245" w:name="_41"/>
            <w:bookmarkEnd w:id="245"/>
            <w:bookmarkStart w:id="246" w:name="_42"/>
            <w:bookmarkEnd w:id="246"/>
            <w:r>
              <w:rPr>
                <w:rFonts w:hint="eastAsia" w:ascii="宋体" w:hAnsi="宋体" w:cs="宋体"/>
              </w:rPr>
              <w:t>采购代理费支付方式</w:t>
            </w:r>
          </w:p>
        </w:tc>
        <w:tc>
          <w:tcPr>
            <w:tcW w:w="6334" w:type="dxa"/>
            <w:tcBorders>
              <w:top w:val="single" w:color="auto" w:sz="4" w:space="0"/>
              <w:left w:val="single" w:color="auto" w:sz="4" w:space="0"/>
              <w:bottom w:val="single" w:color="auto" w:sz="4" w:space="0"/>
              <w:right w:val="single" w:color="auto" w:sz="4" w:space="0"/>
            </w:tcBorders>
            <w:vAlign w:val="center"/>
          </w:tcPr>
          <w:p w14:paraId="5D9684D5">
            <w:pPr>
              <w:pStyle w:val="20"/>
              <w:snapToGrid w:val="0"/>
              <w:spacing w:line="400" w:lineRule="exact"/>
              <w:rPr>
                <w:rFonts w:hAnsi="宋体" w:cs="宋体"/>
              </w:rPr>
            </w:pPr>
            <w:r>
              <w:rPr>
                <w:rFonts w:hint="eastAsia" w:hAnsi="宋体" w:cs="宋体"/>
              </w:rPr>
              <w:t>1.采购代理费支付方式：</w:t>
            </w:r>
          </w:p>
          <w:p w14:paraId="4626C0C5">
            <w:pPr>
              <w:pStyle w:val="20"/>
              <w:snapToGrid w:val="0"/>
              <w:spacing w:line="400" w:lineRule="exact"/>
              <w:rPr>
                <w:rFonts w:hAnsi="宋体" w:cs="宋体"/>
              </w:rPr>
            </w:pPr>
            <w:r>
              <w:rPr>
                <w:rFonts w:hint="eastAsia" w:hAnsi="宋体" w:cs="宋体"/>
              </w:rPr>
              <w:t>☑ 本项目代理服务费由</w:t>
            </w:r>
            <w:r>
              <w:rPr>
                <w:rFonts w:hint="eastAsia" w:hAnsi="宋体" w:cs="宋体"/>
                <w:u w:val="single"/>
              </w:rPr>
              <w:t>中标人</w:t>
            </w:r>
            <w:r>
              <w:rPr>
                <w:rFonts w:hint="eastAsia" w:hAnsi="宋体" w:cs="宋体"/>
              </w:rPr>
              <w:t>一次性向采购代理机构支付。</w:t>
            </w:r>
          </w:p>
          <w:p w14:paraId="7B2787F5">
            <w:pPr>
              <w:pStyle w:val="20"/>
              <w:snapToGrid w:val="0"/>
              <w:spacing w:line="400" w:lineRule="exact"/>
              <w:rPr>
                <w:rFonts w:hAnsi="宋体" w:cs="宋体"/>
              </w:rPr>
            </w:pPr>
            <w:r>
              <w:rPr>
                <w:rFonts w:hint="eastAsia" w:hAnsi="宋体" w:cs="宋体"/>
              </w:rPr>
              <w:t>□采购人支付。</w:t>
            </w:r>
          </w:p>
          <w:p w14:paraId="4E71A11F">
            <w:pPr>
              <w:pStyle w:val="20"/>
              <w:snapToGrid w:val="0"/>
              <w:spacing w:line="400" w:lineRule="exact"/>
              <w:rPr>
                <w:rFonts w:hAnsi="宋体" w:cs="宋体"/>
              </w:rPr>
            </w:pPr>
            <w:r>
              <w:rPr>
                <w:rFonts w:hint="eastAsia" w:hAnsi="宋体" w:cs="宋体"/>
              </w:rPr>
              <w:t>2.采购代理费收取标准：</w:t>
            </w:r>
          </w:p>
          <w:p w14:paraId="4BDFF710">
            <w:pPr>
              <w:pStyle w:val="20"/>
              <w:snapToGrid w:val="0"/>
              <w:spacing w:line="400" w:lineRule="exact"/>
              <w:rPr>
                <w:rFonts w:hAnsi="宋体" w:cs="宋体"/>
              </w:rPr>
            </w:pPr>
            <w:r>
              <w:rPr>
                <w:rFonts w:hint="eastAsia" w:hAnsi="宋体" w:cs="宋体"/>
              </w:rPr>
              <w:t>☑ 以标项（□中标金额/</w:t>
            </w:r>
            <w:bookmarkStart w:id="247" w:name="OLE_LINK50"/>
            <w:r>
              <w:rPr>
                <w:rFonts w:hint="eastAsia" w:hAnsi="宋体" w:cs="宋体"/>
              </w:rPr>
              <w:t xml:space="preserve">☑ </w:t>
            </w:r>
            <w:bookmarkEnd w:id="247"/>
            <w:r>
              <w:rPr>
                <w:rFonts w:hint="eastAsia" w:hAnsi="宋体" w:cs="宋体"/>
              </w:rPr>
              <w:t>采购预算/□暂定中标金额/□其他   ）为计费额，按本须知正文第39.2条规定的标准（☑ 货物招标/□服务招标/□工程招标）采用差额定率累进法计算出收费基准价格，采购代理收费以（☑ 收费基准价格/□收费基准价格下浮/□收费基准价格上浮   %）收取。</w:t>
            </w:r>
          </w:p>
          <w:p w14:paraId="18EC716C">
            <w:pPr>
              <w:pStyle w:val="20"/>
              <w:snapToGrid w:val="0"/>
              <w:spacing w:line="400" w:lineRule="exact"/>
              <w:rPr>
                <w:rFonts w:hAnsi="宋体" w:cs="宋体"/>
              </w:rPr>
            </w:pPr>
            <w:r>
              <w:rPr>
                <w:rFonts w:hint="eastAsia" w:hAnsi="宋体" w:cs="宋体"/>
              </w:rPr>
              <w:t xml:space="preserve">□固定采购代理收费：           </w:t>
            </w:r>
          </w:p>
          <w:p w14:paraId="43B0A54C">
            <w:pPr>
              <w:pStyle w:val="20"/>
              <w:snapToGrid w:val="0"/>
              <w:spacing w:line="400" w:lineRule="exact"/>
              <w:rPr>
                <w:rFonts w:hAnsi="宋体" w:cs="宋体"/>
              </w:rPr>
            </w:pPr>
            <w:r>
              <w:rPr>
                <w:rFonts w:hint="eastAsia" w:hAnsi="宋体" w:cs="宋体"/>
              </w:rPr>
              <w:t>3.账户名称：广西德元工程项目管理有限责任公司防城港分公司</w:t>
            </w:r>
          </w:p>
          <w:p w14:paraId="667142F9">
            <w:pPr>
              <w:pStyle w:val="20"/>
              <w:snapToGrid w:val="0"/>
              <w:spacing w:line="400" w:lineRule="exact"/>
              <w:rPr>
                <w:rFonts w:hAnsi="宋体" w:cs="宋体"/>
              </w:rPr>
            </w:pPr>
            <w:r>
              <w:rPr>
                <w:rFonts w:hint="eastAsia" w:hAnsi="宋体" w:cs="宋体"/>
              </w:rPr>
              <w:t>开户银行：中国农业银行股份有限公司防城港分行营业室</w:t>
            </w:r>
          </w:p>
          <w:p w14:paraId="4CC4BF88">
            <w:pPr>
              <w:pStyle w:val="20"/>
              <w:widowControl/>
              <w:snapToGrid w:val="0"/>
              <w:spacing w:line="400" w:lineRule="exact"/>
              <w:rPr>
                <w:rFonts w:hAnsi="宋体" w:cs="宋体"/>
              </w:rPr>
            </w:pPr>
            <w:r>
              <w:rPr>
                <w:rFonts w:hint="eastAsia" w:hAnsi="宋体" w:cs="宋体"/>
              </w:rPr>
              <w:t>银行账号：20765101040118920</w:t>
            </w:r>
          </w:p>
        </w:tc>
      </w:tr>
      <w:tr w14:paraId="5F622F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6" w:type="dxa"/>
            <w:tcBorders>
              <w:top w:val="single" w:color="auto" w:sz="4" w:space="0"/>
              <w:left w:val="single" w:color="auto" w:sz="4" w:space="0"/>
              <w:bottom w:val="single" w:color="auto" w:sz="4" w:space="0"/>
              <w:right w:val="single" w:color="auto" w:sz="4" w:space="0"/>
            </w:tcBorders>
            <w:vAlign w:val="center"/>
          </w:tcPr>
          <w:p w14:paraId="354898B5">
            <w:pPr>
              <w:snapToGrid w:val="0"/>
              <w:spacing w:line="380" w:lineRule="exact"/>
              <w:jc w:val="center"/>
              <w:rPr>
                <w:rFonts w:ascii="宋体" w:hAnsi="宋体" w:cs="宋体"/>
                <w:szCs w:val="21"/>
              </w:rPr>
            </w:pPr>
            <w:r>
              <w:rPr>
                <w:rFonts w:hint="eastAsia" w:ascii="宋体" w:hAnsi="宋体" w:cs="宋体"/>
                <w:szCs w:val="21"/>
              </w:rPr>
              <w:t>40.1</w:t>
            </w:r>
          </w:p>
        </w:tc>
        <w:tc>
          <w:tcPr>
            <w:tcW w:w="1997" w:type="dxa"/>
            <w:tcBorders>
              <w:top w:val="single" w:color="auto" w:sz="4" w:space="0"/>
              <w:left w:val="single" w:color="auto" w:sz="4" w:space="0"/>
              <w:bottom w:val="single" w:color="auto" w:sz="4" w:space="0"/>
              <w:right w:val="single" w:color="auto" w:sz="4" w:space="0"/>
            </w:tcBorders>
            <w:vAlign w:val="center"/>
          </w:tcPr>
          <w:p w14:paraId="6CD98592">
            <w:pPr>
              <w:snapToGrid w:val="0"/>
              <w:spacing w:line="380" w:lineRule="exact"/>
              <w:rPr>
                <w:rFonts w:ascii="宋体" w:hAnsi="宋体" w:cs="宋体"/>
                <w:szCs w:val="21"/>
              </w:rPr>
            </w:pPr>
            <w:r>
              <w:rPr>
                <w:rFonts w:hint="eastAsia" w:ascii="宋体" w:hAnsi="宋体" w:cs="宋体"/>
                <w:szCs w:val="21"/>
              </w:rPr>
              <w:t>解释</w:t>
            </w:r>
          </w:p>
        </w:tc>
        <w:tc>
          <w:tcPr>
            <w:tcW w:w="6334" w:type="dxa"/>
            <w:tcBorders>
              <w:top w:val="single" w:color="auto" w:sz="4" w:space="0"/>
              <w:left w:val="single" w:color="auto" w:sz="4" w:space="0"/>
              <w:bottom w:val="single" w:color="auto" w:sz="4" w:space="0"/>
              <w:right w:val="single" w:color="auto" w:sz="4" w:space="0"/>
            </w:tcBorders>
            <w:vAlign w:val="center"/>
          </w:tcPr>
          <w:p w14:paraId="10165EF5">
            <w:pPr>
              <w:autoSpaceDE w:val="0"/>
              <w:autoSpaceDN w:val="0"/>
              <w:snapToGrid w:val="0"/>
              <w:spacing w:line="360" w:lineRule="exact"/>
              <w:jc w:val="left"/>
              <w:textAlignment w:val="bottom"/>
              <w:rPr>
                <w:rFonts w:ascii="宋体" w:hAnsi="宋体" w:cs="宋体"/>
                <w:szCs w:val="21"/>
              </w:rPr>
            </w:pPr>
            <w:r>
              <w:rPr>
                <w:rFonts w:hint="eastAsia" w:ascii="宋体" w:hAnsi="宋体" w:cs="宋体"/>
                <w:szCs w:val="21"/>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7C4A81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6" w:type="dxa"/>
            <w:tcBorders>
              <w:top w:val="single" w:color="auto" w:sz="4" w:space="0"/>
              <w:left w:val="single" w:color="auto" w:sz="4" w:space="0"/>
              <w:bottom w:val="single" w:color="auto" w:sz="4" w:space="0"/>
              <w:right w:val="single" w:color="auto" w:sz="4" w:space="0"/>
            </w:tcBorders>
            <w:vAlign w:val="center"/>
          </w:tcPr>
          <w:p w14:paraId="73814378">
            <w:pPr>
              <w:snapToGrid w:val="0"/>
              <w:spacing w:line="380" w:lineRule="exact"/>
              <w:jc w:val="center"/>
              <w:rPr>
                <w:rFonts w:ascii="宋体" w:hAnsi="宋体" w:cs="宋体"/>
                <w:szCs w:val="21"/>
              </w:rPr>
            </w:pPr>
            <w:r>
              <w:rPr>
                <w:rFonts w:hint="eastAsia" w:ascii="宋体" w:hAnsi="宋体" w:cs="宋体"/>
                <w:szCs w:val="21"/>
              </w:rPr>
              <w:t>40.2</w:t>
            </w:r>
          </w:p>
        </w:tc>
        <w:tc>
          <w:tcPr>
            <w:tcW w:w="1997" w:type="dxa"/>
            <w:tcBorders>
              <w:top w:val="single" w:color="auto" w:sz="4" w:space="0"/>
              <w:left w:val="single" w:color="auto" w:sz="4" w:space="0"/>
              <w:bottom w:val="single" w:color="auto" w:sz="4" w:space="0"/>
              <w:right w:val="single" w:color="auto" w:sz="4" w:space="0"/>
            </w:tcBorders>
            <w:vAlign w:val="center"/>
          </w:tcPr>
          <w:p w14:paraId="59630ACA">
            <w:pPr>
              <w:snapToGrid w:val="0"/>
              <w:spacing w:line="380" w:lineRule="exact"/>
              <w:rPr>
                <w:rFonts w:ascii="宋体" w:hAnsi="宋体" w:cs="宋体"/>
                <w:szCs w:val="21"/>
              </w:rPr>
            </w:pPr>
            <w:r>
              <w:rPr>
                <w:rFonts w:hint="eastAsia" w:ascii="宋体" w:hAnsi="宋体" w:cs="宋体"/>
                <w:szCs w:val="21"/>
              </w:rPr>
              <w:t>其他释义</w:t>
            </w:r>
          </w:p>
        </w:tc>
        <w:tc>
          <w:tcPr>
            <w:tcW w:w="6334" w:type="dxa"/>
            <w:tcBorders>
              <w:top w:val="single" w:color="auto" w:sz="4" w:space="0"/>
              <w:left w:val="single" w:color="auto" w:sz="4" w:space="0"/>
              <w:bottom w:val="single" w:color="auto" w:sz="4" w:space="0"/>
              <w:right w:val="single" w:color="auto" w:sz="4" w:space="0"/>
            </w:tcBorders>
            <w:vAlign w:val="center"/>
          </w:tcPr>
          <w:p w14:paraId="71E40768">
            <w:pPr>
              <w:autoSpaceDE w:val="0"/>
              <w:autoSpaceDN w:val="0"/>
              <w:spacing w:line="360" w:lineRule="exact"/>
              <w:jc w:val="left"/>
              <w:textAlignment w:val="bottom"/>
              <w:rPr>
                <w:rFonts w:ascii="宋体" w:hAnsi="宋体" w:cs="宋体"/>
                <w:szCs w:val="21"/>
              </w:rPr>
            </w:pPr>
            <w:r>
              <w:rPr>
                <w:rFonts w:hint="eastAsia" w:ascii="宋体" w:hAnsi="宋体" w:cs="宋体"/>
                <w:szCs w:val="2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3D493128">
            <w:pPr>
              <w:autoSpaceDE w:val="0"/>
              <w:autoSpaceDN w:val="0"/>
              <w:spacing w:line="360" w:lineRule="exact"/>
              <w:jc w:val="left"/>
              <w:textAlignment w:val="bottom"/>
              <w:rPr>
                <w:rFonts w:ascii="宋体" w:hAnsi="宋体" w:cs="宋体"/>
                <w:szCs w:val="21"/>
              </w:rPr>
            </w:pPr>
            <w:r>
              <w:rPr>
                <w:rFonts w:hint="eastAsia" w:ascii="宋体" w:hAnsi="宋体" w:cs="宋体"/>
                <w:szCs w:val="21"/>
              </w:rPr>
              <w:t>2.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14:paraId="5DC7A469">
            <w:pPr>
              <w:autoSpaceDE w:val="0"/>
              <w:autoSpaceDN w:val="0"/>
              <w:spacing w:line="360" w:lineRule="exact"/>
              <w:jc w:val="left"/>
              <w:textAlignment w:val="bottom"/>
              <w:rPr>
                <w:rFonts w:ascii="宋体" w:hAnsi="宋体" w:cs="宋体"/>
                <w:szCs w:val="21"/>
              </w:rPr>
            </w:pPr>
            <w:r>
              <w:rPr>
                <w:rFonts w:hint="eastAsia" w:ascii="宋体" w:hAnsi="宋体" w:cs="宋体"/>
                <w:szCs w:val="21"/>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1611DEFC">
            <w:pPr>
              <w:autoSpaceDE w:val="0"/>
              <w:autoSpaceDN w:val="0"/>
              <w:spacing w:line="360" w:lineRule="exact"/>
              <w:jc w:val="left"/>
              <w:textAlignment w:val="bottom"/>
              <w:rPr>
                <w:rFonts w:ascii="宋体" w:hAnsi="宋体" w:cs="宋体"/>
                <w:szCs w:val="21"/>
              </w:rPr>
            </w:pPr>
            <w:r>
              <w:rPr>
                <w:rFonts w:hint="eastAsia" w:ascii="宋体" w:hAnsi="宋体" w:cs="宋体"/>
                <w:szCs w:val="21"/>
              </w:rPr>
              <w:t>4.本招标文件中描述投标人的“签字”是指投标人的法定代表人或者委托代理人亲自在文件规定签字处亲笔写上个人的名字的行为，私章、签字章、印鉴、影印等其他形式均不能代替亲笔签字。</w:t>
            </w:r>
          </w:p>
          <w:p w14:paraId="3BB9E576">
            <w:pPr>
              <w:autoSpaceDE w:val="0"/>
              <w:autoSpaceDN w:val="0"/>
              <w:snapToGrid w:val="0"/>
              <w:spacing w:line="360" w:lineRule="exact"/>
              <w:jc w:val="left"/>
              <w:textAlignment w:val="bottom"/>
              <w:rPr>
                <w:rFonts w:ascii="宋体" w:hAnsi="宋体" w:cs="宋体"/>
                <w:szCs w:val="21"/>
              </w:rPr>
            </w:pPr>
            <w:r>
              <w:rPr>
                <w:rFonts w:hint="eastAsia" w:ascii="宋体" w:hAnsi="宋体" w:cs="宋体"/>
                <w:szCs w:val="21"/>
              </w:rPr>
              <w:t>5.本招标文件所称的“以上”“以下”“以内”“届满”，包括本数；所称的“不满”“超过”“以外”，不包括本数。</w:t>
            </w:r>
          </w:p>
        </w:tc>
      </w:tr>
    </w:tbl>
    <w:p w14:paraId="2C0B75F5">
      <w:pPr>
        <w:pStyle w:val="5"/>
        <w:rPr>
          <w:rFonts w:ascii="宋体" w:hAnsi="宋体" w:eastAsia="宋体" w:cs="宋体"/>
        </w:rPr>
        <w:sectPr>
          <w:pgSz w:w="11906" w:h="16838"/>
          <w:pgMar w:top="1134" w:right="1312" w:bottom="1134" w:left="1354" w:header="720" w:footer="720" w:gutter="0"/>
          <w:cols w:space="720" w:num="1"/>
          <w:docGrid w:type="lines" w:linePitch="331" w:charSpace="0"/>
        </w:sectPr>
      </w:pPr>
    </w:p>
    <w:p w14:paraId="1F0A312A">
      <w:pPr>
        <w:pStyle w:val="5"/>
        <w:spacing w:before="0" w:after="0" w:line="360" w:lineRule="auto"/>
        <w:jc w:val="center"/>
        <w:rPr>
          <w:rFonts w:ascii="宋体" w:hAnsi="宋体" w:eastAsia="宋体" w:cs="宋体"/>
        </w:rPr>
      </w:pPr>
      <w:bookmarkStart w:id="248" w:name="_Toc22431"/>
      <w:bookmarkStart w:id="249" w:name="_Toc28963"/>
      <w:bookmarkStart w:id="250" w:name="_Toc6959"/>
      <w:bookmarkStart w:id="251" w:name="_Toc18653"/>
      <w:r>
        <w:rPr>
          <w:rFonts w:hint="eastAsia" w:ascii="宋体" w:hAnsi="宋体" w:eastAsia="宋体" w:cs="宋体"/>
        </w:rPr>
        <w:t>第二节 投标人须知正文</w:t>
      </w:r>
      <w:bookmarkEnd w:id="248"/>
      <w:bookmarkEnd w:id="249"/>
      <w:bookmarkEnd w:id="250"/>
      <w:bookmarkEnd w:id="251"/>
    </w:p>
    <w:p w14:paraId="4D8BDF94">
      <w:pPr>
        <w:pStyle w:val="6"/>
        <w:keepNext w:val="0"/>
        <w:keepLines w:val="0"/>
        <w:spacing w:line="360" w:lineRule="auto"/>
        <w:jc w:val="center"/>
        <w:rPr>
          <w:rFonts w:ascii="宋体" w:hAnsi="宋体" w:cs="宋体"/>
        </w:rPr>
      </w:pPr>
      <w:bookmarkStart w:id="252" w:name="_Toc9851"/>
      <w:bookmarkStart w:id="253" w:name="_Toc1432"/>
      <w:bookmarkStart w:id="254" w:name="_Toc16672"/>
      <w:bookmarkStart w:id="255" w:name="_Toc31520"/>
      <w:r>
        <w:rPr>
          <w:rFonts w:hint="eastAsia" w:ascii="宋体" w:hAnsi="宋体" w:cs="宋体"/>
        </w:rPr>
        <w:t>一、总  则</w:t>
      </w:r>
      <w:bookmarkEnd w:id="252"/>
      <w:bookmarkEnd w:id="253"/>
      <w:bookmarkEnd w:id="254"/>
      <w:bookmarkEnd w:id="255"/>
    </w:p>
    <w:p w14:paraId="4C01C83C">
      <w:pPr>
        <w:pStyle w:val="8"/>
        <w:keepNext w:val="0"/>
        <w:keepLines w:val="0"/>
        <w:spacing w:before="0" w:after="0" w:line="360" w:lineRule="auto"/>
        <w:ind w:left="420" w:leftChars="200"/>
        <w:rPr>
          <w:rFonts w:ascii="宋体" w:hAnsi="宋体" w:cs="宋体"/>
          <w:sz w:val="24"/>
        </w:rPr>
      </w:pPr>
      <w:bookmarkStart w:id="256" w:name="_Toc254970527"/>
      <w:bookmarkStart w:id="257" w:name="_Toc254970668"/>
      <w:r>
        <w:rPr>
          <w:rFonts w:hint="eastAsia" w:ascii="宋体" w:hAnsi="宋体" w:cs="宋体"/>
          <w:sz w:val="24"/>
        </w:rPr>
        <w:t>1.适用范围</w:t>
      </w:r>
    </w:p>
    <w:p w14:paraId="1F282516">
      <w:pPr>
        <w:snapToGrid w:val="0"/>
        <w:spacing w:line="360" w:lineRule="auto"/>
        <w:ind w:firstLine="480" w:firstLineChars="200"/>
        <w:jc w:val="left"/>
        <w:rPr>
          <w:rFonts w:ascii="宋体" w:hAnsi="宋体" w:cs="宋体"/>
          <w:sz w:val="24"/>
        </w:rPr>
      </w:pPr>
      <w:r>
        <w:rPr>
          <w:rFonts w:hint="eastAsia" w:ascii="宋体" w:hAnsi="宋体" w:cs="宋体"/>
          <w:sz w:val="24"/>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46E426E0">
      <w:pPr>
        <w:snapToGrid w:val="0"/>
        <w:spacing w:line="360" w:lineRule="auto"/>
        <w:ind w:firstLine="480" w:firstLineChars="200"/>
        <w:jc w:val="left"/>
        <w:rPr>
          <w:rFonts w:ascii="宋体" w:hAnsi="宋体" w:cs="宋体"/>
          <w:sz w:val="24"/>
        </w:rPr>
      </w:pPr>
      <w:r>
        <w:rPr>
          <w:rFonts w:hint="eastAsia" w:ascii="宋体" w:hAnsi="宋体" w:cs="宋体"/>
          <w:sz w:val="24"/>
        </w:rPr>
        <w:t>1.2本招标文件</w:t>
      </w:r>
      <w:r>
        <w:rPr>
          <w:rFonts w:hint="eastAsia" w:ascii="宋体" w:hAnsi="宋体" w:cs="宋体"/>
          <w:spacing w:val="-6"/>
          <w:sz w:val="24"/>
        </w:rPr>
        <w:t>适用于本项目的所有采购程序和环节（法律、法规另有规定的，从其规定）。</w:t>
      </w:r>
    </w:p>
    <w:p w14:paraId="2561A991">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2.定义</w:t>
      </w:r>
    </w:p>
    <w:p w14:paraId="4CCB1809">
      <w:pPr>
        <w:pStyle w:val="8"/>
        <w:keepNext w:val="0"/>
        <w:keepLines w:val="0"/>
        <w:spacing w:before="0" w:after="0" w:line="360" w:lineRule="auto"/>
        <w:ind w:left="420" w:leftChars="200"/>
        <w:rPr>
          <w:rFonts w:ascii="宋体" w:hAnsi="宋体" w:cs="宋体"/>
          <w:b w:val="0"/>
          <w:sz w:val="24"/>
          <w:szCs w:val="24"/>
        </w:rPr>
      </w:pPr>
      <w:r>
        <w:rPr>
          <w:rFonts w:hint="eastAsia" w:ascii="宋体" w:hAnsi="宋体" w:cs="宋体"/>
          <w:b w:val="0"/>
          <w:sz w:val="24"/>
          <w:szCs w:val="24"/>
        </w:rPr>
        <w:t>2.1“采购人”是指依法进行政府采购的国家机关、事业单位、团体组织。</w:t>
      </w:r>
    </w:p>
    <w:p w14:paraId="4EAE81B5">
      <w:pPr>
        <w:pStyle w:val="8"/>
        <w:keepNext w:val="0"/>
        <w:keepLines w:val="0"/>
        <w:spacing w:before="0" w:after="0" w:line="360" w:lineRule="auto"/>
        <w:ind w:left="420" w:leftChars="200"/>
        <w:rPr>
          <w:rFonts w:ascii="宋体" w:hAnsi="宋体" w:cs="宋体"/>
          <w:b w:val="0"/>
          <w:sz w:val="24"/>
          <w:szCs w:val="24"/>
        </w:rPr>
      </w:pPr>
      <w:r>
        <w:rPr>
          <w:rFonts w:hint="eastAsia" w:ascii="宋体" w:hAnsi="宋体" w:cs="宋体"/>
          <w:b w:val="0"/>
          <w:sz w:val="24"/>
          <w:szCs w:val="24"/>
        </w:rPr>
        <w:t>2.2“采购代理机构”是指政府采购集中采购机构和集中采购机构以外的采购代理机构。</w:t>
      </w:r>
    </w:p>
    <w:p w14:paraId="4527707A">
      <w:pPr>
        <w:pStyle w:val="8"/>
        <w:keepNext w:val="0"/>
        <w:keepLines w:val="0"/>
        <w:spacing w:before="0" w:after="0" w:line="360" w:lineRule="auto"/>
        <w:ind w:left="420" w:leftChars="200"/>
        <w:rPr>
          <w:rFonts w:ascii="宋体" w:hAnsi="宋体" w:cs="宋体"/>
          <w:b w:val="0"/>
          <w:sz w:val="24"/>
          <w:szCs w:val="24"/>
        </w:rPr>
      </w:pPr>
      <w:r>
        <w:rPr>
          <w:rFonts w:hint="eastAsia" w:ascii="宋体" w:hAnsi="宋体" w:cs="宋体"/>
          <w:b w:val="0"/>
          <w:sz w:val="24"/>
          <w:szCs w:val="24"/>
        </w:rPr>
        <w:t>2.3“供应商”是指向采购人提供货物、工程或者服务的法人、其他组织或者自然人。</w:t>
      </w:r>
    </w:p>
    <w:p w14:paraId="5176558A">
      <w:pPr>
        <w:pStyle w:val="9"/>
        <w:spacing w:line="360" w:lineRule="auto"/>
        <w:rPr>
          <w:rFonts w:ascii="宋体" w:hAnsi="宋体" w:cs="宋体"/>
          <w:sz w:val="24"/>
          <w:szCs w:val="24"/>
        </w:rPr>
      </w:pPr>
      <w:r>
        <w:rPr>
          <w:rFonts w:hint="eastAsia" w:ascii="宋体" w:hAnsi="宋体" w:cs="宋体"/>
          <w:sz w:val="24"/>
          <w:szCs w:val="24"/>
        </w:rPr>
        <w:t>2.4“投标人”是指响应招标、参加投标竞争的法人、其他组织或者自然人。</w:t>
      </w:r>
    </w:p>
    <w:p w14:paraId="443257FC">
      <w:pPr>
        <w:pStyle w:val="8"/>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2.5“服务”是指除货物和工程以外的其他政府采购对象。</w:t>
      </w:r>
    </w:p>
    <w:p w14:paraId="7AF0EFCC">
      <w:pPr>
        <w:pStyle w:val="8"/>
        <w:keepNext w:val="0"/>
        <w:keepLines w:val="0"/>
        <w:spacing w:before="0" w:after="0" w:line="360" w:lineRule="auto"/>
        <w:rPr>
          <w:rFonts w:ascii="宋体" w:hAnsi="宋体" w:cs="宋体"/>
          <w:b w:val="0"/>
          <w:sz w:val="24"/>
          <w:szCs w:val="24"/>
        </w:rPr>
      </w:pPr>
      <w:r>
        <w:rPr>
          <w:rFonts w:hint="eastAsia" w:ascii="宋体" w:hAnsi="宋体" w:cs="宋体"/>
          <w:b w:val="0"/>
          <w:sz w:val="24"/>
          <w:szCs w:val="24"/>
        </w:rPr>
        <w:t xml:space="preserve">    2.6“书面形式”是指合同书、信件和数据电文（包括电报、电传、传真、电子数据交换和电子邮件）等可以有形地表现所载内容的形式。</w:t>
      </w:r>
    </w:p>
    <w:p w14:paraId="0D5DCD43">
      <w:pPr>
        <w:pStyle w:val="8"/>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2.7“实质性要求”是指招标文件中已经指明不满足则投标无效的条款，或者不能负偏离的条款，或者采购需求中带“▲”的条款。</w:t>
      </w:r>
    </w:p>
    <w:p w14:paraId="0B6DEC11">
      <w:pPr>
        <w:snapToGrid w:val="0"/>
        <w:spacing w:line="360" w:lineRule="auto"/>
        <w:ind w:firstLine="480" w:firstLineChars="200"/>
        <w:jc w:val="left"/>
        <w:rPr>
          <w:rFonts w:ascii="宋体" w:hAnsi="宋体" w:cs="宋体"/>
          <w:sz w:val="24"/>
        </w:rPr>
      </w:pPr>
      <w:r>
        <w:rPr>
          <w:rFonts w:hint="eastAsia" w:ascii="宋体" w:hAnsi="宋体" w:cs="宋体"/>
          <w:sz w:val="24"/>
        </w:rPr>
        <w:t>2.8“正偏离”，是指投标文件对招标文件“采购需求”中有关条款作出的响应优于条款要求并有利于采购人的情形。</w:t>
      </w:r>
    </w:p>
    <w:p w14:paraId="6070DDBD">
      <w:pPr>
        <w:snapToGrid w:val="0"/>
        <w:spacing w:line="360" w:lineRule="auto"/>
        <w:ind w:firstLine="480" w:firstLineChars="200"/>
        <w:jc w:val="left"/>
        <w:rPr>
          <w:rFonts w:ascii="宋体" w:hAnsi="宋体" w:cs="宋体"/>
          <w:sz w:val="24"/>
        </w:rPr>
      </w:pPr>
      <w:r>
        <w:rPr>
          <w:rFonts w:hint="eastAsia" w:ascii="宋体" w:hAnsi="宋体" w:cs="宋体"/>
          <w:sz w:val="24"/>
        </w:rPr>
        <w:t>2.9“负偏离”，是指投标文件对招标文件“采购需求”中有关条款作出的响应不满足条款要求，导致采购人要求不能得到满足的情形。</w:t>
      </w:r>
    </w:p>
    <w:p w14:paraId="59B17727">
      <w:pPr>
        <w:snapToGrid w:val="0"/>
        <w:spacing w:line="360" w:lineRule="auto"/>
        <w:ind w:firstLine="480" w:firstLineChars="200"/>
        <w:jc w:val="left"/>
        <w:rPr>
          <w:rFonts w:ascii="宋体" w:hAnsi="宋体" w:cs="宋体"/>
          <w:sz w:val="24"/>
        </w:rPr>
      </w:pPr>
      <w:r>
        <w:rPr>
          <w:rFonts w:hint="eastAsia" w:ascii="宋体" w:hAnsi="宋体" w:cs="宋体"/>
          <w:sz w:val="24"/>
        </w:rPr>
        <w:t>2.10“允许负偏离的条款”是指采购需求中的不属于“实质性要求”的条款。</w:t>
      </w:r>
    </w:p>
    <w:p w14:paraId="1A02BE66">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3.投标人的资格要求</w:t>
      </w:r>
    </w:p>
    <w:p w14:paraId="1EE21D7E">
      <w:pPr>
        <w:snapToGrid w:val="0"/>
        <w:spacing w:line="360" w:lineRule="auto"/>
        <w:ind w:firstLine="480" w:firstLineChars="200"/>
        <w:jc w:val="left"/>
        <w:rPr>
          <w:rFonts w:ascii="宋体" w:hAnsi="宋体" w:cs="宋体"/>
          <w:sz w:val="24"/>
        </w:rPr>
      </w:pPr>
      <w:r>
        <w:rPr>
          <w:rFonts w:hint="eastAsia" w:ascii="宋体" w:hAnsi="宋体" w:cs="宋体"/>
          <w:sz w:val="24"/>
        </w:rPr>
        <w:t>投标人的资格要求详见“投标人须知前附表”。</w:t>
      </w:r>
    </w:p>
    <w:p w14:paraId="74F3BBC7">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4.投标委托</w:t>
      </w:r>
    </w:p>
    <w:p w14:paraId="1DB7DFF9">
      <w:pPr>
        <w:snapToGrid w:val="0"/>
        <w:spacing w:line="360" w:lineRule="auto"/>
        <w:ind w:firstLine="480" w:firstLineChars="200"/>
        <w:jc w:val="left"/>
        <w:rPr>
          <w:rFonts w:ascii="宋体" w:hAnsi="宋体" w:cs="宋体"/>
          <w:sz w:val="24"/>
        </w:rPr>
      </w:pPr>
      <w:r>
        <w:rPr>
          <w:rFonts w:hint="eastAsia" w:ascii="宋体" w:hAnsi="宋体" w:cs="宋体"/>
          <w:sz w:val="24"/>
        </w:rPr>
        <w:t>投标人代表参加投标活动过程中必须携带个人有效身份证件。如投标人代表不是法定代表人，须持有授权委托书（按第六章要求格式填写）。</w:t>
      </w:r>
    </w:p>
    <w:p w14:paraId="6C4569F2">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5.投标费用</w:t>
      </w:r>
    </w:p>
    <w:p w14:paraId="3E234D0F">
      <w:pPr>
        <w:snapToGrid w:val="0"/>
        <w:spacing w:line="360" w:lineRule="auto"/>
        <w:ind w:firstLine="480" w:firstLineChars="200"/>
        <w:jc w:val="left"/>
        <w:rPr>
          <w:rFonts w:ascii="宋体" w:hAnsi="宋体" w:cs="宋体"/>
          <w:sz w:val="24"/>
        </w:rPr>
      </w:pPr>
      <w:r>
        <w:rPr>
          <w:rFonts w:hint="eastAsia" w:ascii="宋体" w:hAnsi="宋体" w:cs="宋体"/>
          <w:sz w:val="24"/>
        </w:rPr>
        <w:t>投标费用：投标人应承担参与本次采购活动有关的所有费用，包括但不限于获取招标文件、勘查现场、编制和提交投标文件、参加澄清说明、签订合同等，不论投标结果如何，均应自行承担。</w:t>
      </w:r>
    </w:p>
    <w:p w14:paraId="2DDE27DC">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6.联合体投标</w:t>
      </w:r>
    </w:p>
    <w:p w14:paraId="42F8ABF5">
      <w:pPr>
        <w:snapToGrid w:val="0"/>
        <w:spacing w:line="360" w:lineRule="auto"/>
        <w:ind w:firstLine="480" w:firstLineChars="200"/>
        <w:jc w:val="left"/>
        <w:rPr>
          <w:rFonts w:ascii="宋体" w:hAnsi="宋体" w:cs="宋体"/>
          <w:sz w:val="24"/>
        </w:rPr>
      </w:pPr>
      <w:r>
        <w:rPr>
          <w:rFonts w:hint="eastAsia" w:ascii="宋体" w:hAnsi="宋体" w:cs="宋体"/>
          <w:sz w:val="24"/>
        </w:rPr>
        <w:t>6.1本项目是否接受联合体投标，详见“投标人须知前附表”。</w:t>
      </w:r>
    </w:p>
    <w:p w14:paraId="21DE90A0">
      <w:pPr>
        <w:snapToGrid w:val="0"/>
        <w:spacing w:line="360" w:lineRule="auto"/>
        <w:ind w:firstLine="480" w:firstLineChars="200"/>
        <w:jc w:val="left"/>
        <w:rPr>
          <w:rFonts w:ascii="宋体" w:hAnsi="宋体" w:cs="宋体"/>
          <w:bCs/>
          <w:sz w:val="24"/>
        </w:rPr>
      </w:pPr>
      <w:r>
        <w:rPr>
          <w:rFonts w:hint="eastAsia" w:ascii="宋体" w:hAnsi="宋体" w:cs="宋体"/>
          <w:bCs/>
          <w:sz w:val="24"/>
        </w:rPr>
        <w:t>6.2如接受联合体投标，联合体投标要求详见“投标人须知前附表”。</w:t>
      </w:r>
    </w:p>
    <w:p w14:paraId="544006C1">
      <w:pPr>
        <w:snapToGrid w:val="0"/>
        <w:spacing w:line="360" w:lineRule="auto"/>
        <w:ind w:firstLine="480" w:firstLineChars="200"/>
        <w:jc w:val="left"/>
        <w:rPr>
          <w:rFonts w:ascii="宋体" w:hAnsi="宋体" w:cs="宋体"/>
          <w:sz w:val="24"/>
        </w:rPr>
      </w:pPr>
      <w:r>
        <w:rPr>
          <w:rFonts w:hint="eastAsia" w:ascii="宋体" w:hAnsi="宋体" w:cs="宋体"/>
          <w:bCs/>
          <w:sz w:val="24"/>
        </w:rPr>
        <w:t>6.3根据《政府采购促进中小企业发展管理办法》（财库[2020]46号）第九条规定，接受大中型企业与小微企业组成联合体的采购项目，对于联合协议约定小微企业的合同份额占到合同总金额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r>
        <w:rPr>
          <w:rFonts w:hint="eastAsia" w:ascii="宋体" w:hAnsi="宋体" w:cs="宋体"/>
          <w:sz w:val="24"/>
        </w:rPr>
        <w:t>。</w:t>
      </w:r>
    </w:p>
    <w:p w14:paraId="0536C8BA">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 xml:space="preserve">7.转包与分包             </w:t>
      </w:r>
    </w:p>
    <w:p w14:paraId="481D1C30">
      <w:pPr>
        <w:pStyle w:val="8"/>
        <w:keepNext w:val="0"/>
        <w:keepLines w:val="0"/>
        <w:spacing w:before="0" w:after="0" w:line="360" w:lineRule="auto"/>
        <w:ind w:left="420" w:leftChars="200"/>
        <w:rPr>
          <w:rFonts w:ascii="宋体" w:hAnsi="宋体" w:cs="宋体"/>
          <w:b w:val="0"/>
          <w:sz w:val="24"/>
          <w:szCs w:val="24"/>
        </w:rPr>
      </w:pPr>
      <w:r>
        <w:rPr>
          <w:rFonts w:hint="eastAsia" w:ascii="宋体" w:hAnsi="宋体" w:cs="宋体"/>
          <w:b w:val="0"/>
          <w:sz w:val="24"/>
          <w:szCs w:val="24"/>
        </w:rPr>
        <w:t>7.1本项目不允许转包。</w:t>
      </w:r>
    </w:p>
    <w:p w14:paraId="7944AAAE">
      <w:pPr>
        <w:pStyle w:val="8"/>
        <w:keepNext w:val="0"/>
        <w:keepLines w:val="0"/>
        <w:spacing w:before="0" w:after="0" w:line="360" w:lineRule="auto"/>
        <w:ind w:firstLine="360" w:firstLineChars="150"/>
        <w:rPr>
          <w:rFonts w:ascii="宋体" w:hAnsi="宋体" w:cs="宋体"/>
          <w:b w:val="0"/>
          <w:sz w:val="24"/>
          <w:szCs w:val="24"/>
        </w:rPr>
      </w:pPr>
      <w:r>
        <w:rPr>
          <w:rFonts w:hint="eastAsia" w:ascii="宋体" w:hAnsi="宋体" w:cs="宋体"/>
          <w:b w:val="0"/>
          <w:sz w:val="24"/>
          <w:szCs w:val="24"/>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6F91B0A4">
      <w:pPr>
        <w:pStyle w:val="8"/>
        <w:keepNext w:val="0"/>
        <w:keepLines w:val="0"/>
        <w:spacing w:before="0" w:after="0" w:line="360" w:lineRule="auto"/>
        <w:ind w:firstLine="360" w:firstLineChars="150"/>
        <w:rPr>
          <w:rFonts w:ascii="宋体" w:hAnsi="宋体" w:cs="宋体"/>
          <w:b w:val="0"/>
          <w:sz w:val="24"/>
          <w:szCs w:val="24"/>
        </w:rPr>
      </w:pPr>
      <w:r>
        <w:rPr>
          <w:rFonts w:hint="eastAsia" w:ascii="宋体" w:hAnsi="宋体" w:cs="宋体"/>
          <w:b w:val="0"/>
          <w:sz w:val="24"/>
          <w:szCs w:val="24"/>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19D7432C">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8.特别说明</w:t>
      </w:r>
    </w:p>
    <w:p w14:paraId="582D3402">
      <w:pPr>
        <w:pStyle w:val="8"/>
        <w:keepNext w:val="0"/>
        <w:keepLines w:val="0"/>
        <w:spacing w:before="0" w:after="0" w:line="360" w:lineRule="auto"/>
        <w:ind w:firstLine="420" w:firstLineChars="175"/>
        <w:rPr>
          <w:rFonts w:ascii="宋体" w:hAnsi="宋体" w:cs="宋体"/>
          <w:b w:val="0"/>
          <w:sz w:val="24"/>
          <w:szCs w:val="24"/>
        </w:rPr>
      </w:pPr>
      <w:r>
        <w:rPr>
          <w:rFonts w:hint="eastAsia" w:ascii="宋体" w:hAnsi="宋体" w:cs="宋体"/>
          <w:b w:val="0"/>
          <w:sz w:val="24"/>
          <w:szCs w:val="24"/>
        </w:rPr>
        <w:t>8.1如果本招标文件要求提供投标人或制造商的资格、信誉、荣誉、业绩与企业认证等材料的，资格、信誉、荣誉、业绩与企业认证等必须为投标人或者制造商所拥有或自身获得 。</w:t>
      </w:r>
    </w:p>
    <w:p w14:paraId="6335127F">
      <w:pPr>
        <w:pStyle w:val="8"/>
        <w:keepNext w:val="0"/>
        <w:keepLines w:val="0"/>
        <w:spacing w:before="0" w:after="0" w:line="360" w:lineRule="auto"/>
        <w:ind w:firstLine="420" w:firstLineChars="175"/>
        <w:rPr>
          <w:rFonts w:ascii="宋体" w:hAnsi="宋体" w:cs="宋体"/>
          <w:b w:val="0"/>
          <w:sz w:val="24"/>
          <w:szCs w:val="24"/>
        </w:rPr>
      </w:pPr>
      <w:r>
        <w:rPr>
          <w:rFonts w:hint="eastAsia" w:ascii="宋体" w:hAnsi="宋体" w:cs="宋体"/>
          <w:b w:val="0"/>
          <w:sz w:val="24"/>
          <w:szCs w:val="24"/>
        </w:rPr>
        <w:t>8.2投标人应仔细阅读招标文件的所有内容，按照招标文件的要求提交投标文件，并对所提供的全部资料的真实性承担法律责任。</w:t>
      </w:r>
    </w:p>
    <w:p w14:paraId="263A73A7">
      <w:pPr>
        <w:pStyle w:val="8"/>
        <w:keepNext w:val="0"/>
        <w:keepLines w:val="0"/>
        <w:spacing w:before="0" w:after="0" w:line="360" w:lineRule="auto"/>
        <w:ind w:firstLine="420" w:firstLineChars="175"/>
        <w:rPr>
          <w:rFonts w:ascii="宋体" w:hAnsi="宋体" w:cs="宋体"/>
          <w:b w:val="0"/>
          <w:sz w:val="24"/>
          <w:szCs w:val="24"/>
        </w:rPr>
      </w:pPr>
      <w:r>
        <w:rPr>
          <w:rFonts w:hint="eastAsia" w:ascii="宋体" w:hAnsi="宋体" w:cs="宋体"/>
          <w:b w:val="0"/>
          <w:sz w:val="24"/>
          <w:szCs w:val="24"/>
        </w:rPr>
        <w:t>8.3投标人在投标活动中提供任何虚假材料，将报监管部门查处；中标后发现的，中标人须依照《中华人民共和国消费者权益保护法》规定赔偿采购人，且民事赔偿并不免除违法投标人的行政与刑事责任。</w:t>
      </w:r>
    </w:p>
    <w:p w14:paraId="3A4F6199">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9.回避与串通投标</w:t>
      </w:r>
    </w:p>
    <w:p w14:paraId="0B569744">
      <w:pPr>
        <w:pStyle w:val="8"/>
        <w:keepNext w:val="0"/>
        <w:keepLines w:val="0"/>
        <w:spacing w:before="0" w:after="0" w:line="360" w:lineRule="auto"/>
        <w:ind w:firstLine="420" w:firstLineChars="175"/>
        <w:rPr>
          <w:rFonts w:ascii="宋体" w:hAnsi="宋体" w:cs="宋体"/>
          <w:b w:val="0"/>
          <w:sz w:val="24"/>
          <w:szCs w:val="24"/>
        </w:rPr>
      </w:pPr>
      <w:r>
        <w:rPr>
          <w:rFonts w:hint="eastAsia" w:ascii="宋体" w:hAnsi="宋体" w:cs="宋体"/>
          <w:b w:val="0"/>
          <w:sz w:val="24"/>
          <w:szCs w:val="24"/>
        </w:rPr>
        <w:t>9.1在政府采购活动中，采购人员及相关人员与供应商有下列利害关系之一的，应当回避：</w:t>
      </w:r>
    </w:p>
    <w:p w14:paraId="2AE389CD">
      <w:pPr>
        <w:pStyle w:val="20"/>
        <w:snapToGrid w:val="0"/>
        <w:spacing w:line="360" w:lineRule="auto"/>
        <w:ind w:left="2" w:leftChars="1" w:firstLine="480" w:firstLineChars="200"/>
        <w:rPr>
          <w:rFonts w:hAnsi="宋体" w:cs="宋体"/>
          <w:sz w:val="24"/>
          <w:szCs w:val="24"/>
        </w:rPr>
      </w:pPr>
      <w:r>
        <w:rPr>
          <w:rFonts w:hint="eastAsia" w:hAnsi="宋体" w:cs="宋体"/>
          <w:sz w:val="24"/>
          <w:szCs w:val="24"/>
        </w:rPr>
        <w:t>（1）参加采购活动前3年内与供应商存在劳动关系；</w:t>
      </w:r>
    </w:p>
    <w:p w14:paraId="7AAB03EC">
      <w:pPr>
        <w:pStyle w:val="20"/>
        <w:snapToGrid w:val="0"/>
        <w:spacing w:line="360" w:lineRule="auto"/>
        <w:ind w:left="2" w:leftChars="1" w:firstLine="480" w:firstLineChars="200"/>
        <w:rPr>
          <w:rFonts w:hAnsi="宋体" w:cs="宋体"/>
          <w:sz w:val="24"/>
          <w:szCs w:val="24"/>
        </w:rPr>
      </w:pPr>
      <w:r>
        <w:rPr>
          <w:rFonts w:hint="eastAsia" w:hAnsi="宋体" w:cs="宋体"/>
          <w:sz w:val="24"/>
          <w:szCs w:val="24"/>
        </w:rPr>
        <w:t>（2）参加采购活动前3年内担任供应商的董事、监事；</w:t>
      </w:r>
    </w:p>
    <w:p w14:paraId="5CA3A83F">
      <w:pPr>
        <w:pStyle w:val="20"/>
        <w:snapToGrid w:val="0"/>
        <w:spacing w:line="360" w:lineRule="auto"/>
        <w:ind w:left="2" w:leftChars="1" w:firstLine="480" w:firstLineChars="200"/>
        <w:rPr>
          <w:rFonts w:hAnsi="宋体" w:cs="宋体"/>
          <w:sz w:val="24"/>
          <w:szCs w:val="24"/>
        </w:rPr>
      </w:pPr>
      <w:r>
        <w:rPr>
          <w:rFonts w:hint="eastAsia" w:hAnsi="宋体" w:cs="宋体"/>
          <w:sz w:val="24"/>
          <w:szCs w:val="24"/>
        </w:rPr>
        <w:t>（3）参加采购活动前3年内是供应商的控股股东或者实际控制人；</w:t>
      </w:r>
    </w:p>
    <w:p w14:paraId="31BABAEE">
      <w:pPr>
        <w:pStyle w:val="20"/>
        <w:snapToGrid w:val="0"/>
        <w:spacing w:line="360" w:lineRule="auto"/>
        <w:ind w:left="2" w:leftChars="1" w:firstLine="480" w:firstLineChars="200"/>
        <w:rPr>
          <w:rFonts w:hAnsi="宋体" w:cs="宋体"/>
          <w:sz w:val="24"/>
          <w:szCs w:val="24"/>
        </w:rPr>
      </w:pPr>
      <w:r>
        <w:rPr>
          <w:rFonts w:hint="eastAsia" w:hAnsi="宋体" w:cs="宋体"/>
          <w:sz w:val="24"/>
          <w:szCs w:val="24"/>
        </w:rPr>
        <w:t>（4）与供应商的法定代表人或者负责人有夫妻、直系血亲、三代以内旁系血亲或者近姻亲关系；</w:t>
      </w:r>
    </w:p>
    <w:p w14:paraId="5789C77E">
      <w:pPr>
        <w:pStyle w:val="20"/>
        <w:snapToGrid w:val="0"/>
        <w:spacing w:line="360" w:lineRule="auto"/>
        <w:ind w:left="2" w:leftChars="1" w:firstLine="480" w:firstLineChars="200"/>
        <w:rPr>
          <w:rFonts w:hAnsi="宋体" w:cs="宋体"/>
          <w:sz w:val="24"/>
          <w:szCs w:val="24"/>
        </w:rPr>
      </w:pPr>
      <w:r>
        <w:rPr>
          <w:rFonts w:hint="eastAsia" w:hAnsi="宋体" w:cs="宋体"/>
          <w:sz w:val="24"/>
          <w:szCs w:val="24"/>
        </w:rPr>
        <w:t>（5）与供应商有其他可能影响政府采购活动公平、公正进行的关系。</w:t>
      </w:r>
    </w:p>
    <w:p w14:paraId="76758D98">
      <w:pPr>
        <w:pStyle w:val="20"/>
        <w:snapToGrid w:val="0"/>
        <w:spacing w:line="360" w:lineRule="auto"/>
        <w:ind w:left="2" w:leftChars="1" w:firstLine="480" w:firstLineChars="200"/>
        <w:rPr>
          <w:rFonts w:hAnsi="宋体" w:cs="宋体"/>
          <w:sz w:val="24"/>
          <w:szCs w:val="24"/>
        </w:rPr>
      </w:pPr>
      <w:r>
        <w:rPr>
          <w:rFonts w:hint="eastAsia" w:hAnsi="宋体" w:cs="宋体"/>
          <w:sz w:val="24"/>
          <w:szCs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32312DA">
      <w:pPr>
        <w:pStyle w:val="8"/>
        <w:keepNext w:val="0"/>
        <w:keepLines w:val="0"/>
        <w:spacing w:before="0" w:after="0" w:line="360" w:lineRule="auto"/>
        <w:ind w:left="420" w:leftChars="200"/>
        <w:rPr>
          <w:rFonts w:ascii="宋体" w:hAnsi="宋体" w:cs="宋体"/>
          <w:sz w:val="24"/>
          <w:szCs w:val="24"/>
        </w:rPr>
      </w:pPr>
      <w:r>
        <w:rPr>
          <w:rFonts w:hint="eastAsia" w:ascii="宋体" w:hAnsi="宋体" w:cs="宋体"/>
          <w:sz w:val="24"/>
          <w:szCs w:val="24"/>
        </w:rPr>
        <w:t>9.2有下列情形之一的视为投标人相互串通投标，投标文件将被视为无效：</w:t>
      </w:r>
    </w:p>
    <w:p w14:paraId="4C534632">
      <w:pPr>
        <w:pStyle w:val="20"/>
        <w:snapToGrid w:val="0"/>
        <w:spacing w:line="360" w:lineRule="auto"/>
        <w:ind w:left="2" w:leftChars="1" w:firstLine="482" w:firstLineChars="200"/>
        <w:rPr>
          <w:rFonts w:hAnsi="宋体" w:cs="宋体"/>
          <w:b/>
          <w:sz w:val="24"/>
          <w:szCs w:val="24"/>
        </w:rPr>
      </w:pPr>
      <w:r>
        <w:rPr>
          <w:rFonts w:hint="eastAsia" w:hAnsi="宋体" w:cs="宋体"/>
          <w:b/>
          <w:sz w:val="24"/>
          <w:szCs w:val="24"/>
        </w:rPr>
        <w:t xml:space="preserve">（1）不同投标人的投标文件由同一单位或者个人编制； </w:t>
      </w:r>
    </w:p>
    <w:p w14:paraId="2727B689">
      <w:pPr>
        <w:pStyle w:val="20"/>
        <w:snapToGrid w:val="0"/>
        <w:spacing w:line="360" w:lineRule="auto"/>
        <w:ind w:left="2" w:leftChars="1" w:firstLine="482" w:firstLineChars="200"/>
        <w:rPr>
          <w:rFonts w:hAnsi="宋体" w:cs="宋体"/>
          <w:b/>
          <w:sz w:val="24"/>
          <w:szCs w:val="24"/>
        </w:rPr>
      </w:pPr>
      <w:r>
        <w:rPr>
          <w:rFonts w:hint="eastAsia" w:hAnsi="宋体" w:cs="宋体"/>
          <w:b/>
          <w:sz w:val="24"/>
          <w:szCs w:val="24"/>
        </w:rPr>
        <w:t>（2）不同投标人委托同一单位或者个人办理投标事宜；</w:t>
      </w:r>
    </w:p>
    <w:p w14:paraId="330E69D5">
      <w:pPr>
        <w:pStyle w:val="20"/>
        <w:snapToGrid w:val="0"/>
        <w:spacing w:line="360" w:lineRule="auto"/>
        <w:ind w:left="2" w:leftChars="1" w:firstLine="482" w:firstLineChars="200"/>
        <w:rPr>
          <w:rFonts w:hAnsi="宋体" w:cs="宋体"/>
          <w:b/>
          <w:sz w:val="24"/>
          <w:szCs w:val="24"/>
        </w:rPr>
      </w:pPr>
      <w:r>
        <w:rPr>
          <w:rFonts w:hint="eastAsia" w:hAnsi="宋体" w:cs="宋体"/>
          <w:b/>
          <w:sz w:val="24"/>
          <w:szCs w:val="24"/>
        </w:rPr>
        <w:t>（3）不同的投标人的投标文件载明的项目管理员为同一个人；</w:t>
      </w:r>
    </w:p>
    <w:p w14:paraId="3F26955B">
      <w:pPr>
        <w:pStyle w:val="20"/>
        <w:snapToGrid w:val="0"/>
        <w:spacing w:line="360" w:lineRule="auto"/>
        <w:ind w:left="2" w:leftChars="1" w:firstLine="482" w:firstLineChars="200"/>
        <w:rPr>
          <w:rFonts w:hAnsi="宋体" w:cs="宋体"/>
          <w:b/>
          <w:sz w:val="24"/>
          <w:szCs w:val="24"/>
        </w:rPr>
      </w:pPr>
      <w:r>
        <w:rPr>
          <w:rFonts w:hint="eastAsia" w:hAnsi="宋体" w:cs="宋体"/>
          <w:b/>
          <w:sz w:val="24"/>
          <w:szCs w:val="24"/>
        </w:rPr>
        <w:t>（4）不同投标人的投标文件异常一致或者投标报价呈规律性差异；</w:t>
      </w:r>
    </w:p>
    <w:p w14:paraId="765A87B3">
      <w:pPr>
        <w:pStyle w:val="20"/>
        <w:snapToGrid w:val="0"/>
        <w:spacing w:line="360" w:lineRule="auto"/>
        <w:ind w:left="2" w:leftChars="1" w:firstLine="482" w:firstLineChars="200"/>
        <w:rPr>
          <w:rFonts w:hAnsi="宋体" w:cs="宋体"/>
          <w:b/>
          <w:sz w:val="24"/>
          <w:szCs w:val="24"/>
        </w:rPr>
      </w:pPr>
      <w:r>
        <w:rPr>
          <w:rFonts w:hint="eastAsia" w:hAnsi="宋体" w:cs="宋体"/>
          <w:b/>
          <w:sz w:val="24"/>
          <w:szCs w:val="24"/>
        </w:rPr>
        <w:t>（5）不同投标人的投标文件相互混装；</w:t>
      </w:r>
    </w:p>
    <w:p w14:paraId="571FAC2E">
      <w:pPr>
        <w:pStyle w:val="20"/>
        <w:snapToGrid w:val="0"/>
        <w:spacing w:line="360" w:lineRule="auto"/>
        <w:ind w:left="2" w:leftChars="1" w:firstLine="482" w:firstLineChars="200"/>
        <w:rPr>
          <w:rFonts w:hAnsi="宋体" w:cs="宋体"/>
          <w:b/>
          <w:sz w:val="24"/>
          <w:szCs w:val="24"/>
        </w:rPr>
      </w:pPr>
      <w:r>
        <w:rPr>
          <w:rFonts w:hint="eastAsia" w:hAnsi="宋体" w:cs="宋体"/>
          <w:b/>
          <w:sz w:val="24"/>
          <w:szCs w:val="24"/>
        </w:rPr>
        <w:t>（6）不同投标人的投标保证金从同一单位或者个人账户转出。</w:t>
      </w:r>
    </w:p>
    <w:p w14:paraId="64ECD07E">
      <w:pPr>
        <w:pStyle w:val="8"/>
        <w:keepNext w:val="0"/>
        <w:keepLines w:val="0"/>
        <w:spacing w:before="0" w:after="0" w:line="360" w:lineRule="auto"/>
        <w:ind w:left="420" w:leftChars="200"/>
        <w:rPr>
          <w:rFonts w:ascii="宋体" w:hAnsi="宋体" w:cs="宋体"/>
          <w:b w:val="0"/>
          <w:sz w:val="24"/>
          <w:szCs w:val="24"/>
        </w:rPr>
      </w:pPr>
      <w:r>
        <w:rPr>
          <w:rFonts w:hint="eastAsia" w:ascii="宋体" w:hAnsi="宋体" w:cs="宋体"/>
          <w:b w:val="0"/>
          <w:sz w:val="24"/>
          <w:szCs w:val="24"/>
        </w:rPr>
        <w:t>9.3供应商有下列情形之一的，属于恶意串通行为，将报同级监督管理部门：</w:t>
      </w:r>
    </w:p>
    <w:p w14:paraId="20AEC219">
      <w:pPr>
        <w:pStyle w:val="20"/>
        <w:snapToGrid w:val="0"/>
        <w:spacing w:line="360" w:lineRule="auto"/>
        <w:ind w:left="2" w:leftChars="1" w:firstLine="480" w:firstLineChars="200"/>
        <w:rPr>
          <w:rFonts w:hAnsi="宋体" w:cs="宋体"/>
          <w:sz w:val="24"/>
          <w:szCs w:val="24"/>
        </w:rPr>
      </w:pPr>
      <w:r>
        <w:rPr>
          <w:rFonts w:hint="eastAsia" w:hAnsi="宋体" w:cs="宋体"/>
          <w:sz w:val="24"/>
          <w:szCs w:val="24"/>
        </w:rPr>
        <w:t>（1）供应商直接或者间接从采购人或者采购代理机构处获得其他供应商的相关信息并修改其投标文件或者响应文件；</w:t>
      </w:r>
    </w:p>
    <w:p w14:paraId="0C906E5D">
      <w:pPr>
        <w:pStyle w:val="20"/>
        <w:snapToGrid w:val="0"/>
        <w:spacing w:line="360" w:lineRule="auto"/>
        <w:ind w:left="2" w:leftChars="1" w:firstLine="480" w:firstLineChars="200"/>
        <w:rPr>
          <w:rFonts w:hAnsi="宋体" w:cs="宋体"/>
          <w:sz w:val="24"/>
          <w:szCs w:val="24"/>
        </w:rPr>
      </w:pPr>
      <w:r>
        <w:rPr>
          <w:rFonts w:hint="eastAsia" w:hAnsi="宋体" w:cs="宋体"/>
          <w:sz w:val="24"/>
          <w:szCs w:val="24"/>
        </w:rPr>
        <w:t>（2）供应商按照采购人或者采购代理机构的授意撤换、修改投标文件或者响应文件；</w:t>
      </w:r>
    </w:p>
    <w:p w14:paraId="2424CD52">
      <w:pPr>
        <w:pStyle w:val="20"/>
        <w:snapToGrid w:val="0"/>
        <w:spacing w:line="360" w:lineRule="auto"/>
        <w:ind w:left="2" w:leftChars="1" w:firstLine="480" w:firstLineChars="200"/>
        <w:rPr>
          <w:rFonts w:hAnsi="宋体" w:cs="宋体"/>
          <w:sz w:val="24"/>
          <w:szCs w:val="24"/>
        </w:rPr>
      </w:pPr>
      <w:r>
        <w:rPr>
          <w:rFonts w:hint="eastAsia" w:hAnsi="宋体" w:cs="宋体"/>
          <w:sz w:val="24"/>
          <w:szCs w:val="24"/>
        </w:rPr>
        <w:t>（3）供应商之间协商报价、技术方案等投标文件或者响应文件的实质性内容；</w:t>
      </w:r>
    </w:p>
    <w:p w14:paraId="3AEB0286">
      <w:pPr>
        <w:pStyle w:val="20"/>
        <w:snapToGrid w:val="0"/>
        <w:spacing w:line="360" w:lineRule="auto"/>
        <w:ind w:left="2" w:leftChars="1" w:firstLine="480" w:firstLineChars="200"/>
        <w:rPr>
          <w:rFonts w:hAnsi="宋体" w:cs="宋体"/>
          <w:sz w:val="24"/>
          <w:szCs w:val="24"/>
        </w:rPr>
      </w:pPr>
      <w:r>
        <w:rPr>
          <w:rFonts w:hint="eastAsia" w:hAnsi="宋体" w:cs="宋体"/>
          <w:sz w:val="24"/>
          <w:szCs w:val="24"/>
        </w:rPr>
        <w:t>（4）属于同一集团、协会、商会等组织成员的供应商按照该组织要求协同参加政府采购活动；</w:t>
      </w:r>
    </w:p>
    <w:p w14:paraId="7EB8BA56">
      <w:pPr>
        <w:pStyle w:val="20"/>
        <w:snapToGrid w:val="0"/>
        <w:spacing w:line="360" w:lineRule="auto"/>
        <w:ind w:left="2" w:leftChars="1" w:firstLine="480" w:firstLineChars="200"/>
        <w:rPr>
          <w:rFonts w:hAnsi="宋体" w:cs="宋体"/>
          <w:sz w:val="24"/>
          <w:szCs w:val="24"/>
        </w:rPr>
      </w:pPr>
      <w:r>
        <w:rPr>
          <w:rFonts w:hint="eastAsia" w:hAnsi="宋体" w:cs="宋体"/>
          <w:sz w:val="24"/>
          <w:szCs w:val="24"/>
        </w:rPr>
        <w:t>（5）供应商之间事先约定一致抬高或者压低投标报价，或者在招标项目中事先约定轮流以高价位或者低价位中标，或者事先约定由某一特定供应商中标，然后再参加投标；</w:t>
      </w:r>
    </w:p>
    <w:p w14:paraId="56D38A85">
      <w:pPr>
        <w:pStyle w:val="20"/>
        <w:snapToGrid w:val="0"/>
        <w:spacing w:line="360" w:lineRule="auto"/>
        <w:ind w:left="2" w:leftChars="1" w:firstLine="480" w:firstLineChars="200"/>
        <w:rPr>
          <w:rFonts w:hAnsi="宋体" w:cs="宋体"/>
          <w:sz w:val="24"/>
          <w:szCs w:val="24"/>
        </w:rPr>
      </w:pPr>
      <w:r>
        <w:rPr>
          <w:rFonts w:hint="eastAsia" w:hAnsi="宋体" w:cs="宋体"/>
          <w:sz w:val="24"/>
          <w:szCs w:val="24"/>
        </w:rPr>
        <w:t>（6）供应商之间商定部分供应商放弃参加政府采购活动或者放弃中标；</w:t>
      </w:r>
    </w:p>
    <w:p w14:paraId="7318E2BB">
      <w:pPr>
        <w:pStyle w:val="20"/>
        <w:snapToGrid w:val="0"/>
        <w:spacing w:line="360" w:lineRule="auto"/>
        <w:ind w:left="2" w:leftChars="1" w:firstLine="480" w:firstLineChars="200"/>
        <w:rPr>
          <w:rFonts w:hAnsi="宋体" w:cs="宋体"/>
          <w:sz w:val="24"/>
          <w:szCs w:val="24"/>
        </w:rPr>
      </w:pPr>
      <w:r>
        <w:rPr>
          <w:rFonts w:hint="eastAsia" w:hAnsi="宋体" w:cs="宋体"/>
          <w:sz w:val="24"/>
          <w:szCs w:val="24"/>
        </w:rPr>
        <w:t>（7）供应商与采购人或者采购代理机构之间、供应商相互之间，为谋求特定供应商中标或者排斥其他供应商的其他串通行为。</w:t>
      </w:r>
    </w:p>
    <w:p w14:paraId="1A9C88D9">
      <w:pPr>
        <w:pStyle w:val="20"/>
        <w:snapToGrid w:val="0"/>
        <w:spacing w:line="360" w:lineRule="auto"/>
        <w:ind w:left="2" w:leftChars="1" w:firstLine="422" w:firstLineChars="200"/>
        <w:rPr>
          <w:rFonts w:hAnsi="宋体" w:cs="宋体"/>
          <w:b/>
        </w:rPr>
      </w:pPr>
    </w:p>
    <w:p w14:paraId="7C4F0B35">
      <w:pPr>
        <w:pStyle w:val="6"/>
        <w:keepNext w:val="0"/>
        <w:keepLines w:val="0"/>
        <w:jc w:val="center"/>
        <w:rPr>
          <w:rFonts w:ascii="宋体" w:hAnsi="宋体" w:cs="宋体"/>
        </w:rPr>
      </w:pPr>
      <w:bookmarkStart w:id="258" w:name="_Toc2434"/>
      <w:bookmarkStart w:id="259" w:name="_Toc1276"/>
      <w:bookmarkStart w:id="260" w:name="_Toc4983"/>
      <w:r>
        <w:rPr>
          <w:rFonts w:hint="eastAsia" w:ascii="宋体" w:hAnsi="宋体" w:cs="宋体"/>
        </w:rPr>
        <w:t>二、招标文件</w:t>
      </w:r>
      <w:bookmarkEnd w:id="258"/>
      <w:bookmarkEnd w:id="259"/>
      <w:bookmarkEnd w:id="260"/>
    </w:p>
    <w:p w14:paraId="510E3460">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10.招标文件的组成</w:t>
      </w:r>
    </w:p>
    <w:p w14:paraId="61420E41">
      <w:pPr>
        <w:snapToGrid w:val="0"/>
        <w:spacing w:line="360" w:lineRule="auto"/>
        <w:ind w:firstLine="420"/>
        <w:jc w:val="left"/>
        <w:rPr>
          <w:rFonts w:ascii="宋体" w:hAnsi="宋体" w:cs="宋体"/>
          <w:sz w:val="24"/>
        </w:rPr>
      </w:pPr>
      <w:r>
        <w:rPr>
          <w:rFonts w:hint="eastAsia" w:ascii="宋体" w:hAnsi="宋体" w:cs="宋体"/>
          <w:sz w:val="24"/>
        </w:rPr>
        <w:t>（1）招标公告；</w:t>
      </w:r>
    </w:p>
    <w:p w14:paraId="51A3283F">
      <w:pPr>
        <w:snapToGrid w:val="0"/>
        <w:spacing w:line="360" w:lineRule="auto"/>
        <w:ind w:firstLine="420"/>
        <w:jc w:val="left"/>
        <w:rPr>
          <w:rFonts w:ascii="宋体" w:hAnsi="宋体" w:cs="宋体"/>
          <w:sz w:val="24"/>
        </w:rPr>
      </w:pPr>
      <w:r>
        <w:rPr>
          <w:rFonts w:hint="eastAsia" w:ascii="宋体" w:hAnsi="宋体" w:cs="宋体"/>
          <w:sz w:val="24"/>
        </w:rPr>
        <w:t xml:space="preserve">（2）采购需求； </w:t>
      </w:r>
    </w:p>
    <w:p w14:paraId="2F9DF9FF">
      <w:pPr>
        <w:snapToGrid w:val="0"/>
        <w:spacing w:line="360" w:lineRule="auto"/>
        <w:ind w:firstLine="420"/>
        <w:jc w:val="left"/>
        <w:rPr>
          <w:rFonts w:ascii="宋体" w:hAnsi="宋体" w:cs="宋体"/>
          <w:sz w:val="24"/>
        </w:rPr>
      </w:pPr>
      <w:r>
        <w:rPr>
          <w:rFonts w:hint="eastAsia" w:ascii="宋体" w:hAnsi="宋体" w:cs="宋体"/>
          <w:sz w:val="24"/>
        </w:rPr>
        <w:t>（3）投标人须知；</w:t>
      </w:r>
    </w:p>
    <w:p w14:paraId="3219BC87">
      <w:pPr>
        <w:snapToGrid w:val="0"/>
        <w:spacing w:line="360" w:lineRule="auto"/>
        <w:ind w:firstLine="420"/>
        <w:jc w:val="left"/>
        <w:rPr>
          <w:rFonts w:ascii="宋体" w:hAnsi="宋体" w:cs="宋体"/>
          <w:sz w:val="24"/>
        </w:rPr>
      </w:pPr>
      <w:r>
        <w:rPr>
          <w:rFonts w:hint="eastAsia" w:ascii="宋体" w:hAnsi="宋体" w:cs="宋体"/>
          <w:sz w:val="24"/>
        </w:rPr>
        <w:t>（4）评标方法及评标标准；</w:t>
      </w:r>
    </w:p>
    <w:p w14:paraId="2749F47A">
      <w:pPr>
        <w:snapToGrid w:val="0"/>
        <w:spacing w:line="360" w:lineRule="auto"/>
        <w:ind w:firstLine="420"/>
        <w:jc w:val="left"/>
        <w:rPr>
          <w:rFonts w:ascii="宋体" w:hAnsi="宋体" w:cs="宋体"/>
          <w:sz w:val="24"/>
        </w:rPr>
      </w:pPr>
      <w:r>
        <w:rPr>
          <w:rFonts w:hint="eastAsia" w:ascii="宋体" w:hAnsi="宋体" w:cs="宋体"/>
          <w:sz w:val="24"/>
        </w:rPr>
        <w:t>（5）拟签订的合同文本；</w:t>
      </w:r>
    </w:p>
    <w:p w14:paraId="5CAD2C8D">
      <w:pPr>
        <w:snapToGrid w:val="0"/>
        <w:spacing w:line="360" w:lineRule="auto"/>
        <w:ind w:firstLine="420"/>
        <w:jc w:val="left"/>
        <w:rPr>
          <w:rFonts w:ascii="宋体" w:hAnsi="宋体" w:cs="宋体"/>
          <w:sz w:val="24"/>
        </w:rPr>
      </w:pPr>
      <w:r>
        <w:rPr>
          <w:rFonts w:hint="eastAsia" w:ascii="宋体" w:hAnsi="宋体" w:cs="宋体"/>
          <w:sz w:val="24"/>
        </w:rPr>
        <w:t>（6）投标文件格式。</w:t>
      </w:r>
    </w:p>
    <w:p w14:paraId="52CEEFF6">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11.招标文件的澄清、修改 、现场考察和答疑会</w:t>
      </w:r>
    </w:p>
    <w:p w14:paraId="048CE049">
      <w:pPr>
        <w:pStyle w:val="8"/>
        <w:keepNext w:val="0"/>
        <w:keepLines w:val="0"/>
        <w:spacing w:before="0" w:after="0" w:line="360" w:lineRule="auto"/>
        <w:ind w:firstLine="360" w:firstLineChars="150"/>
        <w:rPr>
          <w:rFonts w:ascii="宋体" w:hAnsi="宋体" w:cs="宋体"/>
          <w:b w:val="0"/>
          <w:sz w:val="24"/>
          <w:szCs w:val="24"/>
        </w:rPr>
      </w:pPr>
      <w:r>
        <w:rPr>
          <w:rFonts w:hint="eastAsia" w:ascii="宋体" w:hAnsi="宋体" w:cs="宋体"/>
          <w:b w:val="0"/>
          <w:sz w:val="24"/>
          <w:szCs w:val="24"/>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3911029E">
      <w:pPr>
        <w:pStyle w:val="20"/>
        <w:snapToGrid w:val="0"/>
        <w:spacing w:line="360" w:lineRule="auto"/>
        <w:ind w:firstLine="480" w:firstLineChars="200"/>
        <w:rPr>
          <w:rFonts w:hAnsi="宋体" w:cs="宋体"/>
          <w:sz w:val="24"/>
          <w:szCs w:val="24"/>
        </w:rPr>
      </w:pPr>
      <w:r>
        <w:rPr>
          <w:rFonts w:hint="eastAsia" w:hAnsi="宋体" w:cs="宋体"/>
          <w:sz w:val="24"/>
          <w:szCs w:val="24"/>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1CA9E680">
      <w:pPr>
        <w:pStyle w:val="20"/>
        <w:snapToGrid w:val="0"/>
        <w:spacing w:line="360" w:lineRule="auto"/>
        <w:ind w:firstLine="480" w:firstLineChars="200"/>
        <w:rPr>
          <w:rFonts w:hAnsi="宋体" w:cs="宋体"/>
          <w:sz w:val="24"/>
          <w:szCs w:val="24"/>
        </w:rPr>
      </w:pPr>
      <w:r>
        <w:rPr>
          <w:rFonts w:hint="eastAsia" w:hAnsi="宋体" w:cs="宋体"/>
          <w:sz w:val="24"/>
          <w:szCs w:val="24"/>
        </w:rPr>
        <w:t>11.2采购人或者采购代理机构可以在招标文件提供期限截止后，组织已获取招标文件的潜在投标人现场考察或者召开开标前答疑会，具体详见“投标人须知前附表”。</w:t>
      </w:r>
    </w:p>
    <w:p w14:paraId="2B30D8A1">
      <w:pPr>
        <w:pStyle w:val="6"/>
        <w:keepNext w:val="0"/>
        <w:keepLines w:val="0"/>
        <w:jc w:val="center"/>
        <w:rPr>
          <w:rFonts w:ascii="宋体" w:hAnsi="宋体" w:cs="宋体"/>
        </w:rPr>
      </w:pPr>
      <w:bookmarkStart w:id="261" w:name="_Toc15345"/>
      <w:bookmarkStart w:id="262" w:name="_Toc31515"/>
      <w:bookmarkStart w:id="263" w:name="_Toc3064"/>
      <w:r>
        <w:rPr>
          <w:rFonts w:hint="eastAsia" w:ascii="宋体" w:hAnsi="宋体" w:cs="宋体"/>
        </w:rPr>
        <w:t>三、投标文件的编制</w:t>
      </w:r>
      <w:bookmarkEnd w:id="261"/>
      <w:bookmarkEnd w:id="262"/>
      <w:bookmarkEnd w:id="263"/>
    </w:p>
    <w:p w14:paraId="4EE20751">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12.投标文件的编制原则</w:t>
      </w:r>
    </w:p>
    <w:p w14:paraId="3E95C005">
      <w:pPr>
        <w:snapToGrid w:val="0"/>
        <w:spacing w:line="360" w:lineRule="auto"/>
        <w:ind w:firstLine="420"/>
        <w:jc w:val="left"/>
        <w:rPr>
          <w:rFonts w:ascii="宋体" w:hAnsi="宋体" w:cs="宋体"/>
          <w:sz w:val="24"/>
        </w:rPr>
      </w:pPr>
      <w:r>
        <w:rPr>
          <w:rFonts w:hint="eastAsia" w:ascii="宋体" w:hAnsi="宋体" w:cs="宋体"/>
          <w:sz w:val="24"/>
        </w:rPr>
        <w:t>投标人必须按照招标文件的要求编制投标文件。投标文件必须对招标文件提出的要求和条件作出明确响应。</w:t>
      </w:r>
    </w:p>
    <w:p w14:paraId="2D8237BC">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13.投标文件的组成</w:t>
      </w:r>
    </w:p>
    <w:p w14:paraId="5891BE34">
      <w:pPr>
        <w:snapToGrid w:val="0"/>
        <w:spacing w:line="360" w:lineRule="auto"/>
        <w:ind w:firstLine="480" w:firstLineChars="200"/>
        <w:jc w:val="left"/>
        <w:rPr>
          <w:rFonts w:ascii="宋体" w:hAnsi="宋体" w:cs="宋体"/>
          <w:sz w:val="24"/>
        </w:rPr>
      </w:pPr>
      <w:r>
        <w:rPr>
          <w:rFonts w:hint="eastAsia" w:ascii="宋体" w:hAnsi="宋体" w:cs="宋体"/>
          <w:sz w:val="24"/>
        </w:rPr>
        <w:t>投标文件由报价文件、资格证明文件、商务文件、技术文件四部分组成。</w:t>
      </w:r>
    </w:p>
    <w:p w14:paraId="1C4DE09E">
      <w:pPr>
        <w:pStyle w:val="8"/>
        <w:keepNext w:val="0"/>
        <w:keepLines w:val="0"/>
        <w:spacing w:before="0" w:after="0" w:line="360" w:lineRule="auto"/>
        <w:ind w:left="420" w:leftChars="200"/>
        <w:rPr>
          <w:rFonts w:ascii="宋体" w:hAnsi="宋体" w:cs="宋体"/>
          <w:b w:val="0"/>
          <w:sz w:val="24"/>
          <w:szCs w:val="24"/>
        </w:rPr>
      </w:pPr>
      <w:r>
        <w:rPr>
          <w:rFonts w:hint="eastAsia" w:ascii="宋体" w:hAnsi="宋体" w:cs="宋体"/>
          <w:b w:val="0"/>
          <w:sz w:val="24"/>
          <w:szCs w:val="24"/>
        </w:rPr>
        <w:t>（1）报价文件： 具体材料见“投标人须知前附表”。</w:t>
      </w:r>
    </w:p>
    <w:p w14:paraId="762D4B9F">
      <w:pPr>
        <w:pStyle w:val="8"/>
        <w:keepNext w:val="0"/>
        <w:keepLines w:val="0"/>
        <w:spacing w:before="0" w:after="0" w:line="360" w:lineRule="auto"/>
        <w:ind w:left="420" w:leftChars="200"/>
        <w:rPr>
          <w:rFonts w:ascii="宋体" w:hAnsi="宋体" w:cs="宋体"/>
          <w:b w:val="0"/>
          <w:sz w:val="24"/>
          <w:szCs w:val="24"/>
        </w:rPr>
      </w:pPr>
      <w:r>
        <w:rPr>
          <w:rFonts w:hint="eastAsia" w:ascii="宋体" w:hAnsi="宋体" w:cs="宋体"/>
          <w:b w:val="0"/>
          <w:sz w:val="24"/>
          <w:szCs w:val="24"/>
        </w:rPr>
        <w:t>（2）资格证明文件：具体材料见“投标人须知前附表”。</w:t>
      </w:r>
    </w:p>
    <w:p w14:paraId="7B3940CD">
      <w:pPr>
        <w:pStyle w:val="8"/>
        <w:keepNext w:val="0"/>
        <w:keepLines w:val="0"/>
        <w:spacing w:before="0" w:after="0" w:line="360" w:lineRule="auto"/>
        <w:ind w:left="420" w:leftChars="200"/>
        <w:rPr>
          <w:rFonts w:ascii="宋体" w:hAnsi="宋体" w:cs="宋体"/>
          <w:b w:val="0"/>
          <w:sz w:val="24"/>
          <w:szCs w:val="24"/>
        </w:rPr>
      </w:pPr>
      <w:r>
        <w:rPr>
          <w:rFonts w:hint="eastAsia" w:ascii="宋体" w:hAnsi="宋体" w:cs="宋体"/>
          <w:b w:val="0"/>
          <w:sz w:val="24"/>
          <w:szCs w:val="24"/>
        </w:rPr>
        <w:t>（3）商务文件：具体材料见“投标人须知前附表”。</w:t>
      </w:r>
    </w:p>
    <w:p w14:paraId="7D1420A5">
      <w:pPr>
        <w:pStyle w:val="8"/>
        <w:keepNext w:val="0"/>
        <w:keepLines w:val="0"/>
        <w:spacing w:before="0" w:after="0" w:line="360" w:lineRule="auto"/>
        <w:ind w:left="420" w:leftChars="200"/>
        <w:rPr>
          <w:rFonts w:ascii="宋体" w:hAnsi="宋体" w:cs="宋体"/>
          <w:b w:val="0"/>
          <w:sz w:val="24"/>
          <w:szCs w:val="24"/>
        </w:rPr>
      </w:pPr>
      <w:r>
        <w:rPr>
          <w:rFonts w:hint="eastAsia" w:ascii="宋体" w:hAnsi="宋体" w:cs="宋体"/>
          <w:b w:val="0"/>
          <w:sz w:val="24"/>
          <w:szCs w:val="24"/>
        </w:rPr>
        <w:t>（4）技术文件：具体材料见“投标人须知前附表”。</w:t>
      </w:r>
    </w:p>
    <w:p w14:paraId="3964AE8E">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14.投标文件的语言及计量</w:t>
      </w:r>
    </w:p>
    <w:p w14:paraId="44A1F897">
      <w:pPr>
        <w:pStyle w:val="8"/>
        <w:keepNext w:val="0"/>
        <w:keepLines w:val="0"/>
        <w:spacing w:before="0" w:after="0" w:line="360" w:lineRule="auto"/>
        <w:ind w:left="420" w:leftChars="200"/>
        <w:rPr>
          <w:rFonts w:ascii="宋体" w:hAnsi="宋体" w:cs="宋体"/>
          <w:b w:val="0"/>
          <w:sz w:val="24"/>
          <w:szCs w:val="24"/>
        </w:rPr>
      </w:pPr>
      <w:r>
        <w:rPr>
          <w:rFonts w:hint="eastAsia" w:ascii="宋体" w:hAnsi="宋体" w:cs="宋体"/>
          <w:b w:val="0"/>
          <w:sz w:val="24"/>
          <w:szCs w:val="24"/>
        </w:rPr>
        <w:t>14.1语言文字</w:t>
      </w:r>
    </w:p>
    <w:p w14:paraId="39461CDC">
      <w:pPr>
        <w:pStyle w:val="8"/>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71CD13B6">
      <w:pPr>
        <w:pStyle w:val="8"/>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14.2投标计量单位</w:t>
      </w:r>
    </w:p>
    <w:p w14:paraId="2831D6CB">
      <w:pPr>
        <w:pStyle w:val="8"/>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招标文件已有明确规定的，使用招标文件规定的计量单位；招标文件没有规定的，应采用中华人民共和国法定计量单位，货币种类为人民币</w:t>
      </w:r>
      <w:r>
        <w:rPr>
          <w:rFonts w:hint="eastAsia" w:ascii="宋体" w:hAnsi="宋体" w:cs="宋体"/>
          <w:sz w:val="24"/>
          <w:szCs w:val="24"/>
        </w:rPr>
        <w:t>，否则视同未响应。</w:t>
      </w:r>
    </w:p>
    <w:p w14:paraId="212ABE9C">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15.投标的风险</w:t>
      </w:r>
    </w:p>
    <w:p w14:paraId="7BA5420E">
      <w:pPr>
        <w:pStyle w:val="20"/>
        <w:snapToGrid w:val="0"/>
        <w:spacing w:line="360" w:lineRule="auto"/>
        <w:ind w:firstLine="480" w:firstLineChars="200"/>
        <w:jc w:val="left"/>
        <w:rPr>
          <w:rFonts w:hAnsi="宋体" w:cs="宋体"/>
          <w:sz w:val="24"/>
          <w:szCs w:val="24"/>
        </w:rPr>
      </w:pPr>
      <w:r>
        <w:rPr>
          <w:rFonts w:hint="eastAsia" w:hAnsi="宋体" w:cs="宋体"/>
          <w:sz w:val="24"/>
          <w:szCs w:val="24"/>
        </w:rPr>
        <w:t>投标人没有按照招标文件要求提供全部资料，或者投标人没有对招标文件作出实质性响应是投标人的风险，并可能导致其投标被拒绝。</w:t>
      </w:r>
    </w:p>
    <w:p w14:paraId="6D4C61D2">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16.投标报价</w:t>
      </w:r>
    </w:p>
    <w:p w14:paraId="6442ACD9">
      <w:pPr>
        <w:pStyle w:val="8"/>
        <w:keepNext w:val="0"/>
        <w:keepLines w:val="0"/>
        <w:spacing w:before="0" w:after="0" w:line="360" w:lineRule="auto"/>
        <w:ind w:left="420" w:leftChars="200"/>
        <w:rPr>
          <w:rFonts w:ascii="宋体" w:hAnsi="宋体" w:cs="宋体"/>
          <w:b w:val="0"/>
          <w:sz w:val="24"/>
          <w:szCs w:val="24"/>
        </w:rPr>
      </w:pPr>
      <w:r>
        <w:rPr>
          <w:rFonts w:hint="eastAsia" w:ascii="宋体" w:hAnsi="宋体" w:cs="宋体"/>
          <w:b w:val="0"/>
          <w:sz w:val="24"/>
          <w:szCs w:val="24"/>
        </w:rPr>
        <w:t>16.1投标报价应按“第六章　投标文件格式”中“开标一览表”格式填写。</w:t>
      </w:r>
    </w:p>
    <w:p w14:paraId="3E6D2831">
      <w:pPr>
        <w:pStyle w:val="8"/>
        <w:keepNext w:val="0"/>
        <w:keepLines w:val="0"/>
        <w:spacing w:before="0" w:after="0" w:line="360" w:lineRule="auto"/>
        <w:ind w:left="420" w:leftChars="200"/>
        <w:rPr>
          <w:rFonts w:ascii="宋体" w:hAnsi="宋体" w:cs="宋体"/>
          <w:b w:val="0"/>
          <w:sz w:val="24"/>
          <w:szCs w:val="24"/>
        </w:rPr>
      </w:pPr>
      <w:r>
        <w:rPr>
          <w:rFonts w:hint="eastAsia" w:ascii="宋体" w:hAnsi="宋体" w:cs="宋体"/>
          <w:b w:val="0"/>
          <w:sz w:val="24"/>
          <w:szCs w:val="24"/>
        </w:rPr>
        <w:t>16.2投标报价具体包括内容详见“投标人须知前附表”。</w:t>
      </w:r>
    </w:p>
    <w:p w14:paraId="056024D8">
      <w:pPr>
        <w:pStyle w:val="8"/>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16.3投标人必须就所投的全部内容分别作完整唯一总价报价，不得存在漏项报价；投标人必须就所投的单项内容作唯一报价。</w:t>
      </w:r>
    </w:p>
    <w:p w14:paraId="5B4F56F8">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17.投标有效期</w:t>
      </w:r>
    </w:p>
    <w:p w14:paraId="64527528">
      <w:pPr>
        <w:pStyle w:val="8"/>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17.1投标有效期是指为保证采购人有足够的时间在开标后完成评标、定标、合同签订等工作而要求投标人提交的投标文件在一定时间内保持有效的期限。</w:t>
      </w:r>
    </w:p>
    <w:p w14:paraId="6B37979E">
      <w:pPr>
        <w:pStyle w:val="8"/>
        <w:keepNext w:val="0"/>
        <w:keepLines w:val="0"/>
        <w:spacing w:before="0" w:after="0" w:line="360" w:lineRule="auto"/>
        <w:ind w:left="420" w:leftChars="200"/>
        <w:rPr>
          <w:rFonts w:ascii="宋体" w:hAnsi="宋体" w:cs="宋体"/>
          <w:b w:val="0"/>
          <w:sz w:val="24"/>
          <w:szCs w:val="24"/>
        </w:rPr>
      </w:pPr>
      <w:r>
        <w:rPr>
          <w:rFonts w:hint="eastAsia" w:ascii="宋体" w:hAnsi="宋体" w:cs="宋体"/>
          <w:b w:val="0"/>
          <w:sz w:val="24"/>
          <w:szCs w:val="24"/>
        </w:rPr>
        <w:t>17.2 投标有效期应按规定的期限作出承诺，具体详见“投标人须知前附表”。</w:t>
      </w:r>
    </w:p>
    <w:p w14:paraId="5EA4BDF0">
      <w:pPr>
        <w:pStyle w:val="8"/>
        <w:keepNext w:val="0"/>
        <w:keepLines w:val="0"/>
        <w:spacing w:before="0" w:after="0" w:line="360" w:lineRule="auto"/>
        <w:ind w:left="420" w:leftChars="200"/>
        <w:rPr>
          <w:rFonts w:ascii="宋体" w:hAnsi="宋体" w:cs="宋体"/>
          <w:b w:val="0"/>
          <w:sz w:val="24"/>
          <w:szCs w:val="24"/>
        </w:rPr>
      </w:pPr>
      <w:r>
        <w:rPr>
          <w:rFonts w:hint="eastAsia" w:ascii="宋体" w:hAnsi="宋体" w:cs="宋体"/>
          <w:b w:val="0"/>
          <w:sz w:val="24"/>
          <w:szCs w:val="24"/>
        </w:rPr>
        <w:t>17.3投标人的投标文件在投标有效期内均保持有效。</w:t>
      </w:r>
    </w:p>
    <w:p w14:paraId="0148532B">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18.投标保证金</w:t>
      </w:r>
    </w:p>
    <w:p w14:paraId="3F28F6AC">
      <w:pPr>
        <w:pStyle w:val="8"/>
        <w:keepNext w:val="0"/>
        <w:keepLines w:val="0"/>
        <w:spacing w:before="0" w:after="0" w:line="360" w:lineRule="auto"/>
        <w:ind w:left="420" w:leftChars="200"/>
        <w:rPr>
          <w:rFonts w:ascii="宋体" w:hAnsi="宋体" w:cs="宋体"/>
          <w:b w:val="0"/>
          <w:sz w:val="24"/>
          <w:szCs w:val="24"/>
        </w:rPr>
      </w:pPr>
      <w:r>
        <w:rPr>
          <w:rFonts w:hint="eastAsia" w:ascii="宋体" w:hAnsi="宋体" w:cs="宋体"/>
          <w:b w:val="0"/>
          <w:sz w:val="24"/>
          <w:szCs w:val="24"/>
        </w:rPr>
        <w:t>18.1投标人须按“投标人须知前附表” 的规定提交投标保证金。</w:t>
      </w:r>
    </w:p>
    <w:p w14:paraId="319FB624">
      <w:pPr>
        <w:pStyle w:val="8"/>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18.2投标保证金的退还</w:t>
      </w:r>
    </w:p>
    <w:p w14:paraId="366A29C6">
      <w:pPr>
        <w:pStyle w:val="8"/>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 xml:space="preserve">未中标人的投标保证金自中标通知书发出之日起5个工作日内退还；中标人的投标保证金自政府采购合同签订之日起5个工作日内退还。 </w:t>
      </w:r>
    </w:p>
    <w:p w14:paraId="71C4AC76">
      <w:pPr>
        <w:pStyle w:val="8"/>
        <w:keepNext w:val="0"/>
        <w:keepLines w:val="0"/>
        <w:spacing w:before="0" w:after="0" w:line="360" w:lineRule="auto"/>
        <w:ind w:left="420" w:leftChars="200"/>
        <w:rPr>
          <w:rFonts w:ascii="宋体" w:hAnsi="宋体" w:cs="宋体"/>
          <w:b w:val="0"/>
          <w:sz w:val="24"/>
          <w:szCs w:val="24"/>
        </w:rPr>
      </w:pPr>
      <w:r>
        <w:rPr>
          <w:rFonts w:hint="eastAsia" w:ascii="宋体" w:hAnsi="宋体" w:cs="宋体"/>
          <w:b w:val="0"/>
          <w:sz w:val="24"/>
          <w:szCs w:val="24"/>
        </w:rPr>
        <w:t>18.3除逾期退还投标保证金和终止招标的情形以外，投标保证金不计息。</w:t>
      </w:r>
    </w:p>
    <w:p w14:paraId="4D0D1A86">
      <w:pPr>
        <w:pStyle w:val="8"/>
        <w:keepNext w:val="0"/>
        <w:keepLines w:val="0"/>
        <w:spacing w:before="0" w:after="0" w:line="360" w:lineRule="auto"/>
        <w:ind w:left="420" w:leftChars="200"/>
        <w:rPr>
          <w:rFonts w:ascii="宋体" w:hAnsi="宋体" w:cs="宋体"/>
          <w:b w:val="0"/>
          <w:sz w:val="24"/>
          <w:szCs w:val="24"/>
        </w:rPr>
      </w:pPr>
      <w:r>
        <w:rPr>
          <w:rFonts w:hint="eastAsia" w:ascii="宋体" w:hAnsi="宋体" w:cs="宋体"/>
          <w:b w:val="0"/>
          <w:sz w:val="24"/>
          <w:szCs w:val="24"/>
        </w:rPr>
        <w:t xml:space="preserve">18.4投标人有下列情形之一的，投标保证金将不予退还： </w:t>
      </w:r>
    </w:p>
    <w:p w14:paraId="6FB49C81">
      <w:pPr>
        <w:snapToGrid w:val="0"/>
        <w:spacing w:line="360" w:lineRule="auto"/>
        <w:ind w:firstLine="470" w:firstLineChars="196"/>
        <w:jc w:val="left"/>
        <w:rPr>
          <w:rFonts w:ascii="宋体" w:hAnsi="宋体" w:cs="宋体"/>
          <w:sz w:val="24"/>
        </w:rPr>
      </w:pPr>
      <w:r>
        <w:rPr>
          <w:rFonts w:hint="eastAsia" w:ascii="宋体" w:hAnsi="宋体" w:cs="宋体"/>
          <w:sz w:val="24"/>
        </w:rPr>
        <w:t>（1）投标人在投标有效期内撤销投标文件的；</w:t>
      </w:r>
    </w:p>
    <w:p w14:paraId="4D5098CC">
      <w:pPr>
        <w:snapToGrid w:val="0"/>
        <w:spacing w:line="360" w:lineRule="auto"/>
        <w:ind w:firstLine="470" w:firstLineChars="196"/>
        <w:jc w:val="left"/>
        <w:rPr>
          <w:rFonts w:ascii="宋体" w:hAnsi="宋体" w:cs="宋体"/>
          <w:sz w:val="24"/>
        </w:rPr>
      </w:pPr>
      <w:r>
        <w:rPr>
          <w:rFonts w:hint="eastAsia" w:ascii="宋体" w:hAnsi="宋体" w:cs="宋体"/>
          <w:sz w:val="24"/>
        </w:rPr>
        <w:t>（2）未按规定提交履约保证金的；</w:t>
      </w:r>
    </w:p>
    <w:p w14:paraId="00ED2E8C">
      <w:pPr>
        <w:snapToGrid w:val="0"/>
        <w:spacing w:line="360" w:lineRule="auto"/>
        <w:ind w:firstLine="470" w:firstLineChars="196"/>
        <w:jc w:val="left"/>
        <w:rPr>
          <w:rFonts w:ascii="宋体" w:hAnsi="宋体" w:cs="宋体"/>
          <w:sz w:val="24"/>
        </w:rPr>
      </w:pPr>
      <w:r>
        <w:rPr>
          <w:rFonts w:hint="eastAsia" w:ascii="宋体" w:hAnsi="宋体" w:cs="宋体"/>
          <w:sz w:val="24"/>
        </w:rPr>
        <w:t>（3）投标人在投标过程中弄虚作假，提供虚假材料的；</w:t>
      </w:r>
    </w:p>
    <w:p w14:paraId="109C0DB7">
      <w:pPr>
        <w:snapToGrid w:val="0"/>
        <w:spacing w:line="360" w:lineRule="auto"/>
        <w:ind w:firstLine="470" w:firstLineChars="196"/>
        <w:rPr>
          <w:rFonts w:ascii="宋体" w:hAnsi="宋体" w:cs="宋体"/>
          <w:sz w:val="24"/>
        </w:rPr>
      </w:pPr>
      <w:r>
        <w:rPr>
          <w:rFonts w:hint="eastAsia" w:ascii="宋体" w:hAnsi="宋体" w:cs="宋体"/>
          <w:sz w:val="24"/>
        </w:rPr>
        <w:t>（4）中标人无正当理由不与采购人签订合同的；</w:t>
      </w:r>
    </w:p>
    <w:p w14:paraId="53542E85">
      <w:pPr>
        <w:snapToGrid w:val="0"/>
        <w:spacing w:line="360" w:lineRule="auto"/>
        <w:ind w:firstLine="480" w:firstLineChars="200"/>
        <w:rPr>
          <w:rFonts w:ascii="宋体" w:hAnsi="宋体" w:cs="宋体"/>
          <w:sz w:val="24"/>
        </w:rPr>
      </w:pPr>
      <w:r>
        <w:rPr>
          <w:rFonts w:hint="eastAsia" w:ascii="宋体" w:hAnsi="宋体" w:cs="宋体"/>
          <w:sz w:val="24"/>
        </w:rPr>
        <w:t>（5）投标人出现本章第9.2、9.3情形的；</w:t>
      </w:r>
    </w:p>
    <w:p w14:paraId="75F3F6DC">
      <w:pPr>
        <w:snapToGrid w:val="0"/>
        <w:spacing w:line="360" w:lineRule="auto"/>
        <w:ind w:firstLine="480" w:firstLineChars="200"/>
        <w:rPr>
          <w:rFonts w:ascii="宋体" w:hAnsi="宋体" w:cs="宋体"/>
          <w:sz w:val="24"/>
        </w:rPr>
      </w:pPr>
      <w:r>
        <w:rPr>
          <w:rFonts w:hint="eastAsia" w:ascii="宋体" w:hAnsi="宋体" w:cs="宋体"/>
          <w:sz w:val="24"/>
        </w:rPr>
        <w:t>（6）法律法规规定的其他情形。</w:t>
      </w:r>
    </w:p>
    <w:p w14:paraId="0B4FED34">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19.投标文件的编制</w:t>
      </w:r>
    </w:p>
    <w:p w14:paraId="31FD2A7D">
      <w:pPr>
        <w:pStyle w:val="8"/>
        <w:keepNext w:val="0"/>
        <w:keepLines w:val="0"/>
        <w:spacing w:before="0" w:after="0" w:line="360" w:lineRule="auto"/>
        <w:ind w:firstLine="360" w:firstLineChars="150"/>
        <w:rPr>
          <w:rFonts w:ascii="宋体" w:hAnsi="宋体" w:cs="宋体"/>
          <w:b w:val="0"/>
          <w:sz w:val="24"/>
          <w:szCs w:val="24"/>
        </w:rPr>
      </w:pPr>
      <w:r>
        <w:rPr>
          <w:rFonts w:hint="eastAsia" w:ascii="宋体" w:hAnsi="宋体" w:cs="宋体"/>
          <w:b w:val="0"/>
          <w:sz w:val="24"/>
          <w:szCs w:val="24"/>
        </w:rPr>
        <w:t xml:space="preserve"> 19.1投标人应先安装“广西政府采购云平台电子投标客户端”（请自行前往</w:t>
      </w:r>
      <w:r>
        <w:rPr>
          <w:rFonts w:hint="eastAsia" w:ascii="宋体" w:hAnsi="宋体" w:cs="宋体"/>
          <w:sz w:val="24"/>
          <w:szCs w:val="24"/>
        </w:rPr>
        <w:t>广西政府采购云平台</w:t>
      </w:r>
      <w:r>
        <w:rPr>
          <w:rFonts w:hint="eastAsia" w:ascii="宋体" w:hAnsi="宋体" w:cs="宋体"/>
          <w:b w:val="0"/>
          <w:sz w:val="24"/>
          <w:szCs w:val="24"/>
        </w:rPr>
        <w:t>进行下载），并按照本项目招标文件规定的格式和顺序和</w:t>
      </w:r>
      <w:r>
        <w:rPr>
          <w:rFonts w:hint="eastAsia" w:ascii="宋体" w:hAnsi="宋体" w:cs="宋体"/>
          <w:sz w:val="24"/>
          <w:szCs w:val="24"/>
        </w:rPr>
        <w:t>广西政府采购云平台</w:t>
      </w:r>
      <w:r>
        <w:rPr>
          <w:rFonts w:hint="eastAsia" w:ascii="宋体" w:hAnsi="宋体" w:cs="宋体"/>
          <w:b w:val="0"/>
          <w:sz w:val="24"/>
          <w:szCs w:val="24"/>
        </w:rPr>
        <w:t>的要求编制并加密。投标文件内容不完整、编排混乱导致投标文件被误读、漏读或者查找不到相关内容的，由此引发的后果由投标人承担。</w:t>
      </w:r>
    </w:p>
    <w:p w14:paraId="7CCB89EA">
      <w:pPr>
        <w:pStyle w:val="8"/>
        <w:keepNext w:val="0"/>
        <w:keepLines w:val="0"/>
        <w:spacing w:before="0" w:after="0" w:line="360" w:lineRule="auto"/>
        <w:ind w:firstLine="360" w:firstLineChars="150"/>
        <w:rPr>
          <w:rFonts w:ascii="宋体" w:hAnsi="宋体" w:cs="宋体"/>
          <w:b w:val="0"/>
          <w:sz w:val="24"/>
          <w:szCs w:val="24"/>
        </w:rPr>
      </w:pPr>
      <w:r>
        <w:rPr>
          <w:rFonts w:hint="eastAsia" w:ascii="宋体" w:hAnsi="宋体" w:cs="宋体"/>
          <w:b w:val="0"/>
          <w:sz w:val="24"/>
          <w:szCs w:val="24"/>
        </w:rPr>
        <w:t>19.2为确保网上操作合法、有效和安全，投标人应当在投标截止时间前完成在</w:t>
      </w:r>
      <w:r>
        <w:rPr>
          <w:rFonts w:hint="eastAsia" w:ascii="宋体" w:hAnsi="宋体" w:cs="宋体"/>
          <w:sz w:val="24"/>
          <w:szCs w:val="24"/>
        </w:rPr>
        <w:t>广西政府采购云平台</w:t>
      </w:r>
      <w:r>
        <w:rPr>
          <w:rFonts w:hint="eastAsia" w:ascii="宋体" w:hAnsi="宋体" w:cs="宋体"/>
          <w:b w:val="0"/>
          <w:sz w:val="24"/>
          <w:szCs w:val="24"/>
        </w:rPr>
        <w:t>的身份认证，确保在电子投标过程中能够对相关数据电文进行加密和使用电子签章。</w:t>
      </w:r>
    </w:p>
    <w:p w14:paraId="22269DFC">
      <w:pPr>
        <w:pStyle w:val="8"/>
        <w:keepNext w:val="0"/>
        <w:keepLines w:val="0"/>
        <w:spacing w:before="0" w:after="0" w:line="360" w:lineRule="auto"/>
        <w:rPr>
          <w:rFonts w:ascii="宋体" w:hAnsi="宋体" w:cs="宋体"/>
          <w:b w:val="0"/>
          <w:sz w:val="24"/>
          <w:szCs w:val="24"/>
        </w:rPr>
      </w:pPr>
      <w:r>
        <w:rPr>
          <w:rFonts w:hint="eastAsia" w:ascii="宋体" w:hAnsi="宋体" w:cs="宋体"/>
          <w:b w:val="0"/>
          <w:sz w:val="24"/>
          <w:szCs w:val="24"/>
        </w:rPr>
        <w:t xml:space="preserve"> 19.3投标文件须由投标人在规定位置签字（或者电子签名）、盖章（具体以投标人须知前附表或投标文件格式规定为准），</w:t>
      </w:r>
      <w:r>
        <w:rPr>
          <w:rFonts w:hint="eastAsia" w:ascii="宋体" w:hAnsi="宋体" w:cs="宋体"/>
          <w:sz w:val="24"/>
          <w:szCs w:val="24"/>
        </w:rPr>
        <w:t>否则按无效投标处理</w:t>
      </w:r>
      <w:r>
        <w:rPr>
          <w:rFonts w:hint="eastAsia" w:ascii="宋体" w:hAnsi="宋体" w:cs="宋体"/>
          <w:b w:val="0"/>
          <w:sz w:val="24"/>
          <w:szCs w:val="24"/>
        </w:rPr>
        <w:t>。</w:t>
      </w:r>
    </w:p>
    <w:p w14:paraId="677936E4">
      <w:pPr>
        <w:pStyle w:val="8"/>
        <w:keepNext w:val="0"/>
        <w:keepLines w:val="0"/>
        <w:spacing w:before="0" w:after="0" w:line="360" w:lineRule="auto"/>
        <w:ind w:firstLine="360" w:firstLineChars="150"/>
        <w:rPr>
          <w:rFonts w:ascii="宋体" w:hAnsi="宋体" w:cs="宋体"/>
          <w:b w:val="0"/>
          <w:sz w:val="24"/>
          <w:szCs w:val="24"/>
        </w:rPr>
      </w:pPr>
      <w:r>
        <w:rPr>
          <w:rFonts w:hint="eastAsia" w:ascii="宋体" w:hAnsi="宋体" w:cs="宋体"/>
          <w:b w:val="0"/>
          <w:sz w:val="24"/>
          <w:szCs w:val="24"/>
        </w:rPr>
        <w:t>19.4投标文件中标注的投标人名称应与主体资格证明（如营业执照或者事业单位法人证书或者执业许可证或者登记证书等）及公章一致，并与“</w:t>
      </w:r>
      <w:r>
        <w:rPr>
          <w:rFonts w:hint="eastAsia" w:ascii="宋体" w:hAnsi="宋体" w:cs="宋体"/>
          <w:sz w:val="24"/>
          <w:szCs w:val="24"/>
        </w:rPr>
        <w:t>广西政府采购云平台</w:t>
      </w:r>
      <w:r>
        <w:rPr>
          <w:rFonts w:hint="eastAsia" w:ascii="宋体" w:hAnsi="宋体" w:cs="宋体"/>
          <w:b w:val="0"/>
          <w:sz w:val="24"/>
          <w:szCs w:val="24"/>
        </w:rPr>
        <w:t>”中获取招标文件的投标人名称一致，投标人为自然人的，标注的投标人名称应与身份证姓名及签名一致，</w:t>
      </w:r>
      <w:r>
        <w:rPr>
          <w:rFonts w:hint="eastAsia" w:ascii="宋体" w:hAnsi="宋体" w:cs="宋体"/>
          <w:sz w:val="24"/>
          <w:szCs w:val="24"/>
        </w:rPr>
        <w:t>否则按无效投标处理</w:t>
      </w:r>
      <w:r>
        <w:rPr>
          <w:rFonts w:hint="eastAsia" w:ascii="宋体" w:hAnsi="宋体" w:cs="宋体"/>
          <w:b w:val="0"/>
          <w:sz w:val="24"/>
          <w:szCs w:val="24"/>
        </w:rPr>
        <w:t>。</w:t>
      </w:r>
    </w:p>
    <w:p w14:paraId="7AC0ED36">
      <w:pPr>
        <w:pStyle w:val="8"/>
        <w:keepNext w:val="0"/>
        <w:keepLines w:val="0"/>
        <w:spacing w:before="0" w:after="0" w:line="360" w:lineRule="auto"/>
        <w:ind w:firstLine="360" w:firstLineChars="150"/>
        <w:rPr>
          <w:rFonts w:ascii="宋体" w:hAnsi="宋体" w:cs="宋体"/>
          <w:b w:val="0"/>
          <w:sz w:val="24"/>
          <w:szCs w:val="24"/>
        </w:rPr>
      </w:pPr>
      <w:r>
        <w:rPr>
          <w:rFonts w:hint="eastAsia" w:ascii="宋体" w:hAnsi="宋体" w:cs="宋体"/>
          <w:b w:val="0"/>
          <w:sz w:val="24"/>
          <w:szCs w:val="24"/>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55AF278B">
      <w:pPr>
        <w:spacing w:line="360" w:lineRule="auto"/>
        <w:ind w:firstLine="480" w:firstLineChars="200"/>
        <w:rPr>
          <w:rFonts w:ascii="宋体" w:hAnsi="宋体" w:cs="宋体"/>
          <w:sz w:val="24"/>
        </w:rPr>
      </w:pPr>
      <w:r>
        <w:rPr>
          <w:rFonts w:hint="eastAsia" w:ascii="宋体" w:hAnsi="宋体" w:cs="宋体"/>
          <w:sz w:val="24"/>
        </w:rPr>
        <w:t>20.电子备份投标文件</w:t>
      </w:r>
    </w:p>
    <w:p w14:paraId="32911BB0">
      <w:pPr>
        <w:spacing w:line="360" w:lineRule="auto"/>
        <w:ind w:firstLine="480" w:firstLineChars="200"/>
        <w:rPr>
          <w:rFonts w:ascii="宋体" w:hAnsi="宋体" w:cs="宋体"/>
          <w:sz w:val="24"/>
        </w:rPr>
      </w:pPr>
      <w:r>
        <w:rPr>
          <w:rFonts w:hint="eastAsia" w:ascii="宋体" w:hAnsi="宋体" w:cs="宋体"/>
          <w:sz w:val="24"/>
        </w:rPr>
        <w:t>电子备份投标文件是指通过“广西政府采购云平台电子投标客户端”在线编制生成且后缀名为“bfbs”的文件，是否接受电子备份投标文件</w:t>
      </w:r>
      <w:r>
        <w:rPr>
          <w:rFonts w:hint="eastAsia" w:ascii="宋体" w:hAnsi="宋体" w:cs="宋体"/>
          <w:bCs/>
          <w:sz w:val="24"/>
        </w:rPr>
        <w:t>详见在“投标人须知前附表”。</w:t>
      </w:r>
    </w:p>
    <w:p w14:paraId="071E070C">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21.投标文件的提交</w:t>
      </w:r>
    </w:p>
    <w:p w14:paraId="19D0E039">
      <w:pPr>
        <w:spacing w:line="360" w:lineRule="auto"/>
        <w:ind w:firstLine="480" w:firstLineChars="200"/>
        <w:rPr>
          <w:rFonts w:ascii="宋体" w:hAnsi="宋体" w:cs="宋体"/>
          <w:b/>
          <w:sz w:val="24"/>
        </w:rPr>
      </w:pPr>
      <w:r>
        <w:rPr>
          <w:rFonts w:hint="eastAsia" w:ascii="宋体" w:hAnsi="宋体" w:cs="宋体"/>
          <w:bCs/>
          <w:sz w:val="24"/>
        </w:rPr>
        <w:t>21.1投标人必须在“投标人须知前附表”规定的</w:t>
      </w:r>
      <w:r>
        <w:rPr>
          <w:rFonts w:hint="eastAsia" w:ascii="宋体" w:hAnsi="宋体" w:cs="宋体"/>
          <w:sz w:val="24"/>
        </w:rPr>
        <w:t>投标文件提交截止时间前将</w:t>
      </w:r>
      <w:r>
        <w:rPr>
          <w:rFonts w:hint="eastAsia" w:ascii="宋体" w:hAnsi="宋体" w:cs="宋体"/>
          <w:bCs/>
          <w:sz w:val="24"/>
        </w:rPr>
        <w:t>电子投标文件提交至投标地点。电子投标文件应在制作完成后，在投标截止时间前通过有效数字证书（CA认证锁）进行电子签章、加密，然后通过网络将加密的电子投标文件递交至</w:t>
      </w:r>
      <w:r>
        <w:rPr>
          <w:rFonts w:hint="eastAsia" w:ascii="宋体" w:hAnsi="宋体" w:cs="宋体"/>
          <w:sz w:val="24"/>
        </w:rPr>
        <w:t>广西政府采购云平台</w:t>
      </w:r>
      <w:r>
        <w:rPr>
          <w:rFonts w:hint="eastAsia" w:ascii="宋体" w:hAnsi="宋体" w:cs="宋体"/>
          <w:bCs/>
          <w:sz w:val="24"/>
        </w:rPr>
        <w:t xml:space="preserve">。 </w:t>
      </w:r>
      <w:r>
        <w:rPr>
          <w:rFonts w:hint="eastAsia" w:ascii="宋体" w:hAnsi="宋体" w:cs="宋体"/>
          <w:b/>
          <w:sz w:val="24"/>
        </w:rPr>
        <w:t xml:space="preserve"> </w:t>
      </w:r>
    </w:p>
    <w:p w14:paraId="667B0B03">
      <w:pPr>
        <w:spacing w:line="360" w:lineRule="auto"/>
        <w:ind w:firstLine="482" w:firstLineChars="200"/>
        <w:rPr>
          <w:rFonts w:ascii="宋体" w:hAnsi="宋体" w:cs="宋体"/>
          <w:b/>
          <w:sz w:val="24"/>
        </w:rPr>
      </w:pPr>
      <w:r>
        <w:rPr>
          <w:rFonts w:hint="eastAsia" w:ascii="宋体" w:hAnsi="宋体" w:cs="宋体"/>
          <w:b/>
          <w:sz w:val="24"/>
        </w:rPr>
        <w:t>21.2未在规定时间内提交或者未按照招标文件要求加密的电子投标文件，</w:t>
      </w:r>
      <w:r>
        <w:rPr>
          <w:rFonts w:hint="eastAsia" w:ascii="宋体" w:hAnsi="宋体" w:cs="宋体"/>
          <w:sz w:val="24"/>
        </w:rPr>
        <w:t>广西政府采购云平台</w:t>
      </w:r>
      <w:r>
        <w:rPr>
          <w:rFonts w:hint="eastAsia" w:ascii="宋体" w:hAnsi="宋体" w:cs="宋体"/>
          <w:b/>
          <w:sz w:val="24"/>
        </w:rPr>
        <w:t>将拒收。</w:t>
      </w:r>
    </w:p>
    <w:p w14:paraId="4B4B7FEC">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22. 投标文件的补充、修改、撤回与退回</w:t>
      </w:r>
    </w:p>
    <w:p w14:paraId="0B7344C7">
      <w:pPr>
        <w:snapToGrid w:val="0"/>
        <w:spacing w:line="360" w:lineRule="auto"/>
        <w:ind w:firstLine="420"/>
        <w:jc w:val="left"/>
        <w:rPr>
          <w:rFonts w:ascii="宋体" w:hAnsi="宋体" w:cs="宋体"/>
          <w:sz w:val="24"/>
        </w:rPr>
      </w:pPr>
      <w:r>
        <w:rPr>
          <w:rFonts w:hint="eastAsia" w:ascii="宋体" w:hAnsi="宋体" w:cs="宋体"/>
          <w:sz w:val="24"/>
        </w:rPr>
        <w:t>22.1</w:t>
      </w:r>
      <w:r>
        <w:rPr>
          <w:rFonts w:hint="eastAsia" w:ascii="宋体" w:hAnsi="宋体" w:cs="宋体"/>
          <w:bCs/>
          <w:sz w:val="24"/>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宋体" w:hAnsi="宋体" w:cs="宋体"/>
          <w:sz w:val="24"/>
        </w:rPr>
        <w:t>广西政府采购云平台</w:t>
      </w:r>
      <w:r>
        <w:rPr>
          <w:rFonts w:hint="eastAsia" w:ascii="宋体" w:hAnsi="宋体" w:cs="宋体"/>
          <w:bCs/>
          <w:sz w:val="24"/>
        </w:rPr>
        <w:t>将予以拒收。</w:t>
      </w:r>
      <w:r>
        <w:rPr>
          <w:rFonts w:hint="eastAsia" w:ascii="宋体" w:hAnsi="宋体" w:cs="宋体"/>
          <w:sz w:val="24"/>
        </w:rPr>
        <w:t>（补充、修改或者撤回方式可登陆广西政府采购云平台</w:t>
      </w:r>
      <w:r>
        <w:rPr>
          <w:rFonts w:hint="eastAsia" w:ascii="宋体" w:hAnsi="宋体" w:cs="宋体"/>
          <w:kern w:val="0"/>
          <w:sz w:val="24"/>
        </w:rPr>
        <w:t>，</w:t>
      </w:r>
      <w:r>
        <w:rPr>
          <w:rFonts w:hint="eastAsia" w:ascii="宋体" w:hAnsi="宋体" w:cs="宋体"/>
          <w:sz w:val="24"/>
        </w:rPr>
        <w:t>依次进入“服务中心”中查看 “电子投标文件制作与投送教程”）</w:t>
      </w:r>
    </w:p>
    <w:p w14:paraId="74F97652">
      <w:pPr>
        <w:pStyle w:val="85"/>
        <w:spacing w:before="0"/>
        <w:ind w:firstLine="480"/>
        <w:rPr>
          <w:rFonts w:ascii="宋体" w:hAnsi="宋体" w:cs="宋体"/>
          <w:szCs w:val="24"/>
        </w:rPr>
      </w:pPr>
      <w:r>
        <w:rPr>
          <w:rFonts w:hint="eastAsia" w:ascii="宋体" w:hAnsi="宋体" w:cs="宋体"/>
          <w:szCs w:val="24"/>
        </w:rPr>
        <w:t>22.2广西政府采购云平台收到投标文件后向供应商发出确认回执通知。在投标截止时间前，除供应商补充、修改或者撤回投标文件外，任何单位和个人不得解密或提取投标文件。</w:t>
      </w:r>
    </w:p>
    <w:p w14:paraId="68BD59E0">
      <w:pPr>
        <w:spacing w:line="360" w:lineRule="auto"/>
        <w:ind w:firstLine="480" w:firstLineChars="200"/>
        <w:rPr>
          <w:rFonts w:ascii="宋体" w:hAnsi="宋体" w:cs="宋体"/>
          <w:sz w:val="24"/>
        </w:rPr>
      </w:pPr>
      <w:r>
        <w:rPr>
          <w:rFonts w:hint="eastAsia" w:ascii="宋体" w:hAnsi="宋体" w:cs="宋体"/>
          <w:sz w:val="24"/>
        </w:rPr>
        <w:t>22.3在投标截止时间后，采购人和采购代理机构对已提交的投标文件概不退回。</w:t>
      </w:r>
    </w:p>
    <w:p w14:paraId="56D19675">
      <w:pPr>
        <w:pStyle w:val="6"/>
        <w:keepNext w:val="0"/>
        <w:keepLines w:val="0"/>
        <w:jc w:val="center"/>
        <w:rPr>
          <w:rFonts w:ascii="宋体" w:hAnsi="宋体" w:cs="宋体"/>
        </w:rPr>
      </w:pPr>
      <w:bookmarkStart w:id="264" w:name="_Toc29453"/>
      <w:bookmarkStart w:id="265" w:name="_Toc28824"/>
      <w:bookmarkStart w:id="266" w:name="_Toc15560"/>
      <w:r>
        <w:rPr>
          <w:rFonts w:hint="eastAsia" w:ascii="宋体" w:hAnsi="宋体" w:cs="宋体"/>
        </w:rPr>
        <w:t>四、开    标</w:t>
      </w:r>
      <w:bookmarkEnd w:id="264"/>
      <w:bookmarkEnd w:id="265"/>
      <w:bookmarkEnd w:id="266"/>
    </w:p>
    <w:p w14:paraId="29C1257C">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23.开标时间和地点</w:t>
      </w:r>
    </w:p>
    <w:p w14:paraId="2F7B0883">
      <w:pPr>
        <w:spacing w:line="360" w:lineRule="auto"/>
        <w:ind w:firstLine="480" w:firstLineChars="200"/>
        <w:rPr>
          <w:rFonts w:ascii="宋体" w:hAnsi="宋体" w:cs="宋体"/>
          <w:bCs/>
          <w:sz w:val="24"/>
        </w:rPr>
      </w:pPr>
      <w:r>
        <w:rPr>
          <w:rFonts w:hint="eastAsia" w:ascii="宋体" w:hAnsi="宋体" w:cs="宋体"/>
          <w:bCs/>
          <w:sz w:val="24"/>
        </w:rPr>
        <w:t>开标时间及地点详见“投标人须知前附表”</w:t>
      </w:r>
    </w:p>
    <w:p w14:paraId="4D4E6BCE">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24.开标程序</w:t>
      </w:r>
    </w:p>
    <w:p w14:paraId="510405AE">
      <w:pPr>
        <w:pStyle w:val="9"/>
        <w:spacing w:line="360" w:lineRule="auto"/>
        <w:rPr>
          <w:rFonts w:ascii="宋体" w:hAnsi="宋体" w:cs="宋体"/>
          <w:sz w:val="24"/>
          <w:szCs w:val="24"/>
        </w:rPr>
      </w:pPr>
      <w:r>
        <w:rPr>
          <w:rFonts w:hint="eastAsia" w:ascii="宋体" w:hAnsi="宋体" w:cs="宋体"/>
          <w:sz w:val="24"/>
          <w:szCs w:val="24"/>
        </w:rPr>
        <w:t>24.1提交投标文件截止时间止，投标人不足3家的，不得开标。</w:t>
      </w:r>
    </w:p>
    <w:p w14:paraId="2A097EA0">
      <w:pPr>
        <w:pStyle w:val="9"/>
        <w:spacing w:line="360" w:lineRule="auto"/>
        <w:rPr>
          <w:rFonts w:ascii="宋体" w:hAnsi="宋体" w:cs="宋体"/>
          <w:sz w:val="24"/>
          <w:szCs w:val="24"/>
        </w:rPr>
      </w:pPr>
      <w:r>
        <w:rPr>
          <w:rFonts w:hint="eastAsia" w:ascii="宋体" w:hAnsi="宋体" w:cs="宋体"/>
          <w:sz w:val="24"/>
          <w:szCs w:val="24"/>
        </w:rPr>
        <w:t>24.2采购代理机构将按照招标文件规定的时间通过广西政府采购云平台组织线上开标活动，所有供应商均应当准时在线参加，投标人因未在线参加开标而导致投标文件无法按时解密等一切后果由投标人自己承担。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09848E0A">
      <w:pPr>
        <w:pStyle w:val="9"/>
        <w:spacing w:line="360" w:lineRule="auto"/>
        <w:rPr>
          <w:rFonts w:ascii="宋体" w:hAnsi="宋体" w:cs="宋体"/>
          <w:sz w:val="24"/>
          <w:szCs w:val="24"/>
        </w:rPr>
      </w:pPr>
      <w:r>
        <w:rPr>
          <w:rFonts w:hint="eastAsia" w:ascii="宋体" w:hAnsi="宋体" w:cs="宋体"/>
          <w:sz w:val="24"/>
          <w:szCs w:val="24"/>
        </w:rPr>
        <w:t>24.3开标程序</w:t>
      </w:r>
    </w:p>
    <w:p w14:paraId="362EF97A">
      <w:pPr>
        <w:pStyle w:val="9"/>
        <w:spacing w:line="360" w:lineRule="auto"/>
        <w:rPr>
          <w:rFonts w:ascii="宋体" w:hAnsi="宋体" w:cs="宋体"/>
          <w:sz w:val="24"/>
          <w:szCs w:val="24"/>
        </w:rPr>
      </w:pPr>
      <w:r>
        <w:rPr>
          <w:rFonts w:hint="eastAsia" w:ascii="宋体" w:hAnsi="宋体" w:cs="宋体"/>
          <w:sz w:val="24"/>
          <w:szCs w:val="24"/>
        </w:rPr>
        <w:t>（1）解密电子投标文件。广西政府采购云平台按开标时间自动提取所有投标文件。采购代理机构依托广西政府采购云平台向各投标人发出电子加密投标文件【开始解密】通知，由投标人按</w:t>
      </w:r>
      <w:r>
        <w:rPr>
          <w:rFonts w:hint="eastAsia" w:ascii="宋体" w:hAnsi="宋体" w:cs="宋体"/>
          <w:bCs/>
          <w:sz w:val="24"/>
          <w:szCs w:val="24"/>
        </w:rPr>
        <w:t>“投标人须知前附表”</w:t>
      </w:r>
      <w:r>
        <w:rPr>
          <w:rFonts w:hint="eastAsia" w:ascii="宋体" w:hAnsi="宋体" w:cs="宋体"/>
          <w:sz w:val="24"/>
          <w:szCs w:val="24"/>
        </w:rPr>
        <w:t>规定的时间内自行进行投标文件解密。投标人的法定代表人或其委托代理人须凭加密时所用的CA锁准时登录到广西政府采购云平台电子开标大厅签到并对电子投标文件解密。</w:t>
      </w:r>
      <w:r>
        <w:rPr>
          <w:rFonts w:hint="eastAsia" w:ascii="宋体" w:hAnsi="宋体" w:cs="宋体"/>
          <w:b/>
          <w:sz w:val="24"/>
          <w:szCs w:val="24"/>
        </w:rPr>
        <w:t>投标人未在规定的时间内解密投标文件或者解密失败的，投标人的投标文件作无效处理。</w:t>
      </w:r>
    </w:p>
    <w:p w14:paraId="23A010B8">
      <w:pPr>
        <w:pStyle w:val="9"/>
        <w:spacing w:line="360" w:lineRule="auto"/>
        <w:rPr>
          <w:rFonts w:ascii="宋体" w:hAnsi="宋体" w:cs="宋体"/>
          <w:sz w:val="24"/>
          <w:szCs w:val="24"/>
        </w:rPr>
      </w:pPr>
      <w:r>
        <w:rPr>
          <w:rFonts w:hint="eastAsia" w:ascii="宋体" w:hAnsi="宋体" w:cs="宋体"/>
          <w:sz w:val="24"/>
          <w:szCs w:val="24"/>
        </w:rPr>
        <w:t>（2）电子唱标。投标文件解密结束，宣布的内容均在广西政府采购云平台远程开标大厅展示，具体详见</w:t>
      </w:r>
      <w:r>
        <w:rPr>
          <w:rFonts w:hint="eastAsia" w:ascii="宋体" w:hAnsi="宋体" w:cs="宋体"/>
          <w:bCs/>
          <w:sz w:val="24"/>
          <w:szCs w:val="24"/>
        </w:rPr>
        <w:t>“投标人须知前附表”</w:t>
      </w:r>
      <w:r>
        <w:rPr>
          <w:rFonts w:hint="eastAsia" w:ascii="宋体" w:hAnsi="宋体" w:cs="宋体"/>
          <w:sz w:val="24"/>
          <w:szCs w:val="24"/>
        </w:rPr>
        <w:t>；</w:t>
      </w:r>
    </w:p>
    <w:p w14:paraId="5874027C">
      <w:pPr>
        <w:pStyle w:val="9"/>
        <w:spacing w:line="360" w:lineRule="auto"/>
        <w:rPr>
          <w:rFonts w:ascii="宋体" w:hAnsi="宋体" w:cs="宋体"/>
          <w:sz w:val="24"/>
          <w:szCs w:val="24"/>
        </w:rPr>
      </w:pPr>
      <w:r>
        <w:rPr>
          <w:rFonts w:hint="eastAsia" w:ascii="宋体" w:hAnsi="宋体" w:cs="宋体"/>
          <w:sz w:val="24"/>
          <w:szCs w:val="24"/>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6B96F8AD">
      <w:pPr>
        <w:pStyle w:val="9"/>
        <w:spacing w:line="360" w:lineRule="auto"/>
        <w:rPr>
          <w:rFonts w:ascii="宋体" w:hAnsi="宋体" w:cs="宋体"/>
          <w:sz w:val="24"/>
          <w:szCs w:val="24"/>
        </w:rPr>
      </w:pPr>
      <w:r>
        <w:rPr>
          <w:rFonts w:hint="eastAsia" w:ascii="宋体" w:hAnsi="宋体" w:cs="宋体"/>
          <w:sz w:val="24"/>
          <w:szCs w:val="24"/>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5FA16B4">
      <w:pPr>
        <w:pStyle w:val="9"/>
        <w:spacing w:line="360" w:lineRule="auto"/>
        <w:rPr>
          <w:rFonts w:ascii="宋体" w:hAnsi="宋体" w:cs="宋体"/>
          <w:sz w:val="24"/>
          <w:szCs w:val="24"/>
        </w:rPr>
      </w:pPr>
      <w:r>
        <w:rPr>
          <w:rFonts w:hint="eastAsia" w:ascii="宋体" w:hAnsi="宋体" w:cs="宋体"/>
          <w:sz w:val="24"/>
          <w:szCs w:val="24"/>
        </w:rPr>
        <w:t>（5）开标结束。</w:t>
      </w:r>
    </w:p>
    <w:p w14:paraId="320FF594">
      <w:pPr>
        <w:pStyle w:val="20"/>
        <w:snapToGrid w:val="0"/>
        <w:spacing w:line="360" w:lineRule="auto"/>
        <w:ind w:firstLine="480" w:firstLineChars="200"/>
        <w:rPr>
          <w:rFonts w:hAnsi="宋体" w:cs="宋体"/>
          <w:sz w:val="24"/>
          <w:szCs w:val="24"/>
        </w:rPr>
      </w:pPr>
      <w:r>
        <w:rPr>
          <w:rFonts w:hint="eastAsia" w:hAnsi="宋体" w:cs="宋体"/>
          <w:sz w:val="24"/>
          <w:szCs w:val="24"/>
        </w:rPr>
        <w:t>特别说明：如遇广西政府采购云平台电子化开标或评审程序调整的，按调整后执行。</w:t>
      </w:r>
    </w:p>
    <w:p w14:paraId="54E0DF4A">
      <w:pPr>
        <w:pStyle w:val="20"/>
        <w:snapToGrid w:val="0"/>
        <w:spacing w:line="360" w:lineRule="auto"/>
        <w:ind w:left="689" w:leftChars="228" w:hanging="210" w:hangingChars="100"/>
        <w:rPr>
          <w:rFonts w:hAnsi="宋体" w:cs="宋体"/>
        </w:rPr>
      </w:pPr>
    </w:p>
    <w:p w14:paraId="5FCBF9D9">
      <w:pPr>
        <w:pStyle w:val="6"/>
        <w:keepNext w:val="0"/>
        <w:keepLines w:val="0"/>
        <w:jc w:val="center"/>
        <w:rPr>
          <w:rFonts w:ascii="宋体" w:hAnsi="宋体" w:cs="宋体"/>
        </w:rPr>
      </w:pPr>
      <w:bookmarkStart w:id="267" w:name="_Toc16591"/>
      <w:bookmarkStart w:id="268" w:name="_Toc1970"/>
      <w:bookmarkStart w:id="269" w:name="_Toc24643"/>
      <w:r>
        <w:rPr>
          <w:rFonts w:hint="eastAsia" w:ascii="宋体" w:hAnsi="宋体" w:cs="宋体"/>
        </w:rPr>
        <w:t>五、资格审查</w:t>
      </w:r>
      <w:bookmarkEnd w:id="267"/>
      <w:bookmarkEnd w:id="268"/>
      <w:bookmarkEnd w:id="269"/>
    </w:p>
    <w:p w14:paraId="32E85858">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25.资格审查</w:t>
      </w:r>
    </w:p>
    <w:p w14:paraId="6E8C5398">
      <w:pPr>
        <w:pStyle w:val="8"/>
        <w:keepNext w:val="0"/>
        <w:keepLines w:val="0"/>
        <w:spacing w:before="0" w:after="0" w:line="360" w:lineRule="auto"/>
        <w:ind w:firstLine="360" w:firstLineChars="150"/>
        <w:rPr>
          <w:rFonts w:ascii="宋体" w:hAnsi="宋体" w:cs="宋体"/>
          <w:b w:val="0"/>
          <w:sz w:val="24"/>
          <w:szCs w:val="24"/>
        </w:rPr>
      </w:pPr>
      <w:r>
        <w:rPr>
          <w:rFonts w:hint="eastAsia" w:ascii="宋体" w:hAnsi="宋体" w:cs="宋体"/>
          <w:b w:val="0"/>
          <w:sz w:val="24"/>
          <w:szCs w:val="24"/>
        </w:rPr>
        <w:t xml:space="preserve"> 25.1开标结束后，采购人或者采购代理机构通过电子开评标系统依据招标文件对电子投标文件进行线上资格审查。</w:t>
      </w:r>
    </w:p>
    <w:p w14:paraId="20316D87">
      <w:pPr>
        <w:pStyle w:val="8"/>
        <w:keepNext w:val="0"/>
        <w:keepLines w:val="0"/>
        <w:spacing w:before="0" w:after="0" w:line="360" w:lineRule="auto"/>
        <w:ind w:firstLine="360" w:firstLineChars="150"/>
        <w:rPr>
          <w:rFonts w:ascii="宋体" w:hAnsi="宋体" w:cs="宋体"/>
          <w:b w:val="0"/>
          <w:sz w:val="24"/>
          <w:szCs w:val="24"/>
        </w:rPr>
      </w:pPr>
      <w:r>
        <w:rPr>
          <w:rFonts w:hint="eastAsia" w:ascii="宋体" w:hAnsi="宋体" w:cs="宋体"/>
          <w:b w:val="0"/>
          <w:sz w:val="24"/>
          <w:szCs w:val="24"/>
        </w:rPr>
        <w:t xml:space="preserve"> 25.2资格审查标准为本招标文件中载明对投标人资格要求的条件。本项目资格审查采用合格制，凡符合招标文件规定的投标人资格要求的投标人均通过资格审查。</w:t>
      </w:r>
    </w:p>
    <w:p w14:paraId="4E31E08F">
      <w:pPr>
        <w:pStyle w:val="8"/>
        <w:keepNext w:val="0"/>
        <w:keepLines w:val="0"/>
        <w:spacing w:before="0" w:after="0" w:line="360" w:lineRule="auto"/>
        <w:ind w:firstLine="482" w:firstLineChars="200"/>
        <w:rPr>
          <w:rFonts w:ascii="宋体" w:hAnsi="宋体" w:cs="宋体"/>
          <w:sz w:val="24"/>
          <w:szCs w:val="24"/>
        </w:rPr>
      </w:pPr>
      <w:r>
        <w:rPr>
          <w:rFonts w:hint="eastAsia" w:ascii="宋体" w:hAnsi="宋体" w:cs="宋体"/>
          <w:sz w:val="24"/>
          <w:szCs w:val="24"/>
        </w:rPr>
        <w:t>25.3 投标人有下列情形之一的，资格审查不通过，作无效投标处理：</w:t>
      </w:r>
    </w:p>
    <w:p w14:paraId="6530109A">
      <w:pPr>
        <w:pStyle w:val="20"/>
        <w:snapToGrid w:val="0"/>
        <w:spacing w:line="360" w:lineRule="auto"/>
        <w:ind w:firstLine="482" w:firstLineChars="200"/>
        <w:rPr>
          <w:rFonts w:hAnsi="宋体" w:cs="宋体"/>
          <w:b/>
          <w:sz w:val="24"/>
          <w:szCs w:val="24"/>
        </w:rPr>
      </w:pPr>
      <w:r>
        <w:rPr>
          <w:rFonts w:hint="eastAsia" w:hAnsi="宋体" w:cs="宋体"/>
          <w:b/>
          <w:sz w:val="24"/>
          <w:szCs w:val="24"/>
        </w:rPr>
        <w:t>（1）不具备招标文件中规定的资格要求的；</w:t>
      </w:r>
    </w:p>
    <w:p w14:paraId="0A2FBF29">
      <w:pPr>
        <w:pStyle w:val="20"/>
        <w:snapToGrid w:val="0"/>
        <w:spacing w:line="360" w:lineRule="auto"/>
        <w:ind w:firstLine="482" w:firstLineChars="200"/>
        <w:rPr>
          <w:rFonts w:hAnsi="宋体" w:cs="宋体"/>
          <w:b/>
          <w:sz w:val="24"/>
          <w:szCs w:val="24"/>
        </w:rPr>
      </w:pPr>
      <w:r>
        <w:rPr>
          <w:rFonts w:hint="eastAsia" w:hAnsi="宋体" w:cs="宋体"/>
          <w:b/>
          <w:sz w:val="24"/>
          <w:szCs w:val="24"/>
        </w:rPr>
        <w:t>（2）在“信用中国”网站（www.creditchina.gov.cn）、中国政府采购网（http://www.ccgp.gov.cn）被列入失信被执行人、重大税收违法案件当事人名单、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p>
    <w:p w14:paraId="5684DC9A">
      <w:pPr>
        <w:pStyle w:val="20"/>
        <w:snapToGrid w:val="0"/>
        <w:spacing w:line="360" w:lineRule="auto"/>
        <w:ind w:firstLine="482" w:firstLineChars="200"/>
        <w:rPr>
          <w:rFonts w:hAnsi="宋体" w:cs="宋体"/>
          <w:b/>
          <w:sz w:val="24"/>
          <w:szCs w:val="24"/>
        </w:rPr>
      </w:pPr>
      <w:r>
        <w:rPr>
          <w:rFonts w:hint="eastAsia" w:hAnsi="宋体" w:cs="宋体"/>
          <w:b/>
          <w:sz w:val="24"/>
          <w:szCs w:val="24"/>
        </w:rPr>
        <w:t>（3）同一合同项下的不同投标人，单位负责人为同一人或者存在直接控股、管理关系的；为本项目提供过整体设计、规范编制或者项目管理、监理、检测等服务的供应商，再参加该采购项目的其他采购活动的；</w:t>
      </w:r>
    </w:p>
    <w:p w14:paraId="42C4D421">
      <w:pPr>
        <w:pStyle w:val="20"/>
        <w:snapToGrid w:val="0"/>
        <w:spacing w:line="360" w:lineRule="auto"/>
        <w:ind w:firstLine="482" w:firstLineChars="200"/>
        <w:rPr>
          <w:rFonts w:hAnsi="宋体" w:cs="宋体"/>
          <w:b/>
          <w:sz w:val="24"/>
          <w:szCs w:val="24"/>
        </w:rPr>
      </w:pPr>
      <w:r>
        <w:rPr>
          <w:rFonts w:hint="eastAsia" w:hAnsi="宋体" w:cs="宋体"/>
          <w:b/>
          <w:sz w:val="24"/>
          <w:szCs w:val="24"/>
        </w:rPr>
        <w:t>（4）投标文件中的资格证明文件缺少任一项“投标人须知前附表”资格证明文件规定“必须提供”的文件资料的；</w:t>
      </w:r>
    </w:p>
    <w:p w14:paraId="6AFE2006">
      <w:pPr>
        <w:pStyle w:val="20"/>
        <w:snapToGrid w:val="0"/>
        <w:spacing w:line="360" w:lineRule="auto"/>
        <w:ind w:firstLine="482" w:firstLineChars="200"/>
        <w:rPr>
          <w:rFonts w:hAnsi="宋体" w:cs="宋体"/>
          <w:b/>
          <w:sz w:val="24"/>
          <w:szCs w:val="24"/>
        </w:rPr>
      </w:pPr>
      <w:r>
        <w:rPr>
          <w:rFonts w:hint="eastAsia" w:hAnsi="宋体" w:cs="宋体"/>
          <w:b/>
          <w:sz w:val="24"/>
          <w:szCs w:val="24"/>
        </w:rPr>
        <w:t>（5）投标文件中的资格证明文件出现任一项不符合“投标人须知前附表”资格证明文件规定“必须提供”的文件资料要求或者无效的。</w:t>
      </w:r>
    </w:p>
    <w:p w14:paraId="3FF954FC">
      <w:pPr>
        <w:pStyle w:val="8"/>
        <w:keepNext w:val="0"/>
        <w:keepLines w:val="0"/>
        <w:spacing w:before="0" w:after="0" w:line="360" w:lineRule="auto"/>
        <w:ind w:left="420" w:leftChars="200"/>
        <w:rPr>
          <w:rFonts w:ascii="宋体" w:hAnsi="宋体" w:cs="宋体"/>
          <w:b w:val="0"/>
          <w:sz w:val="24"/>
          <w:szCs w:val="24"/>
        </w:rPr>
      </w:pPr>
      <w:r>
        <w:rPr>
          <w:rFonts w:hint="eastAsia" w:ascii="宋体" w:hAnsi="宋体" w:cs="宋体"/>
          <w:sz w:val="24"/>
          <w:szCs w:val="24"/>
        </w:rPr>
        <w:t>25.4合格投标人不足3家的，不得评标。</w:t>
      </w:r>
    </w:p>
    <w:p w14:paraId="5F7FB072">
      <w:pPr>
        <w:pStyle w:val="6"/>
        <w:keepNext w:val="0"/>
        <w:keepLines w:val="0"/>
        <w:ind w:left="-199" w:leftChars="-95"/>
        <w:jc w:val="center"/>
        <w:rPr>
          <w:rFonts w:ascii="宋体" w:hAnsi="宋体" w:cs="宋体"/>
        </w:rPr>
      </w:pPr>
      <w:bookmarkStart w:id="270" w:name="_Toc27719"/>
      <w:bookmarkStart w:id="271" w:name="_Toc24782"/>
      <w:bookmarkStart w:id="272" w:name="_Toc31234"/>
      <w:r>
        <w:rPr>
          <w:rFonts w:hint="eastAsia" w:ascii="宋体" w:hAnsi="宋体" w:cs="宋体"/>
        </w:rPr>
        <w:t>六、评   标</w:t>
      </w:r>
      <w:bookmarkEnd w:id="270"/>
      <w:bookmarkEnd w:id="271"/>
      <w:bookmarkEnd w:id="272"/>
    </w:p>
    <w:p w14:paraId="7812AB07">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26.组建评标委员会</w:t>
      </w:r>
    </w:p>
    <w:p w14:paraId="29C633D5">
      <w:pPr>
        <w:pStyle w:val="20"/>
        <w:snapToGrid w:val="0"/>
        <w:spacing w:line="360" w:lineRule="auto"/>
        <w:ind w:firstLine="480" w:firstLineChars="200"/>
        <w:rPr>
          <w:rFonts w:hAnsi="宋体" w:cs="宋体"/>
          <w:sz w:val="24"/>
          <w:szCs w:val="24"/>
        </w:rPr>
      </w:pPr>
      <w:r>
        <w:rPr>
          <w:rFonts w:hint="eastAsia" w:hAnsi="宋体" w:cs="宋体"/>
          <w:sz w:val="24"/>
          <w:szCs w:val="24"/>
        </w:rPr>
        <w:t>26.1评标委员会由采购人代表和评审专家组成，具体人数详见“投标人须知前附表”，其中评审专家不得少于成员总数的三分之二。</w:t>
      </w:r>
    </w:p>
    <w:p w14:paraId="032C3FD1">
      <w:pPr>
        <w:pStyle w:val="20"/>
        <w:snapToGrid w:val="0"/>
        <w:spacing w:line="360" w:lineRule="auto"/>
        <w:ind w:left="2" w:leftChars="1" w:firstLine="480" w:firstLineChars="200"/>
        <w:rPr>
          <w:rFonts w:hAnsi="宋体" w:cs="宋体"/>
          <w:sz w:val="24"/>
          <w:szCs w:val="24"/>
        </w:rPr>
      </w:pPr>
      <w:r>
        <w:rPr>
          <w:rFonts w:hint="eastAsia" w:hAnsi="宋体" w:cs="宋体"/>
          <w:sz w:val="24"/>
          <w:szCs w:val="24"/>
        </w:rPr>
        <w:t>26.2参加过采购项目前期咨询论证的专家，不得参加该采购项目的评审活动。</w:t>
      </w:r>
    </w:p>
    <w:p w14:paraId="186705A1">
      <w:pPr>
        <w:pStyle w:val="20"/>
        <w:snapToGrid w:val="0"/>
        <w:spacing w:line="360" w:lineRule="auto"/>
        <w:ind w:left="2" w:leftChars="1" w:firstLine="480" w:firstLineChars="200"/>
        <w:rPr>
          <w:rFonts w:hAnsi="宋体" w:cs="宋体"/>
          <w:sz w:val="24"/>
          <w:szCs w:val="24"/>
        </w:rPr>
      </w:pPr>
      <w:r>
        <w:rPr>
          <w:rFonts w:hint="eastAsia" w:hAnsi="宋体" w:cs="宋体"/>
          <w:sz w:val="24"/>
          <w:szCs w:val="24"/>
        </w:rPr>
        <w:t>26.3</w:t>
      </w:r>
      <w:r>
        <w:rPr>
          <w:rFonts w:hint="eastAsia" w:hAnsi="宋体" w:cs="宋体"/>
          <w:bCs/>
          <w:sz w:val="24"/>
          <w:szCs w:val="24"/>
        </w:rPr>
        <w:t>采购代理机构应当基于广西政府采购云平台抽（选）取评审专家。</w:t>
      </w:r>
    </w:p>
    <w:p w14:paraId="266D529D">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27.评标的依据</w:t>
      </w:r>
    </w:p>
    <w:p w14:paraId="4F95F583">
      <w:pPr>
        <w:pStyle w:val="20"/>
        <w:snapToGrid w:val="0"/>
        <w:spacing w:line="360" w:lineRule="auto"/>
        <w:ind w:firstLine="480" w:firstLineChars="200"/>
        <w:rPr>
          <w:rFonts w:hAnsi="宋体" w:cs="宋体"/>
          <w:sz w:val="24"/>
          <w:szCs w:val="24"/>
        </w:rPr>
      </w:pPr>
      <w:r>
        <w:rPr>
          <w:rFonts w:hint="eastAsia" w:hAnsi="宋体" w:cs="宋体"/>
          <w:sz w:val="24"/>
          <w:szCs w:val="24"/>
        </w:rPr>
        <w:t>评标委员会以“第四章 评标方法和评标标准”为依据对投标文件进行评审，没有规定的方法、评审因素和标准，不作为评标依据。</w:t>
      </w:r>
    </w:p>
    <w:p w14:paraId="4AE243B5">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28.评标原则</w:t>
      </w:r>
    </w:p>
    <w:p w14:paraId="34D5CA22">
      <w:pPr>
        <w:pStyle w:val="20"/>
        <w:snapToGrid w:val="0"/>
        <w:spacing w:line="360" w:lineRule="auto"/>
        <w:ind w:firstLine="480" w:firstLineChars="200"/>
        <w:rPr>
          <w:rFonts w:hAnsi="宋体" w:cs="宋体"/>
          <w:sz w:val="24"/>
          <w:szCs w:val="24"/>
        </w:rPr>
      </w:pPr>
      <w:r>
        <w:rPr>
          <w:rFonts w:hint="eastAsia" w:hAnsi="宋体" w:cs="宋体"/>
          <w:sz w:val="24"/>
          <w:szCs w:val="24"/>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48B433B7">
      <w:pPr>
        <w:pStyle w:val="20"/>
        <w:snapToGrid w:val="0"/>
        <w:spacing w:line="360" w:lineRule="auto"/>
        <w:ind w:firstLine="480" w:firstLineChars="200"/>
        <w:rPr>
          <w:rFonts w:hAnsi="宋体" w:cs="宋体"/>
          <w:sz w:val="24"/>
          <w:szCs w:val="24"/>
        </w:rPr>
      </w:pPr>
      <w:r>
        <w:rPr>
          <w:rFonts w:hint="eastAsia" w:hAnsi="宋体" w:cs="宋体"/>
          <w:sz w:val="24"/>
          <w:szCs w:val="24"/>
        </w:rPr>
        <w:t>28.2评委表决。评标委员会成员对需要共同认定的事项存在争议的，应当按照少数服从多数的原则作出结论。</w:t>
      </w:r>
    </w:p>
    <w:p w14:paraId="2D6E10F2">
      <w:pPr>
        <w:pStyle w:val="20"/>
        <w:snapToGrid w:val="0"/>
        <w:spacing w:line="360" w:lineRule="auto"/>
        <w:ind w:firstLine="480" w:firstLineChars="200"/>
        <w:rPr>
          <w:rFonts w:hAnsi="宋体" w:cs="宋体"/>
          <w:sz w:val="24"/>
          <w:szCs w:val="24"/>
        </w:rPr>
      </w:pPr>
      <w:r>
        <w:rPr>
          <w:rFonts w:hint="eastAsia" w:hAnsi="宋体" w:cs="宋体"/>
          <w:sz w:val="24"/>
          <w:szCs w:val="24"/>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C8EDDDD">
      <w:pPr>
        <w:pStyle w:val="20"/>
        <w:snapToGrid w:val="0"/>
        <w:spacing w:line="360" w:lineRule="auto"/>
        <w:ind w:firstLine="480" w:firstLineChars="200"/>
        <w:rPr>
          <w:rFonts w:hAnsi="宋体" w:cs="宋体"/>
          <w:sz w:val="24"/>
          <w:szCs w:val="24"/>
        </w:rPr>
      </w:pPr>
      <w:r>
        <w:rPr>
          <w:rFonts w:hint="eastAsia" w:hAnsi="宋体" w:cs="宋体"/>
          <w:sz w:val="24"/>
          <w:szCs w:val="24"/>
        </w:rPr>
        <w:t>28.4评标过程的监控。本项目电子评标过程实行网上留痕、全程录音、录像监控，</w:t>
      </w:r>
      <w:r>
        <w:rPr>
          <w:rFonts w:hint="eastAsia" w:hAnsi="宋体" w:cs="宋体"/>
          <w:b/>
          <w:sz w:val="24"/>
          <w:szCs w:val="24"/>
        </w:rPr>
        <w:t>投标人在评标过程中所进行的试图影响评标结果的不公正活动，可能导致其投标按无效处理。</w:t>
      </w:r>
    </w:p>
    <w:p w14:paraId="6F184B0F">
      <w:pPr>
        <w:pStyle w:val="8"/>
        <w:keepNext w:val="0"/>
        <w:keepLines w:val="0"/>
        <w:spacing w:before="0" w:after="0" w:line="360" w:lineRule="auto"/>
        <w:ind w:left="420" w:leftChars="200"/>
        <w:rPr>
          <w:rFonts w:ascii="宋体" w:hAnsi="宋体" w:cs="宋体"/>
          <w:sz w:val="24"/>
          <w:szCs w:val="24"/>
        </w:rPr>
      </w:pPr>
      <w:r>
        <w:rPr>
          <w:rFonts w:hint="eastAsia" w:ascii="宋体" w:hAnsi="宋体" w:cs="宋体"/>
          <w:sz w:val="24"/>
          <w:szCs w:val="24"/>
        </w:rPr>
        <w:t>29.评标方法及中标候选人推荐</w:t>
      </w:r>
    </w:p>
    <w:p w14:paraId="5CBBB95C">
      <w:pPr>
        <w:pStyle w:val="20"/>
        <w:snapToGrid w:val="0"/>
        <w:spacing w:line="360" w:lineRule="auto"/>
        <w:ind w:firstLine="480" w:firstLineChars="200"/>
        <w:rPr>
          <w:rFonts w:hAnsi="宋体" w:cs="宋体"/>
          <w:sz w:val="24"/>
          <w:szCs w:val="24"/>
        </w:rPr>
      </w:pPr>
      <w:r>
        <w:rPr>
          <w:rFonts w:hint="eastAsia" w:hAnsi="宋体" w:cs="宋体"/>
          <w:sz w:val="24"/>
          <w:szCs w:val="24"/>
        </w:rPr>
        <w:t>29.1本项目的评标方法详见“投标人须知前附表”。</w:t>
      </w:r>
    </w:p>
    <w:p w14:paraId="3FEF66BE">
      <w:pPr>
        <w:pStyle w:val="20"/>
        <w:snapToGrid w:val="0"/>
        <w:spacing w:line="360" w:lineRule="auto"/>
        <w:ind w:firstLine="480" w:firstLineChars="200"/>
        <w:rPr>
          <w:rFonts w:hAnsi="宋体" w:cs="宋体"/>
          <w:sz w:val="24"/>
          <w:szCs w:val="24"/>
        </w:rPr>
      </w:pPr>
      <w:r>
        <w:rPr>
          <w:rFonts w:hint="eastAsia" w:hAnsi="宋体" w:cs="宋体"/>
          <w:sz w:val="24"/>
          <w:szCs w:val="24"/>
        </w:rPr>
        <w:t>29.2 商务/技术要求允许负偏离的条款数详见“投标人须知前附表”。</w:t>
      </w:r>
    </w:p>
    <w:p w14:paraId="15030482">
      <w:pPr>
        <w:pStyle w:val="20"/>
        <w:snapToGrid w:val="0"/>
        <w:spacing w:line="360" w:lineRule="auto"/>
        <w:ind w:firstLine="480" w:firstLineChars="200"/>
        <w:rPr>
          <w:rFonts w:hAnsi="宋体" w:cs="宋体"/>
          <w:sz w:val="24"/>
          <w:szCs w:val="24"/>
        </w:rPr>
      </w:pPr>
      <w:r>
        <w:rPr>
          <w:rFonts w:hint="eastAsia" w:hAnsi="宋体" w:cs="宋体"/>
          <w:sz w:val="24"/>
          <w:szCs w:val="24"/>
        </w:rPr>
        <w:t>29.3 中标候选人推荐数量详见“投标人须知前附表”。</w:t>
      </w:r>
    </w:p>
    <w:p w14:paraId="7D06550D">
      <w:pPr>
        <w:spacing w:line="360" w:lineRule="auto"/>
        <w:ind w:firstLine="480" w:firstLineChars="200"/>
        <w:rPr>
          <w:rFonts w:ascii="宋体" w:hAnsi="宋体" w:cs="宋体"/>
          <w:sz w:val="24"/>
        </w:rPr>
      </w:pPr>
      <w:r>
        <w:rPr>
          <w:rFonts w:hint="eastAsia" w:ascii="宋体" w:hAnsi="宋体" w:cs="宋体"/>
          <w:sz w:val="24"/>
        </w:rPr>
        <w:t>29.4 电子交易活动的中止。采购过程中出现以下情形，导致电子交易平台无法正常运行，或者无法保证电子交易的公平、公正和安全时，采购代理机构可以中止电子交易活动：</w:t>
      </w:r>
    </w:p>
    <w:p w14:paraId="640D62FC">
      <w:pPr>
        <w:spacing w:line="360" w:lineRule="auto"/>
        <w:ind w:firstLine="480" w:firstLineChars="200"/>
        <w:rPr>
          <w:rFonts w:ascii="宋体" w:hAnsi="宋体" w:cs="宋体"/>
          <w:sz w:val="24"/>
        </w:rPr>
      </w:pPr>
      <w:r>
        <w:rPr>
          <w:rFonts w:hint="eastAsia" w:ascii="宋体" w:hAnsi="宋体" w:cs="宋体"/>
          <w:sz w:val="24"/>
        </w:rPr>
        <w:t xml:space="preserve">（1）电子交易平台发生故障而无法登录访问的； </w:t>
      </w:r>
    </w:p>
    <w:p w14:paraId="07E77BB3">
      <w:pPr>
        <w:spacing w:line="360" w:lineRule="auto"/>
        <w:ind w:firstLine="480" w:firstLineChars="200"/>
        <w:rPr>
          <w:rFonts w:ascii="宋体" w:hAnsi="宋体" w:cs="宋体"/>
          <w:sz w:val="24"/>
        </w:rPr>
      </w:pPr>
      <w:r>
        <w:rPr>
          <w:rFonts w:hint="eastAsia" w:ascii="宋体" w:hAnsi="宋体" w:cs="宋体"/>
          <w:sz w:val="24"/>
        </w:rPr>
        <w:t>（2）电子交易平台应用或数据库出现错误，不能进行正常操作的；</w:t>
      </w:r>
    </w:p>
    <w:p w14:paraId="301A2E3C">
      <w:pPr>
        <w:spacing w:line="360" w:lineRule="auto"/>
        <w:ind w:firstLine="480" w:firstLineChars="200"/>
        <w:rPr>
          <w:rFonts w:ascii="宋体" w:hAnsi="宋体" w:cs="宋体"/>
          <w:sz w:val="24"/>
        </w:rPr>
      </w:pPr>
      <w:r>
        <w:rPr>
          <w:rFonts w:hint="eastAsia" w:ascii="宋体" w:hAnsi="宋体" w:cs="宋体"/>
          <w:sz w:val="24"/>
        </w:rPr>
        <w:t>（3）电子交易平台发现严重安全漏洞，有潜在泄密危险的；</w:t>
      </w:r>
    </w:p>
    <w:p w14:paraId="53930006">
      <w:pPr>
        <w:spacing w:line="360" w:lineRule="auto"/>
        <w:ind w:firstLine="480" w:firstLineChars="200"/>
        <w:rPr>
          <w:rFonts w:ascii="宋体" w:hAnsi="宋体" w:cs="宋体"/>
          <w:sz w:val="24"/>
        </w:rPr>
      </w:pPr>
      <w:r>
        <w:rPr>
          <w:rFonts w:hint="eastAsia" w:ascii="宋体" w:hAnsi="宋体" w:cs="宋体"/>
          <w:sz w:val="24"/>
        </w:rPr>
        <w:t xml:space="preserve">（4）病毒发作导致不能进行正常操作的； </w:t>
      </w:r>
    </w:p>
    <w:p w14:paraId="2A9F8823">
      <w:pPr>
        <w:spacing w:line="360" w:lineRule="auto"/>
        <w:ind w:firstLine="480" w:firstLineChars="200"/>
        <w:rPr>
          <w:rFonts w:ascii="宋体" w:hAnsi="宋体" w:cs="宋体"/>
          <w:sz w:val="24"/>
        </w:rPr>
      </w:pPr>
      <w:r>
        <w:rPr>
          <w:rFonts w:hint="eastAsia" w:ascii="宋体" w:hAnsi="宋体" w:cs="宋体"/>
          <w:sz w:val="24"/>
        </w:rPr>
        <w:t>（5）其他无法保证电子交易的公平、公正和安全的情况。</w:t>
      </w:r>
    </w:p>
    <w:p w14:paraId="4C69F393">
      <w:pPr>
        <w:spacing w:line="360" w:lineRule="auto"/>
        <w:ind w:firstLine="480" w:firstLineChars="200"/>
        <w:rPr>
          <w:rFonts w:ascii="宋体" w:hAnsi="宋体" w:cs="宋体"/>
          <w:sz w:val="24"/>
        </w:rPr>
      </w:pPr>
      <w:r>
        <w:rPr>
          <w:rFonts w:hint="eastAsia" w:ascii="宋体" w:hAnsi="宋体" w:cs="宋体"/>
          <w:sz w:val="24"/>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6D83580C">
      <w:pPr>
        <w:pStyle w:val="20"/>
        <w:snapToGrid w:val="0"/>
        <w:spacing w:line="360" w:lineRule="auto"/>
        <w:rPr>
          <w:rFonts w:hAnsi="宋体" w:cs="宋体"/>
        </w:rPr>
      </w:pPr>
    </w:p>
    <w:p w14:paraId="0D25AE29">
      <w:pPr>
        <w:pStyle w:val="6"/>
        <w:keepNext w:val="0"/>
        <w:keepLines w:val="0"/>
        <w:jc w:val="center"/>
        <w:rPr>
          <w:rFonts w:ascii="宋体" w:hAnsi="宋体" w:cs="宋体"/>
        </w:rPr>
      </w:pPr>
      <w:bookmarkStart w:id="273" w:name="_Toc23873"/>
      <w:bookmarkStart w:id="274" w:name="_Toc14332"/>
      <w:bookmarkStart w:id="275" w:name="_Toc9645"/>
      <w:r>
        <w:rPr>
          <w:rFonts w:hint="eastAsia" w:ascii="宋体" w:hAnsi="宋体" w:cs="宋体"/>
        </w:rPr>
        <w:t>七、中标和合同</w:t>
      </w:r>
      <w:bookmarkEnd w:id="273"/>
      <w:bookmarkEnd w:id="274"/>
      <w:bookmarkEnd w:id="275"/>
    </w:p>
    <w:p w14:paraId="21263B18">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30 确定中标人</w:t>
      </w:r>
    </w:p>
    <w:p w14:paraId="341CDF31">
      <w:pPr>
        <w:pStyle w:val="8"/>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505888B5">
      <w:pPr>
        <w:snapToGrid w:val="0"/>
        <w:spacing w:line="360" w:lineRule="auto"/>
        <w:ind w:firstLine="480" w:firstLineChars="200"/>
        <w:rPr>
          <w:rFonts w:ascii="宋体" w:hAnsi="宋体" w:cs="宋体"/>
          <w:sz w:val="24"/>
        </w:rPr>
      </w:pPr>
      <w:r>
        <w:rPr>
          <w:rFonts w:hint="eastAsia" w:ascii="宋体" w:hAnsi="宋体" w:cs="宋体"/>
          <w:sz w:val="24"/>
        </w:rPr>
        <w:t>30.2采购人在收到评标报告5个工作日内未按评标报告推荐的中标候选人顺序确定中标人，又不能说明合法理由的，视同按评标报告推荐的顺序确定排名第一的中标候选人为中标人。</w:t>
      </w:r>
    </w:p>
    <w:p w14:paraId="3048F805">
      <w:pPr>
        <w:snapToGrid w:val="0"/>
        <w:spacing w:line="360" w:lineRule="auto"/>
        <w:ind w:firstLine="480" w:firstLineChars="200"/>
        <w:rPr>
          <w:rFonts w:ascii="宋体" w:hAnsi="宋体" w:cs="宋体"/>
          <w:sz w:val="24"/>
        </w:rPr>
      </w:pPr>
      <w:r>
        <w:rPr>
          <w:rFonts w:hint="eastAsia" w:ascii="宋体" w:hAnsi="宋体" w:cs="宋体"/>
          <w:sz w:val="24"/>
        </w:rPr>
        <w:t>30.3出现下列情形之一的，应予废标：</w:t>
      </w:r>
    </w:p>
    <w:p w14:paraId="1DA78BD3">
      <w:pPr>
        <w:snapToGrid w:val="0"/>
        <w:spacing w:line="360" w:lineRule="auto"/>
        <w:ind w:firstLine="480" w:firstLineChars="200"/>
        <w:rPr>
          <w:rFonts w:ascii="宋体" w:hAnsi="宋体" w:cs="宋体"/>
          <w:sz w:val="24"/>
        </w:rPr>
      </w:pPr>
      <w:r>
        <w:rPr>
          <w:rFonts w:hint="eastAsia" w:ascii="宋体" w:hAnsi="宋体" w:cs="宋体"/>
          <w:sz w:val="24"/>
        </w:rPr>
        <w:t>（1）符合专业条件的供应商或者对招标文件作实质响应的供应商不足三家的；</w:t>
      </w:r>
    </w:p>
    <w:p w14:paraId="0EBE023B">
      <w:pPr>
        <w:snapToGrid w:val="0"/>
        <w:spacing w:line="360" w:lineRule="auto"/>
        <w:ind w:firstLine="480" w:firstLineChars="200"/>
        <w:rPr>
          <w:rFonts w:ascii="宋体" w:hAnsi="宋体" w:cs="宋体"/>
          <w:sz w:val="24"/>
        </w:rPr>
      </w:pPr>
      <w:r>
        <w:rPr>
          <w:rFonts w:hint="eastAsia" w:ascii="宋体" w:hAnsi="宋体" w:cs="宋体"/>
          <w:sz w:val="24"/>
        </w:rPr>
        <w:t>（2）出现影响采购公正的违法、违规行为的；</w:t>
      </w:r>
    </w:p>
    <w:p w14:paraId="2CB17FC4">
      <w:pPr>
        <w:snapToGrid w:val="0"/>
        <w:spacing w:line="360" w:lineRule="auto"/>
        <w:ind w:firstLine="480" w:firstLineChars="200"/>
        <w:rPr>
          <w:rFonts w:ascii="宋体" w:hAnsi="宋体" w:cs="宋体"/>
          <w:sz w:val="24"/>
        </w:rPr>
      </w:pPr>
      <w:r>
        <w:rPr>
          <w:rFonts w:hint="eastAsia" w:ascii="宋体" w:hAnsi="宋体" w:cs="宋体"/>
          <w:sz w:val="24"/>
        </w:rPr>
        <w:t>（3）投标人的报价均超过了采购预算，采购人不能支付的；</w:t>
      </w:r>
    </w:p>
    <w:p w14:paraId="5EF10560">
      <w:pPr>
        <w:snapToGrid w:val="0"/>
        <w:spacing w:line="360" w:lineRule="auto"/>
        <w:ind w:firstLine="480" w:firstLineChars="200"/>
        <w:rPr>
          <w:rFonts w:ascii="宋体" w:hAnsi="宋体" w:cs="宋体"/>
          <w:sz w:val="24"/>
        </w:rPr>
      </w:pPr>
      <w:r>
        <w:rPr>
          <w:rFonts w:hint="eastAsia" w:ascii="宋体" w:hAnsi="宋体" w:cs="宋体"/>
          <w:sz w:val="24"/>
        </w:rPr>
        <w:t>（4）因重大变故，采购任务取消的。</w:t>
      </w:r>
    </w:p>
    <w:p w14:paraId="333150E3">
      <w:pPr>
        <w:snapToGrid w:val="0"/>
        <w:spacing w:line="360" w:lineRule="auto"/>
        <w:ind w:firstLine="480" w:firstLineChars="200"/>
        <w:rPr>
          <w:rFonts w:ascii="宋体" w:hAnsi="宋体" w:cs="宋体"/>
          <w:sz w:val="24"/>
        </w:rPr>
      </w:pPr>
      <w:r>
        <w:rPr>
          <w:rFonts w:hint="eastAsia" w:ascii="宋体" w:hAnsi="宋体" w:cs="宋体"/>
          <w:sz w:val="24"/>
        </w:rPr>
        <w:t>废标后，采购人应当将废标理由通知所有投标人。</w:t>
      </w:r>
    </w:p>
    <w:p w14:paraId="627C54CF">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31. 结果公告</w:t>
      </w:r>
    </w:p>
    <w:p w14:paraId="142A58A6">
      <w:pPr>
        <w:pStyle w:val="8"/>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776B90A7">
      <w:pPr>
        <w:snapToGrid w:val="0"/>
        <w:spacing w:line="360" w:lineRule="auto"/>
        <w:ind w:firstLine="480" w:firstLineChars="200"/>
        <w:rPr>
          <w:rFonts w:ascii="宋体" w:hAnsi="宋体" w:cs="宋体"/>
          <w:sz w:val="24"/>
        </w:rPr>
      </w:pPr>
      <w:r>
        <w:rPr>
          <w:rFonts w:hint="eastAsia" w:ascii="宋体" w:hAnsi="宋体" w:cs="宋体"/>
          <w:sz w:val="24"/>
        </w:rPr>
        <w:t>以上信息查询记录及相关证据与采购文件一并保存。</w:t>
      </w:r>
    </w:p>
    <w:p w14:paraId="57581FF4">
      <w:pPr>
        <w:pStyle w:val="8"/>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31.2中标供应商享受《政府采购促进中小企业发展管理办法》（财库〔2020〕46号）规定的中小企业扶持政策的，采购人、采购代理机构应当随中标结果公开中标供应商的《中小企业声明函》。</w:t>
      </w:r>
    </w:p>
    <w:p w14:paraId="01966812">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32.发出中标通知书</w:t>
      </w:r>
    </w:p>
    <w:p w14:paraId="305185BA">
      <w:pPr>
        <w:pStyle w:val="8"/>
        <w:keepNext w:val="0"/>
        <w:keepLines w:val="0"/>
        <w:spacing w:before="0" w:after="0" w:line="360" w:lineRule="auto"/>
        <w:rPr>
          <w:rFonts w:ascii="宋体" w:hAnsi="宋体" w:cs="宋体"/>
          <w:b w:val="0"/>
          <w:sz w:val="24"/>
          <w:szCs w:val="24"/>
        </w:rPr>
      </w:pPr>
      <w:r>
        <w:rPr>
          <w:rFonts w:hint="eastAsia" w:ascii="宋体" w:hAnsi="宋体" w:cs="宋体"/>
          <w:b w:val="0"/>
          <w:sz w:val="24"/>
          <w:szCs w:val="24"/>
        </w:rPr>
        <w:t xml:space="preserve">    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668C417B">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33. 无义务解释未中标原因</w:t>
      </w:r>
    </w:p>
    <w:p w14:paraId="6556CFC4">
      <w:pPr>
        <w:pStyle w:val="8"/>
        <w:keepNext w:val="0"/>
        <w:keepLines w:val="0"/>
        <w:spacing w:before="0" w:after="0" w:line="360" w:lineRule="auto"/>
        <w:ind w:left="420" w:leftChars="200"/>
        <w:rPr>
          <w:rFonts w:ascii="宋体" w:hAnsi="宋体" w:cs="宋体"/>
          <w:b w:val="0"/>
          <w:sz w:val="24"/>
          <w:szCs w:val="24"/>
        </w:rPr>
      </w:pPr>
      <w:r>
        <w:rPr>
          <w:rFonts w:hint="eastAsia" w:ascii="宋体" w:hAnsi="宋体" w:cs="宋体"/>
          <w:b w:val="0"/>
          <w:sz w:val="24"/>
          <w:szCs w:val="24"/>
        </w:rPr>
        <w:t>采购代理机构无义务向未中标的投标人解释未中标原因。</w:t>
      </w:r>
    </w:p>
    <w:p w14:paraId="59648783">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34.合同授予标准</w:t>
      </w:r>
    </w:p>
    <w:p w14:paraId="650E5F66">
      <w:pPr>
        <w:snapToGrid w:val="0"/>
        <w:spacing w:line="360" w:lineRule="auto"/>
        <w:ind w:firstLine="480" w:firstLineChars="200"/>
        <w:rPr>
          <w:rFonts w:ascii="宋体" w:hAnsi="宋体" w:cs="宋体"/>
          <w:sz w:val="24"/>
        </w:rPr>
      </w:pPr>
      <w:r>
        <w:rPr>
          <w:rFonts w:hint="eastAsia" w:ascii="宋体" w:hAnsi="宋体" w:cs="宋体"/>
          <w:sz w:val="24"/>
        </w:rPr>
        <w:t>合同将授予被确定实质上响应招标文件要求，具备履行合同能力的中标人。</w:t>
      </w:r>
    </w:p>
    <w:p w14:paraId="2AA2388D">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35.履约保证金</w:t>
      </w:r>
    </w:p>
    <w:p w14:paraId="3F1ECC98">
      <w:pPr>
        <w:pStyle w:val="8"/>
        <w:keepNext w:val="0"/>
        <w:keepLines w:val="0"/>
        <w:spacing w:before="0" w:after="0" w:line="360" w:lineRule="auto"/>
        <w:ind w:firstLine="360" w:firstLineChars="150"/>
        <w:rPr>
          <w:rFonts w:ascii="宋体" w:hAnsi="宋体" w:cs="宋体"/>
          <w:b w:val="0"/>
          <w:sz w:val="24"/>
          <w:szCs w:val="24"/>
        </w:rPr>
      </w:pPr>
      <w:r>
        <w:rPr>
          <w:rFonts w:hint="eastAsia" w:ascii="宋体" w:hAnsi="宋体" w:cs="宋体"/>
          <w:b w:val="0"/>
          <w:sz w:val="24"/>
          <w:szCs w:val="24"/>
        </w:rPr>
        <w:t xml:space="preserve"> 35.1 履约保证金的金额、提交方式、退付的时间和条件详见 “投标人须知前附表”。中标人未按规定提交履约保证金的，视为拒绝与采购人签订合同。</w:t>
      </w:r>
    </w:p>
    <w:p w14:paraId="75BAF747">
      <w:pPr>
        <w:pStyle w:val="8"/>
        <w:keepNext w:val="0"/>
        <w:keepLines w:val="0"/>
        <w:spacing w:before="0" w:after="0" w:line="360" w:lineRule="auto"/>
        <w:ind w:firstLine="361" w:firstLineChars="150"/>
        <w:rPr>
          <w:rFonts w:ascii="宋体" w:hAnsi="宋体" w:cs="宋体"/>
          <w:sz w:val="24"/>
          <w:szCs w:val="24"/>
        </w:rPr>
      </w:pPr>
      <w:r>
        <w:rPr>
          <w:rFonts w:hint="eastAsia" w:ascii="宋体" w:hAnsi="宋体" w:cs="宋体"/>
          <w:sz w:val="24"/>
          <w:szCs w:val="24"/>
        </w:rPr>
        <w:t xml:space="preserve"> </w:t>
      </w:r>
      <w:r>
        <w:rPr>
          <w:rFonts w:hint="eastAsia" w:ascii="宋体" w:hAnsi="宋体" w:cs="宋体"/>
          <w:b w:val="0"/>
          <w:sz w:val="24"/>
          <w:szCs w:val="24"/>
        </w:rPr>
        <w:t>35.2在履约保证金退还日期前，若中标人的开户名称、开户银行、帐号有变动的，请以书面形式通知履约保证金收取单位，否则由此产生的后果由中标人自行承担。</w:t>
      </w:r>
    </w:p>
    <w:p w14:paraId="3F7892B9">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36.签订合同</w:t>
      </w:r>
    </w:p>
    <w:p w14:paraId="2972B875">
      <w:pPr>
        <w:pStyle w:val="8"/>
        <w:keepNext w:val="0"/>
        <w:keepLines w:val="0"/>
        <w:spacing w:before="0" w:after="0" w:line="360" w:lineRule="auto"/>
        <w:ind w:firstLine="360" w:firstLineChars="150"/>
        <w:rPr>
          <w:rFonts w:ascii="宋体" w:hAnsi="宋体" w:cs="宋体"/>
          <w:b w:val="0"/>
          <w:sz w:val="24"/>
          <w:szCs w:val="24"/>
        </w:rPr>
      </w:pPr>
      <w:r>
        <w:rPr>
          <w:rFonts w:hint="eastAsia" w:ascii="宋体" w:hAnsi="宋体" w:cs="宋体"/>
          <w:b w:val="0"/>
          <w:sz w:val="24"/>
          <w:szCs w:val="24"/>
        </w:rPr>
        <w:t xml:space="preserve"> </w:t>
      </w:r>
      <w:r>
        <w:rPr>
          <w:rFonts w:hint="eastAsia" w:ascii="宋体" w:hAnsi="宋体" w:cs="宋体"/>
          <w:sz w:val="24"/>
          <w:szCs w:val="24"/>
        </w:rPr>
        <w:t>36.1签订电子采购合同：中标人领取电子中标通知书后，</w:t>
      </w:r>
      <w:r>
        <w:rPr>
          <w:rFonts w:hint="eastAsia" w:ascii="宋体" w:hAnsi="宋体" w:cs="宋体"/>
          <w:kern w:val="0"/>
          <w:sz w:val="24"/>
          <w:szCs w:val="24"/>
        </w:rPr>
        <w:t>在</w:t>
      </w:r>
      <w:r>
        <w:rPr>
          <w:rFonts w:hint="eastAsia" w:ascii="宋体" w:hAnsi="宋体" w:cs="宋体"/>
          <w:kern w:val="0"/>
          <w:sz w:val="24"/>
          <w:szCs w:val="24"/>
          <w:lang w:val="zh-CN"/>
        </w:rPr>
        <w:t>规定的日期、时间、地点，由法定代表人或其授权代表与采购人代表签订电子采购合同。如中标人为联合体的，由联合体成员各方法定代表人或其授权代表与采购人代表签订合同。</w:t>
      </w:r>
    </w:p>
    <w:p w14:paraId="5AB0E86D">
      <w:pPr>
        <w:pStyle w:val="8"/>
        <w:keepNext w:val="0"/>
        <w:keepLines w:val="0"/>
        <w:spacing w:before="0" w:after="0" w:line="360" w:lineRule="auto"/>
        <w:ind w:firstLine="360" w:firstLineChars="150"/>
        <w:rPr>
          <w:rFonts w:ascii="宋体" w:hAnsi="宋体" w:cs="宋体"/>
          <w:b w:val="0"/>
          <w:sz w:val="24"/>
          <w:szCs w:val="24"/>
        </w:rPr>
      </w:pPr>
      <w:r>
        <w:rPr>
          <w:rFonts w:hint="eastAsia" w:ascii="宋体" w:hAnsi="宋体" w:cs="宋体"/>
          <w:b w:val="0"/>
          <w:sz w:val="24"/>
          <w:szCs w:val="24"/>
        </w:rPr>
        <w:t xml:space="preserve"> 线下签订纸质合同：投标人领取中标通知书后，按“投标人须知前附表”规定向采购人出示相关证明材料，经采购人核验合格后方可签订合同。</w:t>
      </w:r>
    </w:p>
    <w:p w14:paraId="78B515E2">
      <w:pPr>
        <w:pStyle w:val="8"/>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36.2签订合同时间：按中标通知书规定的时间与采购人签订合同。</w:t>
      </w:r>
    </w:p>
    <w:p w14:paraId="52B11E04">
      <w:pPr>
        <w:pStyle w:val="8"/>
        <w:keepNext w:val="0"/>
        <w:keepLines w:val="0"/>
        <w:spacing w:before="0" w:after="0" w:line="360" w:lineRule="auto"/>
        <w:rPr>
          <w:rFonts w:ascii="宋体" w:hAnsi="宋体" w:cs="宋体"/>
          <w:b w:val="0"/>
          <w:sz w:val="24"/>
          <w:szCs w:val="24"/>
        </w:rPr>
      </w:pPr>
      <w:r>
        <w:rPr>
          <w:rFonts w:hint="eastAsia" w:ascii="宋体" w:hAnsi="宋体" w:cs="宋体"/>
          <w:b w:val="0"/>
          <w:sz w:val="24"/>
          <w:szCs w:val="24"/>
        </w:rPr>
        <w:t xml:space="preserve">    36.3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74380D7D">
      <w:pPr>
        <w:spacing w:line="360" w:lineRule="auto"/>
        <w:ind w:firstLine="480" w:firstLineChars="200"/>
        <w:rPr>
          <w:rFonts w:ascii="宋体" w:hAnsi="宋体" w:cs="宋体"/>
          <w:sz w:val="24"/>
        </w:rPr>
      </w:pPr>
      <w:r>
        <w:rPr>
          <w:rFonts w:hint="eastAsia" w:ascii="宋体" w:hAnsi="宋体" w:cs="宋体"/>
          <w:sz w:val="24"/>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C0B58CE">
      <w:pPr>
        <w:spacing w:line="360" w:lineRule="auto"/>
        <w:ind w:firstLine="480" w:firstLineChars="200"/>
        <w:rPr>
          <w:rFonts w:ascii="宋体" w:hAnsi="宋体" w:cs="宋体"/>
          <w:sz w:val="24"/>
        </w:rPr>
      </w:pPr>
      <w:r>
        <w:rPr>
          <w:rFonts w:hint="eastAsia" w:ascii="宋体" w:hAnsi="宋体" w:cs="宋体"/>
          <w:sz w:val="24"/>
        </w:rPr>
        <w:t>36.5采购人或中标供应商不得单方面向合同另一方提出任何招标文件没有约定的条件或不合理的要求，作为签订合同的条件；也不得协商另行订立背离招标文件和合同实质性内容的协议。</w:t>
      </w:r>
    </w:p>
    <w:p w14:paraId="68AFB23C">
      <w:pPr>
        <w:spacing w:line="360" w:lineRule="auto"/>
        <w:ind w:firstLine="480" w:firstLineChars="200"/>
        <w:rPr>
          <w:rFonts w:ascii="宋体" w:hAnsi="宋体" w:cs="宋体"/>
          <w:sz w:val="24"/>
        </w:rPr>
      </w:pPr>
      <w:r>
        <w:rPr>
          <w:rFonts w:hint="eastAsia" w:ascii="宋体" w:hAnsi="宋体" w:cs="宋体"/>
          <w:sz w:val="24"/>
        </w:rPr>
        <w:t>36.6如签订合同并生效后，供应商无故拒绝或延期，除按照合同条款处理外，将承担相应的法律责任。</w:t>
      </w:r>
    </w:p>
    <w:p w14:paraId="7BE8CF56">
      <w:pPr>
        <w:spacing w:line="360" w:lineRule="auto"/>
        <w:ind w:firstLine="480" w:firstLineChars="200"/>
        <w:rPr>
          <w:rFonts w:ascii="宋体" w:hAnsi="宋体" w:cs="宋体"/>
          <w:sz w:val="24"/>
        </w:rPr>
      </w:pPr>
      <w:r>
        <w:rPr>
          <w:rFonts w:hint="eastAsia" w:ascii="宋体" w:hAnsi="宋体" w:cs="宋体"/>
          <w:sz w:val="24"/>
        </w:rPr>
        <w:t>36.7政府采购合同履行中，采购人需追加与合同标的相同的货物、工程或者服务的，在不改变合同其他条款的前提下，可以与供应商协商签订补充合同，但所有补充合同的采购金额不得超过原合同采购金额的10%。</w:t>
      </w:r>
    </w:p>
    <w:p w14:paraId="292A291A">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37.政府采购合同公告</w:t>
      </w:r>
    </w:p>
    <w:p w14:paraId="1C0B6AEF">
      <w:pPr>
        <w:pStyle w:val="20"/>
        <w:snapToGrid w:val="0"/>
        <w:spacing w:line="360" w:lineRule="auto"/>
        <w:ind w:firstLine="480" w:firstLineChars="200"/>
        <w:rPr>
          <w:rFonts w:hAnsi="宋体" w:cs="宋体"/>
          <w:sz w:val="24"/>
          <w:szCs w:val="24"/>
        </w:rPr>
      </w:pPr>
      <w:r>
        <w:rPr>
          <w:rFonts w:hint="eastAsia" w:hAnsi="宋体" w:cs="宋体"/>
          <w:sz w:val="24"/>
          <w:szCs w:val="24"/>
        </w:rPr>
        <w:t>采购人或者受托采购代理机构应当自政府采购合同签订之日起2个工作日内，将政府采购合同在省级以上人民政府财政部门指定的媒体上公告，但政府采购合同中涉及国家秘密、商业秘密的内容除外。</w:t>
      </w:r>
    </w:p>
    <w:p w14:paraId="0E478EB9">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38. 询问、质疑和投诉</w:t>
      </w:r>
    </w:p>
    <w:p w14:paraId="6290707C">
      <w:pPr>
        <w:pStyle w:val="9"/>
        <w:spacing w:line="360" w:lineRule="auto"/>
        <w:rPr>
          <w:rFonts w:ascii="宋体" w:hAnsi="宋体" w:cs="宋体"/>
          <w:sz w:val="24"/>
          <w:szCs w:val="24"/>
        </w:rPr>
      </w:pPr>
      <w:r>
        <w:rPr>
          <w:rFonts w:hint="eastAsia" w:ascii="宋体" w:hAnsi="宋体" w:cs="宋体"/>
          <w:sz w:val="24"/>
          <w:szCs w:val="24"/>
        </w:rPr>
        <w:t>38.1供应商对政府采购活动事项有疑问的，可以向采购人提出询问，采购人或者采购代理机构应当在3个工作日内对供应商依法提出的询问作出答复，但答复的内容不得涉及商业秘密。</w:t>
      </w:r>
    </w:p>
    <w:p w14:paraId="1796A7C8">
      <w:pPr>
        <w:pStyle w:val="8"/>
        <w:keepNext w:val="0"/>
        <w:keepLines w:val="0"/>
        <w:spacing w:before="0" w:after="0" w:line="360" w:lineRule="auto"/>
        <w:ind w:firstLine="360" w:firstLineChars="150"/>
        <w:rPr>
          <w:rFonts w:ascii="宋体" w:hAnsi="宋体" w:cs="宋体"/>
          <w:b w:val="0"/>
          <w:sz w:val="24"/>
          <w:szCs w:val="24"/>
        </w:rPr>
      </w:pPr>
      <w:r>
        <w:rPr>
          <w:rFonts w:hint="eastAsia" w:ascii="宋体" w:hAnsi="宋体" w:cs="宋体"/>
          <w:b w:val="0"/>
          <w:sz w:val="24"/>
          <w:szCs w:val="24"/>
        </w:rPr>
        <w:t xml:space="preserve"> 38.2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4D57DCFC">
      <w:pPr>
        <w:pStyle w:val="20"/>
        <w:snapToGrid w:val="0"/>
        <w:spacing w:line="360" w:lineRule="auto"/>
        <w:ind w:firstLine="480" w:firstLineChars="200"/>
        <w:rPr>
          <w:rFonts w:hAnsi="宋体" w:cs="宋体"/>
          <w:sz w:val="24"/>
          <w:szCs w:val="24"/>
        </w:rPr>
      </w:pPr>
      <w:r>
        <w:rPr>
          <w:rFonts w:hint="eastAsia" w:hAnsi="宋体" w:cs="宋体"/>
          <w:sz w:val="24"/>
          <w:szCs w:val="24"/>
        </w:rPr>
        <w:t>（1）对可以质疑的招标文件提出质疑的，为收到招标文件之日或者招标文件公告期限届满之日；</w:t>
      </w:r>
    </w:p>
    <w:p w14:paraId="25FBC0F5">
      <w:pPr>
        <w:pStyle w:val="20"/>
        <w:snapToGrid w:val="0"/>
        <w:spacing w:line="360" w:lineRule="auto"/>
        <w:ind w:firstLine="480" w:firstLineChars="200"/>
        <w:rPr>
          <w:rFonts w:hAnsi="宋体" w:cs="宋体"/>
          <w:sz w:val="24"/>
          <w:szCs w:val="24"/>
        </w:rPr>
      </w:pPr>
      <w:r>
        <w:rPr>
          <w:rFonts w:hint="eastAsia" w:hAnsi="宋体" w:cs="宋体"/>
          <w:sz w:val="24"/>
          <w:szCs w:val="24"/>
        </w:rPr>
        <w:t>（2）对采购过程提出质疑的，为各采购程序环节结束之日；</w:t>
      </w:r>
    </w:p>
    <w:p w14:paraId="5BDB2857">
      <w:pPr>
        <w:pStyle w:val="20"/>
        <w:snapToGrid w:val="0"/>
        <w:spacing w:line="360" w:lineRule="auto"/>
        <w:ind w:firstLine="480" w:firstLineChars="200"/>
        <w:rPr>
          <w:rFonts w:hAnsi="宋体" w:cs="宋体"/>
          <w:bCs/>
          <w:sz w:val="24"/>
          <w:szCs w:val="24"/>
        </w:rPr>
      </w:pPr>
      <w:r>
        <w:rPr>
          <w:rFonts w:hint="eastAsia" w:hAnsi="宋体" w:cs="宋体"/>
          <w:sz w:val="24"/>
          <w:szCs w:val="24"/>
        </w:rPr>
        <w:t>（3）对中标结果提出质疑的，为中标结果公告期限届满之日。</w:t>
      </w:r>
    </w:p>
    <w:p w14:paraId="50855935">
      <w:pPr>
        <w:pStyle w:val="8"/>
        <w:keepNext w:val="0"/>
        <w:keepLines w:val="0"/>
        <w:spacing w:before="0" w:after="0" w:line="360" w:lineRule="auto"/>
        <w:ind w:firstLine="360" w:firstLineChars="150"/>
        <w:rPr>
          <w:rFonts w:ascii="宋体" w:hAnsi="宋体" w:cs="宋体"/>
          <w:b w:val="0"/>
          <w:sz w:val="24"/>
          <w:szCs w:val="24"/>
        </w:rPr>
      </w:pPr>
      <w:r>
        <w:rPr>
          <w:rFonts w:hint="eastAsia" w:ascii="宋体" w:hAnsi="宋体" w:cs="宋体"/>
          <w:b w:val="0"/>
          <w:sz w:val="24"/>
          <w:szCs w:val="24"/>
        </w:rPr>
        <w:t xml:space="preserve"> 38.3 </w:t>
      </w:r>
      <w:r>
        <w:rPr>
          <w:rFonts w:hint="eastAsia" w:ascii="宋体" w:hAnsi="宋体" w:cs="宋体"/>
          <w:b w:val="0"/>
          <w:sz w:val="24"/>
        </w:rPr>
        <w:t>供应商提出质疑应当提交质疑函和必要的证明材料，针对同一采购程序环节的质疑必须在法定质疑期内一次性提出。质疑函应当包括下列内容（质疑函格式见第六章）：</w:t>
      </w:r>
    </w:p>
    <w:p w14:paraId="51B1432F">
      <w:pPr>
        <w:pStyle w:val="20"/>
        <w:snapToGrid w:val="0"/>
        <w:spacing w:line="360" w:lineRule="auto"/>
        <w:ind w:firstLine="480" w:firstLineChars="200"/>
        <w:rPr>
          <w:rFonts w:hAnsi="宋体" w:cs="宋体"/>
          <w:bCs/>
          <w:sz w:val="24"/>
          <w:szCs w:val="24"/>
        </w:rPr>
      </w:pPr>
      <w:r>
        <w:rPr>
          <w:rFonts w:hint="eastAsia" w:hAnsi="宋体" w:cs="宋体"/>
          <w:bCs/>
          <w:sz w:val="24"/>
          <w:szCs w:val="24"/>
        </w:rPr>
        <w:t>（1）供应商的姓名或者名称、地址、邮编、联系人及联系电话；</w:t>
      </w:r>
    </w:p>
    <w:p w14:paraId="1D76045D">
      <w:pPr>
        <w:pStyle w:val="20"/>
        <w:snapToGrid w:val="0"/>
        <w:spacing w:line="360" w:lineRule="auto"/>
        <w:ind w:firstLine="480" w:firstLineChars="200"/>
        <w:rPr>
          <w:rFonts w:hAnsi="宋体" w:cs="宋体"/>
          <w:bCs/>
          <w:sz w:val="24"/>
          <w:szCs w:val="24"/>
        </w:rPr>
      </w:pPr>
      <w:r>
        <w:rPr>
          <w:rFonts w:hint="eastAsia" w:hAnsi="宋体" w:cs="宋体"/>
          <w:bCs/>
          <w:sz w:val="24"/>
          <w:szCs w:val="24"/>
        </w:rPr>
        <w:t>（2）质疑项目的名称、编号；</w:t>
      </w:r>
    </w:p>
    <w:p w14:paraId="73657D8F">
      <w:pPr>
        <w:pStyle w:val="20"/>
        <w:snapToGrid w:val="0"/>
        <w:spacing w:line="360" w:lineRule="auto"/>
        <w:ind w:firstLine="480" w:firstLineChars="200"/>
        <w:rPr>
          <w:rFonts w:hAnsi="宋体" w:cs="宋体"/>
          <w:bCs/>
          <w:sz w:val="24"/>
          <w:szCs w:val="24"/>
        </w:rPr>
      </w:pPr>
      <w:r>
        <w:rPr>
          <w:rFonts w:hint="eastAsia" w:hAnsi="宋体" w:cs="宋体"/>
          <w:bCs/>
          <w:sz w:val="24"/>
          <w:szCs w:val="24"/>
        </w:rPr>
        <w:t>（3）具体、明确的质疑事项和与质疑事项相关的请求；</w:t>
      </w:r>
    </w:p>
    <w:p w14:paraId="3A12815C">
      <w:pPr>
        <w:pStyle w:val="20"/>
        <w:snapToGrid w:val="0"/>
        <w:spacing w:line="360" w:lineRule="auto"/>
        <w:ind w:firstLine="480" w:firstLineChars="200"/>
        <w:rPr>
          <w:rFonts w:hAnsi="宋体" w:cs="宋体"/>
          <w:bCs/>
          <w:sz w:val="24"/>
          <w:szCs w:val="24"/>
        </w:rPr>
      </w:pPr>
      <w:r>
        <w:rPr>
          <w:rFonts w:hint="eastAsia" w:hAnsi="宋体" w:cs="宋体"/>
          <w:bCs/>
          <w:sz w:val="24"/>
          <w:szCs w:val="24"/>
        </w:rPr>
        <w:t>（4）事实依据；</w:t>
      </w:r>
    </w:p>
    <w:p w14:paraId="2D7C470D">
      <w:pPr>
        <w:pStyle w:val="20"/>
        <w:snapToGrid w:val="0"/>
        <w:spacing w:line="360" w:lineRule="auto"/>
        <w:ind w:firstLine="480" w:firstLineChars="200"/>
        <w:rPr>
          <w:rFonts w:hAnsi="宋体" w:cs="宋体"/>
          <w:bCs/>
          <w:sz w:val="24"/>
          <w:szCs w:val="24"/>
        </w:rPr>
      </w:pPr>
      <w:r>
        <w:rPr>
          <w:rFonts w:hint="eastAsia" w:hAnsi="宋体" w:cs="宋体"/>
          <w:bCs/>
          <w:sz w:val="24"/>
          <w:szCs w:val="24"/>
        </w:rPr>
        <w:t>（5）必要的法律依据；</w:t>
      </w:r>
    </w:p>
    <w:p w14:paraId="307BA051">
      <w:pPr>
        <w:pStyle w:val="20"/>
        <w:snapToGrid w:val="0"/>
        <w:spacing w:line="360" w:lineRule="auto"/>
        <w:ind w:firstLine="480" w:firstLineChars="200"/>
        <w:rPr>
          <w:rFonts w:hAnsi="宋体" w:cs="宋体"/>
          <w:bCs/>
          <w:sz w:val="24"/>
          <w:szCs w:val="24"/>
        </w:rPr>
      </w:pPr>
      <w:r>
        <w:rPr>
          <w:rFonts w:hint="eastAsia" w:hAnsi="宋体" w:cs="宋体"/>
          <w:bCs/>
          <w:sz w:val="24"/>
          <w:szCs w:val="24"/>
        </w:rPr>
        <w:t>（6）提出质疑的日期。</w:t>
      </w:r>
    </w:p>
    <w:p w14:paraId="74CCB709">
      <w:pPr>
        <w:pStyle w:val="20"/>
        <w:snapToGrid w:val="0"/>
        <w:spacing w:line="360" w:lineRule="auto"/>
        <w:ind w:firstLine="480" w:firstLineChars="200"/>
        <w:rPr>
          <w:rFonts w:hAnsi="宋体" w:cs="宋体"/>
          <w:bCs/>
          <w:sz w:val="24"/>
          <w:szCs w:val="24"/>
        </w:rPr>
      </w:pPr>
      <w:r>
        <w:rPr>
          <w:rFonts w:hint="eastAsia" w:hAnsi="宋体" w:cs="宋体"/>
          <w:bCs/>
          <w:sz w:val="24"/>
          <w:szCs w:val="24"/>
        </w:rPr>
        <w:t>供应商为自然人的，应当由本人签字；供应商为法人或者其他组织的，应当由法定代表人、主要负责人，或者其委托代理人签字或者盖章，并加盖公章。</w:t>
      </w:r>
    </w:p>
    <w:p w14:paraId="737DCAC6">
      <w:pPr>
        <w:pStyle w:val="8"/>
        <w:keepNext w:val="0"/>
        <w:keepLines w:val="0"/>
        <w:snapToGrid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38.4采购人、采购代理机构认为供应商质疑不成立，或者成立但未对中标结果构成影响的，继续开展采购活动；认为供应商质疑成立且影响或者可能影响中标结果的，按照下列情况处理：</w:t>
      </w:r>
    </w:p>
    <w:p w14:paraId="10EB1F81">
      <w:pPr>
        <w:pStyle w:val="20"/>
        <w:snapToGrid w:val="0"/>
        <w:spacing w:line="360" w:lineRule="auto"/>
        <w:rPr>
          <w:rFonts w:hAnsi="宋体" w:cs="宋体"/>
          <w:bCs/>
          <w:sz w:val="24"/>
          <w:szCs w:val="24"/>
        </w:rPr>
      </w:pPr>
      <w:r>
        <w:rPr>
          <w:rFonts w:hint="eastAsia" w:hAnsi="宋体" w:cs="宋体"/>
          <w:bCs/>
          <w:sz w:val="24"/>
          <w:szCs w:val="24"/>
        </w:rPr>
        <w:t>　　（一）对招标文件提出的质疑，依法通过澄清或者修改可以继续开展采购活动的，澄清或者修改招标文件后继续开展采购活动；否则应当修改招标文件后重新开展采购活动。</w:t>
      </w:r>
    </w:p>
    <w:p w14:paraId="02FE63F6">
      <w:pPr>
        <w:pStyle w:val="20"/>
        <w:snapToGrid w:val="0"/>
        <w:spacing w:line="360" w:lineRule="auto"/>
        <w:rPr>
          <w:rFonts w:hAnsi="宋体" w:cs="宋体"/>
          <w:bCs/>
          <w:sz w:val="24"/>
          <w:szCs w:val="24"/>
        </w:rPr>
      </w:pPr>
      <w:r>
        <w:rPr>
          <w:rFonts w:hint="eastAsia" w:hAnsi="宋体" w:cs="宋体"/>
          <w:bCs/>
          <w:sz w:val="24"/>
          <w:szCs w:val="24"/>
        </w:rPr>
        <w:t>　　（二）对采购过程、中标结果提出的质疑，合格供应商符合法定数量时，可以从合格的中标候选人中另行确定中标供应商的，应当依法另行确定中标供应商；否则应当重新开展采购活动。</w:t>
      </w:r>
    </w:p>
    <w:p w14:paraId="08F7DAAF">
      <w:pPr>
        <w:pStyle w:val="20"/>
        <w:snapToGrid w:val="0"/>
        <w:spacing w:line="360" w:lineRule="auto"/>
        <w:ind w:firstLine="420"/>
        <w:rPr>
          <w:rFonts w:hAnsi="宋体" w:cs="宋体"/>
          <w:bCs/>
          <w:sz w:val="24"/>
          <w:szCs w:val="24"/>
        </w:rPr>
      </w:pPr>
      <w:r>
        <w:rPr>
          <w:rFonts w:hint="eastAsia" w:hAnsi="宋体" w:cs="宋体"/>
          <w:bCs/>
          <w:sz w:val="24"/>
          <w:szCs w:val="24"/>
        </w:rPr>
        <w:t>质疑答复导致中标结果改变的，采购人或者采购代理机构应当将有关情况书面报告本级财政部门。</w:t>
      </w:r>
    </w:p>
    <w:p w14:paraId="0DB593CE">
      <w:pPr>
        <w:pStyle w:val="20"/>
        <w:snapToGrid w:val="0"/>
        <w:spacing w:line="360" w:lineRule="auto"/>
        <w:ind w:firstLine="480" w:firstLineChars="200"/>
        <w:rPr>
          <w:rFonts w:hAnsi="宋体" w:cs="宋体"/>
          <w:sz w:val="24"/>
          <w:szCs w:val="24"/>
        </w:rPr>
      </w:pPr>
      <w:r>
        <w:rPr>
          <w:rFonts w:hint="eastAsia" w:hAnsi="宋体" w:cs="宋体"/>
          <w:sz w:val="24"/>
          <w:szCs w:val="24"/>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见第六章）。</w:t>
      </w:r>
    </w:p>
    <w:p w14:paraId="54FD3E48">
      <w:pPr>
        <w:pStyle w:val="6"/>
        <w:keepNext w:val="0"/>
        <w:keepLines w:val="0"/>
        <w:spacing w:before="240" w:after="240" w:line="415" w:lineRule="auto"/>
        <w:jc w:val="center"/>
        <w:rPr>
          <w:rFonts w:ascii="宋体" w:hAnsi="宋体" w:cs="宋体"/>
        </w:rPr>
      </w:pPr>
      <w:bookmarkStart w:id="276" w:name="_Toc4532"/>
      <w:bookmarkStart w:id="277" w:name="_Toc6141"/>
      <w:bookmarkStart w:id="278" w:name="_Toc10987"/>
      <w:r>
        <w:rPr>
          <w:rFonts w:hint="eastAsia" w:ascii="宋体" w:hAnsi="宋体" w:cs="宋体"/>
        </w:rPr>
        <w:t>八、其他事项</w:t>
      </w:r>
      <w:bookmarkEnd w:id="276"/>
      <w:bookmarkEnd w:id="277"/>
      <w:bookmarkEnd w:id="278"/>
    </w:p>
    <w:p w14:paraId="0228B5BF">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39.代理服务费</w:t>
      </w:r>
    </w:p>
    <w:p w14:paraId="34AFEEE4">
      <w:pPr>
        <w:pStyle w:val="8"/>
        <w:keepNext w:val="0"/>
        <w:keepLines w:val="0"/>
        <w:spacing w:before="0" w:after="0" w:line="360" w:lineRule="auto"/>
        <w:ind w:left="420" w:leftChars="200"/>
        <w:rPr>
          <w:rFonts w:ascii="宋体" w:hAnsi="宋体" w:cs="宋体"/>
          <w:b w:val="0"/>
          <w:sz w:val="24"/>
          <w:szCs w:val="24"/>
        </w:rPr>
      </w:pPr>
      <w:r>
        <w:rPr>
          <w:rFonts w:hint="eastAsia" w:ascii="宋体" w:hAnsi="宋体" w:cs="宋体"/>
          <w:b w:val="0"/>
          <w:sz w:val="24"/>
          <w:szCs w:val="24"/>
        </w:rPr>
        <w:t>39.1代理服务收取标准及缴费账户详见“投标人须知前附表”，投标人为联合体的，可以由联合体中的一方或者多方共同交纳代理服务费。</w:t>
      </w:r>
    </w:p>
    <w:p w14:paraId="0CB80DA4">
      <w:pPr>
        <w:pStyle w:val="8"/>
        <w:keepNext w:val="0"/>
        <w:keepLines w:val="0"/>
        <w:spacing w:before="0" w:after="0" w:line="360" w:lineRule="auto"/>
        <w:ind w:left="420" w:leftChars="200"/>
        <w:rPr>
          <w:rFonts w:ascii="宋体" w:hAnsi="宋体" w:cs="宋体"/>
          <w:sz w:val="24"/>
          <w:szCs w:val="24"/>
        </w:rPr>
      </w:pPr>
      <w:r>
        <w:rPr>
          <w:rFonts w:hint="eastAsia" w:ascii="宋体" w:hAnsi="宋体" w:cs="宋体"/>
          <w:sz w:val="24"/>
          <w:szCs w:val="24"/>
        </w:rPr>
        <w:t>39.2代理服务收费标准：</w:t>
      </w:r>
    </w:p>
    <w:p w14:paraId="34F596E6">
      <w:pPr>
        <w:pStyle w:val="9"/>
        <w:ind w:firstLine="0"/>
        <w:rPr>
          <w:rFonts w:ascii="宋体" w:hAnsi="宋体" w:cs="宋体"/>
          <w:sz w:val="24"/>
          <w:szCs w:val="24"/>
        </w:rPr>
      </w:pPr>
    </w:p>
    <w:tbl>
      <w:tblPr>
        <w:tblStyle w:val="37"/>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0C00C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43812E67">
            <w:pPr>
              <w:spacing w:line="360" w:lineRule="auto"/>
              <w:rPr>
                <w:rFonts w:ascii="宋体" w:hAnsi="宋体" w:cs="宋体"/>
                <w:sz w:val="24"/>
              </w:rPr>
            </w:pPr>
            <w:r>
              <w:rPr>
                <w:rFonts w:hint="eastAsia" w:ascii="宋体" w:hAnsi="宋体" w:cs="宋体"/>
                <w:sz w:val="24"/>
              </w:rPr>
              <w:t xml:space="preserve">               费率</w:t>
            </w:r>
          </w:p>
          <w:p w14:paraId="75EB5BB8">
            <w:pPr>
              <w:spacing w:line="360" w:lineRule="auto"/>
              <w:rPr>
                <w:rFonts w:ascii="宋体" w:hAnsi="宋体" w:cs="宋体"/>
                <w:sz w:val="24"/>
              </w:rPr>
            </w:pPr>
            <w:r>
              <w:rPr>
                <w:rFonts w:hint="eastAsia" w:ascii="宋体" w:hAnsi="宋体" w:cs="宋体"/>
                <w:sz w:val="24"/>
              </w:rPr>
              <w:t>中标金额</w:t>
            </w:r>
          </w:p>
        </w:tc>
        <w:tc>
          <w:tcPr>
            <w:tcW w:w="1659" w:type="dxa"/>
            <w:vAlign w:val="center"/>
          </w:tcPr>
          <w:p w14:paraId="7AAF94AA">
            <w:pPr>
              <w:spacing w:line="360" w:lineRule="auto"/>
              <w:ind w:firstLine="120" w:firstLineChars="50"/>
              <w:jc w:val="center"/>
              <w:rPr>
                <w:rFonts w:ascii="宋体" w:hAnsi="宋体" w:cs="宋体"/>
                <w:sz w:val="24"/>
              </w:rPr>
            </w:pPr>
            <w:r>
              <w:rPr>
                <w:rFonts w:hint="eastAsia" w:ascii="宋体" w:hAnsi="宋体" w:cs="宋体"/>
                <w:sz w:val="24"/>
              </w:rPr>
              <w:t>货物招标</w:t>
            </w:r>
          </w:p>
        </w:tc>
        <w:tc>
          <w:tcPr>
            <w:tcW w:w="1687" w:type="dxa"/>
            <w:vAlign w:val="center"/>
          </w:tcPr>
          <w:p w14:paraId="43158DEC">
            <w:pPr>
              <w:spacing w:line="360" w:lineRule="auto"/>
              <w:jc w:val="center"/>
              <w:rPr>
                <w:rFonts w:ascii="宋体" w:hAnsi="宋体" w:cs="宋体"/>
                <w:sz w:val="24"/>
              </w:rPr>
            </w:pPr>
            <w:r>
              <w:rPr>
                <w:rFonts w:hint="eastAsia" w:ascii="宋体" w:hAnsi="宋体" w:cs="宋体"/>
                <w:sz w:val="24"/>
              </w:rPr>
              <w:t>服务招标</w:t>
            </w:r>
          </w:p>
        </w:tc>
        <w:tc>
          <w:tcPr>
            <w:tcW w:w="1659" w:type="dxa"/>
            <w:vAlign w:val="center"/>
          </w:tcPr>
          <w:p w14:paraId="2BADF1FD">
            <w:pPr>
              <w:spacing w:line="360" w:lineRule="auto"/>
              <w:jc w:val="center"/>
              <w:rPr>
                <w:rFonts w:ascii="宋体" w:hAnsi="宋体" w:cs="宋体"/>
                <w:sz w:val="24"/>
              </w:rPr>
            </w:pPr>
            <w:r>
              <w:rPr>
                <w:rFonts w:hint="eastAsia" w:ascii="宋体" w:hAnsi="宋体" w:cs="宋体"/>
                <w:sz w:val="24"/>
              </w:rPr>
              <w:t>工程招标</w:t>
            </w:r>
          </w:p>
        </w:tc>
      </w:tr>
      <w:tr w14:paraId="49AAA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4FBB7035">
            <w:pPr>
              <w:spacing w:line="440" w:lineRule="exact"/>
              <w:jc w:val="center"/>
              <w:rPr>
                <w:rFonts w:ascii="宋体" w:hAnsi="宋体" w:cs="宋体"/>
                <w:sz w:val="24"/>
              </w:rPr>
            </w:pPr>
            <w:r>
              <w:rPr>
                <w:rFonts w:hint="eastAsia" w:ascii="宋体" w:hAnsi="宋体" w:cs="宋体"/>
                <w:sz w:val="24"/>
              </w:rPr>
              <w:t>100以下</w:t>
            </w:r>
          </w:p>
        </w:tc>
        <w:tc>
          <w:tcPr>
            <w:tcW w:w="1659" w:type="dxa"/>
            <w:vAlign w:val="center"/>
          </w:tcPr>
          <w:p w14:paraId="4091B65C">
            <w:pPr>
              <w:widowControl/>
              <w:spacing w:line="440" w:lineRule="exact"/>
              <w:jc w:val="center"/>
              <w:rPr>
                <w:rFonts w:ascii="宋体" w:hAnsi="宋体" w:cs="宋体"/>
                <w:sz w:val="24"/>
              </w:rPr>
            </w:pPr>
            <w:r>
              <w:rPr>
                <w:rFonts w:hint="eastAsia" w:ascii="宋体" w:hAnsi="宋体" w:cs="宋体"/>
                <w:kern w:val="0"/>
                <w:sz w:val="24"/>
              </w:rPr>
              <w:t>1.20%</w:t>
            </w:r>
          </w:p>
        </w:tc>
        <w:tc>
          <w:tcPr>
            <w:tcW w:w="1687" w:type="dxa"/>
            <w:vAlign w:val="center"/>
          </w:tcPr>
          <w:p w14:paraId="6206EE75">
            <w:pPr>
              <w:widowControl/>
              <w:spacing w:line="440" w:lineRule="exact"/>
              <w:jc w:val="center"/>
              <w:rPr>
                <w:rFonts w:ascii="宋体" w:hAnsi="宋体" w:cs="宋体"/>
                <w:sz w:val="24"/>
              </w:rPr>
            </w:pPr>
            <w:r>
              <w:rPr>
                <w:rFonts w:hint="eastAsia" w:ascii="宋体" w:hAnsi="宋体" w:cs="宋体"/>
                <w:kern w:val="0"/>
                <w:sz w:val="24"/>
              </w:rPr>
              <w:t>1.20%</w:t>
            </w:r>
          </w:p>
        </w:tc>
        <w:tc>
          <w:tcPr>
            <w:tcW w:w="1659" w:type="dxa"/>
            <w:vAlign w:val="center"/>
          </w:tcPr>
          <w:p w14:paraId="252F8940">
            <w:pPr>
              <w:widowControl/>
              <w:spacing w:line="440" w:lineRule="exact"/>
              <w:jc w:val="center"/>
              <w:rPr>
                <w:rFonts w:ascii="宋体" w:hAnsi="宋体" w:cs="宋体"/>
                <w:sz w:val="24"/>
              </w:rPr>
            </w:pPr>
            <w:r>
              <w:rPr>
                <w:rFonts w:hint="eastAsia" w:ascii="宋体" w:hAnsi="宋体" w:cs="宋体"/>
                <w:kern w:val="0"/>
                <w:sz w:val="24"/>
              </w:rPr>
              <w:t>0.80%</w:t>
            </w:r>
          </w:p>
        </w:tc>
      </w:tr>
      <w:tr w14:paraId="2557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6BA41107">
            <w:pPr>
              <w:spacing w:line="440" w:lineRule="exact"/>
              <w:jc w:val="center"/>
              <w:rPr>
                <w:rFonts w:ascii="宋体" w:hAnsi="宋体" w:cs="宋体"/>
                <w:sz w:val="24"/>
              </w:rPr>
            </w:pPr>
            <w:r>
              <w:rPr>
                <w:rFonts w:hint="eastAsia" w:ascii="宋体" w:hAnsi="宋体" w:cs="宋体"/>
                <w:sz w:val="24"/>
              </w:rPr>
              <w:t>100-500</w:t>
            </w:r>
          </w:p>
        </w:tc>
        <w:tc>
          <w:tcPr>
            <w:tcW w:w="1659" w:type="dxa"/>
            <w:vAlign w:val="center"/>
          </w:tcPr>
          <w:p w14:paraId="6F3D1701">
            <w:pPr>
              <w:widowControl/>
              <w:spacing w:line="440" w:lineRule="exact"/>
              <w:jc w:val="center"/>
              <w:rPr>
                <w:rFonts w:ascii="宋体" w:hAnsi="宋体" w:cs="宋体"/>
                <w:sz w:val="24"/>
              </w:rPr>
            </w:pPr>
            <w:r>
              <w:rPr>
                <w:rFonts w:hint="eastAsia" w:ascii="宋体" w:hAnsi="宋体" w:cs="宋体"/>
                <w:kern w:val="0"/>
                <w:sz w:val="24"/>
              </w:rPr>
              <w:t>0.88%</w:t>
            </w:r>
          </w:p>
        </w:tc>
        <w:tc>
          <w:tcPr>
            <w:tcW w:w="1687" w:type="dxa"/>
            <w:vAlign w:val="center"/>
          </w:tcPr>
          <w:p w14:paraId="7D377496">
            <w:pPr>
              <w:widowControl/>
              <w:spacing w:line="440" w:lineRule="exact"/>
              <w:jc w:val="center"/>
              <w:rPr>
                <w:rFonts w:ascii="宋体" w:hAnsi="宋体" w:cs="宋体"/>
                <w:sz w:val="24"/>
              </w:rPr>
            </w:pPr>
            <w:r>
              <w:rPr>
                <w:rFonts w:hint="eastAsia" w:ascii="宋体" w:hAnsi="宋体" w:cs="宋体"/>
                <w:kern w:val="0"/>
                <w:sz w:val="24"/>
              </w:rPr>
              <w:t>0.64%</w:t>
            </w:r>
          </w:p>
        </w:tc>
        <w:tc>
          <w:tcPr>
            <w:tcW w:w="1659" w:type="dxa"/>
            <w:vAlign w:val="center"/>
          </w:tcPr>
          <w:p w14:paraId="4668FC5D">
            <w:pPr>
              <w:widowControl/>
              <w:spacing w:line="440" w:lineRule="exact"/>
              <w:jc w:val="center"/>
              <w:rPr>
                <w:rFonts w:ascii="宋体" w:hAnsi="宋体" w:cs="宋体"/>
                <w:sz w:val="24"/>
              </w:rPr>
            </w:pPr>
            <w:r>
              <w:rPr>
                <w:rFonts w:hint="eastAsia" w:ascii="宋体" w:hAnsi="宋体" w:cs="宋体"/>
                <w:kern w:val="0"/>
                <w:sz w:val="24"/>
              </w:rPr>
              <w:t>0.56%</w:t>
            </w:r>
          </w:p>
        </w:tc>
      </w:tr>
      <w:tr w14:paraId="3C43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7B3D1EE9">
            <w:pPr>
              <w:spacing w:line="440" w:lineRule="exact"/>
              <w:jc w:val="center"/>
              <w:rPr>
                <w:rFonts w:ascii="宋体" w:hAnsi="宋体" w:cs="宋体"/>
                <w:sz w:val="24"/>
              </w:rPr>
            </w:pPr>
            <w:r>
              <w:rPr>
                <w:rFonts w:hint="eastAsia" w:ascii="宋体" w:hAnsi="宋体" w:cs="宋体"/>
                <w:sz w:val="24"/>
              </w:rPr>
              <w:t>500-1000</w:t>
            </w:r>
          </w:p>
        </w:tc>
        <w:tc>
          <w:tcPr>
            <w:tcW w:w="1659" w:type="dxa"/>
            <w:vAlign w:val="center"/>
          </w:tcPr>
          <w:p w14:paraId="58270764">
            <w:pPr>
              <w:widowControl/>
              <w:spacing w:line="440" w:lineRule="exact"/>
              <w:jc w:val="center"/>
              <w:rPr>
                <w:rFonts w:ascii="宋体" w:hAnsi="宋体" w:cs="宋体"/>
                <w:sz w:val="24"/>
              </w:rPr>
            </w:pPr>
            <w:r>
              <w:rPr>
                <w:rFonts w:hint="eastAsia" w:ascii="宋体" w:hAnsi="宋体" w:cs="宋体"/>
                <w:kern w:val="0"/>
                <w:sz w:val="24"/>
              </w:rPr>
              <w:t>0.64%</w:t>
            </w:r>
          </w:p>
        </w:tc>
        <w:tc>
          <w:tcPr>
            <w:tcW w:w="1687" w:type="dxa"/>
            <w:vAlign w:val="center"/>
          </w:tcPr>
          <w:p w14:paraId="2B394227">
            <w:pPr>
              <w:widowControl/>
              <w:spacing w:line="440" w:lineRule="exact"/>
              <w:jc w:val="center"/>
              <w:rPr>
                <w:rFonts w:ascii="宋体" w:hAnsi="宋体" w:cs="宋体"/>
                <w:sz w:val="24"/>
              </w:rPr>
            </w:pPr>
            <w:r>
              <w:rPr>
                <w:rFonts w:hint="eastAsia" w:ascii="宋体" w:hAnsi="宋体" w:cs="宋体"/>
                <w:kern w:val="0"/>
                <w:sz w:val="24"/>
              </w:rPr>
              <w:t>0.36%</w:t>
            </w:r>
          </w:p>
        </w:tc>
        <w:tc>
          <w:tcPr>
            <w:tcW w:w="1659" w:type="dxa"/>
            <w:vAlign w:val="center"/>
          </w:tcPr>
          <w:p w14:paraId="046FA894">
            <w:pPr>
              <w:widowControl/>
              <w:spacing w:line="440" w:lineRule="exact"/>
              <w:jc w:val="center"/>
              <w:rPr>
                <w:rFonts w:ascii="宋体" w:hAnsi="宋体" w:cs="宋体"/>
                <w:sz w:val="24"/>
              </w:rPr>
            </w:pPr>
            <w:r>
              <w:rPr>
                <w:rFonts w:hint="eastAsia" w:ascii="宋体" w:hAnsi="宋体" w:cs="宋体"/>
                <w:kern w:val="0"/>
                <w:sz w:val="24"/>
              </w:rPr>
              <w:t>0.44%</w:t>
            </w:r>
          </w:p>
        </w:tc>
      </w:tr>
      <w:tr w14:paraId="5D57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5E9A792E">
            <w:pPr>
              <w:spacing w:line="440" w:lineRule="exact"/>
              <w:jc w:val="center"/>
              <w:rPr>
                <w:rFonts w:ascii="宋体" w:hAnsi="宋体" w:cs="宋体"/>
                <w:sz w:val="24"/>
              </w:rPr>
            </w:pPr>
            <w:r>
              <w:rPr>
                <w:rFonts w:hint="eastAsia" w:ascii="宋体" w:hAnsi="宋体" w:cs="宋体"/>
                <w:sz w:val="24"/>
              </w:rPr>
              <w:t>1000-5000</w:t>
            </w:r>
          </w:p>
        </w:tc>
        <w:tc>
          <w:tcPr>
            <w:tcW w:w="1659" w:type="dxa"/>
            <w:vAlign w:val="center"/>
          </w:tcPr>
          <w:p w14:paraId="6ACF99B8">
            <w:pPr>
              <w:widowControl/>
              <w:spacing w:line="440" w:lineRule="exact"/>
              <w:jc w:val="center"/>
              <w:rPr>
                <w:rFonts w:ascii="宋体" w:hAnsi="宋体" w:cs="宋体"/>
                <w:sz w:val="24"/>
              </w:rPr>
            </w:pPr>
            <w:r>
              <w:rPr>
                <w:rFonts w:hint="eastAsia" w:ascii="宋体" w:hAnsi="宋体" w:cs="宋体"/>
                <w:kern w:val="0"/>
                <w:sz w:val="24"/>
              </w:rPr>
              <w:t>0.40%</w:t>
            </w:r>
          </w:p>
        </w:tc>
        <w:tc>
          <w:tcPr>
            <w:tcW w:w="1687" w:type="dxa"/>
            <w:vAlign w:val="center"/>
          </w:tcPr>
          <w:p w14:paraId="069903EE">
            <w:pPr>
              <w:widowControl/>
              <w:spacing w:line="440" w:lineRule="exact"/>
              <w:jc w:val="center"/>
              <w:rPr>
                <w:rFonts w:ascii="宋体" w:hAnsi="宋体" w:cs="宋体"/>
                <w:sz w:val="24"/>
              </w:rPr>
            </w:pPr>
            <w:r>
              <w:rPr>
                <w:rFonts w:hint="eastAsia" w:ascii="宋体" w:hAnsi="宋体" w:cs="宋体"/>
                <w:kern w:val="0"/>
                <w:sz w:val="24"/>
              </w:rPr>
              <w:t>0.20%</w:t>
            </w:r>
          </w:p>
        </w:tc>
        <w:tc>
          <w:tcPr>
            <w:tcW w:w="1659" w:type="dxa"/>
            <w:vAlign w:val="center"/>
          </w:tcPr>
          <w:p w14:paraId="3076D9AC">
            <w:pPr>
              <w:widowControl/>
              <w:spacing w:line="440" w:lineRule="exact"/>
              <w:jc w:val="center"/>
              <w:rPr>
                <w:rFonts w:ascii="宋体" w:hAnsi="宋体" w:cs="宋体"/>
                <w:sz w:val="24"/>
              </w:rPr>
            </w:pPr>
            <w:r>
              <w:rPr>
                <w:rFonts w:hint="eastAsia" w:ascii="宋体" w:hAnsi="宋体" w:cs="宋体"/>
                <w:kern w:val="0"/>
                <w:sz w:val="24"/>
              </w:rPr>
              <w:t>0.28%</w:t>
            </w:r>
          </w:p>
        </w:tc>
      </w:tr>
      <w:tr w14:paraId="013C9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39223392">
            <w:pPr>
              <w:spacing w:line="440" w:lineRule="exact"/>
              <w:jc w:val="center"/>
              <w:rPr>
                <w:rFonts w:ascii="宋体" w:hAnsi="宋体" w:cs="宋体"/>
                <w:sz w:val="24"/>
              </w:rPr>
            </w:pPr>
            <w:r>
              <w:rPr>
                <w:rFonts w:hint="eastAsia" w:ascii="宋体" w:hAnsi="宋体" w:cs="宋体"/>
                <w:sz w:val="24"/>
              </w:rPr>
              <w:t>5000-10000</w:t>
            </w:r>
          </w:p>
        </w:tc>
        <w:tc>
          <w:tcPr>
            <w:tcW w:w="1659" w:type="dxa"/>
            <w:vAlign w:val="center"/>
          </w:tcPr>
          <w:p w14:paraId="4352CCBC">
            <w:pPr>
              <w:widowControl/>
              <w:spacing w:line="440" w:lineRule="exact"/>
              <w:jc w:val="center"/>
              <w:rPr>
                <w:rFonts w:ascii="宋体" w:hAnsi="宋体" w:cs="宋体"/>
                <w:sz w:val="24"/>
              </w:rPr>
            </w:pPr>
            <w:r>
              <w:rPr>
                <w:rFonts w:hint="eastAsia" w:ascii="宋体" w:hAnsi="宋体" w:cs="宋体"/>
                <w:kern w:val="0"/>
                <w:sz w:val="24"/>
              </w:rPr>
              <w:t>0.20%</w:t>
            </w:r>
          </w:p>
        </w:tc>
        <w:tc>
          <w:tcPr>
            <w:tcW w:w="1687" w:type="dxa"/>
            <w:vAlign w:val="center"/>
          </w:tcPr>
          <w:p w14:paraId="328BB777">
            <w:pPr>
              <w:widowControl/>
              <w:spacing w:line="440" w:lineRule="exact"/>
              <w:jc w:val="center"/>
              <w:rPr>
                <w:rFonts w:ascii="宋体" w:hAnsi="宋体" w:cs="宋体"/>
                <w:sz w:val="24"/>
              </w:rPr>
            </w:pPr>
            <w:r>
              <w:rPr>
                <w:rFonts w:hint="eastAsia" w:ascii="宋体" w:hAnsi="宋体" w:cs="宋体"/>
                <w:kern w:val="0"/>
                <w:sz w:val="24"/>
              </w:rPr>
              <w:t>0.08%</w:t>
            </w:r>
          </w:p>
        </w:tc>
        <w:tc>
          <w:tcPr>
            <w:tcW w:w="1659" w:type="dxa"/>
            <w:vAlign w:val="center"/>
          </w:tcPr>
          <w:p w14:paraId="6DADB6B2">
            <w:pPr>
              <w:widowControl/>
              <w:spacing w:line="440" w:lineRule="exact"/>
              <w:jc w:val="center"/>
              <w:rPr>
                <w:rFonts w:ascii="宋体" w:hAnsi="宋体" w:cs="宋体"/>
                <w:sz w:val="24"/>
              </w:rPr>
            </w:pPr>
            <w:r>
              <w:rPr>
                <w:rFonts w:hint="eastAsia" w:ascii="宋体" w:hAnsi="宋体" w:cs="宋体"/>
                <w:kern w:val="0"/>
                <w:sz w:val="24"/>
              </w:rPr>
              <w:t>0.16%</w:t>
            </w:r>
          </w:p>
        </w:tc>
      </w:tr>
      <w:tr w14:paraId="0193E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3EBB5B70">
            <w:pPr>
              <w:spacing w:line="440" w:lineRule="exact"/>
              <w:jc w:val="center"/>
              <w:rPr>
                <w:rFonts w:ascii="宋体" w:hAnsi="宋体" w:cs="宋体"/>
                <w:sz w:val="24"/>
              </w:rPr>
            </w:pPr>
            <w:r>
              <w:rPr>
                <w:rFonts w:hint="eastAsia" w:ascii="宋体" w:hAnsi="宋体" w:cs="宋体"/>
                <w:sz w:val="24"/>
              </w:rPr>
              <w:t>10000-100000</w:t>
            </w:r>
          </w:p>
        </w:tc>
        <w:tc>
          <w:tcPr>
            <w:tcW w:w="1659" w:type="dxa"/>
            <w:vAlign w:val="center"/>
          </w:tcPr>
          <w:p w14:paraId="7D0B582D">
            <w:pPr>
              <w:widowControl/>
              <w:spacing w:line="440" w:lineRule="exact"/>
              <w:jc w:val="center"/>
              <w:rPr>
                <w:rFonts w:ascii="宋体" w:hAnsi="宋体" w:cs="宋体"/>
                <w:sz w:val="24"/>
              </w:rPr>
            </w:pPr>
            <w:r>
              <w:rPr>
                <w:rFonts w:hint="eastAsia" w:ascii="宋体" w:hAnsi="宋体" w:cs="宋体"/>
                <w:kern w:val="0"/>
                <w:sz w:val="24"/>
              </w:rPr>
              <w:t>0.04%</w:t>
            </w:r>
          </w:p>
        </w:tc>
        <w:tc>
          <w:tcPr>
            <w:tcW w:w="1687" w:type="dxa"/>
            <w:vAlign w:val="center"/>
          </w:tcPr>
          <w:p w14:paraId="74394C9C">
            <w:pPr>
              <w:widowControl/>
              <w:spacing w:line="440" w:lineRule="exact"/>
              <w:jc w:val="center"/>
              <w:rPr>
                <w:rFonts w:ascii="宋体" w:hAnsi="宋体" w:cs="宋体"/>
                <w:sz w:val="24"/>
              </w:rPr>
            </w:pPr>
            <w:r>
              <w:rPr>
                <w:rFonts w:hint="eastAsia" w:ascii="宋体" w:hAnsi="宋体" w:cs="宋体"/>
                <w:kern w:val="0"/>
                <w:sz w:val="24"/>
              </w:rPr>
              <w:t>0.04%</w:t>
            </w:r>
          </w:p>
        </w:tc>
        <w:tc>
          <w:tcPr>
            <w:tcW w:w="1659" w:type="dxa"/>
            <w:vAlign w:val="center"/>
          </w:tcPr>
          <w:p w14:paraId="0BF599DC">
            <w:pPr>
              <w:widowControl/>
              <w:spacing w:line="440" w:lineRule="exact"/>
              <w:jc w:val="center"/>
              <w:rPr>
                <w:rFonts w:ascii="宋体" w:hAnsi="宋体" w:cs="宋体"/>
                <w:sz w:val="24"/>
              </w:rPr>
            </w:pPr>
            <w:r>
              <w:rPr>
                <w:rFonts w:hint="eastAsia" w:ascii="宋体" w:hAnsi="宋体" w:cs="宋体"/>
                <w:kern w:val="0"/>
                <w:sz w:val="24"/>
              </w:rPr>
              <w:t>0.04%</w:t>
            </w:r>
          </w:p>
        </w:tc>
      </w:tr>
    </w:tbl>
    <w:p w14:paraId="6ACC53CF">
      <w:pPr>
        <w:spacing w:line="360" w:lineRule="auto"/>
        <w:ind w:firstLine="480" w:firstLineChars="200"/>
        <w:rPr>
          <w:rFonts w:ascii="宋体" w:hAnsi="宋体" w:cs="宋体"/>
          <w:sz w:val="24"/>
        </w:rPr>
      </w:pPr>
      <w:r>
        <w:rPr>
          <w:rFonts w:hint="eastAsia" w:ascii="宋体" w:hAnsi="宋体" w:cs="宋体"/>
          <w:sz w:val="24"/>
        </w:rPr>
        <w:t xml:space="preserve">注: </w:t>
      </w:r>
    </w:p>
    <w:p w14:paraId="3FAC3C87">
      <w:pPr>
        <w:spacing w:line="360" w:lineRule="auto"/>
        <w:ind w:firstLine="480" w:firstLineChars="200"/>
        <w:rPr>
          <w:rFonts w:ascii="宋体" w:hAnsi="宋体" w:cs="宋体"/>
          <w:sz w:val="24"/>
        </w:rPr>
      </w:pPr>
      <w:r>
        <w:rPr>
          <w:rFonts w:hint="eastAsia" w:ascii="宋体" w:hAnsi="宋体" w:cs="宋体"/>
          <w:sz w:val="24"/>
        </w:rPr>
        <w:t>（1）按本表费率计算的收费为采购代理的收费基准价格；</w:t>
      </w:r>
    </w:p>
    <w:p w14:paraId="4F46B249">
      <w:pPr>
        <w:spacing w:line="360" w:lineRule="auto"/>
        <w:ind w:firstLine="480" w:firstLineChars="200"/>
        <w:rPr>
          <w:rFonts w:ascii="宋体" w:hAnsi="宋体" w:cs="宋体"/>
          <w:sz w:val="24"/>
        </w:rPr>
      </w:pPr>
      <w:r>
        <w:rPr>
          <w:rFonts w:hint="eastAsia" w:ascii="宋体" w:hAnsi="宋体" w:cs="宋体"/>
          <w:sz w:val="24"/>
        </w:rPr>
        <w:t>（2）采购代理收费按差额定率累进法计算。</w:t>
      </w:r>
    </w:p>
    <w:p w14:paraId="7585E8D1">
      <w:pPr>
        <w:spacing w:line="360" w:lineRule="auto"/>
        <w:ind w:firstLine="480" w:firstLineChars="200"/>
        <w:rPr>
          <w:rFonts w:ascii="宋体" w:hAnsi="宋体" w:cs="宋体"/>
          <w:sz w:val="24"/>
        </w:rPr>
      </w:pPr>
      <w:r>
        <w:rPr>
          <w:rFonts w:hint="eastAsia" w:ascii="宋体" w:hAnsi="宋体" w:cs="宋体"/>
          <w:sz w:val="24"/>
        </w:rPr>
        <w:t>例如：某服务采购代理业务中标金额或者暂定价为200万元，计算采购代理收费额如下：</w:t>
      </w:r>
    </w:p>
    <w:p w14:paraId="06EE69E3">
      <w:pPr>
        <w:spacing w:line="360" w:lineRule="auto"/>
        <w:ind w:firstLine="480" w:firstLineChars="200"/>
        <w:rPr>
          <w:rFonts w:ascii="宋体" w:hAnsi="宋体" w:cs="宋体"/>
          <w:sz w:val="24"/>
        </w:rPr>
      </w:pPr>
      <w:r>
        <w:rPr>
          <w:rFonts w:hint="eastAsia" w:ascii="宋体" w:hAnsi="宋体" w:cs="宋体"/>
          <w:sz w:val="24"/>
        </w:rPr>
        <w:t>100 万元×l.2 %＝ 1.2万元</w:t>
      </w:r>
    </w:p>
    <w:p w14:paraId="23EDF83F">
      <w:pPr>
        <w:spacing w:line="360" w:lineRule="auto"/>
        <w:ind w:firstLine="480" w:firstLineChars="200"/>
        <w:rPr>
          <w:rFonts w:ascii="宋体" w:hAnsi="宋体" w:cs="宋体"/>
          <w:sz w:val="24"/>
        </w:rPr>
      </w:pPr>
      <w:r>
        <w:rPr>
          <w:rFonts w:hint="eastAsia" w:ascii="宋体" w:hAnsi="宋体" w:cs="宋体"/>
          <w:sz w:val="24"/>
        </w:rPr>
        <w:t>（ 200 － 100 ）万元 ×0.64%＝0.64万元</w:t>
      </w:r>
    </w:p>
    <w:p w14:paraId="01B2713D">
      <w:pPr>
        <w:pStyle w:val="20"/>
        <w:snapToGrid w:val="0"/>
        <w:spacing w:line="360" w:lineRule="auto"/>
        <w:ind w:firstLine="480" w:firstLineChars="200"/>
        <w:rPr>
          <w:rFonts w:hAnsi="宋体" w:cs="宋体"/>
          <w:sz w:val="24"/>
          <w:szCs w:val="24"/>
        </w:rPr>
      </w:pPr>
      <w:r>
        <w:rPr>
          <w:rFonts w:hint="eastAsia" w:hAnsi="宋体" w:cs="宋体"/>
          <w:sz w:val="24"/>
          <w:szCs w:val="24"/>
        </w:rPr>
        <w:t>合计收费＝ 1.2+0.64＝ 1.84（万元）</w:t>
      </w:r>
    </w:p>
    <w:p w14:paraId="335A8741">
      <w:pPr>
        <w:pStyle w:val="8"/>
        <w:keepNext w:val="0"/>
        <w:keepLines w:val="0"/>
        <w:spacing w:before="0" w:after="0" w:line="360" w:lineRule="auto"/>
        <w:ind w:left="420" w:leftChars="200"/>
        <w:rPr>
          <w:rFonts w:ascii="宋体" w:hAnsi="宋体" w:cs="宋体"/>
          <w:sz w:val="24"/>
        </w:rPr>
      </w:pPr>
      <w:r>
        <w:rPr>
          <w:rFonts w:hint="eastAsia" w:ascii="宋体" w:hAnsi="宋体" w:cs="宋体"/>
          <w:sz w:val="24"/>
        </w:rPr>
        <w:t>40. 需要补充的其他内容</w:t>
      </w:r>
    </w:p>
    <w:p w14:paraId="00DB702E">
      <w:pPr>
        <w:pStyle w:val="20"/>
        <w:spacing w:line="360" w:lineRule="auto"/>
        <w:ind w:firstLine="480" w:firstLineChars="200"/>
        <w:rPr>
          <w:rFonts w:hAnsi="宋体" w:cs="宋体"/>
          <w:sz w:val="24"/>
          <w:szCs w:val="24"/>
        </w:rPr>
      </w:pPr>
      <w:r>
        <w:rPr>
          <w:rFonts w:hint="eastAsia" w:hAnsi="宋体" w:cs="宋体"/>
          <w:sz w:val="24"/>
          <w:szCs w:val="24"/>
        </w:rPr>
        <w:t>40.1本招标文件解释规则详见“投标人须知前附表”。</w:t>
      </w:r>
    </w:p>
    <w:p w14:paraId="1D1A7695">
      <w:pPr>
        <w:pStyle w:val="20"/>
        <w:spacing w:line="360" w:lineRule="auto"/>
        <w:ind w:firstLine="480" w:firstLineChars="200"/>
        <w:rPr>
          <w:rFonts w:hAnsi="宋体" w:cs="宋体"/>
          <w:sz w:val="24"/>
          <w:szCs w:val="24"/>
        </w:rPr>
      </w:pPr>
      <w:r>
        <w:rPr>
          <w:rFonts w:hint="eastAsia" w:hAnsi="宋体" w:cs="宋体"/>
          <w:sz w:val="24"/>
          <w:szCs w:val="24"/>
        </w:rPr>
        <w:t>40.2 其他事项详见“投标人须知前附表”。</w:t>
      </w:r>
    </w:p>
    <w:p w14:paraId="75394298">
      <w:pPr>
        <w:pStyle w:val="20"/>
        <w:spacing w:line="360" w:lineRule="auto"/>
        <w:ind w:firstLine="480" w:firstLineChars="200"/>
        <w:rPr>
          <w:rFonts w:hAnsi="宋体" w:cs="宋体"/>
          <w:sz w:val="24"/>
          <w:szCs w:val="24"/>
        </w:rPr>
      </w:pPr>
      <w:r>
        <w:rPr>
          <w:rFonts w:hint="eastAsia" w:hAnsi="宋体" w:cs="宋体"/>
          <w:sz w:val="24"/>
          <w:szCs w:val="24"/>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43D93010">
      <w:pPr>
        <w:pStyle w:val="20"/>
        <w:spacing w:line="360" w:lineRule="auto"/>
        <w:ind w:firstLine="480" w:firstLineChars="200"/>
        <w:rPr>
          <w:rFonts w:hAnsi="宋体" w:cs="宋体"/>
          <w:sz w:val="24"/>
          <w:szCs w:val="24"/>
        </w:rPr>
      </w:pPr>
      <w:r>
        <w:rPr>
          <w:rFonts w:hint="eastAsia" w:hAnsi="宋体" w:cs="宋体"/>
          <w:sz w:val="24"/>
          <w:szCs w:val="24"/>
        </w:rPr>
        <w:t>（1）在货物采购项目中，货物由中小企业制造，即货物由中小企业生产且使用该中小企业商号或者注册商标，不对其中涉及的工程承建商和服务的承接商作出要求；</w:t>
      </w:r>
    </w:p>
    <w:p w14:paraId="1918837B">
      <w:pPr>
        <w:pStyle w:val="20"/>
        <w:spacing w:line="360" w:lineRule="auto"/>
        <w:ind w:firstLine="480" w:firstLineChars="200"/>
        <w:rPr>
          <w:rFonts w:hAnsi="宋体" w:cs="宋体"/>
          <w:sz w:val="24"/>
          <w:szCs w:val="24"/>
        </w:rPr>
      </w:pPr>
      <w:r>
        <w:rPr>
          <w:rFonts w:hint="eastAsia" w:hAnsi="宋体" w:cs="宋体"/>
          <w:sz w:val="24"/>
          <w:szCs w:val="24"/>
        </w:rPr>
        <w:t>（2）在工程采购项目中，工程由中小企业承建，即工程施工单位为中小企业，不对其中涉及的货物的制造商和服务的承接商作出要求；</w:t>
      </w:r>
    </w:p>
    <w:p w14:paraId="6860F8B4">
      <w:pPr>
        <w:pStyle w:val="20"/>
        <w:spacing w:line="360" w:lineRule="auto"/>
        <w:ind w:firstLine="480" w:firstLineChars="200"/>
        <w:rPr>
          <w:rFonts w:hAnsi="宋体" w:cs="宋体"/>
          <w:sz w:val="24"/>
          <w:szCs w:val="24"/>
        </w:rPr>
      </w:pPr>
      <w:r>
        <w:rPr>
          <w:rFonts w:hint="eastAsia" w:hAnsi="宋体" w:cs="宋体"/>
          <w:sz w:val="24"/>
          <w:szCs w:val="24"/>
        </w:rPr>
        <w:t>（3）在服务采购项目中，服务由中小企业承接，即提供服务的人员为中小企业依照《中华人民共和国劳动合同法》订立劳动合同的从业人员，不对其中涉及的货物的制造商和工程承建商作出要求。</w:t>
      </w:r>
    </w:p>
    <w:p w14:paraId="197379C8">
      <w:pPr>
        <w:pStyle w:val="20"/>
        <w:spacing w:line="360" w:lineRule="auto"/>
        <w:ind w:firstLine="480" w:firstLineChars="200"/>
        <w:rPr>
          <w:rFonts w:hAnsi="宋体" w:cs="宋体"/>
          <w:sz w:val="24"/>
          <w:szCs w:val="24"/>
        </w:rPr>
      </w:pPr>
      <w:r>
        <w:rPr>
          <w:rFonts w:hint="eastAsia" w:hAnsi="宋体" w:cs="宋体"/>
          <w:sz w:val="24"/>
          <w:szCs w:val="24"/>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27C81CF7">
      <w:pPr>
        <w:spacing w:line="360" w:lineRule="auto"/>
        <w:ind w:firstLine="480" w:firstLineChars="200"/>
        <w:rPr>
          <w:rFonts w:ascii="宋体" w:hAnsi="宋体" w:cs="宋体"/>
        </w:rPr>
      </w:pPr>
      <w:r>
        <w:rPr>
          <w:rFonts w:hint="eastAsia" w:ascii="宋体" w:hAnsi="宋体" w:cs="宋体"/>
          <w:sz w:val="24"/>
        </w:rPr>
        <w:t>依据本招标文件规定享受扶持政策获得政府采购合同的，小微企业不得将合同分包给大中型企业，中型企业不得将合同分包给大型企业。</w:t>
      </w:r>
      <w:bookmarkEnd w:id="256"/>
      <w:bookmarkEnd w:id="257"/>
    </w:p>
    <w:p w14:paraId="2FA676B6">
      <w:pPr>
        <w:spacing w:line="360" w:lineRule="auto"/>
        <w:ind w:firstLine="420" w:firstLineChars="200"/>
        <w:jc w:val="left"/>
        <w:rPr>
          <w:rFonts w:ascii="宋体" w:hAnsi="宋体" w:cs="宋体"/>
        </w:rPr>
      </w:pPr>
      <w:bookmarkStart w:id="279" w:name="_Toc532545043"/>
    </w:p>
    <w:p w14:paraId="63EC69C5">
      <w:pPr>
        <w:pStyle w:val="20"/>
        <w:jc w:val="center"/>
        <w:outlineLvl w:val="0"/>
        <w:rPr>
          <w:rFonts w:hAnsi="宋体" w:cs="宋体"/>
          <w:b/>
          <w:sz w:val="36"/>
        </w:rPr>
      </w:pPr>
      <w:bookmarkStart w:id="280" w:name="_Toc26193"/>
      <w:r>
        <w:rPr>
          <w:rFonts w:hint="eastAsia" w:hAnsi="宋体" w:cs="宋体"/>
          <w:b/>
          <w:sz w:val="36"/>
        </w:rPr>
        <w:br w:type="page"/>
      </w:r>
      <w:bookmarkStart w:id="281" w:name="_Toc12264"/>
      <w:bookmarkStart w:id="282" w:name="_Toc10674"/>
      <w:bookmarkStart w:id="283" w:name="_Toc27056"/>
      <w:r>
        <w:rPr>
          <w:rFonts w:hint="eastAsia" w:hAnsi="宋体" w:cs="宋体"/>
          <w:b/>
          <w:sz w:val="36"/>
        </w:rPr>
        <w:t>第四章  评标方法</w:t>
      </w:r>
      <w:bookmarkEnd w:id="279"/>
      <w:r>
        <w:rPr>
          <w:rFonts w:hint="eastAsia" w:hAnsi="宋体" w:cs="宋体"/>
          <w:b/>
          <w:sz w:val="36"/>
        </w:rPr>
        <w:t>及评分标准</w:t>
      </w:r>
      <w:bookmarkEnd w:id="280"/>
      <w:bookmarkEnd w:id="281"/>
      <w:bookmarkEnd w:id="282"/>
      <w:bookmarkEnd w:id="283"/>
    </w:p>
    <w:p w14:paraId="3B1AB562">
      <w:pPr>
        <w:pStyle w:val="20"/>
        <w:jc w:val="center"/>
        <w:outlineLvl w:val="1"/>
        <w:rPr>
          <w:rFonts w:hAnsi="宋体" w:cs="宋体"/>
          <w:b/>
          <w:bCs/>
          <w:sz w:val="32"/>
          <w:szCs w:val="32"/>
        </w:rPr>
      </w:pPr>
      <w:bookmarkStart w:id="284" w:name="_Toc28555"/>
      <w:bookmarkStart w:id="285" w:name="_Toc27008"/>
      <w:bookmarkStart w:id="286" w:name="_Toc6770"/>
      <w:bookmarkStart w:id="287" w:name="_Toc11793"/>
      <w:r>
        <w:rPr>
          <w:rFonts w:hint="eastAsia" w:hAnsi="宋体" w:cs="宋体"/>
          <w:b/>
          <w:bCs/>
          <w:sz w:val="32"/>
          <w:szCs w:val="32"/>
        </w:rPr>
        <w:t>第一节 评标方法</w:t>
      </w:r>
      <w:bookmarkEnd w:id="284"/>
      <w:bookmarkEnd w:id="285"/>
      <w:bookmarkEnd w:id="286"/>
      <w:bookmarkEnd w:id="287"/>
    </w:p>
    <w:p w14:paraId="68821145">
      <w:pPr>
        <w:pStyle w:val="20"/>
        <w:tabs>
          <w:tab w:val="left" w:pos="2472"/>
        </w:tabs>
        <w:spacing w:line="460" w:lineRule="exact"/>
        <w:ind w:firstLine="420" w:firstLineChars="200"/>
        <w:rPr>
          <w:rFonts w:hAnsi="宋体" w:cs="宋体"/>
          <w:szCs w:val="21"/>
        </w:rPr>
      </w:pPr>
      <w:r>
        <w:rPr>
          <w:rFonts w:hint="eastAsia" w:hAnsi="宋体" w:cs="宋体"/>
          <w:szCs w:val="21"/>
        </w:rPr>
        <w:t>本项目采用</w:t>
      </w:r>
      <w:r>
        <w:rPr>
          <w:rFonts w:hint="eastAsia" w:hAnsi="宋体" w:cs="宋体"/>
          <w:szCs w:val="21"/>
          <w:u w:val="single"/>
        </w:rPr>
        <w:t xml:space="preserve"> 以下勾选的方式 </w:t>
      </w:r>
      <w:r>
        <w:rPr>
          <w:rFonts w:hint="eastAsia" w:hAnsi="宋体" w:cs="宋体"/>
          <w:szCs w:val="21"/>
        </w:rPr>
        <w:t>进行评审。</w:t>
      </w:r>
    </w:p>
    <w:p w14:paraId="3B772198">
      <w:pPr>
        <w:autoSpaceDE w:val="0"/>
        <w:autoSpaceDN w:val="0"/>
        <w:adjustRightInd w:val="0"/>
        <w:spacing w:line="440" w:lineRule="exact"/>
        <w:ind w:firstLine="420" w:firstLineChars="200"/>
        <w:rPr>
          <w:rFonts w:ascii="宋体" w:hAnsi="宋体" w:cs="宋体"/>
          <w:sz w:val="24"/>
        </w:rPr>
      </w:pPr>
      <w:r>
        <w:rPr>
          <w:rFonts w:hint="eastAsia" w:ascii="宋体" w:hAnsi="宋体" w:cs="宋体"/>
          <w:szCs w:val="21"/>
        </w:rPr>
        <w:t>☑</w:t>
      </w:r>
      <w:r>
        <w:rPr>
          <w:rFonts w:hint="eastAsia" w:ascii="宋体" w:hAnsi="宋体" w:cs="宋体"/>
        </w:rPr>
        <w:t>综合评分法，</w:t>
      </w:r>
      <w:r>
        <w:rPr>
          <w:rFonts w:hint="eastAsia" w:ascii="宋体" w:hAnsi="宋体" w:cs="宋体"/>
          <w:szCs w:val="20"/>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08BEE22F">
      <w:pPr>
        <w:pStyle w:val="20"/>
        <w:spacing w:line="360" w:lineRule="auto"/>
        <w:ind w:firstLine="420"/>
        <w:rPr>
          <w:rFonts w:hAnsi="宋体" w:cs="宋体"/>
        </w:rPr>
      </w:pPr>
    </w:p>
    <w:p w14:paraId="5C6CA129">
      <w:pPr>
        <w:pStyle w:val="20"/>
        <w:tabs>
          <w:tab w:val="left" w:pos="2472"/>
        </w:tabs>
        <w:spacing w:line="360" w:lineRule="auto"/>
        <w:jc w:val="center"/>
        <w:outlineLvl w:val="1"/>
        <w:rPr>
          <w:rFonts w:hAnsi="宋体" w:cs="宋体"/>
          <w:b/>
          <w:bCs/>
          <w:sz w:val="32"/>
          <w:szCs w:val="32"/>
        </w:rPr>
      </w:pPr>
      <w:bookmarkStart w:id="288" w:name="_Toc2678"/>
      <w:bookmarkStart w:id="289" w:name="_Toc23084"/>
      <w:bookmarkStart w:id="290" w:name="_Toc25599"/>
      <w:bookmarkStart w:id="291" w:name="_Toc27957"/>
      <w:r>
        <w:rPr>
          <w:rFonts w:hint="eastAsia" w:hAnsi="宋体" w:cs="宋体"/>
          <w:b/>
          <w:bCs/>
          <w:sz w:val="32"/>
          <w:szCs w:val="32"/>
        </w:rPr>
        <w:t>第二节 评标程序</w:t>
      </w:r>
      <w:bookmarkEnd w:id="288"/>
      <w:bookmarkEnd w:id="289"/>
      <w:bookmarkEnd w:id="290"/>
      <w:bookmarkEnd w:id="291"/>
    </w:p>
    <w:p w14:paraId="5326D1DA">
      <w:pPr>
        <w:spacing w:line="360" w:lineRule="auto"/>
        <w:ind w:firstLine="422" w:firstLineChars="200"/>
        <w:outlineLvl w:val="2"/>
        <w:rPr>
          <w:rFonts w:ascii="宋体" w:hAnsi="宋体" w:cs="宋体"/>
          <w:b/>
          <w:szCs w:val="21"/>
        </w:rPr>
      </w:pPr>
      <w:bookmarkStart w:id="292" w:name="_Toc19143"/>
      <w:bookmarkStart w:id="293" w:name="_Toc18777"/>
      <w:bookmarkStart w:id="294" w:name="_Toc14629"/>
      <w:r>
        <w:rPr>
          <w:rFonts w:hint="eastAsia" w:ascii="宋体" w:hAnsi="宋体" w:cs="宋体"/>
          <w:b/>
          <w:szCs w:val="21"/>
        </w:rPr>
        <w:t>1.符合性审查</w:t>
      </w:r>
      <w:bookmarkEnd w:id="292"/>
      <w:bookmarkEnd w:id="293"/>
      <w:bookmarkEnd w:id="294"/>
    </w:p>
    <w:p w14:paraId="499C0E96">
      <w:pPr>
        <w:spacing w:line="360" w:lineRule="auto"/>
        <w:ind w:firstLine="420" w:firstLineChars="200"/>
        <w:rPr>
          <w:rFonts w:ascii="宋体" w:hAnsi="宋体" w:cs="宋体"/>
        </w:rPr>
      </w:pPr>
      <w:r>
        <w:rPr>
          <w:rFonts w:hint="eastAsia" w:ascii="宋体" w:hAnsi="宋体" w:cs="宋体"/>
        </w:rPr>
        <w:t>评标委员会应当对符合资格的投标人的投标文件进行投标报价、商务、技术等实质性内容符合性审查，以确定其是否满足招标文件的实质性要求。</w:t>
      </w:r>
    </w:p>
    <w:p w14:paraId="1BC860F0">
      <w:pPr>
        <w:spacing w:line="360" w:lineRule="auto"/>
        <w:ind w:firstLine="422" w:firstLineChars="200"/>
        <w:outlineLvl w:val="2"/>
        <w:rPr>
          <w:rFonts w:ascii="宋体" w:hAnsi="宋体" w:cs="宋体"/>
          <w:b/>
          <w:szCs w:val="21"/>
        </w:rPr>
      </w:pPr>
      <w:bookmarkStart w:id="295" w:name="_Toc1417"/>
      <w:bookmarkStart w:id="296" w:name="_Toc27926"/>
      <w:bookmarkStart w:id="297" w:name="_Toc28499"/>
      <w:r>
        <w:rPr>
          <w:rFonts w:hint="eastAsia" w:ascii="宋体" w:hAnsi="宋体" w:cs="宋体"/>
          <w:b/>
          <w:szCs w:val="21"/>
        </w:rPr>
        <w:t>2.符合性审查不通过而导致投标无效的情形</w:t>
      </w:r>
      <w:bookmarkEnd w:id="295"/>
      <w:bookmarkEnd w:id="296"/>
      <w:bookmarkEnd w:id="297"/>
    </w:p>
    <w:p w14:paraId="70897CBF">
      <w:pPr>
        <w:spacing w:line="360" w:lineRule="auto"/>
        <w:ind w:firstLine="420" w:firstLineChars="200"/>
        <w:rPr>
          <w:rFonts w:ascii="宋体" w:hAnsi="宋体" w:cs="宋体"/>
          <w:szCs w:val="21"/>
        </w:rPr>
      </w:pPr>
      <w:r>
        <w:rPr>
          <w:rFonts w:hint="eastAsia" w:ascii="宋体" w:hAnsi="宋体" w:cs="宋体"/>
          <w:szCs w:val="21"/>
        </w:rPr>
        <w:t>投标人的投标文件中存在对招标文件的任何实质性要求和条件的负偏离，将被视为投标无效。</w:t>
      </w:r>
    </w:p>
    <w:p w14:paraId="44C10CA4">
      <w:pPr>
        <w:spacing w:line="360" w:lineRule="auto"/>
        <w:ind w:firstLine="420" w:firstLineChars="200"/>
        <w:rPr>
          <w:rFonts w:ascii="宋体" w:hAnsi="宋体" w:cs="宋体"/>
          <w:szCs w:val="21"/>
        </w:rPr>
      </w:pPr>
      <w:r>
        <w:rPr>
          <w:rFonts w:hint="eastAsia" w:ascii="宋体" w:hAnsi="宋体" w:cs="宋体"/>
          <w:szCs w:val="21"/>
        </w:rPr>
        <w:t>2.1在报价评审时，如发现下列情形之一的，将被视为投标无效：</w:t>
      </w:r>
    </w:p>
    <w:p w14:paraId="4BC0BD35">
      <w:pPr>
        <w:spacing w:line="360" w:lineRule="auto"/>
        <w:ind w:firstLine="420" w:firstLineChars="200"/>
        <w:rPr>
          <w:rFonts w:ascii="宋体" w:hAnsi="宋体" w:cs="宋体"/>
          <w:szCs w:val="21"/>
        </w:rPr>
      </w:pPr>
      <w:r>
        <w:rPr>
          <w:rFonts w:hint="eastAsia" w:ascii="宋体" w:hAnsi="宋体" w:cs="宋体"/>
          <w:szCs w:val="21"/>
        </w:rPr>
        <w:t>（1）投标文件未提供“投标人须知前附表”第13.1条规定中“必须提供”的文件资料的;</w:t>
      </w:r>
    </w:p>
    <w:p w14:paraId="0EA0D172">
      <w:pPr>
        <w:spacing w:line="360" w:lineRule="auto"/>
        <w:ind w:firstLine="420" w:firstLineChars="200"/>
        <w:rPr>
          <w:rFonts w:ascii="宋体" w:hAnsi="宋体" w:cs="宋体"/>
          <w:szCs w:val="21"/>
        </w:rPr>
      </w:pPr>
      <w:r>
        <w:rPr>
          <w:rFonts w:hint="eastAsia" w:ascii="宋体" w:hAnsi="宋体" w:cs="宋体"/>
          <w:szCs w:val="21"/>
        </w:rPr>
        <w:t>（2）未采用人民币报价或者未按照招标文件标明的币种报价的；</w:t>
      </w:r>
    </w:p>
    <w:p w14:paraId="0747EF23">
      <w:pPr>
        <w:spacing w:line="360" w:lineRule="auto"/>
        <w:ind w:firstLine="420" w:firstLineChars="200"/>
        <w:rPr>
          <w:rFonts w:ascii="宋体" w:hAnsi="宋体" w:cs="宋体"/>
          <w:szCs w:val="21"/>
        </w:rPr>
      </w:pPr>
      <w:r>
        <w:rPr>
          <w:rFonts w:hint="eastAsia" w:ascii="宋体" w:hAnsi="宋体" w:cs="宋体"/>
          <w:szCs w:val="21"/>
        </w:rPr>
        <w:t>（3）报价超出招标文件规定最高限价，或者超出采购预算金额（包括分项预算）的；</w:t>
      </w:r>
    </w:p>
    <w:p w14:paraId="73D39193">
      <w:pPr>
        <w:spacing w:line="360" w:lineRule="auto"/>
        <w:ind w:firstLine="420" w:firstLineChars="200"/>
        <w:rPr>
          <w:rFonts w:ascii="宋体" w:hAnsi="宋体" w:cs="宋体"/>
          <w:szCs w:val="21"/>
        </w:rPr>
      </w:pPr>
      <w:r>
        <w:rPr>
          <w:rFonts w:hint="eastAsia" w:ascii="宋体" w:hAnsi="宋体" w:cs="宋体"/>
          <w:szCs w:val="21"/>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584A45AB">
      <w:pPr>
        <w:spacing w:line="360" w:lineRule="auto"/>
        <w:ind w:firstLine="420" w:firstLineChars="200"/>
        <w:rPr>
          <w:rFonts w:ascii="宋体" w:hAnsi="宋体" w:cs="宋体"/>
          <w:szCs w:val="21"/>
        </w:rPr>
      </w:pPr>
      <w:r>
        <w:rPr>
          <w:rFonts w:hint="eastAsia" w:ascii="宋体" w:hAnsi="宋体" w:cs="宋体"/>
          <w:szCs w:val="21"/>
        </w:rPr>
        <w:t>（5）修正后的报价，投标人不确认的；</w:t>
      </w:r>
    </w:p>
    <w:p w14:paraId="294E5033">
      <w:pPr>
        <w:spacing w:line="360" w:lineRule="auto"/>
        <w:ind w:firstLine="420" w:firstLineChars="200"/>
        <w:rPr>
          <w:rFonts w:ascii="宋体" w:hAnsi="宋体" w:cs="宋体"/>
          <w:szCs w:val="21"/>
        </w:rPr>
      </w:pPr>
      <w:r>
        <w:rPr>
          <w:rFonts w:hint="eastAsia" w:ascii="宋体" w:hAnsi="宋体" w:cs="宋体"/>
          <w:szCs w:val="21"/>
        </w:rPr>
        <w:t>（6）投标人属于本章第5条第（2）项情形的。</w:t>
      </w:r>
    </w:p>
    <w:p w14:paraId="3E2640C6">
      <w:pPr>
        <w:spacing w:line="360" w:lineRule="auto"/>
        <w:ind w:firstLine="420" w:firstLineChars="200"/>
        <w:rPr>
          <w:rFonts w:ascii="宋体" w:hAnsi="宋体" w:cs="宋体"/>
          <w:szCs w:val="21"/>
        </w:rPr>
      </w:pPr>
      <w:r>
        <w:rPr>
          <w:rFonts w:hint="eastAsia" w:ascii="宋体" w:hAnsi="宋体" w:cs="宋体"/>
          <w:szCs w:val="21"/>
        </w:rPr>
        <w:t>2.2在商务评审时，如发现下列情形之一的，将被视为投标无效：</w:t>
      </w:r>
    </w:p>
    <w:p w14:paraId="5891AE26">
      <w:pPr>
        <w:spacing w:line="360" w:lineRule="auto"/>
        <w:ind w:firstLine="420" w:firstLineChars="200"/>
        <w:rPr>
          <w:rFonts w:ascii="宋体" w:hAnsi="宋体" w:cs="宋体"/>
          <w:szCs w:val="21"/>
        </w:rPr>
      </w:pPr>
      <w:r>
        <w:rPr>
          <w:rFonts w:hint="eastAsia" w:ascii="宋体" w:hAnsi="宋体" w:cs="宋体"/>
          <w:szCs w:val="21"/>
        </w:rPr>
        <w:t>（1）投标文件未按招标文件要求签署、盖章的；</w:t>
      </w:r>
    </w:p>
    <w:p w14:paraId="4B8D2A22">
      <w:pPr>
        <w:spacing w:line="360" w:lineRule="auto"/>
        <w:ind w:firstLine="420" w:firstLineChars="200"/>
        <w:rPr>
          <w:rFonts w:ascii="宋体" w:hAnsi="宋体" w:cs="宋体"/>
          <w:szCs w:val="21"/>
        </w:rPr>
      </w:pPr>
      <w:r>
        <w:rPr>
          <w:rFonts w:hint="eastAsia" w:ascii="宋体" w:hAnsi="宋体" w:cs="宋体"/>
          <w:szCs w:val="21"/>
        </w:rPr>
        <w:t xml:space="preserve">（2）委托代理人未能出具有效身份证明或者出具的身份证明与授权委托书中的信息不符的； </w:t>
      </w:r>
    </w:p>
    <w:p w14:paraId="76680892">
      <w:pPr>
        <w:spacing w:line="360" w:lineRule="auto"/>
        <w:ind w:firstLine="420" w:firstLineChars="200"/>
        <w:rPr>
          <w:rFonts w:ascii="宋体" w:hAnsi="宋体" w:cs="宋体"/>
          <w:szCs w:val="21"/>
        </w:rPr>
      </w:pPr>
      <w:r>
        <w:rPr>
          <w:rFonts w:hint="eastAsia" w:ascii="宋体" w:hAnsi="宋体" w:cs="宋体"/>
          <w:szCs w:val="21"/>
        </w:rPr>
        <w:t>（3）投标文件未提供“投标人须知前附表”第13.1条规定中“必须提供”或者“委托时必须提供”的文件资料的；</w:t>
      </w:r>
    </w:p>
    <w:p w14:paraId="4655B284">
      <w:pPr>
        <w:spacing w:line="360" w:lineRule="auto"/>
        <w:ind w:firstLine="420" w:firstLineChars="200"/>
        <w:rPr>
          <w:rFonts w:ascii="宋体" w:hAnsi="宋体" w:cs="宋体"/>
          <w:szCs w:val="21"/>
        </w:rPr>
      </w:pPr>
      <w:r>
        <w:rPr>
          <w:rFonts w:hint="eastAsia" w:ascii="宋体" w:hAnsi="宋体" w:cs="宋体"/>
          <w:szCs w:val="21"/>
        </w:rPr>
        <w:t>（4）投标有效期、项目完成时间（交货时间、服务完成时间或者服务期等）、质保期、售后服务等招标文件中标“▲”的商务条款发生负偏离的；</w:t>
      </w:r>
    </w:p>
    <w:p w14:paraId="70FE5286">
      <w:pPr>
        <w:spacing w:line="360" w:lineRule="auto"/>
        <w:ind w:firstLine="420" w:firstLineChars="200"/>
        <w:rPr>
          <w:rFonts w:ascii="宋体" w:hAnsi="宋体" w:cs="宋体"/>
          <w:szCs w:val="21"/>
        </w:rPr>
      </w:pPr>
      <w:r>
        <w:rPr>
          <w:rFonts w:hint="eastAsia" w:ascii="宋体" w:hAnsi="宋体" w:cs="宋体"/>
          <w:szCs w:val="21"/>
        </w:rPr>
        <w:t>（5）商务条款评审允许负偏离的条款数超过“投标人须知前附表”规定项数的。</w:t>
      </w:r>
    </w:p>
    <w:p w14:paraId="5A994035">
      <w:pPr>
        <w:spacing w:line="360" w:lineRule="auto"/>
        <w:ind w:firstLine="420" w:firstLineChars="200"/>
        <w:rPr>
          <w:rFonts w:ascii="宋体" w:hAnsi="宋体" w:cs="宋体"/>
          <w:szCs w:val="21"/>
        </w:rPr>
      </w:pPr>
      <w:r>
        <w:rPr>
          <w:rFonts w:hint="eastAsia" w:ascii="宋体" w:hAnsi="宋体" w:cs="宋体"/>
          <w:szCs w:val="21"/>
        </w:rPr>
        <w:t>（6）投标文件的实质性内容未使用中文表述、使用计量单位不符合招标文件要求的；</w:t>
      </w:r>
    </w:p>
    <w:p w14:paraId="6348220B">
      <w:pPr>
        <w:spacing w:line="360" w:lineRule="auto"/>
        <w:ind w:firstLine="420" w:firstLineChars="200"/>
        <w:rPr>
          <w:rFonts w:ascii="宋体" w:hAnsi="宋体" w:cs="宋体"/>
          <w:szCs w:val="21"/>
        </w:rPr>
      </w:pPr>
      <w:r>
        <w:rPr>
          <w:rFonts w:hint="eastAsia" w:ascii="宋体" w:hAnsi="宋体" w:cs="宋体"/>
          <w:szCs w:val="21"/>
        </w:rPr>
        <w:t>（7）投标文件中的文件资料因填写不齐全或者内容虚假或者出现其他情形而导致被评标委员会认定无效的；</w:t>
      </w:r>
    </w:p>
    <w:p w14:paraId="1BFD7F00">
      <w:pPr>
        <w:spacing w:line="360" w:lineRule="auto"/>
        <w:ind w:firstLine="420" w:firstLineChars="200"/>
        <w:rPr>
          <w:rFonts w:ascii="宋体" w:hAnsi="宋体" w:cs="宋体"/>
          <w:szCs w:val="21"/>
        </w:rPr>
      </w:pPr>
      <w:r>
        <w:rPr>
          <w:rFonts w:hint="eastAsia" w:ascii="宋体" w:hAnsi="宋体" w:cs="宋体"/>
          <w:szCs w:val="21"/>
        </w:rPr>
        <w:t>（8）投标文件含有采购人不能接受的附加条件的；</w:t>
      </w:r>
    </w:p>
    <w:p w14:paraId="13E6B756">
      <w:pPr>
        <w:spacing w:line="360" w:lineRule="auto"/>
        <w:ind w:firstLine="420" w:firstLineChars="200"/>
        <w:rPr>
          <w:rFonts w:ascii="宋体" w:hAnsi="宋体" w:cs="宋体"/>
          <w:szCs w:val="21"/>
        </w:rPr>
      </w:pPr>
      <w:r>
        <w:rPr>
          <w:rFonts w:hint="eastAsia" w:ascii="宋体" w:hAnsi="宋体" w:cs="宋体"/>
          <w:szCs w:val="21"/>
        </w:rPr>
        <w:t>（9）未响应招标文件实质性要求的；</w:t>
      </w:r>
    </w:p>
    <w:p w14:paraId="62FF5D9C">
      <w:pPr>
        <w:spacing w:line="360" w:lineRule="auto"/>
        <w:ind w:firstLine="420" w:firstLineChars="200"/>
        <w:rPr>
          <w:rFonts w:ascii="宋体" w:hAnsi="宋体" w:cs="宋体"/>
          <w:szCs w:val="21"/>
        </w:rPr>
      </w:pPr>
      <w:r>
        <w:rPr>
          <w:rFonts w:hint="eastAsia" w:ascii="宋体" w:hAnsi="宋体" w:cs="宋体"/>
          <w:szCs w:val="21"/>
        </w:rPr>
        <w:t>（10）属于投标人须知正文第9.2条情形的；</w:t>
      </w:r>
    </w:p>
    <w:p w14:paraId="6B9C8BCD">
      <w:pPr>
        <w:spacing w:line="360" w:lineRule="auto"/>
        <w:ind w:firstLine="420" w:firstLineChars="200"/>
        <w:rPr>
          <w:rFonts w:ascii="宋体" w:hAnsi="宋体" w:cs="宋体"/>
          <w:szCs w:val="21"/>
        </w:rPr>
      </w:pPr>
      <w:r>
        <w:rPr>
          <w:rFonts w:hint="eastAsia" w:ascii="宋体" w:hAnsi="宋体" w:cs="宋体"/>
          <w:szCs w:val="21"/>
        </w:rPr>
        <w:t>（11）</w:t>
      </w:r>
      <w:r>
        <w:rPr>
          <w:rFonts w:hint="eastAsia" w:ascii="宋体" w:hAnsi="宋体"/>
          <w:szCs w:val="21"/>
        </w:rPr>
        <w:t>未按文件要求足额、按时缴纳投标保证金的；</w:t>
      </w:r>
    </w:p>
    <w:p w14:paraId="54AE96C3">
      <w:pPr>
        <w:spacing w:line="360" w:lineRule="auto"/>
        <w:ind w:firstLine="420" w:firstLineChars="200"/>
        <w:rPr>
          <w:rFonts w:ascii="宋体" w:hAnsi="宋体" w:cs="宋体"/>
          <w:szCs w:val="21"/>
        </w:rPr>
      </w:pPr>
      <w:r>
        <w:rPr>
          <w:rFonts w:hint="eastAsia" w:ascii="宋体" w:hAnsi="宋体" w:cs="宋体"/>
          <w:szCs w:val="21"/>
        </w:rPr>
        <w:t>（12）法律、法规和招标文件规定的其他无效情形。</w:t>
      </w:r>
    </w:p>
    <w:p w14:paraId="36E593E4">
      <w:pPr>
        <w:spacing w:line="360" w:lineRule="auto"/>
        <w:ind w:firstLine="420" w:firstLineChars="200"/>
        <w:rPr>
          <w:rFonts w:ascii="宋体" w:hAnsi="宋体" w:cs="宋体"/>
          <w:szCs w:val="21"/>
        </w:rPr>
      </w:pPr>
      <w:r>
        <w:rPr>
          <w:rFonts w:hint="eastAsia" w:ascii="宋体" w:hAnsi="宋体" w:cs="宋体"/>
          <w:szCs w:val="21"/>
        </w:rPr>
        <w:t>2.3在技术评审时，如发现下列情形之一的，将被视为投标无效：</w:t>
      </w:r>
    </w:p>
    <w:p w14:paraId="58D9F987">
      <w:pPr>
        <w:spacing w:line="360" w:lineRule="auto"/>
        <w:ind w:firstLine="420" w:firstLineChars="200"/>
        <w:rPr>
          <w:rFonts w:ascii="宋体" w:hAnsi="宋体" w:cs="宋体"/>
          <w:szCs w:val="21"/>
        </w:rPr>
      </w:pPr>
      <w:r>
        <w:rPr>
          <w:rFonts w:hint="eastAsia" w:ascii="宋体" w:hAnsi="宋体" w:cs="宋体"/>
          <w:szCs w:val="21"/>
        </w:rPr>
        <w:t>（1）不满足招标文件要求的服务内容、技术要求、安全、质量标准，或者与招标文件中标“▲”的技术需求发生负偏离的；</w:t>
      </w:r>
    </w:p>
    <w:p w14:paraId="5C13B1A7">
      <w:pPr>
        <w:spacing w:line="360" w:lineRule="auto"/>
        <w:ind w:firstLine="420" w:firstLineChars="200"/>
        <w:rPr>
          <w:rFonts w:ascii="宋体" w:hAnsi="宋体" w:cs="宋体"/>
          <w:szCs w:val="21"/>
        </w:rPr>
      </w:pPr>
      <w:r>
        <w:rPr>
          <w:rFonts w:hint="eastAsia" w:ascii="宋体" w:hAnsi="宋体" w:cs="宋体"/>
          <w:szCs w:val="21"/>
        </w:rPr>
        <w:t>（2）技术需求评审允许负偏离的条款数超过“投标人须知前附表”规定项数的；</w:t>
      </w:r>
    </w:p>
    <w:p w14:paraId="49FCDE4B">
      <w:pPr>
        <w:spacing w:line="360" w:lineRule="auto"/>
        <w:ind w:firstLine="420" w:firstLineChars="200"/>
        <w:rPr>
          <w:rFonts w:ascii="宋体" w:hAnsi="宋体" w:cs="宋体"/>
          <w:szCs w:val="21"/>
        </w:rPr>
      </w:pPr>
      <w:r>
        <w:rPr>
          <w:rFonts w:hint="eastAsia" w:ascii="宋体" w:hAnsi="宋体" w:cs="宋体"/>
          <w:szCs w:val="21"/>
        </w:rPr>
        <w:t>（3）投标文件未提供“投标人须知前附表”第13.1条规定中“必须提供”的文件资料的;</w:t>
      </w:r>
    </w:p>
    <w:p w14:paraId="1753828A">
      <w:pPr>
        <w:spacing w:line="360" w:lineRule="auto"/>
        <w:ind w:firstLine="420" w:firstLineChars="200"/>
        <w:rPr>
          <w:rFonts w:ascii="宋体" w:hAnsi="宋体" w:cs="宋体"/>
          <w:szCs w:val="21"/>
        </w:rPr>
      </w:pPr>
      <w:r>
        <w:rPr>
          <w:rFonts w:hint="eastAsia" w:ascii="宋体" w:hAnsi="宋体" w:cs="宋体"/>
          <w:szCs w:val="21"/>
        </w:rPr>
        <w:t>（4）虚假投标，或者出现其他情形而导致被评标委员会认定无效的；</w:t>
      </w:r>
    </w:p>
    <w:p w14:paraId="79380796">
      <w:pPr>
        <w:spacing w:line="360" w:lineRule="auto"/>
        <w:ind w:firstLine="420" w:firstLineChars="200"/>
        <w:rPr>
          <w:rFonts w:ascii="宋体" w:hAnsi="宋体" w:cs="宋体"/>
          <w:szCs w:val="21"/>
        </w:rPr>
      </w:pPr>
      <w:r>
        <w:rPr>
          <w:rFonts w:hint="eastAsia" w:ascii="宋体" w:hAnsi="宋体" w:cs="宋体"/>
          <w:szCs w:val="21"/>
        </w:rPr>
        <w:t>（5）如招标文件需要提供技术方案的，投标技术方案不明确，招标文件未允许但存在一个或者一个以上备选（替代）投标方案的。</w:t>
      </w:r>
    </w:p>
    <w:p w14:paraId="6A6631F2">
      <w:pPr>
        <w:spacing w:line="360" w:lineRule="auto"/>
        <w:ind w:firstLine="422" w:firstLineChars="200"/>
        <w:outlineLvl w:val="2"/>
        <w:rPr>
          <w:rFonts w:ascii="宋体" w:hAnsi="宋体" w:cs="宋体"/>
          <w:b/>
          <w:szCs w:val="21"/>
        </w:rPr>
      </w:pPr>
      <w:bookmarkStart w:id="298" w:name="_Toc27361"/>
      <w:bookmarkStart w:id="299" w:name="_Toc19831"/>
      <w:bookmarkStart w:id="300" w:name="_Toc20374"/>
      <w:r>
        <w:rPr>
          <w:rFonts w:hint="eastAsia" w:ascii="宋体" w:hAnsi="宋体" w:cs="宋体"/>
          <w:b/>
          <w:szCs w:val="21"/>
        </w:rPr>
        <w:t>3.澄清补正、说明或者补正</w:t>
      </w:r>
      <w:bookmarkEnd w:id="298"/>
      <w:bookmarkEnd w:id="299"/>
      <w:bookmarkEnd w:id="300"/>
    </w:p>
    <w:p w14:paraId="7FA15CB2">
      <w:pPr>
        <w:spacing w:line="360" w:lineRule="auto"/>
        <w:ind w:firstLine="420" w:firstLineChars="200"/>
        <w:rPr>
          <w:rFonts w:ascii="宋体" w:hAnsi="宋体" w:cs="宋体"/>
          <w:szCs w:val="21"/>
        </w:rPr>
      </w:pPr>
      <w:r>
        <w:rPr>
          <w:rFonts w:hint="eastAsia" w:ascii="宋体" w:hAnsi="宋体" w:cs="宋体"/>
          <w:szCs w:val="21"/>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46E56763">
      <w:pPr>
        <w:spacing w:line="360" w:lineRule="auto"/>
        <w:ind w:firstLine="420" w:firstLineChars="200"/>
        <w:rPr>
          <w:rFonts w:ascii="宋体" w:hAnsi="宋体" w:cs="宋体"/>
          <w:szCs w:val="21"/>
        </w:rPr>
      </w:pPr>
      <w:r>
        <w:rPr>
          <w:rFonts w:hint="eastAsia" w:ascii="宋体" w:hAnsi="宋体" w:cs="宋体"/>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639F66AD">
      <w:pPr>
        <w:spacing w:line="360" w:lineRule="auto"/>
        <w:ind w:firstLine="422" w:firstLineChars="200"/>
        <w:outlineLvl w:val="2"/>
        <w:rPr>
          <w:rFonts w:ascii="宋体" w:hAnsi="宋体" w:cs="宋体"/>
          <w:b/>
          <w:szCs w:val="21"/>
        </w:rPr>
      </w:pPr>
      <w:bookmarkStart w:id="301" w:name="_Toc3171"/>
      <w:bookmarkStart w:id="302" w:name="_Toc7260"/>
      <w:bookmarkStart w:id="303" w:name="_Toc2049"/>
      <w:r>
        <w:rPr>
          <w:rFonts w:hint="eastAsia" w:ascii="宋体" w:hAnsi="宋体" w:cs="宋体"/>
          <w:b/>
          <w:szCs w:val="21"/>
        </w:rPr>
        <w:t>4.投标文件修正</w:t>
      </w:r>
      <w:bookmarkEnd w:id="301"/>
      <w:bookmarkEnd w:id="302"/>
      <w:bookmarkEnd w:id="303"/>
    </w:p>
    <w:p w14:paraId="7922F538">
      <w:pPr>
        <w:spacing w:line="360" w:lineRule="auto"/>
        <w:ind w:firstLine="420" w:firstLineChars="200"/>
        <w:rPr>
          <w:rFonts w:ascii="宋体" w:hAnsi="宋体" w:cs="宋体"/>
          <w:szCs w:val="21"/>
        </w:rPr>
      </w:pPr>
      <w:r>
        <w:rPr>
          <w:rFonts w:hint="eastAsia" w:ascii="宋体" w:hAnsi="宋体" w:cs="宋体"/>
          <w:szCs w:val="21"/>
        </w:rPr>
        <w:t xml:space="preserve">4.1投标文件报价出现前后不一致的，按照下列规定修正： </w:t>
      </w:r>
    </w:p>
    <w:p w14:paraId="5598BF91">
      <w:pPr>
        <w:spacing w:line="360" w:lineRule="auto"/>
        <w:ind w:firstLine="420" w:firstLineChars="200"/>
        <w:rPr>
          <w:rFonts w:ascii="宋体" w:hAnsi="宋体" w:cs="宋体"/>
        </w:rPr>
      </w:pPr>
      <w:r>
        <w:rPr>
          <w:rFonts w:hint="eastAsia" w:ascii="宋体" w:hAnsi="宋体" w:cs="宋体"/>
        </w:rPr>
        <w:t>（1）报价文件中“开标一览表”内容与投标文件中相应内容不一致的，以“开标一览表”为准；</w:t>
      </w:r>
    </w:p>
    <w:p w14:paraId="057397DC">
      <w:pPr>
        <w:spacing w:line="360" w:lineRule="auto"/>
        <w:ind w:firstLine="420" w:firstLineChars="200"/>
        <w:rPr>
          <w:rFonts w:ascii="宋体" w:hAnsi="宋体" w:cs="宋体"/>
        </w:rPr>
      </w:pPr>
      <w:r>
        <w:rPr>
          <w:rFonts w:hint="eastAsia" w:ascii="宋体" w:hAnsi="宋体" w:cs="宋体"/>
        </w:rPr>
        <w:t>（2）大写金额和小写金额不一致的，以大写金额为准；</w:t>
      </w:r>
    </w:p>
    <w:p w14:paraId="235759E5">
      <w:pPr>
        <w:spacing w:line="360" w:lineRule="auto"/>
        <w:ind w:firstLine="420" w:firstLineChars="200"/>
        <w:rPr>
          <w:rFonts w:ascii="宋体" w:hAnsi="宋体" w:cs="宋体"/>
        </w:rPr>
      </w:pPr>
      <w:r>
        <w:rPr>
          <w:rFonts w:hint="eastAsia" w:ascii="宋体" w:hAnsi="宋体" w:cs="宋体"/>
        </w:rPr>
        <w:t>（3）单价金额小数点或者百分比有明显错位的，以开标一览表的总价为准，并修改单价；</w:t>
      </w:r>
    </w:p>
    <w:p w14:paraId="1CEE1FF2">
      <w:pPr>
        <w:spacing w:line="360" w:lineRule="auto"/>
        <w:ind w:firstLine="420" w:firstLineChars="200"/>
        <w:rPr>
          <w:rFonts w:ascii="宋体" w:hAnsi="宋体" w:cs="宋体"/>
        </w:rPr>
      </w:pPr>
      <w:r>
        <w:rPr>
          <w:rFonts w:hint="eastAsia" w:ascii="宋体" w:hAnsi="宋体" w:cs="宋体"/>
        </w:rPr>
        <w:t>（4）总价金额与按单价汇总金额不一致的，以单价金额计算结果为准。</w:t>
      </w:r>
    </w:p>
    <w:p w14:paraId="6535DA3D">
      <w:pPr>
        <w:spacing w:line="360" w:lineRule="auto"/>
        <w:ind w:firstLine="420" w:firstLineChars="200"/>
        <w:rPr>
          <w:rFonts w:ascii="宋体" w:hAnsi="宋体" w:cs="宋体"/>
        </w:rPr>
      </w:pPr>
      <w:r>
        <w:rPr>
          <w:rFonts w:hint="eastAsia" w:ascii="宋体" w:hAnsi="宋体" w:cs="宋体"/>
        </w:rPr>
        <w:t>同时出现两种以上不一致的，按照以上（1）-（4）规定的顺序修正。修正后的报价经投标人确认后产生约束力，投标人不确认的，其投标无效。</w:t>
      </w:r>
    </w:p>
    <w:p w14:paraId="0C4EFB08">
      <w:pPr>
        <w:spacing w:line="360" w:lineRule="auto"/>
        <w:ind w:firstLine="420" w:firstLineChars="200"/>
        <w:rPr>
          <w:rFonts w:ascii="宋体" w:hAnsi="宋体" w:cs="宋体"/>
          <w:szCs w:val="21"/>
        </w:rPr>
      </w:pPr>
      <w:r>
        <w:rPr>
          <w:rFonts w:hint="eastAsia" w:ascii="宋体" w:hAnsi="宋体" w:cs="宋体"/>
          <w:szCs w:val="21"/>
        </w:rPr>
        <w:t>4.2经投标人确认修正后的报价若超过采购预算金额或者最高限价，投标人的投标文件作无效投标处理。</w:t>
      </w:r>
    </w:p>
    <w:p w14:paraId="4FB61C0D">
      <w:pPr>
        <w:spacing w:line="360" w:lineRule="auto"/>
        <w:ind w:firstLine="420" w:firstLineChars="200"/>
        <w:rPr>
          <w:rFonts w:ascii="宋体" w:hAnsi="宋体" w:cs="宋体"/>
          <w:szCs w:val="21"/>
        </w:rPr>
      </w:pPr>
      <w:r>
        <w:rPr>
          <w:rFonts w:hint="eastAsia" w:ascii="宋体" w:hAnsi="宋体" w:cs="宋体"/>
          <w:szCs w:val="21"/>
        </w:rPr>
        <w:t>4.3经投标人确认修正后的报价作为签订合同的依据，并以此报价计算价格分。</w:t>
      </w:r>
    </w:p>
    <w:p w14:paraId="246DF7DD">
      <w:pPr>
        <w:spacing w:line="360" w:lineRule="auto"/>
        <w:ind w:firstLine="420" w:firstLineChars="200"/>
        <w:outlineLvl w:val="2"/>
        <w:rPr>
          <w:rFonts w:ascii="宋体" w:hAnsi="宋体" w:cs="宋体"/>
          <w:szCs w:val="21"/>
        </w:rPr>
      </w:pPr>
      <w:bookmarkStart w:id="304" w:name="_Toc799"/>
      <w:bookmarkStart w:id="305" w:name="_Toc232"/>
      <w:bookmarkStart w:id="306" w:name="_Toc19843"/>
      <w:r>
        <w:rPr>
          <w:rFonts w:hint="eastAsia" w:ascii="宋体" w:hAnsi="宋体" w:cs="宋体"/>
          <w:szCs w:val="21"/>
        </w:rPr>
        <w:t>5.比较与评价</w:t>
      </w:r>
      <w:bookmarkEnd w:id="304"/>
      <w:bookmarkEnd w:id="305"/>
      <w:bookmarkEnd w:id="306"/>
    </w:p>
    <w:p w14:paraId="469F0757">
      <w:pPr>
        <w:spacing w:line="360" w:lineRule="auto"/>
        <w:ind w:firstLine="420" w:firstLineChars="200"/>
        <w:rPr>
          <w:rFonts w:ascii="宋体" w:hAnsi="宋体" w:cs="宋体"/>
        </w:rPr>
      </w:pPr>
      <w:r>
        <w:rPr>
          <w:rFonts w:hint="eastAsia" w:ascii="宋体" w:hAnsi="宋体" w:cs="宋体"/>
        </w:rPr>
        <w:t>（1）评标委员会按照招标文件中规定的评标方法和评标标准，对符合性审查合格的投标文件进行商务和技术评估，综合比较与评价。</w:t>
      </w:r>
    </w:p>
    <w:p w14:paraId="64F11172">
      <w:pPr>
        <w:spacing w:line="360" w:lineRule="auto"/>
        <w:ind w:firstLine="420" w:firstLineChars="200"/>
        <w:rPr>
          <w:rFonts w:ascii="宋体" w:hAnsi="宋体" w:cs="宋体"/>
        </w:rPr>
      </w:pPr>
      <w:r>
        <w:rPr>
          <w:rFonts w:hint="eastAsia" w:ascii="宋体" w:hAnsi="宋体" w:cs="宋体"/>
        </w:rPr>
        <w:t>（2）评标委员会独立对每个投标人的投标文件进行评价，并汇总每个投标人的得分。</w:t>
      </w:r>
    </w:p>
    <w:p w14:paraId="5D42E3B9">
      <w:pPr>
        <w:spacing w:line="360" w:lineRule="auto"/>
        <w:ind w:firstLine="420" w:firstLineChars="200"/>
        <w:rPr>
          <w:rFonts w:ascii="宋体" w:hAnsi="宋体" w:cs="宋体"/>
        </w:rPr>
      </w:pPr>
      <w:r>
        <w:rPr>
          <w:rFonts w:hint="eastAsia" w:ascii="宋体" w:hAnsi="宋体" w:cs="宋体"/>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334E249B">
      <w:pPr>
        <w:spacing w:line="360" w:lineRule="auto"/>
        <w:ind w:firstLine="420" w:firstLineChars="200"/>
        <w:rPr>
          <w:rFonts w:ascii="宋体" w:hAnsi="宋体" w:cs="宋体"/>
        </w:rPr>
      </w:pPr>
      <w:r>
        <w:rPr>
          <w:rFonts w:hint="eastAsia" w:ascii="宋体" w:hAnsi="宋体" w:cs="宋体"/>
        </w:rPr>
        <w:t>（3）评标委员会按照招标文件中规定的评标方法和标准计算各投标人的报价得分。在计算过程中，不得去掉最高报价或者最低报价。</w:t>
      </w:r>
    </w:p>
    <w:p w14:paraId="4DDB777C">
      <w:pPr>
        <w:spacing w:line="360" w:lineRule="auto"/>
        <w:ind w:firstLine="420" w:firstLineChars="200"/>
        <w:rPr>
          <w:rFonts w:ascii="宋体" w:hAnsi="宋体" w:cs="宋体"/>
        </w:rPr>
      </w:pPr>
      <w:r>
        <w:rPr>
          <w:rFonts w:hint="eastAsia" w:ascii="宋体" w:hAnsi="宋体" w:cs="宋体"/>
        </w:rPr>
        <w:t>（4）各投标人的得分为所有评委的有效评分的算术平均数。</w:t>
      </w:r>
    </w:p>
    <w:p w14:paraId="51BBC24C">
      <w:pPr>
        <w:spacing w:line="360" w:lineRule="auto"/>
        <w:ind w:firstLine="420" w:firstLineChars="200"/>
        <w:rPr>
          <w:rFonts w:ascii="宋体" w:hAnsi="宋体" w:cs="宋体"/>
        </w:rPr>
      </w:pPr>
      <w:r>
        <w:rPr>
          <w:rFonts w:hint="eastAsia" w:ascii="宋体" w:hAnsi="宋体" w:cs="宋体"/>
        </w:rPr>
        <w:t>（5）评标委员会按照招标文件中的规定推荐中标候选人。</w:t>
      </w:r>
    </w:p>
    <w:p w14:paraId="652576CF">
      <w:pPr>
        <w:spacing w:line="360" w:lineRule="auto"/>
        <w:ind w:firstLine="420" w:firstLineChars="200"/>
        <w:rPr>
          <w:rFonts w:ascii="宋体" w:hAnsi="宋体" w:cs="宋体"/>
        </w:rPr>
      </w:pPr>
      <w:r>
        <w:rPr>
          <w:rFonts w:hint="eastAsia" w:ascii="宋体" w:hAnsi="宋体" w:cs="宋体"/>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35262669">
      <w:pPr>
        <w:spacing w:line="360" w:lineRule="auto"/>
        <w:jc w:val="center"/>
      </w:pPr>
      <w:bookmarkStart w:id="307" w:name="_Toc14814"/>
    </w:p>
    <w:p w14:paraId="27688D85">
      <w:pPr>
        <w:spacing w:line="360" w:lineRule="auto"/>
        <w:jc w:val="center"/>
        <w:sectPr>
          <w:pgSz w:w="11906" w:h="16838"/>
          <w:pgMar w:top="1354" w:right="1312" w:bottom="1404" w:left="1354" w:header="720" w:footer="720" w:gutter="0"/>
          <w:cols w:space="720" w:num="1"/>
          <w:docGrid w:type="lines" w:linePitch="331" w:charSpace="0"/>
        </w:sectPr>
      </w:pPr>
      <w:r>
        <w:rPr>
          <w:rFonts w:hint="eastAsia"/>
        </w:rPr>
        <w:t xml:space="preserve"> </w:t>
      </w:r>
    </w:p>
    <w:p w14:paraId="0B62CE38">
      <w:pPr>
        <w:pStyle w:val="5"/>
        <w:spacing w:before="0" w:after="0" w:line="360" w:lineRule="auto"/>
        <w:jc w:val="center"/>
        <w:rPr>
          <w:rFonts w:ascii="宋体" w:hAnsi="宋体" w:eastAsia="宋体" w:cs="宋体"/>
          <w:bCs w:val="0"/>
        </w:rPr>
      </w:pPr>
      <w:bookmarkStart w:id="308" w:name="_Toc15259"/>
      <w:bookmarkStart w:id="309" w:name="_Toc12971"/>
      <w:bookmarkStart w:id="310" w:name="_Toc11383"/>
      <w:r>
        <w:rPr>
          <w:rFonts w:hint="eastAsia" w:ascii="宋体" w:hAnsi="宋体" w:eastAsia="宋体" w:cs="宋体"/>
          <w:bCs w:val="0"/>
        </w:rPr>
        <w:t>第三节 评分标准</w:t>
      </w:r>
      <w:bookmarkEnd w:id="307"/>
      <w:bookmarkEnd w:id="308"/>
      <w:bookmarkEnd w:id="309"/>
      <w:bookmarkEnd w:id="310"/>
    </w:p>
    <w:p w14:paraId="2A7426AB">
      <w:pPr>
        <w:spacing w:line="360" w:lineRule="auto"/>
        <w:ind w:firstLine="420"/>
        <w:rPr>
          <w:rFonts w:ascii="宋体" w:hAnsi="宋体" w:cs="宋体"/>
          <w:bCs/>
          <w:szCs w:val="20"/>
        </w:rPr>
      </w:pPr>
      <w:bookmarkStart w:id="311" w:name="_Toc20805"/>
      <w:bookmarkStart w:id="312" w:name="_Toc32608"/>
      <w:r>
        <w:rPr>
          <w:rFonts w:hint="eastAsia" w:ascii="宋体" w:hAnsi="宋体" w:cs="宋体"/>
          <w:bCs/>
          <w:szCs w:val="20"/>
        </w:rPr>
        <w:t>注：计分方法按四舍五入取至百分位。</w:t>
      </w:r>
    </w:p>
    <w:tbl>
      <w:tblPr>
        <w:tblStyle w:val="37"/>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276"/>
        <w:gridCol w:w="716"/>
        <w:gridCol w:w="1557"/>
        <w:gridCol w:w="5405"/>
      </w:tblGrid>
      <w:tr w14:paraId="3CBAE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4" w:type="dxa"/>
            <w:vAlign w:val="center"/>
          </w:tcPr>
          <w:p w14:paraId="503B06FA">
            <w:pPr>
              <w:adjustRightInd w:val="0"/>
              <w:spacing w:line="410" w:lineRule="exact"/>
              <w:jc w:val="center"/>
              <w:textAlignment w:val="baseline"/>
              <w:rPr>
                <w:rFonts w:ascii="宋体" w:hAnsi="宋体" w:cs="宋体"/>
                <w:b/>
                <w:szCs w:val="21"/>
              </w:rPr>
            </w:pPr>
            <w:r>
              <w:rPr>
                <w:rFonts w:hint="eastAsia" w:ascii="宋体" w:hAnsi="宋体" w:cs="宋体"/>
                <w:b/>
                <w:szCs w:val="21"/>
              </w:rPr>
              <w:t>序号</w:t>
            </w:r>
          </w:p>
        </w:tc>
        <w:tc>
          <w:tcPr>
            <w:tcW w:w="1276" w:type="dxa"/>
            <w:vAlign w:val="center"/>
          </w:tcPr>
          <w:p w14:paraId="3B4C98B4">
            <w:pPr>
              <w:adjustRightInd w:val="0"/>
              <w:spacing w:line="410" w:lineRule="exact"/>
              <w:jc w:val="center"/>
              <w:textAlignment w:val="baseline"/>
              <w:rPr>
                <w:rFonts w:ascii="宋体" w:hAnsi="宋体" w:cs="宋体"/>
                <w:szCs w:val="21"/>
              </w:rPr>
            </w:pPr>
            <w:r>
              <w:rPr>
                <w:rFonts w:hint="eastAsia" w:ascii="宋体" w:hAnsi="宋体" w:cs="宋体"/>
                <w:b/>
                <w:szCs w:val="21"/>
              </w:rPr>
              <w:t>评审因素</w:t>
            </w:r>
          </w:p>
        </w:tc>
        <w:tc>
          <w:tcPr>
            <w:tcW w:w="716" w:type="dxa"/>
            <w:vAlign w:val="center"/>
          </w:tcPr>
          <w:p w14:paraId="0F560286">
            <w:pPr>
              <w:adjustRightInd w:val="0"/>
              <w:spacing w:line="410" w:lineRule="exact"/>
              <w:jc w:val="center"/>
              <w:textAlignment w:val="baseline"/>
              <w:rPr>
                <w:rFonts w:ascii="宋体" w:hAnsi="宋体" w:cs="宋体"/>
                <w:b/>
                <w:szCs w:val="21"/>
              </w:rPr>
            </w:pPr>
            <w:r>
              <w:rPr>
                <w:rFonts w:hint="eastAsia" w:ascii="宋体" w:hAnsi="宋体" w:cs="宋体"/>
                <w:b/>
                <w:szCs w:val="21"/>
              </w:rPr>
              <w:t>分值</w:t>
            </w:r>
          </w:p>
        </w:tc>
        <w:tc>
          <w:tcPr>
            <w:tcW w:w="6962" w:type="dxa"/>
            <w:gridSpan w:val="2"/>
            <w:vAlign w:val="center"/>
          </w:tcPr>
          <w:p w14:paraId="36BC17A4">
            <w:pPr>
              <w:adjustRightInd w:val="0"/>
              <w:spacing w:line="410" w:lineRule="exact"/>
              <w:jc w:val="center"/>
              <w:textAlignment w:val="baseline"/>
              <w:rPr>
                <w:rFonts w:ascii="宋体" w:hAnsi="宋体" w:cs="宋体"/>
                <w:b/>
                <w:szCs w:val="21"/>
              </w:rPr>
            </w:pPr>
            <w:r>
              <w:rPr>
                <w:rFonts w:hint="eastAsia" w:ascii="宋体" w:hAnsi="宋体" w:cs="宋体"/>
                <w:b/>
                <w:szCs w:val="21"/>
              </w:rPr>
              <w:t>评标标准</w:t>
            </w:r>
          </w:p>
        </w:tc>
      </w:tr>
      <w:tr w14:paraId="4AD16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4" w:type="dxa"/>
            <w:vAlign w:val="center"/>
          </w:tcPr>
          <w:p w14:paraId="432C0C25">
            <w:pPr>
              <w:adjustRightInd w:val="0"/>
              <w:spacing w:line="360" w:lineRule="auto"/>
              <w:jc w:val="center"/>
              <w:textAlignment w:val="baseline"/>
              <w:rPr>
                <w:rFonts w:ascii="宋体" w:hAnsi="宋体" w:cs="宋体"/>
                <w:b/>
                <w:szCs w:val="21"/>
              </w:rPr>
            </w:pPr>
            <w:r>
              <w:rPr>
                <w:rFonts w:hint="eastAsia" w:ascii="宋体" w:hAnsi="宋体" w:cs="宋体"/>
                <w:b/>
                <w:szCs w:val="21"/>
              </w:rPr>
              <w:t>1</w:t>
            </w:r>
          </w:p>
        </w:tc>
        <w:tc>
          <w:tcPr>
            <w:tcW w:w="1276" w:type="dxa"/>
            <w:vAlign w:val="center"/>
          </w:tcPr>
          <w:p w14:paraId="4FCB1C80">
            <w:pPr>
              <w:adjustRightInd w:val="0"/>
              <w:spacing w:line="360" w:lineRule="auto"/>
              <w:jc w:val="center"/>
              <w:textAlignment w:val="baseline"/>
              <w:rPr>
                <w:rFonts w:ascii="宋体" w:hAnsi="宋体" w:cs="宋体"/>
                <w:b/>
                <w:szCs w:val="21"/>
              </w:rPr>
            </w:pPr>
            <w:r>
              <w:rPr>
                <w:rFonts w:hint="eastAsia" w:ascii="宋体" w:hAnsi="宋体" w:cs="宋体"/>
                <w:b/>
                <w:szCs w:val="21"/>
              </w:rPr>
              <w:t>投标报价</w:t>
            </w:r>
          </w:p>
        </w:tc>
        <w:tc>
          <w:tcPr>
            <w:tcW w:w="716" w:type="dxa"/>
            <w:vAlign w:val="center"/>
          </w:tcPr>
          <w:p w14:paraId="1B789433">
            <w:pPr>
              <w:adjustRightInd w:val="0"/>
              <w:spacing w:line="360" w:lineRule="auto"/>
              <w:jc w:val="center"/>
              <w:textAlignment w:val="baseline"/>
              <w:rPr>
                <w:rFonts w:ascii="宋体" w:hAnsi="宋体" w:cs="宋体"/>
                <w:b/>
                <w:szCs w:val="21"/>
              </w:rPr>
            </w:pPr>
            <w:r>
              <w:rPr>
                <w:rFonts w:hint="eastAsia" w:ascii="宋体" w:hAnsi="宋体" w:cs="宋体"/>
                <w:b/>
                <w:szCs w:val="21"/>
              </w:rPr>
              <w:t>30分</w:t>
            </w:r>
          </w:p>
        </w:tc>
        <w:tc>
          <w:tcPr>
            <w:tcW w:w="6962" w:type="dxa"/>
            <w:gridSpan w:val="2"/>
            <w:vAlign w:val="center"/>
          </w:tcPr>
          <w:p w14:paraId="09075A6D">
            <w:pPr>
              <w:spacing w:line="360" w:lineRule="auto"/>
              <w:rPr>
                <w:rFonts w:ascii="宋体" w:hAnsi="宋体" w:cs="宋体"/>
                <w:b/>
                <w:kern w:val="0"/>
                <w:szCs w:val="21"/>
              </w:rPr>
            </w:pPr>
            <w:bookmarkStart w:id="313" w:name="OLE_LINK71"/>
            <w:r>
              <w:rPr>
                <w:rFonts w:hint="eastAsia" w:ascii="宋体" w:hAnsi="宋体" w:cs="宋体"/>
                <w:b/>
                <w:kern w:val="0"/>
                <w:szCs w:val="21"/>
              </w:rPr>
              <w:t>B、C、D、F、E分标</w:t>
            </w:r>
            <w:bookmarkEnd w:id="313"/>
            <w:r>
              <w:rPr>
                <w:rFonts w:hint="eastAsia" w:ascii="宋体" w:hAnsi="宋体" w:cs="宋体"/>
                <w:b/>
                <w:kern w:val="0"/>
                <w:szCs w:val="21"/>
              </w:rPr>
              <w:t>：</w:t>
            </w:r>
          </w:p>
          <w:p w14:paraId="64036A40">
            <w:pPr>
              <w:spacing w:line="360" w:lineRule="auto"/>
              <w:rPr>
                <w:rFonts w:ascii="宋体" w:hAnsi="宋体" w:cs="宋体"/>
                <w:bCs/>
                <w:kern w:val="0"/>
                <w:szCs w:val="21"/>
              </w:rPr>
            </w:pPr>
            <w:r>
              <w:rPr>
                <w:rFonts w:hint="eastAsia" w:ascii="宋体" w:hAnsi="宋体" w:cs="宋体"/>
                <w:bCs/>
                <w:kern w:val="0"/>
                <w:szCs w:val="21"/>
              </w:rPr>
              <w:t>（一）本项目为专门面向中小企业的项目，不执行价格分扣除的相关政策。</w:t>
            </w:r>
          </w:p>
          <w:p w14:paraId="285B098F">
            <w:pPr>
              <w:spacing w:line="360" w:lineRule="auto"/>
              <w:rPr>
                <w:rFonts w:ascii="宋体" w:hAnsi="宋体" w:cs="宋体"/>
                <w:bCs/>
                <w:kern w:val="0"/>
                <w:szCs w:val="21"/>
              </w:rPr>
            </w:pPr>
            <w:r>
              <w:rPr>
                <w:rFonts w:hint="eastAsia" w:ascii="宋体" w:hAnsi="宋体" w:cs="宋体"/>
                <w:bCs/>
                <w:kern w:val="0"/>
                <w:szCs w:val="21"/>
              </w:rPr>
              <w:t>（二）投标报价分采用低价优先法计算，满足招标文件要求且投标报价最低的有效投标人的报价为评标基准价，其投标报价分为满分。</w:t>
            </w:r>
          </w:p>
          <w:p w14:paraId="5C0B8B39">
            <w:pPr>
              <w:spacing w:line="360" w:lineRule="auto"/>
              <w:rPr>
                <w:rFonts w:ascii="宋体" w:hAnsi="宋体" w:cs="宋体"/>
                <w:bCs/>
                <w:kern w:val="0"/>
                <w:szCs w:val="21"/>
              </w:rPr>
            </w:pPr>
            <w:r>
              <w:rPr>
                <w:rFonts w:hint="eastAsia" w:ascii="宋体" w:hAnsi="宋体" w:cs="宋体"/>
                <w:bCs/>
                <w:kern w:val="0"/>
                <w:szCs w:val="21"/>
              </w:rPr>
              <w:t>（三）其他投标人的价格分统一按照下列公式计算：</w:t>
            </w:r>
          </w:p>
          <w:p w14:paraId="5D696B3F">
            <w:pPr>
              <w:spacing w:line="360" w:lineRule="auto"/>
              <w:rPr>
                <w:rFonts w:ascii="宋体" w:hAnsi="宋体" w:cs="宋体"/>
                <w:bCs/>
                <w:kern w:val="0"/>
                <w:szCs w:val="21"/>
              </w:rPr>
            </w:pPr>
            <w:r>
              <w:rPr>
                <w:rFonts w:hint="eastAsia" w:ascii="宋体" w:hAnsi="宋体" w:cs="宋体"/>
                <w:bCs/>
                <w:kern w:val="0"/>
                <w:szCs w:val="21"/>
              </w:rPr>
              <w:t>某有效投标人的投标报价分=（</w:t>
            </w:r>
            <w:r>
              <w:rPr>
                <w:rFonts w:hint="eastAsia" w:ascii="宋体" w:hAnsi="宋体"/>
                <w:szCs w:val="21"/>
              </w:rPr>
              <w:t>评标基准价/某有效投标人的投标报价（折扣系数）</w:t>
            </w:r>
            <w:r>
              <w:rPr>
                <w:rFonts w:hint="eastAsia" w:ascii="宋体" w:hAnsi="宋体" w:cs="宋体"/>
                <w:bCs/>
                <w:kern w:val="0"/>
                <w:szCs w:val="21"/>
              </w:rPr>
              <w:t>）×30分；</w:t>
            </w:r>
          </w:p>
          <w:p w14:paraId="782781BC">
            <w:pPr>
              <w:spacing w:line="360" w:lineRule="auto"/>
              <w:rPr>
                <w:rFonts w:ascii="宋体" w:hAnsi="宋体" w:cs="宋体"/>
                <w:b/>
                <w:kern w:val="0"/>
                <w:szCs w:val="21"/>
              </w:rPr>
            </w:pPr>
            <w:r>
              <w:rPr>
                <w:rFonts w:hint="eastAsia" w:ascii="宋体" w:hAnsi="宋体" w:cs="宋体"/>
                <w:b/>
                <w:kern w:val="0"/>
                <w:szCs w:val="21"/>
              </w:rPr>
              <w:t>A、G分标：</w:t>
            </w:r>
          </w:p>
          <w:p w14:paraId="6B2CF828">
            <w:pPr>
              <w:spacing w:line="360" w:lineRule="auto"/>
              <w:rPr>
                <w:rFonts w:ascii="宋体" w:hAnsi="宋体"/>
                <w:szCs w:val="21"/>
              </w:rPr>
            </w:pPr>
            <w:r>
              <w:rPr>
                <w:rFonts w:hint="eastAsia" w:ascii="宋体" w:hAnsi="宋体"/>
                <w:szCs w:val="21"/>
              </w:rPr>
              <w:t>（一）评标基准价为投标人的最后报价进行政策性扣除后的价格，评标基准价只是作为评审时使用。最终中标人的中标金额等于最后报价（如有修正，以确认修正后的最后报价为准）。</w:t>
            </w:r>
          </w:p>
          <w:p w14:paraId="2668DD69">
            <w:pPr>
              <w:spacing w:line="360" w:lineRule="auto"/>
              <w:rPr>
                <w:rFonts w:ascii="宋体" w:hAnsi="宋体"/>
                <w:szCs w:val="21"/>
              </w:rPr>
            </w:pPr>
            <w:r>
              <w:rPr>
                <w:rFonts w:hint="eastAsia" w:ascii="宋体" w:hAnsi="宋体"/>
                <w:szCs w:val="21"/>
              </w:rPr>
              <w:t>（二）政府采购政策性扣除计算方法</w:t>
            </w:r>
          </w:p>
          <w:p w14:paraId="6B29F98E">
            <w:pPr>
              <w:spacing w:line="360" w:lineRule="auto"/>
              <w:rPr>
                <w:rFonts w:ascii="宋体" w:hAnsi="宋体"/>
                <w:szCs w:val="21"/>
              </w:rPr>
            </w:pPr>
            <w:r>
              <w:rPr>
                <w:rFonts w:hint="eastAsia" w:ascii="宋体" w:hAnsi="宋体"/>
                <w:szCs w:val="21"/>
              </w:rPr>
              <w:t>根据《政府采购促进中小企业发展管理办法》（财库〔2020〕46号）以及《广西壮族自治区财政厅关于贯彻落实政府采购支持中小企业发展政策的通知》（桂财采[2022]31号）的规定，供应商在其响应文件中提供《中小企业声明函》，投标产品全部由《政府采购促进中小企业发展管理办法》规定的小微企业制造的，对供应商的折扣系数报价给予20%的扣除，扣除后的价格为评标基准价，即评标基准价=折扣系数报价×（1-20%）。除上述情况外，评标基准价=折扣系数报价。</w:t>
            </w:r>
          </w:p>
          <w:p w14:paraId="568EE26E">
            <w:pPr>
              <w:spacing w:line="360" w:lineRule="auto"/>
              <w:rPr>
                <w:rFonts w:ascii="宋体" w:hAnsi="宋体"/>
                <w:szCs w:val="21"/>
              </w:rPr>
            </w:pPr>
            <w:r>
              <w:rPr>
                <w:rFonts w:hint="eastAsia" w:ascii="宋体" w:hAnsi="宋体"/>
                <w:szCs w:val="21"/>
              </w:rPr>
              <w:t>（三）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24198EA4">
            <w:pPr>
              <w:spacing w:line="360" w:lineRule="auto"/>
              <w:rPr>
                <w:rFonts w:ascii="宋体" w:hAnsi="宋体"/>
                <w:szCs w:val="21"/>
              </w:rPr>
            </w:pPr>
            <w:r>
              <w:rPr>
                <w:rFonts w:hint="eastAsia" w:ascii="宋体" w:hAnsi="宋体"/>
                <w:szCs w:val="21"/>
              </w:rPr>
              <w:t>（四）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77E0542">
            <w:pPr>
              <w:spacing w:line="360" w:lineRule="auto"/>
              <w:rPr>
                <w:rFonts w:ascii="宋体" w:hAnsi="宋体"/>
                <w:szCs w:val="21"/>
              </w:rPr>
            </w:pPr>
            <w:r>
              <w:rPr>
                <w:rFonts w:hint="eastAsia" w:ascii="宋体" w:hAnsi="宋体" w:cs="宋体"/>
                <w:szCs w:val="21"/>
              </w:rPr>
              <w:t>（五）</w:t>
            </w:r>
            <w:r>
              <w:rPr>
                <w:rFonts w:hint="eastAsia" w:ascii="宋体" w:hAnsi="宋体"/>
                <w:szCs w:val="21"/>
              </w:rPr>
              <w:t>以进入详评的最低的投标报价为30分。</w:t>
            </w:r>
          </w:p>
          <w:p w14:paraId="09AEA564">
            <w:pPr>
              <w:spacing w:line="360" w:lineRule="auto"/>
              <w:rPr>
                <w:rFonts w:ascii="宋体" w:hAnsi="宋体" w:cs="宋体"/>
                <w:bCs/>
                <w:kern w:val="0"/>
                <w:szCs w:val="21"/>
              </w:rPr>
            </w:pPr>
            <w:r>
              <w:rPr>
                <w:rFonts w:hint="eastAsia" w:ascii="宋体" w:hAnsi="宋体"/>
                <w:szCs w:val="21"/>
              </w:rPr>
              <w:t>（六）某有效投标人价格分＝（评标基准价/某有效投标人的投标报价（折扣系数））30分</w:t>
            </w:r>
          </w:p>
        </w:tc>
      </w:tr>
      <w:tr w14:paraId="0D0E2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4" w:type="dxa"/>
            <w:vAlign w:val="center"/>
          </w:tcPr>
          <w:p w14:paraId="38514280">
            <w:pPr>
              <w:adjustRightInd w:val="0"/>
              <w:spacing w:line="360" w:lineRule="auto"/>
              <w:jc w:val="center"/>
              <w:textAlignment w:val="baseline"/>
              <w:rPr>
                <w:rFonts w:ascii="宋体" w:hAnsi="宋体" w:cs="宋体"/>
                <w:b/>
                <w:szCs w:val="21"/>
              </w:rPr>
            </w:pPr>
            <w:r>
              <w:rPr>
                <w:rFonts w:hint="eastAsia" w:ascii="宋体" w:hAnsi="宋体" w:cs="宋体"/>
                <w:b/>
                <w:szCs w:val="21"/>
              </w:rPr>
              <w:t>2</w:t>
            </w:r>
          </w:p>
        </w:tc>
        <w:tc>
          <w:tcPr>
            <w:tcW w:w="1276" w:type="dxa"/>
            <w:vMerge w:val="restart"/>
            <w:vAlign w:val="center"/>
          </w:tcPr>
          <w:p w14:paraId="165121AE">
            <w:pPr>
              <w:adjustRightInd w:val="0"/>
              <w:spacing w:line="360" w:lineRule="auto"/>
              <w:jc w:val="center"/>
              <w:textAlignment w:val="baseline"/>
              <w:rPr>
                <w:rFonts w:ascii="宋体" w:hAnsi="宋体" w:cs="宋体"/>
                <w:b/>
                <w:szCs w:val="21"/>
              </w:rPr>
            </w:pPr>
            <w:r>
              <w:rPr>
                <w:rFonts w:hint="eastAsia" w:ascii="宋体" w:hAnsi="宋体" w:cs="宋体"/>
                <w:b/>
                <w:szCs w:val="21"/>
              </w:rPr>
              <w:t>项目实施方案分</w:t>
            </w:r>
          </w:p>
        </w:tc>
        <w:tc>
          <w:tcPr>
            <w:tcW w:w="716" w:type="dxa"/>
            <w:vMerge w:val="restart"/>
            <w:vAlign w:val="center"/>
          </w:tcPr>
          <w:p w14:paraId="55D81FA4">
            <w:pPr>
              <w:adjustRightInd w:val="0"/>
              <w:spacing w:line="360" w:lineRule="auto"/>
              <w:jc w:val="center"/>
              <w:textAlignment w:val="baseline"/>
              <w:rPr>
                <w:rFonts w:ascii="宋体" w:hAnsi="宋体" w:cs="宋体"/>
                <w:b/>
                <w:szCs w:val="21"/>
              </w:rPr>
            </w:pPr>
            <w:r>
              <w:rPr>
                <w:rFonts w:hint="eastAsia" w:ascii="宋体" w:hAnsi="宋体" w:cs="宋体"/>
                <w:b/>
                <w:szCs w:val="21"/>
              </w:rPr>
              <w:t>45分</w:t>
            </w:r>
          </w:p>
        </w:tc>
        <w:tc>
          <w:tcPr>
            <w:tcW w:w="1557" w:type="dxa"/>
            <w:vAlign w:val="center"/>
          </w:tcPr>
          <w:p w14:paraId="5DF596F0">
            <w:pPr>
              <w:spacing w:line="360" w:lineRule="auto"/>
              <w:jc w:val="center"/>
              <w:rPr>
                <w:rFonts w:ascii="宋体" w:hAnsi="宋体" w:cs="宋体"/>
                <w:bCs/>
                <w:szCs w:val="21"/>
              </w:rPr>
            </w:pPr>
            <w:r>
              <w:rPr>
                <w:rFonts w:hint="eastAsia" w:ascii="宋体" w:hAnsi="宋体" w:cs="宋体"/>
                <w:b/>
                <w:szCs w:val="21"/>
              </w:rPr>
              <w:t>配送服务及应急方案（满分25分）</w:t>
            </w:r>
          </w:p>
        </w:tc>
        <w:tc>
          <w:tcPr>
            <w:tcW w:w="5405" w:type="dxa"/>
            <w:vAlign w:val="center"/>
          </w:tcPr>
          <w:p w14:paraId="6E62EE17">
            <w:pPr>
              <w:spacing w:line="360" w:lineRule="auto"/>
              <w:jc w:val="left"/>
              <w:rPr>
                <w:rFonts w:ascii="宋体" w:hAnsi="宋体" w:cs="宋体"/>
                <w:bCs/>
                <w:szCs w:val="21"/>
              </w:rPr>
            </w:pPr>
            <w:r>
              <w:rPr>
                <w:rFonts w:hint="eastAsia" w:ascii="宋体" w:hAnsi="宋体" w:cs="宋体"/>
                <w:bCs/>
                <w:szCs w:val="21"/>
              </w:rPr>
              <w:t>评标委员会根据投标人提供的配送服务及应急方案内容，综合评定所属档次及分值，未提供的配送服务及应急方案内容的不得分。</w:t>
            </w:r>
          </w:p>
          <w:p w14:paraId="3A5BDAB4">
            <w:pPr>
              <w:spacing w:line="360" w:lineRule="auto"/>
              <w:jc w:val="left"/>
              <w:rPr>
                <w:rFonts w:ascii="宋体" w:hAnsi="宋体" w:cs="宋体"/>
                <w:bCs/>
                <w:szCs w:val="21"/>
              </w:rPr>
            </w:pPr>
            <w:r>
              <w:rPr>
                <w:rFonts w:hint="eastAsia" w:ascii="宋体" w:hAnsi="宋体" w:cs="宋体"/>
                <w:bCs/>
                <w:szCs w:val="21"/>
              </w:rPr>
              <w:t>一档（5分）：项目生产或销售能力差，生产或销售场地面积小，管理制度、配送服务方案基本满足要求、描述简单，基本保证配送服务的，对问题食材发生紧急事件处理预案内容较差、基本可行的；</w:t>
            </w:r>
          </w:p>
          <w:p w14:paraId="2B88DF41">
            <w:pPr>
              <w:spacing w:line="360" w:lineRule="auto"/>
              <w:jc w:val="left"/>
              <w:rPr>
                <w:rFonts w:ascii="宋体" w:hAnsi="宋体" w:cs="宋体"/>
                <w:bCs/>
                <w:szCs w:val="21"/>
              </w:rPr>
            </w:pPr>
            <w:r>
              <w:rPr>
                <w:rFonts w:hint="eastAsia" w:ascii="宋体" w:hAnsi="宋体" w:cs="宋体"/>
                <w:bCs/>
                <w:szCs w:val="21"/>
              </w:rPr>
              <w:t>二档（10分）：项目生产或销售能力一般，生产或销售场地面积较大，项目配送供货时间安排合理，管理制度、配送服务方案基本满足要求、描述较简单，具体实施步骤和要求描述较简单，能保证配送服务，对问题食材发生紧急事件处理预案内容简单；</w:t>
            </w:r>
          </w:p>
          <w:p w14:paraId="7283E953">
            <w:pPr>
              <w:spacing w:line="360" w:lineRule="auto"/>
              <w:jc w:val="left"/>
              <w:rPr>
                <w:rFonts w:ascii="宋体" w:hAnsi="宋体" w:cs="宋体"/>
                <w:bCs/>
                <w:szCs w:val="21"/>
              </w:rPr>
            </w:pPr>
            <w:r>
              <w:rPr>
                <w:rFonts w:hint="eastAsia" w:ascii="宋体" w:hAnsi="宋体" w:cs="宋体"/>
                <w:bCs/>
                <w:szCs w:val="21"/>
              </w:rPr>
              <w:t>三档（15分）：项目生产或销售能力强，生产或销售场地面积大，项目配送体系、供货时间安排较合理，有较完善的管理制度、配送服务方案，描述较详细，具体实施步骤和要求描述较详细，在保证配送服务业务外有机动人员用于对紧急事件处理，对配送及应急处理响应较快，对问题食材发生紧急事件处理预案内容的较具体，有一定针对性的；</w:t>
            </w:r>
          </w:p>
          <w:p w14:paraId="65759AA6">
            <w:pPr>
              <w:spacing w:line="360" w:lineRule="auto"/>
              <w:jc w:val="left"/>
              <w:rPr>
                <w:rFonts w:ascii="宋体" w:hAnsi="宋体" w:cs="宋体"/>
                <w:bCs/>
                <w:szCs w:val="21"/>
              </w:rPr>
            </w:pPr>
            <w:r>
              <w:rPr>
                <w:rFonts w:hint="eastAsia" w:ascii="宋体" w:hAnsi="宋体" w:cs="宋体"/>
                <w:bCs/>
                <w:szCs w:val="21"/>
              </w:rPr>
              <w:t>四档（20分）：项目生产或销售能力较强，生产或销售存储面积较大，配送工作体系健全完善，配送供货时间安排合理，有较完善的管理制度、配送服务方案，描述详细，具体实施步骤和要求描述详细，在保证配送服务业务外有机动人员用于对紧急事件处理，对配送及应急处理响应快，对问题食材发生紧急事件处理预案内容的具体，人员配备较齐，方案针对性较强的；</w:t>
            </w:r>
          </w:p>
          <w:p w14:paraId="651B3189">
            <w:pPr>
              <w:spacing w:line="360" w:lineRule="auto"/>
              <w:jc w:val="left"/>
              <w:rPr>
                <w:rFonts w:ascii="宋体" w:hAnsi="宋体" w:cs="宋体"/>
                <w:bCs/>
                <w:szCs w:val="21"/>
              </w:rPr>
            </w:pPr>
            <w:r>
              <w:rPr>
                <w:rFonts w:hint="eastAsia" w:ascii="宋体" w:hAnsi="宋体" w:cs="宋体"/>
                <w:bCs/>
                <w:szCs w:val="21"/>
              </w:rPr>
              <w:t>五档（25分）：项目生产或销售能力强，生产或销售存储面积宽裕，配送工作体系健全完善，配送供货时间安排合理，针对项目实际情况，能提供全面细致、可靠的管理制度、配送服务方案，描述详细，具体实施步骤和要求描述全面，可行性强，充分优于本项目需求，对问题食材发生紧急事件处理预案内容的具体、全面，在保证配送服务业务外有机动人员用于对紧急事件处理，人员配备充裕，对配送及应急处理响应迅速，可行性高，方案针对性强，有重点，预案清晰且能根据具体情况做出全面细致方案且能保证采购食材卫生安全等重要因素的。</w:t>
            </w:r>
          </w:p>
        </w:tc>
      </w:tr>
      <w:tr w14:paraId="75260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4" w:type="dxa"/>
            <w:vAlign w:val="center"/>
          </w:tcPr>
          <w:p w14:paraId="50D88A29">
            <w:pPr>
              <w:adjustRightInd w:val="0"/>
              <w:spacing w:line="360" w:lineRule="auto"/>
              <w:jc w:val="center"/>
              <w:textAlignment w:val="baseline"/>
              <w:rPr>
                <w:rFonts w:ascii="宋体" w:hAnsi="宋体" w:cs="宋体"/>
                <w:b/>
                <w:szCs w:val="21"/>
              </w:rPr>
            </w:pPr>
          </w:p>
        </w:tc>
        <w:tc>
          <w:tcPr>
            <w:tcW w:w="1276" w:type="dxa"/>
            <w:vMerge w:val="continue"/>
            <w:vAlign w:val="center"/>
          </w:tcPr>
          <w:p w14:paraId="7EA9E124">
            <w:pPr>
              <w:adjustRightInd w:val="0"/>
              <w:spacing w:line="360" w:lineRule="auto"/>
              <w:jc w:val="center"/>
              <w:textAlignment w:val="baseline"/>
              <w:rPr>
                <w:rFonts w:ascii="宋体" w:hAnsi="宋体" w:cs="宋体"/>
                <w:b/>
                <w:szCs w:val="21"/>
              </w:rPr>
            </w:pPr>
          </w:p>
        </w:tc>
        <w:tc>
          <w:tcPr>
            <w:tcW w:w="716" w:type="dxa"/>
            <w:vMerge w:val="continue"/>
            <w:vAlign w:val="center"/>
          </w:tcPr>
          <w:p w14:paraId="00D4E6EB">
            <w:pPr>
              <w:adjustRightInd w:val="0"/>
              <w:spacing w:line="360" w:lineRule="auto"/>
              <w:jc w:val="center"/>
              <w:textAlignment w:val="baseline"/>
              <w:rPr>
                <w:rFonts w:ascii="宋体" w:hAnsi="宋体" w:cs="宋体"/>
                <w:b/>
                <w:szCs w:val="21"/>
              </w:rPr>
            </w:pPr>
          </w:p>
        </w:tc>
        <w:tc>
          <w:tcPr>
            <w:tcW w:w="1557" w:type="dxa"/>
            <w:vAlign w:val="center"/>
          </w:tcPr>
          <w:p w14:paraId="715F720A">
            <w:pPr>
              <w:spacing w:line="360" w:lineRule="auto"/>
              <w:jc w:val="center"/>
              <w:rPr>
                <w:rFonts w:ascii="宋体" w:hAnsi="宋体" w:cs="宋体"/>
                <w:bCs/>
                <w:szCs w:val="21"/>
              </w:rPr>
            </w:pPr>
            <w:r>
              <w:rPr>
                <w:rFonts w:hint="eastAsia" w:ascii="宋体" w:hAnsi="宋体" w:cs="宋体"/>
                <w:b/>
                <w:szCs w:val="21"/>
              </w:rPr>
              <w:t>食材安全措施（满分20分）</w:t>
            </w:r>
          </w:p>
        </w:tc>
        <w:tc>
          <w:tcPr>
            <w:tcW w:w="5405" w:type="dxa"/>
            <w:vAlign w:val="center"/>
          </w:tcPr>
          <w:p w14:paraId="6FF551BE">
            <w:pPr>
              <w:spacing w:line="360" w:lineRule="auto"/>
              <w:jc w:val="left"/>
              <w:rPr>
                <w:rFonts w:ascii="宋体" w:hAnsi="宋体" w:cs="宋体"/>
                <w:bCs/>
                <w:szCs w:val="21"/>
              </w:rPr>
            </w:pPr>
            <w:r>
              <w:rPr>
                <w:rFonts w:hint="eastAsia" w:ascii="宋体" w:hAnsi="宋体" w:cs="宋体"/>
                <w:bCs/>
                <w:szCs w:val="21"/>
              </w:rPr>
              <w:t>包括进货采购渠道、食材控制管理措施、检验检疫措施、食材质量标准、追溯方式等情况进行比较综合评分。综合评定所属档次及分值，达不到一档要求的不得分。</w:t>
            </w:r>
          </w:p>
          <w:p w14:paraId="33FFBB0E">
            <w:pPr>
              <w:spacing w:line="360" w:lineRule="auto"/>
              <w:jc w:val="left"/>
              <w:rPr>
                <w:rFonts w:ascii="宋体" w:hAnsi="宋体" w:cs="宋体"/>
                <w:bCs/>
                <w:szCs w:val="21"/>
              </w:rPr>
            </w:pPr>
            <w:r>
              <w:rPr>
                <w:rFonts w:hint="eastAsia" w:ascii="宋体" w:hAnsi="宋体" w:cs="宋体"/>
                <w:bCs/>
                <w:szCs w:val="21"/>
              </w:rPr>
              <w:t>一档（4分）：对进货采购渠道、食材控制管理措施、食材质量标准、追溯方式这几个方面描述较一般，较简单，检验检疫措施简单；</w:t>
            </w:r>
          </w:p>
          <w:p w14:paraId="7C255612">
            <w:pPr>
              <w:spacing w:line="360" w:lineRule="auto"/>
              <w:jc w:val="left"/>
              <w:rPr>
                <w:rFonts w:ascii="宋体" w:hAnsi="宋体" w:cs="宋体"/>
                <w:bCs/>
                <w:szCs w:val="21"/>
              </w:rPr>
            </w:pPr>
            <w:r>
              <w:rPr>
                <w:rFonts w:hint="eastAsia" w:ascii="宋体" w:hAnsi="宋体" w:cs="宋体"/>
                <w:bCs/>
                <w:szCs w:val="21"/>
              </w:rPr>
              <w:t>二档（8分）：对进货采购渠道、食材控制管理措施、食材质量标准、追溯方式这几个方面描述较简单，检验检疫措施简单；从选择食品原料货源到运输，有一定的质量安全保证措施但不明显，无服务特点，检验检疫措施一般；</w:t>
            </w:r>
          </w:p>
          <w:p w14:paraId="364604EF">
            <w:pPr>
              <w:spacing w:line="360" w:lineRule="auto"/>
              <w:jc w:val="left"/>
              <w:rPr>
                <w:rFonts w:ascii="宋体" w:hAnsi="宋体" w:cs="宋体"/>
                <w:bCs/>
                <w:szCs w:val="21"/>
              </w:rPr>
            </w:pPr>
            <w:r>
              <w:rPr>
                <w:rFonts w:hint="eastAsia" w:ascii="宋体" w:hAnsi="宋体" w:cs="宋体"/>
                <w:bCs/>
                <w:szCs w:val="21"/>
              </w:rPr>
              <w:t>三档（12分）：</w:t>
            </w:r>
            <w:r>
              <w:rPr>
                <w:rFonts w:hint="eastAsia" w:ascii="宋体" w:hAnsi="宋体"/>
                <w:szCs w:val="21"/>
              </w:rPr>
              <w:t>对进货采购渠道、食材控制管理措施、食材质量标准、 追溯方式这几个方面描述较清晰、较具体详细，食材控制管理措施比较完善，从选择食品原料货源到运输，质量安全保证措施有针对性，服务特点较明确，方案较具体可行，检验检疫措施较全面，主动开展检验工作，</w:t>
            </w:r>
            <w:r>
              <w:rPr>
                <w:rFonts w:hint="eastAsia" w:ascii="宋体" w:hAnsi="宋体"/>
                <w:b/>
                <w:bCs/>
                <w:szCs w:val="21"/>
              </w:rPr>
              <w:t>承诺每半年提供食品安监部门或国家承认的检测机构检测报告</w:t>
            </w:r>
            <w:r>
              <w:rPr>
                <w:rFonts w:hint="eastAsia" w:ascii="宋体" w:hAnsi="宋体" w:cs="宋体"/>
                <w:bCs/>
                <w:szCs w:val="21"/>
              </w:rPr>
              <w:t xml:space="preserve">；  </w:t>
            </w:r>
          </w:p>
          <w:p w14:paraId="3A66440F">
            <w:pPr>
              <w:spacing w:line="360" w:lineRule="auto"/>
              <w:jc w:val="left"/>
              <w:rPr>
                <w:rFonts w:ascii="宋体" w:hAnsi="宋体" w:cs="宋体"/>
                <w:bCs/>
                <w:szCs w:val="21"/>
              </w:rPr>
            </w:pPr>
            <w:r>
              <w:rPr>
                <w:rFonts w:hint="eastAsia" w:ascii="宋体" w:hAnsi="宋体" w:cs="宋体"/>
                <w:bCs/>
                <w:szCs w:val="21"/>
              </w:rPr>
              <w:t>四档（16分）：</w:t>
            </w:r>
            <w:r>
              <w:rPr>
                <w:rFonts w:hint="eastAsia" w:ascii="宋体" w:hAnsi="宋体"/>
                <w:szCs w:val="21"/>
              </w:rPr>
              <w:t>对进货采购渠道、食材控制管理措施、食材质量标准、追溯方式这几个方面描述清晰，详细，食材控制管理措施比较完善，从选择食品原料货源到运输，质量安全保证措施比较有针对性和服务特点，方案较完整、较具体、可行，检验检疫措施详细、全面，能严格进行食材质量把关，主动开展检验工作，</w:t>
            </w:r>
            <w:r>
              <w:rPr>
                <w:rFonts w:hint="eastAsia" w:ascii="宋体" w:hAnsi="宋体"/>
                <w:b/>
                <w:bCs/>
                <w:szCs w:val="21"/>
              </w:rPr>
              <w:t>承诺每季度提供食品安监部门或国家承认的检测机构检测报告</w:t>
            </w:r>
            <w:r>
              <w:rPr>
                <w:rFonts w:hint="eastAsia" w:ascii="宋体" w:hAnsi="宋体" w:cs="宋体"/>
                <w:bCs/>
                <w:szCs w:val="21"/>
              </w:rPr>
              <w:t>；</w:t>
            </w:r>
          </w:p>
          <w:p w14:paraId="7C317321">
            <w:pPr>
              <w:spacing w:line="360" w:lineRule="auto"/>
              <w:jc w:val="left"/>
              <w:rPr>
                <w:rFonts w:ascii="宋体" w:hAnsi="宋体" w:cs="宋体"/>
                <w:bCs/>
                <w:szCs w:val="21"/>
              </w:rPr>
            </w:pPr>
            <w:r>
              <w:rPr>
                <w:rFonts w:hint="eastAsia" w:ascii="宋体" w:hAnsi="宋体" w:cs="宋体"/>
                <w:bCs/>
                <w:szCs w:val="21"/>
              </w:rPr>
              <w:t>五档（20分）：</w:t>
            </w:r>
            <w:r>
              <w:rPr>
                <w:rFonts w:hint="eastAsia" w:ascii="宋体" w:hAnsi="宋体"/>
                <w:szCs w:val="21"/>
              </w:rPr>
              <w:t>对进货采购渠道、食材控制管理措施、食材质量标准、追溯方式这几个方面全部描述清晰详细，完善详细。食品安全追溯能力强，可从原材料来源可追溯，形成一套可记录、可查询溯源的能力。从选择食品原料货源到运输，质量安全保证措施有针对性和服务特点，方案完整、清晰、具体、科学、合理、可行，检验检疫措施详细、全面，各项措施安排合理,可操作性强，能严格进行食材质量把关，主动开展检验工作</w:t>
            </w:r>
            <w:r>
              <w:rPr>
                <w:rFonts w:hint="eastAsia" w:ascii="宋体" w:hAnsi="宋体"/>
                <w:b/>
                <w:bCs/>
                <w:szCs w:val="21"/>
              </w:rPr>
              <w:t>，承诺每个月提供食品安监部门或国家承认的检测机构检测报告</w:t>
            </w:r>
            <w:r>
              <w:rPr>
                <w:rFonts w:hint="eastAsia" w:ascii="宋体" w:hAnsi="宋体" w:cs="宋体"/>
                <w:bCs/>
                <w:szCs w:val="21"/>
              </w:rPr>
              <w:t>。</w:t>
            </w:r>
          </w:p>
        </w:tc>
      </w:tr>
      <w:tr w14:paraId="66A50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2" w:hRule="atLeast"/>
          <w:jc w:val="center"/>
        </w:trPr>
        <w:tc>
          <w:tcPr>
            <w:tcW w:w="734" w:type="dxa"/>
            <w:vAlign w:val="center"/>
          </w:tcPr>
          <w:p w14:paraId="4A499BF3">
            <w:pPr>
              <w:adjustRightInd w:val="0"/>
              <w:spacing w:line="360" w:lineRule="auto"/>
              <w:jc w:val="center"/>
              <w:textAlignment w:val="baseline"/>
              <w:rPr>
                <w:rFonts w:ascii="宋体" w:hAnsi="宋体" w:cs="宋体"/>
                <w:b/>
                <w:szCs w:val="21"/>
              </w:rPr>
            </w:pPr>
            <w:r>
              <w:rPr>
                <w:rFonts w:hint="eastAsia" w:ascii="宋体" w:hAnsi="宋体" w:cs="宋体"/>
                <w:b/>
                <w:szCs w:val="21"/>
              </w:rPr>
              <w:t>3</w:t>
            </w:r>
          </w:p>
        </w:tc>
        <w:tc>
          <w:tcPr>
            <w:tcW w:w="1276" w:type="dxa"/>
            <w:vAlign w:val="center"/>
          </w:tcPr>
          <w:p w14:paraId="2CB449F5">
            <w:pPr>
              <w:adjustRightInd w:val="0"/>
              <w:spacing w:line="360" w:lineRule="auto"/>
              <w:jc w:val="center"/>
              <w:textAlignment w:val="baseline"/>
              <w:rPr>
                <w:rFonts w:ascii="宋体" w:hAnsi="宋体" w:cs="宋体"/>
                <w:b/>
                <w:szCs w:val="21"/>
              </w:rPr>
            </w:pPr>
            <w:bookmarkStart w:id="314" w:name="OLE_LINK134"/>
            <w:r>
              <w:rPr>
                <w:rFonts w:hint="eastAsia" w:ascii="宋体" w:hAnsi="宋体" w:cs="宋体"/>
                <w:b/>
                <w:szCs w:val="21"/>
              </w:rPr>
              <w:t>售后服务方案分</w:t>
            </w:r>
            <w:bookmarkEnd w:id="314"/>
          </w:p>
        </w:tc>
        <w:tc>
          <w:tcPr>
            <w:tcW w:w="716" w:type="dxa"/>
            <w:vAlign w:val="center"/>
          </w:tcPr>
          <w:p w14:paraId="1B735275">
            <w:pPr>
              <w:adjustRightInd w:val="0"/>
              <w:spacing w:line="360" w:lineRule="auto"/>
              <w:jc w:val="center"/>
              <w:textAlignment w:val="baseline"/>
              <w:rPr>
                <w:rFonts w:ascii="宋体" w:hAnsi="宋体" w:cs="宋体"/>
                <w:b/>
                <w:szCs w:val="21"/>
              </w:rPr>
            </w:pPr>
            <w:r>
              <w:rPr>
                <w:rFonts w:hint="eastAsia" w:ascii="宋体" w:hAnsi="宋体" w:cs="宋体"/>
                <w:b/>
                <w:szCs w:val="21"/>
              </w:rPr>
              <w:t>10分</w:t>
            </w:r>
          </w:p>
        </w:tc>
        <w:tc>
          <w:tcPr>
            <w:tcW w:w="6962" w:type="dxa"/>
            <w:gridSpan w:val="2"/>
            <w:vAlign w:val="center"/>
          </w:tcPr>
          <w:p w14:paraId="5B7AFFAD">
            <w:pPr>
              <w:spacing w:line="360" w:lineRule="auto"/>
              <w:jc w:val="left"/>
              <w:rPr>
                <w:rFonts w:ascii="宋体" w:hAnsi="宋体" w:cs="宋体"/>
                <w:bCs/>
                <w:szCs w:val="21"/>
              </w:rPr>
            </w:pPr>
            <w:r>
              <w:rPr>
                <w:rFonts w:hint="eastAsia" w:ascii="宋体" w:hAnsi="宋体" w:cs="宋体"/>
                <w:bCs/>
                <w:szCs w:val="21"/>
              </w:rPr>
              <w:t>对售后服务要求的响应程度及提供的服务承诺方案、售后服务措施（包括：承诺如何确保按期、按质、按量供货；出现问题时如何采取相应的措施；如何保障后期服务）等情况。评标委员会综合评定所属档次及分值，达不到一档要求的不得分。</w:t>
            </w:r>
          </w:p>
          <w:p w14:paraId="31501FDA">
            <w:pPr>
              <w:spacing w:line="360" w:lineRule="auto"/>
              <w:jc w:val="left"/>
              <w:rPr>
                <w:rFonts w:ascii="宋体" w:hAnsi="宋体" w:cs="宋体"/>
                <w:bCs/>
                <w:szCs w:val="21"/>
              </w:rPr>
            </w:pPr>
            <w:r>
              <w:rPr>
                <w:rFonts w:hint="eastAsia" w:ascii="宋体" w:hAnsi="宋体" w:cs="宋体"/>
                <w:bCs/>
                <w:szCs w:val="21"/>
              </w:rPr>
              <w:t>一档（2分）：承诺退换时间超过</w:t>
            </w:r>
            <w:r>
              <w:rPr>
                <w:rFonts w:hint="eastAsia" w:ascii="宋体" w:hAnsi="宋体"/>
                <w:bCs/>
                <w:szCs w:val="21"/>
              </w:rPr>
              <w:t>5小时（不含5小时）</w:t>
            </w:r>
            <w:r>
              <w:rPr>
                <w:rFonts w:hint="eastAsia" w:ascii="宋体" w:hAnsi="宋体" w:cs="宋体"/>
                <w:bCs/>
                <w:szCs w:val="21"/>
              </w:rPr>
              <w:t>，服务承诺、措施、后期服务承诺较简单。</w:t>
            </w:r>
          </w:p>
          <w:p w14:paraId="6303BC2A">
            <w:pPr>
              <w:spacing w:line="360" w:lineRule="auto"/>
              <w:jc w:val="left"/>
              <w:rPr>
                <w:rFonts w:ascii="宋体" w:hAnsi="宋体" w:cs="宋体"/>
                <w:bCs/>
                <w:szCs w:val="21"/>
              </w:rPr>
            </w:pPr>
            <w:r>
              <w:rPr>
                <w:rFonts w:hint="eastAsia" w:ascii="宋体" w:hAnsi="宋体" w:cs="宋体"/>
                <w:bCs/>
                <w:szCs w:val="21"/>
              </w:rPr>
              <w:t>二档（4分）：承诺退换时间需</w:t>
            </w:r>
            <w:r>
              <w:rPr>
                <w:rFonts w:hint="eastAsia" w:ascii="宋体" w:hAnsi="宋体"/>
                <w:bCs/>
                <w:szCs w:val="21"/>
              </w:rPr>
              <w:t>4小时（不含4小时）～5小时（含5小时）</w:t>
            </w:r>
            <w:r>
              <w:rPr>
                <w:rFonts w:hint="eastAsia" w:ascii="宋体" w:hAnsi="宋体" w:cs="宋体"/>
                <w:bCs/>
                <w:szCs w:val="21"/>
              </w:rPr>
              <w:t>，服务承诺、措施、后期服务承诺一般，货物出问题时，有相应的解决措施。</w:t>
            </w:r>
          </w:p>
          <w:p w14:paraId="48FED89A">
            <w:pPr>
              <w:spacing w:line="360" w:lineRule="auto"/>
              <w:jc w:val="left"/>
              <w:rPr>
                <w:rFonts w:ascii="宋体" w:hAnsi="宋体" w:cs="宋体"/>
                <w:bCs/>
                <w:szCs w:val="21"/>
              </w:rPr>
            </w:pPr>
            <w:r>
              <w:rPr>
                <w:rFonts w:hint="eastAsia" w:ascii="宋体" w:hAnsi="宋体" w:cs="宋体"/>
                <w:bCs/>
                <w:szCs w:val="21"/>
              </w:rPr>
              <w:t>三档（6分）：承诺退换时间需</w:t>
            </w:r>
            <w:r>
              <w:rPr>
                <w:rFonts w:hint="eastAsia" w:ascii="宋体" w:hAnsi="宋体"/>
                <w:bCs/>
                <w:szCs w:val="21"/>
              </w:rPr>
              <w:t>3小时（不含3小时）～4小时（含4小时）</w:t>
            </w:r>
            <w:r>
              <w:rPr>
                <w:rFonts w:hint="eastAsia" w:ascii="宋体" w:hAnsi="宋体" w:cs="宋体"/>
                <w:bCs/>
                <w:szCs w:val="21"/>
              </w:rPr>
              <w:t>，服务承诺、措施可行，后期服务承诺响应满足项目需求，货物出问题时，有相应的解决措施，并明确如何确保退换的货物符合采购人需求。</w:t>
            </w:r>
          </w:p>
          <w:p w14:paraId="2236268D">
            <w:pPr>
              <w:spacing w:line="360" w:lineRule="auto"/>
              <w:jc w:val="left"/>
              <w:rPr>
                <w:rFonts w:ascii="宋体" w:hAnsi="宋体" w:cs="宋体"/>
                <w:bCs/>
                <w:szCs w:val="21"/>
              </w:rPr>
            </w:pPr>
            <w:r>
              <w:rPr>
                <w:rFonts w:hint="eastAsia" w:ascii="宋体" w:hAnsi="宋体" w:cs="宋体"/>
                <w:bCs/>
                <w:szCs w:val="21"/>
              </w:rPr>
              <w:t>四档（8分）：对因货物出现问题，而发生紧急事件问题处理预案内容较具体、全面，并承诺退换时间需</w:t>
            </w:r>
            <w:r>
              <w:rPr>
                <w:rFonts w:hint="eastAsia" w:ascii="宋体" w:hAnsi="宋体"/>
                <w:bCs/>
                <w:szCs w:val="21"/>
              </w:rPr>
              <w:t>2小时（不含2小时）～3小时（含3小时）</w:t>
            </w:r>
            <w:r>
              <w:rPr>
                <w:rFonts w:hint="eastAsia" w:ascii="宋体" w:hAnsi="宋体" w:cs="宋体"/>
                <w:bCs/>
                <w:szCs w:val="21"/>
              </w:rPr>
              <w:t>，有健全、详细的服务承诺、后期售后服务方式多样有效，措施得力，能满足项目需求，包括售后服务监督和回访管理、台账管理、售后服务管理及售后服务措施（含对问题物料的处理及特殊情况的应急预案），明确如何确保退换的货物符合采购人需求，并配备专门人员为业主提供服务，确保接到业主通知后1小时内响应。</w:t>
            </w:r>
          </w:p>
          <w:p w14:paraId="4AAB6A41">
            <w:pPr>
              <w:spacing w:line="360" w:lineRule="auto"/>
              <w:jc w:val="left"/>
              <w:rPr>
                <w:rFonts w:ascii="宋体" w:hAnsi="宋体" w:cs="宋体"/>
                <w:bCs/>
                <w:szCs w:val="21"/>
              </w:rPr>
            </w:pPr>
            <w:r>
              <w:rPr>
                <w:rFonts w:hint="eastAsia" w:ascii="宋体" w:hAnsi="宋体" w:cs="宋体"/>
                <w:bCs/>
                <w:szCs w:val="21"/>
              </w:rPr>
              <w:t>五档（10分）：对因货物出现问题，而对发生紧急事件问题处理预案内容具体、全面，并承诺退换时间在2小时内（含2小时），有健全、详细、高效的服务承诺、后期售后服务方式多样有效，措施得力，充分满足项目需求，包括售后服务监督和回访管理、台账管理、售后服务管理及售后服务措施（含对问题物料的处理及特殊情况的应急预案）、其他优惠措施、配送（物流）、货物分发方等方面措施等及其它服务计划，明确如何确保退换的货物符合采购人需求，并配备专门人员为业主提供服务，确保接到业主通知后0.5小时内响应。</w:t>
            </w:r>
          </w:p>
        </w:tc>
      </w:tr>
      <w:tr w14:paraId="2EBE0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jc w:val="center"/>
        </w:trPr>
        <w:tc>
          <w:tcPr>
            <w:tcW w:w="734" w:type="dxa"/>
            <w:vMerge w:val="restart"/>
            <w:vAlign w:val="center"/>
          </w:tcPr>
          <w:p w14:paraId="158A81E0">
            <w:pPr>
              <w:adjustRightInd w:val="0"/>
              <w:spacing w:line="360" w:lineRule="auto"/>
              <w:jc w:val="center"/>
              <w:textAlignment w:val="baseline"/>
              <w:rPr>
                <w:rFonts w:ascii="宋体" w:hAnsi="宋体" w:cs="宋体"/>
                <w:b/>
                <w:szCs w:val="21"/>
              </w:rPr>
            </w:pPr>
            <w:r>
              <w:rPr>
                <w:rFonts w:hint="eastAsia" w:ascii="宋体" w:hAnsi="宋体" w:cs="宋体"/>
                <w:b/>
                <w:szCs w:val="21"/>
              </w:rPr>
              <w:t>4</w:t>
            </w:r>
          </w:p>
        </w:tc>
        <w:tc>
          <w:tcPr>
            <w:tcW w:w="1276" w:type="dxa"/>
            <w:vMerge w:val="restart"/>
            <w:vAlign w:val="center"/>
          </w:tcPr>
          <w:p w14:paraId="4B1DB9E9">
            <w:pPr>
              <w:adjustRightInd w:val="0"/>
              <w:spacing w:line="360" w:lineRule="auto"/>
              <w:jc w:val="center"/>
              <w:textAlignment w:val="baseline"/>
              <w:rPr>
                <w:rFonts w:ascii="宋体" w:hAnsi="宋体" w:cs="宋体"/>
                <w:b/>
                <w:szCs w:val="21"/>
              </w:rPr>
            </w:pPr>
            <w:r>
              <w:rPr>
                <w:rFonts w:hint="eastAsia" w:ascii="宋体" w:hAnsi="宋体" w:cs="宋体"/>
                <w:b/>
                <w:szCs w:val="21"/>
              </w:rPr>
              <w:t>商务分</w:t>
            </w:r>
          </w:p>
        </w:tc>
        <w:tc>
          <w:tcPr>
            <w:tcW w:w="716" w:type="dxa"/>
            <w:vMerge w:val="restart"/>
            <w:vAlign w:val="center"/>
          </w:tcPr>
          <w:p w14:paraId="7FAC20D6">
            <w:pPr>
              <w:adjustRightInd w:val="0"/>
              <w:spacing w:line="360" w:lineRule="auto"/>
              <w:jc w:val="center"/>
              <w:textAlignment w:val="baseline"/>
              <w:rPr>
                <w:rFonts w:ascii="宋体" w:hAnsi="宋体" w:cs="宋体"/>
                <w:b/>
                <w:szCs w:val="21"/>
              </w:rPr>
            </w:pPr>
            <w:r>
              <w:rPr>
                <w:rFonts w:hint="eastAsia" w:ascii="宋体" w:hAnsi="宋体" w:cs="宋体"/>
                <w:b/>
                <w:szCs w:val="21"/>
              </w:rPr>
              <w:t>15分</w:t>
            </w:r>
          </w:p>
        </w:tc>
        <w:tc>
          <w:tcPr>
            <w:tcW w:w="6962" w:type="dxa"/>
            <w:gridSpan w:val="2"/>
            <w:vAlign w:val="center"/>
          </w:tcPr>
          <w:p w14:paraId="70B7CAF8">
            <w:pPr>
              <w:spacing w:line="420" w:lineRule="exact"/>
              <w:ind w:firstLine="420" w:firstLineChars="200"/>
              <w:jc w:val="left"/>
              <w:rPr>
                <w:rFonts w:ascii="宋体" w:hAnsi="宋体" w:cs="宋体"/>
                <w:bCs/>
                <w:kern w:val="0"/>
                <w:szCs w:val="21"/>
              </w:rPr>
            </w:pPr>
            <w:r>
              <w:rPr>
                <w:rFonts w:hint="eastAsia" w:ascii="宋体" w:hAnsi="宋体" w:cs="宋体"/>
                <w:bCs/>
                <w:kern w:val="0"/>
                <w:szCs w:val="21"/>
              </w:rPr>
              <w:t>（1）业绩分，满分2分。</w:t>
            </w:r>
          </w:p>
          <w:p w14:paraId="6BE85B6B">
            <w:pPr>
              <w:spacing w:line="420" w:lineRule="exact"/>
              <w:ind w:firstLine="420" w:firstLineChars="200"/>
              <w:jc w:val="left"/>
              <w:rPr>
                <w:rFonts w:ascii="宋体" w:hAnsi="宋体" w:cs="宋体"/>
                <w:bCs/>
                <w:kern w:val="0"/>
                <w:szCs w:val="21"/>
              </w:rPr>
            </w:pPr>
            <w:bookmarkStart w:id="315" w:name="OLE_LINK135"/>
            <w:r>
              <w:rPr>
                <w:rFonts w:hint="eastAsia" w:ascii="宋体" w:hAnsi="宋体" w:cs="宋体"/>
                <w:bCs/>
                <w:kern w:val="0"/>
                <w:szCs w:val="21"/>
              </w:rPr>
              <w:t>投标人的所投分标同类采购业绩分，投标人2022年以来做过的同类业绩，每一个业绩得1分，满分2分。</w:t>
            </w:r>
          </w:p>
          <w:p w14:paraId="18B158E8">
            <w:pPr>
              <w:spacing w:line="420" w:lineRule="exact"/>
              <w:ind w:firstLine="420" w:firstLineChars="200"/>
              <w:jc w:val="left"/>
              <w:rPr>
                <w:rFonts w:ascii="宋体" w:hAnsi="宋体" w:cs="宋体"/>
                <w:bCs/>
                <w:kern w:val="0"/>
                <w:szCs w:val="21"/>
              </w:rPr>
            </w:pPr>
            <w:r>
              <w:rPr>
                <w:rFonts w:hint="eastAsia" w:ascii="宋体" w:hAnsi="宋体" w:cs="宋体"/>
                <w:bCs/>
                <w:kern w:val="0"/>
                <w:szCs w:val="21"/>
              </w:rPr>
              <w:t>注：（</w:t>
            </w:r>
            <w:r>
              <w:rPr>
                <w:rFonts w:hint="eastAsia" w:ascii="宋体" w:hAnsi="宋体" w:cs="宋体"/>
                <w:szCs w:val="21"/>
              </w:rPr>
              <w:t>需要提供采购合同复印件以及该项业务执行的其中一个月业务发票复印件</w:t>
            </w:r>
            <w:r>
              <w:rPr>
                <w:rFonts w:hint="eastAsia" w:ascii="宋体" w:hAnsi="宋体" w:cs="宋体"/>
                <w:bCs/>
                <w:kern w:val="0"/>
                <w:szCs w:val="21"/>
              </w:rPr>
              <w:t>)</w:t>
            </w:r>
            <w:bookmarkEnd w:id="315"/>
          </w:p>
        </w:tc>
      </w:tr>
      <w:tr w14:paraId="2C0CB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jc w:val="center"/>
        </w:trPr>
        <w:tc>
          <w:tcPr>
            <w:tcW w:w="734" w:type="dxa"/>
            <w:vMerge w:val="continue"/>
            <w:vAlign w:val="center"/>
          </w:tcPr>
          <w:p w14:paraId="6D22FFBB">
            <w:pPr>
              <w:adjustRightInd w:val="0"/>
              <w:spacing w:line="360" w:lineRule="auto"/>
              <w:jc w:val="center"/>
              <w:textAlignment w:val="baseline"/>
              <w:rPr>
                <w:rFonts w:ascii="宋体" w:hAnsi="宋体" w:cs="宋体"/>
                <w:b/>
                <w:szCs w:val="21"/>
              </w:rPr>
            </w:pPr>
          </w:p>
        </w:tc>
        <w:tc>
          <w:tcPr>
            <w:tcW w:w="1276" w:type="dxa"/>
            <w:vMerge w:val="continue"/>
            <w:vAlign w:val="center"/>
          </w:tcPr>
          <w:p w14:paraId="090D53B7">
            <w:pPr>
              <w:adjustRightInd w:val="0"/>
              <w:spacing w:line="360" w:lineRule="auto"/>
              <w:jc w:val="center"/>
              <w:textAlignment w:val="baseline"/>
              <w:rPr>
                <w:rFonts w:ascii="宋体" w:hAnsi="宋体" w:cs="宋体"/>
                <w:b/>
                <w:szCs w:val="21"/>
              </w:rPr>
            </w:pPr>
          </w:p>
        </w:tc>
        <w:tc>
          <w:tcPr>
            <w:tcW w:w="716" w:type="dxa"/>
            <w:vMerge w:val="continue"/>
            <w:vAlign w:val="center"/>
          </w:tcPr>
          <w:p w14:paraId="4CF9D0F5">
            <w:pPr>
              <w:adjustRightInd w:val="0"/>
              <w:spacing w:line="360" w:lineRule="auto"/>
              <w:jc w:val="center"/>
              <w:textAlignment w:val="baseline"/>
              <w:rPr>
                <w:rFonts w:ascii="宋体" w:hAnsi="宋体" w:cs="宋体"/>
                <w:b/>
                <w:szCs w:val="21"/>
              </w:rPr>
            </w:pPr>
          </w:p>
        </w:tc>
        <w:tc>
          <w:tcPr>
            <w:tcW w:w="6962" w:type="dxa"/>
            <w:gridSpan w:val="2"/>
            <w:vAlign w:val="center"/>
          </w:tcPr>
          <w:p w14:paraId="56930CE6">
            <w:pPr>
              <w:spacing w:line="420" w:lineRule="exact"/>
              <w:ind w:firstLine="420" w:firstLineChars="200"/>
              <w:jc w:val="left"/>
              <w:rPr>
                <w:rFonts w:ascii="宋体" w:hAnsi="宋体" w:cs="宋体"/>
                <w:bCs/>
                <w:kern w:val="0"/>
                <w:szCs w:val="21"/>
              </w:rPr>
            </w:pPr>
            <w:r>
              <w:rPr>
                <w:rFonts w:hint="eastAsia" w:ascii="宋体" w:hAnsi="宋体" w:cs="宋体"/>
                <w:bCs/>
                <w:kern w:val="0"/>
                <w:szCs w:val="21"/>
              </w:rPr>
              <w:t>（2）配送能力分，满分4分。</w:t>
            </w:r>
          </w:p>
          <w:p w14:paraId="37A26B6F">
            <w:pPr>
              <w:spacing w:line="420" w:lineRule="exact"/>
              <w:ind w:firstLine="420" w:firstLineChars="200"/>
              <w:jc w:val="left"/>
              <w:rPr>
                <w:rFonts w:ascii="宋体" w:hAnsi="宋体" w:cs="宋体"/>
                <w:bCs/>
                <w:kern w:val="0"/>
                <w:szCs w:val="21"/>
              </w:rPr>
            </w:pPr>
            <w:r>
              <w:rPr>
                <w:rFonts w:hint="eastAsia" w:ascii="宋体" w:hAnsi="宋体" w:cs="宋体"/>
                <w:bCs/>
                <w:kern w:val="0"/>
                <w:szCs w:val="21"/>
              </w:rPr>
              <w:t>投标人拟投入本项目的配送车辆分，在满足招标文件采购需求的同时，每投入一辆冷链车得2分，每投入一辆普通货车得1分，满分4分；</w:t>
            </w:r>
          </w:p>
          <w:p w14:paraId="03D303D4">
            <w:pPr>
              <w:spacing w:line="420" w:lineRule="exact"/>
              <w:ind w:firstLine="420" w:firstLineChars="200"/>
              <w:jc w:val="left"/>
              <w:rPr>
                <w:rFonts w:ascii="宋体" w:hAnsi="宋体" w:cs="宋体"/>
                <w:bCs/>
                <w:kern w:val="0"/>
                <w:szCs w:val="21"/>
              </w:rPr>
            </w:pPr>
            <w:r>
              <w:rPr>
                <w:rFonts w:hint="eastAsia" w:ascii="宋体" w:hAnsi="宋体" w:cs="宋体"/>
                <w:bCs/>
                <w:kern w:val="0"/>
                <w:szCs w:val="21"/>
              </w:rPr>
              <w:t>注：投标时提供以上投入车辆①属于投标人公司或其法定代表人名下登记的自有配送车辆，提供有效车辆行驶证或机动车登记证及车辆照片复印件；或②属于租赁车辆的，需同时提供有效车辆行驶证或机动车登记证复印件和车辆租赁合同复印件及车辆彩色照片）；</w:t>
            </w:r>
          </w:p>
        </w:tc>
      </w:tr>
      <w:tr w14:paraId="2D54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734" w:type="dxa"/>
            <w:vMerge w:val="continue"/>
            <w:vAlign w:val="center"/>
          </w:tcPr>
          <w:p w14:paraId="095D50B4">
            <w:pPr>
              <w:adjustRightInd w:val="0"/>
              <w:spacing w:line="360" w:lineRule="auto"/>
              <w:jc w:val="center"/>
              <w:textAlignment w:val="baseline"/>
              <w:rPr>
                <w:rFonts w:ascii="宋体" w:hAnsi="宋体" w:cs="宋体"/>
                <w:b/>
                <w:szCs w:val="21"/>
              </w:rPr>
            </w:pPr>
          </w:p>
        </w:tc>
        <w:tc>
          <w:tcPr>
            <w:tcW w:w="1276" w:type="dxa"/>
            <w:vMerge w:val="continue"/>
            <w:vAlign w:val="center"/>
          </w:tcPr>
          <w:p w14:paraId="5CBEF534">
            <w:pPr>
              <w:adjustRightInd w:val="0"/>
              <w:spacing w:line="360" w:lineRule="auto"/>
              <w:jc w:val="center"/>
              <w:textAlignment w:val="baseline"/>
              <w:rPr>
                <w:rFonts w:ascii="宋体" w:hAnsi="宋体" w:cs="宋体"/>
                <w:b/>
                <w:szCs w:val="21"/>
              </w:rPr>
            </w:pPr>
          </w:p>
        </w:tc>
        <w:tc>
          <w:tcPr>
            <w:tcW w:w="716" w:type="dxa"/>
            <w:vMerge w:val="continue"/>
            <w:vAlign w:val="center"/>
          </w:tcPr>
          <w:p w14:paraId="338FE43E">
            <w:pPr>
              <w:adjustRightInd w:val="0"/>
              <w:spacing w:line="360" w:lineRule="auto"/>
              <w:jc w:val="center"/>
              <w:textAlignment w:val="baseline"/>
              <w:rPr>
                <w:rFonts w:ascii="宋体" w:hAnsi="宋体" w:cs="宋体"/>
                <w:b/>
                <w:szCs w:val="21"/>
              </w:rPr>
            </w:pPr>
          </w:p>
        </w:tc>
        <w:tc>
          <w:tcPr>
            <w:tcW w:w="6962" w:type="dxa"/>
            <w:gridSpan w:val="2"/>
            <w:vAlign w:val="center"/>
          </w:tcPr>
          <w:p w14:paraId="6EB8D4E4">
            <w:pPr>
              <w:spacing w:line="420" w:lineRule="exact"/>
              <w:ind w:firstLine="420" w:firstLineChars="200"/>
              <w:jc w:val="left"/>
              <w:rPr>
                <w:rFonts w:ascii="宋体" w:hAnsi="宋体" w:cs="宋体"/>
                <w:bCs/>
                <w:kern w:val="0"/>
                <w:szCs w:val="21"/>
              </w:rPr>
            </w:pPr>
            <w:r>
              <w:rPr>
                <w:rFonts w:hint="eastAsia" w:ascii="宋体" w:hAnsi="宋体" w:cs="宋体"/>
                <w:bCs/>
                <w:kern w:val="0"/>
                <w:szCs w:val="21"/>
              </w:rPr>
              <w:t>（3）场地分，满分3分。投标人有配备营业场所的，配送中心功能设置合理、功能划分清晰齐全，面积低于150平方米（不含）的得1分, 150平方米（含）-250平方米（不含）的得2分,250平方米（含）以上的得3分。</w:t>
            </w:r>
          </w:p>
          <w:p w14:paraId="579616FA">
            <w:pPr>
              <w:spacing w:line="420" w:lineRule="exact"/>
              <w:ind w:firstLine="420" w:firstLineChars="200"/>
              <w:jc w:val="left"/>
              <w:rPr>
                <w:rFonts w:ascii="宋体" w:hAnsi="宋体" w:cs="宋体"/>
                <w:bCs/>
                <w:kern w:val="0"/>
                <w:szCs w:val="21"/>
              </w:rPr>
            </w:pPr>
            <w:r>
              <w:rPr>
                <w:rFonts w:hint="eastAsia" w:ascii="宋体" w:hAnsi="宋体" w:cs="宋体"/>
                <w:bCs/>
                <w:kern w:val="0"/>
                <w:szCs w:val="21"/>
              </w:rPr>
              <w:t>注：</w:t>
            </w:r>
            <w:r>
              <w:rPr>
                <w:rFonts w:ascii="宋体" w:hAnsi="宋体"/>
                <w:szCs w:val="21"/>
              </w:rPr>
              <w:t>①</w:t>
            </w:r>
            <w:r>
              <w:rPr>
                <w:rFonts w:hint="eastAsia" w:ascii="宋体" w:hAnsi="宋体"/>
                <w:szCs w:val="21"/>
              </w:rPr>
              <w:t>涉及到场地的证明材料需提供不动产登记证等产权证明材料或1年以上的租赁合同及近半年连续缴纳租金发票的复印件，原件备查)</w:t>
            </w:r>
            <w:r>
              <w:rPr>
                <w:rFonts w:hint="eastAsia" w:ascii="宋体" w:hAnsi="宋体" w:cs="宋体"/>
                <w:bCs/>
                <w:kern w:val="0"/>
                <w:szCs w:val="21"/>
              </w:rPr>
              <w:t>；或②提供承诺书，并说明具体承诺的内容。</w:t>
            </w:r>
          </w:p>
        </w:tc>
      </w:tr>
      <w:tr w14:paraId="76704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734" w:type="dxa"/>
            <w:vMerge w:val="continue"/>
            <w:vAlign w:val="center"/>
          </w:tcPr>
          <w:p w14:paraId="7292638B">
            <w:pPr>
              <w:adjustRightInd w:val="0"/>
              <w:spacing w:line="360" w:lineRule="auto"/>
              <w:jc w:val="center"/>
              <w:textAlignment w:val="baseline"/>
              <w:rPr>
                <w:rFonts w:ascii="宋体" w:hAnsi="宋体" w:cs="宋体"/>
                <w:b/>
                <w:szCs w:val="21"/>
              </w:rPr>
            </w:pPr>
          </w:p>
        </w:tc>
        <w:tc>
          <w:tcPr>
            <w:tcW w:w="1276" w:type="dxa"/>
            <w:vMerge w:val="continue"/>
            <w:vAlign w:val="center"/>
          </w:tcPr>
          <w:p w14:paraId="127E9197">
            <w:pPr>
              <w:adjustRightInd w:val="0"/>
              <w:spacing w:line="360" w:lineRule="auto"/>
              <w:jc w:val="center"/>
              <w:textAlignment w:val="baseline"/>
              <w:rPr>
                <w:rFonts w:ascii="宋体" w:hAnsi="宋体" w:cs="宋体"/>
                <w:b/>
                <w:szCs w:val="21"/>
              </w:rPr>
            </w:pPr>
          </w:p>
        </w:tc>
        <w:tc>
          <w:tcPr>
            <w:tcW w:w="716" w:type="dxa"/>
            <w:vMerge w:val="continue"/>
            <w:vAlign w:val="center"/>
          </w:tcPr>
          <w:p w14:paraId="602FF5E0">
            <w:pPr>
              <w:adjustRightInd w:val="0"/>
              <w:spacing w:line="360" w:lineRule="auto"/>
              <w:jc w:val="center"/>
              <w:textAlignment w:val="baseline"/>
              <w:rPr>
                <w:rFonts w:ascii="宋体" w:hAnsi="宋体" w:cs="宋体"/>
                <w:b/>
                <w:szCs w:val="21"/>
              </w:rPr>
            </w:pPr>
          </w:p>
        </w:tc>
        <w:tc>
          <w:tcPr>
            <w:tcW w:w="6962" w:type="dxa"/>
            <w:gridSpan w:val="2"/>
            <w:vAlign w:val="center"/>
          </w:tcPr>
          <w:p w14:paraId="2DDFC5C2">
            <w:pPr>
              <w:spacing w:line="420" w:lineRule="exact"/>
              <w:ind w:firstLine="420" w:firstLineChars="200"/>
              <w:jc w:val="left"/>
              <w:rPr>
                <w:rFonts w:ascii="宋体" w:hAnsi="宋体" w:cs="宋体"/>
                <w:bCs/>
                <w:kern w:val="0"/>
                <w:szCs w:val="21"/>
              </w:rPr>
            </w:pPr>
            <w:r>
              <w:rPr>
                <w:rFonts w:hint="eastAsia" w:ascii="宋体" w:hAnsi="宋体" w:cs="宋体"/>
                <w:bCs/>
                <w:kern w:val="0"/>
                <w:szCs w:val="21"/>
              </w:rPr>
              <w:t>（4）实施人员分，满分2分。</w:t>
            </w:r>
            <w:r>
              <w:rPr>
                <w:rFonts w:hint="eastAsia" w:ascii="宋体" w:hAnsi="宋体"/>
                <w:bCs/>
                <w:kern w:val="0"/>
                <w:szCs w:val="21"/>
              </w:rPr>
              <w:t>拟投入本项目的项目实施人员，投入2人得1分，每增加1人加1分，满分2分。</w:t>
            </w:r>
            <w:r>
              <w:rPr>
                <w:rFonts w:hint="eastAsia" w:ascii="宋体" w:hAnsi="宋体" w:cs="宋体"/>
                <w:bCs/>
                <w:kern w:val="0"/>
                <w:szCs w:val="21"/>
              </w:rPr>
              <w:t xml:space="preserve">（提供实施人员的劳务合同、身份证、健康证、提供无犯罪证明材料）； </w:t>
            </w:r>
          </w:p>
        </w:tc>
      </w:tr>
      <w:tr w14:paraId="66FA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734" w:type="dxa"/>
            <w:vMerge w:val="continue"/>
            <w:vAlign w:val="center"/>
          </w:tcPr>
          <w:p w14:paraId="487107CE">
            <w:pPr>
              <w:adjustRightInd w:val="0"/>
              <w:spacing w:line="360" w:lineRule="auto"/>
              <w:jc w:val="center"/>
              <w:textAlignment w:val="baseline"/>
              <w:rPr>
                <w:rFonts w:ascii="宋体" w:hAnsi="宋体" w:cs="宋体"/>
                <w:b/>
                <w:szCs w:val="21"/>
              </w:rPr>
            </w:pPr>
          </w:p>
        </w:tc>
        <w:tc>
          <w:tcPr>
            <w:tcW w:w="1276" w:type="dxa"/>
            <w:vMerge w:val="continue"/>
            <w:vAlign w:val="center"/>
          </w:tcPr>
          <w:p w14:paraId="2D16A15F">
            <w:pPr>
              <w:adjustRightInd w:val="0"/>
              <w:spacing w:line="360" w:lineRule="auto"/>
              <w:jc w:val="center"/>
              <w:textAlignment w:val="baseline"/>
              <w:rPr>
                <w:rFonts w:ascii="宋体" w:hAnsi="宋体" w:cs="宋体"/>
                <w:b/>
                <w:szCs w:val="21"/>
              </w:rPr>
            </w:pPr>
          </w:p>
        </w:tc>
        <w:tc>
          <w:tcPr>
            <w:tcW w:w="716" w:type="dxa"/>
            <w:vMerge w:val="continue"/>
            <w:vAlign w:val="center"/>
          </w:tcPr>
          <w:p w14:paraId="6A8B87B1">
            <w:pPr>
              <w:adjustRightInd w:val="0"/>
              <w:spacing w:line="360" w:lineRule="auto"/>
              <w:jc w:val="center"/>
              <w:textAlignment w:val="baseline"/>
              <w:rPr>
                <w:rFonts w:ascii="宋体" w:hAnsi="宋体" w:cs="宋体"/>
                <w:b/>
                <w:szCs w:val="21"/>
              </w:rPr>
            </w:pPr>
          </w:p>
        </w:tc>
        <w:tc>
          <w:tcPr>
            <w:tcW w:w="6962" w:type="dxa"/>
            <w:gridSpan w:val="2"/>
            <w:vAlign w:val="center"/>
          </w:tcPr>
          <w:p w14:paraId="6384AE9A">
            <w:pPr>
              <w:spacing w:line="420" w:lineRule="exact"/>
              <w:ind w:firstLine="420" w:firstLineChars="200"/>
              <w:jc w:val="left"/>
              <w:rPr>
                <w:rFonts w:ascii="宋体" w:hAnsi="宋体" w:cs="宋体"/>
                <w:bCs/>
                <w:kern w:val="0"/>
                <w:szCs w:val="21"/>
              </w:rPr>
            </w:pPr>
            <w:r>
              <w:rPr>
                <w:rFonts w:hint="eastAsia" w:ascii="宋体" w:hAnsi="宋体" w:cs="宋体"/>
                <w:bCs/>
                <w:kern w:val="0"/>
                <w:szCs w:val="21"/>
              </w:rPr>
              <w:t>（5）投标人购买《食品安全责任保险》（有效期内），保额</w:t>
            </w:r>
            <w:r>
              <w:rPr>
                <w:rFonts w:hint="eastAsia" w:ascii="宋体" w:hAnsi="宋体"/>
                <w:bCs/>
                <w:kern w:val="0"/>
                <w:szCs w:val="21"/>
              </w:rPr>
              <w:t>不低于</w:t>
            </w:r>
            <w:r>
              <w:rPr>
                <w:rFonts w:hint="eastAsia" w:ascii="宋体" w:hAnsi="宋体" w:cs="宋体"/>
                <w:bCs/>
                <w:kern w:val="0"/>
                <w:szCs w:val="21"/>
              </w:rPr>
              <w:t>500 万元得1分。（提供已购买《食品安全责任保险》的合同及相关保单、发票证明复印件)；</w:t>
            </w:r>
          </w:p>
        </w:tc>
      </w:tr>
      <w:tr w14:paraId="3B92A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34" w:type="dxa"/>
            <w:vMerge w:val="continue"/>
            <w:vAlign w:val="center"/>
          </w:tcPr>
          <w:p w14:paraId="3EA8173C">
            <w:pPr>
              <w:adjustRightInd w:val="0"/>
              <w:spacing w:line="360" w:lineRule="auto"/>
              <w:jc w:val="center"/>
              <w:textAlignment w:val="baseline"/>
              <w:rPr>
                <w:rFonts w:ascii="宋体" w:hAnsi="宋体" w:cs="宋体"/>
                <w:b/>
                <w:szCs w:val="21"/>
              </w:rPr>
            </w:pPr>
          </w:p>
        </w:tc>
        <w:tc>
          <w:tcPr>
            <w:tcW w:w="1276" w:type="dxa"/>
            <w:vMerge w:val="continue"/>
            <w:vAlign w:val="center"/>
          </w:tcPr>
          <w:p w14:paraId="0D2D3447">
            <w:pPr>
              <w:adjustRightInd w:val="0"/>
              <w:spacing w:line="360" w:lineRule="auto"/>
              <w:jc w:val="center"/>
              <w:textAlignment w:val="baseline"/>
              <w:rPr>
                <w:rFonts w:ascii="宋体" w:hAnsi="宋体" w:cs="宋体"/>
                <w:b/>
                <w:szCs w:val="21"/>
              </w:rPr>
            </w:pPr>
          </w:p>
        </w:tc>
        <w:tc>
          <w:tcPr>
            <w:tcW w:w="716" w:type="dxa"/>
            <w:vMerge w:val="continue"/>
            <w:vAlign w:val="center"/>
          </w:tcPr>
          <w:p w14:paraId="0BC88978">
            <w:pPr>
              <w:adjustRightInd w:val="0"/>
              <w:spacing w:line="360" w:lineRule="auto"/>
              <w:jc w:val="center"/>
              <w:textAlignment w:val="baseline"/>
              <w:rPr>
                <w:rFonts w:ascii="宋体" w:hAnsi="宋体" w:cs="宋体"/>
                <w:b/>
                <w:szCs w:val="21"/>
              </w:rPr>
            </w:pPr>
          </w:p>
        </w:tc>
        <w:tc>
          <w:tcPr>
            <w:tcW w:w="6962" w:type="dxa"/>
            <w:gridSpan w:val="2"/>
            <w:vAlign w:val="center"/>
          </w:tcPr>
          <w:p w14:paraId="564AB710">
            <w:pPr>
              <w:spacing w:line="420" w:lineRule="exact"/>
              <w:ind w:firstLine="420" w:firstLineChars="200"/>
              <w:jc w:val="left"/>
              <w:rPr>
                <w:rFonts w:hAnsi="宋体"/>
                <w:bCs/>
                <w:kern w:val="0"/>
                <w:szCs w:val="21"/>
              </w:rPr>
            </w:pPr>
            <w:r>
              <w:rPr>
                <w:rFonts w:hint="eastAsia" w:ascii="宋体" w:hAnsi="宋体" w:cs="宋体"/>
                <w:bCs/>
                <w:kern w:val="0"/>
                <w:szCs w:val="21"/>
              </w:rPr>
              <w:t>（6）</w:t>
            </w:r>
            <w:r>
              <w:rPr>
                <w:rFonts w:hint="eastAsia" w:hAnsi="宋体"/>
                <w:bCs/>
                <w:kern w:val="0"/>
                <w:szCs w:val="21"/>
              </w:rPr>
              <w:t>投标人具有自有、合作关系或经销代理的生产、种植或养殖基地的产品且与所投分标货物需求相对应的，得2分；</w:t>
            </w:r>
            <w:r>
              <w:rPr>
                <w:rFonts w:hAnsi="宋体"/>
                <w:bCs/>
                <w:kern w:val="0"/>
                <w:szCs w:val="21"/>
              </w:rPr>
              <w:t xml:space="preserve"> </w:t>
            </w:r>
          </w:p>
          <w:p w14:paraId="44D5A3BF">
            <w:pPr>
              <w:spacing w:line="420" w:lineRule="exact"/>
              <w:ind w:firstLine="422" w:firstLineChars="200"/>
              <w:jc w:val="left"/>
              <w:rPr>
                <w:rFonts w:ascii="宋体" w:hAnsi="宋体" w:cs="宋体"/>
                <w:bCs/>
                <w:kern w:val="0"/>
                <w:szCs w:val="21"/>
              </w:rPr>
            </w:pPr>
            <w:r>
              <w:rPr>
                <w:rFonts w:hint="eastAsia" w:ascii="宋体" w:hAnsi="宋体"/>
                <w:b/>
                <w:bCs/>
                <w:kern w:val="0"/>
                <w:szCs w:val="21"/>
              </w:rPr>
              <w:t>注：投标时自有</w:t>
            </w:r>
            <w:r>
              <w:rPr>
                <w:rFonts w:hint="eastAsia" w:hAnsi="宋体"/>
                <w:bCs/>
                <w:kern w:val="0"/>
                <w:szCs w:val="21"/>
              </w:rPr>
              <w:t>生产、种植或养殖基地</w:t>
            </w:r>
            <w:r>
              <w:rPr>
                <w:rFonts w:hint="eastAsia" w:ascii="宋体" w:hAnsi="宋体"/>
                <w:bCs/>
                <w:kern w:val="0"/>
                <w:szCs w:val="21"/>
              </w:rPr>
              <w:t>的</w:t>
            </w:r>
            <w:r>
              <w:rPr>
                <w:rFonts w:hint="eastAsia" w:ascii="宋体" w:hAnsi="宋体"/>
                <w:b/>
                <w:bCs/>
                <w:kern w:val="0"/>
                <w:szCs w:val="21"/>
              </w:rPr>
              <w:t>，提供产权证明或租赁合同，以及</w:t>
            </w:r>
            <w:r>
              <w:rPr>
                <w:rFonts w:hint="eastAsia" w:hAnsi="宋体"/>
                <w:bCs/>
                <w:kern w:val="0"/>
                <w:szCs w:val="21"/>
              </w:rPr>
              <w:t>生产、种植或养殖基地图片证明；②合作关系或经销代理的生产、种植或养殖基地</w:t>
            </w:r>
            <w:r>
              <w:rPr>
                <w:rFonts w:hint="eastAsia" w:ascii="宋体" w:hAnsi="宋体"/>
                <w:b/>
                <w:bCs/>
                <w:kern w:val="0"/>
                <w:szCs w:val="21"/>
              </w:rPr>
              <w:t>提供合作关系合同或经销代理证明，以及</w:t>
            </w:r>
            <w:r>
              <w:rPr>
                <w:rFonts w:hint="eastAsia" w:hAnsi="宋体"/>
                <w:bCs/>
                <w:kern w:val="0"/>
                <w:szCs w:val="21"/>
              </w:rPr>
              <w:t>生产、种植或养殖基地图片证明。</w:t>
            </w:r>
          </w:p>
        </w:tc>
      </w:tr>
      <w:tr w14:paraId="3EBB1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34" w:type="dxa"/>
            <w:vMerge w:val="continue"/>
            <w:vAlign w:val="center"/>
          </w:tcPr>
          <w:p w14:paraId="10163176">
            <w:pPr>
              <w:adjustRightInd w:val="0"/>
              <w:spacing w:line="360" w:lineRule="auto"/>
              <w:jc w:val="center"/>
              <w:textAlignment w:val="baseline"/>
              <w:rPr>
                <w:rFonts w:ascii="宋体" w:hAnsi="宋体" w:cs="宋体"/>
                <w:b/>
                <w:szCs w:val="21"/>
              </w:rPr>
            </w:pPr>
          </w:p>
        </w:tc>
        <w:tc>
          <w:tcPr>
            <w:tcW w:w="1276" w:type="dxa"/>
            <w:vMerge w:val="continue"/>
            <w:vAlign w:val="center"/>
          </w:tcPr>
          <w:p w14:paraId="692F6D1F">
            <w:pPr>
              <w:adjustRightInd w:val="0"/>
              <w:spacing w:line="360" w:lineRule="auto"/>
              <w:jc w:val="center"/>
              <w:textAlignment w:val="baseline"/>
              <w:rPr>
                <w:rFonts w:ascii="宋体" w:hAnsi="宋体" w:cs="宋体"/>
                <w:b/>
                <w:szCs w:val="21"/>
              </w:rPr>
            </w:pPr>
          </w:p>
        </w:tc>
        <w:tc>
          <w:tcPr>
            <w:tcW w:w="716" w:type="dxa"/>
            <w:vMerge w:val="continue"/>
            <w:vAlign w:val="center"/>
          </w:tcPr>
          <w:p w14:paraId="6FD5A8DF">
            <w:pPr>
              <w:adjustRightInd w:val="0"/>
              <w:spacing w:line="360" w:lineRule="auto"/>
              <w:jc w:val="center"/>
              <w:textAlignment w:val="baseline"/>
              <w:rPr>
                <w:rFonts w:ascii="宋体" w:hAnsi="宋体" w:cs="宋体"/>
                <w:b/>
                <w:szCs w:val="21"/>
              </w:rPr>
            </w:pPr>
          </w:p>
        </w:tc>
        <w:tc>
          <w:tcPr>
            <w:tcW w:w="6962" w:type="dxa"/>
            <w:gridSpan w:val="2"/>
            <w:vAlign w:val="center"/>
          </w:tcPr>
          <w:p w14:paraId="0A486228">
            <w:pPr>
              <w:spacing w:line="420" w:lineRule="exact"/>
              <w:ind w:firstLine="420" w:firstLineChars="200"/>
              <w:jc w:val="left"/>
              <w:rPr>
                <w:rFonts w:ascii="宋体" w:hAnsi="宋体" w:cs="宋体"/>
                <w:bCs/>
                <w:kern w:val="0"/>
                <w:szCs w:val="21"/>
              </w:rPr>
            </w:pPr>
            <w:r>
              <w:rPr>
                <w:rFonts w:hint="eastAsia" w:ascii="宋体" w:hAnsi="宋体" w:cs="宋体"/>
                <w:bCs/>
                <w:kern w:val="0"/>
                <w:szCs w:val="21"/>
              </w:rPr>
              <w:t>（7）投标人具备食品检验检测能力的，得1分</w:t>
            </w:r>
            <w:r>
              <w:rPr>
                <w:rFonts w:hint="eastAsia" w:ascii="宋体" w:hAnsi="宋体"/>
                <w:szCs w:val="21"/>
              </w:rPr>
              <w:t>（提供公司购买检验检测设备发票复印件及公司检测人员食品安全检验员证书复印件）</w:t>
            </w:r>
            <w:r>
              <w:rPr>
                <w:rFonts w:hint="eastAsia" w:ascii="宋体" w:hAnsi="宋体" w:cs="宋体"/>
                <w:bCs/>
                <w:kern w:val="0"/>
                <w:szCs w:val="21"/>
              </w:rPr>
              <w:t>。</w:t>
            </w:r>
          </w:p>
        </w:tc>
      </w:tr>
      <w:tr w14:paraId="46535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8" w:type="dxa"/>
            <w:gridSpan w:val="5"/>
            <w:vAlign w:val="center"/>
          </w:tcPr>
          <w:p w14:paraId="6C2C0C85">
            <w:pPr>
              <w:spacing w:line="360" w:lineRule="auto"/>
              <w:rPr>
                <w:rFonts w:ascii="宋体" w:hAnsi="宋体" w:cs="宋体"/>
                <w:bCs/>
                <w:szCs w:val="21"/>
              </w:rPr>
            </w:pPr>
            <w:r>
              <w:rPr>
                <w:rFonts w:hint="eastAsia" w:ascii="宋体" w:hAnsi="宋体" w:cs="宋体"/>
                <w:b/>
                <w:bCs/>
                <w:szCs w:val="21"/>
              </w:rPr>
              <w:t>总得分=1+2+3+4。</w:t>
            </w:r>
          </w:p>
        </w:tc>
      </w:tr>
    </w:tbl>
    <w:p w14:paraId="70139A07">
      <w:pPr>
        <w:spacing w:line="440" w:lineRule="exact"/>
        <w:ind w:firstLine="420" w:firstLineChars="200"/>
        <w:contextualSpacing/>
        <w:rPr>
          <w:rFonts w:ascii="宋体" w:hAnsi="宋体" w:cs="宋体"/>
          <w:bCs/>
          <w:szCs w:val="21"/>
        </w:rPr>
      </w:pPr>
    </w:p>
    <w:bookmarkEnd w:id="311"/>
    <w:p w14:paraId="150B8120">
      <w:pPr>
        <w:pStyle w:val="5"/>
        <w:jc w:val="center"/>
        <w:rPr>
          <w:rFonts w:ascii="宋体" w:hAnsi="宋体" w:eastAsia="宋体" w:cs="宋体"/>
          <w:b w:val="0"/>
          <w:sz w:val="30"/>
          <w:szCs w:val="30"/>
        </w:rPr>
      </w:pPr>
      <w:r>
        <w:rPr>
          <w:rFonts w:hint="eastAsia" w:hAnsi="宋体" w:cs="宋体"/>
          <w:sz w:val="30"/>
          <w:szCs w:val="30"/>
        </w:rPr>
        <w:br w:type="page"/>
      </w:r>
      <w:bookmarkStart w:id="316" w:name="_Toc14252"/>
      <w:bookmarkStart w:id="317" w:name="_Toc27076"/>
      <w:bookmarkStart w:id="318" w:name="_Toc25356"/>
      <w:r>
        <w:rPr>
          <w:rFonts w:hint="eastAsia" w:ascii="宋体" w:hAnsi="宋体" w:eastAsia="宋体" w:cs="宋体"/>
        </w:rPr>
        <w:t>第四节 中标候选人推荐原则</w:t>
      </w:r>
      <w:bookmarkEnd w:id="312"/>
      <w:bookmarkEnd w:id="316"/>
      <w:bookmarkEnd w:id="317"/>
      <w:bookmarkEnd w:id="318"/>
    </w:p>
    <w:p w14:paraId="7D0BB7C3">
      <w:pPr>
        <w:pStyle w:val="20"/>
        <w:numPr>
          <w:ilvl w:val="0"/>
          <w:numId w:val="27"/>
        </w:numPr>
        <w:spacing w:line="360" w:lineRule="auto"/>
        <w:contextualSpacing/>
        <w:outlineLvl w:val="2"/>
        <w:rPr>
          <w:rFonts w:hAnsi="宋体" w:cs="宋体"/>
          <w:b/>
          <w:bCs/>
          <w:sz w:val="24"/>
          <w:szCs w:val="24"/>
        </w:rPr>
      </w:pPr>
      <w:bookmarkStart w:id="319" w:name="_Toc26125"/>
      <w:bookmarkStart w:id="320" w:name="_Toc10638"/>
      <w:bookmarkStart w:id="321" w:name="_Toc20334"/>
      <w:r>
        <w:rPr>
          <w:rFonts w:hint="eastAsia" w:hAnsi="宋体" w:cs="宋体"/>
          <w:b/>
          <w:bCs/>
          <w:sz w:val="24"/>
          <w:szCs w:val="24"/>
        </w:rPr>
        <w:t>综合评分法</w:t>
      </w:r>
      <w:bookmarkEnd w:id="319"/>
      <w:bookmarkEnd w:id="320"/>
      <w:bookmarkEnd w:id="321"/>
    </w:p>
    <w:p w14:paraId="168AF52E">
      <w:pPr>
        <w:pStyle w:val="20"/>
        <w:spacing w:line="360" w:lineRule="auto"/>
        <w:ind w:firstLine="420" w:firstLineChars="200"/>
        <w:contextualSpacing/>
        <w:rPr>
          <w:rFonts w:hAnsi="宋体" w:cs="宋体"/>
        </w:rPr>
      </w:pPr>
      <w:r>
        <w:rPr>
          <w:rFonts w:hint="eastAsia" w:hAnsi="宋体" w:cs="宋体"/>
        </w:rPr>
        <w:t>1.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6BDFE45A">
      <w:pPr>
        <w:pStyle w:val="20"/>
        <w:spacing w:line="360" w:lineRule="auto"/>
        <w:ind w:firstLine="422" w:firstLineChars="200"/>
        <w:contextualSpacing/>
        <w:rPr>
          <w:rFonts w:hAnsi="宋体" w:cs="宋体"/>
          <w:b/>
          <w:bCs/>
        </w:rPr>
      </w:pPr>
      <w:r>
        <w:rPr>
          <w:rFonts w:hint="eastAsia" w:hAnsi="宋体" w:cs="宋体"/>
          <w:b/>
          <w:bCs/>
        </w:rPr>
        <w:t>2.本项目多个分标，允许投标人投多个分标，一个投标人</w:t>
      </w:r>
      <w:r>
        <w:rPr>
          <w:rFonts w:hint="eastAsia" w:hAnsi="宋体" w:cs="宋体"/>
          <w:bCs/>
          <w:szCs w:val="21"/>
        </w:rPr>
        <w:t>最多</w:t>
      </w:r>
      <w:r>
        <w:rPr>
          <w:rFonts w:hint="eastAsia" w:hAnsi="宋体" w:cs="宋体"/>
          <w:b/>
          <w:bCs/>
        </w:rPr>
        <w:t>中标2个标段。</w:t>
      </w:r>
    </w:p>
    <w:p w14:paraId="389CCB9B">
      <w:pPr>
        <w:pStyle w:val="20"/>
        <w:spacing w:line="360" w:lineRule="auto"/>
        <w:ind w:firstLine="420" w:firstLineChars="200"/>
        <w:contextualSpacing/>
        <w:rPr>
          <w:rFonts w:hAnsi="宋体" w:cs="宋体"/>
        </w:rPr>
      </w:pPr>
      <w:r>
        <w:rPr>
          <w:rFonts w:hint="eastAsia" w:hAnsi="宋体" w:cs="宋体"/>
        </w:rPr>
        <w:t>3.</w:t>
      </w:r>
      <w:r>
        <w:rPr>
          <w:rFonts w:hint="eastAsia" w:hAnsi="宋体" w:cs="宋体"/>
          <w:bCs/>
          <w:szCs w:val="21"/>
        </w:rPr>
        <w:t>定标原则：投标人可对多分标进行响应，一个投标人最多中标2个分标。定标顺序：先A分标后B分标再到C分标以此类推，即：A分标→B分标→C分标→…。经评审后，如某供应商获得定标顺序中2个分标的第一中标候选人资格，并可继续按规定参与其他分标的响应，但不再享有中标资格。评审小组推荐分标中标候选人时，应排除前面2个分标中第一中标候选人是否已经为其中一个分标的第一中标候选人资格后，再按“各分标中标候选人推荐原则”推荐该分标的中标候选人。</w:t>
      </w:r>
    </w:p>
    <w:p w14:paraId="43E56997">
      <w:pPr>
        <w:pStyle w:val="5"/>
        <w:jc w:val="center"/>
        <w:rPr>
          <w:rFonts w:ascii="宋体" w:hAnsi="宋体" w:eastAsia="宋体" w:cs="宋体"/>
        </w:rPr>
      </w:pPr>
      <w:bookmarkStart w:id="322" w:name="_Toc22543"/>
      <w:bookmarkStart w:id="323" w:name="_Toc30492"/>
      <w:bookmarkStart w:id="324" w:name="_Toc29436"/>
      <w:bookmarkStart w:id="325" w:name="_Toc17806"/>
      <w:r>
        <w:rPr>
          <w:rFonts w:hint="eastAsia" w:ascii="宋体" w:hAnsi="宋体" w:eastAsia="宋体" w:cs="宋体"/>
        </w:rPr>
        <w:t>第五节 评标报告</w:t>
      </w:r>
      <w:bookmarkEnd w:id="322"/>
      <w:bookmarkEnd w:id="323"/>
      <w:bookmarkEnd w:id="324"/>
      <w:bookmarkEnd w:id="325"/>
    </w:p>
    <w:p w14:paraId="72132B8E">
      <w:pPr>
        <w:pStyle w:val="85"/>
        <w:spacing w:before="0"/>
        <w:ind w:firstLine="482"/>
        <w:outlineLvl w:val="2"/>
        <w:rPr>
          <w:rFonts w:ascii="宋体" w:hAnsi="宋体" w:cs="宋体"/>
          <w:b/>
          <w:bCs/>
          <w:szCs w:val="24"/>
        </w:rPr>
      </w:pPr>
      <w:bookmarkStart w:id="326" w:name="_Toc23491"/>
      <w:bookmarkStart w:id="327" w:name="_Toc17441"/>
      <w:bookmarkStart w:id="328" w:name="_Toc16049"/>
      <w:r>
        <w:rPr>
          <w:rFonts w:hint="eastAsia" w:ascii="宋体" w:hAnsi="宋体" w:cs="宋体"/>
          <w:b/>
          <w:bCs/>
          <w:szCs w:val="24"/>
        </w:rPr>
        <w:t>（一）评标报告与推荐中标候选人</w:t>
      </w:r>
      <w:bookmarkEnd w:id="326"/>
      <w:bookmarkEnd w:id="327"/>
      <w:bookmarkEnd w:id="328"/>
    </w:p>
    <w:p w14:paraId="16BBF439">
      <w:pPr>
        <w:pStyle w:val="20"/>
        <w:tabs>
          <w:tab w:val="left" w:pos="2472"/>
        </w:tabs>
        <w:spacing w:line="360" w:lineRule="auto"/>
        <w:ind w:firstLine="420" w:firstLineChars="200"/>
        <w:rPr>
          <w:rFonts w:hAnsi="宋体" w:cs="宋体"/>
        </w:rPr>
      </w:pPr>
      <w:r>
        <w:rPr>
          <w:rFonts w:hint="eastAsia" w:hAnsi="宋体" w:cs="宋体"/>
        </w:rPr>
        <w:t>评标委员会根据原始评标记录和评标结果编写评标报告，并通过电子交易平台向采购人、采购代理机构提交。</w:t>
      </w:r>
    </w:p>
    <w:p w14:paraId="5D511A51">
      <w:pPr>
        <w:widowControl/>
        <w:spacing w:line="360" w:lineRule="auto"/>
        <w:ind w:firstLine="482" w:firstLineChars="200"/>
        <w:jc w:val="left"/>
        <w:outlineLvl w:val="2"/>
        <w:rPr>
          <w:rFonts w:ascii="宋体" w:hAnsi="宋体" w:cs="宋体"/>
          <w:b/>
          <w:bCs/>
          <w:sz w:val="24"/>
        </w:rPr>
      </w:pPr>
      <w:bookmarkStart w:id="329" w:name="_Toc11077"/>
      <w:bookmarkStart w:id="330" w:name="_Toc5533"/>
      <w:bookmarkStart w:id="331" w:name="_Toc22719"/>
      <w:r>
        <w:rPr>
          <w:rFonts w:hint="eastAsia" w:ascii="宋体" w:hAnsi="宋体" w:cs="宋体"/>
          <w:b/>
          <w:bCs/>
          <w:sz w:val="24"/>
        </w:rPr>
        <w:t>（二）评标争议事项处理</w:t>
      </w:r>
      <w:bookmarkEnd w:id="329"/>
      <w:bookmarkEnd w:id="330"/>
      <w:bookmarkEnd w:id="331"/>
    </w:p>
    <w:p w14:paraId="3C34AE37">
      <w:pPr>
        <w:pStyle w:val="20"/>
        <w:tabs>
          <w:tab w:val="left" w:pos="2472"/>
        </w:tabs>
        <w:spacing w:line="360" w:lineRule="auto"/>
        <w:ind w:firstLine="420" w:firstLineChars="200"/>
        <w:rPr>
          <w:rFonts w:hAnsi="宋体" w:cs="宋体"/>
        </w:rPr>
      </w:pPr>
      <w:r>
        <w:rPr>
          <w:rFonts w:hint="eastAsia" w:hAnsi="宋体" w:cs="宋体"/>
        </w:rPr>
        <w:t>评标委员会成员对需要共同认定的事项存在争议的，应当按照少数服从多数的原则作出结论。持不同意见的评标委员会成员应当在评标报告上签署不同意见及理由，否则视为同意评标报告。</w:t>
      </w:r>
    </w:p>
    <w:p w14:paraId="281A4DE0">
      <w:pPr>
        <w:pStyle w:val="20"/>
        <w:tabs>
          <w:tab w:val="left" w:pos="2472"/>
        </w:tabs>
        <w:spacing w:line="460" w:lineRule="exact"/>
        <w:rPr>
          <w:rFonts w:hAnsi="宋体" w:cs="宋体"/>
          <w:b/>
          <w:sz w:val="36"/>
        </w:rPr>
        <w:sectPr>
          <w:pgSz w:w="11906" w:h="16838"/>
          <w:pgMar w:top="1354" w:right="1312" w:bottom="1404" w:left="1354" w:header="720" w:footer="720" w:gutter="0"/>
          <w:cols w:space="720" w:num="1"/>
          <w:docGrid w:type="lines" w:linePitch="331" w:charSpace="0"/>
        </w:sectPr>
      </w:pPr>
    </w:p>
    <w:p w14:paraId="39FD2620">
      <w:pPr>
        <w:pStyle w:val="20"/>
        <w:tabs>
          <w:tab w:val="left" w:pos="2472"/>
        </w:tabs>
        <w:spacing w:line="460" w:lineRule="exact"/>
        <w:jc w:val="center"/>
        <w:rPr>
          <w:rFonts w:hAnsi="宋体" w:cs="宋体"/>
          <w:b/>
          <w:sz w:val="36"/>
        </w:rPr>
      </w:pPr>
    </w:p>
    <w:p w14:paraId="1BFE7A5E">
      <w:pPr>
        <w:pStyle w:val="20"/>
        <w:tabs>
          <w:tab w:val="left" w:pos="2472"/>
        </w:tabs>
        <w:spacing w:line="460" w:lineRule="exact"/>
        <w:jc w:val="center"/>
        <w:rPr>
          <w:rFonts w:hAnsi="宋体" w:cs="宋体"/>
          <w:b/>
          <w:sz w:val="36"/>
        </w:rPr>
      </w:pPr>
    </w:p>
    <w:p w14:paraId="34E10BD5">
      <w:pPr>
        <w:pStyle w:val="20"/>
        <w:tabs>
          <w:tab w:val="left" w:pos="2472"/>
        </w:tabs>
        <w:spacing w:line="460" w:lineRule="exact"/>
        <w:jc w:val="center"/>
        <w:rPr>
          <w:rFonts w:hAnsi="宋体" w:cs="宋体"/>
          <w:b/>
          <w:sz w:val="36"/>
        </w:rPr>
      </w:pPr>
    </w:p>
    <w:p w14:paraId="429106EA">
      <w:pPr>
        <w:pStyle w:val="20"/>
        <w:tabs>
          <w:tab w:val="left" w:pos="2472"/>
        </w:tabs>
        <w:spacing w:line="460" w:lineRule="exact"/>
        <w:jc w:val="center"/>
        <w:rPr>
          <w:rFonts w:hAnsi="宋体" w:cs="宋体"/>
          <w:b/>
          <w:sz w:val="36"/>
        </w:rPr>
      </w:pPr>
    </w:p>
    <w:p w14:paraId="6B88DCB2">
      <w:pPr>
        <w:pStyle w:val="20"/>
        <w:tabs>
          <w:tab w:val="left" w:pos="2472"/>
        </w:tabs>
        <w:spacing w:line="460" w:lineRule="exact"/>
        <w:jc w:val="center"/>
        <w:rPr>
          <w:rFonts w:hAnsi="宋体" w:cs="宋体"/>
          <w:b/>
          <w:sz w:val="36"/>
        </w:rPr>
      </w:pPr>
    </w:p>
    <w:p w14:paraId="28789061">
      <w:pPr>
        <w:pStyle w:val="20"/>
        <w:tabs>
          <w:tab w:val="left" w:pos="2472"/>
        </w:tabs>
        <w:spacing w:line="460" w:lineRule="exact"/>
        <w:jc w:val="center"/>
        <w:rPr>
          <w:rFonts w:hAnsi="宋体" w:cs="宋体"/>
          <w:b/>
          <w:sz w:val="36"/>
        </w:rPr>
      </w:pPr>
    </w:p>
    <w:p w14:paraId="06B1B91E">
      <w:pPr>
        <w:pStyle w:val="20"/>
        <w:tabs>
          <w:tab w:val="left" w:pos="2472"/>
        </w:tabs>
        <w:spacing w:line="460" w:lineRule="exact"/>
        <w:jc w:val="center"/>
        <w:rPr>
          <w:rFonts w:hAnsi="宋体" w:cs="宋体"/>
          <w:b/>
          <w:sz w:val="36"/>
        </w:rPr>
      </w:pPr>
    </w:p>
    <w:p w14:paraId="2058EE2C">
      <w:pPr>
        <w:pStyle w:val="20"/>
        <w:tabs>
          <w:tab w:val="left" w:pos="2472"/>
        </w:tabs>
        <w:spacing w:line="460" w:lineRule="exact"/>
        <w:jc w:val="center"/>
        <w:rPr>
          <w:rFonts w:hAnsi="宋体" w:cs="宋体"/>
          <w:b/>
          <w:sz w:val="36"/>
        </w:rPr>
      </w:pPr>
    </w:p>
    <w:p w14:paraId="23374F42">
      <w:pPr>
        <w:pStyle w:val="20"/>
        <w:tabs>
          <w:tab w:val="left" w:pos="2472"/>
        </w:tabs>
        <w:spacing w:line="460" w:lineRule="exact"/>
        <w:jc w:val="center"/>
        <w:rPr>
          <w:rFonts w:hAnsi="宋体" w:cs="宋体"/>
          <w:b/>
          <w:sz w:val="36"/>
        </w:rPr>
      </w:pPr>
    </w:p>
    <w:p w14:paraId="712C7604">
      <w:pPr>
        <w:pStyle w:val="20"/>
        <w:tabs>
          <w:tab w:val="left" w:pos="2472"/>
        </w:tabs>
        <w:spacing w:line="460" w:lineRule="exact"/>
        <w:jc w:val="center"/>
        <w:rPr>
          <w:rFonts w:hAnsi="宋体" w:cs="宋体"/>
          <w:b/>
          <w:sz w:val="36"/>
        </w:rPr>
      </w:pPr>
    </w:p>
    <w:p w14:paraId="2ED29B4F">
      <w:pPr>
        <w:pStyle w:val="20"/>
        <w:tabs>
          <w:tab w:val="left" w:pos="2472"/>
        </w:tabs>
        <w:spacing w:line="460" w:lineRule="exact"/>
        <w:jc w:val="center"/>
        <w:rPr>
          <w:rFonts w:hAnsi="宋体" w:cs="宋体"/>
          <w:b/>
          <w:sz w:val="36"/>
        </w:rPr>
      </w:pPr>
    </w:p>
    <w:p w14:paraId="7F1D5E85">
      <w:pPr>
        <w:pStyle w:val="20"/>
        <w:tabs>
          <w:tab w:val="left" w:pos="2472"/>
        </w:tabs>
        <w:spacing w:line="460" w:lineRule="exact"/>
        <w:jc w:val="center"/>
        <w:rPr>
          <w:rFonts w:hAnsi="宋体" w:cs="宋体"/>
          <w:b/>
          <w:sz w:val="36"/>
        </w:rPr>
      </w:pPr>
    </w:p>
    <w:p w14:paraId="43CDC003">
      <w:pPr>
        <w:pStyle w:val="20"/>
        <w:tabs>
          <w:tab w:val="left" w:pos="2472"/>
        </w:tabs>
        <w:spacing w:line="460" w:lineRule="exact"/>
        <w:jc w:val="center"/>
        <w:rPr>
          <w:rFonts w:hAnsi="宋体" w:cs="宋体"/>
          <w:b/>
          <w:sz w:val="36"/>
        </w:rPr>
      </w:pPr>
    </w:p>
    <w:p w14:paraId="2C713947">
      <w:pPr>
        <w:pStyle w:val="20"/>
        <w:tabs>
          <w:tab w:val="left" w:pos="2472"/>
        </w:tabs>
        <w:spacing w:line="460" w:lineRule="exact"/>
        <w:jc w:val="center"/>
        <w:outlineLvl w:val="0"/>
        <w:rPr>
          <w:rFonts w:hAnsi="宋体" w:cs="宋体"/>
          <w:b/>
          <w:sz w:val="36"/>
        </w:rPr>
      </w:pPr>
      <w:bookmarkStart w:id="332" w:name="_Toc11475"/>
      <w:bookmarkStart w:id="333" w:name="_Toc21166"/>
      <w:bookmarkStart w:id="334" w:name="_Toc10943"/>
      <w:bookmarkStart w:id="335" w:name="_Toc21730"/>
      <w:r>
        <w:rPr>
          <w:rFonts w:hint="eastAsia" w:hAnsi="宋体" w:cs="宋体"/>
          <w:b/>
          <w:sz w:val="36"/>
        </w:rPr>
        <w:t>第五章 拟签订的合同文本</w:t>
      </w:r>
      <w:bookmarkEnd w:id="332"/>
      <w:bookmarkEnd w:id="333"/>
      <w:bookmarkEnd w:id="334"/>
      <w:bookmarkEnd w:id="335"/>
    </w:p>
    <w:p w14:paraId="06DAEBC0">
      <w:pPr>
        <w:pStyle w:val="20"/>
        <w:tabs>
          <w:tab w:val="left" w:pos="720"/>
        </w:tabs>
        <w:spacing w:line="460" w:lineRule="exact"/>
        <w:rPr>
          <w:rFonts w:hAnsi="宋体" w:cs="宋体"/>
          <w:bCs/>
        </w:rPr>
        <w:sectPr>
          <w:pgSz w:w="11906" w:h="16838"/>
          <w:pgMar w:top="1134" w:right="1312" w:bottom="1134" w:left="1354" w:header="720" w:footer="720" w:gutter="0"/>
          <w:cols w:space="720" w:num="1"/>
          <w:docGrid w:type="lines" w:linePitch="331" w:charSpace="0"/>
        </w:sectPr>
      </w:pPr>
    </w:p>
    <w:p w14:paraId="35F6A657">
      <w:pPr>
        <w:spacing w:line="520" w:lineRule="exact"/>
        <w:jc w:val="center"/>
        <w:rPr>
          <w:rFonts w:ascii="宋体" w:hAnsi="宋体" w:cs="Courier New"/>
          <w:b/>
          <w:sz w:val="32"/>
          <w:szCs w:val="32"/>
        </w:rPr>
      </w:pPr>
      <w:r>
        <w:rPr>
          <w:rFonts w:hint="eastAsia" w:eastAsia="华文中宋"/>
          <w:b/>
          <w:sz w:val="44"/>
          <w:szCs w:val="44"/>
        </w:rPr>
        <w:t>《广西壮族自治区政府采购合同》</w:t>
      </w:r>
    </w:p>
    <w:p w14:paraId="687DD453">
      <w:pPr>
        <w:spacing w:line="520" w:lineRule="exact"/>
        <w:rPr>
          <w:rFonts w:ascii="宋体" w:hAnsi="宋体" w:cs="Courier New"/>
          <w:b/>
          <w:sz w:val="32"/>
          <w:szCs w:val="32"/>
        </w:rPr>
      </w:pPr>
    </w:p>
    <w:p w14:paraId="75E1E8BC">
      <w:pPr>
        <w:snapToGrid w:val="0"/>
        <w:spacing w:line="400" w:lineRule="exact"/>
        <w:ind w:right="480" w:firstLine="5250" w:firstLineChars="2500"/>
        <w:rPr>
          <w:rFonts w:ascii="宋体" w:hAnsi="宋体"/>
          <w:bCs/>
          <w:szCs w:val="21"/>
          <w:u w:val="single"/>
        </w:rPr>
      </w:pPr>
      <w:r>
        <w:rPr>
          <w:rFonts w:hint="eastAsia" w:ascii="宋体" w:hAnsi="宋体"/>
          <w:bCs/>
          <w:szCs w:val="21"/>
        </w:rPr>
        <w:t>合同编号：        分标号：</w:t>
      </w:r>
    </w:p>
    <w:p w14:paraId="3C0BAECB">
      <w:pPr>
        <w:snapToGrid w:val="0"/>
        <w:spacing w:line="360" w:lineRule="exact"/>
        <w:rPr>
          <w:rFonts w:ascii="宋体" w:hAnsi="宋体"/>
          <w:szCs w:val="21"/>
        </w:rPr>
      </w:pPr>
    </w:p>
    <w:p w14:paraId="6A411D70">
      <w:pPr>
        <w:snapToGrid w:val="0"/>
        <w:spacing w:line="360" w:lineRule="auto"/>
        <w:rPr>
          <w:rFonts w:ascii="宋体" w:hAnsi="宋体"/>
          <w:szCs w:val="21"/>
          <w:u w:val="single"/>
        </w:rPr>
      </w:pPr>
      <w:r>
        <w:rPr>
          <w:rFonts w:hint="eastAsia" w:ascii="宋体" w:hAnsi="宋体"/>
          <w:szCs w:val="21"/>
        </w:rPr>
        <w:t>采购人（甲方）</w:t>
      </w:r>
      <w:r>
        <w:rPr>
          <w:rFonts w:hint="eastAsia" w:ascii="宋体" w:hAnsi="宋体"/>
          <w:szCs w:val="21"/>
          <w:u w:val="single"/>
        </w:rPr>
        <w:t xml:space="preserve">                          </w:t>
      </w:r>
      <w:r>
        <w:rPr>
          <w:rFonts w:hint="eastAsia" w:ascii="宋体" w:hAnsi="宋体"/>
          <w:szCs w:val="21"/>
        </w:rPr>
        <w:t xml:space="preserve">    </w:t>
      </w:r>
      <w:r>
        <w:rPr>
          <w:rFonts w:hint="eastAsia" w:ascii="宋体" w:hAnsi="宋体"/>
          <w:spacing w:val="-20"/>
          <w:szCs w:val="21"/>
        </w:rPr>
        <w:t>采 购 计 划 号</w:t>
      </w:r>
      <w:r>
        <w:rPr>
          <w:rFonts w:hint="eastAsia" w:ascii="宋体" w:hAnsi="宋体"/>
          <w:szCs w:val="21"/>
          <w:u w:val="single"/>
        </w:rPr>
        <w:t xml:space="preserve">             </w:t>
      </w:r>
    </w:p>
    <w:p w14:paraId="225BE66D">
      <w:pPr>
        <w:snapToGrid w:val="0"/>
        <w:spacing w:line="360" w:lineRule="auto"/>
        <w:rPr>
          <w:rFonts w:ascii="宋体" w:hAnsi="宋体"/>
          <w:szCs w:val="21"/>
          <w:u w:val="single"/>
        </w:rPr>
      </w:pPr>
      <w:r>
        <w:rPr>
          <w:rFonts w:hint="eastAsia" w:ascii="宋体" w:hAnsi="宋体"/>
          <w:szCs w:val="21"/>
        </w:rPr>
        <w:t>供 应 商（乙方）</w:t>
      </w:r>
      <w:r>
        <w:rPr>
          <w:rFonts w:hint="eastAsia" w:ascii="宋体" w:hAnsi="宋体"/>
          <w:szCs w:val="21"/>
          <w:u w:val="single"/>
        </w:rPr>
        <w:t xml:space="preserve">                          </w:t>
      </w:r>
      <w:r>
        <w:rPr>
          <w:rFonts w:hint="eastAsia" w:ascii="宋体" w:hAnsi="宋体"/>
          <w:szCs w:val="21"/>
        </w:rPr>
        <w:t xml:space="preserve">  </w:t>
      </w:r>
      <w:r>
        <w:rPr>
          <w:rFonts w:hint="eastAsia" w:ascii="宋体" w:hAnsi="宋体"/>
          <w:spacing w:val="-20"/>
          <w:szCs w:val="21"/>
        </w:rPr>
        <w:t>招  标  编  号</w:t>
      </w:r>
      <w:r>
        <w:rPr>
          <w:rFonts w:hint="eastAsia" w:ascii="宋体" w:hAnsi="宋体"/>
          <w:szCs w:val="21"/>
          <w:u w:val="single"/>
        </w:rPr>
        <w:t xml:space="preserve">             </w:t>
      </w:r>
    </w:p>
    <w:p w14:paraId="09C06ACA">
      <w:pPr>
        <w:snapToGrid w:val="0"/>
        <w:spacing w:line="360" w:lineRule="auto"/>
        <w:rPr>
          <w:rFonts w:ascii="宋体" w:hAnsi="宋体"/>
          <w:szCs w:val="21"/>
          <w:u w:val="single"/>
        </w:rPr>
      </w:pPr>
      <w:r>
        <w:rPr>
          <w:rFonts w:hint="eastAsia" w:ascii="宋体" w:hAnsi="宋体"/>
          <w:szCs w:val="21"/>
        </w:rPr>
        <w:t xml:space="preserve">签  订  地  点  </w:t>
      </w:r>
      <w:r>
        <w:rPr>
          <w:rFonts w:hint="eastAsia" w:ascii="宋体" w:hAnsi="宋体"/>
          <w:szCs w:val="21"/>
          <w:u w:val="single"/>
        </w:rPr>
        <w:t xml:space="preserve">                          </w:t>
      </w:r>
      <w:r>
        <w:rPr>
          <w:rFonts w:hint="eastAsia" w:ascii="宋体" w:hAnsi="宋体"/>
          <w:szCs w:val="21"/>
        </w:rPr>
        <w:t xml:space="preserve">  签 订 时 间</w:t>
      </w:r>
      <w:r>
        <w:rPr>
          <w:rFonts w:hint="eastAsia" w:ascii="宋体" w:hAnsi="宋体"/>
          <w:szCs w:val="21"/>
          <w:u w:val="single"/>
        </w:rPr>
        <w:t xml:space="preserve">             </w:t>
      </w:r>
    </w:p>
    <w:p w14:paraId="5D68E80F">
      <w:pPr>
        <w:spacing w:line="360" w:lineRule="auto"/>
        <w:rPr>
          <w:rFonts w:ascii="宋体" w:hAnsi="宋体" w:cs="宋体"/>
          <w:szCs w:val="21"/>
        </w:rPr>
      </w:pPr>
      <w:r>
        <w:rPr>
          <w:rFonts w:hint="eastAsia" w:ascii="宋体" w:hAnsi="宋体" w:cs="宋体"/>
          <w:szCs w:val="21"/>
        </w:rPr>
        <w:t>本合同为中小企业预留合同：</w:t>
      </w:r>
      <w:r>
        <w:rPr>
          <w:rFonts w:hint="eastAsia" w:ascii="宋体" w:hAnsi="宋体" w:cs="宋体"/>
          <w:szCs w:val="21"/>
          <w:u w:val="single"/>
        </w:rPr>
        <w:t xml:space="preserve">     </w:t>
      </w:r>
      <w:r>
        <w:rPr>
          <w:rFonts w:hint="eastAsia" w:ascii="宋体" w:hAnsi="宋体" w:cs="宋体"/>
          <w:szCs w:val="21"/>
        </w:rPr>
        <w:t>。</w:t>
      </w:r>
    </w:p>
    <w:p w14:paraId="263A224A">
      <w:pPr>
        <w:spacing w:line="360" w:lineRule="auto"/>
        <w:ind w:firstLine="420" w:firstLineChars="200"/>
        <w:rPr>
          <w:rFonts w:ascii="宋体" w:hAnsi="宋体" w:cs="宋体"/>
          <w:szCs w:val="21"/>
        </w:rPr>
      </w:pPr>
      <w:r>
        <w:rPr>
          <w:rFonts w:hint="eastAsia" w:ascii="宋体" w:hAnsi="宋体" w:cs="宋体"/>
          <w:szCs w:val="21"/>
        </w:rPr>
        <w:t>根据《中华人民共和国政府采购法》、《中华人民共和国民法典》等法律、法规规定，按照</w:t>
      </w:r>
      <w:r>
        <w:rPr>
          <w:rFonts w:hint="eastAsia" w:ascii="宋体" w:hAnsi="宋体"/>
          <w:szCs w:val="21"/>
        </w:rPr>
        <w:t>招标文件规定条款和乙方投标文件及其承诺，甲乙双方签订本合同。</w:t>
      </w:r>
    </w:p>
    <w:p w14:paraId="0792CE7A">
      <w:pPr>
        <w:snapToGrid w:val="0"/>
        <w:spacing w:line="400" w:lineRule="exact"/>
        <w:ind w:firstLine="422" w:firstLineChars="200"/>
        <w:rPr>
          <w:rFonts w:ascii="宋体" w:hAnsi="宋体"/>
          <w:b/>
          <w:szCs w:val="21"/>
        </w:rPr>
      </w:pPr>
      <w:r>
        <w:rPr>
          <w:rFonts w:hint="eastAsia" w:ascii="宋体" w:hAnsi="宋体"/>
          <w:b/>
          <w:szCs w:val="21"/>
        </w:rPr>
        <w:t>第一条　合同标的</w:t>
      </w:r>
    </w:p>
    <w:p w14:paraId="35CB45B1">
      <w:pPr>
        <w:snapToGrid w:val="0"/>
        <w:spacing w:line="400" w:lineRule="exact"/>
        <w:ind w:firstLine="420" w:firstLineChars="200"/>
        <w:rPr>
          <w:rFonts w:ascii="宋体" w:hAnsi="宋体"/>
          <w:szCs w:val="21"/>
        </w:rPr>
      </w:pPr>
      <w:r>
        <w:rPr>
          <w:rFonts w:hint="eastAsia" w:ascii="宋体" w:hAnsi="宋体"/>
          <w:szCs w:val="21"/>
        </w:rPr>
        <w:t>1、供货一览表</w:t>
      </w:r>
    </w:p>
    <w:tbl>
      <w:tblPr>
        <w:tblStyle w:val="37"/>
        <w:tblW w:w="10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352"/>
        <w:gridCol w:w="918"/>
        <w:gridCol w:w="768"/>
        <w:gridCol w:w="768"/>
        <w:gridCol w:w="1044"/>
        <w:gridCol w:w="765"/>
        <w:gridCol w:w="1406"/>
        <w:gridCol w:w="1169"/>
        <w:gridCol w:w="1051"/>
      </w:tblGrid>
      <w:tr w14:paraId="30B7F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 w:hRule="atLeast"/>
          <w:jc w:val="center"/>
        </w:trPr>
        <w:tc>
          <w:tcPr>
            <w:tcW w:w="841" w:type="dxa"/>
            <w:vAlign w:val="center"/>
          </w:tcPr>
          <w:p w14:paraId="480B3F7F">
            <w:pPr>
              <w:snapToGrid w:val="0"/>
              <w:spacing w:line="400" w:lineRule="exact"/>
              <w:jc w:val="center"/>
              <w:rPr>
                <w:rFonts w:ascii="宋体" w:hAnsi="宋体"/>
                <w:szCs w:val="21"/>
              </w:rPr>
            </w:pPr>
            <w:r>
              <w:rPr>
                <w:rFonts w:hint="eastAsia" w:ascii="宋体" w:hAnsi="宋体"/>
                <w:szCs w:val="21"/>
              </w:rPr>
              <w:t>序号</w:t>
            </w:r>
          </w:p>
        </w:tc>
        <w:tc>
          <w:tcPr>
            <w:tcW w:w="1352" w:type="dxa"/>
            <w:vAlign w:val="center"/>
          </w:tcPr>
          <w:p w14:paraId="7C40CBE3">
            <w:pPr>
              <w:snapToGrid w:val="0"/>
              <w:spacing w:line="400" w:lineRule="exact"/>
              <w:jc w:val="center"/>
              <w:rPr>
                <w:rFonts w:ascii="宋体" w:hAnsi="宋体"/>
                <w:szCs w:val="21"/>
              </w:rPr>
            </w:pPr>
            <w:r>
              <w:rPr>
                <w:rFonts w:hint="eastAsia" w:ascii="宋体" w:hAnsi="宋体"/>
                <w:szCs w:val="21"/>
              </w:rPr>
              <w:t>标的名称</w:t>
            </w:r>
          </w:p>
        </w:tc>
        <w:tc>
          <w:tcPr>
            <w:tcW w:w="918" w:type="dxa"/>
            <w:vAlign w:val="center"/>
          </w:tcPr>
          <w:p w14:paraId="743F4CFC">
            <w:pPr>
              <w:snapToGrid w:val="0"/>
              <w:spacing w:line="400" w:lineRule="exact"/>
              <w:jc w:val="center"/>
              <w:rPr>
                <w:rFonts w:ascii="宋体" w:hAnsi="宋体"/>
                <w:szCs w:val="21"/>
              </w:rPr>
            </w:pPr>
            <w:r>
              <w:rPr>
                <w:rFonts w:hint="eastAsia" w:ascii="宋体" w:hAnsi="宋体"/>
                <w:szCs w:val="21"/>
              </w:rPr>
              <w:t>商标</w:t>
            </w:r>
          </w:p>
          <w:p w14:paraId="1F2076E8">
            <w:pPr>
              <w:snapToGrid w:val="0"/>
              <w:spacing w:line="400" w:lineRule="exact"/>
              <w:jc w:val="center"/>
              <w:rPr>
                <w:rFonts w:ascii="宋体" w:hAnsi="宋体"/>
                <w:szCs w:val="21"/>
              </w:rPr>
            </w:pPr>
            <w:r>
              <w:rPr>
                <w:rFonts w:hint="eastAsia" w:ascii="宋体" w:hAnsi="宋体"/>
                <w:szCs w:val="21"/>
              </w:rPr>
              <w:t>品牌</w:t>
            </w:r>
          </w:p>
        </w:tc>
        <w:tc>
          <w:tcPr>
            <w:tcW w:w="768" w:type="dxa"/>
            <w:vAlign w:val="center"/>
          </w:tcPr>
          <w:p w14:paraId="3883D657">
            <w:pPr>
              <w:snapToGrid w:val="0"/>
              <w:spacing w:line="400" w:lineRule="exact"/>
              <w:jc w:val="center"/>
              <w:rPr>
                <w:rFonts w:ascii="宋体" w:hAnsi="宋体"/>
                <w:szCs w:val="21"/>
              </w:rPr>
            </w:pPr>
            <w:r>
              <w:rPr>
                <w:rFonts w:hint="eastAsia" w:ascii="宋体" w:hAnsi="宋体"/>
                <w:szCs w:val="21"/>
              </w:rPr>
              <w:t>规格</w:t>
            </w:r>
          </w:p>
          <w:p w14:paraId="13C95F8D">
            <w:pPr>
              <w:snapToGrid w:val="0"/>
              <w:spacing w:line="400" w:lineRule="exact"/>
              <w:jc w:val="center"/>
              <w:rPr>
                <w:rFonts w:ascii="宋体" w:hAnsi="宋体"/>
                <w:szCs w:val="21"/>
              </w:rPr>
            </w:pPr>
            <w:r>
              <w:rPr>
                <w:rFonts w:hint="eastAsia" w:ascii="宋体" w:hAnsi="宋体"/>
                <w:szCs w:val="21"/>
              </w:rPr>
              <w:t>型号</w:t>
            </w:r>
          </w:p>
        </w:tc>
        <w:tc>
          <w:tcPr>
            <w:tcW w:w="768" w:type="dxa"/>
            <w:vAlign w:val="center"/>
          </w:tcPr>
          <w:p w14:paraId="303377A6">
            <w:pPr>
              <w:snapToGrid w:val="0"/>
              <w:spacing w:line="400" w:lineRule="exact"/>
              <w:jc w:val="center"/>
              <w:rPr>
                <w:rFonts w:ascii="宋体" w:hAnsi="宋体"/>
                <w:szCs w:val="21"/>
              </w:rPr>
            </w:pPr>
            <w:r>
              <w:rPr>
                <w:rFonts w:hint="eastAsia" w:ascii="宋体" w:hAnsi="宋体"/>
                <w:szCs w:val="21"/>
              </w:rPr>
              <w:t>生产</w:t>
            </w:r>
          </w:p>
          <w:p w14:paraId="54246C46">
            <w:pPr>
              <w:snapToGrid w:val="0"/>
              <w:spacing w:line="400" w:lineRule="exact"/>
              <w:jc w:val="center"/>
              <w:rPr>
                <w:rFonts w:ascii="宋体" w:hAnsi="宋体"/>
                <w:szCs w:val="21"/>
              </w:rPr>
            </w:pPr>
            <w:r>
              <w:rPr>
                <w:rFonts w:hint="eastAsia" w:ascii="宋体" w:hAnsi="宋体"/>
                <w:szCs w:val="21"/>
              </w:rPr>
              <w:t>厂家</w:t>
            </w:r>
          </w:p>
        </w:tc>
        <w:tc>
          <w:tcPr>
            <w:tcW w:w="1044" w:type="dxa"/>
            <w:vAlign w:val="center"/>
          </w:tcPr>
          <w:p w14:paraId="56274D74">
            <w:pPr>
              <w:snapToGrid w:val="0"/>
              <w:spacing w:line="400" w:lineRule="exact"/>
              <w:jc w:val="center"/>
              <w:rPr>
                <w:rFonts w:ascii="宋体" w:hAnsi="宋体"/>
                <w:szCs w:val="21"/>
              </w:rPr>
            </w:pPr>
            <w:r>
              <w:rPr>
                <w:rFonts w:hint="eastAsia" w:ascii="宋体" w:hAnsi="宋体"/>
                <w:szCs w:val="21"/>
              </w:rPr>
              <w:t>数量</w:t>
            </w:r>
          </w:p>
          <w:p w14:paraId="083DDC08">
            <w:pPr>
              <w:snapToGrid w:val="0"/>
              <w:spacing w:line="400" w:lineRule="exact"/>
              <w:jc w:val="center"/>
              <w:rPr>
                <w:rFonts w:ascii="宋体" w:hAnsi="宋体"/>
                <w:szCs w:val="21"/>
              </w:rPr>
            </w:pPr>
            <w:r>
              <w:rPr>
                <w:rFonts w:hint="eastAsia" w:ascii="宋体" w:hAnsi="宋体"/>
                <w:szCs w:val="21"/>
              </w:rPr>
              <w:t>（暂估）</w:t>
            </w:r>
          </w:p>
        </w:tc>
        <w:tc>
          <w:tcPr>
            <w:tcW w:w="765" w:type="dxa"/>
            <w:vAlign w:val="center"/>
          </w:tcPr>
          <w:p w14:paraId="0B1F5519">
            <w:pPr>
              <w:snapToGrid w:val="0"/>
              <w:spacing w:line="400" w:lineRule="exact"/>
              <w:jc w:val="center"/>
              <w:rPr>
                <w:rFonts w:ascii="宋体" w:hAnsi="宋体"/>
                <w:szCs w:val="21"/>
              </w:rPr>
            </w:pPr>
            <w:r>
              <w:rPr>
                <w:rFonts w:ascii="宋体" w:hAnsi="宋体"/>
                <w:szCs w:val="21"/>
              </w:rPr>
              <w:t>单位</w:t>
            </w:r>
          </w:p>
        </w:tc>
        <w:tc>
          <w:tcPr>
            <w:tcW w:w="1406" w:type="dxa"/>
            <w:vAlign w:val="center"/>
          </w:tcPr>
          <w:p w14:paraId="67442CEA">
            <w:pPr>
              <w:snapToGrid w:val="0"/>
              <w:spacing w:line="400" w:lineRule="exact"/>
              <w:jc w:val="center"/>
              <w:rPr>
                <w:rFonts w:ascii="宋体" w:hAnsi="宋体"/>
                <w:szCs w:val="21"/>
              </w:rPr>
            </w:pPr>
            <w:r>
              <w:rPr>
                <w:rFonts w:hint="eastAsia" w:ascii="宋体" w:hAnsi="宋体"/>
                <w:szCs w:val="21"/>
              </w:rPr>
              <w:t>供应基准单价</w:t>
            </w:r>
          </w:p>
        </w:tc>
        <w:tc>
          <w:tcPr>
            <w:tcW w:w="1169" w:type="dxa"/>
            <w:vAlign w:val="center"/>
          </w:tcPr>
          <w:p w14:paraId="3F662052">
            <w:pPr>
              <w:snapToGrid w:val="0"/>
              <w:spacing w:line="400" w:lineRule="exact"/>
              <w:jc w:val="center"/>
              <w:rPr>
                <w:rFonts w:ascii="宋体" w:hAnsi="宋体"/>
                <w:szCs w:val="21"/>
              </w:rPr>
            </w:pPr>
            <w:r>
              <w:rPr>
                <w:rFonts w:hint="eastAsia" w:ascii="宋体" w:hAnsi="宋体"/>
                <w:szCs w:val="21"/>
              </w:rPr>
              <w:t>中标折扣系数</w:t>
            </w:r>
          </w:p>
        </w:tc>
        <w:tc>
          <w:tcPr>
            <w:tcW w:w="1051" w:type="dxa"/>
            <w:vAlign w:val="center"/>
          </w:tcPr>
          <w:p w14:paraId="30C147D2">
            <w:pPr>
              <w:snapToGrid w:val="0"/>
              <w:spacing w:line="400" w:lineRule="exact"/>
              <w:jc w:val="center"/>
              <w:rPr>
                <w:rFonts w:ascii="宋体" w:hAnsi="宋体"/>
                <w:szCs w:val="21"/>
              </w:rPr>
            </w:pPr>
            <w:r>
              <w:rPr>
                <w:rFonts w:hint="eastAsia" w:ascii="宋体" w:hAnsi="宋体"/>
                <w:szCs w:val="21"/>
              </w:rPr>
              <w:t>金  额</w:t>
            </w:r>
          </w:p>
          <w:p w14:paraId="060FB5F4">
            <w:pPr>
              <w:snapToGrid w:val="0"/>
              <w:spacing w:line="400" w:lineRule="exact"/>
              <w:jc w:val="center"/>
              <w:rPr>
                <w:rFonts w:ascii="宋体" w:hAnsi="宋体"/>
                <w:szCs w:val="21"/>
              </w:rPr>
            </w:pPr>
            <w:r>
              <w:rPr>
                <w:rFonts w:hint="eastAsia" w:ascii="宋体" w:hAnsi="宋体"/>
                <w:szCs w:val="21"/>
              </w:rPr>
              <w:t>（元）</w:t>
            </w:r>
          </w:p>
        </w:tc>
      </w:tr>
      <w:tr w14:paraId="52CB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841" w:type="dxa"/>
            <w:vAlign w:val="center"/>
          </w:tcPr>
          <w:p w14:paraId="587DB9A2">
            <w:pPr>
              <w:snapToGrid w:val="0"/>
              <w:spacing w:line="400" w:lineRule="exact"/>
              <w:jc w:val="center"/>
              <w:rPr>
                <w:rFonts w:ascii="宋体" w:hAnsi="宋体"/>
                <w:szCs w:val="21"/>
              </w:rPr>
            </w:pPr>
            <w:r>
              <w:rPr>
                <w:rFonts w:hint="eastAsia" w:ascii="宋体" w:hAnsi="宋体"/>
                <w:szCs w:val="21"/>
              </w:rPr>
              <w:t>1</w:t>
            </w:r>
          </w:p>
        </w:tc>
        <w:tc>
          <w:tcPr>
            <w:tcW w:w="1352" w:type="dxa"/>
            <w:vAlign w:val="center"/>
          </w:tcPr>
          <w:p w14:paraId="7A6F0F82">
            <w:pPr>
              <w:snapToGrid w:val="0"/>
              <w:spacing w:line="400" w:lineRule="exact"/>
              <w:jc w:val="center"/>
              <w:rPr>
                <w:rFonts w:ascii="宋体" w:hAnsi="宋体"/>
                <w:szCs w:val="21"/>
              </w:rPr>
            </w:pPr>
          </w:p>
        </w:tc>
        <w:tc>
          <w:tcPr>
            <w:tcW w:w="918" w:type="dxa"/>
            <w:vAlign w:val="center"/>
          </w:tcPr>
          <w:p w14:paraId="747C5F42">
            <w:pPr>
              <w:snapToGrid w:val="0"/>
              <w:spacing w:line="400" w:lineRule="exact"/>
              <w:jc w:val="center"/>
              <w:rPr>
                <w:rFonts w:ascii="宋体" w:hAnsi="宋体"/>
                <w:szCs w:val="21"/>
              </w:rPr>
            </w:pPr>
          </w:p>
        </w:tc>
        <w:tc>
          <w:tcPr>
            <w:tcW w:w="768" w:type="dxa"/>
            <w:vAlign w:val="center"/>
          </w:tcPr>
          <w:p w14:paraId="6600C5B5">
            <w:pPr>
              <w:snapToGrid w:val="0"/>
              <w:spacing w:line="400" w:lineRule="exact"/>
              <w:jc w:val="center"/>
              <w:rPr>
                <w:rFonts w:ascii="宋体" w:hAnsi="宋体"/>
                <w:szCs w:val="21"/>
              </w:rPr>
            </w:pPr>
          </w:p>
        </w:tc>
        <w:tc>
          <w:tcPr>
            <w:tcW w:w="768" w:type="dxa"/>
          </w:tcPr>
          <w:p w14:paraId="56777931">
            <w:pPr>
              <w:snapToGrid w:val="0"/>
              <w:spacing w:line="400" w:lineRule="exact"/>
              <w:jc w:val="center"/>
              <w:rPr>
                <w:rFonts w:ascii="宋体" w:hAnsi="宋体"/>
                <w:szCs w:val="21"/>
              </w:rPr>
            </w:pPr>
          </w:p>
        </w:tc>
        <w:tc>
          <w:tcPr>
            <w:tcW w:w="1044" w:type="dxa"/>
          </w:tcPr>
          <w:p w14:paraId="52DEAB67">
            <w:pPr>
              <w:snapToGrid w:val="0"/>
              <w:spacing w:line="400" w:lineRule="exact"/>
              <w:jc w:val="center"/>
              <w:rPr>
                <w:rFonts w:ascii="宋体" w:hAnsi="宋体"/>
                <w:szCs w:val="21"/>
              </w:rPr>
            </w:pPr>
          </w:p>
        </w:tc>
        <w:tc>
          <w:tcPr>
            <w:tcW w:w="765" w:type="dxa"/>
          </w:tcPr>
          <w:p w14:paraId="28CF6A34">
            <w:pPr>
              <w:snapToGrid w:val="0"/>
              <w:spacing w:line="400" w:lineRule="exact"/>
              <w:jc w:val="center"/>
              <w:rPr>
                <w:rFonts w:ascii="宋体" w:hAnsi="宋体"/>
                <w:szCs w:val="21"/>
              </w:rPr>
            </w:pPr>
          </w:p>
        </w:tc>
        <w:tc>
          <w:tcPr>
            <w:tcW w:w="1406" w:type="dxa"/>
            <w:vAlign w:val="center"/>
          </w:tcPr>
          <w:p w14:paraId="6AAFB632">
            <w:pPr>
              <w:snapToGrid w:val="0"/>
              <w:spacing w:line="400" w:lineRule="exact"/>
              <w:jc w:val="center"/>
              <w:rPr>
                <w:rFonts w:ascii="宋体" w:hAnsi="宋体"/>
                <w:szCs w:val="21"/>
              </w:rPr>
            </w:pPr>
          </w:p>
        </w:tc>
        <w:tc>
          <w:tcPr>
            <w:tcW w:w="1169" w:type="dxa"/>
            <w:vMerge w:val="restart"/>
            <w:vAlign w:val="center"/>
          </w:tcPr>
          <w:p w14:paraId="3BBDC161">
            <w:pPr>
              <w:snapToGrid w:val="0"/>
              <w:spacing w:line="400" w:lineRule="exact"/>
              <w:jc w:val="center"/>
              <w:rPr>
                <w:rFonts w:ascii="宋体" w:hAnsi="宋体"/>
                <w:szCs w:val="21"/>
              </w:rPr>
            </w:pPr>
          </w:p>
        </w:tc>
        <w:tc>
          <w:tcPr>
            <w:tcW w:w="1051" w:type="dxa"/>
            <w:vAlign w:val="center"/>
          </w:tcPr>
          <w:p w14:paraId="11A5BBA8">
            <w:pPr>
              <w:snapToGrid w:val="0"/>
              <w:spacing w:line="400" w:lineRule="exact"/>
              <w:jc w:val="center"/>
              <w:rPr>
                <w:rFonts w:ascii="宋体" w:hAnsi="宋体"/>
                <w:szCs w:val="21"/>
              </w:rPr>
            </w:pPr>
          </w:p>
        </w:tc>
      </w:tr>
      <w:tr w14:paraId="1D2B9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841" w:type="dxa"/>
            <w:vAlign w:val="center"/>
          </w:tcPr>
          <w:p w14:paraId="072AD5F4">
            <w:pPr>
              <w:snapToGrid w:val="0"/>
              <w:spacing w:line="400" w:lineRule="exact"/>
              <w:jc w:val="center"/>
              <w:rPr>
                <w:rFonts w:ascii="宋体" w:hAnsi="宋体"/>
                <w:szCs w:val="21"/>
              </w:rPr>
            </w:pPr>
            <w:r>
              <w:rPr>
                <w:rFonts w:hint="eastAsia" w:ascii="宋体" w:hAnsi="宋体"/>
                <w:szCs w:val="21"/>
              </w:rPr>
              <w:t>2</w:t>
            </w:r>
          </w:p>
        </w:tc>
        <w:tc>
          <w:tcPr>
            <w:tcW w:w="1352" w:type="dxa"/>
            <w:vAlign w:val="center"/>
          </w:tcPr>
          <w:p w14:paraId="34A968F5">
            <w:pPr>
              <w:snapToGrid w:val="0"/>
              <w:spacing w:line="400" w:lineRule="exact"/>
              <w:jc w:val="center"/>
              <w:rPr>
                <w:rFonts w:ascii="宋体" w:hAnsi="宋体"/>
                <w:szCs w:val="21"/>
              </w:rPr>
            </w:pPr>
          </w:p>
        </w:tc>
        <w:tc>
          <w:tcPr>
            <w:tcW w:w="918" w:type="dxa"/>
            <w:vAlign w:val="center"/>
          </w:tcPr>
          <w:p w14:paraId="14C2F1E7">
            <w:pPr>
              <w:snapToGrid w:val="0"/>
              <w:spacing w:line="400" w:lineRule="exact"/>
              <w:jc w:val="center"/>
              <w:rPr>
                <w:rFonts w:ascii="宋体" w:hAnsi="宋体"/>
                <w:szCs w:val="21"/>
              </w:rPr>
            </w:pPr>
          </w:p>
        </w:tc>
        <w:tc>
          <w:tcPr>
            <w:tcW w:w="768" w:type="dxa"/>
            <w:vAlign w:val="center"/>
          </w:tcPr>
          <w:p w14:paraId="44477189">
            <w:pPr>
              <w:snapToGrid w:val="0"/>
              <w:spacing w:line="400" w:lineRule="exact"/>
              <w:jc w:val="center"/>
              <w:rPr>
                <w:rFonts w:ascii="宋体" w:hAnsi="宋体"/>
                <w:szCs w:val="21"/>
              </w:rPr>
            </w:pPr>
          </w:p>
        </w:tc>
        <w:tc>
          <w:tcPr>
            <w:tcW w:w="768" w:type="dxa"/>
          </w:tcPr>
          <w:p w14:paraId="20A586CB">
            <w:pPr>
              <w:snapToGrid w:val="0"/>
              <w:spacing w:line="400" w:lineRule="exact"/>
              <w:jc w:val="center"/>
              <w:rPr>
                <w:rFonts w:ascii="宋体" w:hAnsi="宋体"/>
                <w:szCs w:val="21"/>
              </w:rPr>
            </w:pPr>
          </w:p>
        </w:tc>
        <w:tc>
          <w:tcPr>
            <w:tcW w:w="1044" w:type="dxa"/>
          </w:tcPr>
          <w:p w14:paraId="27C2567D">
            <w:pPr>
              <w:snapToGrid w:val="0"/>
              <w:spacing w:line="400" w:lineRule="exact"/>
              <w:jc w:val="center"/>
              <w:rPr>
                <w:rFonts w:ascii="宋体" w:hAnsi="宋体"/>
                <w:szCs w:val="21"/>
              </w:rPr>
            </w:pPr>
          </w:p>
        </w:tc>
        <w:tc>
          <w:tcPr>
            <w:tcW w:w="765" w:type="dxa"/>
          </w:tcPr>
          <w:p w14:paraId="02443316">
            <w:pPr>
              <w:snapToGrid w:val="0"/>
              <w:spacing w:line="400" w:lineRule="exact"/>
              <w:jc w:val="center"/>
              <w:rPr>
                <w:rFonts w:ascii="宋体" w:hAnsi="宋体"/>
                <w:szCs w:val="21"/>
              </w:rPr>
            </w:pPr>
          </w:p>
        </w:tc>
        <w:tc>
          <w:tcPr>
            <w:tcW w:w="1406" w:type="dxa"/>
            <w:vAlign w:val="center"/>
          </w:tcPr>
          <w:p w14:paraId="0D153A78">
            <w:pPr>
              <w:snapToGrid w:val="0"/>
              <w:spacing w:line="400" w:lineRule="exact"/>
              <w:jc w:val="center"/>
              <w:rPr>
                <w:rFonts w:ascii="宋体" w:hAnsi="宋体"/>
                <w:szCs w:val="21"/>
              </w:rPr>
            </w:pPr>
          </w:p>
        </w:tc>
        <w:tc>
          <w:tcPr>
            <w:tcW w:w="1169" w:type="dxa"/>
            <w:vMerge w:val="continue"/>
            <w:vAlign w:val="center"/>
          </w:tcPr>
          <w:p w14:paraId="3D82B3BF">
            <w:pPr>
              <w:snapToGrid w:val="0"/>
              <w:spacing w:line="400" w:lineRule="exact"/>
              <w:jc w:val="center"/>
              <w:rPr>
                <w:rFonts w:ascii="宋体" w:hAnsi="宋体"/>
                <w:szCs w:val="21"/>
              </w:rPr>
            </w:pPr>
          </w:p>
        </w:tc>
        <w:tc>
          <w:tcPr>
            <w:tcW w:w="1051" w:type="dxa"/>
            <w:vAlign w:val="center"/>
          </w:tcPr>
          <w:p w14:paraId="6FAE9FE6">
            <w:pPr>
              <w:snapToGrid w:val="0"/>
              <w:spacing w:line="400" w:lineRule="exact"/>
              <w:jc w:val="center"/>
              <w:rPr>
                <w:rFonts w:ascii="宋体" w:hAnsi="宋体"/>
                <w:szCs w:val="21"/>
              </w:rPr>
            </w:pPr>
          </w:p>
        </w:tc>
      </w:tr>
      <w:tr w14:paraId="170C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841" w:type="dxa"/>
            <w:vAlign w:val="center"/>
          </w:tcPr>
          <w:p w14:paraId="795ECB5B">
            <w:pPr>
              <w:snapToGrid w:val="0"/>
              <w:spacing w:line="400" w:lineRule="exact"/>
              <w:jc w:val="center"/>
              <w:rPr>
                <w:rFonts w:ascii="宋体" w:hAnsi="宋体"/>
                <w:szCs w:val="21"/>
              </w:rPr>
            </w:pPr>
            <w:r>
              <w:rPr>
                <w:rFonts w:hint="eastAsia" w:ascii="宋体" w:hAnsi="宋体"/>
                <w:szCs w:val="21"/>
              </w:rPr>
              <w:t>3</w:t>
            </w:r>
          </w:p>
        </w:tc>
        <w:tc>
          <w:tcPr>
            <w:tcW w:w="1352" w:type="dxa"/>
            <w:vAlign w:val="center"/>
          </w:tcPr>
          <w:p w14:paraId="302CC340">
            <w:pPr>
              <w:snapToGrid w:val="0"/>
              <w:spacing w:line="400" w:lineRule="exact"/>
              <w:jc w:val="center"/>
              <w:rPr>
                <w:rFonts w:ascii="宋体" w:hAnsi="宋体"/>
                <w:szCs w:val="21"/>
              </w:rPr>
            </w:pPr>
          </w:p>
        </w:tc>
        <w:tc>
          <w:tcPr>
            <w:tcW w:w="918" w:type="dxa"/>
            <w:vAlign w:val="center"/>
          </w:tcPr>
          <w:p w14:paraId="15555A5B">
            <w:pPr>
              <w:snapToGrid w:val="0"/>
              <w:spacing w:line="400" w:lineRule="exact"/>
              <w:jc w:val="center"/>
              <w:rPr>
                <w:rFonts w:ascii="宋体" w:hAnsi="宋体"/>
                <w:szCs w:val="21"/>
              </w:rPr>
            </w:pPr>
          </w:p>
        </w:tc>
        <w:tc>
          <w:tcPr>
            <w:tcW w:w="768" w:type="dxa"/>
            <w:vAlign w:val="center"/>
          </w:tcPr>
          <w:p w14:paraId="40D22BC5">
            <w:pPr>
              <w:snapToGrid w:val="0"/>
              <w:spacing w:line="400" w:lineRule="exact"/>
              <w:jc w:val="center"/>
              <w:rPr>
                <w:rFonts w:ascii="宋体" w:hAnsi="宋体"/>
                <w:szCs w:val="21"/>
              </w:rPr>
            </w:pPr>
          </w:p>
        </w:tc>
        <w:tc>
          <w:tcPr>
            <w:tcW w:w="768" w:type="dxa"/>
          </w:tcPr>
          <w:p w14:paraId="7BE07CA7">
            <w:pPr>
              <w:snapToGrid w:val="0"/>
              <w:spacing w:line="400" w:lineRule="exact"/>
              <w:jc w:val="center"/>
              <w:rPr>
                <w:rFonts w:ascii="宋体" w:hAnsi="宋体"/>
                <w:szCs w:val="21"/>
              </w:rPr>
            </w:pPr>
          </w:p>
        </w:tc>
        <w:tc>
          <w:tcPr>
            <w:tcW w:w="1044" w:type="dxa"/>
          </w:tcPr>
          <w:p w14:paraId="431493B0">
            <w:pPr>
              <w:snapToGrid w:val="0"/>
              <w:spacing w:line="400" w:lineRule="exact"/>
              <w:jc w:val="center"/>
              <w:rPr>
                <w:rFonts w:ascii="宋体" w:hAnsi="宋体"/>
                <w:szCs w:val="21"/>
              </w:rPr>
            </w:pPr>
          </w:p>
        </w:tc>
        <w:tc>
          <w:tcPr>
            <w:tcW w:w="765" w:type="dxa"/>
          </w:tcPr>
          <w:p w14:paraId="2D367566">
            <w:pPr>
              <w:snapToGrid w:val="0"/>
              <w:spacing w:line="400" w:lineRule="exact"/>
              <w:jc w:val="center"/>
              <w:rPr>
                <w:rFonts w:ascii="宋体" w:hAnsi="宋体"/>
                <w:szCs w:val="21"/>
              </w:rPr>
            </w:pPr>
          </w:p>
        </w:tc>
        <w:tc>
          <w:tcPr>
            <w:tcW w:w="1406" w:type="dxa"/>
            <w:vAlign w:val="center"/>
          </w:tcPr>
          <w:p w14:paraId="0FCC83C3">
            <w:pPr>
              <w:snapToGrid w:val="0"/>
              <w:spacing w:line="400" w:lineRule="exact"/>
              <w:jc w:val="center"/>
              <w:rPr>
                <w:rFonts w:ascii="宋体" w:hAnsi="宋体"/>
                <w:szCs w:val="21"/>
              </w:rPr>
            </w:pPr>
          </w:p>
        </w:tc>
        <w:tc>
          <w:tcPr>
            <w:tcW w:w="1169" w:type="dxa"/>
            <w:vMerge w:val="continue"/>
            <w:vAlign w:val="center"/>
          </w:tcPr>
          <w:p w14:paraId="6E603AA5">
            <w:pPr>
              <w:snapToGrid w:val="0"/>
              <w:spacing w:line="400" w:lineRule="exact"/>
              <w:jc w:val="center"/>
              <w:rPr>
                <w:rFonts w:ascii="宋体" w:hAnsi="宋体"/>
                <w:szCs w:val="21"/>
              </w:rPr>
            </w:pPr>
          </w:p>
        </w:tc>
        <w:tc>
          <w:tcPr>
            <w:tcW w:w="1051" w:type="dxa"/>
            <w:vAlign w:val="center"/>
          </w:tcPr>
          <w:p w14:paraId="6EC2596A">
            <w:pPr>
              <w:snapToGrid w:val="0"/>
              <w:spacing w:line="400" w:lineRule="exact"/>
              <w:jc w:val="center"/>
              <w:rPr>
                <w:rFonts w:ascii="宋体" w:hAnsi="宋体"/>
                <w:szCs w:val="21"/>
              </w:rPr>
            </w:pPr>
          </w:p>
        </w:tc>
      </w:tr>
      <w:tr w14:paraId="4AC65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841" w:type="dxa"/>
            <w:vAlign w:val="center"/>
          </w:tcPr>
          <w:p w14:paraId="478B18FF">
            <w:pPr>
              <w:snapToGrid w:val="0"/>
              <w:spacing w:line="400" w:lineRule="exact"/>
              <w:jc w:val="center"/>
              <w:rPr>
                <w:rFonts w:ascii="宋体" w:hAnsi="宋体"/>
                <w:szCs w:val="21"/>
              </w:rPr>
            </w:pPr>
            <w:r>
              <w:rPr>
                <w:rFonts w:ascii="宋体" w:hAnsi="宋体"/>
                <w:szCs w:val="21"/>
              </w:rPr>
              <w:t>……</w:t>
            </w:r>
          </w:p>
        </w:tc>
        <w:tc>
          <w:tcPr>
            <w:tcW w:w="1352" w:type="dxa"/>
            <w:vAlign w:val="center"/>
          </w:tcPr>
          <w:p w14:paraId="5BC10951">
            <w:pPr>
              <w:snapToGrid w:val="0"/>
              <w:spacing w:line="400" w:lineRule="exact"/>
              <w:jc w:val="center"/>
              <w:rPr>
                <w:rFonts w:ascii="宋体" w:hAnsi="宋体"/>
                <w:szCs w:val="21"/>
              </w:rPr>
            </w:pPr>
          </w:p>
        </w:tc>
        <w:tc>
          <w:tcPr>
            <w:tcW w:w="918" w:type="dxa"/>
            <w:vAlign w:val="center"/>
          </w:tcPr>
          <w:p w14:paraId="47B16D8B">
            <w:pPr>
              <w:snapToGrid w:val="0"/>
              <w:spacing w:line="400" w:lineRule="exact"/>
              <w:jc w:val="center"/>
              <w:rPr>
                <w:rFonts w:ascii="宋体" w:hAnsi="宋体"/>
                <w:szCs w:val="21"/>
              </w:rPr>
            </w:pPr>
          </w:p>
        </w:tc>
        <w:tc>
          <w:tcPr>
            <w:tcW w:w="768" w:type="dxa"/>
            <w:vAlign w:val="center"/>
          </w:tcPr>
          <w:p w14:paraId="51671D32">
            <w:pPr>
              <w:snapToGrid w:val="0"/>
              <w:spacing w:line="400" w:lineRule="exact"/>
              <w:jc w:val="center"/>
              <w:rPr>
                <w:rFonts w:ascii="宋体" w:hAnsi="宋体"/>
                <w:szCs w:val="21"/>
              </w:rPr>
            </w:pPr>
          </w:p>
        </w:tc>
        <w:tc>
          <w:tcPr>
            <w:tcW w:w="768" w:type="dxa"/>
          </w:tcPr>
          <w:p w14:paraId="58FFD3FC">
            <w:pPr>
              <w:snapToGrid w:val="0"/>
              <w:spacing w:line="400" w:lineRule="exact"/>
              <w:jc w:val="center"/>
              <w:rPr>
                <w:rFonts w:ascii="宋体" w:hAnsi="宋体"/>
                <w:szCs w:val="21"/>
              </w:rPr>
            </w:pPr>
          </w:p>
        </w:tc>
        <w:tc>
          <w:tcPr>
            <w:tcW w:w="1044" w:type="dxa"/>
          </w:tcPr>
          <w:p w14:paraId="162EEC76">
            <w:pPr>
              <w:snapToGrid w:val="0"/>
              <w:spacing w:line="400" w:lineRule="exact"/>
              <w:jc w:val="center"/>
              <w:rPr>
                <w:rFonts w:ascii="宋体" w:hAnsi="宋体"/>
                <w:szCs w:val="21"/>
              </w:rPr>
            </w:pPr>
          </w:p>
        </w:tc>
        <w:tc>
          <w:tcPr>
            <w:tcW w:w="765" w:type="dxa"/>
          </w:tcPr>
          <w:p w14:paraId="30F7270C">
            <w:pPr>
              <w:snapToGrid w:val="0"/>
              <w:spacing w:line="400" w:lineRule="exact"/>
              <w:jc w:val="center"/>
              <w:rPr>
                <w:rFonts w:ascii="宋体" w:hAnsi="宋体"/>
                <w:szCs w:val="21"/>
              </w:rPr>
            </w:pPr>
          </w:p>
        </w:tc>
        <w:tc>
          <w:tcPr>
            <w:tcW w:w="1406" w:type="dxa"/>
            <w:vAlign w:val="center"/>
          </w:tcPr>
          <w:p w14:paraId="24D6A569">
            <w:pPr>
              <w:snapToGrid w:val="0"/>
              <w:spacing w:line="400" w:lineRule="exact"/>
              <w:jc w:val="center"/>
              <w:rPr>
                <w:rFonts w:ascii="宋体" w:hAnsi="宋体"/>
                <w:szCs w:val="21"/>
              </w:rPr>
            </w:pPr>
          </w:p>
        </w:tc>
        <w:tc>
          <w:tcPr>
            <w:tcW w:w="1169" w:type="dxa"/>
            <w:vMerge w:val="continue"/>
            <w:vAlign w:val="center"/>
          </w:tcPr>
          <w:p w14:paraId="6FFEE983">
            <w:pPr>
              <w:snapToGrid w:val="0"/>
              <w:spacing w:line="400" w:lineRule="exact"/>
              <w:jc w:val="center"/>
              <w:rPr>
                <w:rFonts w:ascii="宋体" w:hAnsi="宋体"/>
                <w:szCs w:val="21"/>
              </w:rPr>
            </w:pPr>
          </w:p>
        </w:tc>
        <w:tc>
          <w:tcPr>
            <w:tcW w:w="1051" w:type="dxa"/>
            <w:vAlign w:val="center"/>
          </w:tcPr>
          <w:p w14:paraId="32C686E7">
            <w:pPr>
              <w:snapToGrid w:val="0"/>
              <w:spacing w:line="400" w:lineRule="exact"/>
              <w:jc w:val="center"/>
              <w:rPr>
                <w:rFonts w:ascii="宋体" w:hAnsi="宋体"/>
                <w:szCs w:val="21"/>
              </w:rPr>
            </w:pPr>
          </w:p>
        </w:tc>
      </w:tr>
    </w:tbl>
    <w:p w14:paraId="23EB70D5">
      <w:pPr>
        <w:snapToGrid w:val="0"/>
        <w:spacing w:line="400" w:lineRule="exact"/>
        <w:ind w:firstLine="420" w:firstLineChars="200"/>
        <w:jc w:val="left"/>
        <w:rPr>
          <w:rFonts w:ascii="宋体" w:hAnsi="宋体"/>
          <w:szCs w:val="21"/>
        </w:rPr>
      </w:pPr>
      <w:r>
        <w:rPr>
          <w:rFonts w:hint="eastAsia" w:ascii="宋体" w:hAnsi="宋体"/>
          <w:szCs w:val="21"/>
        </w:rPr>
        <w:t>备注：金额=数量（暂估）×供应基准单价×中标折扣系数。</w:t>
      </w:r>
    </w:p>
    <w:p w14:paraId="77AAE364">
      <w:pPr>
        <w:snapToGrid w:val="0"/>
        <w:spacing w:line="400" w:lineRule="exact"/>
        <w:ind w:right="420" w:firstLine="420" w:firstLineChars="200"/>
        <w:rPr>
          <w:rFonts w:ascii="宋体" w:hAnsi="宋体"/>
          <w:szCs w:val="21"/>
        </w:rPr>
      </w:pPr>
      <w:r>
        <w:rPr>
          <w:rFonts w:hint="eastAsia" w:ascii="宋体" w:hAnsi="宋体"/>
          <w:szCs w:val="21"/>
        </w:rPr>
        <w:t>2、合同合计金额包含货物、服务的价格、检验检测、包装、运输、搬运装卸、配件加工、仓储、人工费及配送费、售后服务、必要的保险费用和各项税金及招标文件所要求的相关服务以及合同所示全部责任、义务和一般风险等全过程产生的所有成本和费用以及税费与乙方认为应包含在本项目中的一切费用等其它所有成本费用的总和。采购人不再支付任何费用。如招标文件对其另有规定的，从其规定。</w:t>
      </w:r>
    </w:p>
    <w:p w14:paraId="7EE2C6DF">
      <w:pPr>
        <w:snapToGrid w:val="0"/>
        <w:spacing w:line="400" w:lineRule="exact"/>
        <w:ind w:firstLine="422" w:firstLineChars="200"/>
        <w:rPr>
          <w:rFonts w:ascii="宋体" w:hAnsi="宋体"/>
          <w:szCs w:val="21"/>
        </w:rPr>
      </w:pPr>
      <w:r>
        <w:rPr>
          <w:rFonts w:hint="eastAsia" w:ascii="宋体" w:hAnsi="宋体"/>
          <w:b/>
          <w:szCs w:val="21"/>
        </w:rPr>
        <w:t>第二条　质量保证</w:t>
      </w:r>
    </w:p>
    <w:p w14:paraId="146E5451">
      <w:pPr>
        <w:snapToGrid w:val="0"/>
        <w:spacing w:line="400" w:lineRule="exact"/>
        <w:ind w:firstLine="420" w:firstLineChars="200"/>
        <w:rPr>
          <w:rFonts w:ascii="宋体" w:hAnsi="宋体"/>
          <w:szCs w:val="21"/>
        </w:rPr>
      </w:pPr>
      <w:r>
        <w:rPr>
          <w:rFonts w:hint="eastAsia" w:ascii="宋体" w:hAnsi="宋体"/>
          <w:szCs w:val="21"/>
        </w:rPr>
        <w:t>1、乙方所提供的货物型号、技术规格、货物参数等质量必须与招标文件和承诺相一致。乙方提供的节能和环保产品必须是列入政府采购清单的产品。</w:t>
      </w:r>
    </w:p>
    <w:p w14:paraId="48C79267">
      <w:pPr>
        <w:snapToGrid w:val="0"/>
        <w:spacing w:line="400" w:lineRule="exact"/>
        <w:ind w:firstLine="420" w:firstLineChars="200"/>
        <w:rPr>
          <w:rFonts w:ascii="宋体" w:hAnsi="宋体"/>
          <w:szCs w:val="21"/>
        </w:rPr>
      </w:pPr>
      <w:r>
        <w:rPr>
          <w:rFonts w:hint="eastAsia" w:ascii="宋体" w:hAnsi="宋体"/>
          <w:szCs w:val="21"/>
        </w:rPr>
        <w:t>2、乙方提供的货物必须是具有合法销售途径的、完整、全新的原装合格产品。货物的技术质量必须符合国家行业技术标准要求的有关规定。</w:t>
      </w:r>
    </w:p>
    <w:p w14:paraId="2323DA39">
      <w:pPr>
        <w:snapToGrid w:val="0"/>
        <w:spacing w:line="400" w:lineRule="exact"/>
        <w:ind w:firstLine="422" w:firstLineChars="200"/>
        <w:rPr>
          <w:rFonts w:ascii="宋体" w:hAnsi="宋体"/>
          <w:szCs w:val="21"/>
        </w:rPr>
      </w:pPr>
      <w:r>
        <w:rPr>
          <w:rFonts w:hint="eastAsia" w:ascii="宋体" w:hAnsi="宋体"/>
          <w:b/>
          <w:szCs w:val="21"/>
        </w:rPr>
        <w:t>第三条　权利保证</w:t>
      </w:r>
    </w:p>
    <w:p w14:paraId="79E53A9F">
      <w:pPr>
        <w:snapToGrid w:val="0"/>
        <w:spacing w:line="400" w:lineRule="exact"/>
        <w:ind w:firstLine="420" w:firstLineChars="200"/>
        <w:rPr>
          <w:rFonts w:ascii="宋体" w:hAnsi="宋体"/>
          <w:szCs w:val="21"/>
        </w:rPr>
      </w:pPr>
      <w:r>
        <w:rPr>
          <w:rFonts w:hint="eastAsia" w:ascii="宋体" w:hAnsi="宋体"/>
          <w:szCs w:val="21"/>
        </w:rPr>
        <w:t>1、乙方应按招标文件规定的时间向甲方提供使用货物的有关技术资料。</w:t>
      </w:r>
    </w:p>
    <w:p w14:paraId="22F589C6">
      <w:pPr>
        <w:snapToGrid w:val="0"/>
        <w:spacing w:line="400" w:lineRule="exact"/>
        <w:ind w:firstLine="420" w:firstLineChars="200"/>
        <w:rPr>
          <w:rFonts w:ascii="宋体" w:hAnsi="宋体"/>
          <w:szCs w:val="21"/>
        </w:rPr>
      </w:pPr>
      <w:r>
        <w:rPr>
          <w:rFonts w:hint="eastAsia" w:ascii="宋体" w:hAnsi="宋体"/>
          <w:szCs w:val="21"/>
        </w:rPr>
        <w:t>2、没有经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CC73F5F">
      <w:pPr>
        <w:snapToGrid w:val="0"/>
        <w:spacing w:line="400" w:lineRule="exact"/>
        <w:ind w:firstLine="420" w:firstLineChars="200"/>
        <w:rPr>
          <w:rFonts w:ascii="宋体" w:hAnsi="宋体"/>
          <w:szCs w:val="21"/>
        </w:rPr>
      </w:pPr>
      <w:r>
        <w:rPr>
          <w:rFonts w:hint="eastAsia" w:ascii="宋体" w:hAnsi="宋体"/>
          <w:szCs w:val="21"/>
        </w:rPr>
        <w:t>3、乙方保证所交付的货物的所有权完全属于乙方且无任何抵押、质押、查封等产权瑕疵。</w:t>
      </w:r>
    </w:p>
    <w:p w14:paraId="0CE4B719">
      <w:pPr>
        <w:snapToGrid w:val="0"/>
        <w:spacing w:line="400" w:lineRule="exact"/>
        <w:ind w:firstLine="422" w:firstLineChars="200"/>
        <w:rPr>
          <w:rFonts w:ascii="宋体" w:hAnsi="宋体"/>
          <w:b/>
          <w:szCs w:val="21"/>
        </w:rPr>
      </w:pPr>
      <w:r>
        <w:rPr>
          <w:rFonts w:hint="eastAsia" w:ascii="宋体" w:hAnsi="宋体"/>
          <w:b/>
          <w:szCs w:val="21"/>
        </w:rPr>
        <w:t>第四条　包装和运输</w:t>
      </w:r>
    </w:p>
    <w:p w14:paraId="4D8888BE">
      <w:pPr>
        <w:snapToGrid w:val="0"/>
        <w:spacing w:line="400" w:lineRule="exact"/>
        <w:ind w:firstLine="420" w:firstLineChars="200"/>
        <w:rPr>
          <w:rFonts w:ascii="宋体" w:hAnsi="宋体"/>
          <w:szCs w:val="21"/>
        </w:rPr>
      </w:pPr>
      <w:r>
        <w:rPr>
          <w:rFonts w:hint="eastAsia" w:ascii="宋体" w:hAnsi="宋体"/>
          <w:szCs w:val="21"/>
        </w:rPr>
        <w:t>1、货物的运输方式：</w:t>
      </w:r>
      <w:r>
        <w:rPr>
          <w:rFonts w:hint="eastAsia" w:ascii="宋体" w:hAnsi="宋体"/>
          <w:szCs w:val="21"/>
          <w:u w:val="single"/>
        </w:rPr>
        <w:t>乙方自行选择，但必须满足货物运输距离、防潮、防震、防锈和防破损装卸要求，以保证货物安全运输到达甲方指定地点</w:t>
      </w:r>
      <w:r>
        <w:rPr>
          <w:rFonts w:hint="eastAsia" w:ascii="宋体" w:hAnsi="宋体"/>
          <w:szCs w:val="21"/>
        </w:rPr>
        <w:t>。</w:t>
      </w:r>
    </w:p>
    <w:p w14:paraId="08051FC6">
      <w:pPr>
        <w:snapToGrid w:val="0"/>
        <w:spacing w:line="400" w:lineRule="exact"/>
        <w:ind w:firstLine="420" w:firstLineChars="200"/>
        <w:rPr>
          <w:rFonts w:ascii="宋体" w:hAnsi="宋体"/>
          <w:szCs w:val="21"/>
        </w:rPr>
      </w:pPr>
      <w:r>
        <w:rPr>
          <w:rFonts w:hint="eastAsia" w:ascii="宋体" w:hAnsi="宋体"/>
          <w:szCs w:val="21"/>
        </w:rPr>
        <w:t>2、货物的运输方式：汽车、火车等安全运输方式。</w:t>
      </w:r>
    </w:p>
    <w:p w14:paraId="5D9615C1">
      <w:pPr>
        <w:snapToGrid w:val="0"/>
        <w:spacing w:line="400" w:lineRule="exact"/>
        <w:ind w:firstLine="420" w:firstLineChars="200"/>
        <w:rPr>
          <w:rFonts w:ascii="宋体" w:hAnsi="宋体" w:cs="Courier New"/>
          <w:szCs w:val="21"/>
        </w:rPr>
      </w:pPr>
      <w:r>
        <w:rPr>
          <w:rFonts w:hint="eastAsia" w:ascii="宋体" w:hAnsi="宋体"/>
          <w:szCs w:val="21"/>
        </w:rPr>
        <w:t>3、乙方负责货物运输，货物运输合理损耗及计算方法：</w:t>
      </w:r>
      <w:r>
        <w:rPr>
          <w:rFonts w:hint="eastAsia" w:ascii="宋体" w:hAnsi="宋体" w:cs="Courier New"/>
          <w:szCs w:val="21"/>
        </w:rPr>
        <w:t>所有损耗由乙方负责。</w:t>
      </w:r>
    </w:p>
    <w:p w14:paraId="5906DA3D">
      <w:pPr>
        <w:snapToGrid w:val="0"/>
        <w:spacing w:line="400" w:lineRule="exact"/>
        <w:ind w:firstLine="420" w:firstLineChars="200"/>
        <w:rPr>
          <w:rFonts w:ascii="宋体" w:hAnsi="宋体"/>
          <w:szCs w:val="21"/>
        </w:rPr>
      </w:pPr>
      <w:r>
        <w:rPr>
          <w:rFonts w:hint="eastAsia" w:ascii="宋体" w:hAnsi="宋体"/>
          <w:szCs w:val="21"/>
        </w:rPr>
        <w:t>4、货物在规定的交付期限内由乙方送达甲方指定的地点视为交付，乙方同时需通知甲方货物已送达。</w:t>
      </w:r>
    </w:p>
    <w:p w14:paraId="3F72AEDC">
      <w:pPr>
        <w:snapToGrid w:val="0"/>
        <w:spacing w:line="400" w:lineRule="exact"/>
        <w:ind w:firstLine="420" w:firstLineChars="200"/>
        <w:rPr>
          <w:rFonts w:ascii="宋体" w:hAnsi="宋体"/>
          <w:szCs w:val="21"/>
        </w:rPr>
      </w:pPr>
      <w:r>
        <w:rPr>
          <w:rFonts w:hint="eastAsia" w:ascii="宋体" w:hAnsi="宋体"/>
          <w:szCs w:val="21"/>
        </w:rPr>
        <w:t>5、乙方提供的货物均应按招标文件要求的包装材料、包装标准、包装方式进行包装，每一包装单元内应附详细的装箱单和质量合格证。</w:t>
      </w:r>
    </w:p>
    <w:p w14:paraId="5228DEC4">
      <w:pPr>
        <w:snapToGrid w:val="0"/>
        <w:spacing w:line="400" w:lineRule="exact"/>
        <w:ind w:firstLine="422" w:firstLineChars="200"/>
        <w:rPr>
          <w:rFonts w:ascii="宋体" w:hAnsi="宋体"/>
          <w:szCs w:val="21"/>
        </w:rPr>
      </w:pPr>
      <w:r>
        <w:rPr>
          <w:rFonts w:hint="eastAsia" w:ascii="宋体" w:hAnsi="宋体"/>
          <w:b/>
          <w:szCs w:val="21"/>
        </w:rPr>
        <w:t>第五条　交付和验收</w:t>
      </w:r>
    </w:p>
    <w:p w14:paraId="66CB7C36">
      <w:pPr>
        <w:snapToGrid w:val="0"/>
        <w:spacing w:line="400" w:lineRule="exact"/>
        <w:ind w:firstLine="420" w:firstLineChars="200"/>
        <w:rPr>
          <w:rFonts w:ascii="宋体" w:hAnsi="宋体"/>
          <w:szCs w:val="21"/>
        </w:rPr>
      </w:pPr>
      <w:r>
        <w:rPr>
          <w:rFonts w:hint="eastAsia" w:ascii="宋体" w:hAnsi="宋体"/>
          <w:szCs w:val="21"/>
        </w:rPr>
        <w:t>1、交货时间：</w:t>
      </w:r>
      <w:r>
        <w:rPr>
          <w:rFonts w:hint="eastAsia" w:ascii="宋体" w:hAnsi="宋体" w:cs="Courier New"/>
          <w:szCs w:val="21"/>
          <w:u w:val="single"/>
        </w:rPr>
        <w:t xml:space="preserve">                </w:t>
      </w:r>
      <w:r>
        <w:rPr>
          <w:rFonts w:hint="eastAsia" w:ascii="宋体" w:hAnsi="宋体" w:cs="Courier New"/>
          <w:szCs w:val="21"/>
        </w:rPr>
        <w:t>；地点：</w:t>
      </w:r>
      <w:r>
        <w:rPr>
          <w:rFonts w:hint="eastAsia" w:ascii="宋体" w:hAnsi="宋体"/>
          <w:szCs w:val="21"/>
          <w:u w:val="single"/>
        </w:rPr>
        <w:t xml:space="preserve">                     </w:t>
      </w:r>
      <w:r>
        <w:rPr>
          <w:rFonts w:hint="eastAsia" w:ascii="宋体" w:hAnsi="宋体" w:cs="Courier New"/>
          <w:szCs w:val="21"/>
        </w:rPr>
        <w:t>。</w:t>
      </w:r>
    </w:p>
    <w:p w14:paraId="6884D6F1">
      <w:pPr>
        <w:snapToGrid w:val="0"/>
        <w:spacing w:line="400" w:lineRule="exact"/>
        <w:ind w:firstLine="420" w:firstLineChars="200"/>
        <w:rPr>
          <w:rFonts w:ascii="宋体" w:hAnsi="宋体"/>
          <w:szCs w:val="21"/>
        </w:rPr>
      </w:pPr>
      <w:r>
        <w:rPr>
          <w:rFonts w:hint="eastAsia" w:ascii="宋体" w:hAnsi="宋体"/>
          <w:szCs w:val="21"/>
        </w:rPr>
        <w:t>2、乙方</w:t>
      </w:r>
      <w:r>
        <w:rPr>
          <w:rFonts w:hint="eastAsia" w:ascii="宋体" w:hAnsi="宋体" w:cs="宋体"/>
          <w:szCs w:val="21"/>
        </w:rPr>
        <w:t>每批货物必须提供相关的质量安全检验合格证明</w:t>
      </w:r>
      <w:r>
        <w:rPr>
          <w:rFonts w:hint="eastAsia" w:ascii="宋体" w:hAnsi="宋体"/>
          <w:szCs w:val="21"/>
        </w:rPr>
        <w:t>。</w:t>
      </w:r>
    </w:p>
    <w:p w14:paraId="0D1543E3">
      <w:pPr>
        <w:snapToGrid w:val="0"/>
        <w:spacing w:line="400" w:lineRule="exact"/>
        <w:ind w:firstLine="420" w:firstLineChars="200"/>
        <w:rPr>
          <w:rFonts w:ascii="宋体" w:hAnsi="宋体"/>
          <w:szCs w:val="21"/>
        </w:rPr>
      </w:pPr>
      <w:r>
        <w:rPr>
          <w:rFonts w:hint="eastAsia" w:ascii="宋体" w:hAnsi="宋体"/>
          <w:szCs w:val="21"/>
        </w:rPr>
        <w:t>3、乙方每次随货物送上一式两份的送货清单，经双方验收合格后签字确认，双方各执一份，作为送收货凭证。乙方的送货清单必须详细注明商品的品牌、型号、单价、数量，送货清单不得涂改。标记不清的，甲方将拒绝签收。结算期末乙方还应提供送货清单供甲方结算。</w:t>
      </w:r>
    </w:p>
    <w:p w14:paraId="7FF1730A">
      <w:pPr>
        <w:snapToGrid w:val="0"/>
        <w:spacing w:line="400" w:lineRule="exact"/>
        <w:ind w:firstLine="420" w:firstLineChars="200"/>
        <w:rPr>
          <w:rFonts w:ascii="宋体" w:hAnsi="宋体"/>
          <w:szCs w:val="21"/>
        </w:rPr>
      </w:pPr>
      <w:r>
        <w:rPr>
          <w:rFonts w:hint="eastAsia" w:ascii="宋体" w:hAnsi="宋体"/>
          <w:szCs w:val="21"/>
        </w:rPr>
        <w:t>4、甲方对验收有异议的，在验收后</w:t>
      </w:r>
      <w:r>
        <w:rPr>
          <w:rFonts w:hint="eastAsia" w:ascii="宋体" w:hAnsi="宋体"/>
          <w:szCs w:val="21"/>
          <w:u w:val="single"/>
        </w:rPr>
        <w:t>5</w:t>
      </w:r>
      <w:r>
        <w:rPr>
          <w:rFonts w:hint="eastAsia" w:ascii="宋体" w:hAnsi="宋体"/>
          <w:szCs w:val="21"/>
        </w:rPr>
        <w:t>个工作日内以书面形式向乙方提出，乙方应自收到甲方书面异议后</w:t>
      </w:r>
      <w:r>
        <w:rPr>
          <w:rFonts w:hint="eastAsia" w:ascii="宋体" w:hAnsi="宋体"/>
          <w:szCs w:val="21"/>
          <w:u w:val="single"/>
        </w:rPr>
        <w:t>5</w:t>
      </w:r>
      <w:r>
        <w:rPr>
          <w:rFonts w:hint="eastAsia" w:ascii="宋体" w:hAnsi="宋体"/>
          <w:szCs w:val="21"/>
        </w:rPr>
        <w:t>日内及时予以解决。</w:t>
      </w:r>
    </w:p>
    <w:p w14:paraId="0D95E34A">
      <w:pPr>
        <w:snapToGrid w:val="0"/>
        <w:spacing w:line="400" w:lineRule="exact"/>
        <w:ind w:firstLine="420" w:firstLineChars="200"/>
        <w:rPr>
          <w:rFonts w:ascii="宋体" w:hAnsi="宋体"/>
          <w:szCs w:val="21"/>
        </w:rPr>
      </w:pPr>
      <w:r>
        <w:rPr>
          <w:rFonts w:hint="eastAsia" w:ascii="宋体" w:hAnsi="宋体"/>
          <w:szCs w:val="21"/>
        </w:rPr>
        <w:t>5、甲方委托采购代理机构组织的验收项目，其验收时间以该项目验收方案确定的验收时间为准，验收结果以该项目验收报告结论为准。在验收过程中发现乙方有违约问题，甲方可暂缓资金结算，待违约问题解决后，方可办理资金结算事宜。</w:t>
      </w:r>
    </w:p>
    <w:p w14:paraId="46DF1867">
      <w:pPr>
        <w:snapToGrid w:val="0"/>
        <w:spacing w:line="400" w:lineRule="exact"/>
        <w:ind w:firstLine="422" w:firstLineChars="200"/>
        <w:rPr>
          <w:rFonts w:ascii="宋体" w:hAnsi="宋体"/>
          <w:b/>
          <w:szCs w:val="21"/>
        </w:rPr>
      </w:pPr>
      <w:r>
        <w:rPr>
          <w:rFonts w:hint="eastAsia" w:ascii="宋体" w:hAnsi="宋体"/>
          <w:b/>
          <w:szCs w:val="21"/>
        </w:rPr>
        <w:t>第六条　售后服务、质保期</w:t>
      </w:r>
    </w:p>
    <w:p w14:paraId="7D0172D4">
      <w:pPr>
        <w:snapToGrid w:val="0"/>
        <w:spacing w:line="400" w:lineRule="exact"/>
        <w:ind w:firstLine="420" w:firstLineChars="200"/>
        <w:rPr>
          <w:rFonts w:ascii="宋体" w:hAnsi="宋体"/>
          <w:szCs w:val="21"/>
        </w:rPr>
      </w:pPr>
      <w:r>
        <w:rPr>
          <w:rFonts w:hint="eastAsia" w:ascii="宋体" w:hAnsi="宋体"/>
          <w:szCs w:val="21"/>
        </w:rPr>
        <w:t>1、乙方应按照国家有关法律法规和“三包”规定以及招标文件和本合同所附的《</w:t>
      </w:r>
      <w:r>
        <w:rPr>
          <w:rFonts w:hint="eastAsia" w:ascii="宋体" w:hAnsi="宋体" w:cs="宋体"/>
        </w:rPr>
        <w:t>售后服务承诺书</w:t>
      </w:r>
      <w:r>
        <w:rPr>
          <w:rFonts w:hint="eastAsia" w:ascii="宋体" w:hAnsi="宋体"/>
          <w:szCs w:val="21"/>
        </w:rPr>
        <w:t>》，为甲方提供售后服务。</w:t>
      </w:r>
    </w:p>
    <w:p w14:paraId="37EED6FD">
      <w:pPr>
        <w:snapToGrid w:val="0"/>
        <w:spacing w:line="400" w:lineRule="exact"/>
        <w:ind w:firstLine="420" w:firstLineChars="200"/>
        <w:rPr>
          <w:rFonts w:ascii="宋体" w:hAnsi="宋体"/>
          <w:szCs w:val="21"/>
          <w:u w:val="single"/>
        </w:rPr>
      </w:pPr>
      <w:r>
        <w:rPr>
          <w:rFonts w:hint="eastAsia" w:ascii="宋体" w:hAnsi="宋体"/>
          <w:szCs w:val="21"/>
        </w:rPr>
        <w:t>2、货物质保期；</w:t>
      </w:r>
      <w:r>
        <w:rPr>
          <w:rFonts w:hint="eastAsia" w:ascii="宋体" w:hAnsi="宋体"/>
          <w:szCs w:val="21"/>
          <w:u w:val="single"/>
        </w:rPr>
        <w:t xml:space="preserve">                    </w:t>
      </w:r>
      <w:r>
        <w:rPr>
          <w:rFonts w:hint="eastAsia" w:ascii="宋体" w:hAnsi="宋体"/>
          <w:szCs w:val="21"/>
        </w:rPr>
        <w:t>。</w:t>
      </w:r>
    </w:p>
    <w:p w14:paraId="61AC83E7">
      <w:pPr>
        <w:snapToGrid w:val="0"/>
        <w:spacing w:line="400" w:lineRule="exact"/>
        <w:ind w:firstLine="420" w:firstLineChars="200"/>
        <w:rPr>
          <w:rFonts w:ascii="宋体" w:hAnsi="宋体"/>
          <w:szCs w:val="21"/>
        </w:rPr>
      </w:pPr>
      <w:r>
        <w:rPr>
          <w:rFonts w:hint="eastAsia" w:ascii="宋体" w:hAnsi="宋体"/>
          <w:szCs w:val="21"/>
        </w:rPr>
        <w:t>3、乙方提供的服务承诺和售后服务及质保期责任等其它具体约定事项。（见合同附件）</w:t>
      </w:r>
    </w:p>
    <w:p w14:paraId="3AC07640">
      <w:pPr>
        <w:snapToGrid w:val="0"/>
        <w:spacing w:line="400" w:lineRule="exact"/>
        <w:ind w:firstLine="420" w:firstLineChars="200"/>
        <w:rPr>
          <w:rFonts w:ascii="宋体" w:hAnsi="宋体"/>
          <w:szCs w:val="21"/>
        </w:rPr>
      </w:pPr>
      <w:bookmarkStart w:id="336" w:name="_Hlk75113749"/>
      <w:r>
        <w:rPr>
          <w:rFonts w:hint="eastAsia" w:ascii="宋体" w:hAnsi="宋体"/>
          <w:szCs w:val="21"/>
        </w:rPr>
        <w:t>4、关于发生不按要求配送（不准时、质量不符）等情况，退货，达到三次以上甲方有权解除合同，并要求乙方赔偿甲方因此而产生的损失；</w:t>
      </w:r>
    </w:p>
    <w:p w14:paraId="5FA5EA99">
      <w:pPr>
        <w:snapToGrid w:val="0"/>
        <w:spacing w:line="400" w:lineRule="exact"/>
        <w:ind w:firstLine="420" w:firstLineChars="200"/>
        <w:rPr>
          <w:rFonts w:ascii="宋体" w:hAnsi="宋体"/>
          <w:szCs w:val="21"/>
          <w:u w:val="single"/>
        </w:rPr>
      </w:pPr>
      <w:r>
        <w:rPr>
          <w:rFonts w:hint="eastAsia" w:ascii="宋体" w:hAnsi="宋体"/>
          <w:szCs w:val="21"/>
        </w:rPr>
        <w:t>5、乙方若违反甲方相关管理规定，包括违规携带或者传递违禁物品等，甲方有权立即解除合同。</w:t>
      </w:r>
    </w:p>
    <w:bookmarkEnd w:id="336"/>
    <w:p w14:paraId="470F64EA">
      <w:pPr>
        <w:snapToGrid w:val="0"/>
        <w:spacing w:line="400" w:lineRule="exact"/>
        <w:ind w:firstLine="422" w:firstLineChars="200"/>
        <w:rPr>
          <w:rFonts w:ascii="宋体" w:hAnsi="宋体"/>
          <w:szCs w:val="21"/>
        </w:rPr>
      </w:pPr>
      <w:r>
        <w:rPr>
          <w:rFonts w:hint="eastAsia" w:ascii="宋体" w:hAnsi="宋体"/>
          <w:b/>
          <w:szCs w:val="21"/>
        </w:rPr>
        <w:t>第七条　付款方式</w:t>
      </w:r>
    </w:p>
    <w:p w14:paraId="76DD7CFD">
      <w:pPr>
        <w:snapToGrid w:val="0"/>
        <w:spacing w:line="400" w:lineRule="exact"/>
        <w:ind w:left="420" w:leftChars="200"/>
        <w:rPr>
          <w:rFonts w:ascii="宋体" w:hAnsi="宋体"/>
          <w:szCs w:val="21"/>
        </w:rPr>
      </w:pPr>
      <w:r>
        <w:rPr>
          <w:rFonts w:hint="eastAsia" w:ascii="宋体" w:hAnsi="宋体"/>
          <w:szCs w:val="21"/>
        </w:rPr>
        <w:t>1、当采购数量与实际使用数量不一致时，乙方应根据实际使用量供货，合同的最终结算金额按实际使用量进行计算。</w:t>
      </w:r>
    </w:p>
    <w:p w14:paraId="58C057D6">
      <w:pPr>
        <w:snapToGrid w:val="0"/>
        <w:spacing w:line="400" w:lineRule="exact"/>
        <w:ind w:firstLine="420" w:firstLineChars="200"/>
        <w:rPr>
          <w:rFonts w:ascii="宋体" w:hAnsi="宋体"/>
          <w:szCs w:val="21"/>
        </w:rPr>
      </w:pPr>
      <w:r>
        <w:rPr>
          <w:rFonts w:hint="eastAsia" w:ascii="宋体" w:hAnsi="宋体"/>
          <w:szCs w:val="21"/>
        </w:rPr>
        <w:t>2、资金性质：财政资金。</w:t>
      </w:r>
    </w:p>
    <w:p w14:paraId="7D4887A1">
      <w:pPr>
        <w:snapToGrid w:val="0"/>
        <w:spacing w:line="400" w:lineRule="exact"/>
        <w:ind w:right="33" w:firstLine="420" w:firstLineChars="200"/>
      </w:pPr>
      <w:r>
        <w:rPr>
          <w:rFonts w:hint="eastAsia" w:ascii="宋体" w:hAnsi="宋体"/>
          <w:szCs w:val="21"/>
        </w:rPr>
        <w:t>3、付款方式：每月26日与甲方核对本月的采购数量（结算周期：上月26日至本月25日为一个结算周期），每月27日提供当月供应食材的等额发票及供货单据结算货款，每月结算一次。甲方收到发票及相关票据后，以银行转账方式向乙方支付货款。乙方须按时足额提供发票及相关票据，否则甲方有权拒绝付款而不构成违约。乙方开具的发票必须真实、合法、有效，如乙方提供虚假发票，由此引发的一切责任由乙方负责。</w:t>
      </w:r>
    </w:p>
    <w:p w14:paraId="5AF28A54">
      <w:pPr>
        <w:snapToGrid w:val="0"/>
        <w:spacing w:line="400" w:lineRule="exact"/>
        <w:ind w:right="33" w:firstLine="420" w:firstLineChars="200"/>
        <w:rPr>
          <w:rFonts w:ascii="宋体" w:hAnsi="宋体"/>
          <w:szCs w:val="21"/>
        </w:rPr>
      </w:pPr>
      <w:r>
        <w:rPr>
          <w:rFonts w:hint="eastAsia" w:ascii="宋体" w:hAnsi="宋体"/>
          <w:szCs w:val="21"/>
        </w:rPr>
        <w:t>4、付款计算方法</w:t>
      </w:r>
    </w:p>
    <w:p w14:paraId="0BA91B64">
      <w:pPr>
        <w:snapToGrid w:val="0"/>
        <w:spacing w:line="400" w:lineRule="exact"/>
        <w:ind w:right="33" w:firstLine="422" w:firstLineChars="200"/>
        <w:rPr>
          <w:rFonts w:ascii="宋体" w:hAnsi="宋体"/>
          <w:b/>
          <w:szCs w:val="21"/>
        </w:rPr>
      </w:pPr>
      <w:r>
        <w:rPr>
          <w:rFonts w:hint="eastAsia" w:ascii="宋体" w:hAnsi="宋体"/>
          <w:b/>
          <w:szCs w:val="21"/>
        </w:rPr>
        <w:t>A、B、C、D分标适用</w:t>
      </w:r>
    </w:p>
    <w:p w14:paraId="7A4E6E68">
      <w:pPr>
        <w:snapToGrid w:val="0"/>
        <w:spacing w:line="400" w:lineRule="exact"/>
        <w:ind w:right="33" w:firstLine="420" w:firstLineChars="200"/>
        <w:rPr>
          <w:rFonts w:ascii="宋体" w:hAnsi="宋体"/>
          <w:szCs w:val="21"/>
        </w:rPr>
      </w:pPr>
      <w:r>
        <w:rPr>
          <w:rFonts w:hint="eastAsia" w:ascii="宋体" w:hAnsi="宋体"/>
          <w:szCs w:val="21"/>
        </w:rPr>
        <w:t>（1）合同签订后3个月内，实际采购单价=各项货物供应基准单价×中标折扣系数；</w:t>
      </w:r>
    </w:p>
    <w:p w14:paraId="03DCE468">
      <w:pPr>
        <w:snapToGrid w:val="0"/>
        <w:spacing w:line="400" w:lineRule="exact"/>
        <w:ind w:right="33" w:firstLine="420" w:firstLineChars="200"/>
        <w:rPr>
          <w:rFonts w:ascii="宋体" w:hAnsi="宋体"/>
          <w:szCs w:val="21"/>
        </w:rPr>
      </w:pPr>
      <w:r>
        <w:rPr>
          <w:rFonts w:hint="eastAsia" w:ascii="宋体" w:hAnsi="宋体"/>
          <w:szCs w:val="21"/>
        </w:rPr>
        <w:t>（2）合同签订后3个月满后，</w:t>
      </w:r>
      <w:r>
        <w:rPr>
          <w:rFonts w:hint="eastAsia" w:ascii="宋体" w:hAnsi="宋体" w:cs="宋体"/>
          <w:szCs w:val="21"/>
        </w:rPr>
        <w:t>如果市场价格出现10%以上波动的，由乙方或甲方生活卫生部门提出调价申请，由甲方面向市场主体选择不少于3家具有代表性的调查对象（从以下市场或超市中随机抽取三家：梧州市龙圩区大圆塘市场、梧州市新兴市场、梧州市大塘市场、梧州市龙圩区龙人超市、梧州市沃尔玛超市、梧州市大润发超市）开展市场价格调查或送审计造价公司审定，以市场调查的最低价格或审定价乘以95%后作为下月的基准单价（特价商品除外），拟定调整价格经甲方工作小组复核，报甲方单位党委审定，方可调整价格。原则上每三个月复核一次采购价格。乙方应充分考虑到供货期间物品供应基准价上涨的风险（如有新的价格调动机制文件，按新的文件规定执行）。在调价申请未得到批复前，供应商必须按现行价格供货，否则视为单方违约，同时按违约进行处理。采购价格。乙方应充分考虑到供货期间物品供应基准价上涨的风险（如有新的价格调动机制文件，按新的文件规定执行）。在调价申请未得到批复前，供应商必须按现行价格供货，否则视为单方违约，同时按违约进行处理</w:t>
      </w:r>
      <w:r>
        <w:rPr>
          <w:rFonts w:hint="eastAsia" w:ascii="宋体" w:hAnsi="宋体"/>
          <w:szCs w:val="21"/>
        </w:rPr>
        <w:t>。同一品目三个月内最多调价一次，实际采购单价=甲方审定后调整单项价格×中标折扣系数。</w:t>
      </w:r>
    </w:p>
    <w:p w14:paraId="10B17643">
      <w:pPr>
        <w:snapToGrid w:val="0"/>
        <w:spacing w:line="400" w:lineRule="exact"/>
        <w:ind w:right="33" w:firstLine="420" w:firstLineChars="200"/>
        <w:rPr>
          <w:rFonts w:ascii="宋体" w:hAnsi="宋体"/>
          <w:szCs w:val="21"/>
        </w:rPr>
      </w:pPr>
      <w:r>
        <w:rPr>
          <w:rFonts w:hint="eastAsia" w:ascii="宋体" w:hAnsi="宋体"/>
          <w:szCs w:val="21"/>
        </w:rPr>
        <w:t>（3）甲方按月进行公对公账户银行转账；各分标均以甲方实际购买的种类及数量据实核算。货款=实际采购数量×供应基准单价（或调整单价）×折扣系数。乙方必须提供详细的供货清单与甲方的收货单核对，无误后，由乙方按照甲方财务规定出具正式发票，甲方才予以付款，</w:t>
      </w:r>
      <w:bookmarkStart w:id="337" w:name="OLE_LINK150"/>
      <w:r>
        <w:rPr>
          <w:rFonts w:hint="eastAsia" w:ascii="宋体" w:hAnsi="宋体"/>
          <w:szCs w:val="21"/>
        </w:rPr>
        <w:t>甲方在收到乙方开具的发票后60个工作日内支付货款</w:t>
      </w:r>
      <w:bookmarkEnd w:id="337"/>
      <w:r>
        <w:rPr>
          <w:rFonts w:hint="eastAsia" w:ascii="宋体" w:hAnsi="宋体"/>
          <w:szCs w:val="21"/>
        </w:rPr>
        <w:t>（以汇款日为准）。</w:t>
      </w:r>
    </w:p>
    <w:p w14:paraId="6CB8C2AC">
      <w:pPr>
        <w:snapToGrid w:val="0"/>
        <w:spacing w:line="400" w:lineRule="exact"/>
        <w:ind w:right="33" w:firstLine="422" w:firstLineChars="200"/>
        <w:rPr>
          <w:rFonts w:ascii="宋体" w:hAnsi="宋体"/>
          <w:b/>
          <w:szCs w:val="21"/>
        </w:rPr>
      </w:pPr>
      <w:r>
        <w:rPr>
          <w:rFonts w:hint="eastAsia" w:ascii="宋体" w:hAnsi="宋体"/>
          <w:b/>
          <w:szCs w:val="21"/>
        </w:rPr>
        <w:t>E、F、G分标适用</w:t>
      </w:r>
    </w:p>
    <w:p w14:paraId="4E35FFFC">
      <w:pPr>
        <w:snapToGrid w:val="0"/>
        <w:spacing w:line="400" w:lineRule="exact"/>
        <w:ind w:right="33" w:firstLine="420" w:firstLineChars="200"/>
        <w:rPr>
          <w:rFonts w:ascii="宋体" w:hAnsi="宋体"/>
          <w:szCs w:val="21"/>
        </w:rPr>
      </w:pPr>
      <w:r>
        <w:rPr>
          <w:rFonts w:hint="eastAsia" w:ascii="宋体" w:hAnsi="宋体"/>
          <w:szCs w:val="21"/>
        </w:rPr>
        <w:t>（1）合同期内不允许调价，实际采购单价=各项货物供应基准单价×中标折扣系数；</w:t>
      </w:r>
    </w:p>
    <w:p w14:paraId="17B4429C">
      <w:pPr>
        <w:snapToGrid w:val="0"/>
        <w:spacing w:line="400" w:lineRule="exact"/>
        <w:ind w:right="33" w:firstLine="420" w:firstLineChars="200"/>
        <w:rPr>
          <w:rFonts w:ascii="宋体" w:hAnsi="宋体"/>
          <w:szCs w:val="21"/>
        </w:rPr>
      </w:pPr>
      <w:r>
        <w:rPr>
          <w:rFonts w:hint="eastAsia" w:ascii="宋体" w:hAnsi="宋体"/>
          <w:szCs w:val="21"/>
        </w:rPr>
        <w:t>（2）甲方按月进行公对公账户银行转账；各分标均以甲方实际购买的种类及数量据实核算。货款=实际采购数量×供应基准单价×折扣系数。乙方必须提供详细的供货清单与甲方的收货单核对，无误后，由乙方按照甲方财务规定出具正式发票，甲方才予以付款，甲方在收到乙方开具的发票后60个工作日内支付货款（以汇款日为准）。</w:t>
      </w:r>
    </w:p>
    <w:p w14:paraId="033B6D3B">
      <w:pPr>
        <w:snapToGrid w:val="0"/>
        <w:spacing w:line="400" w:lineRule="exact"/>
        <w:ind w:firstLine="422" w:firstLineChars="200"/>
        <w:rPr>
          <w:rFonts w:ascii="宋体" w:hAnsi="宋体"/>
          <w:b/>
          <w:szCs w:val="21"/>
        </w:rPr>
      </w:pPr>
      <w:r>
        <w:rPr>
          <w:rFonts w:hint="eastAsia" w:ascii="宋体" w:hAnsi="宋体"/>
          <w:b/>
          <w:szCs w:val="21"/>
        </w:rPr>
        <w:t>第八条　履约保证金</w:t>
      </w:r>
    </w:p>
    <w:p w14:paraId="5FB64C49">
      <w:pPr>
        <w:pStyle w:val="14"/>
        <w:spacing w:line="400" w:lineRule="exact"/>
        <w:ind w:firstLine="420" w:firstLineChars="200"/>
        <w:rPr>
          <w:rFonts w:ascii="宋体" w:hAnsi="宋体" w:cs="宋体"/>
          <w:szCs w:val="21"/>
        </w:rPr>
      </w:pPr>
      <w:r>
        <w:rPr>
          <w:rFonts w:ascii="宋体" w:hAnsi="Courier New"/>
          <w:kern w:val="0"/>
          <w:szCs w:val="21"/>
        </w:rPr>
        <w:t>（1）</w:t>
      </w:r>
      <w:bookmarkStart w:id="338" w:name="OLE_LINK148"/>
      <w:bookmarkStart w:id="339" w:name="OLE_LINK152"/>
      <w:r>
        <w:rPr>
          <w:rFonts w:hint="eastAsia" w:ascii="宋体" w:hAnsi="Courier New"/>
          <w:kern w:val="0"/>
          <w:szCs w:val="21"/>
        </w:rPr>
        <w:t>乙方</w:t>
      </w:r>
      <w:bookmarkEnd w:id="338"/>
      <w:r>
        <w:rPr>
          <w:rFonts w:hint="eastAsia" w:ascii="宋体" w:hAnsi="Courier New"/>
          <w:kern w:val="0"/>
          <w:szCs w:val="21"/>
        </w:rPr>
        <w:t>在签订合同之前，必须向甲方缴纳履约保证金，收取标准为</w:t>
      </w:r>
      <w:r>
        <w:rPr>
          <w:rFonts w:hint="eastAsia" w:ascii="宋体" w:hAnsi="宋体"/>
          <w:szCs w:val="21"/>
        </w:rPr>
        <w:t>按</w:t>
      </w:r>
      <w:r>
        <w:rPr>
          <w:rFonts w:hint="eastAsia" w:ascii="宋体" w:hAnsi="宋体" w:cs="宋体"/>
          <w:kern w:val="0"/>
          <w:szCs w:val="21"/>
        </w:rPr>
        <w:t>各分标预算金额</w:t>
      </w:r>
      <w:r>
        <w:rPr>
          <w:rFonts w:ascii="Arial" w:hAnsi="Arial" w:cs="Arial"/>
          <w:kern w:val="0"/>
          <w:szCs w:val="21"/>
        </w:rPr>
        <w:t>×</w:t>
      </w:r>
      <w:r>
        <w:rPr>
          <w:rFonts w:hint="eastAsia" w:ascii="宋体" w:hAnsi="宋体" w:cs="宋体"/>
          <w:kern w:val="0"/>
          <w:szCs w:val="21"/>
        </w:rPr>
        <w:t>折扣系数</w:t>
      </w:r>
      <w:r>
        <w:rPr>
          <w:rFonts w:ascii="Arial" w:hAnsi="Arial" w:cs="Arial"/>
          <w:kern w:val="0"/>
          <w:szCs w:val="21"/>
        </w:rPr>
        <w:t>×</w:t>
      </w:r>
      <w:r>
        <w:rPr>
          <w:rFonts w:hint="eastAsia" w:ascii="宋体" w:hAnsi="宋体" w:cs="Arial"/>
          <w:szCs w:val="21"/>
          <w:u w:val="single"/>
        </w:rPr>
        <w:t xml:space="preserve"> </w:t>
      </w:r>
      <w:r>
        <w:rPr>
          <w:rFonts w:ascii="宋体" w:hAnsi="宋体" w:cs="Arial"/>
          <w:szCs w:val="21"/>
          <w:u w:val="single"/>
        </w:rPr>
        <w:t>2</w:t>
      </w:r>
      <w:r>
        <w:rPr>
          <w:rFonts w:hint="eastAsia" w:ascii="宋体" w:hAnsi="宋体" w:cs="Arial"/>
          <w:szCs w:val="21"/>
          <w:u w:val="single"/>
        </w:rPr>
        <w:t xml:space="preserve"> </w:t>
      </w:r>
      <w:r>
        <w:rPr>
          <w:rFonts w:hint="eastAsia" w:ascii="宋体" w:hAnsi="宋体"/>
          <w:szCs w:val="21"/>
        </w:rPr>
        <w:t>%</w:t>
      </w:r>
      <w:r>
        <w:rPr>
          <w:rFonts w:hint="eastAsia" w:ascii="宋体" w:hAnsi="宋体" w:cs="宋体"/>
          <w:kern w:val="0"/>
          <w:szCs w:val="21"/>
        </w:rPr>
        <w:t>（</w:t>
      </w:r>
      <w:r>
        <w:rPr>
          <w:rFonts w:hint="eastAsia" w:ascii="宋体" w:hAnsi="宋体" w:cs="宋体"/>
          <w:szCs w:val="21"/>
        </w:rPr>
        <w:t>根据《广西壮族自治区财政厅关于持续优化政府采购营商环境推动高质量发展的通知》（桂财采〔2024〕55号）规定，采购文件要求中标或者成交供应商提交履约保证金的，履约保证金数额不得超过政府采购合同金额的5%，对中小企业收取的履约保证金数额不得超过政府采购合同金额的2%。</w:t>
      </w:r>
      <w:r>
        <w:rPr>
          <w:rFonts w:hint="eastAsia" w:ascii="宋体" w:hAnsi="宋体" w:cs="宋体"/>
          <w:kern w:val="0"/>
          <w:szCs w:val="21"/>
        </w:rPr>
        <w:t>）</w:t>
      </w:r>
      <w:r>
        <w:rPr>
          <w:rFonts w:hint="eastAsia" w:ascii="宋体" w:hAnsi="Courier New"/>
          <w:kern w:val="0"/>
          <w:szCs w:val="21"/>
        </w:rPr>
        <w:t>。</w:t>
      </w:r>
      <w:r>
        <w:rPr>
          <w:rFonts w:hint="eastAsia" w:ascii="宋体" w:hAnsi="宋体" w:cs="宋体"/>
          <w:szCs w:val="21"/>
          <w:u w:val="single"/>
        </w:rPr>
        <w:t>合同期满后，由</w:t>
      </w:r>
      <w:r>
        <w:rPr>
          <w:rFonts w:hint="eastAsia" w:ascii="宋体" w:hAnsi="Courier New"/>
          <w:kern w:val="0"/>
          <w:szCs w:val="21"/>
        </w:rPr>
        <w:t>乙方</w:t>
      </w:r>
      <w:r>
        <w:rPr>
          <w:rFonts w:hint="eastAsia" w:ascii="宋体" w:hAnsi="宋体" w:cs="宋体"/>
          <w:szCs w:val="21"/>
          <w:u w:val="single"/>
        </w:rPr>
        <w:t>向</w:t>
      </w:r>
      <w:bookmarkStart w:id="340" w:name="OLE_LINK149"/>
      <w:r>
        <w:rPr>
          <w:rFonts w:hint="eastAsia" w:ascii="宋体" w:hAnsi="宋体" w:cs="宋体"/>
          <w:szCs w:val="21"/>
          <w:u w:val="single"/>
        </w:rPr>
        <w:t>甲方</w:t>
      </w:r>
      <w:bookmarkEnd w:id="340"/>
      <w:r>
        <w:rPr>
          <w:rFonts w:hint="eastAsia" w:ascii="宋体" w:hAnsi="宋体" w:cs="宋体"/>
          <w:szCs w:val="21"/>
          <w:u w:val="single"/>
        </w:rPr>
        <w:t>提出申请，甲方在收到申请材料后对相关违约情况进行核对，如有违约或赔偿的，涉及违约的违约金和损失赔偿从履约保证金中扣减后，甲方15个工作日内转账退还（无息）。</w:t>
      </w:r>
      <w:r>
        <w:rPr>
          <w:rFonts w:ascii="宋体" w:hAnsi="Courier New"/>
          <w:kern w:val="0"/>
          <w:szCs w:val="21"/>
        </w:rPr>
        <w:t>  </w:t>
      </w:r>
      <w:bookmarkEnd w:id="339"/>
    </w:p>
    <w:p w14:paraId="0D3D1BF5">
      <w:pPr>
        <w:spacing w:line="420" w:lineRule="exact"/>
        <w:ind w:firstLine="411" w:firstLineChars="196"/>
        <w:rPr>
          <w:rFonts w:ascii="宋体" w:hAnsi="Courier New"/>
          <w:kern w:val="0"/>
          <w:szCs w:val="21"/>
        </w:rPr>
      </w:pPr>
      <w:r>
        <w:rPr>
          <w:rFonts w:ascii="宋体" w:hAnsi="Courier New"/>
          <w:kern w:val="0"/>
          <w:szCs w:val="21"/>
        </w:rPr>
        <w:t>（2）</w:t>
      </w:r>
      <w:r>
        <w:rPr>
          <w:rFonts w:hint="eastAsia" w:ascii="宋体" w:hAnsi="Courier New"/>
          <w:kern w:val="0"/>
          <w:szCs w:val="21"/>
        </w:rPr>
        <w:t>供货合同到期后，且本项目验收合格的</w:t>
      </w:r>
      <w:r>
        <w:rPr>
          <w:rFonts w:ascii="宋体" w:hAnsi="Courier New"/>
          <w:kern w:val="0"/>
          <w:szCs w:val="21"/>
        </w:rPr>
        <w:t>，</w:t>
      </w:r>
      <w:r>
        <w:rPr>
          <w:rFonts w:hint="eastAsia" w:ascii="宋体" w:hAnsi="Courier New"/>
          <w:kern w:val="0"/>
          <w:szCs w:val="21"/>
        </w:rPr>
        <w:t>乙方递交《政府采购项目履约保证金退付意见书》之日起十五个工作日内甲方办理履约保证金退还手续。</w:t>
      </w:r>
      <w:r>
        <w:rPr>
          <w:rFonts w:ascii="宋体" w:hAnsi="Courier New"/>
          <w:kern w:val="0"/>
          <w:szCs w:val="21"/>
        </w:rPr>
        <w:t>      </w:t>
      </w:r>
    </w:p>
    <w:p w14:paraId="303B5828">
      <w:pPr>
        <w:spacing w:line="420" w:lineRule="exact"/>
        <w:ind w:firstLine="411" w:firstLineChars="196"/>
        <w:rPr>
          <w:rFonts w:ascii="宋体" w:hAnsi="宋体"/>
          <w:b/>
          <w:kern w:val="0"/>
          <w:szCs w:val="21"/>
        </w:rPr>
      </w:pPr>
      <w:r>
        <w:rPr>
          <w:rFonts w:ascii="宋体" w:hAnsi="Courier New"/>
          <w:kern w:val="0"/>
          <w:szCs w:val="21"/>
        </w:rPr>
        <w:t>（3）在剩余履约保证金到期退还日期前，若</w:t>
      </w:r>
      <w:r>
        <w:rPr>
          <w:rFonts w:hint="eastAsia" w:ascii="宋体" w:hAnsi="Courier New"/>
          <w:kern w:val="0"/>
          <w:szCs w:val="21"/>
        </w:rPr>
        <w:t>乙方</w:t>
      </w:r>
      <w:r>
        <w:rPr>
          <w:rFonts w:ascii="宋体" w:hAnsi="Courier New"/>
          <w:kern w:val="0"/>
          <w:szCs w:val="21"/>
        </w:rPr>
        <w:t>的开户名称、开户银行、账号有变动的，请以书面形式通知</w:t>
      </w:r>
      <w:r>
        <w:rPr>
          <w:rFonts w:hint="eastAsia" w:ascii="宋体" w:hAnsi="Courier New"/>
          <w:kern w:val="0"/>
          <w:szCs w:val="21"/>
        </w:rPr>
        <w:t>甲方</w:t>
      </w:r>
      <w:r>
        <w:rPr>
          <w:rFonts w:ascii="宋体" w:hAnsi="Courier New"/>
          <w:kern w:val="0"/>
          <w:szCs w:val="21"/>
        </w:rPr>
        <w:t>，否则由此产生的后果由</w:t>
      </w:r>
      <w:r>
        <w:rPr>
          <w:rFonts w:hint="eastAsia" w:ascii="宋体" w:hAnsi="Courier New"/>
          <w:kern w:val="0"/>
          <w:szCs w:val="21"/>
        </w:rPr>
        <w:t>乙方</w:t>
      </w:r>
      <w:r>
        <w:rPr>
          <w:rFonts w:ascii="宋体" w:hAnsi="Courier New"/>
          <w:kern w:val="0"/>
          <w:szCs w:val="21"/>
        </w:rPr>
        <w:t>自负。</w:t>
      </w:r>
      <w:r>
        <w:rPr>
          <w:rFonts w:hint="eastAsia" w:ascii="宋体" w:hAnsi="宋体"/>
          <w:b/>
          <w:kern w:val="0"/>
          <w:szCs w:val="21"/>
        </w:rPr>
        <w:t xml:space="preserve"> </w:t>
      </w:r>
    </w:p>
    <w:p w14:paraId="552F8E4B">
      <w:pPr>
        <w:snapToGrid w:val="0"/>
        <w:spacing w:line="400" w:lineRule="exact"/>
        <w:ind w:firstLine="422" w:firstLineChars="200"/>
        <w:rPr>
          <w:rFonts w:ascii="宋体" w:hAnsi="宋体"/>
          <w:b/>
          <w:szCs w:val="21"/>
        </w:rPr>
      </w:pPr>
      <w:r>
        <w:rPr>
          <w:rFonts w:hint="eastAsia" w:ascii="宋体" w:hAnsi="宋体"/>
          <w:b/>
          <w:szCs w:val="21"/>
        </w:rPr>
        <w:t>第九条  违约责任</w:t>
      </w:r>
    </w:p>
    <w:p w14:paraId="04C4AE18">
      <w:pPr>
        <w:spacing w:line="420" w:lineRule="exact"/>
        <w:ind w:firstLine="420" w:firstLineChars="200"/>
        <w:rPr>
          <w:rFonts w:ascii="宋体" w:hAnsi="宋体"/>
          <w:szCs w:val="21"/>
        </w:rPr>
      </w:pPr>
      <w:r>
        <w:rPr>
          <w:rFonts w:hint="eastAsia" w:ascii="宋体" w:hAnsi="宋体"/>
          <w:szCs w:val="21"/>
        </w:rPr>
        <w:t>1、</w:t>
      </w:r>
      <w:r>
        <w:rPr>
          <w:rFonts w:hint="eastAsia" w:ascii="宋体" w:hAnsi="宋体" w:cs="宋体"/>
          <w:bCs/>
          <w:szCs w:val="21"/>
        </w:rPr>
        <w:t>合同履行期限内，甲方每个月按《广西监狱罪犯生活物资供货商考核管理办法》（详见合同附件2）对乙方的供应情况进行考核，若乙方提供的货物不能达到甲方要求或违反合同约定的，</w:t>
      </w:r>
      <w:r>
        <w:rPr>
          <w:rFonts w:hint="eastAsia" w:ascii="宋体" w:hAnsi="Courier New"/>
          <w:caps/>
        </w:rPr>
        <w:t>甲方可向乙方发出违约处罚通知，乙方应在收到甲方违约处罚通知之日起5个工作日内将违约金交到甲方指定账户，如乙方不按时交纳或拒绝交纳违约金的，</w:t>
      </w:r>
      <w:r>
        <w:rPr>
          <w:rFonts w:hint="eastAsia" w:ascii="宋体" w:hAnsi="宋体" w:cs="宋体"/>
          <w:szCs w:val="21"/>
        </w:rPr>
        <w:t>由</w:t>
      </w:r>
      <w:r>
        <w:rPr>
          <w:rFonts w:hint="eastAsia" w:ascii="宋体" w:hAnsi="宋体" w:cs="宋体"/>
          <w:bCs/>
          <w:szCs w:val="21"/>
        </w:rPr>
        <w:t>甲方按规定</w:t>
      </w:r>
      <w:r>
        <w:rPr>
          <w:rFonts w:hint="eastAsia" w:ascii="宋体" w:hAnsi="宋体" w:cs="宋体"/>
          <w:szCs w:val="21"/>
        </w:rPr>
        <w:t>从履约保证金</w:t>
      </w:r>
      <w:r>
        <w:rPr>
          <w:rFonts w:hint="eastAsia" w:ascii="宋体" w:hAnsi="宋体" w:cs="宋体"/>
          <w:bCs/>
          <w:szCs w:val="21"/>
        </w:rPr>
        <w:t>中扣除违约金，剩余履约保证金在合同履行期限到期后1</w:t>
      </w:r>
      <w:r>
        <w:rPr>
          <w:rFonts w:hint="eastAsia"/>
        </w:rPr>
        <w:t>5个工作日内</w:t>
      </w:r>
      <w:r>
        <w:rPr>
          <w:rFonts w:hint="eastAsia" w:ascii="宋体" w:hAnsi="宋体" w:cs="宋体"/>
          <w:bCs/>
          <w:szCs w:val="21"/>
        </w:rPr>
        <w:t>无息返还，如履约保证金一次被扣至剩余不足5000元或者被扣累计5次以上的，取消供应商供应资格，履约保证金不返还，且甲方有权解除合同，由此造成甲方损失的，乙方应按实际损失赔偿。</w:t>
      </w:r>
      <w:r>
        <w:rPr>
          <w:rFonts w:hint="eastAsia" w:ascii="宋体" w:hAnsi="宋体"/>
          <w:szCs w:val="21"/>
        </w:rPr>
        <w:t xml:space="preserve">                                 </w:t>
      </w:r>
    </w:p>
    <w:p w14:paraId="7AC06025">
      <w:pPr>
        <w:snapToGrid w:val="0"/>
        <w:spacing w:line="400" w:lineRule="exact"/>
        <w:ind w:firstLine="420" w:firstLineChars="200"/>
        <w:rPr>
          <w:rFonts w:ascii="宋体" w:hAnsi="宋体"/>
          <w:szCs w:val="21"/>
        </w:rPr>
      </w:pPr>
      <w:r>
        <w:rPr>
          <w:rFonts w:hint="eastAsia" w:ascii="宋体" w:hAnsi="宋体"/>
          <w:szCs w:val="21"/>
        </w:rPr>
        <w:t xml:space="preserve">2、因包装、运输引起的货物损坏，按质量不合格处理，由乙方在1小时内内予以更换，乙方未能在约定时间予以更换的，甲方可解除合同，乙方按照货款总额5%向甲方支付违约金。如果因质量问题导致甲方出现其他损失时，由乙方负责全部赔偿。   </w:t>
      </w:r>
    </w:p>
    <w:p w14:paraId="314FCCB7">
      <w:pPr>
        <w:snapToGrid w:val="0"/>
        <w:spacing w:line="400" w:lineRule="exact"/>
        <w:ind w:firstLine="420" w:firstLineChars="200"/>
        <w:rPr>
          <w:rFonts w:ascii="宋体" w:hAnsi="宋体"/>
          <w:szCs w:val="21"/>
        </w:rPr>
      </w:pPr>
      <w:r>
        <w:rPr>
          <w:rFonts w:hint="eastAsia" w:ascii="宋体" w:hAnsi="宋体"/>
          <w:szCs w:val="21"/>
        </w:rPr>
        <w:t>3、除客观不可抗力外，乙方不得推迟送货。如确需延迟送货，乙方应在得知情况的同时告知甲方并征得甲方的同意。</w:t>
      </w:r>
    </w:p>
    <w:p w14:paraId="6248BE93">
      <w:pPr>
        <w:snapToGrid w:val="0"/>
        <w:spacing w:line="400" w:lineRule="exact"/>
        <w:ind w:firstLine="420" w:firstLineChars="200"/>
        <w:rPr>
          <w:rFonts w:ascii="宋体" w:hAnsi="宋体"/>
          <w:szCs w:val="21"/>
        </w:rPr>
      </w:pPr>
      <w:r>
        <w:rPr>
          <w:rFonts w:hint="eastAsia" w:ascii="宋体" w:hAnsi="宋体"/>
          <w:szCs w:val="21"/>
        </w:rPr>
        <w:t>4、关于发生乙方不按要求配送（不准时、质量不符）等情况，退货，达到三次以上甲方有权解除合同，并要求乙方赔偿甲方因此而产生的损失。</w:t>
      </w:r>
    </w:p>
    <w:p w14:paraId="48962FDC">
      <w:pPr>
        <w:snapToGrid w:val="0"/>
        <w:spacing w:line="400" w:lineRule="exact"/>
        <w:ind w:firstLine="420" w:firstLineChars="200"/>
        <w:rPr>
          <w:rFonts w:ascii="宋体" w:hAnsi="宋体"/>
          <w:szCs w:val="21"/>
        </w:rPr>
      </w:pPr>
      <w:r>
        <w:rPr>
          <w:rFonts w:hint="eastAsia" w:ascii="宋体" w:hAnsi="宋体"/>
          <w:szCs w:val="21"/>
        </w:rPr>
        <w:t>5、安全责任方面要求：</w:t>
      </w:r>
    </w:p>
    <w:p w14:paraId="4CAFBF4E">
      <w:pPr>
        <w:snapToGrid w:val="0"/>
        <w:spacing w:line="400" w:lineRule="exact"/>
        <w:ind w:firstLine="420" w:firstLineChars="200"/>
        <w:rPr>
          <w:rFonts w:ascii="宋体" w:hAnsi="宋体"/>
          <w:szCs w:val="21"/>
        </w:rPr>
      </w:pPr>
      <w:r>
        <w:rPr>
          <w:rFonts w:hint="eastAsia" w:ascii="宋体" w:hAnsi="宋体"/>
          <w:szCs w:val="21"/>
        </w:rPr>
        <w:t>1）乙方应保证所提供的食品必须是合格安全的食品，因其所送的食品造成食物中毒等事故，立即终止合同，乙方应承担全部责任，同时通过法律途径解决。</w:t>
      </w:r>
    </w:p>
    <w:p w14:paraId="05ED4391">
      <w:pPr>
        <w:snapToGrid w:val="0"/>
        <w:spacing w:line="400" w:lineRule="exact"/>
        <w:ind w:firstLine="420" w:firstLineChars="200"/>
        <w:rPr>
          <w:rFonts w:ascii="宋体" w:hAnsi="宋体"/>
          <w:szCs w:val="21"/>
        </w:rPr>
      </w:pPr>
      <w:r>
        <w:rPr>
          <w:rFonts w:hint="eastAsia" w:ascii="宋体" w:hAnsi="宋体"/>
          <w:szCs w:val="21"/>
        </w:rPr>
        <w:t>2）乙方应严格遵守《中华人民共和国食品安全法》等相关规定，一经发现以下食品，除全部退货外，将取消供货资格，甲方并承担由此造成的经济责任和法律责任：</w:t>
      </w:r>
    </w:p>
    <w:p w14:paraId="40A3AE12">
      <w:pPr>
        <w:snapToGrid w:val="0"/>
        <w:spacing w:line="400" w:lineRule="exact"/>
        <w:ind w:firstLine="420" w:firstLineChars="200"/>
        <w:rPr>
          <w:rFonts w:ascii="宋体" w:hAnsi="宋体"/>
          <w:szCs w:val="21"/>
        </w:rPr>
      </w:pPr>
      <w:r>
        <w:rPr>
          <w:rFonts w:hint="eastAsia" w:ascii="宋体" w:hAnsi="宋体"/>
          <w:szCs w:val="21"/>
        </w:rPr>
        <w:t>①腐败变质、油脂酸败、霉变、生虫、污秽不洁、混有异物或者其他感官性状异常，对人体健康有害的；</w:t>
      </w:r>
    </w:p>
    <w:p w14:paraId="0D20B7EE">
      <w:pPr>
        <w:snapToGrid w:val="0"/>
        <w:spacing w:line="400" w:lineRule="exact"/>
        <w:ind w:firstLine="420" w:firstLineChars="200"/>
        <w:rPr>
          <w:rFonts w:ascii="宋体" w:hAnsi="宋体"/>
          <w:szCs w:val="21"/>
        </w:rPr>
      </w:pPr>
      <w:r>
        <w:rPr>
          <w:rFonts w:hint="eastAsia" w:ascii="宋体" w:hAnsi="宋体"/>
          <w:szCs w:val="21"/>
        </w:rPr>
        <w:t>②含有毒、有害物质或者被有害物质污染，对人体健康有害的；</w:t>
      </w:r>
    </w:p>
    <w:p w14:paraId="25ACAD6C">
      <w:pPr>
        <w:snapToGrid w:val="0"/>
        <w:spacing w:line="400" w:lineRule="exact"/>
        <w:ind w:firstLine="420" w:firstLineChars="200"/>
        <w:rPr>
          <w:rFonts w:ascii="宋体" w:hAnsi="宋体"/>
          <w:szCs w:val="21"/>
        </w:rPr>
      </w:pPr>
      <w:r>
        <w:rPr>
          <w:rFonts w:hint="eastAsia" w:ascii="宋体" w:hAnsi="宋体"/>
          <w:szCs w:val="21"/>
        </w:rPr>
        <w:t>③含有致病性寄生虫、微生物或者微生物含量超过国家限定标准的；</w:t>
      </w:r>
    </w:p>
    <w:p w14:paraId="325643CE">
      <w:pPr>
        <w:snapToGrid w:val="0"/>
        <w:spacing w:line="400" w:lineRule="exact"/>
        <w:ind w:firstLine="420" w:firstLineChars="200"/>
        <w:rPr>
          <w:rFonts w:ascii="宋体" w:hAnsi="宋体"/>
          <w:szCs w:val="21"/>
        </w:rPr>
      </w:pPr>
      <w:r>
        <w:rPr>
          <w:rFonts w:hint="eastAsia" w:ascii="宋体" w:hAnsi="宋体"/>
          <w:szCs w:val="21"/>
        </w:rPr>
        <w:t>④掺假、掺杂、伪造，影响营养、卫生的；</w:t>
      </w:r>
    </w:p>
    <w:p w14:paraId="5E228E0B">
      <w:pPr>
        <w:snapToGrid w:val="0"/>
        <w:spacing w:line="400" w:lineRule="exact"/>
        <w:ind w:firstLine="420" w:firstLineChars="200"/>
        <w:rPr>
          <w:rFonts w:ascii="宋体" w:hAnsi="宋体"/>
          <w:szCs w:val="21"/>
        </w:rPr>
      </w:pPr>
      <w:r>
        <w:rPr>
          <w:rFonts w:hint="eastAsia" w:ascii="宋体" w:hAnsi="宋体"/>
          <w:szCs w:val="21"/>
        </w:rPr>
        <w:t>⑤用非食品原料加工的，加入非食品用化学物质或者将非食品当作食品的；</w:t>
      </w:r>
    </w:p>
    <w:p w14:paraId="064C54A4">
      <w:pPr>
        <w:snapToGrid w:val="0"/>
        <w:spacing w:line="400" w:lineRule="exact"/>
        <w:ind w:firstLine="420" w:firstLineChars="200"/>
        <w:rPr>
          <w:rFonts w:ascii="宋体" w:hAnsi="宋体"/>
          <w:szCs w:val="21"/>
        </w:rPr>
      </w:pPr>
      <w:r>
        <w:rPr>
          <w:rFonts w:hint="eastAsia" w:ascii="宋体" w:hAnsi="宋体"/>
          <w:szCs w:val="21"/>
        </w:rPr>
        <w:t>⑥超过保质期限的。</w:t>
      </w:r>
    </w:p>
    <w:p w14:paraId="2AA54CFF">
      <w:pPr>
        <w:snapToGrid w:val="0"/>
        <w:spacing w:line="400" w:lineRule="exact"/>
        <w:ind w:firstLine="420" w:firstLineChars="200"/>
        <w:rPr>
          <w:rFonts w:ascii="宋体" w:hAnsi="宋体"/>
          <w:szCs w:val="21"/>
        </w:rPr>
      </w:pPr>
      <w:r>
        <w:rPr>
          <w:rFonts w:hint="eastAsia" w:ascii="宋体" w:hAnsi="宋体"/>
          <w:szCs w:val="21"/>
        </w:rPr>
        <w:t>⑦病死、毒死或者死因不明的禽、畜、兽动物等及其制品；</w:t>
      </w:r>
    </w:p>
    <w:p w14:paraId="2140F803">
      <w:pPr>
        <w:snapToGrid w:val="0"/>
        <w:spacing w:line="400" w:lineRule="exact"/>
        <w:ind w:firstLine="420" w:firstLineChars="200"/>
        <w:rPr>
          <w:rFonts w:ascii="宋体" w:hAnsi="宋体"/>
          <w:szCs w:val="21"/>
        </w:rPr>
      </w:pPr>
      <w:r>
        <w:rPr>
          <w:rFonts w:hint="eastAsia" w:ascii="宋体" w:hAnsi="宋体"/>
          <w:szCs w:val="21"/>
        </w:rPr>
        <w:t>⑧食材没有合法供货来源的；</w:t>
      </w:r>
    </w:p>
    <w:p w14:paraId="2A4B900F">
      <w:pPr>
        <w:snapToGrid w:val="0"/>
        <w:spacing w:line="400" w:lineRule="exact"/>
        <w:ind w:firstLine="420" w:firstLineChars="200"/>
        <w:rPr>
          <w:rFonts w:ascii="宋体" w:hAnsi="宋体"/>
          <w:szCs w:val="21"/>
        </w:rPr>
      </w:pPr>
      <w:r>
        <w:rPr>
          <w:rFonts w:hint="eastAsia" w:ascii="宋体" w:hAnsi="宋体"/>
          <w:szCs w:val="21"/>
        </w:rPr>
        <w:t>⑨未经检疫部门检疫、检验或者检疫、检验不合格的；</w:t>
      </w:r>
    </w:p>
    <w:p w14:paraId="5926AF4A">
      <w:pPr>
        <w:snapToGrid w:val="0"/>
        <w:spacing w:line="400" w:lineRule="exact"/>
        <w:ind w:firstLine="420" w:firstLineChars="200"/>
        <w:rPr>
          <w:rFonts w:ascii="宋体" w:hAnsi="宋体"/>
          <w:szCs w:val="21"/>
        </w:rPr>
      </w:pPr>
      <w:r>
        <w:rPr>
          <w:rFonts w:hint="eastAsia" w:ascii="宋体" w:hAnsi="宋体"/>
          <w:szCs w:val="21"/>
        </w:rPr>
        <w:t>⑩其他不符合食品卫生标准的情形。</w:t>
      </w:r>
    </w:p>
    <w:p w14:paraId="19BB6D3B">
      <w:pPr>
        <w:snapToGrid w:val="0"/>
        <w:spacing w:line="400" w:lineRule="exact"/>
        <w:ind w:firstLine="420" w:firstLineChars="200"/>
        <w:rPr>
          <w:rFonts w:ascii="宋体" w:hAnsi="宋体"/>
          <w:szCs w:val="21"/>
        </w:rPr>
      </w:pPr>
      <w:r>
        <w:rPr>
          <w:rFonts w:hint="eastAsia" w:ascii="宋体" w:hAnsi="宋体"/>
          <w:szCs w:val="21"/>
        </w:rPr>
        <w:t>7、乙方未按本合同和投标文件中规定的服务承诺提供售后服务的，乙方应按本合同合计金额5%向甲方支付违约金。</w:t>
      </w:r>
    </w:p>
    <w:p w14:paraId="2A37FB56">
      <w:pPr>
        <w:snapToGrid w:val="0"/>
        <w:spacing w:line="400" w:lineRule="exact"/>
        <w:ind w:firstLine="411" w:firstLineChars="196"/>
        <w:rPr>
          <w:rFonts w:ascii="宋体" w:hAnsi="宋体"/>
          <w:szCs w:val="21"/>
        </w:rPr>
      </w:pPr>
      <w:r>
        <w:rPr>
          <w:rFonts w:hint="eastAsia" w:ascii="宋体" w:hAnsi="宋体"/>
          <w:szCs w:val="21"/>
        </w:rPr>
        <w:t>8、因天灾、疫情或其他不可抗力无法履行合同的，双方均无责任。</w:t>
      </w:r>
    </w:p>
    <w:p w14:paraId="70ACDBA3">
      <w:pPr>
        <w:snapToGrid w:val="0"/>
        <w:spacing w:line="400" w:lineRule="exact"/>
        <w:ind w:firstLine="411" w:firstLineChars="196"/>
        <w:rPr>
          <w:rFonts w:ascii="宋体" w:hAnsi="宋体"/>
          <w:szCs w:val="21"/>
        </w:rPr>
      </w:pPr>
      <w:r>
        <w:rPr>
          <w:rFonts w:hint="eastAsia" w:ascii="宋体" w:hAnsi="宋体"/>
          <w:szCs w:val="21"/>
        </w:rPr>
        <w:t>9、乙方若违反甲方单位相关管理规定，包括违规携带或者传递违禁物品等，甲方有权立即解除合同。</w:t>
      </w:r>
    </w:p>
    <w:p w14:paraId="3D54F6F8">
      <w:pPr>
        <w:snapToGrid w:val="0"/>
        <w:spacing w:line="400" w:lineRule="exact"/>
        <w:ind w:firstLine="411" w:firstLineChars="196"/>
        <w:rPr>
          <w:rFonts w:ascii="宋体" w:hAnsi="宋体"/>
          <w:szCs w:val="21"/>
        </w:rPr>
      </w:pPr>
      <w:r>
        <w:rPr>
          <w:rFonts w:hint="eastAsia" w:ascii="宋体" w:hAnsi="宋体"/>
          <w:szCs w:val="21"/>
        </w:rPr>
        <w:t>10、乙方若发生其它违约行为按违约货款额5%收取违约金并赔偿经济损失。</w:t>
      </w:r>
    </w:p>
    <w:p w14:paraId="22F14ABF">
      <w:pPr>
        <w:snapToGrid w:val="0"/>
        <w:spacing w:line="400" w:lineRule="exact"/>
        <w:ind w:firstLine="411" w:firstLineChars="196"/>
      </w:pPr>
      <w:r>
        <w:rPr>
          <w:rFonts w:hint="eastAsia" w:ascii="宋体" w:hAnsi="宋体"/>
          <w:szCs w:val="21"/>
        </w:rPr>
        <w:t>11、</w:t>
      </w:r>
      <w:r>
        <w:rPr>
          <w:rFonts w:hint="eastAsia" w:ascii="宋体" w:hAnsi="宋体" w:cs="宋体"/>
          <w:spacing w:val="-3"/>
          <w:szCs w:val="21"/>
        </w:rPr>
        <w:t>甲方逾期支付乙方货款的，由甲方和乙方协商解决，协商不了的由甲方按逾期货款的0.1%/天赔偿乙方，赔偿金最高不超过逾期货款的1%。</w:t>
      </w:r>
    </w:p>
    <w:p w14:paraId="16DF2CBF">
      <w:pPr>
        <w:snapToGrid w:val="0"/>
        <w:spacing w:line="400" w:lineRule="exact"/>
        <w:ind w:firstLine="422" w:firstLineChars="200"/>
        <w:rPr>
          <w:rFonts w:ascii="宋体" w:hAnsi="宋体"/>
          <w:b/>
          <w:szCs w:val="21"/>
        </w:rPr>
      </w:pPr>
      <w:r>
        <w:rPr>
          <w:rFonts w:hint="eastAsia" w:ascii="宋体" w:hAnsi="宋体"/>
          <w:b/>
          <w:szCs w:val="21"/>
        </w:rPr>
        <w:t>第十条  不可抗力事件处理</w:t>
      </w:r>
    </w:p>
    <w:p w14:paraId="0265D279">
      <w:pPr>
        <w:snapToGrid w:val="0"/>
        <w:spacing w:line="400" w:lineRule="exact"/>
        <w:ind w:firstLine="420" w:firstLineChars="200"/>
        <w:rPr>
          <w:rFonts w:ascii="宋体" w:hAnsi="宋体"/>
          <w:szCs w:val="21"/>
        </w:rPr>
      </w:pPr>
      <w:r>
        <w:rPr>
          <w:rFonts w:hint="eastAsia" w:ascii="宋体" w:hAnsi="宋体"/>
          <w:szCs w:val="21"/>
        </w:rPr>
        <w:t>1、在合同有效期内，任何一方因不可抗力事件导致不能履行合同，则合同履行期可延长，其延长期与不可抗力影响期相同。</w:t>
      </w:r>
    </w:p>
    <w:p w14:paraId="7754ADF7">
      <w:pPr>
        <w:snapToGrid w:val="0"/>
        <w:spacing w:line="400" w:lineRule="exact"/>
        <w:ind w:firstLine="420" w:firstLineChars="200"/>
        <w:rPr>
          <w:rFonts w:ascii="宋体" w:hAnsi="宋体"/>
          <w:szCs w:val="21"/>
        </w:rPr>
      </w:pPr>
      <w:r>
        <w:rPr>
          <w:rFonts w:hint="eastAsia" w:ascii="宋体" w:hAnsi="宋体"/>
          <w:szCs w:val="21"/>
        </w:rPr>
        <w:t>2、不可抗力事件发生后，应立即电话或书面通知对方，并在事件后寄送有关权威机构出具的证明。</w:t>
      </w:r>
    </w:p>
    <w:p w14:paraId="5FC0D5CF">
      <w:pPr>
        <w:snapToGrid w:val="0"/>
        <w:spacing w:line="400" w:lineRule="exact"/>
        <w:ind w:firstLine="420" w:firstLineChars="200"/>
        <w:rPr>
          <w:rFonts w:ascii="宋体" w:hAnsi="宋体"/>
          <w:szCs w:val="21"/>
        </w:rPr>
      </w:pPr>
      <w:r>
        <w:rPr>
          <w:rFonts w:hint="eastAsia" w:ascii="宋体" w:hAnsi="宋体"/>
          <w:szCs w:val="21"/>
        </w:rPr>
        <w:t>3、不可抗力事件延续120天以上，双方应通过友好协商，确定是否继续履行合同。</w:t>
      </w:r>
    </w:p>
    <w:p w14:paraId="6B92AADC">
      <w:pPr>
        <w:snapToGrid w:val="0"/>
        <w:spacing w:line="400" w:lineRule="exact"/>
        <w:ind w:firstLine="422" w:firstLineChars="200"/>
        <w:rPr>
          <w:rFonts w:ascii="宋体" w:hAnsi="宋体"/>
          <w:b/>
          <w:szCs w:val="21"/>
        </w:rPr>
      </w:pPr>
      <w:r>
        <w:rPr>
          <w:rFonts w:hint="eastAsia" w:ascii="宋体" w:hAnsi="宋体"/>
          <w:b/>
          <w:szCs w:val="21"/>
        </w:rPr>
        <w:t>第十一条  税费</w:t>
      </w:r>
    </w:p>
    <w:p w14:paraId="089F4D32">
      <w:pPr>
        <w:snapToGrid w:val="0"/>
        <w:spacing w:line="400" w:lineRule="exact"/>
        <w:ind w:firstLine="420" w:firstLineChars="200"/>
        <w:rPr>
          <w:rFonts w:ascii="宋体" w:hAnsi="宋体"/>
          <w:szCs w:val="21"/>
        </w:rPr>
      </w:pPr>
      <w:r>
        <w:rPr>
          <w:rFonts w:hint="eastAsia" w:ascii="宋体" w:hAnsi="宋体"/>
          <w:szCs w:val="21"/>
        </w:rPr>
        <w:t>本合同执行中相关的一切税费均由乙方负担。</w:t>
      </w:r>
    </w:p>
    <w:p w14:paraId="758A5655">
      <w:pPr>
        <w:snapToGrid w:val="0"/>
        <w:spacing w:line="400" w:lineRule="exact"/>
        <w:ind w:firstLine="422" w:firstLineChars="200"/>
        <w:rPr>
          <w:rFonts w:ascii="宋体" w:hAnsi="宋体"/>
          <w:szCs w:val="21"/>
        </w:rPr>
      </w:pPr>
      <w:bookmarkStart w:id="341" w:name="OLE_LINK153"/>
      <w:r>
        <w:rPr>
          <w:rFonts w:hint="eastAsia" w:ascii="宋体" w:hAnsi="宋体"/>
          <w:b/>
          <w:szCs w:val="21"/>
        </w:rPr>
        <w:t>第十二条  合同争议解决</w:t>
      </w:r>
    </w:p>
    <w:bookmarkEnd w:id="341"/>
    <w:p w14:paraId="6B4A70C3">
      <w:pPr>
        <w:snapToGrid w:val="0"/>
        <w:spacing w:line="400" w:lineRule="exact"/>
        <w:ind w:firstLine="420" w:firstLineChars="200"/>
        <w:rPr>
          <w:rFonts w:ascii="宋体" w:hAnsi="宋体"/>
          <w:szCs w:val="21"/>
        </w:rPr>
      </w:pPr>
      <w:bookmarkStart w:id="342" w:name="OLE_LINK154"/>
      <w:r>
        <w:rPr>
          <w:rFonts w:hint="eastAsia" w:ascii="宋体" w:hAnsi="宋体"/>
          <w:szCs w:val="21"/>
        </w:rPr>
        <w:t>1、因货物质量问题发生争议的，应邀请国家认可的质量检测机构对货物质量进行鉴定。货物符合标准的，鉴定费由乙方承担；货物不符合标准的，鉴定费由</w:t>
      </w:r>
      <w:bookmarkStart w:id="343" w:name="OLE_LINK151"/>
      <w:r>
        <w:rPr>
          <w:rFonts w:hint="eastAsia" w:ascii="宋体" w:hAnsi="宋体"/>
          <w:szCs w:val="21"/>
        </w:rPr>
        <w:t>乙方</w:t>
      </w:r>
      <w:bookmarkEnd w:id="343"/>
      <w:r>
        <w:rPr>
          <w:rFonts w:hint="eastAsia" w:ascii="宋体" w:hAnsi="宋体"/>
          <w:szCs w:val="21"/>
        </w:rPr>
        <w:t>承担并按照违约责任处理。</w:t>
      </w:r>
      <w:bookmarkEnd w:id="342"/>
    </w:p>
    <w:p w14:paraId="607BA76A">
      <w:pPr>
        <w:snapToGrid w:val="0"/>
        <w:spacing w:line="400" w:lineRule="exact"/>
        <w:ind w:firstLine="420" w:firstLineChars="200"/>
        <w:rPr>
          <w:rFonts w:ascii="宋体" w:hAnsi="宋体"/>
          <w:szCs w:val="21"/>
        </w:rPr>
      </w:pPr>
      <w:r>
        <w:rPr>
          <w:rFonts w:hint="eastAsia" w:ascii="宋体" w:hAnsi="宋体"/>
          <w:szCs w:val="21"/>
        </w:rPr>
        <w:t>2、因履行本合同引起的或与本合同有关的争议，甲乙双方应首先通过友好协商解决，如果协商不能解决，可向甲方所在地人民法院提起诉讼。</w:t>
      </w:r>
    </w:p>
    <w:p w14:paraId="6DDA7A11">
      <w:pPr>
        <w:snapToGrid w:val="0"/>
        <w:spacing w:line="400" w:lineRule="exact"/>
        <w:ind w:firstLine="420" w:firstLineChars="200"/>
        <w:rPr>
          <w:rFonts w:ascii="宋体" w:hAnsi="宋体"/>
          <w:szCs w:val="21"/>
        </w:rPr>
      </w:pPr>
      <w:r>
        <w:rPr>
          <w:rFonts w:hint="eastAsia" w:ascii="宋体" w:hAnsi="宋体"/>
          <w:szCs w:val="21"/>
        </w:rPr>
        <w:t>3、诉讼期间，本合同继续履行。</w:t>
      </w:r>
    </w:p>
    <w:p w14:paraId="0F2ED257">
      <w:pPr>
        <w:snapToGrid w:val="0"/>
        <w:spacing w:line="400" w:lineRule="exact"/>
        <w:ind w:firstLine="420" w:firstLineChars="200"/>
        <w:rPr>
          <w:rFonts w:ascii="宋体" w:hAnsi="宋体"/>
          <w:szCs w:val="21"/>
        </w:rPr>
      </w:pPr>
      <w:r>
        <w:rPr>
          <w:rFonts w:hint="eastAsia" w:ascii="宋体" w:hAnsi="宋体"/>
          <w:szCs w:val="21"/>
        </w:rPr>
        <w:t>4、甲乙双方确认合同上所留地址为送达地址。以上送达地址适用范围包括但不限于各类告知书、通知书、工作联系单、协议文件、诉讼或仲裁文书，送达主体可以是合同各方、人民法院(一、二审)、仲裁委员会及各行政机关。上述送达地址、受送达人、联系方式发生变更的，变更一方应履行通知义务，因当事人送达地址变更后未及时书面告知，导致未能被当事人实际接收的，邮寄送达的，以文书退回之日视为送达之日；直接送达的，送达人当场在送达回证上记明情况之日视为送达之；履行送达地址变更通知义务的，以变更后的送达地址为有效送达地址。</w:t>
      </w:r>
    </w:p>
    <w:p w14:paraId="4B4C8553">
      <w:pPr>
        <w:snapToGrid w:val="0"/>
        <w:spacing w:line="400" w:lineRule="exact"/>
        <w:ind w:firstLine="422" w:firstLineChars="200"/>
        <w:rPr>
          <w:rFonts w:ascii="宋体" w:hAnsi="宋体"/>
          <w:b/>
          <w:szCs w:val="21"/>
        </w:rPr>
      </w:pPr>
      <w:r>
        <w:rPr>
          <w:rFonts w:hint="eastAsia" w:ascii="宋体" w:hAnsi="宋体"/>
          <w:b/>
          <w:szCs w:val="21"/>
        </w:rPr>
        <w:t>第十三条、 合同生效及其它</w:t>
      </w:r>
    </w:p>
    <w:p w14:paraId="22C4114E">
      <w:pPr>
        <w:snapToGrid w:val="0"/>
        <w:spacing w:line="360" w:lineRule="auto"/>
        <w:ind w:firstLine="420" w:firstLineChars="200"/>
        <w:rPr>
          <w:rFonts w:ascii="宋体" w:hAnsi="宋体"/>
          <w:szCs w:val="21"/>
        </w:rPr>
      </w:pPr>
      <w:r>
        <w:rPr>
          <w:rFonts w:hint="eastAsia" w:ascii="宋体" w:hAnsi="宋体"/>
          <w:szCs w:val="21"/>
        </w:rPr>
        <w:t>1．合同经双方法定代表人或授权代表签字并加盖单位公章后生效。</w:t>
      </w:r>
    </w:p>
    <w:p w14:paraId="5CCCAAFD">
      <w:pPr>
        <w:snapToGrid w:val="0"/>
        <w:spacing w:line="360" w:lineRule="auto"/>
        <w:ind w:firstLine="420" w:firstLineChars="200"/>
        <w:rPr>
          <w:rFonts w:ascii="宋体" w:hAnsi="宋体"/>
          <w:szCs w:val="21"/>
        </w:rPr>
      </w:pPr>
      <w:r>
        <w:rPr>
          <w:rFonts w:hint="eastAsia" w:ascii="宋体" w:hAnsi="宋体"/>
          <w:szCs w:val="21"/>
        </w:rPr>
        <w:t>2．合同执行中涉及采购资金和采购内容修改或补充的，须经财政部门审批，并签订书面补充协议报财政部门备案，方可作为主合同不可分割的一部分。</w:t>
      </w:r>
    </w:p>
    <w:p w14:paraId="5E2613D5">
      <w:pPr>
        <w:snapToGrid w:val="0"/>
        <w:spacing w:line="360" w:lineRule="auto"/>
        <w:ind w:firstLine="420" w:firstLineChars="200"/>
        <w:rPr>
          <w:rFonts w:ascii="宋体" w:hAnsi="宋体"/>
          <w:szCs w:val="21"/>
        </w:rPr>
      </w:pPr>
      <w:r>
        <w:rPr>
          <w:rFonts w:hint="eastAsia" w:ascii="宋体" w:hAnsi="宋体"/>
          <w:szCs w:val="21"/>
        </w:rPr>
        <w:t>3．本合同未尽事宜，遵照《中华人民共和国民法典》有关条文执行。</w:t>
      </w:r>
    </w:p>
    <w:p w14:paraId="705E5BCE">
      <w:pPr>
        <w:snapToGrid w:val="0"/>
        <w:spacing w:line="400" w:lineRule="exact"/>
        <w:ind w:firstLine="422" w:firstLineChars="200"/>
        <w:rPr>
          <w:rFonts w:ascii="宋体" w:hAnsi="宋体"/>
          <w:b/>
          <w:szCs w:val="21"/>
        </w:rPr>
      </w:pPr>
      <w:r>
        <w:rPr>
          <w:rFonts w:hint="eastAsia" w:ascii="宋体" w:hAnsi="宋体"/>
          <w:b/>
          <w:szCs w:val="21"/>
        </w:rPr>
        <w:t>第十四条、合同的变更、终止与转让</w:t>
      </w:r>
    </w:p>
    <w:p w14:paraId="218C21E1">
      <w:pPr>
        <w:snapToGrid w:val="0"/>
        <w:spacing w:line="360" w:lineRule="auto"/>
        <w:ind w:firstLine="420" w:firstLineChars="200"/>
        <w:rPr>
          <w:rFonts w:ascii="宋体" w:hAnsi="宋体"/>
          <w:szCs w:val="21"/>
        </w:rPr>
      </w:pPr>
      <w:r>
        <w:rPr>
          <w:rFonts w:hint="eastAsia" w:ascii="宋体" w:hAnsi="宋体"/>
          <w:szCs w:val="21"/>
        </w:rPr>
        <w:t>1、除《中华人民共和国政府采购法》第50条规定的情形外，本合同一经签订，甲乙双方不得擅自变更、中止或终止。</w:t>
      </w:r>
    </w:p>
    <w:p w14:paraId="4E2995DD">
      <w:pPr>
        <w:snapToGrid w:val="0"/>
        <w:spacing w:line="360" w:lineRule="auto"/>
        <w:ind w:firstLine="422" w:firstLineChars="200"/>
        <w:rPr>
          <w:rFonts w:ascii="宋体" w:hAnsi="宋体"/>
          <w:b/>
          <w:szCs w:val="21"/>
        </w:rPr>
      </w:pPr>
      <w:r>
        <w:rPr>
          <w:rFonts w:hint="eastAsia" w:ascii="宋体" w:hAnsi="宋体"/>
          <w:b/>
          <w:szCs w:val="21"/>
        </w:rPr>
        <w:t>第十五条、签订本合同依据</w:t>
      </w:r>
    </w:p>
    <w:p w14:paraId="05DDB6E6">
      <w:pPr>
        <w:numPr>
          <w:ilvl w:val="0"/>
          <w:numId w:val="28"/>
        </w:numPr>
        <w:snapToGrid w:val="0"/>
        <w:spacing w:line="360" w:lineRule="auto"/>
        <w:ind w:firstLine="420" w:firstLineChars="200"/>
        <w:rPr>
          <w:rFonts w:ascii="宋体" w:hAnsi="宋体"/>
          <w:szCs w:val="21"/>
        </w:rPr>
      </w:pPr>
      <w:r>
        <w:rPr>
          <w:rFonts w:hint="eastAsia" w:ascii="宋体" w:hAnsi="宋体"/>
          <w:szCs w:val="21"/>
        </w:rPr>
        <w:t>政府采购</w:t>
      </w:r>
      <w:r>
        <w:rPr>
          <w:rFonts w:hint="eastAsia" w:ascii="宋体" w:hAnsi="宋体"/>
          <w:kern w:val="0"/>
          <w:szCs w:val="21"/>
        </w:rPr>
        <w:t>合同</w:t>
      </w:r>
      <w:r>
        <w:rPr>
          <w:rFonts w:hint="eastAsia" w:ascii="宋体" w:hAnsi="宋体"/>
          <w:szCs w:val="21"/>
        </w:rPr>
        <w:t>；</w:t>
      </w:r>
    </w:p>
    <w:p w14:paraId="494B5383">
      <w:pPr>
        <w:numPr>
          <w:ilvl w:val="0"/>
          <w:numId w:val="28"/>
        </w:numPr>
        <w:snapToGrid w:val="0"/>
        <w:spacing w:line="360" w:lineRule="auto"/>
        <w:ind w:firstLine="420" w:firstLineChars="200"/>
        <w:rPr>
          <w:rFonts w:ascii="宋体" w:hAnsi="宋体"/>
          <w:szCs w:val="21"/>
        </w:rPr>
      </w:pPr>
      <w:r>
        <w:rPr>
          <w:rFonts w:hint="eastAsia" w:ascii="宋体" w:hAnsi="宋体"/>
          <w:szCs w:val="21"/>
        </w:rPr>
        <w:t>中标通知书</w:t>
      </w:r>
    </w:p>
    <w:p w14:paraId="025A8361">
      <w:pPr>
        <w:numPr>
          <w:ilvl w:val="0"/>
          <w:numId w:val="28"/>
        </w:numPr>
        <w:snapToGrid w:val="0"/>
        <w:spacing w:line="360" w:lineRule="auto"/>
        <w:ind w:firstLine="420" w:firstLineChars="200"/>
        <w:rPr>
          <w:rFonts w:ascii="宋体" w:hAnsi="宋体"/>
          <w:szCs w:val="21"/>
        </w:rPr>
      </w:pPr>
      <w:r>
        <w:rPr>
          <w:rFonts w:hint="eastAsia" w:ascii="宋体" w:hAnsi="宋体"/>
          <w:kern w:val="0"/>
          <w:szCs w:val="21"/>
        </w:rPr>
        <w:t>招标文件</w:t>
      </w:r>
    </w:p>
    <w:p w14:paraId="7A59CA47">
      <w:pPr>
        <w:numPr>
          <w:ilvl w:val="0"/>
          <w:numId w:val="28"/>
        </w:numPr>
        <w:snapToGrid w:val="0"/>
        <w:spacing w:line="360" w:lineRule="auto"/>
        <w:ind w:firstLine="420" w:firstLineChars="200"/>
        <w:rPr>
          <w:rFonts w:ascii="宋体" w:hAnsi="宋体"/>
          <w:szCs w:val="21"/>
        </w:rPr>
      </w:pPr>
      <w:r>
        <w:rPr>
          <w:rFonts w:hint="eastAsia" w:ascii="宋体" w:hAnsi="宋体"/>
          <w:kern w:val="0"/>
          <w:szCs w:val="21"/>
        </w:rPr>
        <w:t>投标文件</w:t>
      </w:r>
    </w:p>
    <w:p w14:paraId="25F84FF9">
      <w:pPr>
        <w:numPr>
          <w:ilvl w:val="0"/>
          <w:numId w:val="28"/>
        </w:numPr>
        <w:spacing w:line="360" w:lineRule="auto"/>
        <w:ind w:firstLine="420" w:firstLineChars="200"/>
      </w:pPr>
      <w:r>
        <w:rPr>
          <w:rFonts w:hint="eastAsia" w:hAnsi="宋体"/>
        </w:rPr>
        <w:t>投标函；</w:t>
      </w:r>
    </w:p>
    <w:p w14:paraId="5E879310">
      <w:pPr>
        <w:numPr>
          <w:ilvl w:val="0"/>
          <w:numId w:val="28"/>
        </w:numPr>
        <w:spacing w:line="360" w:lineRule="auto"/>
        <w:ind w:firstLine="420" w:firstLineChars="200"/>
      </w:pPr>
      <w:r>
        <w:rPr>
          <w:rFonts w:hint="eastAsia" w:hAnsi="宋体"/>
        </w:rPr>
        <w:t>开标一览表；</w:t>
      </w:r>
    </w:p>
    <w:p w14:paraId="235E2489">
      <w:pPr>
        <w:numPr>
          <w:ilvl w:val="0"/>
          <w:numId w:val="28"/>
        </w:numPr>
        <w:spacing w:line="360" w:lineRule="auto"/>
        <w:ind w:firstLine="420" w:firstLineChars="200"/>
      </w:pPr>
      <w:r>
        <w:rPr>
          <w:rFonts w:hint="eastAsia" w:hAnsi="宋体"/>
        </w:rPr>
        <w:t>采购需求；</w:t>
      </w:r>
    </w:p>
    <w:p w14:paraId="15DB092C">
      <w:pPr>
        <w:numPr>
          <w:ilvl w:val="0"/>
          <w:numId w:val="28"/>
        </w:numPr>
        <w:spacing w:line="360" w:lineRule="auto"/>
        <w:ind w:firstLine="420" w:firstLineChars="200"/>
      </w:pPr>
      <w:r>
        <w:rPr>
          <w:rFonts w:hint="eastAsia" w:hAnsi="宋体"/>
        </w:rPr>
        <w:t>商务条款偏离表和技术需求偏离表；</w:t>
      </w:r>
    </w:p>
    <w:p w14:paraId="75B408AA">
      <w:pPr>
        <w:numPr>
          <w:ilvl w:val="0"/>
          <w:numId w:val="28"/>
        </w:numPr>
        <w:spacing w:line="360" w:lineRule="auto"/>
        <w:ind w:firstLine="420" w:firstLineChars="200"/>
        <w:rPr>
          <w:rFonts w:hAnsi="宋体"/>
        </w:rPr>
      </w:pPr>
      <w:r>
        <w:rPr>
          <w:rFonts w:hint="eastAsia" w:hAnsi="宋体"/>
        </w:rPr>
        <w:t>设备性能配置清单（如有）；</w:t>
      </w:r>
    </w:p>
    <w:p w14:paraId="58EE54E8">
      <w:pPr>
        <w:numPr>
          <w:ilvl w:val="0"/>
          <w:numId w:val="28"/>
        </w:numPr>
        <w:snapToGrid w:val="0"/>
        <w:spacing w:line="360" w:lineRule="auto"/>
        <w:ind w:firstLine="420" w:firstLineChars="200"/>
        <w:rPr>
          <w:rFonts w:ascii="宋体" w:hAnsi="宋体"/>
          <w:szCs w:val="21"/>
        </w:rPr>
      </w:pPr>
      <w:r>
        <w:rPr>
          <w:rFonts w:hint="eastAsia"/>
        </w:rPr>
        <w:t>售后服务承</w:t>
      </w:r>
      <w:r>
        <w:rPr>
          <w:rFonts w:hint="eastAsia" w:hAnsi="宋体"/>
        </w:rPr>
        <w:t>诺书；</w:t>
      </w:r>
    </w:p>
    <w:p w14:paraId="29D49C9E">
      <w:pPr>
        <w:numPr>
          <w:ilvl w:val="0"/>
          <w:numId w:val="28"/>
        </w:numPr>
        <w:snapToGrid w:val="0"/>
        <w:spacing w:line="360" w:lineRule="auto"/>
        <w:ind w:firstLine="420" w:firstLineChars="200"/>
        <w:rPr>
          <w:rFonts w:ascii="宋体" w:hAnsi="宋体"/>
          <w:szCs w:val="21"/>
        </w:rPr>
      </w:pPr>
      <w:r>
        <w:rPr>
          <w:rFonts w:hint="eastAsia" w:ascii="宋体" w:hAnsi="宋体"/>
          <w:kern w:val="0"/>
          <w:szCs w:val="21"/>
        </w:rPr>
        <w:t>双方约定的其他合同文件；</w:t>
      </w:r>
    </w:p>
    <w:p w14:paraId="48CDFE08">
      <w:pPr>
        <w:spacing w:line="360" w:lineRule="auto"/>
        <w:ind w:firstLine="422" w:firstLineChars="200"/>
        <w:rPr>
          <w:rFonts w:ascii="宋体" w:hAnsi="宋体"/>
          <w:szCs w:val="21"/>
        </w:rPr>
      </w:pPr>
      <w:r>
        <w:rPr>
          <w:rFonts w:hint="eastAsia" w:ascii="宋体" w:hAnsi="宋体"/>
          <w:b/>
          <w:szCs w:val="21"/>
        </w:rPr>
        <w:t>第十六条　</w:t>
      </w:r>
      <w:r>
        <w:rPr>
          <w:rFonts w:hint="eastAsia" w:ascii="宋体" w:hAnsi="宋体"/>
          <w:szCs w:val="21"/>
        </w:rPr>
        <w:t>本合同一式伍份，具有同等法律效力，采购代理机构各一份，甲乙双方各两份（可根据需要另增加）。</w:t>
      </w:r>
    </w:p>
    <w:p w14:paraId="73DBFC0A">
      <w:pPr>
        <w:spacing w:line="360" w:lineRule="auto"/>
        <w:ind w:firstLine="420" w:firstLineChars="200"/>
        <w:rPr>
          <w:rFonts w:ascii="宋体" w:hAnsi="宋体" w:cs="宋体"/>
          <w:szCs w:val="21"/>
        </w:rPr>
      </w:pPr>
      <w:r>
        <w:rPr>
          <w:rFonts w:hint="eastAsia" w:ascii="宋体" w:hAnsi="宋体" w:cs="宋体"/>
          <w:szCs w:val="21"/>
        </w:rPr>
        <w:t>本合同甲乙双方签字盖章后生效，自签订之日起七个工作日内，甲方应当将合同副本报同级财政部门备案。</w:t>
      </w:r>
    </w:p>
    <w:p w14:paraId="51D1F37F">
      <w:pPr>
        <w:spacing w:line="360" w:lineRule="auto"/>
        <w:ind w:firstLine="420" w:firstLineChars="200"/>
        <w:rPr>
          <w:rFonts w:ascii="宋体" w:hAnsi="宋体" w:cs="宋体"/>
          <w:szCs w:val="21"/>
        </w:rPr>
      </w:pPr>
      <w:r>
        <w:rPr>
          <w:rFonts w:hint="eastAsia" w:ascii="宋体" w:hAnsi="宋体" w:cs="宋体"/>
          <w:szCs w:val="21"/>
        </w:rPr>
        <w:t>本合同自签订之日起2个工作日内，甲方应当将采购合同在广西壮族自治区财政厅指定的媒体上公告。</w:t>
      </w:r>
    </w:p>
    <w:p w14:paraId="116406D1">
      <w:pPr>
        <w:spacing w:line="360" w:lineRule="auto"/>
        <w:ind w:firstLine="420" w:firstLineChars="200"/>
        <w:rPr>
          <w:rFonts w:ascii="宋体" w:hAnsi="宋体" w:cs="宋体"/>
          <w:szCs w:val="21"/>
        </w:rPr>
      </w:pPr>
    </w:p>
    <w:tbl>
      <w:tblPr>
        <w:tblStyle w:val="37"/>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5D5C9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14:paraId="1FA0EF34">
            <w:pPr>
              <w:snapToGrid w:val="0"/>
              <w:spacing w:line="360" w:lineRule="auto"/>
              <w:rPr>
                <w:rFonts w:ascii="宋体" w:hAnsi="宋体"/>
                <w:szCs w:val="21"/>
              </w:rPr>
            </w:pPr>
            <w:r>
              <w:rPr>
                <w:rFonts w:hint="eastAsia" w:ascii="宋体" w:hAnsi="宋体"/>
                <w:szCs w:val="21"/>
              </w:rPr>
              <w:t xml:space="preserve">甲方（章）           </w:t>
            </w:r>
          </w:p>
          <w:p w14:paraId="50CC9E91">
            <w:pPr>
              <w:snapToGrid w:val="0"/>
              <w:spacing w:line="360" w:lineRule="auto"/>
              <w:rPr>
                <w:rFonts w:ascii="宋体" w:hAnsi="宋体"/>
                <w:szCs w:val="21"/>
              </w:rPr>
            </w:pPr>
          </w:p>
          <w:p w14:paraId="1D358DA1">
            <w:pPr>
              <w:snapToGrid w:val="0"/>
              <w:spacing w:line="360" w:lineRule="auto"/>
              <w:ind w:firstLine="945" w:firstLineChars="450"/>
              <w:jc w:val="right"/>
              <w:rPr>
                <w:rFonts w:ascii="宋体" w:hAnsi="宋体"/>
                <w:szCs w:val="21"/>
              </w:rPr>
            </w:pPr>
            <w:r>
              <w:rPr>
                <w:rFonts w:hint="eastAsia" w:ascii="宋体" w:hAnsi="宋体"/>
                <w:szCs w:val="21"/>
              </w:rPr>
              <w:t>年   月   日</w:t>
            </w:r>
          </w:p>
        </w:tc>
        <w:tc>
          <w:tcPr>
            <w:tcW w:w="4517" w:type="dxa"/>
            <w:vAlign w:val="center"/>
          </w:tcPr>
          <w:p w14:paraId="3C57412D">
            <w:pPr>
              <w:snapToGrid w:val="0"/>
              <w:spacing w:line="360" w:lineRule="auto"/>
              <w:rPr>
                <w:rFonts w:ascii="宋体" w:hAnsi="宋体"/>
                <w:szCs w:val="21"/>
              </w:rPr>
            </w:pPr>
            <w:r>
              <w:rPr>
                <w:rFonts w:hint="eastAsia" w:ascii="宋体" w:hAnsi="宋体"/>
                <w:szCs w:val="21"/>
              </w:rPr>
              <w:t xml:space="preserve">乙方（章）              </w:t>
            </w:r>
          </w:p>
          <w:p w14:paraId="29929AF7">
            <w:pPr>
              <w:snapToGrid w:val="0"/>
              <w:spacing w:line="360" w:lineRule="auto"/>
              <w:rPr>
                <w:rFonts w:ascii="宋体" w:hAnsi="宋体"/>
                <w:szCs w:val="21"/>
              </w:rPr>
            </w:pPr>
          </w:p>
          <w:p w14:paraId="16524880">
            <w:pPr>
              <w:snapToGrid w:val="0"/>
              <w:spacing w:line="360" w:lineRule="auto"/>
              <w:jc w:val="right"/>
              <w:rPr>
                <w:rFonts w:ascii="宋体" w:hAnsi="宋体"/>
                <w:szCs w:val="21"/>
              </w:rPr>
            </w:pPr>
            <w:r>
              <w:rPr>
                <w:rFonts w:hint="eastAsia" w:ascii="宋体" w:hAnsi="宋体"/>
                <w:szCs w:val="21"/>
              </w:rPr>
              <w:t xml:space="preserve"> 年   月   日</w:t>
            </w:r>
          </w:p>
        </w:tc>
      </w:tr>
      <w:tr w14:paraId="6664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14:paraId="3A6A8509">
            <w:pPr>
              <w:snapToGrid w:val="0"/>
              <w:spacing w:line="360" w:lineRule="auto"/>
              <w:rPr>
                <w:rFonts w:ascii="宋体" w:hAnsi="宋体"/>
                <w:szCs w:val="21"/>
              </w:rPr>
            </w:pPr>
            <w:r>
              <w:rPr>
                <w:rFonts w:hint="eastAsia" w:ascii="宋体" w:hAnsi="宋体"/>
                <w:szCs w:val="21"/>
              </w:rPr>
              <w:t>单位地址：</w:t>
            </w:r>
          </w:p>
        </w:tc>
        <w:tc>
          <w:tcPr>
            <w:tcW w:w="4517" w:type="dxa"/>
            <w:vAlign w:val="center"/>
          </w:tcPr>
          <w:p w14:paraId="3BC0457F">
            <w:pPr>
              <w:snapToGrid w:val="0"/>
              <w:spacing w:line="360" w:lineRule="auto"/>
              <w:rPr>
                <w:rFonts w:ascii="宋体" w:hAnsi="宋体"/>
                <w:szCs w:val="21"/>
              </w:rPr>
            </w:pPr>
            <w:r>
              <w:rPr>
                <w:rFonts w:hint="eastAsia" w:ascii="宋体" w:hAnsi="宋体"/>
                <w:szCs w:val="21"/>
              </w:rPr>
              <w:t>单位地址：</w:t>
            </w:r>
          </w:p>
        </w:tc>
      </w:tr>
      <w:tr w14:paraId="65B57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516" w:type="dxa"/>
          </w:tcPr>
          <w:p w14:paraId="40B683C6">
            <w:pPr>
              <w:snapToGrid w:val="0"/>
              <w:spacing w:line="360" w:lineRule="auto"/>
              <w:rPr>
                <w:rFonts w:ascii="宋体" w:hAnsi="宋体"/>
                <w:szCs w:val="21"/>
              </w:rPr>
            </w:pPr>
            <w:r>
              <w:rPr>
                <w:rFonts w:hint="eastAsia" w:ascii="宋体" w:hAnsi="宋体"/>
                <w:szCs w:val="21"/>
              </w:rPr>
              <w:t>法定代表人或者委托代理人：</w:t>
            </w:r>
          </w:p>
        </w:tc>
        <w:tc>
          <w:tcPr>
            <w:tcW w:w="4517" w:type="dxa"/>
          </w:tcPr>
          <w:p w14:paraId="6AB9A470">
            <w:pPr>
              <w:snapToGrid w:val="0"/>
              <w:spacing w:line="360" w:lineRule="auto"/>
              <w:rPr>
                <w:rFonts w:ascii="宋体" w:hAnsi="宋体"/>
                <w:szCs w:val="21"/>
              </w:rPr>
            </w:pPr>
            <w:r>
              <w:rPr>
                <w:rFonts w:hint="eastAsia" w:ascii="宋体" w:hAnsi="宋体"/>
                <w:szCs w:val="21"/>
              </w:rPr>
              <w:t>法定代表人或者委托代理人：</w:t>
            </w:r>
          </w:p>
        </w:tc>
      </w:tr>
      <w:tr w14:paraId="1B69B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14:paraId="4B6730AC">
            <w:pPr>
              <w:snapToGrid w:val="0"/>
              <w:spacing w:line="360" w:lineRule="auto"/>
              <w:rPr>
                <w:rFonts w:ascii="宋体" w:hAnsi="宋体"/>
                <w:szCs w:val="21"/>
              </w:rPr>
            </w:pPr>
            <w:r>
              <w:rPr>
                <w:rFonts w:hint="eastAsia" w:ascii="宋体" w:hAnsi="宋体"/>
                <w:szCs w:val="21"/>
              </w:rPr>
              <w:t>电话：</w:t>
            </w:r>
          </w:p>
        </w:tc>
        <w:tc>
          <w:tcPr>
            <w:tcW w:w="4517" w:type="dxa"/>
            <w:vAlign w:val="center"/>
          </w:tcPr>
          <w:p w14:paraId="4C8B671C">
            <w:pPr>
              <w:snapToGrid w:val="0"/>
              <w:spacing w:line="360" w:lineRule="auto"/>
              <w:rPr>
                <w:rFonts w:ascii="宋体" w:hAnsi="宋体"/>
                <w:szCs w:val="21"/>
              </w:rPr>
            </w:pPr>
            <w:r>
              <w:rPr>
                <w:rFonts w:hint="eastAsia" w:ascii="宋体" w:hAnsi="宋体"/>
                <w:szCs w:val="21"/>
              </w:rPr>
              <w:t>电话：</w:t>
            </w:r>
          </w:p>
        </w:tc>
      </w:tr>
      <w:tr w14:paraId="4D9AB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14:paraId="1251BE91">
            <w:pPr>
              <w:snapToGrid w:val="0"/>
              <w:spacing w:line="360" w:lineRule="auto"/>
              <w:rPr>
                <w:rFonts w:ascii="宋体" w:hAnsi="宋体"/>
                <w:szCs w:val="21"/>
              </w:rPr>
            </w:pPr>
            <w:r>
              <w:rPr>
                <w:rFonts w:hint="eastAsia" w:ascii="宋体" w:hAnsi="宋体"/>
                <w:szCs w:val="21"/>
              </w:rPr>
              <w:t>电子邮箱：</w:t>
            </w:r>
          </w:p>
        </w:tc>
        <w:tc>
          <w:tcPr>
            <w:tcW w:w="4517" w:type="dxa"/>
            <w:vAlign w:val="center"/>
          </w:tcPr>
          <w:p w14:paraId="2AF89F99">
            <w:pPr>
              <w:snapToGrid w:val="0"/>
              <w:spacing w:line="360" w:lineRule="auto"/>
              <w:rPr>
                <w:rFonts w:ascii="宋体" w:hAnsi="宋体"/>
                <w:szCs w:val="21"/>
              </w:rPr>
            </w:pPr>
            <w:r>
              <w:rPr>
                <w:rFonts w:hint="eastAsia" w:ascii="宋体" w:hAnsi="宋体"/>
                <w:szCs w:val="21"/>
              </w:rPr>
              <w:t>电子邮箱：</w:t>
            </w:r>
          </w:p>
        </w:tc>
      </w:tr>
      <w:tr w14:paraId="26F9F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14:paraId="48328E7B">
            <w:pPr>
              <w:snapToGrid w:val="0"/>
              <w:spacing w:line="360" w:lineRule="auto"/>
              <w:rPr>
                <w:rFonts w:ascii="宋体" w:hAnsi="宋体"/>
                <w:szCs w:val="21"/>
              </w:rPr>
            </w:pPr>
            <w:r>
              <w:rPr>
                <w:rFonts w:hint="eastAsia" w:ascii="宋体" w:hAnsi="宋体"/>
                <w:szCs w:val="21"/>
              </w:rPr>
              <w:t>开户银行：</w:t>
            </w:r>
          </w:p>
        </w:tc>
        <w:tc>
          <w:tcPr>
            <w:tcW w:w="4517" w:type="dxa"/>
            <w:vAlign w:val="center"/>
          </w:tcPr>
          <w:p w14:paraId="59D4EA93">
            <w:pPr>
              <w:snapToGrid w:val="0"/>
              <w:spacing w:line="360" w:lineRule="auto"/>
              <w:rPr>
                <w:rFonts w:ascii="宋体" w:hAnsi="宋体"/>
                <w:szCs w:val="21"/>
              </w:rPr>
            </w:pPr>
            <w:r>
              <w:rPr>
                <w:rFonts w:hint="eastAsia" w:ascii="宋体" w:hAnsi="宋体"/>
                <w:szCs w:val="21"/>
              </w:rPr>
              <w:t>开户银行：</w:t>
            </w:r>
          </w:p>
        </w:tc>
      </w:tr>
      <w:tr w14:paraId="04920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14:paraId="281B1490">
            <w:pPr>
              <w:snapToGrid w:val="0"/>
              <w:spacing w:line="360" w:lineRule="auto"/>
              <w:rPr>
                <w:rFonts w:ascii="宋体" w:hAnsi="宋体"/>
                <w:szCs w:val="21"/>
              </w:rPr>
            </w:pPr>
            <w:r>
              <w:rPr>
                <w:rFonts w:hint="eastAsia" w:ascii="宋体" w:hAnsi="宋体"/>
                <w:szCs w:val="21"/>
              </w:rPr>
              <w:t>账号：</w:t>
            </w:r>
          </w:p>
        </w:tc>
        <w:tc>
          <w:tcPr>
            <w:tcW w:w="4517" w:type="dxa"/>
            <w:vAlign w:val="center"/>
          </w:tcPr>
          <w:p w14:paraId="0BDEB392">
            <w:pPr>
              <w:snapToGrid w:val="0"/>
              <w:spacing w:line="360" w:lineRule="auto"/>
              <w:rPr>
                <w:rFonts w:ascii="宋体" w:hAnsi="宋体"/>
                <w:szCs w:val="21"/>
              </w:rPr>
            </w:pPr>
            <w:r>
              <w:rPr>
                <w:rFonts w:hint="eastAsia" w:ascii="宋体" w:hAnsi="宋体"/>
                <w:szCs w:val="21"/>
              </w:rPr>
              <w:t>账号：</w:t>
            </w:r>
          </w:p>
        </w:tc>
      </w:tr>
      <w:tr w14:paraId="5C912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14:paraId="00E02B6A">
            <w:pPr>
              <w:snapToGrid w:val="0"/>
              <w:spacing w:line="360" w:lineRule="auto"/>
              <w:rPr>
                <w:rFonts w:ascii="宋体" w:hAnsi="宋体"/>
                <w:szCs w:val="21"/>
              </w:rPr>
            </w:pPr>
            <w:r>
              <w:rPr>
                <w:rFonts w:hint="eastAsia" w:ascii="宋体" w:hAnsi="宋体"/>
                <w:szCs w:val="21"/>
              </w:rPr>
              <w:t>邮政编码：</w:t>
            </w:r>
          </w:p>
        </w:tc>
        <w:tc>
          <w:tcPr>
            <w:tcW w:w="4517" w:type="dxa"/>
            <w:vAlign w:val="center"/>
          </w:tcPr>
          <w:p w14:paraId="0169287C">
            <w:pPr>
              <w:snapToGrid w:val="0"/>
              <w:spacing w:line="360" w:lineRule="auto"/>
              <w:rPr>
                <w:rFonts w:ascii="宋体" w:hAnsi="宋体"/>
                <w:szCs w:val="21"/>
              </w:rPr>
            </w:pPr>
            <w:r>
              <w:rPr>
                <w:rFonts w:hint="eastAsia" w:ascii="宋体" w:hAnsi="宋体"/>
                <w:szCs w:val="21"/>
              </w:rPr>
              <w:t>邮政编码：</w:t>
            </w:r>
          </w:p>
        </w:tc>
      </w:tr>
    </w:tbl>
    <w:p w14:paraId="032AA9C1">
      <w:pPr>
        <w:snapToGrid w:val="0"/>
        <w:spacing w:line="360" w:lineRule="auto"/>
        <w:ind w:left="420" w:hanging="420" w:hangingChars="200"/>
        <w:rPr>
          <w:rFonts w:ascii="宋体" w:hAnsi="宋体"/>
          <w:szCs w:val="21"/>
        </w:rPr>
      </w:pPr>
    </w:p>
    <w:p w14:paraId="2CE168E0">
      <w:pPr>
        <w:snapToGrid w:val="0"/>
        <w:spacing w:line="360" w:lineRule="auto"/>
        <w:jc w:val="center"/>
        <w:rPr>
          <w:rFonts w:ascii="宋体" w:hAnsi="宋体"/>
          <w:szCs w:val="21"/>
        </w:rPr>
      </w:pPr>
    </w:p>
    <w:p w14:paraId="593DE1E8">
      <w:pPr>
        <w:autoSpaceDE w:val="0"/>
        <w:autoSpaceDN w:val="0"/>
        <w:adjustRightInd w:val="0"/>
        <w:snapToGrid w:val="0"/>
        <w:spacing w:line="360" w:lineRule="auto"/>
        <w:jc w:val="left"/>
        <w:rPr>
          <w:rFonts w:ascii="宋体" w:hAnsi="宋体" w:cs="宋体"/>
          <w:kern w:val="0"/>
          <w:szCs w:val="21"/>
          <w:lang w:eastAsia="en-US"/>
        </w:rPr>
        <w:sectPr>
          <w:pgSz w:w="11910" w:h="16840"/>
          <w:pgMar w:top="1100" w:right="720" w:bottom="1320" w:left="940" w:header="878" w:footer="1134" w:gutter="0"/>
          <w:cols w:space="720" w:num="1"/>
        </w:sectPr>
      </w:pPr>
    </w:p>
    <w:p w14:paraId="1CCEFB76"/>
    <w:p w14:paraId="1B0AFFAC">
      <w:pPr>
        <w:autoSpaceDE w:val="0"/>
        <w:autoSpaceDN w:val="0"/>
        <w:spacing w:before="7"/>
        <w:jc w:val="left"/>
        <w:rPr>
          <w:rFonts w:hAnsi="宋体" w:cs="宋体"/>
          <w:kern w:val="0"/>
          <w:sz w:val="23"/>
          <w:szCs w:val="21"/>
          <w:lang w:eastAsia="en-US"/>
        </w:rPr>
      </w:pPr>
    </w:p>
    <w:p w14:paraId="101278E2">
      <w:pPr>
        <w:autoSpaceDE w:val="0"/>
        <w:autoSpaceDN w:val="0"/>
        <w:jc w:val="left"/>
        <w:rPr>
          <w:rFonts w:hAnsi="宋体" w:cs="宋体"/>
          <w:kern w:val="0"/>
          <w:sz w:val="23"/>
          <w:szCs w:val="22"/>
          <w:lang w:eastAsia="en-US"/>
        </w:rPr>
        <w:sectPr>
          <w:pgSz w:w="11910" w:h="16840"/>
          <w:pgMar w:top="1100" w:right="720" w:bottom="1380" w:left="940" w:header="878" w:footer="1134" w:gutter="0"/>
          <w:cols w:space="720" w:num="1"/>
        </w:sectPr>
      </w:pPr>
    </w:p>
    <w:p w14:paraId="289C93BE">
      <w:pPr>
        <w:autoSpaceDE w:val="0"/>
        <w:autoSpaceDN w:val="0"/>
        <w:spacing w:before="76"/>
        <w:ind w:left="478"/>
        <w:jc w:val="left"/>
        <w:outlineLvl w:val="6"/>
        <w:rPr>
          <w:rFonts w:hAnsi="宋体" w:cs="宋体"/>
          <w:b/>
          <w:bCs/>
          <w:kern w:val="0"/>
          <w:szCs w:val="21"/>
        </w:rPr>
      </w:pPr>
      <w:bookmarkStart w:id="344" w:name="合同附件1"/>
      <w:bookmarkEnd w:id="344"/>
      <w:r>
        <w:rPr>
          <w:rFonts w:ascii="宋体" w:hAnsi="宋体" w:cs="宋体"/>
          <w:b/>
          <w:bCs/>
          <w:spacing w:val="-11"/>
          <w:kern w:val="0"/>
          <w:szCs w:val="21"/>
        </w:rPr>
        <w:t xml:space="preserve">合同附件 </w:t>
      </w:r>
      <w:r>
        <w:rPr>
          <w:rFonts w:hint="eastAsia" w:ascii="宋体" w:hAnsi="宋体" w:cs="宋体"/>
          <w:b/>
          <w:bCs/>
          <w:spacing w:val="-11"/>
          <w:kern w:val="0"/>
          <w:szCs w:val="21"/>
        </w:rPr>
        <w:t>1</w:t>
      </w:r>
    </w:p>
    <w:p w14:paraId="398E0D2E">
      <w:pPr>
        <w:autoSpaceDE w:val="0"/>
        <w:autoSpaceDN w:val="0"/>
        <w:jc w:val="left"/>
        <w:rPr>
          <w:rFonts w:hAnsi="宋体" w:cs="宋体"/>
          <w:b/>
          <w:kern w:val="0"/>
          <w:sz w:val="20"/>
          <w:szCs w:val="21"/>
        </w:rPr>
      </w:pPr>
      <w:r>
        <w:rPr>
          <w:rFonts w:ascii="宋体" w:hAnsi="宋体" w:cs="宋体"/>
          <w:kern w:val="0"/>
          <w:szCs w:val="21"/>
        </w:rPr>
        <w:br w:type="column"/>
      </w:r>
    </w:p>
    <w:p w14:paraId="1C1B6653">
      <w:pPr>
        <w:autoSpaceDE w:val="0"/>
        <w:autoSpaceDN w:val="0"/>
        <w:spacing w:before="1"/>
        <w:jc w:val="left"/>
        <w:rPr>
          <w:rFonts w:hAnsi="宋体" w:cs="宋体"/>
          <w:b/>
          <w:kern w:val="0"/>
          <w:sz w:val="17"/>
          <w:szCs w:val="21"/>
        </w:rPr>
      </w:pPr>
    </w:p>
    <w:p w14:paraId="347068E8">
      <w:pPr>
        <w:autoSpaceDE w:val="0"/>
        <w:autoSpaceDN w:val="0"/>
        <w:ind w:left="478"/>
        <w:jc w:val="left"/>
        <w:outlineLvl w:val="6"/>
        <w:rPr>
          <w:rFonts w:ascii="宋体" w:hAnsi="宋体" w:cs="宋体"/>
          <w:b/>
          <w:bCs/>
          <w:kern w:val="0"/>
          <w:szCs w:val="21"/>
        </w:rPr>
      </w:pPr>
      <w:r>
        <w:rPr>
          <w:rFonts w:ascii="宋体" w:hAnsi="宋体" w:cs="宋体"/>
          <w:b/>
          <w:bCs/>
          <w:kern w:val="0"/>
          <w:szCs w:val="21"/>
        </w:rPr>
        <w:t>政府采购项目履约保证金退付意见书</w:t>
      </w:r>
    </w:p>
    <w:p w14:paraId="3C8F6A23">
      <w:pPr>
        <w:autoSpaceDE w:val="0"/>
        <w:autoSpaceDN w:val="0"/>
        <w:jc w:val="left"/>
        <w:rPr>
          <w:rFonts w:ascii="宋体" w:hAnsi="宋体" w:cs="宋体"/>
          <w:kern w:val="0"/>
          <w:sz w:val="22"/>
          <w:szCs w:val="22"/>
        </w:rPr>
        <w:sectPr>
          <w:type w:val="continuous"/>
          <w:pgSz w:w="11910" w:h="16840"/>
          <w:pgMar w:top="1580" w:right="720" w:bottom="280" w:left="940" w:header="720" w:footer="720" w:gutter="0"/>
          <w:cols w:equalWidth="0" w:num="2">
            <w:col w:w="1519" w:space="1328"/>
            <w:col w:w="7403"/>
          </w:cols>
        </w:sectPr>
      </w:pPr>
    </w:p>
    <w:p w14:paraId="1189FB7A">
      <w:pPr>
        <w:autoSpaceDE w:val="0"/>
        <w:autoSpaceDN w:val="0"/>
        <w:jc w:val="left"/>
        <w:rPr>
          <w:rFonts w:ascii="宋体" w:hAnsi="宋体" w:cs="宋体"/>
          <w:b/>
          <w:kern w:val="0"/>
          <w:sz w:val="20"/>
          <w:szCs w:val="21"/>
        </w:rPr>
      </w:pPr>
    </w:p>
    <w:p w14:paraId="5E9E0FD6">
      <w:pPr>
        <w:autoSpaceDE w:val="0"/>
        <w:autoSpaceDN w:val="0"/>
        <w:spacing w:before="3"/>
        <w:jc w:val="left"/>
        <w:rPr>
          <w:rFonts w:ascii="宋体" w:hAnsi="宋体" w:cs="宋体"/>
          <w:b/>
          <w:kern w:val="0"/>
          <w:sz w:val="13"/>
          <w:szCs w:val="21"/>
        </w:rPr>
      </w:pPr>
    </w:p>
    <w:tbl>
      <w:tblPr>
        <w:tblStyle w:val="37"/>
        <w:tblW w:w="9648" w:type="dxa"/>
        <w:tblInd w:w="3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
        <w:gridCol w:w="8640"/>
      </w:tblGrid>
      <w:tr w14:paraId="34E1B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08" w:type="dxa"/>
            <w:vMerge w:val="restart"/>
          </w:tcPr>
          <w:p w14:paraId="504F2510">
            <w:pPr>
              <w:autoSpaceDE w:val="0"/>
              <w:autoSpaceDN w:val="0"/>
              <w:jc w:val="left"/>
              <w:rPr>
                <w:rFonts w:ascii="宋体" w:hAnsi="宋体" w:cs="宋体"/>
                <w:b/>
                <w:kern w:val="0"/>
                <w:sz w:val="20"/>
                <w:szCs w:val="22"/>
              </w:rPr>
            </w:pPr>
          </w:p>
          <w:p w14:paraId="22FE734F">
            <w:pPr>
              <w:autoSpaceDE w:val="0"/>
              <w:autoSpaceDN w:val="0"/>
              <w:jc w:val="left"/>
              <w:rPr>
                <w:rFonts w:ascii="宋体" w:hAnsi="宋体" w:cs="宋体"/>
                <w:b/>
                <w:kern w:val="0"/>
                <w:sz w:val="20"/>
                <w:szCs w:val="22"/>
              </w:rPr>
            </w:pPr>
          </w:p>
          <w:p w14:paraId="3FDCB04C">
            <w:pPr>
              <w:autoSpaceDE w:val="0"/>
              <w:autoSpaceDN w:val="0"/>
              <w:jc w:val="left"/>
              <w:rPr>
                <w:rFonts w:ascii="宋体" w:hAnsi="宋体" w:cs="宋体"/>
                <w:b/>
                <w:kern w:val="0"/>
                <w:sz w:val="20"/>
                <w:szCs w:val="22"/>
              </w:rPr>
            </w:pPr>
          </w:p>
          <w:p w14:paraId="6D469439">
            <w:pPr>
              <w:autoSpaceDE w:val="0"/>
              <w:autoSpaceDN w:val="0"/>
              <w:jc w:val="left"/>
              <w:rPr>
                <w:rFonts w:ascii="宋体" w:hAnsi="宋体" w:cs="宋体"/>
                <w:b/>
                <w:kern w:val="0"/>
                <w:sz w:val="20"/>
                <w:szCs w:val="22"/>
              </w:rPr>
            </w:pPr>
          </w:p>
          <w:p w14:paraId="68F2F379">
            <w:pPr>
              <w:autoSpaceDE w:val="0"/>
              <w:autoSpaceDN w:val="0"/>
              <w:jc w:val="left"/>
              <w:rPr>
                <w:rFonts w:ascii="宋体" w:hAnsi="宋体" w:cs="宋体"/>
                <w:b/>
                <w:kern w:val="0"/>
                <w:sz w:val="20"/>
                <w:szCs w:val="22"/>
              </w:rPr>
            </w:pPr>
          </w:p>
          <w:p w14:paraId="165CD721">
            <w:pPr>
              <w:autoSpaceDE w:val="0"/>
              <w:autoSpaceDN w:val="0"/>
              <w:jc w:val="left"/>
              <w:rPr>
                <w:rFonts w:ascii="宋体" w:hAnsi="宋体" w:cs="宋体"/>
                <w:b/>
                <w:kern w:val="0"/>
                <w:sz w:val="20"/>
                <w:szCs w:val="22"/>
              </w:rPr>
            </w:pPr>
          </w:p>
          <w:p w14:paraId="519CFC10">
            <w:pPr>
              <w:autoSpaceDE w:val="0"/>
              <w:autoSpaceDN w:val="0"/>
              <w:jc w:val="left"/>
              <w:rPr>
                <w:rFonts w:ascii="宋体" w:hAnsi="宋体" w:cs="宋体"/>
                <w:b/>
                <w:kern w:val="0"/>
                <w:sz w:val="20"/>
                <w:szCs w:val="22"/>
              </w:rPr>
            </w:pPr>
          </w:p>
          <w:p w14:paraId="618165B0">
            <w:pPr>
              <w:autoSpaceDE w:val="0"/>
              <w:autoSpaceDN w:val="0"/>
              <w:jc w:val="left"/>
              <w:rPr>
                <w:rFonts w:ascii="宋体" w:hAnsi="宋体" w:cs="宋体"/>
                <w:b/>
                <w:kern w:val="0"/>
                <w:sz w:val="20"/>
                <w:szCs w:val="22"/>
              </w:rPr>
            </w:pPr>
          </w:p>
          <w:p w14:paraId="413B0B30">
            <w:pPr>
              <w:autoSpaceDE w:val="0"/>
              <w:autoSpaceDN w:val="0"/>
              <w:spacing w:before="10"/>
              <w:jc w:val="left"/>
              <w:rPr>
                <w:rFonts w:ascii="宋体" w:hAnsi="宋体" w:cs="宋体"/>
                <w:b/>
                <w:kern w:val="0"/>
                <w:sz w:val="25"/>
                <w:szCs w:val="22"/>
              </w:rPr>
            </w:pPr>
          </w:p>
          <w:p w14:paraId="1A35E08F">
            <w:pPr>
              <w:autoSpaceDE w:val="0"/>
              <w:autoSpaceDN w:val="0"/>
              <w:spacing w:before="1" w:line="242" w:lineRule="auto"/>
              <w:ind w:left="398" w:right="388"/>
              <w:rPr>
                <w:rFonts w:ascii="宋体" w:hAnsi="宋体" w:cs="宋体"/>
                <w:kern w:val="0"/>
                <w:szCs w:val="22"/>
                <w:lang w:eastAsia="en-US"/>
              </w:rPr>
            </w:pPr>
            <w:r>
              <w:rPr>
                <w:rFonts w:ascii="宋体" w:hAnsi="宋体" w:cs="宋体"/>
                <w:kern w:val="0"/>
                <w:szCs w:val="22"/>
                <w:lang w:eastAsia="en-US"/>
              </w:rPr>
              <w:t>供应商申请</w:t>
            </w:r>
          </w:p>
        </w:tc>
        <w:tc>
          <w:tcPr>
            <w:tcW w:w="8640" w:type="dxa"/>
          </w:tcPr>
          <w:p w14:paraId="4C8CCBC6">
            <w:pPr>
              <w:autoSpaceDE w:val="0"/>
              <w:autoSpaceDN w:val="0"/>
              <w:spacing w:before="170"/>
              <w:ind w:left="108"/>
              <w:jc w:val="left"/>
              <w:rPr>
                <w:rFonts w:ascii="宋体" w:hAnsi="宋体" w:cs="宋体"/>
                <w:kern w:val="0"/>
                <w:szCs w:val="22"/>
                <w:lang w:eastAsia="en-US"/>
              </w:rPr>
            </w:pPr>
            <w:r>
              <w:rPr>
                <w:rFonts w:ascii="宋体" w:hAnsi="宋体" w:cs="宋体"/>
                <w:kern w:val="0"/>
                <w:szCs w:val="22"/>
                <w:lang w:eastAsia="en-US"/>
              </w:rPr>
              <w:t>项目编号：</w:t>
            </w:r>
          </w:p>
        </w:tc>
      </w:tr>
      <w:tr w14:paraId="4E7EA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1008" w:type="dxa"/>
            <w:vMerge w:val="continue"/>
            <w:tcBorders>
              <w:top w:val="nil"/>
            </w:tcBorders>
          </w:tcPr>
          <w:p w14:paraId="45082AA8">
            <w:pPr>
              <w:autoSpaceDE w:val="0"/>
              <w:autoSpaceDN w:val="0"/>
              <w:jc w:val="left"/>
              <w:rPr>
                <w:rFonts w:ascii="宋体" w:hAnsi="宋体" w:cs="宋体"/>
                <w:kern w:val="0"/>
                <w:sz w:val="2"/>
                <w:szCs w:val="2"/>
                <w:lang w:eastAsia="en-US"/>
              </w:rPr>
            </w:pPr>
          </w:p>
        </w:tc>
        <w:tc>
          <w:tcPr>
            <w:tcW w:w="8640" w:type="dxa"/>
          </w:tcPr>
          <w:p w14:paraId="2EBAEF13">
            <w:pPr>
              <w:autoSpaceDE w:val="0"/>
              <w:autoSpaceDN w:val="0"/>
              <w:spacing w:before="167"/>
              <w:ind w:left="108"/>
              <w:jc w:val="left"/>
              <w:rPr>
                <w:rFonts w:ascii="宋体" w:hAnsi="宋体" w:cs="宋体"/>
                <w:kern w:val="0"/>
                <w:szCs w:val="22"/>
                <w:lang w:eastAsia="en-US"/>
              </w:rPr>
            </w:pPr>
            <w:r>
              <w:rPr>
                <w:rFonts w:ascii="宋体" w:hAnsi="宋体" w:cs="宋体"/>
                <w:kern w:val="0"/>
                <w:szCs w:val="22"/>
                <w:lang w:eastAsia="en-US"/>
              </w:rPr>
              <w:t>项目名称：</w:t>
            </w:r>
          </w:p>
        </w:tc>
      </w:tr>
      <w:tr w14:paraId="3AB24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1" w:hRule="atLeast"/>
        </w:trPr>
        <w:tc>
          <w:tcPr>
            <w:tcW w:w="1008" w:type="dxa"/>
            <w:vMerge w:val="continue"/>
            <w:tcBorders>
              <w:top w:val="nil"/>
            </w:tcBorders>
          </w:tcPr>
          <w:p w14:paraId="6053272D">
            <w:pPr>
              <w:autoSpaceDE w:val="0"/>
              <w:autoSpaceDN w:val="0"/>
              <w:jc w:val="left"/>
              <w:rPr>
                <w:rFonts w:ascii="宋体" w:hAnsi="宋体" w:cs="宋体"/>
                <w:kern w:val="0"/>
                <w:sz w:val="2"/>
                <w:szCs w:val="2"/>
                <w:lang w:eastAsia="en-US"/>
              </w:rPr>
            </w:pPr>
          </w:p>
        </w:tc>
        <w:tc>
          <w:tcPr>
            <w:tcW w:w="8640" w:type="dxa"/>
          </w:tcPr>
          <w:p w14:paraId="725144BD">
            <w:pPr>
              <w:autoSpaceDE w:val="0"/>
              <w:autoSpaceDN w:val="0"/>
              <w:spacing w:before="5"/>
              <w:jc w:val="left"/>
              <w:rPr>
                <w:rFonts w:ascii="宋体" w:hAnsi="宋体" w:cs="宋体"/>
                <w:b/>
                <w:kern w:val="0"/>
                <w:sz w:val="27"/>
                <w:szCs w:val="22"/>
              </w:rPr>
            </w:pPr>
          </w:p>
          <w:p w14:paraId="15DE4D3D">
            <w:pPr>
              <w:tabs>
                <w:tab w:val="left" w:pos="2102"/>
                <w:tab w:val="left" w:pos="2313"/>
                <w:tab w:val="left" w:pos="2942"/>
                <w:tab w:val="left" w:pos="3048"/>
                <w:tab w:val="left" w:pos="3782"/>
                <w:tab w:val="left" w:pos="3888"/>
              </w:tabs>
              <w:autoSpaceDE w:val="0"/>
              <w:autoSpaceDN w:val="0"/>
              <w:spacing w:line="355" w:lineRule="auto"/>
              <w:ind w:left="108" w:right="98" w:firstLine="420"/>
              <w:jc w:val="left"/>
              <w:rPr>
                <w:rFonts w:ascii="宋体" w:hAnsi="宋体" w:cs="宋体"/>
                <w:kern w:val="0"/>
                <w:szCs w:val="22"/>
              </w:rPr>
            </w:pPr>
            <w:r>
              <w:rPr>
                <w:rFonts w:ascii="宋体" w:hAnsi="宋体" w:cs="宋体"/>
                <w:kern w:val="0"/>
                <w:szCs w:val="22"/>
              </w:rPr>
              <w:t>该项目已于</w:t>
            </w:r>
            <w:r>
              <w:rPr>
                <w:rFonts w:ascii="宋体" w:hAnsi="宋体" w:cs="宋体"/>
                <w:kern w:val="0"/>
                <w:szCs w:val="22"/>
                <w:u w:val="single"/>
              </w:rPr>
              <w:t xml:space="preserve"> </w:t>
            </w:r>
            <w:r>
              <w:rPr>
                <w:rFonts w:ascii="宋体" w:hAnsi="宋体" w:cs="宋体"/>
                <w:kern w:val="0"/>
                <w:szCs w:val="22"/>
                <w:u w:val="single"/>
              </w:rPr>
              <w:tab/>
            </w:r>
            <w:r>
              <w:rPr>
                <w:rFonts w:ascii="宋体" w:hAnsi="宋体" w:cs="宋体"/>
                <w:kern w:val="0"/>
                <w:szCs w:val="22"/>
                <w:u w:val="single"/>
              </w:rPr>
              <w:tab/>
            </w:r>
            <w:r>
              <w:rPr>
                <w:rFonts w:ascii="宋体" w:hAnsi="宋体" w:cs="宋体"/>
                <w:kern w:val="0"/>
                <w:szCs w:val="22"/>
              </w:rPr>
              <w:t>年</w:t>
            </w:r>
            <w:r>
              <w:rPr>
                <w:rFonts w:ascii="宋体" w:hAnsi="宋体" w:cs="宋体"/>
                <w:kern w:val="0"/>
                <w:szCs w:val="22"/>
                <w:u w:val="single"/>
              </w:rPr>
              <w:t xml:space="preserve"> </w:t>
            </w:r>
            <w:r>
              <w:rPr>
                <w:rFonts w:ascii="宋体" w:hAnsi="宋体" w:cs="宋体"/>
                <w:kern w:val="0"/>
                <w:szCs w:val="22"/>
                <w:u w:val="single"/>
              </w:rPr>
              <w:tab/>
            </w:r>
            <w:r>
              <w:rPr>
                <w:rFonts w:ascii="宋体" w:hAnsi="宋体" w:cs="宋体"/>
                <w:kern w:val="0"/>
                <w:szCs w:val="22"/>
                <w:u w:val="single"/>
              </w:rPr>
              <w:tab/>
            </w:r>
            <w:r>
              <w:rPr>
                <w:rFonts w:ascii="宋体" w:hAnsi="宋体" w:cs="宋体"/>
                <w:kern w:val="0"/>
                <w:szCs w:val="22"/>
              </w:rPr>
              <w:t>月</w:t>
            </w:r>
            <w:r>
              <w:rPr>
                <w:rFonts w:ascii="宋体" w:hAnsi="宋体" w:cs="宋体"/>
                <w:kern w:val="0"/>
                <w:szCs w:val="22"/>
                <w:u w:val="single"/>
              </w:rPr>
              <w:t xml:space="preserve"> </w:t>
            </w:r>
            <w:r>
              <w:rPr>
                <w:rFonts w:ascii="宋体" w:hAnsi="宋体" w:cs="宋体"/>
                <w:kern w:val="0"/>
                <w:szCs w:val="22"/>
                <w:u w:val="single"/>
              </w:rPr>
              <w:tab/>
            </w:r>
            <w:r>
              <w:rPr>
                <w:rFonts w:ascii="宋体" w:hAnsi="宋体" w:cs="宋体"/>
                <w:kern w:val="0"/>
                <w:szCs w:val="22"/>
              </w:rPr>
              <w:t>日验收并交付使用。根据合同规定，该项目的履约保 证金期限于</w:t>
            </w:r>
            <w:r>
              <w:rPr>
                <w:rFonts w:ascii="宋体" w:hAnsi="宋体" w:cs="宋体"/>
                <w:kern w:val="0"/>
                <w:szCs w:val="22"/>
                <w:u w:val="single"/>
              </w:rPr>
              <w:t xml:space="preserve"> </w:t>
            </w:r>
            <w:r>
              <w:rPr>
                <w:rFonts w:ascii="宋体" w:hAnsi="宋体" w:cs="宋体"/>
                <w:kern w:val="0"/>
                <w:szCs w:val="22"/>
                <w:u w:val="single"/>
              </w:rPr>
              <w:tab/>
            </w:r>
            <w:r>
              <w:rPr>
                <w:rFonts w:ascii="宋体" w:hAnsi="宋体" w:cs="宋体"/>
                <w:kern w:val="0"/>
                <w:szCs w:val="22"/>
              </w:rPr>
              <w:t>年</w:t>
            </w:r>
            <w:r>
              <w:rPr>
                <w:rFonts w:ascii="宋体" w:hAnsi="宋体" w:cs="宋体"/>
                <w:kern w:val="0"/>
                <w:szCs w:val="22"/>
                <w:u w:val="single"/>
              </w:rPr>
              <w:t xml:space="preserve"> </w:t>
            </w:r>
            <w:r>
              <w:rPr>
                <w:rFonts w:ascii="宋体" w:hAnsi="宋体" w:cs="宋体"/>
                <w:kern w:val="0"/>
                <w:szCs w:val="22"/>
                <w:u w:val="single"/>
              </w:rPr>
              <w:tab/>
            </w:r>
            <w:r>
              <w:rPr>
                <w:rFonts w:ascii="宋体" w:hAnsi="宋体" w:cs="宋体"/>
                <w:kern w:val="0"/>
                <w:szCs w:val="22"/>
              </w:rPr>
              <w:t>月</w:t>
            </w:r>
            <w:r>
              <w:rPr>
                <w:rFonts w:ascii="宋体" w:hAnsi="宋体" w:cs="宋体"/>
                <w:kern w:val="0"/>
                <w:szCs w:val="22"/>
                <w:u w:val="single"/>
              </w:rPr>
              <w:t xml:space="preserve"> </w:t>
            </w:r>
            <w:r>
              <w:rPr>
                <w:rFonts w:ascii="宋体" w:hAnsi="宋体" w:cs="宋体"/>
                <w:kern w:val="0"/>
                <w:szCs w:val="22"/>
                <w:u w:val="single"/>
              </w:rPr>
              <w:tab/>
            </w:r>
            <w:r>
              <w:rPr>
                <w:rFonts w:ascii="宋体" w:hAnsi="宋体" w:cs="宋体"/>
                <w:kern w:val="0"/>
                <w:szCs w:val="22"/>
                <w:u w:val="single"/>
              </w:rPr>
              <w:tab/>
            </w:r>
            <w:r>
              <w:rPr>
                <w:rFonts w:ascii="宋体" w:hAnsi="宋体" w:cs="宋体"/>
                <w:kern w:val="0"/>
                <w:szCs w:val="22"/>
              </w:rPr>
              <w:t>日已满，请将履约保证金</w:t>
            </w:r>
          </w:p>
          <w:p w14:paraId="543F1670">
            <w:pPr>
              <w:tabs>
                <w:tab w:val="left" w:pos="4308"/>
                <w:tab w:val="left" w:pos="6249"/>
              </w:tabs>
              <w:autoSpaceDE w:val="0"/>
              <w:autoSpaceDN w:val="0"/>
              <w:spacing w:before="3" w:line="357" w:lineRule="auto"/>
              <w:ind w:left="108" w:right="98" w:hanging="1"/>
              <w:jc w:val="left"/>
              <w:rPr>
                <w:rFonts w:ascii="宋体" w:hAnsi="宋体" w:cs="宋体"/>
                <w:kern w:val="0"/>
                <w:szCs w:val="22"/>
              </w:rPr>
            </w:pPr>
            <w:r>
              <w:rPr>
                <w:rFonts w:eastAsia="Times New Roman" w:cs="宋体"/>
                <w:w w:val="99"/>
                <w:kern w:val="0"/>
                <w:position w:val="1"/>
                <w:szCs w:val="22"/>
                <w:u w:val="single"/>
              </w:rPr>
              <w:t xml:space="preserve"> </w:t>
            </w:r>
            <w:r>
              <w:rPr>
                <w:rFonts w:eastAsia="Times New Roman" w:cs="宋体"/>
                <w:kern w:val="0"/>
                <w:position w:val="1"/>
                <w:szCs w:val="22"/>
                <w:u w:val="single"/>
              </w:rPr>
              <w:tab/>
            </w:r>
            <w:r>
              <w:rPr>
                <w:rFonts w:ascii="宋体" w:hAnsi="宋体" w:cs="宋体"/>
                <w:kern w:val="0"/>
                <w:szCs w:val="22"/>
              </w:rPr>
              <w:t>（大写</w:t>
            </w:r>
            <w:r>
              <w:rPr>
                <w:rFonts w:ascii="宋体" w:hAnsi="宋体" w:cs="宋体"/>
                <w:spacing w:val="-14"/>
                <w:kern w:val="0"/>
                <w:szCs w:val="22"/>
              </w:rPr>
              <w:t>）</w:t>
            </w:r>
            <w:r>
              <w:rPr>
                <w:rFonts w:eastAsia="Times New Roman" w:cs="宋体"/>
                <w:spacing w:val="-14"/>
                <w:kern w:val="0"/>
                <w:szCs w:val="22"/>
              </w:rPr>
              <w:t>¥</w:t>
            </w:r>
            <w:r>
              <w:rPr>
                <w:rFonts w:eastAsia="Times New Roman" w:cs="宋体"/>
                <w:spacing w:val="-14"/>
                <w:kern w:val="0"/>
                <w:szCs w:val="22"/>
                <w:u w:val="single"/>
              </w:rPr>
              <w:t xml:space="preserve"> </w:t>
            </w:r>
            <w:r>
              <w:rPr>
                <w:rFonts w:eastAsia="Times New Roman" w:cs="宋体"/>
                <w:spacing w:val="-14"/>
                <w:kern w:val="0"/>
                <w:szCs w:val="22"/>
                <w:u w:val="single"/>
              </w:rPr>
              <w:tab/>
            </w:r>
            <w:r>
              <w:rPr>
                <w:rFonts w:ascii="宋体" w:hAnsi="宋体" w:cs="宋体"/>
                <w:w w:val="95"/>
                <w:kern w:val="0"/>
                <w:szCs w:val="22"/>
              </w:rPr>
              <w:t>（小写</w:t>
            </w:r>
            <w:r>
              <w:rPr>
                <w:rFonts w:ascii="宋体" w:hAnsi="宋体" w:cs="宋体"/>
                <w:spacing w:val="-27"/>
                <w:w w:val="95"/>
                <w:kern w:val="0"/>
                <w:szCs w:val="22"/>
              </w:rPr>
              <w:t>）</w:t>
            </w:r>
            <w:r>
              <w:rPr>
                <w:rFonts w:ascii="宋体" w:hAnsi="宋体" w:cs="宋体"/>
                <w:w w:val="95"/>
                <w:kern w:val="0"/>
                <w:szCs w:val="22"/>
              </w:rPr>
              <w:t>退付到达以下账</w:t>
            </w:r>
            <w:r>
              <w:rPr>
                <w:rFonts w:ascii="宋体" w:hAnsi="宋体" w:cs="宋体"/>
                <w:kern w:val="0"/>
                <w:szCs w:val="22"/>
              </w:rPr>
              <w:t>户。</w:t>
            </w:r>
          </w:p>
          <w:p w14:paraId="4384C628">
            <w:pPr>
              <w:autoSpaceDE w:val="0"/>
              <w:autoSpaceDN w:val="0"/>
              <w:spacing w:line="357" w:lineRule="auto"/>
              <w:ind w:left="813" w:right="6765"/>
              <w:rPr>
                <w:rFonts w:ascii="宋体" w:hAnsi="宋体" w:cs="宋体"/>
                <w:kern w:val="0"/>
                <w:szCs w:val="22"/>
              </w:rPr>
            </w:pPr>
            <w:r>
              <w:rPr>
                <w:rFonts w:ascii="宋体" w:hAnsi="宋体" w:cs="宋体"/>
                <w:kern w:val="0"/>
                <w:szCs w:val="22"/>
              </w:rPr>
              <w:t>单位名称： 开户银行： 账 号 ：</w:t>
            </w:r>
          </w:p>
          <w:p w14:paraId="46ED1963">
            <w:pPr>
              <w:autoSpaceDE w:val="0"/>
              <w:autoSpaceDN w:val="0"/>
              <w:spacing w:line="266" w:lineRule="exact"/>
              <w:ind w:left="108"/>
              <w:jc w:val="left"/>
              <w:rPr>
                <w:rFonts w:ascii="宋体" w:hAnsi="宋体" w:cs="宋体"/>
                <w:kern w:val="0"/>
                <w:szCs w:val="22"/>
              </w:rPr>
            </w:pPr>
            <w:r>
              <w:rPr>
                <w:rFonts w:ascii="宋体" w:hAnsi="宋体" w:cs="宋体"/>
                <w:kern w:val="0"/>
                <w:szCs w:val="22"/>
              </w:rPr>
              <w:t>联系人及电话：</w:t>
            </w:r>
          </w:p>
          <w:p w14:paraId="3C3D6867">
            <w:pPr>
              <w:autoSpaceDE w:val="0"/>
              <w:autoSpaceDN w:val="0"/>
              <w:jc w:val="left"/>
              <w:rPr>
                <w:rFonts w:ascii="宋体" w:hAnsi="宋体" w:cs="宋体"/>
                <w:b/>
                <w:kern w:val="0"/>
                <w:sz w:val="20"/>
                <w:szCs w:val="22"/>
              </w:rPr>
            </w:pPr>
          </w:p>
          <w:p w14:paraId="022AB553">
            <w:pPr>
              <w:autoSpaceDE w:val="0"/>
              <w:autoSpaceDN w:val="0"/>
              <w:spacing w:before="10"/>
              <w:jc w:val="left"/>
              <w:rPr>
                <w:rFonts w:ascii="宋体" w:hAnsi="宋体" w:cs="宋体"/>
                <w:b/>
                <w:kern w:val="0"/>
                <w:sz w:val="28"/>
                <w:szCs w:val="22"/>
              </w:rPr>
            </w:pPr>
          </w:p>
          <w:p w14:paraId="00350A01">
            <w:pPr>
              <w:autoSpaceDE w:val="0"/>
              <w:autoSpaceDN w:val="0"/>
              <w:ind w:left="5630"/>
              <w:jc w:val="left"/>
              <w:rPr>
                <w:rFonts w:ascii="宋体" w:hAnsi="宋体" w:cs="宋体"/>
                <w:kern w:val="0"/>
                <w:szCs w:val="22"/>
              </w:rPr>
            </w:pPr>
            <w:r>
              <w:rPr>
                <w:rFonts w:ascii="宋体" w:hAnsi="宋体" w:cs="宋体"/>
                <w:kern w:val="0"/>
                <w:szCs w:val="22"/>
              </w:rPr>
              <w:t>供应商公章：</w:t>
            </w:r>
          </w:p>
          <w:p w14:paraId="623F2C4C">
            <w:pPr>
              <w:autoSpaceDE w:val="0"/>
              <w:autoSpaceDN w:val="0"/>
              <w:spacing w:before="6"/>
              <w:jc w:val="left"/>
              <w:rPr>
                <w:rFonts w:ascii="宋体" w:hAnsi="宋体" w:cs="宋体"/>
                <w:b/>
                <w:kern w:val="0"/>
                <w:sz w:val="19"/>
                <w:szCs w:val="22"/>
              </w:rPr>
            </w:pPr>
          </w:p>
          <w:p w14:paraId="75848FBE">
            <w:pPr>
              <w:tabs>
                <w:tab w:val="left" w:pos="5580"/>
                <w:tab w:val="left" w:pos="6314"/>
              </w:tabs>
              <w:autoSpaceDE w:val="0"/>
              <w:autoSpaceDN w:val="0"/>
              <w:ind w:left="4948"/>
              <w:jc w:val="left"/>
              <w:rPr>
                <w:rFonts w:ascii="宋体" w:hAnsi="宋体" w:cs="宋体"/>
                <w:kern w:val="0"/>
                <w:szCs w:val="22"/>
                <w:lang w:eastAsia="en-US"/>
              </w:rPr>
            </w:pPr>
            <w:r>
              <w:rPr>
                <w:rFonts w:ascii="宋体" w:hAnsi="宋体" w:cs="宋体"/>
                <w:kern w:val="0"/>
                <w:szCs w:val="22"/>
                <w:lang w:eastAsia="en-US"/>
              </w:rPr>
              <w:t>年</w:t>
            </w:r>
            <w:r>
              <w:rPr>
                <w:rFonts w:ascii="宋体" w:hAnsi="宋体" w:cs="宋体"/>
                <w:kern w:val="0"/>
                <w:szCs w:val="22"/>
                <w:lang w:eastAsia="en-US"/>
              </w:rPr>
              <w:tab/>
            </w:r>
            <w:r>
              <w:rPr>
                <w:rFonts w:ascii="宋体" w:hAnsi="宋体" w:cs="宋体"/>
                <w:kern w:val="0"/>
                <w:szCs w:val="22"/>
                <w:lang w:eastAsia="en-US"/>
              </w:rPr>
              <w:t>月</w:t>
            </w:r>
            <w:r>
              <w:rPr>
                <w:rFonts w:ascii="宋体" w:hAnsi="宋体" w:cs="宋体"/>
                <w:kern w:val="0"/>
                <w:szCs w:val="22"/>
                <w:lang w:eastAsia="en-US"/>
              </w:rPr>
              <w:tab/>
            </w:r>
            <w:r>
              <w:rPr>
                <w:rFonts w:ascii="宋体" w:hAnsi="宋体" w:cs="宋体"/>
                <w:kern w:val="0"/>
                <w:szCs w:val="22"/>
                <w:lang w:eastAsia="en-US"/>
              </w:rPr>
              <w:t>日</w:t>
            </w:r>
          </w:p>
        </w:tc>
      </w:tr>
      <w:tr w14:paraId="68E6E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6" w:hRule="atLeast"/>
        </w:trPr>
        <w:tc>
          <w:tcPr>
            <w:tcW w:w="1008" w:type="dxa"/>
          </w:tcPr>
          <w:p w14:paraId="53C0AA0E">
            <w:pPr>
              <w:autoSpaceDE w:val="0"/>
              <w:autoSpaceDN w:val="0"/>
              <w:spacing w:before="7"/>
              <w:jc w:val="left"/>
              <w:rPr>
                <w:rFonts w:ascii="宋体" w:hAnsi="宋体" w:cs="宋体"/>
                <w:b/>
                <w:kern w:val="0"/>
                <w:sz w:val="15"/>
                <w:szCs w:val="22"/>
                <w:lang w:eastAsia="en-US"/>
              </w:rPr>
            </w:pPr>
          </w:p>
          <w:p w14:paraId="68C247B3">
            <w:pPr>
              <w:autoSpaceDE w:val="0"/>
              <w:autoSpaceDN w:val="0"/>
              <w:spacing w:before="1" w:line="242" w:lineRule="auto"/>
              <w:ind w:left="398" w:right="388"/>
              <w:rPr>
                <w:rFonts w:ascii="宋体" w:hAnsi="宋体" w:cs="宋体"/>
                <w:kern w:val="0"/>
                <w:szCs w:val="22"/>
                <w:lang w:eastAsia="en-US"/>
              </w:rPr>
            </w:pPr>
            <w:r>
              <w:rPr>
                <w:rFonts w:ascii="宋体" w:hAnsi="宋体" w:cs="宋体"/>
                <w:kern w:val="0"/>
                <w:szCs w:val="22"/>
                <w:lang w:eastAsia="en-US"/>
              </w:rPr>
              <w:t>采购单位意见</w:t>
            </w:r>
          </w:p>
        </w:tc>
        <w:tc>
          <w:tcPr>
            <w:tcW w:w="8640" w:type="dxa"/>
          </w:tcPr>
          <w:p w14:paraId="17192926">
            <w:pPr>
              <w:autoSpaceDE w:val="0"/>
              <w:autoSpaceDN w:val="0"/>
              <w:spacing w:before="12"/>
              <w:jc w:val="left"/>
              <w:rPr>
                <w:rFonts w:ascii="宋体" w:hAnsi="宋体" w:cs="宋体"/>
                <w:b/>
                <w:kern w:val="0"/>
                <w:sz w:val="18"/>
                <w:szCs w:val="22"/>
              </w:rPr>
            </w:pPr>
          </w:p>
          <w:p w14:paraId="5D587AAF">
            <w:pPr>
              <w:autoSpaceDE w:val="0"/>
              <w:autoSpaceDN w:val="0"/>
              <w:ind w:left="108"/>
              <w:jc w:val="left"/>
              <w:rPr>
                <w:rFonts w:ascii="宋体" w:hAnsi="宋体" w:cs="宋体"/>
                <w:kern w:val="0"/>
                <w:szCs w:val="22"/>
              </w:rPr>
            </w:pPr>
            <w:r>
              <w:rPr>
                <w:rFonts w:ascii="宋体" w:hAnsi="宋体" w:cs="宋体"/>
                <w:kern w:val="0"/>
                <w:szCs w:val="22"/>
              </w:rPr>
              <w:t>退付意见：是否同意退付履约保证金及退付金额：</w:t>
            </w:r>
          </w:p>
          <w:p w14:paraId="6C41CE1B">
            <w:pPr>
              <w:autoSpaceDE w:val="0"/>
              <w:autoSpaceDN w:val="0"/>
              <w:jc w:val="left"/>
              <w:rPr>
                <w:rFonts w:ascii="宋体" w:hAnsi="宋体" w:cs="宋体"/>
                <w:b/>
                <w:kern w:val="0"/>
                <w:sz w:val="20"/>
                <w:szCs w:val="22"/>
              </w:rPr>
            </w:pPr>
          </w:p>
          <w:p w14:paraId="050D2386">
            <w:pPr>
              <w:autoSpaceDE w:val="0"/>
              <w:autoSpaceDN w:val="0"/>
              <w:jc w:val="left"/>
              <w:rPr>
                <w:rFonts w:ascii="宋体" w:hAnsi="宋体" w:cs="宋体"/>
                <w:b/>
                <w:kern w:val="0"/>
                <w:sz w:val="20"/>
                <w:szCs w:val="22"/>
              </w:rPr>
            </w:pPr>
          </w:p>
          <w:p w14:paraId="660D88D0">
            <w:pPr>
              <w:tabs>
                <w:tab w:val="left" w:pos="5042"/>
              </w:tabs>
              <w:autoSpaceDE w:val="0"/>
              <w:autoSpaceDN w:val="0"/>
              <w:spacing w:before="179"/>
              <w:ind w:left="108"/>
              <w:jc w:val="left"/>
              <w:rPr>
                <w:rFonts w:ascii="宋体" w:hAnsi="宋体" w:cs="宋体"/>
                <w:kern w:val="0"/>
                <w:szCs w:val="22"/>
              </w:rPr>
            </w:pPr>
            <w:r>
              <w:rPr>
                <w:rFonts w:ascii="宋体" w:hAnsi="宋体" w:cs="宋体"/>
                <w:kern w:val="0"/>
                <w:szCs w:val="22"/>
              </w:rPr>
              <w:t>联系人及电话：</w:t>
            </w:r>
            <w:r>
              <w:rPr>
                <w:rFonts w:ascii="宋体" w:hAnsi="宋体" w:cs="宋体"/>
                <w:kern w:val="0"/>
                <w:szCs w:val="22"/>
              </w:rPr>
              <w:tab/>
            </w:r>
            <w:r>
              <w:rPr>
                <w:rFonts w:ascii="宋体" w:hAnsi="宋体" w:cs="宋体"/>
                <w:kern w:val="0"/>
                <w:szCs w:val="22"/>
              </w:rPr>
              <w:t>采购单位公章</w:t>
            </w:r>
          </w:p>
          <w:p w14:paraId="0F7D571A">
            <w:pPr>
              <w:autoSpaceDE w:val="0"/>
              <w:autoSpaceDN w:val="0"/>
              <w:spacing w:before="5"/>
              <w:jc w:val="left"/>
              <w:rPr>
                <w:rFonts w:ascii="宋体" w:hAnsi="宋体" w:cs="宋体"/>
                <w:b/>
                <w:kern w:val="0"/>
                <w:sz w:val="19"/>
                <w:szCs w:val="22"/>
              </w:rPr>
            </w:pPr>
          </w:p>
          <w:p w14:paraId="37F3B1C9">
            <w:pPr>
              <w:tabs>
                <w:tab w:val="left" w:pos="6261"/>
                <w:tab w:val="left" w:pos="6996"/>
              </w:tabs>
              <w:autoSpaceDE w:val="0"/>
              <w:autoSpaceDN w:val="0"/>
              <w:spacing w:before="1"/>
              <w:ind w:left="5630"/>
              <w:jc w:val="left"/>
              <w:rPr>
                <w:rFonts w:ascii="宋体" w:hAnsi="宋体" w:cs="宋体"/>
                <w:kern w:val="0"/>
                <w:szCs w:val="22"/>
                <w:lang w:eastAsia="en-US"/>
              </w:rPr>
            </w:pPr>
            <w:r>
              <w:rPr>
                <w:rFonts w:ascii="宋体" w:hAnsi="宋体" w:cs="宋体"/>
                <w:kern w:val="0"/>
                <w:szCs w:val="22"/>
                <w:lang w:eastAsia="en-US"/>
              </w:rPr>
              <w:t>年</w:t>
            </w:r>
            <w:r>
              <w:rPr>
                <w:rFonts w:ascii="宋体" w:hAnsi="宋体" w:cs="宋体"/>
                <w:kern w:val="0"/>
                <w:szCs w:val="22"/>
                <w:lang w:eastAsia="en-US"/>
              </w:rPr>
              <w:tab/>
            </w:r>
            <w:r>
              <w:rPr>
                <w:rFonts w:ascii="宋体" w:hAnsi="宋体" w:cs="宋体"/>
                <w:kern w:val="0"/>
                <w:szCs w:val="22"/>
                <w:lang w:eastAsia="en-US"/>
              </w:rPr>
              <w:t>月</w:t>
            </w:r>
            <w:r>
              <w:rPr>
                <w:rFonts w:ascii="宋体" w:hAnsi="宋体" w:cs="宋体"/>
                <w:kern w:val="0"/>
                <w:szCs w:val="22"/>
                <w:lang w:eastAsia="en-US"/>
              </w:rPr>
              <w:tab/>
            </w:r>
            <w:r>
              <w:rPr>
                <w:rFonts w:ascii="宋体" w:hAnsi="宋体" w:cs="宋体"/>
                <w:kern w:val="0"/>
                <w:szCs w:val="22"/>
                <w:lang w:eastAsia="en-US"/>
              </w:rPr>
              <w:t>日</w:t>
            </w:r>
          </w:p>
        </w:tc>
      </w:tr>
      <w:tr w14:paraId="0BCD5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0" w:hRule="atLeast"/>
        </w:trPr>
        <w:tc>
          <w:tcPr>
            <w:tcW w:w="1008" w:type="dxa"/>
          </w:tcPr>
          <w:p w14:paraId="54113D6B">
            <w:pPr>
              <w:autoSpaceDE w:val="0"/>
              <w:autoSpaceDN w:val="0"/>
              <w:jc w:val="left"/>
              <w:rPr>
                <w:rFonts w:ascii="宋体" w:hAnsi="宋体" w:cs="宋体"/>
                <w:b/>
                <w:kern w:val="0"/>
                <w:sz w:val="20"/>
                <w:szCs w:val="22"/>
                <w:lang w:eastAsia="en-US"/>
              </w:rPr>
            </w:pPr>
          </w:p>
          <w:p w14:paraId="305863FB">
            <w:pPr>
              <w:autoSpaceDE w:val="0"/>
              <w:autoSpaceDN w:val="0"/>
              <w:jc w:val="left"/>
              <w:rPr>
                <w:rFonts w:ascii="宋体" w:hAnsi="宋体" w:cs="宋体"/>
                <w:b/>
                <w:kern w:val="0"/>
                <w:sz w:val="20"/>
                <w:szCs w:val="22"/>
                <w:lang w:eastAsia="en-US"/>
              </w:rPr>
            </w:pPr>
          </w:p>
          <w:p w14:paraId="6A677483">
            <w:pPr>
              <w:autoSpaceDE w:val="0"/>
              <w:autoSpaceDN w:val="0"/>
              <w:spacing w:before="1"/>
              <w:jc w:val="left"/>
              <w:rPr>
                <w:rFonts w:ascii="宋体" w:hAnsi="宋体" w:cs="宋体"/>
                <w:b/>
                <w:kern w:val="0"/>
                <w:szCs w:val="22"/>
                <w:lang w:eastAsia="en-US"/>
              </w:rPr>
            </w:pPr>
          </w:p>
          <w:p w14:paraId="097C6F1B">
            <w:pPr>
              <w:autoSpaceDE w:val="0"/>
              <w:autoSpaceDN w:val="0"/>
              <w:spacing w:before="1" w:line="242" w:lineRule="auto"/>
              <w:ind w:left="398" w:right="388"/>
              <w:rPr>
                <w:rFonts w:ascii="宋体" w:hAnsi="宋体" w:cs="宋体"/>
                <w:kern w:val="0"/>
                <w:szCs w:val="22"/>
                <w:lang w:eastAsia="en-US"/>
              </w:rPr>
            </w:pPr>
            <w:r>
              <w:rPr>
                <w:rFonts w:ascii="宋体" w:hAnsi="宋体" w:cs="宋体"/>
                <w:kern w:val="0"/>
                <w:szCs w:val="22"/>
                <w:lang w:eastAsia="en-US"/>
              </w:rPr>
              <w:t>财务部门意见</w:t>
            </w:r>
          </w:p>
        </w:tc>
        <w:tc>
          <w:tcPr>
            <w:tcW w:w="8640" w:type="dxa"/>
          </w:tcPr>
          <w:p w14:paraId="23AB898A">
            <w:pPr>
              <w:autoSpaceDE w:val="0"/>
              <w:autoSpaceDN w:val="0"/>
              <w:spacing w:before="6"/>
              <w:jc w:val="left"/>
              <w:rPr>
                <w:rFonts w:ascii="宋体" w:hAnsi="宋体" w:cs="宋体"/>
                <w:b/>
                <w:kern w:val="0"/>
                <w:sz w:val="23"/>
                <w:szCs w:val="22"/>
              </w:rPr>
            </w:pPr>
          </w:p>
          <w:p w14:paraId="3ECD1E67">
            <w:pPr>
              <w:tabs>
                <w:tab w:val="left" w:pos="1262"/>
                <w:tab w:val="left" w:pos="1945"/>
                <w:tab w:val="left" w:pos="2679"/>
              </w:tabs>
              <w:autoSpaceDE w:val="0"/>
              <w:autoSpaceDN w:val="0"/>
              <w:spacing w:line="571" w:lineRule="auto"/>
              <w:ind w:left="108" w:right="5056"/>
              <w:jc w:val="left"/>
              <w:rPr>
                <w:rFonts w:ascii="宋体" w:hAnsi="宋体" w:cs="宋体"/>
                <w:kern w:val="0"/>
                <w:szCs w:val="22"/>
              </w:rPr>
            </w:pPr>
            <w:r>
              <w:rPr>
                <w:rFonts w:ascii="宋体" w:hAnsi="宋体" w:cs="宋体"/>
                <w:kern w:val="0"/>
                <w:szCs w:val="22"/>
              </w:rPr>
              <w:t>此表于</w:t>
            </w:r>
            <w:r>
              <w:rPr>
                <w:rFonts w:ascii="宋体" w:hAnsi="宋体" w:cs="宋体"/>
                <w:kern w:val="0"/>
                <w:szCs w:val="22"/>
                <w:u w:val="single"/>
              </w:rPr>
              <w:t xml:space="preserve"> </w:t>
            </w:r>
            <w:r>
              <w:rPr>
                <w:rFonts w:ascii="宋体" w:hAnsi="宋体" w:cs="宋体"/>
                <w:kern w:val="0"/>
                <w:szCs w:val="22"/>
                <w:u w:val="single"/>
              </w:rPr>
              <w:tab/>
            </w:r>
            <w:r>
              <w:rPr>
                <w:rFonts w:ascii="宋体" w:hAnsi="宋体" w:cs="宋体"/>
                <w:kern w:val="0"/>
                <w:szCs w:val="22"/>
              </w:rPr>
              <w:t>年</w:t>
            </w:r>
            <w:r>
              <w:rPr>
                <w:rFonts w:ascii="宋体" w:hAnsi="宋体" w:cs="宋体"/>
                <w:kern w:val="0"/>
                <w:szCs w:val="22"/>
                <w:u w:val="single"/>
              </w:rPr>
              <w:tab/>
            </w:r>
            <w:r>
              <w:rPr>
                <w:rFonts w:ascii="宋体" w:hAnsi="宋体" w:cs="宋体"/>
                <w:kern w:val="0"/>
                <w:szCs w:val="22"/>
              </w:rPr>
              <w:t>月</w:t>
            </w:r>
            <w:r>
              <w:rPr>
                <w:rFonts w:ascii="宋体" w:hAnsi="宋体" w:cs="宋体"/>
                <w:kern w:val="0"/>
                <w:szCs w:val="22"/>
                <w:u w:val="single"/>
              </w:rPr>
              <w:tab/>
            </w:r>
            <w:r>
              <w:rPr>
                <w:rFonts w:ascii="宋体" w:hAnsi="宋体" w:cs="宋体"/>
                <w:kern w:val="0"/>
                <w:szCs w:val="22"/>
              </w:rPr>
              <w:t>日收到。会计审核：</w:t>
            </w:r>
          </w:p>
          <w:p w14:paraId="76900E1C">
            <w:pPr>
              <w:tabs>
                <w:tab w:val="left" w:pos="1262"/>
                <w:tab w:val="left" w:pos="1945"/>
                <w:tab w:val="left" w:pos="2679"/>
              </w:tabs>
              <w:autoSpaceDE w:val="0"/>
              <w:autoSpaceDN w:val="0"/>
              <w:spacing w:line="571" w:lineRule="auto"/>
              <w:ind w:left="108" w:right="5056"/>
              <w:jc w:val="left"/>
              <w:rPr>
                <w:rFonts w:ascii="宋体" w:hAnsi="宋体" w:cs="宋体"/>
                <w:kern w:val="0"/>
                <w:szCs w:val="22"/>
              </w:rPr>
            </w:pPr>
            <w:r>
              <w:rPr>
                <w:rFonts w:ascii="宋体" w:hAnsi="宋体" w:cs="宋体"/>
                <w:kern w:val="0"/>
                <w:szCs w:val="22"/>
              </w:rPr>
              <w:t xml:space="preserve">财务负责人审核： </w:t>
            </w:r>
          </w:p>
          <w:p w14:paraId="373EE4D1">
            <w:pPr>
              <w:tabs>
                <w:tab w:val="left" w:pos="1262"/>
                <w:tab w:val="left" w:pos="1945"/>
                <w:tab w:val="left" w:pos="2679"/>
              </w:tabs>
              <w:autoSpaceDE w:val="0"/>
              <w:autoSpaceDN w:val="0"/>
              <w:spacing w:line="571" w:lineRule="auto"/>
              <w:ind w:left="108" w:right="5056"/>
              <w:jc w:val="left"/>
              <w:rPr>
                <w:rFonts w:ascii="宋体" w:hAnsi="宋体" w:cs="宋体"/>
                <w:kern w:val="0"/>
                <w:szCs w:val="22"/>
              </w:rPr>
            </w:pPr>
            <w:r>
              <w:rPr>
                <w:rFonts w:ascii="宋体" w:hAnsi="宋体" w:cs="宋体"/>
                <w:kern w:val="0"/>
                <w:szCs w:val="22"/>
              </w:rPr>
              <w:t>单位负责人签字：</w:t>
            </w:r>
          </w:p>
          <w:p w14:paraId="7AF50E1A">
            <w:pPr>
              <w:autoSpaceDE w:val="0"/>
              <w:autoSpaceDN w:val="0"/>
              <w:spacing w:before="4"/>
              <w:ind w:left="108"/>
              <w:jc w:val="left"/>
              <w:rPr>
                <w:rFonts w:ascii="宋体" w:hAnsi="宋体" w:cs="宋体"/>
                <w:kern w:val="0"/>
                <w:szCs w:val="22"/>
                <w:lang w:eastAsia="en-US"/>
              </w:rPr>
            </w:pPr>
            <w:r>
              <w:rPr>
                <w:rFonts w:ascii="宋体" w:hAnsi="宋体" w:cs="宋体"/>
                <w:kern w:val="0"/>
                <w:szCs w:val="22"/>
                <w:lang w:eastAsia="en-US"/>
              </w:rPr>
              <w:t>出纳办理转账日期：</w:t>
            </w:r>
          </w:p>
        </w:tc>
      </w:tr>
    </w:tbl>
    <w:p w14:paraId="09EA5B9D">
      <w:pPr>
        <w:autoSpaceDE w:val="0"/>
        <w:autoSpaceDN w:val="0"/>
        <w:spacing w:before="93"/>
        <w:ind w:left="716"/>
        <w:jc w:val="left"/>
        <w:outlineLvl w:val="6"/>
        <w:rPr>
          <w:rFonts w:ascii="宋体" w:hAnsi="宋体" w:cs="宋体"/>
          <w:b/>
          <w:bCs/>
          <w:kern w:val="0"/>
          <w:szCs w:val="21"/>
        </w:rPr>
      </w:pPr>
      <w:r>
        <w:rPr>
          <w:rFonts w:ascii="宋体" w:hAnsi="宋体" w:cs="宋体"/>
          <w:b/>
          <w:bCs/>
          <w:kern w:val="0"/>
          <w:szCs w:val="21"/>
        </w:rPr>
        <w:t>注：供应商凭经采购单位审批的退付意见书到相关财务部办理履约保证金退付事宜。</w:t>
      </w:r>
    </w:p>
    <w:p w14:paraId="61E2A501">
      <w:pPr>
        <w:autoSpaceDE w:val="0"/>
        <w:autoSpaceDN w:val="0"/>
        <w:jc w:val="left"/>
        <w:rPr>
          <w:rFonts w:ascii="宋体" w:hAnsi="宋体" w:cs="宋体"/>
          <w:kern w:val="0"/>
          <w:sz w:val="22"/>
          <w:szCs w:val="22"/>
        </w:rPr>
        <w:sectPr>
          <w:type w:val="continuous"/>
          <w:pgSz w:w="11910" w:h="16840"/>
          <w:pgMar w:top="1580" w:right="720" w:bottom="280" w:left="940" w:header="720" w:footer="720" w:gutter="0"/>
          <w:cols w:space="720" w:num="1"/>
        </w:sectPr>
      </w:pPr>
    </w:p>
    <w:p w14:paraId="49F62AC4">
      <w:pPr>
        <w:autoSpaceDE w:val="0"/>
        <w:autoSpaceDN w:val="0"/>
        <w:jc w:val="left"/>
        <w:rPr>
          <w:rFonts w:ascii="宋体" w:hAnsi="宋体" w:cs="宋体"/>
          <w:b/>
          <w:kern w:val="0"/>
          <w:sz w:val="20"/>
          <w:szCs w:val="21"/>
        </w:rPr>
      </w:pPr>
    </w:p>
    <w:p w14:paraId="249385B8">
      <w:pPr>
        <w:autoSpaceDE w:val="0"/>
        <w:autoSpaceDN w:val="0"/>
        <w:spacing w:before="70"/>
        <w:ind w:left="3116"/>
        <w:jc w:val="left"/>
        <w:outlineLvl w:val="6"/>
        <w:rPr>
          <w:rFonts w:ascii="宋体" w:hAnsi="宋体" w:cs="宋体"/>
          <w:b/>
          <w:bCs/>
          <w:kern w:val="0"/>
          <w:szCs w:val="21"/>
        </w:rPr>
      </w:pPr>
      <w:r>
        <w:rPr>
          <w:rFonts w:ascii="宋体" w:hAnsi="宋体" w:cs="宋体"/>
          <w:b/>
          <w:bCs/>
          <w:kern w:val="0"/>
          <w:szCs w:val="21"/>
        </w:rPr>
        <w:t>广西壮族自治区政府采购项目合同验收书</w:t>
      </w:r>
    </w:p>
    <w:p w14:paraId="14F32A40">
      <w:pPr>
        <w:autoSpaceDE w:val="0"/>
        <w:autoSpaceDN w:val="0"/>
        <w:spacing w:line="285" w:lineRule="auto"/>
        <w:ind w:left="118" w:right="698" w:firstLine="420"/>
        <w:jc w:val="left"/>
        <w:rPr>
          <w:rFonts w:ascii="宋体" w:hAnsi="宋体" w:cs="宋体"/>
          <w:kern w:val="0"/>
          <w:szCs w:val="21"/>
        </w:rPr>
      </w:pPr>
      <w:r>
        <w:rPr>
          <w:rFonts w:hint="eastAsia" w:ascii="宋体" w:hAnsi="宋体" w:cs="宋体"/>
          <w:kern w:val="0"/>
          <w:szCs w:val="21"/>
        </w:rPr>
        <w:t>根据政府采购项目</w:t>
      </w:r>
      <w:r>
        <w:rPr>
          <w:rFonts w:hint="eastAsia" w:ascii="宋体" w:hAnsi="宋体" w:cs="宋体"/>
          <w:spacing w:val="-2"/>
          <w:kern w:val="0"/>
          <w:szCs w:val="21"/>
          <w:u w:val="single"/>
        </w:rPr>
        <w:t>（采购合同编号：   ）</w:t>
      </w:r>
      <w:r>
        <w:rPr>
          <w:rFonts w:hint="eastAsia" w:ascii="宋体" w:hAnsi="宋体" w:cs="宋体"/>
          <w:kern w:val="0"/>
          <w:szCs w:val="21"/>
        </w:rPr>
        <w:t>的约定，我单位对</w:t>
      </w:r>
      <w:r>
        <w:rPr>
          <w:rFonts w:hint="eastAsia" w:ascii="宋体" w:hAnsi="宋体" w:cs="宋体"/>
          <w:spacing w:val="-2"/>
          <w:kern w:val="0"/>
          <w:szCs w:val="21"/>
          <w:u w:val="single"/>
        </w:rPr>
        <w:t>（XXXX采 购项目）</w:t>
      </w:r>
      <w:r>
        <w:rPr>
          <w:rFonts w:hint="eastAsia" w:ascii="宋体" w:hAnsi="宋体" w:cs="宋体"/>
          <w:kern w:val="0"/>
          <w:szCs w:val="21"/>
        </w:rPr>
        <w:t>政府采购项目中标（或成交）</w:t>
      </w:r>
      <w:r>
        <w:rPr>
          <w:rFonts w:hint="eastAsia" w:ascii="宋体" w:hAnsi="宋体" w:cs="宋体"/>
          <w:spacing w:val="-14"/>
          <w:kern w:val="0"/>
          <w:szCs w:val="21"/>
        </w:rPr>
        <w:t xml:space="preserve">供应商 </w:t>
      </w:r>
      <w:r>
        <w:rPr>
          <w:rFonts w:hint="eastAsia" w:ascii="宋体" w:hAnsi="宋体" w:cs="宋体"/>
          <w:kern w:val="0"/>
          <w:szCs w:val="21"/>
          <w:u w:val="single"/>
        </w:rPr>
        <w:t>XX</w:t>
      </w:r>
      <w:r>
        <w:rPr>
          <w:rFonts w:hint="eastAsia" w:ascii="宋体" w:hAnsi="宋体" w:cs="宋体"/>
          <w:spacing w:val="-2"/>
          <w:kern w:val="0"/>
          <w:szCs w:val="21"/>
          <w:u w:val="single"/>
        </w:rPr>
        <w:t xml:space="preserve"> </w:t>
      </w:r>
      <w:r>
        <w:rPr>
          <w:rFonts w:hint="eastAsia" w:ascii="宋体" w:hAnsi="宋体" w:cs="宋体"/>
          <w:kern w:val="0"/>
          <w:szCs w:val="21"/>
          <w:u w:val="single"/>
        </w:rPr>
        <w:t>公司（填写供应商名称）</w:t>
      </w:r>
      <w:r>
        <w:rPr>
          <w:rFonts w:hint="eastAsia" w:ascii="宋体" w:hAnsi="宋体" w:cs="宋体"/>
          <w:kern w:val="0"/>
          <w:szCs w:val="21"/>
        </w:rPr>
        <w:t>提供的货物（或工程、服务）进行了验收，验收情况如下：</w:t>
      </w:r>
    </w:p>
    <w:p w14:paraId="70DDFC09">
      <w:pPr>
        <w:autoSpaceDE w:val="0"/>
        <w:autoSpaceDN w:val="0"/>
        <w:spacing w:before="3"/>
        <w:jc w:val="left"/>
        <w:rPr>
          <w:rFonts w:ascii="宋体" w:hAnsi="宋体" w:cs="宋体"/>
          <w:kern w:val="0"/>
          <w:sz w:val="18"/>
          <w:szCs w:val="21"/>
        </w:rPr>
      </w:pPr>
    </w:p>
    <w:tbl>
      <w:tblPr>
        <w:tblStyle w:val="37"/>
        <w:tblW w:w="9623" w:type="dxa"/>
        <w:tblInd w:w="18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1"/>
        <w:gridCol w:w="866"/>
        <w:gridCol w:w="977"/>
        <w:gridCol w:w="2263"/>
        <w:gridCol w:w="1608"/>
        <w:gridCol w:w="850"/>
        <w:gridCol w:w="151"/>
        <w:gridCol w:w="90"/>
        <w:gridCol w:w="806"/>
        <w:gridCol w:w="262"/>
        <w:gridCol w:w="472"/>
        <w:gridCol w:w="617"/>
      </w:tblGrid>
      <w:tr w14:paraId="29C2CE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2504" w:type="dxa"/>
            <w:gridSpan w:val="3"/>
          </w:tcPr>
          <w:p w14:paraId="7361234C">
            <w:pPr>
              <w:autoSpaceDE w:val="0"/>
              <w:autoSpaceDN w:val="0"/>
              <w:spacing w:before="65"/>
              <w:ind w:left="725"/>
              <w:jc w:val="left"/>
              <w:rPr>
                <w:rFonts w:ascii="宋体" w:hAnsi="宋体" w:cs="宋体"/>
                <w:kern w:val="0"/>
                <w:szCs w:val="22"/>
                <w:lang w:eastAsia="en-US"/>
              </w:rPr>
            </w:pPr>
            <w:r>
              <w:rPr>
                <w:rFonts w:hint="eastAsia" w:ascii="宋体" w:hAnsi="宋体" w:cs="宋体"/>
                <w:kern w:val="0"/>
                <w:szCs w:val="22"/>
                <w:lang w:eastAsia="en-US"/>
              </w:rPr>
              <w:t>验收方式：</w:t>
            </w:r>
          </w:p>
        </w:tc>
        <w:tc>
          <w:tcPr>
            <w:tcW w:w="7119" w:type="dxa"/>
            <w:gridSpan w:val="9"/>
          </w:tcPr>
          <w:p w14:paraId="3D643506">
            <w:pPr>
              <w:tabs>
                <w:tab w:val="left" w:pos="3990"/>
              </w:tabs>
              <w:autoSpaceDE w:val="0"/>
              <w:autoSpaceDN w:val="0"/>
              <w:spacing w:before="65"/>
              <w:ind w:left="2519"/>
              <w:jc w:val="left"/>
              <w:rPr>
                <w:rFonts w:ascii="宋体" w:hAnsi="宋体" w:cs="宋体"/>
                <w:kern w:val="0"/>
                <w:szCs w:val="22"/>
                <w:lang w:eastAsia="en-US"/>
              </w:rPr>
            </w:pPr>
            <w:r>
              <w:rPr>
                <w:rFonts w:hint="eastAsia" w:ascii="宋体" w:hAnsi="宋体" w:cs="宋体"/>
                <w:kern w:val="0"/>
                <w:szCs w:val="22"/>
                <w:lang w:eastAsia="en-US"/>
              </w:rPr>
              <w:t>□自行验收</w:t>
            </w:r>
            <w:r>
              <w:rPr>
                <w:rFonts w:hint="eastAsia" w:ascii="宋体" w:hAnsi="宋体" w:cs="宋体"/>
                <w:kern w:val="0"/>
                <w:szCs w:val="22"/>
                <w:lang w:eastAsia="en-US"/>
              </w:rPr>
              <w:tab/>
            </w:r>
            <w:r>
              <w:rPr>
                <w:rFonts w:hint="eastAsia" w:ascii="宋体" w:hAnsi="宋体" w:cs="宋体"/>
                <w:kern w:val="0"/>
                <w:szCs w:val="22"/>
                <w:lang w:eastAsia="en-US"/>
              </w:rPr>
              <w:t>委托验收</w:t>
            </w:r>
          </w:p>
        </w:tc>
      </w:tr>
      <w:tr w14:paraId="613BF7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661" w:type="dxa"/>
            <w:vAlign w:val="center"/>
          </w:tcPr>
          <w:p w14:paraId="13A6ECED">
            <w:pPr>
              <w:autoSpaceDE w:val="0"/>
              <w:autoSpaceDN w:val="0"/>
              <w:ind w:right="82"/>
              <w:jc w:val="center"/>
              <w:rPr>
                <w:rFonts w:ascii="宋体" w:hAnsi="宋体" w:cs="宋体"/>
                <w:kern w:val="0"/>
                <w:szCs w:val="22"/>
                <w:lang w:eastAsia="en-US"/>
              </w:rPr>
            </w:pPr>
            <w:r>
              <w:rPr>
                <w:rFonts w:hint="eastAsia" w:ascii="宋体" w:hAnsi="宋体" w:cs="宋体"/>
                <w:kern w:val="0"/>
                <w:szCs w:val="22"/>
                <w:lang w:eastAsia="en-US"/>
              </w:rPr>
              <w:t>序号</w:t>
            </w:r>
          </w:p>
        </w:tc>
        <w:tc>
          <w:tcPr>
            <w:tcW w:w="1843" w:type="dxa"/>
            <w:gridSpan w:val="2"/>
            <w:vAlign w:val="center"/>
          </w:tcPr>
          <w:p w14:paraId="5BCB60B4">
            <w:pPr>
              <w:autoSpaceDE w:val="0"/>
              <w:autoSpaceDN w:val="0"/>
              <w:ind w:right="622"/>
              <w:jc w:val="center"/>
              <w:rPr>
                <w:rFonts w:ascii="宋体" w:hAnsi="宋体" w:cs="宋体"/>
                <w:kern w:val="0"/>
                <w:szCs w:val="22"/>
                <w:lang w:eastAsia="en-US"/>
              </w:rPr>
            </w:pPr>
            <w:r>
              <w:rPr>
                <w:rFonts w:hint="eastAsia" w:ascii="宋体" w:hAnsi="宋体" w:cs="宋体"/>
                <w:kern w:val="0"/>
                <w:szCs w:val="22"/>
                <w:lang w:eastAsia="en-US"/>
              </w:rPr>
              <w:t>名 称</w:t>
            </w:r>
          </w:p>
        </w:tc>
        <w:tc>
          <w:tcPr>
            <w:tcW w:w="3871" w:type="dxa"/>
            <w:gridSpan w:val="2"/>
          </w:tcPr>
          <w:p w14:paraId="7EE33A06">
            <w:pPr>
              <w:autoSpaceDE w:val="0"/>
              <w:autoSpaceDN w:val="0"/>
              <w:spacing w:line="320" w:lineRule="exact"/>
              <w:ind w:left="1408" w:right="25" w:hanging="1364"/>
              <w:jc w:val="left"/>
              <w:rPr>
                <w:rFonts w:ascii="宋体" w:hAnsi="宋体" w:cs="宋体"/>
                <w:kern w:val="0"/>
                <w:szCs w:val="22"/>
              </w:rPr>
            </w:pPr>
            <w:r>
              <w:rPr>
                <w:rFonts w:hint="eastAsia" w:ascii="宋体" w:hAnsi="宋体" w:cs="宋体"/>
                <w:kern w:val="0"/>
                <w:szCs w:val="22"/>
                <w:lang w:eastAsia="en-US"/>
              </w:rPr>
              <w:t>货物型号规格、标准及配置等（或服务内容、标准）</w:t>
            </w:r>
          </w:p>
        </w:tc>
        <w:tc>
          <w:tcPr>
            <w:tcW w:w="850" w:type="dxa"/>
          </w:tcPr>
          <w:p w14:paraId="68704FD0">
            <w:pPr>
              <w:autoSpaceDE w:val="0"/>
              <w:autoSpaceDN w:val="0"/>
              <w:jc w:val="left"/>
              <w:rPr>
                <w:rFonts w:ascii="宋体" w:hAnsi="宋体" w:cs="宋体"/>
                <w:kern w:val="0"/>
                <w:sz w:val="16"/>
                <w:szCs w:val="22"/>
              </w:rPr>
            </w:pPr>
          </w:p>
          <w:p w14:paraId="01653311">
            <w:pPr>
              <w:autoSpaceDE w:val="0"/>
              <w:autoSpaceDN w:val="0"/>
              <w:ind w:left="192" w:right="178"/>
              <w:jc w:val="center"/>
              <w:rPr>
                <w:rFonts w:ascii="宋体" w:hAnsi="宋体" w:cs="宋体"/>
                <w:kern w:val="0"/>
                <w:szCs w:val="22"/>
                <w:lang w:eastAsia="en-US"/>
              </w:rPr>
            </w:pPr>
            <w:r>
              <w:rPr>
                <w:rFonts w:hint="eastAsia" w:ascii="宋体" w:hAnsi="宋体" w:cs="宋体"/>
                <w:kern w:val="0"/>
                <w:szCs w:val="22"/>
                <w:lang w:eastAsia="en-US"/>
              </w:rPr>
              <w:t>数量</w:t>
            </w:r>
          </w:p>
        </w:tc>
        <w:tc>
          <w:tcPr>
            <w:tcW w:w="2398" w:type="dxa"/>
            <w:gridSpan w:val="6"/>
          </w:tcPr>
          <w:p w14:paraId="3E508E24">
            <w:pPr>
              <w:autoSpaceDE w:val="0"/>
              <w:autoSpaceDN w:val="0"/>
              <w:jc w:val="left"/>
              <w:rPr>
                <w:rFonts w:ascii="宋体" w:hAnsi="宋体" w:cs="宋体"/>
                <w:kern w:val="0"/>
                <w:sz w:val="16"/>
                <w:szCs w:val="22"/>
                <w:lang w:eastAsia="en-US"/>
              </w:rPr>
            </w:pPr>
          </w:p>
          <w:p w14:paraId="0BDF38E8">
            <w:pPr>
              <w:autoSpaceDE w:val="0"/>
              <w:autoSpaceDN w:val="0"/>
              <w:ind w:left="780" w:right="761"/>
              <w:jc w:val="center"/>
              <w:rPr>
                <w:rFonts w:ascii="宋体" w:hAnsi="宋体" w:cs="宋体"/>
                <w:kern w:val="0"/>
                <w:szCs w:val="22"/>
                <w:lang w:eastAsia="en-US"/>
              </w:rPr>
            </w:pPr>
            <w:r>
              <w:rPr>
                <w:rFonts w:hint="eastAsia" w:ascii="宋体" w:hAnsi="宋体" w:cs="宋体"/>
                <w:kern w:val="0"/>
                <w:szCs w:val="22"/>
                <w:lang w:eastAsia="en-US"/>
              </w:rPr>
              <w:t>金 额</w:t>
            </w:r>
          </w:p>
        </w:tc>
      </w:tr>
      <w:tr w14:paraId="013D96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trPr>
        <w:tc>
          <w:tcPr>
            <w:tcW w:w="661" w:type="dxa"/>
          </w:tcPr>
          <w:p w14:paraId="4AF46F72">
            <w:pPr>
              <w:autoSpaceDE w:val="0"/>
              <w:autoSpaceDN w:val="0"/>
              <w:spacing w:before="142"/>
              <w:ind w:left="16"/>
              <w:jc w:val="center"/>
              <w:rPr>
                <w:rFonts w:ascii="宋体" w:hAnsi="宋体" w:cs="宋体"/>
                <w:kern w:val="0"/>
                <w:szCs w:val="22"/>
                <w:lang w:eastAsia="en-US"/>
              </w:rPr>
            </w:pPr>
            <w:r>
              <w:rPr>
                <w:rFonts w:hint="eastAsia" w:ascii="宋体" w:hAnsi="宋体" w:cs="宋体"/>
                <w:w w:val="99"/>
                <w:kern w:val="0"/>
                <w:szCs w:val="22"/>
                <w:lang w:eastAsia="en-US"/>
              </w:rPr>
              <w:t>1</w:t>
            </w:r>
          </w:p>
        </w:tc>
        <w:tc>
          <w:tcPr>
            <w:tcW w:w="1843" w:type="dxa"/>
            <w:gridSpan w:val="2"/>
          </w:tcPr>
          <w:p w14:paraId="2A23CEF7">
            <w:pPr>
              <w:autoSpaceDE w:val="0"/>
              <w:autoSpaceDN w:val="0"/>
              <w:spacing w:before="128"/>
              <w:ind w:left="426"/>
              <w:jc w:val="left"/>
              <w:rPr>
                <w:rFonts w:ascii="宋体" w:hAnsi="宋体" w:cs="宋体"/>
                <w:kern w:val="0"/>
                <w:szCs w:val="22"/>
                <w:lang w:eastAsia="en-US"/>
              </w:rPr>
            </w:pPr>
            <w:r>
              <w:rPr>
                <w:rFonts w:hint="eastAsia" w:ascii="宋体" w:hAnsi="宋体" w:cs="宋体"/>
                <w:kern w:val="0"/>
                <w:szCs w:val="22"/>
                <w:lang w:eastAsia="en-US"/>
              </w:rPr>
              <w:t>XXXX 设备</w:t>
            </w:r>
          </w:p>
        </w:tc>
        <w:tc>
          <w:tcPr>
            <w:tcW w:w="3871" w:type="dxa"/>
            <w:gridSpan w:val="2"/>
          </w:tcPr>
          <w:p w14:paraId="416DC3CF">
            <w:pPr>
              <w:autoSpaceDE w:val="0"/>
              <w:autoSpaceDN w:val="0"/>
              <w:jc w:val="left"/>
              <w:rPr>
                <w:rFonts w:ascii="宋体" w:hAnsi="宋体" w:cs="宋体"/>
                <w:kern w:val="0"/>
                <w:sz w:val="20"/>
                <w:szCs w:val="22"/>
                <w:lang w:eastAsia="en-US"/>
              </w:rPr>
            </w:pPr>
          </w:p>
        </w:tc>
        <w:tc>
          <w:tcPr>
            <w:tcW w:w="850" w:type="dxa"/>
          </w:tcPr>
          <w:p w14:paraId="294F360E">
            <w:pPr>
              <w:autoSpaceDE w:val="0"/>
              <w:autoSpaceDN w:val="0"/>
              <w:spacing w:before="128"/>
              <w:ind w:left="192" w:right="175"/>
              <w:jc w:val="center"/>
              <w:rPr>
                <w:rFonts w:ascii="宋体" w:hAnsi="宋体" w:cs="宋体"/>
                <w:kern w:val="0"/>
                <w:szCs w:val="22"/>
                <w:lang w:eastAsia="en-US"/>
              </w:rPr>
            </w:pPr>
            <w:r>
              <w:rPr>
                <w:rFonts w:hint="eastAsia" w:ascii="宋体" w:hAnsi="宋体" w:cs="宋体"/>
                <w:kern w:val="0"/>
                <w:szCs w:val="22"/>
                <w:lang w:eastAsia="en-US"/>
              </w:rPr>
              <w:t>1 套</w:t>
            </w:r>
          </w:p>
        </w:tc>
        <w:tc>
          <w:tcPr>
            <w:tcW w:w="2398" w:type="dxa"/>
            <w:gridSpan w:val="6"/>
          </w:tcPr>
          <w:p w14:paraId="334CF452">
            <w:pPr>
              <w:autoSpaceDE w:val="0"/>
              <w:autoSpaceDN w:val="0"/>
              <w:spacing w:before="23"/>
              <w:ind w:right="761"/>
              <w:rPr>
                <w:rFonts w:ascii="宋体" w:hAnsi="宋体" w:cs="宋体"/>
                <w:kern w:val="0"/>
                <w:szCs w:val="22"/>
                <w:lang w:eastAsia="en-US"/>
              </w:rPr>
            </w:pPr>
            <w:r>
              <w:rPr>
                <w:rFonts w:hint="eastAsia" w:ascii="宋体" w:hAnsi="宋体" w:cs="宋体"/>
                <w:kern w:val="0"/>
                <w:szCs w:val="22"/>
                <w:lang w:eastAsia="en-US"/>
              </w:rPr>
              <w:t>¥0.00元</w:t>
            </w:r>
          </w:p>
        </w:tc>
      </w:tr>
      <w:tr w14:paraId="4D1618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trPr>
        <w:tc>
          <w:tcPr>
            <w:tcW w:w="6375" w:type="dxa"/>
            <w:gridSpan w:val="5"/>
          </w:tcPr>
          <w:p w14:paraId="69F8CD6A">
            <w:pPr>
              <w:autoSpaceDE w:val="0"/>
              <w:autoSpaceDN w:val="0"/>
              <w:spacing w:before="23"/>
              <w:ind w:left="2927" w:right="2909"/>
              <w:jc w:val="center"/>
              <w:rPr>
                <w:rFonts w:ascii="宋体" w:hAnsi="宋体" w:cs="宋体"/>
                <w:kern w:val="0"/>
                <w:szCs w:val="22"/>
                <w:lang w:eastAsia="en-US"/>
              </w:rPr>
            </w:pPr>
            <w:r>
              <w:rPr>
                <w:rFonts w:hint="eastAsia" w:ascii="宋体" w:hAnsi="宋体" w:cs="宋体"/>
                <w:kern w:val="0"/>
                <w:szCs w:val="22"/>
                <w:lang w:eastAsia="en-US"/>
              </w:rPr>
              <w:t>合计</w:t>
            </w:r>
          </w:p>
        </w:tc>
        <w:tc>
          <w:tcPr>
            <w:tcW w:w="850" w:type="dxa"/>
          </w:tcPr>
          <w:p w14:paraId="27F56C35">
            <w:pPr>
              <w:autoSpaceDE w:val="0"/>
              <w:autoSpaceDN w:val="0"/>
              <w:jc w:val="left"/>
              <w:rPr>
                <w:rFonts w:ascii="宋体" w:hAnsi="宋体" w:cs="宋体"/>
                <w:kern w:val="0"/>
                <w:sz w:val="20"/>
                <w:szCs w:val="22"/>
                <w:lang w:eastAsia="en-US"/>
              </w:rPr>
            </w:pPr>
          </w:p>
        </w:tc>
        <w:tc>
          <w:tcPr>
            <w:tcW w:w="2398" w:type="dxa"/>
            <w:gridSpan w:val="6"/>
          </w:tcPr>
          <w:p w14:paraId="66C18C4E">
            <w:pPr>
              <w:autoSpaceDE w:val="0"/>
              <w:autoSpaceDN w:val="0"/>
              <w:spacing w:before="23"/>
              <w:ind w:right="761"/>
              <w:rPr>
                <w:rFonts w:ascii="宋体" w:hAnsi="宋体" w:cs="宋体"/>
                <w:kern w:val="0"/>
                <w:szCs w:val="22"/>
                <w:lang w:eastAsia="en-US"/>
              </w:rPr>
            </w:pPr>
            <w:r>
              <w:rPr>
                <w:rFonts w:hint="eastAsia" w:ascii="宋体" w:hAnsi="宋体" w:cs="宋体"/>
                <w:kern w:val="0"/>
                <w:szCs w:val="22"/>
                <w:lang w:eastAsia="en-US"/>
              </w:rPr>
              <w:t>¥0.00 元</w:t>
            </w:r>
          </w:p>
        </w:tc>
      </w:tr>
      <w:tr w14:paraId="04E5E0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9623" w:type="dxa"/>
            <w:gridSpan w:val="12"/>
          </w:tcPr>
          <w:p w14:paraId="4C4DD299">
            <w:pPr>
              <w:autoSpaceDE w:val="0"/>
              <w:autoSpaceDN w:val="0"/>
              <w:spacing w:before="163"/>
              <w:ind w:left="12"/>
              <w:jc w:val="left"/>
              <w:rPr>
                <w:rFonts w:ascii="宋体" w:hAnsi="宋体" w:cs="宋体"/>
                <w:kern w:val="0"/>
                <w:szCs w:val="22"/>
              </w:rPr>
            </w:pPr>
            <w:r>
              <w:rPr>
                <w:rFonts w:hint="eastAsia" w:ascii="宋体" w:hAnsi="宋体" w:cs="宋体"/>
                <w:kern w:val="0"/>
                <w:szCs w:val="22"/>
              </w:rPr>
              <w:t>合计大写金额：人民币元整</w:t>
            </w:r>
          </w:p>
        </w:tc>
      </w:tr>
      <w:tr w14:paraId="5A80FB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8" w:hRule="atLeast"/>
        </w:trPr>
        <w:tc>
          <w:tcPr>
            <w:tcW w:w="1527" w:type="dxa"/>
            <w:gridSpan w:val="2"/>
          </w:tcPr>
          <w:p w14:paraId="647C5817">
            <w:pPr>
              <w:autoSpaceDE w:val="0"/>
              <w:autoSpaceDN w:val="0"/>
              <w:spacing w:before="159"/>
              <w:ind w:left="12"/>
              <w:jc w:val="left"/>
              <w:rPr>
                <w:rFonts w:ascii="宋体" w:hAnsi="宋体" w:cs="宋体"/>
                <w:kern w:val="0"/>
                <w:szCs w:val="22"/>
                <w:lang w:eastAsia="en-US"/>
              </w:rPr>
            </w:pPr>
            <w:r>
              <w:rPr>
                <w:rFonts w:hint="eastAsia" w:ascii="宋体" w:hAnsi="宋体" w:cs="宋体"/>
                <w:kern w:val="0"/>
                <w:szCs w:val="22"/>
                <w:lang w:eastAsia="en-US"/>
              </w:rPr>
              <w:t>实际供货日期</w:t>
            </w:r>
          </w:p>
        </w:tc>
        <w:tc>
          <w:tcPr>
            <w:tcW w:w="3240" w:type="dxa"/>
            <w:gridSpan w:val="2"/>
          </w:tcPr>
          <w:p w14:paraId="503DE81E">
            <w:pPr>
              <w:tabs>
                <w:tab w:val="left" w:pos="849"/>
                <w:tab w:val="left" w:pos="1269"/>
                <w:tab w:val="left" w:pos="1689"/>
              </w:tabs>
              <w:autoSpaceDE w:val="0"/>
              <w:autoSpaceDN w:val="0"/>
              <w:spacing w:before="159"/>
              <w:ind w:left="429"/>
              <w:jc w:val="left"/>
              <w:rPr>
                <w:rFonts w:ascii="宋体" w:hAnsi="宋体" w:cs="宋体"/>
                <w:kern w:val="0"/>
                <w:szCs w:val="22"/>
                <w:lang w:eastAsia="en-US"/>
              </w:rPr>
            </w:pPr>
            <w:r>
              <w:rPr>
                <w:rFonts w:hint="eastAsia" w:ascii="宋体" w:hAnsi="宋体" w:cs="宋体"/>
                <w:kern w:val="0"/>
                <w:szCs w:val="22"/>
                <w:lang w:eastAsia="en-US"/>
              </w:rPr>
              <w:t>20</w:t>
            </w:r>
            <w:r>
              <w:rPr>
                <w:rFonts w:hint="eastAsia" w:ascii="宋体" w:hAnsi="宋体" w:cs="宋体"/>
                <w:kern w:val="0"/>
                <w:szCs w:val="22"/>
                <w:lang w:eastAsia="en-US"/>
              </w:rPr>
              <w:tab/>
            </w:r>
            <w:r>
              <w:rPr>
                <w:rFonts w:hint="eastAsia" w:ascii="宋体" w:hAnsi="宋体" w:cs="宋体"/>
                <w:kern w:val="0"/>
                <w:szCs w:val="22"/>
                <w:lang w:eastAsia="en-US"/>
              </w:rPr>
              <w:t>年</w:t>
            </w:r>
            <w:r>
              <w:rPr>
                <w:rFonts w:hint="eastAsia" w:ascii="宋体" w:hAnsi="宋体" w:cs="宋体"/>
                <w:kern w:val="0"/>
                <w:szCs w:val="22"/>
                <w:lang w:eastAsia="en-US"/>
              </w:rPr>
              <w:tab/>
            </w:r>
            <w:r>
              <w:rPr>
                <w:rFonts w:hint="eastAsia" w:ascii="宋体" w:hAnsi="宋体" w:cs="宋体"/>
                <w:kern w:val="0"/>
                <w:szCs w:val="22"/>
                <w:lang w:eastAsia="en-US"/>
              </w:rPr>
              <w:t>月</w:t>
            </w:r>
            <w:r>
              <w:rPr>
                <w:rFonts w:hint="eastAsia" w:ascii="宋体" w:hAnsi="宋体" w:cs="宋体"/>
                <w:kern w:val="0"/>
                <w:szCs w:val="22"/>
                <w:lang w:eastAsia="en-US"/>
              </w:rPr>
              <w:tab/>
            </w:r>
            <w:r>
              <w:rPr>
                <w:rFonts w:hint="eastAsia" w:ascii="宋体" w:hAnsi="宋体" w:cs="宋体"/>
                <w:kern w:val="0"/>
                <w:szCs w:val="22"/>
                <w:lang w:eastAsia="en-US"/>
              </w:rPr>
              <w:t>日</w:t>
            </w:r>
          </w:p>
        </w:tc>
        <w:tc>
          <w:tcPr>
            <w:tcW w:w="2699" w:type="dxa"/>
            <w:gridSpan w:val="4"/>
          </w:tcPr>
          <w:p w14:paraId="55D6B429">
            <w:pPr>
              <w:autoSpaceDE w:val="0"/>
              <w:autoSpaceDN w:val="0"/>
              <w:spacing w:before="159"/>
              <w:ind w:left="530"/>
              <w:jc w:val="left"/>
              <w:rPr>
                <w:rFonts w:ascii="宋体" w:hAnsi="宋体" w:cs="宋体"/>
                <w:kern w:val="0"/>
                <w:szCs w:val="22"/>
                <w:lang w:eastAsia="en-US"/>
              </w:rPr>
            </w:pPr>
            <w:r>
              <w:rPr>
                <w:rFonts w:hint="eastAsia" w:ascii="宋体" w:hAnsi="宋体" w:cs="宋体"/>
                <w:kern w:val="0"/>
                <w:szCs w:val="22"/>
                <w:lang w:eastAsia="en-US"/>
              </w:rPr>
              <w:t>合同交货验收日期</w:t>
            </w:r>
          </w:p>
        </w:tc>
        <w:tc>
          <w:tcPr>
            <w:tcW w:w="806" w:type="dxa"/>
            <w:tcBorders>
              <w:right w:val="nil"/>
            </w:tcBorders>
          </w:tcPr>
          <w:p w14:paraId="5569494B">
            <w:pPr>
              <w:autoSpaceDE w:val="0"/>
              <w:autoSpaceDN w:val="0"/>
              <w:spacing w:before="159"/>
              <w:ind w:left="430"/>
              <w:jc w:val="left"/>
              <w:rPr>
                <w:rFonts w:ascii="宋体" w:hAnsi="宋体" w:cs="宋体"/>
                <w:kern w:val="0"/>
                <w:szCs w:val="22"/>
                <w:lang w:eastAsia="en-US"/>
              </w:rPr>
            </w:pPr>
            <w:r>
              <w:rPr>
                <w:rFonts w:hint="eastAsia" w:ascii="宋体" w:hAnsi="宋体" w:cs="宋体"/>
                <w:kern w:val="0"/>
                <w:szCs w:val="22"/>
                <w:lang w:eastAsia="en-US"/>
              </w:rPr>
              <w:t>20</w:t>
            </w:r>
          </w:p>
        </w:tc>
        <w:tc>
          <w:tcPr>
            <w:tcW w:w="262" w:type="dxa"/>
            <w:tcBorders>
              <w:left w:val="nil"/>
              <w:right w:val="nil"/>
            </w:tcBorders>
          </w:tcPr>
          <w:p w14:paraId="49B2D338">
            <w:pPr>
              <w:autoSpaceDE w:val="0"/>
              <w:autoSpaceDN w:val="0"/>
              <w:spacing w:before="159"/>
              <w:ind w:left="54" w:right="-15"/>
              <w:jc w:val="left"/>
              <w:rPr>
                <w:rFonts w:ascii="宋体" w:hAnsi="宋体" w:cs="宋体"/>
                <w:kern w:val="0"/>
                <w:szCs w:val="22"/>
                <w:lang w:eastAsia="en-US"/>
              </w:rPr>
            </w:pPr>
            <w:r>
              <w:rPr>
                <w:rFonts w:hint="eastAsia" w:ascii="宋体" w:hAnsi="宋体" w:cs="宋体"/>
                <w:w w:val="99"/>
                <w:kern w:val="0"/>
                <w:szCs w:val="22"/>
                <w:lang w:eastAsia="en-US"/>
              </w:rPr>
              <w:t>年</w:t>
            </w:r>
          </w:p>
        </w:tc>
        <w:tc>
          <w:tcPr>
            <w:tcW w:w="472" w:type="dxa"/>
            <w:tcBorders>
              <w:left w:val="nil"/>
              <w:right w:val="nil"/>
            </w:tcBorders>
          </w:tcPr>
          <w:p w14:paraId="0B4F62B1">
            <w:pPr>
              <w:autoSpaceDE w:val="0"/>
              <w:autoSpaceDN w:val="0"/>
              <w:spacing w:before="159"/>
              <w:ind w:left="212"/>
              <w:jc w:val="left"/>
              <w:rPr>
                <w:rFonts w:ascii="宋体" w:hAnsi="宋体" w:cs="宋体"/>
                <w:kern w:val="0"/>
                <w:szCs w:val="22"/>
                <w:lang w:eastAsia="en-US"/>
              </w:rPr>
            </w:pPr>
            <w:r>
              <w:rPr>
                <w:rFonts w:hint="eastAsia" w:ascii="宋体" w:hAnsi="宋体" w:cs="宋体"/>
                <w:w w:val="99"/>
                <w:kern w:val="0"/>
                <w:szCs w:val="22"/>
                <w:lang w:eastAsia="en-US"/>
              </w:rPr>
              <w:t>月</w:t>
            </w:r>
          </w:p>
        </w:tc>
        <w:tc>
          <w:tcPr>
            <w:tcW w:w="617" w:type="dxa"/>
            <w:tcBorders>
              <w:left w:val="nil"/>
            </w:tcBorders>
          </w:tcPr>
          <w:p w14:paraId="62C9C13C">
            <w:pPr>
              <w:autoSpaceDE w:val="0"/>
              <w:autoSpaceDN w:val="0"/>
              <w:spacing w:before="159"/>
              <w:ind w:left="160"/>
              <w:jc w:val="left"/>
              <w:rPr>
                <w:rFonts w:ascii="宋体" w:hAnsi="宋体" w:cs="宋体"/>
                <w:kern w:val="0"/>
                <w:szCs w:val="22"/>
                <w:lang w:eastAsia="en-US"/>
              </w:rPr>
            </w:pPr>
            <w:r>
              <w:rPr>
                <w:rFonts w:hint="eastAsia" w:ascii="宋体" w:hAnsi="宋体" w:cs="宋体"/>
                <w:w w:val="99"/>
                <w:kern w:val="0"/>
                <w:szCs w:val="22"/>
                <w:lang w:eastAsia="en-US"/>
              </w:rPr>
              <w:t>日</w:t>
            </w:r>
          </w:p>
        </w:tc>
      </w:tr>
      <w:tr w14:paraId="6518FB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2" w:hRule="atLeast"/>
        </w:trPr>
        <w:tc>
          <w:tcPr>
            <w:tcW w:w="1527" w:type="dxa"/>
            <w:gridSpan w:val="2"/>
          </w:tcPr>
          <w:p w14:paraId="6F0B44FA">
            <w:pPr>
              <w:autoSpaceDE w:val="0"/>
              <w:autoSpaceDN w:val="0"/>
              <w:jc w:val="left"/>
              <w:rPr>
                <w:rFonts w:ascii="宋体" w:hAnsi="宋体" w:cs="宋体"/>
                <w:kern w:val="0"/>
                <w:sz w:val="20"/>
                <w:szCs w:val="22"/>
                <w:lang w:eastAsia="en-US"/>
              </w:rPr>
            </w:pPr>
          </w:p>
          <w:p w14:paraId="4EB6BD11">
            <w:pPr>
              <w:autoSpaceDE w:val="0"/>
              <w:autoSpaceDN w:val="0"/>
              <w:spacing w:before="3"/>
              <w:jc w:val="left"/>
              <w:rPr>
                <w:rFonts w:ascii="宋体" w:hAnsi="宋体" w:cs="宋体"/>
                <w:kern w:val="0"/>
                <w:sz w:val="24"/>
                <w:szCs w:val="22"/>
                <w:lang w:eastAsia="en-US"/>
              </w:rPr>
            </w:pPr>
          </w:p>
          <w:p w14:paraId="10B1EC1C">
            <w:pPr>
              <w:autoSpaceDE w:val="0"/>
              <w:autoSpaceDN w:val="0"/>
              <w:ind w:left="108"/>
              <w:jc w:val="left"/>
              <w:rPr>
                <w:rFonts w:ascii="宋体" w:hAnsi="宋体" w:cs="宋体"/>
                <w:kern w:val="0"/>
                <w:szCs w:val="22"/>
                <w:lang w:eastAsia="en-US"/>
              </w:rPr>
            </w:pPr>
            <w:r>
              <w:rPr>
                <w:rFonts w:hint="eastAsia" w:ascii="宋体" w:hAnsi="宋体" w:cs="宋体"/>
                <w:kern w:val="0"/>
                <w:szCs w:val="22"/>
                <w:lang w:eastAsia="en-US"/>
              </w:rPr>
              <w:t>验收具体内容</w:t>
            </w:r>
          </w:p>
        </w:tc>
        <w:tc>
          <w:tcPr>
            <w:tcW w:w="8096" w:type="dxa"/>
            <w:gridSpan w:val="10"/>
          </w:tcPr>
          <w:p w14:paraId="0E64F48A">
            <w:pPr>
              <w:autoSpaceDE w:val="0"/>
              <w:autoSpaceDN w:val="0"/>
              <w:spacing w:before="1"/>
              <w:ind w:left="108"/>
              <w:jc w:val="left"/>
              <w:rPr>
                <w:rFonts w:ascii="宋体" w:hAnsi="宋体" w:cs="宋体"/>
                <w:kern w:val="0"/>
                <w:szCs w:val="22"/>
              </w:rPr>
            </w:pPr>
            <w:r>
              <w:rPr>
                <w:rFonts w:hint="eastAsia" w:ascii="宋体" w:hAnsi="宋体" w:cs="宋体"/>
                <w:kern w:val="0"/>
                <w:szCs w:val="22"/>
              </w:rPr>
              <w:t>1.中标供应商所供货的 1 套设备的技术性能能满足采购合同约定的技术标准。</w:t>
            </w:r>
          </w:p>
          <w:p w14:paraId="554D18DC">
            <w:pPr>
              <w:autoSpaceDE w:val="0"/>
              <w:autoSpaceDN w:val="0"/>
              <w:spacing w:before="4"/>
              <w:ind w:left="108"/>
              <w:jc w:val="left"/>
              <w:rPr>
                <w:rFonts w:ascii="宋体" w:hAnsi="宋体" w:cs="宋体"/>
                <w:kern w:val="0"/>
                <w:szCs w:val="22"/>
              </w:rPr>
            </w:pPr>
            <w:r>
              <w:rPr>
                <w:rFonts w:hint="eastAsia" w:ascii="宋体" w:hAnsi="宋体" w:cs="宋体"/>
                <w:kern w:val="0"/>
                <w:szCs w:val="22"/>
              </w:rPr>
              <w:t>2.中标供应商对设备的安装调试符合合同约定或服务规范的要求。</w:t>
            </w:r>
          </w:p>
          <w:p w14:paraId="08BEFC4B">
            <w:pPr>
              <w:autoSpaceDE w:val="0"/>
              <w:autoSpaceDN w:val="0"/>
              <w:spacing w:before="2"/>
              <w:ind w:left="108"/>
              <w:jc w:val="left"/>
              <w:rPr>
                <w:rFonts w:ascii="宋体" w:hAnsi="宋体" w:cs="宋体"/>
                <w:kern w:val="0"/>
                <w:szCs w:val="22"/>
              </w:rPr>
            </w:pPr>
            <w:r>
              <w:rPr>
                <w:rFonts w:hint="eastAsia" w:ascii="宋体" w:hAnsi="宋体" w:cs="宋体"/>
                <w:kern w:val="0"/>
                <w:szCs w:val="22"/>
              </w:rPr>
              <w:t>3.中标供应商提供的质量保证证明材料齐全。</w:t>
            </w:r>
          </w:p>
          <w:p w14:paraId="40C267BD">
            <w:pPr>
              <w:autoSpaceDE w:val="0"/>
              <w:autoSpaceDN w:val="0"/>
              <w:spacing w:before="5"/>
              <w:ind w:left="108"/>
              <w:jc w:val="left"/>
              <w:rPr>
                <w:rFonts w:ascii="宋体" w:hAnsi="宋体" w:cs="宋体"/>
                <w:kern w:val="0"/>
                <w:szCs w:val="22"/>
              </w:rPr>
            </w:pPr>
            <w:r>
              <w:rPr>
                <w:rFonts w:hint="eastAsia" w:ascii="宋体" w:hAnsi="宋体" w:cs="宋体"/>
                <w:spacing w:val="-3"/>
                <w:kern w:val="0"/>
                <w:szCs w:val="22"/>
              </w:rPr>
              <w:t>验收过程材料详见验收书附件《验收书附表——商务</w:t>
            </w:r>
            <w:r>
              <w:rPr>
                <w:rFonts w:hint="eastAsia" w:ascii="宋体" w:hAnsi="宋体" w:cs="宋体"/>
                <w:kern w:val="0"/>
                <w:szCs w:val="22"/>
              </w:rPr>
              <w:t>（服务</w:t>
            </w:r>
            <w:r>
              <w:rPr>
                <w:rFonts w:hint="eastAsia" w:ascii="宋体" w:hAnsi="宋体" w:cs="宋体"/>
                <w:spacing w:val="-20"/>
                <w:kern w:val="0"/>
                <w:szCs w:val="22"/>
              </w:rPr>
              <w:t>）</w:t>
            </w:r>
            <w:r>
              <w:rPr>
                <w:rFonts w:hint="eastAsia" w:ascii="宋体" w:hAnsi="宋体" w:cs="宋体"/>
                <w:spacing w:val="-6"/>
                <w:kern w:val="0"/>
                <w:szCs w:val="22"/>
              </w:rPr>
              <w:t>验收》以及《验收书附表</w:t>
            </w:r>
          </w:p>
          <w:p w14:paraId="274FEDE5">
            <w:pPr>
              <w:autoSpaceDE w:val="0"/>
              <w:autoSpaceDN w:val="0"/>
              <w:spacing w:before="2" w:line="252" w:lineRule="exact"/>
              <w:ind w:left="108"/>
              <w:jc w:val="left"/>
              <w:rPr>
                <w:rFonts w:ascii="宋体" w:hAnsi="宋体" w:cs="宋体"/>
                <w:kern w:val="0"/>
                <w:szCs w:val="22"/>
              </w:rPr>
            </w:pPr>
            <w:r>
              <w:rPr>
                <w:rFonts w:hint="eastAsia" w:ascii="宋体" w:hAnsi="宋体" w:cs="宋体"/>
                <w:kern w:val="0"/>
                <w:szCs w:val="22"/>
              </w:rPr>
              <w:t>——技术验收、安全验收》。</w:t>
            </w:r>
          </w:p>
        </w:tc>
      </w:tr>
      <w:tr w14:paraId="399B96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1" w:hRule="atLeast"/>
        </w:trPr>
        <w:tc>
          <w:tcPr>
            <w:tcW w:w="1527" w:type="dxa"/>
            <w:gridSpan w:val="2"/>
            <w:vMerge w:val="restart"/>
          </w:tcPr>
          <w:p w14:paraId="2F8F5D7D">
            <w:pPr>
              <w:autoSpaceDE w:val="0"/>
              <w:autoSpaceDN w:val="0"/>
              <w:jc w:val="left"/>
              <w:rPr>
                <w:rFonts w:ascii="宋体" w:hAnsi="宋体" w:cs="宋体"/>
                <w:kern w:val="0"/>
                <w:sz w:val="20"/>
                <w:szCs w:val="22"/>
              </w:rPr>
            </w:pPr>
          </w:p>
          <w:p w14:paraId="06625181">
            <w:pPr>
              <w:autoSpaceDE w:val="0"/>
              <w:autoSpaceDN w:val="0"/>
              <w:jc w:val="left"/>
              <w:rPr>
                <w:rFonts w:ascii="宋体" w:hAnsi="宋体" w:cs="宋体"/>
                <w:kern w:val="0"/>
                <w:sz w:val="20"/>
                <w:szCs w:val="22"/>
              </w:rPr>
            </w:pPr>
          </w:p>
          <w:p w14:paraId="20A0CE71">
            <w:pPr>
              <w:autoSpaceDE w:val="0"/>
              <w:autoSpaceDN w:val="0"/>
              <w:spacing w:before="172"/>
              <w:ind w:left="108"/>
              <w:jc w:val="left"/>
              <w:rPr>
                <w:rFonts w:ascii="宋体" w:hAnsi="宋体" w:cs="宋体"/>
                <w:kern w:val="0"/>
                <w:szCs w:val="22"/>
                <w:lang w:eastAsia="en-US"/>
              </w:rPr>
            </w:pPr>
            <w:r>
              <w:rPr>
                <w:rFonts w:hint="eastAsia" w:ascii="宋体" w:hAnsi="宋体" w:cs="宋体"/>
                <w:kern w:val="0"/>
                <w:szCs w:val="22"/>
                <w:lang w:eastAsia="en-US"/>
              </w:rPr>
              <w:t>验收小组意见</w:t>
            </w:r>
          </w:p>
        </w:tc>
        <w:tc>
          <w:tcPr>
            <w:tcW w:w="8096" w:type="dxa"/>
            <w:gridSpan w:val="10"/>
            <w:tcBorders>
              <w:bottom w:val="single" w:color="000000" w:sz="4" w:space="0"/>
            </w:tcBorders>
          </w:tcPr>
          <w:p w14:paraId="1923FCF6">
            <w:pPr>
              <w:autoSpaceDE w:val="0"/>
              <w:autoSpaceDN w:val="0"/>
              <w:spacing w:before="157"/>
              <w:ind w:left="9"/>
              <w:jc w:val="left"/>
              <w:rPr>
                <w:rFonts w:ascii="宋体" w:hAnsi="宋体" w:cs="宋体"/>
                <w:kern w:val="0"/>
                <w:szCs w:val="22"/>
              </w:rPr>
            </w:pPr>
            <w:r>
              <w:rPr>
                <w:rFonts w:hint="eastAsia" w:ascii="宋体" w:hAnsi="宋体" w:cs="宋体"/>
                <w:kern w:val="0"/>
                <w:szCs w:val="22"/>
              </w:rPr>
              <w:t>验收结论性意见：同意（不同意）通过项目验收</w:t>
            </w:r>
          </w:p>
        </w:tc>
      </w:tr>
      <w:tr w14:paraId="0E99F8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1" w:hRule="atLeast"/>
        </w:trPr>
        <w:tc>
          <w:tcPr>
            <w:tcW w:w="1527" w:type="dxa"/>
            <w:gridSpan w:val="2"/>
            <w:vMerge w:val="continue"/>
            <w:tcBorders>
              <w:top w:val="nil"/>
            </w:tcBorders>
          </w:tcPr>
          <w:p w14:paraId="2F6D0CC4">
            <w:pPr>
              <w:autoSpaceDE w:val="0"/>
              <w:autoSpaceDN w:val="0"/>
              <w:jc w:val="left"/>
              <w:rPr>
                <w:rFonts w:ascii="宋体" w:hAnsi="宋体" w:cs="宋体"/>
                <w:kern w:val="0"/>
                <w:sz w:val="2"/>
                <w:szCs w:val="2"/>
              </w:rPr>
            </w:pPr>
          </w:p>
        </w:tc>
        <w:tc>
          <w:tcPr>
            <w:tcW w:w="3240" w:type="dxa"/>
            <w:gridSpan w:val="2"/>
            <w:tcBorders>
              <w:top w:val="single" w:color="000000" w:sz="4" w:space="0"/>
              <w:right w:val="nil"/>
            </w:tcBorders>
          </w:tcPr>
          <w:p w14:paraId="65E38B3D">
            <w:pPr>
              <w:autoSpaceDE w:val="0"/>
              <w:autoSpaceDN w:val="0"/>
              <w:spacing w:before="7"/>
              <w:jc w:val="left"/>
              <w:rPr>
                <w:rFonts w:ascii="宋体" w:hAnsi="宋体" w:cs="宋体"/>
                <w:kern w:val="0"/>
                <w:sz w:val="19"/>
                <w:szCs w:val="22"/>
              </w:rPr>
            </w:pPr>
          </w:p>
          <w:p w14:paraId="1B56E701">
            <w:pPr>
              <w:autoSpaceDE w:val="0"/>
              <w:autoSpaceDN w:val="0"/>
              <w:ind w:left="9"/>
              <w:jc w:val="left"/>
              <w:rPr>
                <w:rFonts w:ascii="宋体" w:hAnsi="宋体" w:cs="宋体"/>
                <w:kern w:val="0"/>
                <w:szCs w:val="22"/>
              </w:rPr>
            </w:pPr>
            <w:r>
              <w:rPr>
                <w:rFonts w:hint="eastAsia" w:ascii="宋体" w:hAnsi="宋体" w:cs="宋体"/>
                <w:kern w:val="0"/>
                <w:szCs w:val="22"/>
              </w:rPr>
              <w:t>有异议的意见和说明理由：</w:t>
            </w:r>
          </w:p>
        </w:tc>
        <w:tc>
          <w:tcPr>
            <w:tcW w:w="2609" w:type="dxa"/>
            <w:gridSpan w:val="3"/>
            <w:tcBorders>
              <w:top w:val="single" w:color="000000" w:sz="4" w:space="0"/>
              <w:left w:val="nil"/>
              <w:right w:val="nil"/>
            </w:tcBorders>
          </w:tcPr>
          <w:p w14:paraId="65F41091">
            <w:pPr>
              <w:autoSpaceDE w:val="0"/>
              <w:autoSpaceDN w:val="0"/>
              <w:jc w:val="left"/>
              <w:rPr>
                <w:rFonts w:ascii="宋体" w:hAnsi="宋体" w:cs="宋体"/>
                <w:kern w:val="0"/>
                <w:sz w:val="20"/>
                <w:szCs w:val="22"/>
              </w:rPr>
            </w:pPr>
          </w:p>
        </w:tc>
        <w:tc>
          <w:tcPr>
            <w:tcW w:w="896" w:type="dxa"/>
            <w:gridSpan w:val="2"/>
            <w:tcBorders>
              <w:top w:val="single" w:color="000000" w:sz="4" w:space="0"/>
              <w:left w:val="nil"/>
              <w:right w:val="nil"/>
            </w:tcBorders>
          </w:tcPr>
          <w:p w14:paraId="568345CC">
            <w:pPr>
              <w:autoSpaceDE w:val="0"/>
              <w:autoSpaceDN w:val="0"/>
              <w:jc w:val="left"/>
              <w:rPr>
                <w:rFonts w:ascii="宋体" w:hAnsi="宋体" w:cs="宋体"/>
                <w:kern w:val="0"/>
                <w:sz w:val="20"/>
                <w:szCs w:val="22"/>
              </w:rPr>
            </w:pPr>
          </w:p>
          <w:p w14:paraId="4B6A92C4">
            <w:pPr>
              <w:autoSpaceDE w:val="0"/>
              <w:autoSpaceDN w:val="0"/>
              <w:spacing w:before="9"/>
              <w:jc w:val="left"/>
              <w:rPr>
                <w:rFonts w:ascii="宋体" w:hAnsi="宋体" w:cs="宋体"/>
                <w:kern w:val="0"/>
                <w:sz w:val="20"/>
                <w:szCs w:val="22"/>
              </w:rPr>
            </w:pPr>
          </w:p>
          <w:p w14:paraId="41FCFD79">
            <w:pPr>
              <w:autoSpaceDE w:val="0"/>
              <w:autoSpaceDN w:val="0"/>
              <w:spacing w:before="1"/>
              <w:ind w:left="50"/>
              <w:jc w:val="left"/>
              <w:rPr>
                <w:rFonts w:ascii="宋体" w:hAnsi="宋体" w:cs="宋体"/>
                <w:kern w:val="0"/>
                <w:szCs w:val="22"/>
                <w:lang w:eastAsia="en-US"/>
              </w:rPr>
            </w:pPr>
            <w:r>
              <w:rPr>
                <w:rFonts w:hint="eastAsia" w:ascii="宋体" w:hAnsi="宋体" w:cs="宋体"/>
                <w:kern w:val="0"/>
                <w:szCs w:val="22"/>
                <w:lang w:eastAsia="en-US"/>
              </w:rPr>
              <w:t>签字：</w:t>
            </w:r>
          </w:p>
        </w:tc>
        <w:tc>
          <w:tcPr>
            <w:tcW w:w="262" w:type="dxa"/>
            <w:tcBorders>
              <w:top w:val="single" w:color="000000" w:sz="4" w:space="0"/>
              <w:left w:val="nil"/>
              <w:right w:val="nil"/>
            </w:tcBorders>
          </w:tcPr>
          <w:p w14:paraId="659E6D67">
            <w:pPr>
              <w:autoSpaceDE w:val="0"/>
              <w:autoSpaceDN w:val="0"/>
              <w:jc w:val="left"/>
              <w:rPr>
                <w:rFonts w:ascii="宋体" w:hAnsi="宋体" w:cs="宋体"/>
                <w:kern w:val="0"/>
                <w:sz w:val="20"/>
                <w:szCs w:val="22"/>
                <w:lang w:eastAsia="en-US"/>
              </w:rPr>
            </w:pPr>
          </w:p>
        </w:tc>
        <w:tc>
          <w:tcPr>
            <w:tcW w:w="472" w:type="dxa"/>
            <w:tcBorders>
              <w:top w:val="single" w:color="000000" w:sz="4" w:space="0"/>
              <w:left w:val="nil"/>
              <w:right w:val="nil"/>
            </w:tcBorders>
          </w:tcPr>
          <w:p w14:paraId="038FA61A">
            <w:pPr>
              <w:autoSpaceDE w:val="0"/>
              <w:autoSpaceDN w:val="0"/>
              <w:jc w:val="left"/>
              <w:rPr>
                <w:rFonts w:ascii="宋体" w:hAnsi="宋体" w:cs="宋体"/>
                <w:kern w:val="0"/>
                <w:sz w:val="20"/>
                <w:szCs w:val="22"/>
                <w:lang w:eastAsia="en-US"/>
              </w:rPr>
            </w:pPr>
          </w:p>
        </w:tc>
        <w:tc>
          <w:tcPr>
            <w:tcW w:w="617" w:type="dxa"/>
            <w:tcBorders>
              <w:top w:val="single" w:color="000000" w:sz="4" w:space="0"/>
              <w:left w:val="nil"/>
            </w:tcBorders>
          </w:tcPr>
          <w:p w14:paraId="32787C9D">
            <w:pPr>
              <w:autoSpaceDE w:val="0"/>
              <w:autoSpaceDN w:val="0"/>
              <w:jc w:val="left"/>
              <w:rPr>
                <w:rFonts w:ascii="宋体" w:hAnsi="宋体" w:cs="宋体"/>
                <w:kern w:val="0"/>
                <w:sz w:val="20"/>
                <w:szCs w:val="22"/>
                <w:lang w:eastAsia="en-US"/>
              </w:rPr>
            </w:pPr>
          </w:p>
        </w:tc>
      </w:tr>
      <w:tr w14:paraId="6566DF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1" w:hRule="atLeast"/>
        </w:trPr>
        <w:tc>
          <w:tcPr>
            <w:tcW w:w="9623" w:type="dxa"/>
            <w:gridSpan w:val="12"/>
          </w:tcPr>
          <w:p w14:paraId="7138208D">
            <w:pPr>
              <w:autoSpaceDE w:val="0"/>
              <w:autoSpaceDN w:val="0"/>
              <w:spacing w:before="12"/>
              <w:jc w:val="left"/>
              <w:rPr>
                <w:rFonts w:ascii="宋体" w:hAnsi="宋体" w:cs="宋体"/>
                <w:kern w:val="0"/>
                <w:sz w:val="24"/>
                <w:szCs w:val="22"/>
                <w:lang w:eastAsia="en-US"/>
              </w:rPr>
            </w:pPr>
          </w:p>
          <w:p w14:paraId="3B601CA4">
            <w:pPr>
              <w:autoSpaceDE w:val="0"/>
              <w:autoSpaceDN w:val="0"/>
              <w:ind w:left="108"/>
              <w:jc w:val="left"/>
              <w:rPr>
                <w:rFonts w:ascii="宋体" w:hAnsi="宋体" w:cs="宋体"/>
                <w:kern w:val="0"/>
                <w:szCs w:val="22"/>
                <w:lang w:eastAsia="en-US"/>
              </w:rPr>
            </w:pPr>
            <w:r>
              <w:rPr>
                <w:rFonts w:hint="eastAsia" w:ascii="宋体" w:hAnsi="宋体" w:cs="宋体"/>
                <w:kern w:val="0"/>
                <w:szCs w:val="22"/>
                <w:lang w:eastAsia="en-US"/>
              </w:rPr>
              <w:t>验收小组成员签字：</w:t>
            </w:r>
          </w:p>
        </w:tc>
      </w:tr>
      <w:tr w14:paraId="613279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0" w:hRule="atLeast"/>
        </w:trPr>
        <w:tc>
          <w:tcPr>
            <w:tcW w:w="9623" w:type="dxa"/>
            <w:gridSpan w:val="12"/>
          </w:tcPr>
          <w:p w14:paraId="7FEF1668">
            <w:pPr>
              <w:autoSpaceDE w:val="0"/>
              <w:autoSpaceDN w:val="0"/>
              <w:spacing w:before="139"/>
              <w:ind w:left="108"/>
              <w:jc w:val="left"/>
              <w:rPr>
                <w:rFonts w:ascii="宋体" w:hAnsi="宋体" w:cs="宋体"/>
                <w:kern w:val="0"/>
                <w:szCs w:val="22"/>
              </w:rPr>
            </w:pPr>
            <w:r>
              <w:rPr>
                <w:rFonts w:hint="eastAsia" w:ascii="宋体" w:hAnsi="宋体" w:cs="宋体"/>
                <w:kern w:val="0"/>
                <w:szCs w:val="22"/>
              </w:rPr>
              <w:t>监督人员或其他相关人员签字：</w:t>
            </w:r>
          </w:p>
          <w:p w14:paraId="408D2382">
            <w:pPr>
              <w:autoSpaceDE w:val="0"/>
              <w:autoSpaceDN w:val="0"/>
              <w:spacing w:before="10"/>
              <w:jc w:val="left"/>
              <w:rPr>
                <w:rFonts w:ascii="宋体" w:hAnsi="宋体" w:cs="宋体"/>
                <w:kern w:val="0"/>
                <w:sz w:val="25"/>
                <w:szCs w:val="22"/>
              </w:rPr>
            </w:pPr>
          </w:p>
          <w:p w14:paraId="5A65E4AD">
            <w:pPr>
              <w:autoSpaceDE w:val="0"/>
              <w:autoSpaceDN w:val="0"/>
              <w:spacing w:before="1"/>
              <w:ind w:left="173"/>
              <w:jc w:val="left"/>
              <w:rPr>
                <w:rFonts w:ascii="宋体" w:hAnsi="宋体" w:cs="宋体"/>
                <w:kern w:val="0"/>
                <w:szCs w:val="22"/>
              </w:rPr>
            </w:pPr>
            <w:r>
              <w:rPr>
                <w:rFonts w:hint="eastAsia" w:ascii="宋体" w:hAnsi="宋体" w:cs="宋体"/>
                <w:kern w:val="0"/>
                <w:szCs w:val="22"/>
              </w:rPr>
              <w:t>或受邀机构的意见（盖章）：</w:t>
            </w:r>
          </w:p>
        </w:tc>
      </w:tr>
      <w:tr w14:paraId="6E9567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0" w:hRule="atLeast"/>
        </w:trPr>
        <w:tc>
          <w:tcPr>
            <w:tcW w:w="4767" w:type="dxa"/>
            <w:gridSpan w:val="4"/>
            <w:tcBorders>
              <w:right w:val="nil"/>
            </w:tcBorders>
          </w:tcPr>
          <w:p w14:paraId="449058BD">
            <w:pPr>
              <w:tabs>
                <w:tab w:val="left" w:pos="1838"/>
                <w:tab w:val="left" w:pos="2311"/>
                <w:tab w:val="left" w:pos="2784"/>
              </w:tabs>
              <w:autoSpaceDE w:val="0"/>
              <w:autoSpaceDN w:val="0"/>
              <w:spacing w:before="46" w:line="535" w:lineRule="auto"/>
              <w:ind w:left="108" w:right="803" w:firstLine="64"/>
              <w:jc w:val="left"/>
              <w:rPr>
                <w:rFonts w:ascii="宋体" w:hAnsi="宋体" w:cs="宋体"/>
                <w:kern w:val="0"/>
                <w:szCs w:val="22"/>
              </w:rPr>
            </w:pPr>
            <w:r>
              <w:rPr>
                <w:rFonts w:hint="eastAsia" w:ascii="宋体" w:hAnsi="宋体" w:cs="宋体"/>
                <w:kern w:val="0"/>
                <w:szCs w:val="22"/>
              </w:rPr>
              <w:t>中标或者中标供应商负责人签字或盖章：</w:t>
            </w:r>
            <w:r>
              <w:rPr>
                <w:rFonts w:hint="eastAsia" w:ascii="宋体" w:hAnsi="宋体" w:cs="宋体"/>
                <w:w w:val="95"/>
                <w:kern w:val="0"/>
                <w:szCs w:val="22"/>
              </w:rPr>
              <w:t xml:space="preserve"> </w:t>
            </w:r>
            <w:r>
              <w:rPr>
                <w:rFonts w:hint="eastAsia" w:ascii="宋体" w:hAnsi="宋体" w:cs="宋体"/>
                <w:kern w:val="0"/>
                <w:szCs w:val="22"/>
              </w:rPr>
              <w:t>联系电话：</w:t>
            </w:r>
            <w:r>
              <w:rPr>
                <w:rFonts w:hint="eastAsia" w:ascii="宋体" w:hAnsi="宋体" w:cs="宋体"/>
                <w:kern w:val="0"/>
                <w:szCs w:val="22"/>
              </w:rPr>
              <w:tab/>
            </w:r>
            <w:r>
              <w:rPr>
                <w:rFonts w:hint="eastAsia" w:ascii="宋体" w:hAnsi="宋体" w:cs="宋体"/>
                <w:kern w:val="0"/>
                <w:szCs w:val="22"/>
              </w:rPr>
              <w:t>年</w:t>
            </w:r>
            <w:r>
              <w:rPr>
                <w:rFonts w:hint="eastAsia" w:ascii="宋体" w:hAnsi="宋体" w:cs="宋体"/>
                <w:kern w:val="0"/>
                <w:szCs w:val="22"/>
              </w:rPr>
              <w:tab/>
            </w:r>
            <w:r>
              <w:rPr>
                <w:rFonts w:hint="eastAsia" w:ascii="宋体" w:hAnsi="宋体" w:cs="宋体"/>
                <w:kern w:val="0"/>
                <w:szCs w:val="22"/>
              </w:rPr>
              <w:t>月</w:t>
            </w:r>
            <w:r>
              <w:rPr>
                <w:rFonts w:hint="eastAsia" w:ascii="宋体" w:hAnsi="宋体" w:cs="宋体"/>
                <w:kern w:val="0"/>
                <w:szCs w:val="22"/>
              </w:rPr>
              <w:tab/>
            </w:r>
            <w:r>
              <w:rPr>
                <w:rFonts w:hint="eastAsia" w:ascii="宋体" w:hAnsi="宋体" w:cs="宋体"/>
                <w:kern w:val="0"/>
                <w:szCs w:val="22"/>
              </w:rPr>
              <w:t>日</w:t>
            </w:r>
          </w:p>
          <w:p w14:paraId="33200A58">
            <w:pPr>
              <w:autoSpaceDE w:val="0"/>
              <w:autoSpaceDN w:val="0"/>
              <w:ind w:left="173"/>
              <w:jc w:val="left"/>
              <w:rPr>
                <w:rFonts w:ascii="宋体" w:hAnsi="宋体" w:cs="宋体"/>
                <w:kern w:val="0"/>
                <w:szCs w:val="22"/>
              </w:rPr>
            </w:pPr>
            <w:r>
              <w:rPr>
                <w:rFonts w:hint="eastAsia" w:ascii="宋体" w:hAnsi="宋体" w:cs="宋体"/>
                <w:kern w:val="0"/>
                <w:szCs w:val="22"/>
              </w:rPr>
              <w:t>采购人签字或盖章：</w:t>
            </w:r>
          </w:p>
          <w:p w14:paraId="198081C6">
            <w:pPr>
              <w:autoSpaceDE w:val="0"/>
              <w:autoSpaceDN w:val="0"/>
              <w:spacing w:before="11"/>
              <w:jc w:val="left"/>
              <w:rPr>
                <w:rFonts w:ascii="宋体" w:hAnsi="宋体" w:cs="宋体"/>
                <w:kern w:val="0"/>
                <w:sz w:val="25"/>
                <w:szCs w:val="22"/>
              </w:rPr>
            </w:pPr>
          </w:p>
          <w:p w14:paraId="05F13406">
            <w:pPr>
              <w:tabs>
                <w:tab w:val="left" w:pos="1733"/>
                <w:tab w:val="left" w:pos="2208"/>
                <w:tab w:val="left" w:pos="2678"/>
              </w:tabs>
              <w:autoSpaceDE w:val="0"/>
              <w:autoSpaceDN w:val="0"/>
              <w:spacing w:line="254" w:lineRule="exact"/>
              <w:ind w:left="108"/>
              <w:jc w:val="left"/>
              <w:rPr>
                <w:rFonts w:ascii="宋体" w:hAnsi="宋体" w:cs="宋体"/>
                <w:kern w:val="0"/>
                <w:szCs w:val="22"/>
              </w:rPr>
            </w:pPr>
            <w:r>
              <w:rPr>
                <w:rFonts w:hint="eastAsia" w:ascii="宋体" w:hAnsi="宋体" w:cs="宋体"/>
                <w:kern w:val="0"/>
                <w:szCs w:val="22"/>
              </w:rPr>
              <w:t>联系电话：</w:t>
            </w:r>
            <w:r>
              <w:rPr>
                <w:rFonts w:hint="eastAsia" w:ascii="宋体" w:hAnsi="宋体" w:cs="宋体"/>
                <w:kern w:val="0"/>
                <w:szCs w:val="22"/>
              </w:rPr>
              <w:tab/>
            </w:r>
            <w:r>
              <w:rPr>
                <w:rFonts w:hint="eastAsia" w:ascii="宋体" w:hAnsi="宋体" w:cs="宋体"/>
                <w:kern w:val="0"/>
                <w:szCs w:val="22"/>
              </w:rPr>
              <w:t>年</w:t>
            </w:r>
            <w:r>
              <w:rPr>
                <w:rFonts w:hint="eastAsia" w:ascii="宋体" w:hAnsi="宋体" w:cs="宋体"/>
                <w:kern w:val="0"/>
                <w:szCs w:val="22"/>
              </w:rPr>
              <w:tab/>
            </w:r>
            <w:r>
              <w:rPr>
                <w:rFonts w:hint="eastAsia" w:ascii="宋体" w:hAnsi="宋体" w:cs="宋体"/>
                <w:kern w:val="0"/>
                <w:szCs w:val="22"/>
              </w:rPr>
              <w:t>月</w:t>
            </w:r>
            <w:r>
              <w:rPr>
                <w:rFonts w:hint="eastAsia" w:ascii="宋体" w:hAnsi="宋体" w:cs="宋体"/>
                <w:kern w:val="0"/>
                <w:szCs w:val="22"/>
              </w:rPr>
              <w:tab/>
            </w:r>
            <w:r>
              <w:rPr>
                <w:rFonts w:hint="eastAsia" w:ascii="宋体" w:hAnsi="宋体" w:cs="宋体"/>
                <w:kern w:val="0"/>
                <w:szCs w:val="22"/>
              </w:rPr>
              <w:t>日</w:t>
            </w:r>
          </w:p>
        </w:tc>
        <w:tc>
          <w:tcPr>
            <w:tcW w:w="2609" w:type="dxa"/>
            <w:gridSpan w:val="3"/>
            <w:tcBorders>
              <w:left w:val="nil"/>
              <w:right w:val="nil"/>
            </w:tcBorders>
          </w:tcPr>
          <w:p w14:paraId="0E75D619">
            <w:pPr>
              <w:autoSpaceDE w:val="0"/>
              <w:autoSpaceDN w:val="0"/>
              <w:spacing w:before="46" w:line="535" w:lineRule="auto"/>
              <w:ind w:left="10" w:right="28" w:firstLine="50"/>
              <w:jc w:val="left"/>
              <w:rPr>
                <w:rFonts w:ascii="宋体" w:hAnsi="宋体" w:cs="宋体"/>
                <w:w w:val="95"/>
                <w:kern w:val="0"/>
                <w:szCs w:val="22"/>
              </w:rPr>
            </w:pPr>
            <w:r>
              <w:rPr>
                <w:rFonts w:hint="eastAsia" w:ascii="宋体" w:hAnsi="宋体" w:cs="宋体"/>
                <w:kern w:val="0"/>
                <w:szCs w:val="22"/>
              </w:rPr>
              <w:t>受托机构的意见（盖章）：</w:t>
            </w:r>
            <w:r>
              <w:rPr>
                <w:rFonts w:hint="eastAsia" w:ascii="宋体" w:hAnsi="宋体" w:cs="宋体"/>
                <w:w w:val="95"/>
                <w:kern w:val="0"/>
                <w:szCs w:val="22"/>
              </w:rPr>
              <w:t xml:space="preserve"> </w:t>
            </w:r>
          </w:p>
          <w:p w14:paraId="7D251098">
            <w:pPr>
              <w:autoSpaceDE w:val="0"/>
              <w:autoSpaceDN w:val="0"/>
              <w:spacing w:before="46" w:line="535" w:lineRule="auto"/>
              <w:ind w:left="10" w:right="28" w:firstLine="50"/>
              <w:jc w:val="left"/>
              <w:rPr>
                <w:rFonts w:ascii="宋体" w:hAnsi="宋体" w:cs="宋体"/>
                <w:w w:val="95"/>
                <w:kern w:val="0"/>
                <w:szCs w:val="22"/>
              </w:rPr>
            </w:pPr>
          </w:p>
          <w:p w14:paraId="1B0D5594">
            <w:pPr>
              <w:autoSpaceDE w:val="0"/>
              <w:autoSpaceDN w:val="0"/>
              <w:spacing w:before="46" w:line="535" w:lineRule="auto"/>
              <w:ind w:right="28"/>
              <w:jc w:val="left"/>
              <w:rPr>
                <w:rFonts w:ascii="宋体" w:hAnsi="宋体" w:cs="宋体"/>
                <w:kern w:val="0"/>
                <w:szCs w:val="22"/>
              </w:rPr>
            </w:pPr>
            <w:r>
              <w:rPr>
                <w:rFonts w:hint="eastAsia" w:ascii="宋体" w:hAnsi="宋体" w:cs="宋体"/>
                <w:kern w:val="0"/>
                <w:szCs w:val="22"/>
              </w:rPr>
              <w:t>联系电话：</w:t>
            </w:r>
          </w:p>
        </w:tc>
        <w:tc>
          <w:tcPr>
            <w:tcW w:w="896" w:type="dxa"/>
            <w:gridSpan w:val="2"/>
            <w:tcBorders>
              <w:left w:val="nil"/>
              <w:right w:val="nil"/>
            </w:tcBorders>
          </w:tcPr>
          <w:p w14:paraId="7803E76F">
            <w:pPr>
              <w:autoSpaceDE w:val="0"/>
              <w:autoSpaceDN w:val="0"/>
              <w:jc w:val="left"/>
              <w:rPr>
                <w:rFonts w:ascii="宋体" w:hAnsi="宋体" w:cs="宋体"/>
                <w:kern w:val="0"/>
                <w:sz w:val="20"/>
                <w:szCs w:val="22"/>
              </w:rPr>
            </w:pPr>
          </w:p>
          <w:p w14:paraId="3C6C7541">
            <w:pPr>
              <w:autoSpaceDE w:val="0"/>
              <w:autoSpaceDN w:val="0"/>
              <w:jc w:val="left"/>
              <w:rPr>
                <w:rFonts w:ascii="宋体" w:hAnsi="宋体" w:cs="宋体"/>
                <w:kern w:val="0"/>
                <w:sz w:val="20"/>
                <w:szCs w:val="22"/>
              </w:rPr>
            </w:pPr>
          </w:p>
          <w:p w14:paraId="790A3557">
            <w:pPr>
              <w:autoSpaceDE w:val="0"/>
              <w:autoSpaceDN w:val="0"/>
              <w:spacing w:before="133"/>
              <w:ind w:right="29"/>
              <w:jc w:val="right"/>
              <w:rPr>
                <w:rFonts w:ascii="宋体" w:hAnsi="宋体" w:cs="宋体"/>
                <w:kern w:val="0"/>
                <w:szCs w:val="22"/>
                <w:lang w:eastAsia="en-US"/>
              </w:rPr>
            </w:pPr>
            <w:r>
              <w:rPr>
                <w:rFonts w:hint="eastAsia" w:ascii="宋体" w:hAnsi="宋体" w:cs="宋体"/>
                <w:w w:val="99"/>
                <w:kern w:val="0"/>
                <w:szCs w:val="22"/>
                <w:lang w:eastAsia="en-US"/>
              </w:rPr>
              <w:t>年</w:t>
            </w:r>
          </w:p>
        </w:tc>
        <w:tc>
          <w:tcPr>
            <w:tcW w:w="262" w:type="dxa"/>
            <w:tcBorders>
              <w:left w:val="nil"/>
              <w:right w:val="nil"/>
            </w:tcBorders>
          </w:tcPr>
          <w:p w14:paraId="2B2FC121">
            <w:pPr>
              <w:autoSpaceDE w:val="0"/>
              <w:autoSpaceDN w:val="0"/>
              <w:jc w:val="left"/>
              <w:rPr>
                <w:rFonts w:ascii="宋体" w:hAnsi="宋体" w:cs="宋体"/>
                <w:kern w:val="0"/>
                <w:sz w:val="20"/>
                <w:szCs w:val="22"/>
                <w:lang w:eastAsia="en-US"/>
              </w:rPr>
            </w:pPr>
          </w:p>
        </w:tc>
        <w:tc>
          <w:tcPr>
            <w:tcW w:w="472" w:type="dxa"/>
            <w:tcBorders>
              <w:left w:val="nil"/>
              <w:right w:val="nil"/>
            </w:tcBorders>
          </w:tcPr>
          <w:p w14:paraId="7CEDDC0F">
            <w:pPr>
              <w:autoSpaceDE w:val="0"/>
              <w:autoSpaceDN w:val="0"/>
              <w:jc w:val="left"/>
              <w:rPr>
                <w:rFonts w:ascii="宋体" w:hAnsi="宋体" w:cs="宋体"/>
                <w:kern w:val="0"/>
                <w:sz w:val="20"/>
                <w:szCs w:val="22"/>
                <w:lang w:eastAsia="en-US"/>
              </w:rPr>
            </w:pPr>
          </w:p>
          <w:p w14:paraId="527FBBA2">
            <w:pPr>
              <w:autoSpaceDE w:val="0"/>
              <w:autoSpaceDN w:val="0"/>
              <w:jc w:val="left"/>
              <w:rPr>
                <w:rFonts w:ascii="宋体" w:hAnsi="宋体" w:cs="宋体"/>
                <w:kern w:val="0"/>
                <w:sz w:val="20"/>
                <w:szCs w:val="22"/>
                <w:lang w:eastAsia="en-US"/>
              </w:rPr>
            </w:pPr>
          </w:p>
          <w:p w14:paraId="546E21A9">
            <w:pPr>
              <w:autoSpaceDE w:val="0"/>
              <w:autoSpaceDN w:val="0"/>
              <w:spacing w:before="133"/>
              <w:ind w:left="22"/>
              <w:jc w:val="left"/>
              <w:rPr>
                <w:rFonts w:ascii="宋体" w:hAnsi="宋体" w:cs="宋体"/>
                <w:kern w:val="0"/>
                <w:szCs w:val="22"/>
                <w:lang w:eastAsia="en-US"/>
              </w:rPr>
            </w:pPr>
            <w:r>
              <w:rPr>
                <w:rFonts w:hint="eastAsia" w:ascii="宋体" w:hAnsi="宋体" w:cs="宋体"/>
                <w:w w:val="99"/>
                <w:kern w:val="0"/>
                <w:szCs w:val="22"/>
                <w:lang w:eastAsia="en-US"/>
              </w:rPr>
              <w:t>月</w:t>
            </w:r>
          </w:p>
        </w:tc>
        <w:tc>
          <w:tcPr>
            <w:tcW w:w="617" w:type="dxa"/>
            <w:tcBorders>
              <w:left w:val="nil"/>
            </w:tcBorders>
          </w:tcPr>
          <w:p w14:paraId="0059D464">
            <w:pPr>
              <w:autoSpaceDE w:val="0"/>
              <w:autoSpaceDN w:val="0"/>
              <w:jc w:val="left"/>
              <w:rPr>
                <w:rFonts w:ascii="宋体" w:hAnsi="宋体" w:cs="宋体"/>
                <w:kern w:val="0"/>
                <w:sz w:val="20"/>
                <w:szCs w:val="22"/>
                <w:lang w:eastAsia="en-US"/>
              </w:rPr>
            </w:pPr>
          </w:p>
          <w:p w14:paraId="266863E8">
            <w:pPr>
              <w:autoSpaceDE w:val="0"/>
              <w:autoSpaceDN w:val="0"/>
              <w:jc w:val="left"/>
              <w:rPr>
                <w:rFonts w:ascii="宋体" w:hAnsi="宋体" w:cs="宋体"/>
                <w:kern w:val="0"/>
                <w:sz w:val="20"/>
                <w:szCs w:val="22"/>
                <w:lang w:eastAsia="en-US"/>
              </w:rPr>
            </w:pPr>
          </w:p>
          <w:p w14:paraId="24A59B5A">
            <w:pPr>
              <w:autoSpaceDE w:val="0"/>
              <w:autoSpaceDN w:val="0"/>
              <w:spacing w:before="133"/>
              <w:ind w:left="76"/>
              <w:jc w:val="left"/>
              <w:rPr>
                <w:rFonts w:ascii="宋体" w:hAnsi="宋体" w:cs="宋体"/>
                <w:kern w:val="0"/>
                <w:szCs w:val="22"/>
                <w:lang w:eastAsia="en-US"/>
              </w:rPr>
            </w:pPr>
            <w:r>
              <w:rPr>
                <w:rFonts w:hint="eastAsia" w:ascii="宋体" w:hAnsi="宋体" w:cs="宋体"/>
                <w:w w:val="99"/>
                <w:kern w:val="0"/>
                <w:szCs w:val="22"/>
                <w:lang w:eastAsia="en-US"/>
              </w:rPr>
              <w:t>日</w:t>
            </w:r>
          </w:p>
        </w:tc>
      </w:tr>
    </w:tbl>
    <w:p w14:paraId="133AA828">
      <w:pPr>
        <w:autoSpaceDE w:val="0"/>
        <w:autoSpaceDN w:val="0"/>
        <w:spacing w:before="1"/>
        <w:ind w:left="478"/>
        <w:jc w:val="left"/>
        <w:rPr>
          <w:rFonts w:ascii="宋体" w:hAnsi="宋体" w:cs="宋体"/>
          <w:kern w:val="0"/>
          <w:szCs w:val="21"/>
        </w:rPr>
      </w:pPr>
      <w:r>
        <w:rPr>
          <w:rFonts w:hint="eastAsia" w:ascii="宋体" w:hAnsi="宋体" w:cs="宋体"/>
          <w:kern w:val="0"/>
          <w:szCs w:val="21"/>
        </w:rPr>
        <w:t>备注：本报告单一式4 份（采购单位1 份、供应商1 份、采购监督部门备案1 份、采购代理机构1 份）</w:t>
      </w:r>
    </w:p>
    <w:p w14:paraId="1F6747CA">
      <w:pPr>
        <w:autoSpaceDE w:val="0"/>
        <w:autoSpaceDN w:val="0"/>
        <w:spacing w:before="76"/>
        <w:ind w:left="478"/>
        <w:jc w:val="left"/>
        <w:outlineLvl w:val="6"/>
        <w:rPr>
          <w:rFonts w:ascii="宋体" w:hAnsi="宋体" w:cs="宋体"/>
          <w:b/>
          <w:bCs/>
          <w:spacing w:val="-11"/>
          <w:kern w:val="0"/>
          <w:szCs w:val="21"/>
        </w:rPr>
      </w:pPr>
      <w:r>
        <w:rPr>
          <w:rFonts w:hAnsi="宋体"/>
        </w:rPr>
        <w:br w:type="page"/>
      </w:r>
      <w:r>
        <w:rPr>
          <w:rFonts w:ascii="宋体" w:hAnsi="宋体" w:cs="宋体"/>
          <w:b/>
          <w:bCs/>
          <w:spacing w:val="-11"/>
          <w:kern w:val="0"/>
          <w:szCs w:val="21"/>
        </w:rPr>
        <w:t xml:space="preserve">合同附件 </w:t>
      </w:r>
      <w:r>
        <w:rPr>
          <w:rFonts w:hint="eastAsia" w:ascii="宋体" w:hAnsi="宋体" w:cs="宋体"/>
          <w:b/>
          <w:bCs/>
          <w:spacing w:val="-11"/>
          <w:kern w:val="0"/>
          <w:szCs w:val="21"/>
        </w:rPr>
        <w:t>2</w:t>
      </w:r>
    </w:p>
    <w:p w14:paraId="473912C1">
      <w:pPr>
        <w:spacing w:line="600" w:lineRule="exact"/>
        <w:jc w:val="center"/>
        <w:rPr>
          <w:rFonts w:ascii="宋体" w:hAnsi="宋体"/>
          <w:b/>
          <w:sz w:val="30"/>
          <w:szCs w:val="30"/>
        </w:rPr>
      </w:pPr>
      <w:r>
        <w:rPr>
          <w:rFonts w:hint="eastAsia" w:ascii="宋体" w:hAnsi="宋体"/>
          <w:b/>
          <w:sz w:val="30"/>
          <w:szCs w:val="30"/>
        </w:rPr>
        <w:t>广西监狱罪犯生活物资供货商考核管理办法</w:t>
      </w:r>
    </w:p>
    <w:p w14:paraId="67E6A91F">
      <w:pPr>
        <w:spacing w:line="380" w:lineRule="exact"/>
        <w:ind w:firstLine="420" w:firstLineChars="200"/>
        <w:rPr>
          <w:rFonts w:ascii="宋体" w:hAnsi="宋体"/>
          <w:strike/>
          <w:szCs w:val="21"/>
        </w:rPr>
      </w:pPr>
      <w:r>
        <w:rPr>
          <w:rFonts w:ascii="宋体" w:hAnsi="宋体"/>
          <w:szCs w:val="21"/>
        </w:rPr>
        <w:t>第一条 为加强罪犯生活物资采购的管理工作，确保狱内物资的正常供应，结合广西监狱工作的实际，制定本办法。</w:t>
      </w:r>
    </w:p>
    <w:p w14:paraId="0C96E4D4">
      <w:pPr>
        <w:spacing w:line="380" w:lineRule="exact"/>
        <w:ind w:firstLine="420" w:firstLineChars="200"/>
        <w:rPr>
          <w:rFonts w:ascii="宋体" w:hAnsi="宋体"/>
          <w:szCs w:val="21"/>
          <w:u w:val="single"/>
        </w:rPr>
      </w:pPr>
      <w:r>
        <w:rPr>
          <w:rFonts w:ascii="宋体" w:hAnsi="宋体"/>
          <w:szCs w:val="21"/>
        </w:rPr>
        <w:t>第二条 本办法适用的对象是自治区监狱管理局和各监狱组织的罪犯生活物资采购项目评选出的中标（成交）供应商（以下统称供货商）。</w:t>
      </w:r>
    </w:p>
    <w:p w14:paraId="2F930AD5">
      <w:pPr>
        <w:spacing w:line="380" w:lineRule="exact"/>
        <w:ind w:firstLine="420" w:firstLineChars="200"/>
        <w:rPr>
          <w:rFonts w:ascii="宋体" w:hAnsi="宋体"/>
          <w:szCs w:val="21"/>
        </w:rPr>
      </w:pPr>
      <w:r>
        <w:rPr>
          <w:rFonts w:ascii="宋体" w:hAnsi="宋体"/>
          <w:szCs w:val="21"/>
        </w:rPr>
        <w:t>第三条 供货商必须向供货的每个监狱单位分别缴纳履约保证金，收取标准为</w:t>
      </w:r>
      <w:r>
        <w:rPr>
          <w:rFonts w:hint="eastAsia" w:ascii="宋体" w:hAnsi="宋体"/>
          <w:szCs w:val="21"/>
        </w:rPr>
        <w:t>按各分标预算金额</w:t>
      </w:r>
      <w:r>
        <w:rPr>
          <w:rFonts w:ascii="宋体" w:hAnsi="宋体"/>
          <w:szCs w:val="21"/>
        </w:rPr>
        <w:t>×</w:t>
      </w:r>
      <w:r>
        <w:rPr>
          <w:rFonts w:hint="eastAsia" w:ascii="宋体" w:hAnsi="宋体"/>
          <w:szCs w:val="21"/>
        </w:rPr>
        <w:t>折扣系数</w:t>
      </w:r>
      <w:r>
        <w:rPr>
          <w:rFonts w:ascii="宋体" w:hAnsi="宋体"/>
          <w:szCs w:val="21"/>
        </w:rPr>
        <w:t>×2</w:t>
      </w:r>
      <w:r>
        <w:rPr>
          <w:rFonts w:hint="eastAsia" w:ascii="宋体" w:hAnsi="宋体"/>
          <w:szCs w:val="21"/>
        </w:rPr>
        <w:t xml:space="preserve"> %</w:t>
      </w:r>
      <w:r>
        <w:rPr>
          <w:rFonts w:ascii="宋体" w:hAnsi="宋体"/>
          <w:szCs w:val="21"/>
        </w:rPr>
        <w:t>（</w:t>
      </w:r>
      <w:r>
        <w:rPr>
          <w:rFonts w:hint="eastAsia" w:ascii="宋体" w:hAnsi="宋体"/>
          <w:szCs w:val="21"/>
        </w:rPr>
        <w:t>根据《广西壮族自治区财政厅关于持续优化政府采购营商环境推动高质量发展的通知》（桂财采〔2024〕55号）规定，采购文件要求中标或者成交供应商提交履约保证金的，履约保证金数额不得超过政府采购合同金额的5%，对中小企业收取的履约保证金数额不得超过政府采购合同金额的2%</w:t>
      </w:r>
      <w:r>
        <w:rPr>
          <w:rFonts w:ascii="宋体" w:hAnsi="宋体"/>
          <w:szCs w:val="21"/>
        </w:rPr>
        <w:t>），货物出现质量问题或供货商出现其他违约行为时，各监狱按本办法从履约保证金中扣除相应金额</w:t>
      </w:r>
      <w:r>
        <w:rPr>
          <w:rFonts w:ascii="宋体" w:hAnsi="宋体"/>
          <w:szCs w:val="21"/>
          <w:lang w:val="en"/>
        </w:rPr>
        <w:t>，供货商应在</w:t>
      </w:r>
      <w:r>
        <w:rPr>
          <w:rFonts w:ascii="宋体" w:hAnsi="宋体"/>
          <w:szCs w:val="21"/>
        </w:rPr>
        <w:t>15个工作日内补足履约保证金。供货合同终止（解除）时剩余履约保证金按双方约定返还。</w:t>
      </w:r>
    </w:p>
    <w:p w14:paraId="06723A40">
      <w:pPr>
        <w:tabs>
          <w:tab w:val="center" w:pos="4153"/>
          <w:tab w:val="right" w:pos="8306"/>
        </w:tabs>
        <w:snapToGrid w:val="0"/>
        <w:spacing w:line="380" w:lineRule="exact"/>
        <w:ind w:firstLine="420" w:firstLineChars="200"/>
        <w:rPr>
          <w:rFonts w:ascii="宋体" w:hAnsi="宋体"/>
          <w:szCs w:val="21"/>
        </w:rPr>
      </w:pPr>
      <w:r>
        <w:rPr>
          <w:rFonts w:ascii="宋体" w:hAnsi="宋体"/>
          <w:szCs w:val="21"/>
        </w:rPr>
        <w:t>供货商有违反本办法规定，被取消供货商资格或者被直接终止供货合同的，履约保证金不予退还。</w:t>
      </w:r>
    </w:p>
    <w:p w14:paraId="2D28F239">
      <w:pPr>
        <w:spacing w:line="380" w:lineRule="exact"/>
        <w:ind w:firstLine="420" w:firstLineChars="200"/>
        <w:rPr>
          <w:rFonts w:ascii="宋体" w:hAnsi="宋体"/>
          <w:szCs w:val="21"/>
        </w:rPr>
      </w:pPr>
      <w:r>
        <w:rPr>
          <w:rFonts w:ascii="宋体" w:hAnsi="宋体"/>
          <w:szCs w:val="21"/>
        </w:rPr>
        <w:t>第四条 供货商按招（投）标文件、采购（响应）文件以及双方签订的合同内容要求开展物资配送业务，安排有授权的业务代表运送货物到监狱单位，所有单据双方代表共同签字、盖章生效。</w:t>
      </w:r>
    </w:p>
    <w:p w14:paraId="4F4F376F">
      <w:pPr>
        <w:spacing w:line="380" w:lineRule="exact"/>
        <w:ind w:firstLine="420" w:firstLineChars="200"/>
        <w:rPr>
          <w:rFonts w:ascii="宋体" w:hAnsi="宋体"/>
          <w:szCs w:val="21"/>
        </w:rPr>
      </w:pPr>
      <w:r>
        <w:rPr>
          <w:rFonts w:ascii="宋体" w:hAnsi="宋体"/>
          <w:szCs w:val="21"/>
        </w:rPr>
        <w:t>第五条 供货商不得将供货资格转包、分包给第三方，一经发现核实，取消供货资格，同时依法追究供货商的相关责任。</w:t>
      </w:r>
    </w:p>
    <w:p w14:paraId="21635844">
      <w:pPr>
        <w:spacing w:line="380" w:lineRule="exact"/>
        <w:ind w:firstLine="420" w:firstLineChars="200"/>
        <w:rPr>
          <w:rFonts w:ascii="宋体" w:hAnsi="宋体"/>
          <w:szCs w:val="21"/>
        </w:rPr>
      </w:pPr>
      <w:r>
        <w:rPr>
          <w:rFonts w:ascii="宋体" w:hAnsi="宋体"/>
          <w:szCs w:val="21"/>
        </w:rPr>
        <w:t>第六条 本办法采用扣分制进行，标准分为100分，各监狱按本办法规定对供货商供货过程中的违约等行为进行记分考核，监狱局或各监狱根据扣分情况按规定对供货商进行处理。</w:t>
      </w:r>
    </w:p>
    <w:p w14:paraId="05009D73">
      <w:pPr>
        <w:spacing w:line="380" w:lineRule="exact"/>
        <w:ind w:firstLine="420" w:firstLineChars="200"/>
        <w:rPr>
          <w:rFonts w:ascii="宋体" w:hAnsi="宋体"/>
          <w:szCs w:val="21"/>
        </w:rPr>
      </w:pPr>
      <w:r>
        <w:rPr>
          <w:rFonts w:ascii="宋体" w:hAnsi="宋体"/>
          <w:szCs w:val="21"/>
        </w:rPr>
        <w:t>第七条 对供货商进行处理的主要方式：</w:t>
      </w:r>
    </w:p>
    <w:p w14:paraId="0BF413B8">
      <w:pPr>
        <w:spacing w:line="380" w:lineRule="exact"/>
        <w:ind w:firstLine="420" w:firstLineChars="200"/>
        <w:rPr>
          <w:rFonts w:ascii="宋体" w:hAnsi="宋体"/>
          <w:szCs w:val="21"/>
        </w:rPr>
      </w:pPr>
      <w:r>
        <w:rPr>
          <w:rFonts w:ascii="宋体" w:hAnsi="宋体"/>
          <w:szCs w:val="21"/>
        </w:rPr>
        <w:t>（一）供货商各项扣分达到100分直接终止所有供货合同；</w:t>
      </w:r>
    </w:p>
    <w:p w14:paraId="1F0B2CDB">
      <w:pPr>
        <w:spacing w:line="380" w:lineRule="exact"/>
        <w:ind w:firstLine="420" w:firstLineChars="200"/>
        <w:rPr>
          <w:rFonts w:ascii="宋体" w:hAnsi="宋体"/>
          <w:szCs w:val="21"/>
        </w:rPr>
      </w:pPr>
      <w:r>
        <w:rPr>
          <w:rFonts w:ascii="宋体" w:hAnsi="宋体"/>
          <w:szCs w:val="21"/>
        </w:rPr>
        <w:t>（二）供货商单批货物按退货处理的，按合同规定扣履约保证金500-2000元，扣考核分5-20分；</w:t>
      </w:r>
    </w:p>
    <w:p w14:paraId="69F8BC65">
      <w:pPr>
        <w:spacing w:line="380" w:lineRule="exact"/>
        <w:ind w:firstLine="420" w:firstLineChars="200"/>
        <w:rPr>
          <w:rFonts w:ascii="宋体" w:hAnsi="宋体"/>
          <w:szCs w:val="21"/>
        </w:rPr>
      </w:pPr>
      <w:r>
        <w:rPr>
          <w:rFonts w:ascii="宋体" w:hAnsi="宋体"/>
          <w:szCs w:val="21"/>
        </w:rPr>
        <w:t>（三）累计退货记录有3-6次（根据需采购的物资品种</w:t>
      </w:r>
      <w:r>
        <w:rPr>
          <w:rFonts w:hint="eastAsia" w:ascii="宋体" w:hAnsi="宋体"/>
          <w:szCs w:val="21"/>
        </w:rPr>
        <w:t>确</w:t>
      </w:r>
      <w:r>
        <w:rPr>
          <w:rFonts w:ascii="宋体" w:hAnsi="宋体"/>
          <w:szCs w:val="21"/>
        </w:rPr>
        <w:t>定）的，直接取消该供货商的供应资格；</w:t>
      </w:r>
    </w:p>
    <w:p w14:paraId="6D998B1F">
      <w:pPr>
        <w:spacing w:line="380" w:lineRule="exact"/>
        <w:ind w:firstLine="420" w:firstLineChars="200"/>
        <w:rPr>
          <w:rFonts w:ascii="宋体" w:hAnsi="宋体"/>
          <w:szCs w:val="21"/>
        </w:rPr>
      </w:pPr>
      <w:r>
        <w:rPr>
          <w:rFonts w:ascii="宋体" w:hAnsi="宋体"/>
          <w:szCs w:val="21"/>
        </w:rPr>
        <w:t>（四）按招（投）标文件和采购（响应）文件以及双方签订的合同内容设定的其他规定对供货商进行处理。</w:t>
      </w:r>
    </w:p>
    <w:p w14:paraId="30307941">
      <w:pPr>
        <w:spacing w:line="380" w:lineRule="exact"/>
        <w:ind w:firstLine="420" w:firstLineChars="200"/>
        <w:rPr>
          <w:rFonts w:ascii="宋体" w:hAnsi="宋体"/>
          <w:szCs w:val="21"/>
        </w:rPr>
      </w:pPr>
      <w:r>
        <w:rPr>
          <w:rFonts w:ascii="宋体" w:hAnsi="宋体"/>
          <w:szCs w:val="21"/>
        </w:rPr>
        <w:t>第八条 供货商考核</w:t>
      </w:r>
      <w:r>
        <w:rPr>
          <w:rFonts w:hint="eastAsia" w:ascii="宋体" w:hAnsi="宋体"/>
          <w:szCs w:val="21"/>
        </w:rPr>
        <w:t>计</w:t>
      </w:r>
      <w:r>
        <w:rPr>
          <w:rFonts w:ascii="宋体" w:hAnsi="宋体"/>
          <w:szCs w:val="21"/>
        </w:rPr>
        <w:t>分的主要内容。</w:t>
      </w:r>
    </w:p>
    <w:p w14:paraId="33E34728">
      <w:pPr>
        <w:spacing w:line="380" w:lineRule="exact"/>
        <w:ind w:firstLine="420" w:firstLineChars="200"/>
        <w:rPr>
          <w:rFonts w:ascii="宋体" w:hAnsi="宋体"/>
          <w:szCs w:val="21"/>
        </w:rPr>
      </w:pPr>
      <w:r>
        <w:rPr>
          <w:rFonts w:ascii="宋体" w:hAnsi="宋体"/>
          <w:szCs w:val="21"/>
        </w:rPr>
        <w:t>（一）供货商必须按时将货物送达监狱单位指定地点。超过规定时间在24小时内的，考核分扣1-6分；超过规定时间在48小时内的，考核分扣7-12分；超过48小时未能送达的，直接终止供货商在该监狱单位的供货合同。</w:t>
      </w:r>
    </w:p>
    <w:p w14:paraId="57FA6A7E">
      <w:pPr>
        <w:spacing w:line="380" w:lineRule="exact"/>
        <w:ind w:firstLine="420" w:firstLineChars="200"/>
        <w:rPr>
          <w:rFonts w:ascii="宋体" w:hAnsi="宋体"/>
          <w:szCs w:val="21"/>
        </w:rPr>
      </w:pPr>
      <w:r>
        <w:rPr>
          <w:rFonts w:ascii="宋体" w:hAnsi="宋体"/>
          <w:szCs w:val="21"/>
        </w:rPr>
        <w:t>（二）供货商的货物到达监狱单位后，要配合监狱单位进行现场验收，验收不合格则进行退货处理，考核分扣20分，按合同规定扣履约保证金。退货后供货商必须在24小时内送合格的货物到监狱单位，否则视为连续2次送货不合格。</w:t>
      </w:r>
    </w:p>
    <w:p w14:paraId="464321CB">
      <w:pPr>
        <w:spacing w:line="380" w:lineRule="exact"/>
        <w:ind w:firstLine="420" w:firstLineChars="200"/>
        <w:rPr>
          <w:rFonts w:ascii="宋体" w:hAnsi="宋体"/>
          <w:szCs w:val="21"/>
        </w:rPr>
      </w:pPr>
      <w:r>
        <w:rPr>
          <w:rFonts w:ascii="宋体" w:hAnsi="宋体"/>
          <w:szCs w:val="21"/>
        </w:rPr>
        <w:t>（三）供货商供应的货物出现违规品、违禁品流入监内，造成不良后果的，直接终止其供货资格，并依法依规追究供货商的责任。</w:t>
      </w:r>
    </w:p>
    <w:p w14:paraId="159E1EEF">
      <w:pPr>
        <w:spacing w:line="380" w:lineRule="exact"/>
        <w:ind w:firstLine="420" w:firstLineChars="200"/>
        <w:rPr>
          <w:rFonts w:ascii="宋体" w:hAnsi="宋体"/>
          <w:szCs w:val="21"/>
        </w:rPr>
      </w:pPr>
      <w:r>
        <w:rPr>
          <w:rFonts w:ascii="宋体" w:hAnsi="宋体"/>
          <w:szCs w:val="21"/>
        </w:rPr>
        <w:t>（四）入库的货物出现质量问题，由监狱单位通知供货商到场协商处理。供货商必须12小时内到场处理，超过12小时不到场处理的考核分扣5分，超过24小时不到场处理的视为质量不合格，直接按退货处理。超过48小时不应答的，直接终止供货商在该监狱单位的供货合同。</w:t>
      </w:r>
    </w:p>
    <w:p w14:paraId="120B6CAA">
      <w:pPr>
        <w:spacing w:line="380" w:lineRule="exact"/>
        <w:ind w:firstLine="420" w:firstLineChars="200"/>
        <w:rPr>
          <w:rFonts w:ascii="宋体" w:hAnsi="宋体"/>
          <w:szCs w:val="21"/>
        </w:rPr>
      </w:pPr>
      <w:r>
        <w:rPr>
          <w:rFonts w:ascii="宋体" w:hAnsi="宋体"/>
          <w:szCs w:val="21"/>
        </w:rPr>
        <w:t>（五）双方对质量问题意见不一致的，由双方共同在该批货物随机抽取3份样品到当地质量监督部门检验，有一份样品不达标即视为该批货物不达标，按退货程序处理，检测费用由供货商负责；样品都合格的视为该批货物合格，则由监狱负责检测费用。</w:t>
      </w:r>
    </w:p>
    <w:p w14:paraId="493FCA1F">
      <w:pPr>
        <w:spacing w:line="380" w:lineRule="exact"/>
        <w:ind w:firstLine="420" w:firstLineChars="200"/>
        <w:rPr>
          <w:rFonts w:ascii="宋体" w:hAnsi="宋体"/>
          <w:szCs w:val="21"/>
        </w:rPr>
      </w:pPr>
      <w:r>
        <w:rPr>
          <w:rFonts w:ascii="宋体" w:hAnsi="宋体"/>
          <w:szCs w:val="21"/>
        </w:rPr>
        <w:t>（六）供货商必须按包装要求足量向监狱单位送货。</w:t>
      </w:r>
    </w:p>
    <w:p w14:paraId="0D460B1B">
      <w:pPr>
        <w:spacing w:line="380" w:lineRule="exact"/>
        <w:ind w:firstLine="420" w:firstLineChars="200"/>
        <w:rPr>
          <w:rFonts w:ascii="宋体" w:hAnsi="宋体"/>
          <w:szCs w:val="21"/>
        </w:rPr>
      </w:pPr>
      <w:r>
        <w:rPr>
          <w:rFonts w:ascii="宋体" w:hAnsi="宋体"/>
          <w:szCs w:val="21"/>
        </w:rPr>
        <w:t>1. 供货商供应的货物不得短斤少两，分包装的重量必须达到规定重量，每发现1个分包装的重量出现短缺的扣2分，发现10个以上（含10个）分包装的重量出现短缺的扣20分，该批货物视为不达标，进行退货处理。</w:t>
      </w:r>
    </w:p>
    <w:p w14:paraId="07769F87">
      <w:pPr>
        <w:spacing w:line="380" w:lineRule="exact"/>
        <w:ind w:firstLine="420" w:firstLineChars="200"/>
        <w:rPr>
          <w:rFonts w:ascii="宋体" w:hAnsi="宋体"/>
          <w:szCs w:val="21"/>
        </w:rPr>
      </w:pPr>
      <w:r>
        <w:rPr>
          <w:rFonts w:ascii="宋体" w:hAnsi="宋体"/>
          <w:szCs w:val="21"/>
        </w:rPr>
        <w:t>2. 供货商送货的总数应当与监狱单位</w:t>
      </w:r>
      <w:r>
        <w:rPr>
          <w:rFonts w:hint="eastAsia" w:ascii="宋体" w:hAnsi="宋体"/>
          <w:szCs w:val="21"/>
        </w:rPr>
        <w:t>订</w:t>
      </w:r>
      <w:r>
        <w:rPr>
          <w:rFonts w:ascii="宋体" w:hAnsi="宋体"/>
          <w:szCs w:val="21"/>
        </w:rPr>
        <w:t>货品种、数量一致。</w:t>
      </w:r>
    </w:p>
    <w:p w14:paraId="68AE7C73">
      <w:pPr>
        <w:spacing w:line="380" w:lineRule="exact"/>
        <w:ind w:firstLine="420" w:firstLineChars="200"/>
        <w:rPr>
          <w:rFonts w:ascii="宋体" w:hAnsi="宋体"/>
          <w:szCs w:val="21"/>
        </w:rPr>
      </w:pPr>
      <w:r>
        <w:rPr>
          <w:rFonts w:ascii="宋体" w:hAnsi="宋体"/>
          <w:szCs w:val="21"/>
        </w:rPr>
        <w:t>3. 供货商供应必须按规定对货物进行分包装，分包装应当满足运输距离、防潮、防震、防腐和防破损的要求，每发现1个分包装不达标扣2分。</w:t>
      </w:r>
    </w:p>
    <w:p w14:paraId="142C5A31">
      <w:pPr>
        <w:spacing w:line="380" w:lineRule="exact"/>
        <w:ind w:firstLine="420" w:firstLineChars="200"/>
        <w:rPr>
          <w:rFonts w:ascii="宋体" w:hAnsi="宋体"/>
          <w:szCs w:val="21"/>
        </w:rPr>
      </w:pPr>
      <w:r>
        <w:rPr>
          <w:rFonts w:ascii="宋体" w:hAnsi="宋体"/>
          <w:szCs w:val="21"/>
        </w:rPr>
        <w:t>（七）供货商提供的货物造成食品安全事故的，直接取消供货商的供货资格，并追究供货商相关责任。</w:t>
      </w:r>
    </w:p>
    <w:p w14:paraId="5A21BFA8">
      <w:pPr>
        <w:spacing w:line="380" w:lineRule="exact"/>
        <w:ind w:firstLine="420" w:firstLineChars="200"/>
        <w:rPr>
          <w:rFonts w:ascii="宋体" w:hAnsi="宋体"/>
          <w:szCs w:val="21"/>
        </w:rPr>
      </w:pPr>
      <w:r>
        <w:rPr>
          <w:rFonts w:ascii="宋体" w:hAnsi="宋体"/>
          <w:szCs w:val="21"/>
        </w:rPr>
        <w:t>（八）因采购物资品种特殊性需要对供货商设定其他考核记分内容的，将增加的考核记分内容列入合同条款作为本办法的附则执行。</w:t>
      </w:r>
    </w:p>
    <w:p w14:paraId="351C00F2">
      <w:pPr>
        <w:spacing w:line="380" w:lineRule="exact"/>
        <w:ind w:firstLine="420" w:firstLineChars="200"/>
        <w:rPr>
          <w:rFonts w:ascii="宋体" w:hAnsi="宋体"/>
          <w:szCs w:val="21"/>
        </w:rPr>
      </w:pPr>
      <w:r>
        <w:rPr>
          <w:rFonts w:ascii="宋体" w:hAnsi="宋体"/>
          <w:szCs w:val="21"/>
        </w:rPr>
        <w:t>（九）供货商代表（包括送货人员）进入监管场所必须服从管理，出现与罪犯私自接触、捎带物品和利益交易等违规行为经监狱查证属实的，直接取消其供货资格。</w:t>
      </w:r>
    </w:p>
    <w:p w14:paraId="32128179">
      <w:pPr>
        <w:spacing w:line="380" w:lineRule="exact"/>
        <w:ind w:firstLine="420" w:firstLineChars="200"/>
        <w:rPr>
          <w:rFonts w:ascii="宋体" w:hAnsi="宋体"/>
          <w:szCs w:val="21"/>
        </w:rPr>
      </w:pPr>
      <w:r>
        <w:rPr>
          <w:rFonts w:ascii="宋体" w:hAnsi="宋体"/>
          <w:szCs w:val="21"/>
        </w:rPr>
        <w:t>第九条 对供货商的处理以监狱局或各监狱出具的书面文件（处理单据）为准，被取消供应资格的供货商两年内不得参加广西监狱系统组织的罪犯生活物资集中采购活动。</w:t>
      </w:r>
    </w:p>
    <w:p w14:paraId="758DD9D1">
      <w:pPr>
        <w:spacing w:line="380" w:lineRule="exact"/>
        <w:ind w:firstLine="420" w:firstLineChars="200"/>
        <w:rPr>
          <w:rFonts w:ascii="宋体" w:hAnsi="宋体"/>
          <w:szCs w:val="21"/>
        </w:rPr>
      </w:pPr>
      <w:r>
        <w:rPr>
          <w:rFonts w:ascii="宋体" w:hAnsi="宋体"/>
          <w:szCs w:val="21"/>
        </w:rPr>
        <w:t>第十条 本办法应当列为罪犯生活物资采购项目相应的招标文件、采购文件和合同的主要条款，具体内容可根据采购物资的需要进行适当调整。</w:t>
      </w:r>
    </w:p>
    <w:p w14:paraId="550CB9B4">
      <w:pPr>
        <w:spacing w:line="380" w:lineRule="exact"/>
        <w:ind w:firstLine="420" w:firstLineChars="200"/>
        <w:rPr>
          <w:rFonts w:ascii="宋体" w:hAnsi="宋体"/>
          <w:szCs w:val="21"/>
        </w:rPr>
      </w:pPr>
      <w:r>
        <w:rPr>
          <w:rFonts w:ascii="宋体" w:hAnsi="宋体"/>
          <w:szCs w:val="21"/>
        </w:rPr>
        <w:t>第十一条 本办法由自治区监狱管理局负责解释。各监狱可根据本办法制定本单位的考核管理细则，并报自治区监狱管理局生活卫生处备案。</w:t>
      </w:r>
    </w:p>
    <w:p w14:paraId="4B7313FD">
      <w:pPr>
        <w:sectPr>
          <w:pgSz w:w="11906" w:h="16838"/>
          <w:pgMar w:top="1134" w:right="1312" w:bottom="1134" w:left="1354" w:header="720" w:footer="720" w:gutter="0"/>
          <w:cols w:space="720" w:num="1"/>
          <w:docGrid w:type="lines" w:linePitch="331" w:charSpace="0"/>
        </w:sectPr>
      </w:pPr>
      <w:r>
        <w:rPr>
          <w:rFonts w:hint="eastAsia" w:ascii="宋体" w:hAnsi="宋体"/>
          <w:szCs w:val="21"/>
        </w:rPr>
        <w:t xml:space="preserve">   </w:t>
      </w:r>
      <w:r>
        <w:rPr>
          <w:rFonts w:ascii="宋体" w:hAnsi="宋体"/>
          <w:szCs w:val="21"/>
        </w:rPr>
        <w:t>第十二条 本办法自印发之日起施行。</w:t>
      </w:r>
    </w:p>
    <w:p w14:paraId="78ED0029">
      <w:pPr>
        <w:spacing w:line="360" w:lineRule="auto"/>
        <w:rPr>
          <w:rFonts w:ascii="宋体" w:hAnsi="宋体" w:cs="宋体"/>
          <w:sz w:val="24"/>
        </w:rPr>
      </w:pPr>
    </w:p>
    <w:p w14:paraId="72C6D2CF">
      <w:pPr>
        <w:spacing w:line="360" w:lineRule="auto"/>
        <w:ind w:left="720" w:firstLine="723" w:firstLineChars="200"/>
        <w:rPr>
          <w:rFonts w:ascii="宋体" w:hAnsi="宋体" w:cs="宋体"/>
          <w:b/>
          <w:sz w:val="36"/>
          <w:szCs w:val="20"/>
        </w:rPr>
      </w:pPr>
    </w:p>
    <w:p w14:paraId="7F279FBB">
      <w:pPr>
        <w:spacing w:line="360" w:lineRule="auto"/>
        <w:ind w:left="720" w:firstLine="723" w:firstLineChars="200"/>
        <w:rPr>
          <w:rFonts w:ascii="宋体" w:hAnsi="宋体" w:cs="宋体"/>
          <w:b/>
          <w:sz w:val="36"/>
          <w:szCs w:val="20"/>
        </w:rPr>
      </w:pPr>
    </w:p>
    <w:p w14:paraId="30D98EBF">
      <w:pPr>
        <w:pStyle w:val="20"/>
        <w:tabs>
          <w:tab w:val="left" w:pos="2472"/>
        </w:tabs>
        <w:spacing w:line="460" w:lineRule="exact"/>
        <w:jc w:val="center"/>
        <w:rPr>
          <w:rFonts w:hAnsi="宋体" w:cs="宋体"/>
          <w:b/>
          <w:sz w:val="36"/>
        </w:rPr>
      </w:pPr>
    </w:p>
    <w:p w14:paraId="6251EF21">
      <w:pPr>
        <w:pStyle w:val="20"/>
        <w:tabs>
          <w:tab w:val="left" w:pos="2472"/>
        </w:tabs>
        <w:spacing w:line="460" w:lineRule="exact"/>
        <w:jc w:val="center"/>
        <w:rPr>
          <w:rFonts w:hAnsi="宋体" w:cs="宋体"/>
          <w:b/>
          <w:sz w:val="36"/>
        </w:rPr>
      </w:pPr>
    </w:p>
    <w:p w14:paraId="6973023F">
      <w:pPr>
        <w:pStyle w:val="20"/>
        <w:tabs>
          <w:tab w:val="left" w:pos="2472"/>
        </w:tabs>
        <w:spacing w:line="460" w:lineRule="exact"/>
        <w:jc w:val="center"/>
        <w:rPr>
          <w:rFonts w:hAnsi="宋体" w:cs="宋体"/>
          <w:b/>
          <w:sz w:val="36"/>
        </w:rPr>
      </w:pPr>
    </w:p>
    <w:p w14:paraId="0D092B57">
      <w:pPr>
        <w:pStyle w:val="20"/>
        <w:tabs>
          <w:tab w:val="left" w:pos="2472"/>
        </w:tabs>
        <w:spacing w:line="460" w:lineRule="exact"/>
        <w:jc w:val="center"/>
        <w:rPr>
          <w:rFonts w:hAnsi="宋体" w:cs="宋体"/>
          <w:b/>
          <w:sz w:val="36"/>
        </w:rPr>
      </w:pPr>
    </w:p>
    <w:p w14:paraId="521A380A">
      <w:pPr>
        <w:pStyle w:val="20"/>
        <w:tabs>
          <w:tab w:val="left" w:pos="2472"/>
        </w:tabs>
        <w:spacing w:line="460" w:lineRule="exact"/>
        <w:jc w:val="center"/>
        <w:rPr>
          <w:rFonts w:hAnsi="宋体" w:cs="宋体"/>
          <w:b/>
          <w:sz w:val="36"/>
        </w:rPr>
      </w:pPr>
    </w:p>
    <w:p w14:paraId="137981E8">
      <w:pPr>
        <w:pStyle w:val="20"/>
        <w:tabs>
          <w:tab w:val="left" w:pos="2472"/>
        </w:tabs>
        <w:spacing w:line="460" w:lineRule="exact"/>
        <w:jc w:val="center"/>
        <w:rPr>
          <w:rFonts w:hAnsi="宋体" w:cs="宋体"/>
          <w:b/>
          <w:sz w:val="36"/>
        </w:rPr>
      </w:pPr>
    </w:p>
    <w:p w14:paraId="60ABA744">
      <w:pPr>
        <w:pStyle w:val="20"/>
        <w:tabs>
          <w:tab w:val="left" w:pos="2472"/>
        </w:tabs>
        <w:spacing w:line="460" w:lineRule="exact"/>
        <w:jc w:val="center"/>
        <w:rPr>
          <w:rFonts w:hAnsi="宋体" w:cs="宋体"/>
          <w:b/>
          <w:sz w:val="36"/>
        </w:rPr>
      </w:pPr>
    </w:p>
    <w:p w14:paraId="135DFB2F">
      <w:pPr>
        <w:pStyle w:val="20"/>
        <w:tabs>
          <w:tab w:val="left" w:pos="2472"/>
        </w:tabs>
        <w:spacing w:line="460" w:lineRule="exact"/>
        <w:jc w:val="center"/>
        <w:rPr>
          <w:rFonts w:hAnsi="宋体" w:cs="宋体"/>
          <w:b/>
          <w:sz w:val="36"/>
        </w:rPr>
      </w:pPr>
    </w:p>
    <w:p w14:paraId="63B3217A">
      <w:pPr>
        <w:pStyle w:val="20"/>
        <w:tabs>
          <w:tab w:val="left" w:pos="2472"/>
        </w:tabs>
        <w:spacing w:line="460" w:lineRule="exact"/>
        <w:jc w:val="center"/>
        <w:rPr>
          <w:rFonts w:hAnsi="宋体" w:cs="宋体"/>
          <w:b/>
          <w:sz w:val="36"/>
        </w:rPr>
      </w:pPr>
    </w:p>
    <w:p w14:paraId="5F87C514">
      <w:pPr>
        <w:pStyle w:val="20"/>
        <w:tabs>
          <w:tab w:val="left" w:pos="2472"/>
        </w:tabs>
        <w:spacing w:line="460" w:lineRule="exact"/>
        <w:jc w:val="center"/>
        <w:outlineLvl w:val="0"/>
        <w:rPr>
          <w:rFonts w:hAnsi="宋体" w:cs="宋体"/>
          <w:b/>
          <w:sz w:val="36"/>
        </w:rPr>
        <w:sectPr>
          <w:headerReference r:id="rId13" w:type="default"/>
          <w:pgSz w:w="11906" w:h="16838"/>
          <w:pgMar w:top="1134" w:right="1312" w:bottom="1134" w:left="1354" w:header="720" w:footer="720" w:gutter="0"/>
          <w:cols w:space="720" w:num="1"/>
          <w:docGrid w:type="lines" w:linePitch="331" w:charSpace="0"/>
        </w:sectPr>
      </w:pPr>
      <w:bookmarkStart w:id="345" w:name="_Toc16473"/>
      <w:bookmarkStart w:id="346" w:name="_Toc5084"/>
      <w:bookmarkStart w:id="347" w:name="_Toc11909"/>
      <w:bookmarkStart w:id="348" w:name="_Toc12678"/>
      <w:r>
        <w:rPr>
          <w:rFonts w:hint="eastAsia" w:hAnsi="宋体" w:cs="宋体"/>
          <w:b/>
          <w:sz w:val="36"/>
        </w:rPr>
        <w:t>第六章 投标文件格式</w:t>
      </w:r>
      <w:bookmarkEnd w:id="345"/>
      <w:bookmarkEnd w:id="346"/>
      <w:bookmarkEnd w:id="347"/>
      <w:bookmarkEnd w:id="348"/>
    </w:p>
    <w:p w14:paraId="61636670">
      <w:pPr>
        <w:pStyle w:val="20"/>
        <w:outlineLvl w:val="1"/>
        <w:rPr>
          <w:rFonts w:hAnsi="宋体" w:cs="宋体"/>
          <w:b/>
          <w:bCs/>
          <w:sz w:val="28"/>
          <w:szCs w:val="28"/>
        </w:rPr>
      </w:pPr>
      <w:bookmarkStart w:id="349" w:name="_Toc6804"/>
      <w:bookmarkStart w:id="350" w:name="_Toc22687"/>
      <w:bookmarkStart w:id="351" w:name="_Toc8021"/>
      <w:bookmarkStart w:id="352" w:name="_Toc31203"/>
      <w:r>
        <w:rPr>
          <w:rFonts w:hint="eastAsia" w:hAnsi="宋体" w:cs="宋体"/>
          <w:b/>
          <w:bCs/>
          <w:sz w:val="28"/>
          <w:szCs w:val="28"/>
        </w:rPr>
        <w:t>一、 资格证明文件格式</w:t>
      </w:r>
      <w:bookmarkEnd w:id="349"/>
      <w:bookmarkEnd w:id="350"/>
      <w:bookmarkEnd w:id="351"/>
      <w:bookmarkEnd w:id="352"/>
    </w:p>
    <w:p w14:paraId="2A87C374">
      <w:pPr>
        <w:pStyle w:val="20"/>
        <w:spacing w:line="360" w:lineRule="auto"/>
        <w:ind w:firstLine="420"/>
        <w:rPr>
          <w:rFonts w:hAnsi="宋体" w:cs="宋体"/>
          <w:sz w:val="30"/>
        </w:rPr>
      </w:pPr>
      <w:r>
        <w:rPr>
          <w:rFonts w:hint="eastAsia" w:hAnsi="宋体" w:cs="宋体"/>
          <w:b/>
          <w:sz w:val="24"/>
        </w:rPr>
        <w:t>1.资格证明文件封面格式：</w:t>
      </w:r>
    </w:p>
    <w:p w14:paraId="39E4BC5C">
      <w:pPr>
        <w:snapToGrid w:val="0"/>
        <w:spacing w:before="165" w:beforeLines="50" w:after="50"/>
        <w:rPr>
          <w:rFonts w:ascii="宋体" w:hAnsi="宋体" w:cs="宋体"/>
          <w:sz w:val="24"/>
        </w:rPr>
      </w:pPr>
      <w:r>
        <w:rPr>
          <w:rFonts w:hint="eastAsia" w:ascii="宋体" w:hAnsi="宋体" w:cs="宋体"/>
          <w:sz w:val="24"/>
        </w:rPr>
        <w:t xml:space="preserve">                                                        </w:t>
      </w:r>
    </w:p>
    <w:p w14:paraId="6822C330">
      <w:pPr>
        <w:snapToGrid w:val="0"/>
        <w:spacing w:before="165" w:beforeLines="50" w:after="50"/>
        <w:jc w:val="center"/>
        <w:rPr>
          <w:rFonts w:ascii="宋体" w:hAnsi="宋体" w:eastAsia="方正小标宋简体"/>
          <w:bCs/>
          <w:sz w:val="48"/>
          <w:szCs w:val="48"/>
        </w:rPr>
      </w:pPr>
      <w:r>
        <w:rPr>
          <w:rFonts w:hint="eastAsia" w:ascii="宋体" w:hAnsi="宋体" w:eastAsia="方正小标宋简体"/>
          <w:bCs/>
          <w:sz w:val="48"/>
          <w:szCs w:val="48"/>
        </w:rPr>
        <w:t xml:space="preserve"> 电子投标文件</w:t>
      </w:r>
    </w:p>
    <w:p w14:paraId="04F81EC1">
      <w:pPr>
        <w:snapToGrid w:val="0"/>
        <w:spacing w:before="165" w:beforeLines="50" w:after="50"/>
        <w:rPr>
          <w:rFonts w:ascii="宋体" w:hAnsi="宋体" w:cs="宋体"/>
          <w:sz w:val="24"/>
          <w:szCs w:val="20"/>
        </w:rPr>
      </w:pPr>
    </w:p>
    <w:p w14:paraId="042C7761">
      <w:pPr>
        <w:snapToGrid w:val="0"/>
        <w:spacing w:before="165" w:beforeLines="50" w:after="50"/>
        <w:jc w:val="center"/>
        <w:rPr>
          <w:rFonts w:ascii="宋体" w:hAnsi="宋体" w:cs="宋体"/>
          <w:b/>
          <w:sz w:val="24"/>
          <w:szCs w:val="20"/>
        </w:rPr>
      </w:pPr>
      <w:r>
        <w:rPr>
          <w:rFonts w:hint="eastAsia" w:ascii="宋体" w:hAnsi="宋体" w:cs="宋体"/>
          <w:b/>
          <w:sz w:val="32"/>
          <w:szCs w:val="32"/>
        </w:rPr>
        <w:t>资格证明文件</w:t>
      </w:r>
    </w:p>
    <w:p w14:paraId="6BB763A3">
      <w:pPr>
        <w:snapToGrid w:val="0"/>
        <w:spacing w:before="165" w:beforeLines="50" w:after="50"/>
        <w:rPr>
          <w:rFonts w:ascii="宋体" w:hAnsi="宋体" w:cs="宋体"/>
          <w:bCs/>
          <w:sz w:val="24"/>
          <w:szCs w:val="20"/>
        </w:rPr>
      </w:pPr>
    </w:p>
    <w:p w14:paraId="5668A585">
      <w:pPr>
        <w:snapToGrid w:val="0"/>
        <w:spacing w:before="165" w:beforeLines="50" w:after="50"/>
        <w:rPr>
          <w:rFonts w:ascii="宋体" w:hAnsi="宋体" w:cs="宋体"/>
          <w:bCs/>
          <w:sz w:val="24"/>
          <w:szCs w:val="20"/>
        </w:rPr>
      </w:pPr>
    </w:p>
    <w:p w14:paraId="09A0831F">
      <w:pPr>
        <w:snapToGrid w:val="0"/>
        <w:spacing w:before="165" w:beforeLines="50" w:after="50"/>
        <w:ind w:firstLine="540" w:firstLineChars="225"/>
        <w:rPr>
          <w:rFonts w:ascii="宋体" w:hAnsi="宋体"/>
          <w:bCs/>
          <w:sz w:val="24"/>
        </w:rPr>
      </w:pPr>
      <w:r>
        <w:rPr>
          <w:rFonts w:hint="eastAsia" w:ascii="宋体" w:hAnsi="宋体"/>
          <w:bCs/>
          <w:sz w:val="24"/>
        </w:rPr>
        <w:t>项目名称：</w:t>
      </w:r>
    </w:p>
    <w:p w14:paraId="62CC9AF0">
      <w:pPr>
        <w:snapToGrid w:val="0"/>
        <w:spacing w:before="165" w:beforeLines="50" w:after="50"/>
        <w:ind w:firstLine="540" w:firstLineChars="225"/>
        <w:rPr>
          <w:rFonts w:ascii="宋体" w:hAnsi="宋体"/>
          <w:bCs/>
          <w:sz w:val="24"/>
          <w:szCs w:val="20"/>
        </w:rPr>
      </w:pPr>
    </w:p>
    <w:p w14:paraId="41F1FDDD">
      <w:pPr>
        <w:snapToGrid w:val="0"/>
        <w:spacing w:before="165" w:beforeLines="50" w:after="50"/>
        <w:ind w:firstLine="540" w:firstLineChars="225"/>
        <w:rPr>
          <w:rFonts w:ascii="宋体" w:hAnsi="宋体"/>
          <w:bCs/>
          <w:sz w:val="24"/>
        </w:rPr>
      </w:pPr>
      <w:r>
        <w:rPr>
          <w:rFonts w:hint="eastAsia" w:ascii="宋体" w:hAnsi="宋体"/>
          <w:bCs/>
          <w:sz w:val="24"/>
        </w:rPr>
        <w:t>项目编号：</w:t>
      </w:r>
    </w:p>
    <w:p w14:paraId="5A065911">
      <w:pPr>
        <w:snapToGrid w:val="0"/>
        <w:spacing w:before="165" w:beforeLines="50" w:after="50"/>
        <w:ind w:firstLine="540" w:firstLineChars="225"/>
        <w:rPr>
          <w:rFonts w:ascii="宋体" w:hAnsi="宋体"/>
          <w:bCs/>
          <w:sz w:val="24"/>
          <w:szCs w:val="20"/>
        </w:rPr>
      </w:pPr>
      <w:r>
        <w:rPr>
          <w:rFonts w:hint="eastAsia" w:ascii="宋体" w:hAnsi="宋体"/>
          <w:bCs/>
          <w:sz w:val="24"/>
        </w:rPr>
        <w:t xml:space="preserve"> </w:t>
      </w:r>
    </w:p>
    <w:p w14:paraId="506304AD">
      <w:pPr>
        <w:snapToGrid w:val="0"/>
        <w:spacing w:before="165" w:beforeLines="50" w:after="50"/>
        <w:ind w:firstLine="540" w:firstLineChars="225"/>
        <w:rPr>
          <w:rFonts w:ascii="宋体" w:hAnsi="宋体"/>
          <w:bCs/>
          <w:sz w:val="24"/>
        </w:rPr>
      </w:pPr>
      <w:r>
        <w:rPr>
          <w:rFonts w:hint="eastAsia" w:ascii="宋体" w:hAnsi="宋体"/>
          <w:bCs/>
          <w:sz w:val="24"/>
        </w:rPr>
        <w:t>所投分标：</w:t>
      </w:r>
    </w:p>
    <w:p w14:paraId="7E31772D">
      <w:pPr>
        <w:snapToGrid w:val="0"/>
        <w:spacing w:before="165" w:beforeLines="50" w:after="50"/>
        <w:ind w:firstLine="540" w:firstLineChars="225"/>
        <w:rPr>
          <w:rFonts w:ascii="宋体" w:hAnsi="宋体"/>
          <w:bCs/>
          <w:sz w:val="24"/>
          <w:szCs w:val="20"/>
        </w:rPr>
      </w:pPr>
    </w:p>
    <w:p w14:paraId="79CFDE95">
      <w:pPr>
        <w:pStyle w:val="9"/>
        <w:snapToGrid w:val="0"/>
        <w:spacing w:before="50" w:after="50"/>
        <w:ind w:firstLine="540" w:firstLineChars="225"/>
        <w:rPr>
          <w:rFonts w:ascii="宋体" w:hAnsi="宋体"/>
          <w:bCs/>
          <w:sz w:val="24"/>
          <w:szCs w:val="24"/>
        </w:rPr>
      </w:pPr>
      <w:r>
        <w:rPr>
          <w:rFonts w:hint="eastAsia" w:ascii="宋体" w:hAnsi="宋体"/>
          <w:bCs/>
          <w:sz w:val="24"/>
          <w:szCs w:val="24"/>
        </w:rPr>
        <w:t>投标人名称：</w:t>
      </w:r>
    </w:p>
    <w:p w14:paraId="75378AAE">
      <w:pPr>
        <w:pStyle w:val="9"/>
        <w:snapToGrid w:val="0"/>
        <w:spacing w:before="50" w:after="50"/>
        <w:ind w:firstLine="540" w:firstLineChars="225"/>
        <w:rPr>
          <w:rFonts w:ascii="宋体" w:hAnsi="宋体"/>
          <w:bCs/>
          <w:sz w:val="24"/>
          <w:szCs w:val="24"/>
        </w:rPr>
      </w:pPr>
    </w:p>
    <w:p w14:paraId="3DC9187A">
      <w:pPr>
        <w:pStyle w:val="9"/>
        <w:snapToGrid w:val="0"/>
        <w:spacing w:before="50" w:after="50"/>
        <w:ind w:firstLine="540" w:firstLineChars="225"/>
        <w:rPr>
          <w:rFonts w:ascii="宋体" w:hAnsi="宋体"/>
          <w:bCs/>
          <w:sz w:val="24"/>
          <w:szCs w:val="24"/>
        </w:rPr>
      </w:pPr>
      <w:r>
        <w:rPr>
          <w:rFonts w:hint="eastAsia" w:ascii="宋体" w:hAnsi="宋体"/>
          <w:bCs/>
          <w:sz w:val="24"/>
          <w:szCs w:val="24"/>
        </w:rPr>
        <w:t>投标人地址：</w:t>
      </w:r>
    </w:p>
    <w:p w14:paraId="5365B89E">
      <w:pPr>
        <w:pStyle w:val="9"/>
        <w:snapToGrid w:val="0"/>
        <w:spacing w:before="50" w:after="50"/>
        <w:ind w:firstLine="960" w:firstLineChars="400"/>
        <w:rPr>
          <w:rFonts w:ascii="宋体" w:hAnsi="宋体"/>
          <w:bCs/>
          <w:sz w:val="24"/>
          <w:szCs w:val="24"/>
        </w:rPr>
      </w:pPr>
    </w:p>
    <w:p w14:paraId="58F5C4A4">
      <w:pPr>
        <w:snapToGrid w:val="0"/>
        <w:spacing w:before="165" w:beforeLines="50" w:after="50"/>
        <w:ind w:firstLine="645"/>
        <w:rPr>
          <w:rFonts w:ascii="宋体" w:hAnsi="宋体"/>
          <w:sz w:val="24"/>
        </w:rPr>
      </w:pPr>
      <w:r>
        <w:rPr>
          <w:rFonts w:hint="eastAsia" w:ascii="宋体" w:hAnsi="宋体"/>
          <w:sz w:val="24"/>
        </w:rPr>
        <w:t xml:space="preserve">                        年  月  日</w:t>
      </w:r>
    </w:p>
    <w:p w14:paraId="21119948">
      <w:pPr>
        <w:snapToGrid w:val="0"/>
        <w:spacing w:before="165" w:beforeLines="50" w:after="50"/>
        <w:ind w:firstLine="645"/>
        <w:jc w:val="center"/>
        <w:rPr>
          <w:rFonts w:ascii="宋体" w:hAnsi="宋体" w:cs="宋体"/>
          <w:sz w:val="24"/>
        </w:rPr>
      </w:pPr>
    </w:p>
    <w:p w14:paraId="1C021C38">
      <w:pPr>
        <w:pStyle w:val="20"/>
        <w:spacing w:line="360" w:lineRule="auto"/>
        <w:ind w:firstLine="420"/>
        <w:rPr>
          <w:rFonts w:hAnsi="宋体" w:cs="宋体"/>
          <w:sz w:val="30"/>
        </w:rPr>
        <w:sectPr>
          <w:headerReference r:id="rId14" w:type="default"/>
          <w:footerReference r:id="rId15" w:type="default"/>
          <w:pgSz w:w="11906" w:h="16838"/>
          <w:pgMar w:top="1134" w:right="1312" w:bottom="1134" w:left="1354" w:header="720" w:footer="720" w:gutter="0"/>
          <w:cols w:space="720" w:num="1"/>
          <w:docGrid w:type="lines" w:linePitch="331" w:charSpace="0"/>
        </w:sectPr>
      </w:pPr>
    </w:p>
    <w:p w14:paraId="34DD525C">
      <w:pPr>
        <w:pStyle w:val="20"/>
        <w:spacing w:line="360" w:lineRule="auto"/>
        <w:ind w:firstLine="420"/>
        <w:jc w:val="center"/>
        <w:rPr>
          <w:rFonts w:hAnsi="宋体" w:cs="宋体"/>
          <w:b/>
          <w:sz w:val="24"/>
        </w:rPr>
      </w:pPr>
      <w:r>
        <w:rPr>
          <w:rFonts w:hint="eastAsia" w:hAnsi="宋体" w:cs="宋体"/>
          <w:b/>
          <w:sz w:val="24"/>
        </w:rPr>
        <w:t>2.资格证明文件目录</w:t>
      </w:r>
    </w:p>
    <w:p w14:paraId="072031B6">
      <w:pPr>
        <w:snapToGrid w:val="0"/>
        <w:spacing w:line="360" w:lineRule="auto"/>
        <w:rPr>
          <w:rFonts w:ascii="宋体" w:hAnsi="宋体" w:cs="宋体"/>
          <w:kern w:val="0"/>
          <w:sz w:val="24"/>
        </w:rPr>
      </w:pPr>
    </w:p>
    <w:p w14:paraId="416D48AE">
      <w:pPr>
        <w:snapToGrid w:val="0"/>
        <w:spacing w:line="360" w:lineRule="auto"/>
        <w:ind w:firstLine="420" w:firstLineChars="200"/>
        <w:jc w:val="left"/>
        <w:rPr>
          <w:rFonts w:hAnsi="宋体" w:cs="宋体"/>
          <w:sz w:val="30"/>
        </w:rPr>
        <w:sectPr>
          <w:pgSz w:w="11906" w:h="16838"/>
          <w:pgMar w:top="1134" w:right="1312" w:bottom="1134" w:left="1354" w:header="720" w:footer="720" w:gutter="0"/>
          <w:cols w:space="720" w:num="1"/>
          <w:docGrid w:type="lines" w:linePitch="331" w:charSpace="0"/>
        </w:sectPr>
      </w:pPr>
      <w:r>
        <w:rPr>
          <w:rFonts w:hint="eastAsia" w:ascii="宋体" w:hAnsi="宋体" w:cs="宋体"/>
          <w:szCs w:val="21"/>
        </w:rPr>
        <w:t>根据招标文件规定及投标人提供的材料自行编写目录。</w:t>
      </w:r>
    </w:p>
    <w:p w14:paraId="288ED6F9">
      <w:pPr>
        <w:snapToGrid w:val="0"/>
        <w:spacing w:line="360" w:lineRule="auto"/>
        <w:ind w:right="480"/>
        <w:rPr>
          <w:rFonts w:ascii="宋体" w:hAnsi="宋体" w:cs="宋体"/>
          <w:b/>
          <w:sz w:val="28"/>
          <w:szCs w:val="28"/>
        </w:rPr>
      </w:pPr>
      <w:r>
        <w:rPr>
          <w:rFonts w:hint="eastAsia" w:ascii="宋体" w:hAnsi="宋体" w:cs="宋体"/>
          <w:b/>
          <w:sz w:val="28"/>
          <w:szCs w:val="28"/>
        </w:rPr>
        <w:t>3.投标人直接控股、管理关系信息表</w:t>
      </w:r>
    </w:p>
    <w:p w14:paraId="15BFA1A4">
      <w:pPr>
        <w:snapToGrid w:val="0"/>
        <w:spacing w:before="50" w:after="165" w:afterLines="50" w:line="360" w:lineRule="auto"/>
        <w:jc w:val="center"/>
        <w:rPr>
          <w:rFonts w:ascii="宋体" w:hAnsi="宋体" w:cs="宋体"/>
          <w:b/>
          <w:kern w:val="0"/>
          <w:sz w:val="32"/>
          <w:szCs w:val="32"/>
        </w:rPr>
      </w:pPr>
      <w:r>
        <w:rPr>
          <w:rFonts w:hint="eastAsia" w:ascii="宋体" w:hAnsi="宋体" w:cs="宋体"/>
          <w:b/>
          <w:kern w:val="0"/>
          <w:sz w:val="32"/>
          <w:szCs w:val="32"/>
        </w:rPr>
        <w:t>投标人直接控股股东信息表</w:t>
      </w:r>
    </w:p>
    <w:tbl>
      <w:tblPr>
        <w:tblStyle w:val="37"/>
        <w:tblW w:w="9182" w:type="dxa"/>
        <w:jc w:val="center"/>
        <w:shd w:val="clear" w:color="auto" w:fill="FBFBFB"/>
        <w:tblLayout w:type="fixed"/>
        <w:tblCellMar>
          <w:top w:w="0" w:type="dxa"/>
          <w:left w:w="0" w:type="dxa"/>
          <w:bottom w:w="0" w:type="dxa"/>
          <w:right w:w="0" w:type="dxa"/>
        </w:tblCellMar>
      </w:tblPr>
      <w:tblGrid>
        <w:gridCol w:w="828"/>
        <w:gridCol w:w="2269"/>
        <w:gridCol w:w="1239"/>
        <w:gridCol w:w="3406"/>
        <w:gridCol w:w="1440"/>
      </w:tblGrid>
      <w:tr w14:paraId="12E47E59">
        <w:tblPrEx>
          <w:shd w:val="clear" w:color="auto" w:fill="FBFBFB"/>
          <w:tblCellMar>
            <w:top w:w="0" w:type="dxa"/>
            <w:left w:w="0" w:type="dxa"/>
            <w:bottom w:w="0" w:type="dxa"/>
            <w:right w:w="0" w:type="dxa"/>
          </w:tblCellMar>
        </w:tblPrEx>
        <w:trPr>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3DD9AE8">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28C3F6B">
            <w:pPr>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4251028">
            <w:pPr>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3406"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ED5CA1A">
            <w:pPr>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144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A363841">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5998388B">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6987CF">
            <w:pPr>
              <w:spacing w:line="360" w:lineRule="auto"/>
              <w:jc w:val="center"/>
              <w:rPr>
                <w:rFonts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97295E">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9D08A0">
            <w:pPr>
              <w:spacing w:line="360" w:lineRule="auto"/>
              <w:jc w:val="center"/>
              <w:rPr>
                <w:rFonts w:ascii="宋体" w:hAnsi="宋体" w:cs="宋体"/>
                <w:kern w:val="0"/>
                <w:sz w:val="24"/>
              </w:rPr>
            </w:pPr>
          </w:p>
        </w:tc>
        <w:tc>
          <w:tcPr>
            <w:tcW w:w="340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F3B449">
            <w:pPr>
              <w:spacing w:line="360" w:lineRule="auto"/>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6351E77">
            <w:pPr>
              <w:spacing w:line="360" w:lineRule="auto"/>
              <w:jc w:val="center"/>
              <w:rPr>
                <w:rFonts w:ascii="宋体" w:hAnsi="宋体" w:cs="宋体"/>
                <w:kern w:val="0"/>
                <w:sz w:val="24"/>
              </w:rPr>
            </w:pPr>
          </w:p>
        </w:tc>
      </w:tr>
      <w:tr w14:paraId="38A7066D">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531254E">
            <w:pPr>
              <w:spacing w:line="360" w:lineRule="auto"/>
              <w:jc w:val="center"/>
              <w:rPr>
                <w:rFonts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B539B5">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B77BCE">
            <w:pPr>
              <w:spacing w:line="360" w:lineRule="auto"/>
              <w:jc w:val="center"/>
              <w:rPr>
                <w:rFonts w:ascii="宋体" w:hAnsi="宋体" w:cs="宋体"/>
                <w:kern w:val="0"/>
                <w:sz w:val="24"/>
              </w:rPr>
            </w:pPr>
          </w:p>
        </w:tc>
        <w:tc>
          <w:tcPr>
            <w:tcW w:w="340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79FAAD8">
            <w:pPr>
              <w:spacing w:line="360" w:lineRule="auto"/>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630E7D">
            <w:pPr>
              <w:spacing w:line="360" w:lineRule="auto"/>
              <w:jc w:val="center"/>
              <w:rPr>
                <w:rFonts w:ascii="宋体" w:hAnsi="宋体" w:cs="宋体"/>
                <w:kern w:val="0"/>
                <w:sz w:val="24"/>
              </w:rPr>
            </w:pPr>
          </w:p>
        </w:tc>
      </w:tr>
      <w:tr w14:paraId="1F5968A9">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40BF43">
            <w:pPr>
              <w:spacing w:line="360" w:lineRule="auto"/>
              <w:jc w:val="center"/>
              <w:rPr>
                <w:rFonts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4D3939">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6AA044">
            <w:pPr>
              <w:spacing w:line="360" w:lineRule="auto"/>
              <w:jc w:val="center"/>
              <w:rPr>
                <w:rFonts w:ascii="宋体" w:hAnsi="宋体" w:cs="宋体"/>
                <w:kern w:val="0"/>
                <w:sz w:val="24"/>
              </w:rPr>
            </w:pPr>
          </w:p>
        </w:tc>
        <w:tc>
          <w:tcPr>
            <w:tcW w:w="340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2766DCB">
            <w:pPr>
              <w:spacing w:line="360" w:lineRule="auto"/>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E6C391">
            <w:pPr>
              <w:spacing w:line="360" w:lineRule="auto"/>
              <w:jc w:val="center"/>
              <w:rPr>
                <w:rFonts w:ascii="宋体" w:hAnsi="宋体" w:cs="宋体"/>
                <w:kern w:val="0"/>
                <w:sz w:val="24"/>
              </w:rPr>
            </w:pPr>
          </w:p>
        </w:tc>
      </w:tr>
      <w:tr w14:paraId="1288D8B1">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B8CD8D">
            <w:pPr>
              <w:spacing w:line="360" w:lineRule="auto"/>
              <w:jc w:val="center"/>
              <w:rPr>
                <w:rFonts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F27F48">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22463B9">
            <w:pPr>
              <w:spacing w:line="360" w:lineRule="auto"/>
              <w:jc w:val="center"/>
              <w:rPr>
                <w:rFonts w:ascii="宋体" w:hAnsi="宋体" w:cs="宋体"/>
                <w:kern w:val="0"/>
                <w:sz w:val="24"/>
              </w:rPr>
            </w:pPr>
          </w:p>
        </w:tc>
        <w:tc>
          <w:tcPr>
            <w:tcW w:w="340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F42ED5">
            <w:pPr>
              <w:spacing w:line="360" w:lineRule="auto"/>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440EA6">
            <w:pPr>
              <w:spacing w:line="360" w:lineRule="auto"/>
              <w:jc w:val="center"/>
              <w:rPr>
                <w:rFonts w:ascii="宋体" w:hAnsi="宋体" w:cs="宋体"/>
                <w:kern w:val="0"/>
                <w:sz w:val="24"/>
              </w:rPr>
            </w:pPr>
          </w:p>
        </w:tc>
      </w:tr>
    </w:tbl>
    <w:p w14:paraId="61C8D24B">
      <w:pPr>
        <w:snapToGrid w:val="0"/>
        <w:spacing w:line="360" w:lineRule="auto"/>
        <w:jc w:val="left"/>
        <w:rPr>
          <w:rFonts w:ascii="宋体" w:hAnsi="宋体" w:cs="宋体"/>
          <w:sz w:val="24"/>
        </w:rPr>
      </w:pPr>
      <w:r>
        <w:rPr>
          <w:rFonts w:hint="eastAsia" w:ascii="宋体" w:hAnsi="宋体" w:cs="宋体"/>
          <w:sz w:val="24"/>
        </w:rPr>
        <w:t>注：</w:t>
      </w:r>
    </w:p>
    <w:p w14:paraId="6C5E3C81">
      <w:pPr>
        <w:snapToGrid w:val="0"/>
        <w:spacing w:line="360" w:lineRule="auto"/>
        <w:jc w:val="left"/>
        <w:rPr>
          <w:rFonts w:ascii="宋体" w:hAnsi="宋体" w:cs="宋体"/>
          <w:sz w:val="24"/>
        </w:rPr>
      </w:pPr>
      <w:r>
        <w:rPr>
          <w:rFonts w:hint="eastAsia" w:ascii="宋体" w:hAnsi="宋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78A1667">
      <w:pPr>
        <w:snapToGrid w:val="0"/>
        <w:spacing w:line="360" w:lineRule="auto"/>
        <w:jc w:val="left"/>
        <w:rPr>
          <w:rFonts w:ascii="宋体" w:hAnsi="宋体" w:cs="宋体"/>
          <w:sz w:val="24"/>
        </w:rPr>
      </w:pPr>
      <w:r>
        <w:rPr>
          <w:rFonts w:hint="eastAsia" w:ascii="宋体" w:hAnsi="宋体" w:cs="宋体"/>
          <w:sz w:val="24"/>
        </w:rPr>
        <w:t>2.本表所指的控股关系仅限于直接控股关系，不包括间接的控股关系。公司实际控制人与公司之间的关系不属于本表所指的直接控股关系。</w:t>
      </w:r>
    </w:p>
    <w:p w14:paraId="454F3E83">
      <w:pPr>
        <w:snapToGrid w:val="0"/>
        <w:spacing w:line="360" w:lineRule="auto"/>
        <w:jc w:val="left"/>
        <w:rPr>
          <w:rFonts w:ascii="宋体" w:hAnsi="宋体" w:cs="宋体"/>
          <w:sz w:val="24"/>
        </w:rPr>
      </w:pPr>
      <w:r>
        <w:rPr>
          <w:rFonts w:hint="eastAsia" w:ascii="宋体" w:hAnsi="宋体" w:cs="宋体"/>
          <w:sz w:val="24"/>
        </w:rPr>
        <w:t>3.供应商不存在直接控股股东的，则在“</w:t>
      </w:r>
      <w:r>
        <w:rPr>
          <w:rFonts w:hint="eastAsia" w:ascii="宋体" w:hAnsi="宋体" w:cs="宋体"/>
          <w:b/>
          <w:bCs/>
          <w:kern w:val="0"/>
          <w:sz w:val="24"/>
        </w:rPr>
        <w:t>直接控股股东名称</w:t>
      </w:r>
      <w:r>
        <w:rPr>
          <w:rFonts w:hint="eastAsia" w:ascii="宋体" w:hAnsi="宋体" w:cs="宋体"/>
          <w:sz w:val="24"/>
        </w:rPr>
        <w:t>”中填“无”。</w:t>
      </w:r>
    </w:p>
    <w:p w14:paraId="2AF7EFCA">
      <w:pPr>
        <w:snapToGrid w:val="0"/>
        <w:spacing w:line="360" w:lineRule="auto"/>
        <w:jc w:val="left"/>
        <w:rPr>
          <w:rFonts w:ascii="宋体" w:hAnsi="宋体" w:cs="宋体"/>
          <w:sz w:val="24"/>
        </w:rPr>
      </w:pPr>
    </w:p>
    <w:p w14:paraId="2343CE65">
      <w:pPr>
        <w:snapToGrid w:val="0"/>
        <w:spacing w:line="360" w:lineRule="auto"/>
        <w:jc w:val="left"/>
        <w:rPr>
          <w:rFonts w:ascii="宋体" w:hAnsi="宋体" w:cs="宋体"/>
          <w:sz w:val="24"/>
        </w:rPr>
      </w:pPr>
    </w:p>
    <w:p w14:paraId="2D92D855">
      <w:pPr>
        <w:snapToGrid w:val="0"/>
        <w:spacing w:line="360" w:lineRule="auto"/>
        <w:jc w:val="left"/>
        <w:rPr>
          <w:rFonts w:ascii="宋体" w:hAnsi="宋体" w:cs="宋体"/>
          <w:sz w:val="24"/>
        </w:rPr>
      </w:pPr>
    </w:p>
    <w:p w14:paraId="0D6A8B7B">
      <w:pPr>
        <w:snapToGrid w:val="0"/>
        <w:spacing w:line="360" w:lineRule="auto"/>
        <w:jc w:val="left"/>
        <w:rPr>
          <w:rFonts w:ascii="宋体" w:hAnsi="宋体" w:cs="宋体"/>
          <w:sz w:val="24"/>
        </w:rPr>
      </w:pPr>
    </w:p>
    <w:p w14:paraId="73FDD7B2">
      <w:pPr>
        <w:snapToGrid w:val="0"/>
        <w:spacing w:line="360" w:lineRule="auto"/>
        <w:jc w:val="left"/>
        <w:rPr>
          <w:rFonts w:ascii="宋体" w:hAnsi="宋体" w:cs="宋体"/>
          <w:sz w:val="24"/>
        </w:rPr>
      </w:pPr>
    </w:p>
    <w:p w14:paraId="15981846">
      <w:pPr>
        <w:snapToGrid w:val="0"/>
        <w:spacing w:line="360" w:lineRule="auto"/>
        <w:ind w:left="-2" w:leftChars="-1" w:right="-817" w:rightChars="-389" w:firstLine="1920" w:firstLineChars="800"/>
        <w:rPr>
          <w:rFonts w:ascii="宋体" w:hAnsi="宋体" w:cs="宋体"/>
          <w:sz w:val="24"/>
        </w:rPr>
      </w:pPr>
      <w:bookmarkStart w:id="353" w:name="OLE_LINK54"/>
      <w:r>
        <w:rPr>
          <w:rFonts w:hint="eastAsia" w:ascii="宋体" w:hAnsi="宋体" w:cs="宋体"/>
          <w:sz w:val="24"/>
        </w:rPr>
        <w:t xml:space="preserve">法定代表人或者委托代理人（签字或者电子签名）： </w:t>
      </w:r>
    </w:p>
    <w:p w14:paraId="2B6B550E">
      <w:pPr>
        <w:snapToGrid w:val="0"/>
        <w:spacing w:line="360" w:lineRule="auto"/>
        <w:ind w:left="-3" w:leftChars="-15" w:right="-817" w:rightChars="-389" w:hanging="28" w:hangingChars="12"/>
        <w:jc w:val="left"/>
        <w:rPr>
          <w:rFonts w:ascii="宋体" w:hAnsi="宋体" w:cs="宋体"/>
          <w:sz w:val="24"/>
        </w:rPr>
      </w:pPr>
      <w:r>
        <w:rPr>
          <w:rFonts w:hint="eastAsia" w:ascii="宋体" w:hAnsi="宋体" w:cs="宋体"/>
          <w:sz w:val="24"/>
        </w:rPr>
        <w:t xml:space="preserve">                                    投标人名称（电子签章）：</w:t>
      </w:r>
    </w:p>
    <w:p w14:paraId="71A2E4C6">
      <w:pPr>
        <w:snapToGrid w:val="0"/>
        <w:spacing w:line="360" w:lineRule="auto"/>
        <w:ind w:left="-3" w:leftChars="-15" w:right="-817" w:rightChars="-389" w:hanging="28" w:hangingChars="12"/>
        <w:rPr>
          <w:rFonts w:ascii="宋体" w:hAnsi="宋体" w:cs="宋体"/>
          <w:kern w:val="0"/>
          <w:sz w:val="24"/>
          <w:lang w:val="zh-CN"/>
        </w:rPr>
      </w:pPr>
      <w:r>
        <w:rPr>
          <w:rFonts w:hint="eastAsia" w:ascii="宋体" w:hAnsi="宋体" w:cs="宋体"/>
          <w:sz w:val="24"/>
        </w:rPr>
        <w:t xml:space="preserve">                                       日期：    年   月   日</w:t>
      </w:r>
      <w:bookmarkEnd w:id="353"/>
    </w:p>
    <w:p w14:paraId="0B4DFCDE">
      <w:pPr>
        <w:snapToGrid w:val="0"/>
        <w:jc w:val="center"/>
        <w:rPr>
          <w:rFonts w:ascii="宋体" w:hAnsi="宋体" w:cs="宋体"/>
          <w:b/>
          <w:sz w:val="28"/>
          <w:szCs w:val="28"/>
        </w:rPr>
      </w:pPr>
      <w:r>
        <w:rPr>
          <w:rFonts w:hint="eastAsia" w:ascii="宋体" w:hAnsi="宋体" w:cs="宋体"/>
          <w:b/>
          <w:sz w:val="28"/>
          <w:szCs w:val="28"/>
        </w:rPr>
        <w:br w:type="page"/>
      </w:r>
    </w:p>
    <w:p w14:paraId="72BC24F2">
      <w:pPr>
        <w:snapToGrid w:val="0"/>
        <w:spacing w:line="360" w:lineRule="auto"/>
        <w:jc w:val="center"/>
        <w:rPr>
          <w:rFonts w:ascii="宋体" w:hAnsi="宋体" w:cs="宋体"/>
          <w:sz w:val="32"/>
          <w:szCs w:val="32"/>
        </w:rPr>
      </w:pPr>
      <w:r>
        <w:rPr>
          <w:rFonts w:hint="eastAsia" w:ascii="宋体" w:hAnsi="宋体" w:cs="宋体"/>
          <w:b/>
          <w:sz w:val="32"/>
          <w:szCs w:val="32"/>
        </w:rPr>
        <w:t>投标人直接管理关系信息表</w:t>
      </w:r>
    </w:p>
    <w:tbl>
      <w:tblPr>
        <w:tblStyle w:val="37"/>
        <w:tblW w:w="8972" w:type="dxa"/>
        <w:jc w:val="center"/>
        <w:shd w:val="clear" w:color="auto" w:fill="FBFBFB"/>
        <w:tblLayout w:type="fixed"/>
        <w:tblCellMar>
          <w:top w:w="0" w:type="dxa"/>
          <w:left w:w="0" w:type="dxa"/>
          <w:bottom w:w="0" w:type="dxa"/>
          <w:right w:w="0" w:type="dxa"/>
        </w:tblCellMar>
      </w:tblPr>
      <w:tblGrid>
        <w:gridCol w:w="1005"/>
        <w:gridCol w:w="2659"/>
        <w:gridCol w:w="3388"/>
        <w:gridCol w:w="1920"/>
      </w:tblGrid>
      <w:tr w14:paraId="3C035A1B">
        <w:tblPrEx>
          <w:tblCellMar>
            <w:top w:w="0" w:type="dxa"/>
            <w:left w:w="0" w:type="dxa"/>
            <w:bottom w:w="0" w:type="dxa"/>
            <w:right w:w="0" w:type="dxa"/>
          </w:tblCellMar>
        </w:tblPrEx>
        <w:trPr>
          <w:tblHeader/>
          <w:jc w:val="cent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967355B">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7766E4F">
            <w:pPr>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38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B5DE1C6">
            <w:pPr>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192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E39060E">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61517E8D">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322778">
            <w:pPr>
              <w:spacing w:line="360" w:lineRule="auto"/>
              <w:jc w:val="center"/>
              <w:rPr>
                <w:rFonts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D72F4B">
            <w:pPr>
              <w:spacing w:line="360" w:lineRule="auto"/>
              <w:jc w:val="center"/>
              <w:rPr>
                <w:rFonts w:ascii="宋体" w:hAnsi="宋体" w:cs="宋体"/>
                <w:kern w:val="0"/>
                <w:sz w:val="24"/>
              </w:rPr>
            </w:pPr>
          </w:p>
        </w:tc>
        <w:tc>
          <w:tcPr>
            <w:tcW w:w="338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A37A6B">
            <w:pPr>
              <w:spacing w:line="360" w:lineRule="auto"/>
              <w:jc w:val="center"/>
              <w:rPr>
                <w:rFonts w:ascii="宋体" w:hAnsi="宋体" w:cs="宋体"/>
                <w:kern w:val="0"/>
                <w:sz w:val="24"/>
              </w:rPr>
            </w:pPr>
          </w:p>
        </w:tc>
        <w:tc>
          <w:tcPr>
            <w:tcW w:w="192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ECC62A">
            <w:pPr>
              <w:spacing w:line="360" w:lineRule="auto"/>
              <w:jc w:val="center"/>
              <w:rPr>
                <w:rFonts w:ascii="宋体" w:hAnsi="宋体" w:cs="宋体"/>
                <w:kern w:val="0"/>
                <w:sz w:val="24"/>
              </w:rPr>
            </w:pPr>
          </w:p>
        </w:tc>
      </w:tr>
      <w:tr w14:paraId="0AE2EA9D">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EA2827">
            <w:pPr>
              <w:spacing w:line="360" w:lineRule="auto"/>
              <w:jc w:val="center"/>
              <w:rPr>
                <w:rFonts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2A77CA">
            <w:pPr>
              <w:spacing w:line="360" w:lineRule="auto"/>
              <w:jc w:val="center"/>
              <w:rPr>
                <w:rFonts w:ascii="宋体" w:hAnsi="宋体" w:cs="宋体"/>
                <w:kern w:val="0"/>
                <w:sz w:val="24"/>
              </w:rPr>
            </w:pPr>
          </w:p>
        </w:tc>
        <w:tc>
          <w:tcPr>
            <w:tcW w:w="338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4756EA">
            <w:pPr>
              <w:spacing w:line="360" w:lineRule="auto"/>
              <w:jc w:val="center"/>
              <w:rPr>
                <w:rFonts w:ascii="宋体" w:hAnsi="宋体" w:cs="宋体"/>
                <w:kern w:val="0"/>
                <w:sz w:val="24"/>
              </w:rPr>
            </w:pPr>
          </w:p>
        </w:tc>
        <w:tc>
          <w:tcPr>
            <w:tcW w:w="192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5AEA1A">
            <w:pPr>
              <w:spacing w:line="360" w:lineRule="auto"/>
              <w:jc w:val="center"/>
              <w:rPr>
                <w:rFonts w:ascii="宋体" w:hAnsi="宋体" w:cs="宋体"/>
                <w:kern w:val="0"/>
                <w:sz w:val="24"/>
              </w:rPr>
            </w:pPr>
          </w:p>
        </w:tc>
      </w:tr>
      <w:tr w14:paraId="3048BABA">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788F3D">
            <w:pPr>
              <w:spacing w:line="360" w:lineRule="auto"/>
              <w:jc w:val="center"/>
              <w:rPr>
                <w:rFonts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A8C1225">
            <w:pPr>
              <w:spacing w:line="360" w:lineRule="auto"/>
              <w:jc w:val="center"/>
              <w:rPr>
                <w:rFonts w:ascii="宋体" w:hAnsi="宋体" w:cs="宋体"/>
                <w:kern w:val="0"/>
                <w:sz w:val="24"/>
              </w:rPr>
            </w:pPr>
          </w:p>
        </w:tc>
        <w:tc>
          <w:tcPr>
            <w:tcW w:w="338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C64E9D">
            <w:pPr>
              <w:spacing w:line="360" w:lineRule="auto"/>
              <w:jc w:val="center"/>
              <w:rPr>
                <w:rFonts w:ascii="宋体" w:hAnsi="宋体" w:cs="宋体"/>
                <w:kern w:val="0"/>
                <w:sz w:val="24"/>
              </w:rPr>
            </w:pPr>
          </w:p>
        </w:tc>
        <w:tc>
          <w:tcPr>
            <w:tcW w:w="192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8CBAC9">
            <w:pPr>
              <w:spacing w:line="360" w:lineRule="auto"/>
              <w:jc w:val="center"/>
              <w:rPr>
                <w:rFonts w:ascii="宋体" w:hAnsi="宋体" w:cs="宋体"/>
                <w:kern w:val="0"/>
                <w:sz w:val="24"/>
              </w:rPr>
            </w:pPr>
          </w:p>
        </w:tc>
      </w:tr>
      <w:tr w14:paraId="0408D1D6">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8A0178">
            <w:pPr>
              <w:spacing w:line="360" w:lineRule="auto"/>
              <w:jc w:val="center"/>
              <w:rPr>
                <w:rFonts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240168">
            <w:pPr>
              <w:spacing w:line="360" w:lineRule="auto"/>
              <w:jc w:val="center"/>
              <w:rPr>
                <w:rFonts w:ascii="宋体" w:hAnsi="宋体" w:cs="宋体"/>
                <w:kern w:val="0"/>
                <w:sz w:val="24"/>
              </w:rPr>
            </w:pPr>
          </w:p>
        </w:tc>
        <w:tc>
          <w:tcPr>
            <w:tcW w:w="338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7E0C7B">
            <w:pPr>
              <w:spacing w:line="360" w:lineRule="auto"/>
              <w:jc w:val="center"/>
              <w:rPr>
                <w:rFonts w:ascii="宋体" w:hAnsi="宋体" w:cs="宋体"/>
                <w:kern w:val="0"/>
                <w:sz w:val="24"/>
              </w:rPr>
            </w:pPr>
          </w:p>
        </w:tc>
        <w:tc>
          <w:tcPr>
            <w:tcW w:w="192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2F053F">
            <w:pPr>
              <w:spacing w:line="360" w:lineRule="auto"/>
              <w:jc w:val="center"/>
              <w:rPr>
                <w:rFonts w:ascii="宋体" w:hAnsi="宋体" w:cs="宋体"/>
                <w:kern w:val="0"/>
                <w:sz w:val="24"/>
              </w:rPr>
            </w:pPr>
          </w:p>
        </w:tc>
      </w:tr>
    </w:tbl>
    <w:p w14:paraId="78B54EE2">
      <w:pPr>
        <w:snapToGrid w:val="0"/>
        <w:spacing w:line="360" w:lineRule="auto"/>
        <w:jc w:val="left"/>
        <w:rPr>
          <w:rFonts w:ascii="宋体" w:hAnsi="宋体" w:cs="宋体"/>
          <w:sz w:val="24"/>
        </w:rPr>
      </w:pPr>
      <w:r>
        <w:rPr>
          <w:rFonts w:hint="eastAsia" w:ascii="宋体" w:hAnsi="宋体" w:cs="宋体"/>
          <w:sz w:val="24"/>
        </w:rPr>
        <w:t>注：</w:t>
      </w:r>
    </w:p>
    <w:p w14:paraId="3765ADFB">
      <w:pPr>
        <w:snapToGrid w:val="0"/>
        <w:spacing w:line="360" w:lineRule="auto"/>
        <w:ind w:firstLine="480" w:firstLineChars="200"/>
        <w:jc w:val="left"/>
        <w:rPr>
          <w:rFonts w:ascii="宋体" w:hAnsi="宋体" w:cs="宋体"/>
          <w:sz w:val="24"/>
        </w:rPr>
      </w:pPr>
      <w:r>
        <w:rPr>
          <w:rFonts w:hint="eastAsia" w:ascii="宋体" w:hAnsi="宋体" w:cs="宋体"/>
          <w:sz w:val="24"/>
        </w:rPr>
        <w:t>1.管理关系：是指不具有出资持股关系的其他单位之间存在的管理与被管理关系，如一些上下级关系的事业单位和团体组织。</w:t>
      </w:r>
    </w:p>
    <w:p w14:paraId="049EE8F9">
      <w:pPr>
        <w:snapToGrid w:val="0"/>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pacing w:val="-6"/>
          <w:sz w:val="24"/>
        </w:rPr>
        <w:t>本表所指的管理关系仅限于直接管理关系，不包括间接的管理关系。</w:t>
      </w:r>
    </w:p>
    <w:p w14:paraId="00FA0F98">
      <w:pPr>
        <w:snapToGrid w:val="0"/>
        <w:spacing w:line="360" w:lineRule="auto"/>
        <w:ind w:firstLine="480" w:firstLineChars="200"/>
        <w:jc w:val="left"/>
        <w:rPr>
          <w:rFonts w:ascii="宋体" w:hAnsi="宋体" w:cs="宋体"/>
          <w:sz w:val="24"/>
        </w:rPr>
      </w:pPr>
      <w:r>
        <w:rPr>
          <w:rFonts w:hint="eastAsia" w:ascii="宋体" w:hAnsi="宋体" w:cs="宋体"/>
          <w:sz w:val="24"/>
        </w:rPr>
        <w:t>3.供应商不存在直接管理关系的，则在“</w:t>
      </w:r>
      <w:r>
        <w:rPr>
          <w:rFonts w:hint="eastAsia" w:ascii="宋体" w:hAnsi="宋体" w:cs="宋体"/>
          <w:b/>
          <w:bCs/>
          <w:kern w:val="0"/>
          <w:sz w:val="24"/>
        </w:rPr>
        <w:t>直接管理关系单位名称</w:t>
      </w:r>
      <w:r>
        <w:rPr>
          <w:rFonts w:hint="eastAsia" w:ascii="宋体" w:hAnsi="宋体" w:cs="宋体"/>
          <w:sz w:val="24"/>
        </w:rPr>
        <w:t>”中填“无”。</w:t>
      </w:r>
    </w:p>
    <w:p w14:paraId="666DFA5A">
      <w:pPr>
        <w:snapToGrid w:val="0"/>
        <w:spacing w:line="360" w:lineRule="auto"/>
        <w:ind w:firstLine="480" w:firstLineChars="200"/>
        <w:jc w:val="left"/>
        <w:rPr>
          <w:rFonts w:ascii="宋体" w:hAnsi="宋体" w:cs="宋体"/>
          <w:sz w:val="24"/>
        </w:rPr>
      </w:pPr>
    </w:p>
    <w:p w14:paraId="4DC498CD">
      <w:pPr>
        <w:snapToGrid w:val="0"/>
        <w:spacing w:line="360" w:lineRule="auto"/>
        <w:jc w:val="left"/>
        <w:rPr>
          <w:rFonts w:ascii="宋体" w:hAnsi="宋体" w:cs="宋体"/>
          <w:sz w:val="24"/>
        </w:rPr>
      </w:pPr>
    </w:p>
    <w:p w14:paraId="2FC7A595">
      <w:pPr>
        <w:snapToGrid w:val="0"/>
        <w:spacing w:line="360" w:lineRule="auto"/>
        <w:jc w:val="left"/>
        <w:rPr>
          <w:rFonts w:ascii="宋体" w:hAnsi="宋体" w:cs="宋体"/>
          <w:sz w:val="24"/>
        </w:rPr>
      </w:pPr>
    </w:p>
    <w:p w14:paraId="5D2838A2">
      <w:pPr>
        <w:snapToGrid w:val="0"/>
        <w:spacing w:line="360" w:lineRule="auto"/>
        <w:jc w:val="left"/>
        <w:rPr>
          <w:rFonts w:ascii="宋体" w:hAnsi="宋体" w:cs="宋体"/>
          <w:sz w:val="24"/>
        </w:rPr>
      </w:pPr>
    </w:p>
    <w:p w14:paraId="79A7C313">
      <w:pPr>
        <w:snapToGrid w:val="0"/>
        <w:spacing w:line="360" w:lineRule="auto"/>
        <w:jc w:val="left"/>
        <w:rPr>
          <w:rFonts w:ascii="宋体" w:hAnsi="宋体" w:cs="宋体"/>
          <w:sz w:val="24"/>
        </w:rPr>
      </w:pPr>
    </w:p>
    <w:p w14:paraId="51183395">
      <w:pPr>
        <w:snapToGrid w:val="0"/>
        <w:spacing w:line="360" w:lineRule="auto"/>
        <w:jc w:val="left"/>
        <w:rPr>
          <w:rFonts w:ascii="宋体" w:hAnsi="宋体" w:cs="宋体"/>
          <w:sz w:val="24"/>
        </w:rPr>
      </w:pPr>
    </w:p>
    <w:p w14:paraId="204ADA45">
      <w:pPr>
        <w:snapToGrid w:val="0"/>
        <w:spacing w:line="360" w:lineRule="auto"/>
        <w:jc w:val="left"/>
        <w:rPr>
          <w:rFonts w:ascii="宋体" w:hAnsi="宋体" w:cs="宋体"/>
          <w:sz w:val="24"/>
        </w:rPr>
      </w:pPr>
    </w:p>
    <w:p w14:paraId="40F0F1BF">
      <w:pPr>
        <w:snapToGrid w:val="0"/>
        <w:spacing w:line="360" w:lineRule="auto"/>
        <w:jc w:val="left"/>
        <w:rPr>
          <w:rFonts w:ascii="宋体" w:hAnsi="宋体" w:cs="宋体"/>
          <w:sz w:val="24"/>
        </w:rPr>
      </w:pPr>
    </w:p>
    <w:p w14:paraId="12089DBA">
      <w:pPr>
        <w:snapToGrid w:val="0"/>
        <w:spacing w:line="360" w:lineRule="auto"/>
        <w:ind w:left="-2" w:leftChars="-1" w:right="-817" w:rightChars="-389" w:firstLine="1920" w:firstLineChars="800"/>
        <w:rPr>
          <w:rFonts w:ascii="宋体" w:hAnsi="宋体" w:cs="宋体"/>
          <w:sz w:val="24"/>
        </w:rPr>
      </w:pPr>
      <w:r>
        <w:rPr>
          <w:rFonts w:hint="eastAsia" w:ascii="宋体" w:hAnsi="宋体" w:cs="宋体"/>
          <w:sz w:val="24"/>
        </w:rPr>
        <w:t xml:space="preserve">法定代表人或者委托代理人（签字或者电子签名）： </w:t>
      </w:r>
    </w:p>
    <w:p w14:paraId="2F33888C">
      <w:pPr>
        <w:snapToGrid w:val="0"/>
        <w:spacing w:line="360" w:lineRule="auto"/>
        <w:ind w:left="-3" w:leftChars="-15" w:right="-817" w:rightChars="-389" w:hanging="28" w:hangingChars="12"/>
        <w:jc w:val="left"/>
        <w:rPr>
          <w:rFonts w:ascii="宋体" w:hAnsi="宋体" w:cs="宋体"/>
          <w:sz w:val="24"/>
        </w:rPr>
      </w:pPr>
      <w:r>
        <w:rPr>
          <w:rFonts w:hint="eastAsia" w:ascii="宋体" w:hAnsi="宋体" w:cs="宋体"/>
          <w:sz w:val="24"/>
        </w:rPr>
        <w:t xml:space="preserve">                                  投标人名称（电子签章）：</w:t>
      </w:r>
    </w:p>
    <w:p w14:paraId="2F8311AC">
      <w:pPr>
        <w:snapToGrid w:val="0"/>
        <w:spacing w:line="360" w:lineRule="auto"/>
        <w:ind w:left="-3" w:leftChars="-15" w:right="-817" w:rightChars="-389" w:hanging="28" w:hangingChars="12"/>
        <w:rPr>
          <w:rFonts w:ascii="宋体" w:hAnsi="宋体" w:cs="宋体"/>
          <w:kern w:val="0"/>
          <w:sz w:val="24"/>
          <w:lang w:val="zh-CN"/>
        </w:rPr>
      </w:pPr>
      <w:r>
        <w:rPr>
          <w:rFonts w:hint="eastAsia" w:ascii="宋体" w:hAnsi="宋体" w:cs="宋体"/>
          <w:sz w:val="24"/>
        </w:rPr>
        <w:t xml:space="preserve">                                  日期：    年   月   日</w:t>
      </w:r>
    </w:p>
    <w:p w14:paraId="57D001DC">
      <w:pPr>
        <w:snapToGrid w:val="0"/>
        <w:spacing w:before="50" w:after="165" w:afterLines="50"/>
        <w:jc w:val="left"/>
        <w:rPr>
          <w:rFonts w:ascii="宋体" w:hAnsi="宋体" w:cs="宋体"/>
          <w:szCs w:val="21"/>
        </w:rPr>
      </w:pPr>
    </w:p>
    <w:p w14:paraId="039B0029">
      <w:pPr>
        <w:snapToGrid w:val="0"/>
        <w:spacing w:before="165" w:beforeLines="50" w:after="50"/>
        <w:jc w:val="left"/>
        <w:rPr>
          <w:rFonts w:ascii="宋体" w:hAnsi="宋体" w:cs="宋体"/>
          <w:b/>
          <w:sz w:val="24"/>
          <w:szCs w:val="20"/>
        </w:rPr>
      </w:pPr>
    </w:p>
    <w:p w14:paraId="3D5E040D">
      <w:pPr>
        <w:snapToGrid w:val="0"/>
        <w:spacing w:before="165" w:beforeLines="50" w:after="50"/>
        <w:jc w:val="left"/>
        <w:rPr>
          <w:rFonts w:ascii="宋体" w:hAnsi="宋体" w:cs="宋体"/>
          <w:b/>
          <w:sz w:val="24"/>
        </w:rPr>
      </w:pPr>
    </w:p>
    <w:p w14:paraId="28276249">
      <w:pPr>
        <w:snapToGrid w:val="0"/>
        <w:spacing w:before="165" w:beforeLines="50" w:after="50"/>
        <w:jc w:val="left"/>
        <w:rPr>
          <w:rFonts w:ascii="宋体" w:hAnsi="宋体" w:cs="宋体"/>
          <w:b/>
          <w:sz w:val="24"/>
          <w:szCs w:val="20"/>
        </w:rPr>
      </w:pPr>
      <w:r>
        <w:rPr>
          <w:rFonts w:hint="eastAsia" w:ascii="宋体" w:hAnsi="宋体" w:cs="宋体"/>
          <w:b/>
          <w:sz w:val="24"/>
          <w:szCs w:val="20"/>
        </w:rPr>
        <w:t xml:space="preserve"> </w:t>
      </w:r>
    </w:p>
    <w:p w14:paraId="445C0B24">
      <w:pPr>
        <w:snapToGrid w:val="0"/>
        <w:spacing w:before="165" w:beforeLines="50" w:after="50"/>
        <w:jc w:val="left"/>
        <w:rPr>
          <w:rFonts w:ascii="宋体" w:hAnsi="宋体" w:cs="宋体"/>
          <w:b/>
          <w:sz w:val="24"/>
          <w:szCs w:val="20"/>
        </w:rPr>
      </w:pPr>
    </w:p>
    <w:p w14:paraId="10F7ABCE">
      <w:pPr>
        <w:snapToGrid w:val="0"/>
        <w:spacing w:before="50" w:after="165" w:afterLines="50"/>
        <w:jc w:val="left"/>
        <w:rPr>
          <w:rFonts w:ascii="宋体" w:hAnsi="宋体" w:cs="宋体"/>
        </w:rPr>
      </w:pPr>
    </w:p>
    <w:p w14:paraId="058D576E">
      <w:pPr>
        <w:numPr>
          <w:ilvl w:val="255"/>
          <w:numId w:val="0"/>
        </w:numPr>
        <w:snapToGrid w:val="0"/>
        <w:spacing w:before="165" w:beforeLines="50" w:after="50"/>
        <w:jc w:val="left"/>
        <w:rPr>
          <w:rFonts w:ascii="宋体" w:hAnsi="宋体" w:cs="宋体"/>
          <w:b/>
          <w:sz w:val="24"/>
          <w:szCs w:val="20"/>
        </w:rPr>
      </w:pPr>
      <w:r>
        <w:rPr>
          <w:rFonts w:hint="eastAsia" w:ascii="宋体" w:hAnsi="宋体" w:cs="宋体"/>
          <w:b/>
          <w:sz w:val="24"/>
        </w:rPr>
        <w:t>4.投标声明</w:t>
      </w:r>
    </w:p>
    <w:p w14:paraId="09EC4998">
      <w:pPr>
        <w:snapToGrid w:val="0"/>
        <w:spacing w:before="50" w:after="165" w:afterLines="50"/>
        <w:jc w:val="center"/>
        <w:rPr>
          <w:rFonts w:ascii="宋体" w:hAnsi="宋体" w:cs="宋体"/>
          <w:b/>
          <w:sz w:val="32"/>
          <w:szCs w:val="32"/>
        </w:rPr>
      </w:pPr>
    </w:p>
    <w:p w14:paraId="518BC47B">
      <w:pPr>
        <w:snapToGrid w:val="0"/>
        <w:spacing w:before="50" w:after="165" w:afterLines="50"/>
        <w:jc w:val="center"/>
        <w:rPr>
          <w:rFonts w:ascii="宋体" w:hAnsi="宋体"/>
          <w:b/>
          <w:sz w:val="28"/>
          <w:szCs w:val="28"/>
        </w:rPr>
      </w:pPr>
      <w:r>
        <w:rPr>
          <w:rFonts w:hint="eastAsia" w:ascii="宋体" w:hAnsi="宋体" w:cs="宋体"/>
          <w:b/>
          <w:sz w:val="32"/>
          <w:szCs w:val="32"/>
        </w:rPr>
        <w:t>投标声明</w:t>
      </w:r>
    </w:p>
    <w:p w14:paraId="0B32FBB6">
      <w:pPr>
        <w:spacing w:line="360" w:lineRule="auto"/>
        <w:contextualSpacing/>
        <w:jc w:val="left"/>
        <w:rPr>
          <w:sz w:val="24"/>
        </w:rPr>
      </w:pPr>
      <w:r>
        <w:rPr>
          <w:rFonts w:hint="eastAsia"/>
          <w:sz w:val="24"/>
        </w:rPr>
        <w:t>（采购人名称）：</w:t>
      </w:r>
    </w:p>
    <w:p w14:paraId="24399399">
      <w:pPr>
        <w:spacing w:line="360" w:lineRule="auto"/>
        <w:ind w:firstLine="523" w:firstLineChars="218"/>
        <w:contextualSpacing/>
        <w:jc w:val="left"/>
        <w:rPr>
          <w:rFonts w:ascii="宋体" w:hAnsi="宋体"/>
          <w:sz w:val="24"/>
        </w:rPr>
      </w:pPr>
      <w:r>
        <w:rPr>
          <w:rFonts w:hint="eastAsia" w:ascii="宋体" w:hAnsi="宋体"/>
          <w:sz w:val="24"/>
        </w:rPr>
        <w:t>我方参加贵单位组织</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）的政府采购活动。我方在此郑重声明：</w:t>
      </w:r>
    </w:p>
    <w:p w14:paraId="53379B63">
      <w:pPr>
        <w:spacing w:line="360" w:lineRule="auto"/>
        <w:ind w:firstLine="480" w:firstLineChars="200"/>
        <w:contextualSpacing/>
        <w:jc w:val="left"/>
        <w:rPr>
          <w:rFonts w:ascii="宋体" w:hAnsi="宋体"/>
          <w:sz w:val="24"/>
        </w:rPr>
      </w:pPr>
      <w:r>
        <w:rPr>
          <w:rFonts w:hint="eastAsia" w:ascii="宋体" w:hAnsi="宋体"/>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4AC739C">
      <w:pPr>
        <w:spacing w:line="360" w:lineRule="auto"/>
        <w:ind w:firstLine="480" w:firstLineChars="200"/>
        <w:contextualSpacing/>
        <w:jc w:val="left"/>
        <w:rPr>
          <w:rFonts w:ascii="宋体" w:hAnsi="宋体"/>
          <w:sz w:val="24"/>
        </w:rPr>
      </w:pPr>
      <w:r>
        <w:rPr>
          <w:rFonts w:hint="eastAsia" w:ascii="宋体" w:hAnsi="宋体"/>
          <w:sz w:val="24"/>
        </w:rPr>
        <w:t>2.</w:t>
      </w:r>
      <w:r>
        <w:rPr>
          <w:rFonts w:hint="eastAsia"/>
        </w:rPr>
        <w:t xml:space="preserve"> </w:t>
      </w:r>
      <w:r>
        <w:rPr>
          <w:rFonts w:hint="eastAsia" w:ascii="宋体" w:hAnsi="宋体"/>
          <w:sz w:val="24"/>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AEC56DB">
      <w:pPr>
        <w:spacing w:line="360" w:lineRule="auto"/>
        <w:ind w:firstLine="480" w:firstLineChars="200"/>
        <w:contextualSpacing/>
        <w:jc w:val="left"/>
        <w:rPr>
          <w:rFonts w:ascii="宋体" w:hAnsi="宋体"/>
          <w:sz w:val="24"/>
        </w:rPr>
      </w:pPr>
      <w:r>
        <w:rPr>
          <w:rFonts w:hint="eastAsia" w:ascii="宋体" w:hAnsi="宋体"/>
          <w:sz w:val="24"/>
        </w:rPr>
        <w:t>3. 我方承诺符合《中华人民共和国政府采购法》第二十二条规定：</w:t>
      </w:r>
    </w:p>
    <w:p w14:paraId="47FEF355">
      <w:pPr>
        <w:spacing w:line="360" w:lineRule="auto"/>
        <w:ind w:firstLine="480" w:firstLineChars="200"/>
        <w:contextualSpacing/>
        <w:jc w:val="left"/>
        <w:rPr>
          <w:rFonts w:ascii="宋体" w:hAnsi="宋体"/>
          <w:sz w:val="24"/>
        </w:rPr>
      </w:pPr>
      <w:r>
        <w:rPr>
          <w:rFonts w:hint="eastAsia" w:ascii="宋体" w:hAnsi="宋体"/>
          <w:sz w:val="24"/>
        </w:rPr>
        <w:t>（一）具有独立承担民事责任的能力；</w:t>
      </w:r>
    </w:p>
    <w:p w14:paraId="2B1DE198">
      <w:pPr>
        <w:spacing w:line="360" w:lineRule="auto"/>
        <w:ind w:firstLine="480" w:firstLineChars="200"/>
        <w:contextualSpacing/>
        <w:jc w:val="left"/>
        <w:rPr>
          <w:rFonts w:ascii="宋体" w:hAnsi="宋体"/>
          <w:sz w:val="24"/>
        </w:rPr>
      </w:pPr>
      <w:r>
        <w:rPr>
          <w:rFonts w:hint="eastAsia" w:ascii="宋体" w:hAnsi="宋体"/>
          <w:sz w:val="24"/>
        </w:rPr>
        <w:t>（二）具有良好的商业信誉和健全的财务会计制度；</w:t>
      </w:r>
    </w:p>
    <w:p w14:paraId="2D377494">
      <w:pPr>
        <w:spacing w:line="360" w:lineRule="auto"/>
        <w:ind w:firstLine="480" w:firstLineChars="200"/>
        <w:contextualSpacing/>
        <w:jc w:val="left"/>
        <w:rPr>
          <w:rFonts w:ascii="宋体" w:hAnsi="宋体"/>
          <w:sz w:val="24"/>
        </w:rPr>
      </w:pPr>
      <w:r>
        <w:rPr>
          <w:rFonts w:hint="eastAsia" w:ascii="宋体" w:hAnsi="宋体"/>
          <w:sz w:val="24"/>
        </w:rPr>
        <w:t>（三）具有履行合同所必需的设备和专业技术能力；</w:t>
      </w:r>
    </w:p>
    <w:p w14:paraId="7BF377F6">
      <w:pPr>
        <w:spacing w:line="360" w:lineRule="auto"/>
        <w:ind w:firstLine="480" w:firstLineChars="200"/>
        <w:contextualSpacing/>
        <w:jc w:val="left"/>
        <w:rPr>
          <w:rFonts w:ascii="宋体" w:hAnsi="宋体"/>
          <w:sz w:val="24"/>
        </w:rPr>
      </w:pPr>
      <w:r>
        <w:rPr>
          <w:rFonts w:hint="eastAsia" w:ascii="宋体" w:hAnsi="宋体"/>
          <w:sz w:val="24"/>
        </w:rPr>
        <w:t>（四）有依法缴纳税收和社会保障资金的良好记录；</w:t>
      </w:r>
    </w:p>
    <w:p w14:paraId="480B5D80">
      <w:pPr>
        <w:spacing w:line="360" w:lineRule="auto"/>
        <w:ind w:firstLine="480" w:firstLineChars="200"/>
        <w:contextualSpacing/>
        <w:jc w:val="left"/>
        <w:rPr>
          <w:rFonts w:ascii="宋体" w:hAnsi="宋体"/>
          <w:sz w:val="24"/>
        </w:rPr>
      </w:pPr>
      <w:r>
        <w:rPr>
          <w:rFonts w:hint="eastAsia" w:ascii="宋体" w:hAnsi="宋体"/>
          <w:sz w:val="24"/>
        </w:rPr>
        <w:t>（五）参加政府采购活动前三年内，在经营活动中没有重大违法记录；</w:t>
      </w:r>
    </w:p>
    <w:p w14:paraId="4DAA21E8">
      <w:pPr>
        <w:spacing w:line="360" w:lineRule="auto"/>
        <w:ind w:firstLine="480" w:firstLineChars="200"/>
        <w:contextualSpacing/>
        <w:jc w:val="left"/>
        <w:rPr>
          <w:rFonts w:ascii="宋体" w:hAnsi="宋体"/>
          <w:sz w:val="24"/>
        </w:rPr>
      </w:pPr>
      <w:r>
        <w:rPr>
          <w:rFonts w:hint="eastAsia" w:ascii="宋体" w:hAnsi="宋体"/>
          <w:sz w:val="24"/>
        </w:rPr>
        <w:t>（六）法律、行政法规规定的其他条件。</w:t>
      </w:r>
    </w:p>
    <w:p w14:paraId="47C4B4F1">
      <w:pPr>
        <w:spacing w:line="360" w:lineRule="auto"/>
        <w:ind w:firstLine="480" w:firstLineChars="200"/>
        <w:contextualSpacing/>
        <w:jc w:val="left"/>
        <w:rPr>
          <w:rFonts w:ascii="宋体" w:hAnsi="宋体"/>
          <w:sz w:val="24"/>
        </w:rPr>
      </w:pPr>
      <w:r>
        <w:rPr>
          <w:rFonts w:hint="eastAsia" w:ascii="宋体" w:hAnsi="宋体"/>
          <w:sz w:val="24"/>
        </w:rPr>
        <w:t>4.以上事项如有虚假或者隐瞒，我方愿意承担一切后果，并不再寻求任何旨在减轻或者免除法律责任的辩解。</w:t>
      </w:r>
    </w:p>
    <w:p w14:paraId="08FD5D6A">
      <w:pPr>
        <w:spacing w:line="360" w:lineRule="auto"/>
        <w:contextualSpacing/>
        <w:jc w:val="left"/>
        <w:rPr>
          <w:rFonts w:ascii="宋体" w:hAnsi="宋体"/>
          <w:sz w:val="24"/>
        </w:rPr>
      </w:pPr>
      <w:r>
        <w:rPr>
          <w:rFonts w:hint="eastAsia" w:ascii="宋体" w:hAnsi="宋体"/>
          <w:sz w:val="24"/>
        </w:rPr>
        <w:t xml:space="preserve">    特此承诺。</w:t>
      </w:r>
    </w:p>
    <w:p w14:paraId="7F8EB83F">
      <w:pPr>
        <w:spacing w:line="400" w:lineRule="exact"/>
        <w:contextualSpacing/>
        <w:jc w:val="left"/>
        <w:rPr>
          <w:rFonts w:ascii="宋体" w:hAnsi="宋体" w:cs="宋体"/>
          <w:sz w:val="24"/>
        </w:rPr>
      </w:pPr>
      <w:r>
        <w:rPr>
          <w:rFonts w:hint="eastAsia" w:ascii="宋体" w:hAnsi="宋体" w:cs="宋体"/>
          <w:sz w:val="24"/>
        </w:rPr>
        <w:t xml:space="preserve">                            </w:t>
      </w:r>
    </w:p>
    <w:p w14:paraId="556C5E9A">
      <w:pPr>
        <w:spacing w:line="400" w:lineRule="exact"/>
        <w:ind w:firstLine="2880" w:firstLineChars="1200"/>
        <w:contextualSpacing/>
        <w:jc w:val="left"/>
        <w:rPr>
          <w:rFonts w:ascii="宋体" w:hAnsi="宋体" w:cs="宋体"/>
          <w:sz w:val="24"/>
        </w:rPr>
      </w:pPr>
      <w:r>
        <w:rPr>
          <w:rFonts w:hint="eastAsia" w:ascii="宋体" w:hAnsi="宋体" w:cs="宋体"/>
          <w:sz w:val="24"/>
        </w:rPr>
        <w:t>法定代表人（签字或者盖章或者电子签名）：</w:t>
      </w:r>
      <w:r>
        <w:rPr>
          <w:rFonts w:hint="eastAsia" w:ascii="宋体" w:hAnsi="宋体" w:cs="宋体"/>
          <w:sz w:val="24"/>
          <w:u w:val="single"/>
        </w:rPr>
        <w:t xml:space="preserve">             </w:t>
      </w:r>
    </w:p>
    <w:p w14:paraId="76DE16C3">
      <w:pPr>
        <w:spacing w:line="400" w:lineRule="exact"/>
        <w:contextualSpacing/>
        <w:jc w:val="left"/>
        <w:rPr>
          <w:rFonts w:ascii="宋体" w:hAnsi="宋体" w:cs="宋体"/>
          <w:sz w:val="24"/>
        </w:rPr>
      </w:pPr>
      <w:r>
        <w:rPr>
          <w:rFonts w:hint="eastAsia" w:ascii="宋体" w:hAnsi="宋体" w:cs="宋体"/>
          <w:sz w:val="24"/>
        </w:rPr>
        <w:t xml:space="preserve">                             投标人名称（电子签章）：</w:t>
      </w:r>
      <w:r>
        <w:rPr>
          <w:rFonts w:hint="eastAsia" w:ascii="宋体" w:hAnsi="宋体" w:cs="宋体"/>
          <w:sz w:val="24"/>
          <w:u w:val="single"/>
        </w:rPr>
        <w:t xml:space="preserve">                 </w:t>
      </w:r>
    </w:p>
    <w:p w14:paraId="2F043F84">
      <w:pPr>
        <w:snapToGrid w:val="0"/>
        <w:spacing w:before="50" w:after="331" w:afterLines="100" w:line="360" w:lineRule="auto"/>
        <w:ind w:left="7083" w:leftChars="2223" w:hanging="2415" w:hangingChars="1150"/>
        <w:jc w:val="left"/>
        <w:rPr>
          <w:rFonts w:ascii="宋体" w:hAnsi="宋体" w:cs="宋体"/>
          <w:kern w:val="0"/>
          <w:sz w:val="24"/>
          <w:lang w:val="zh-CN"/>
        </w:rPr>
      </w:pPr>
      <w:r>
        <w:rPr>
          <w:rFonts w:hint="eastAsia" w:ascii="宋体" w:hAnsi="宋体" w:cs="宋体"/>
          <w:szCs w:val="21"/>
        </w:rPr>
        <w:t xml:space="preserve">                       </w:t>
      </w:r>
      <w:r>
        <w:rPr>
          <w:rFonts w:hint="eastAsia" w:ascii="宋体" w:hAnsi="宋体" w:cs="宋体"/>
          <w:sz w:val="24"/>
        </w:rPr>
        <w:t>年    月    日</w:t>
      </w:r>
    </w:p>
    <w:p w14:paraId="4FB6991E">
      <w:pPr>
        <w:pStyle w:val="20"/>
        <w:spacing w:line="600" w:lineRule="exact"/>
        <w:rPr>
          <w:rFonts w:hAnsi="宋体" w:cs="宋体"/>
          <w:b/>
          <w:bCs/>
          <w:sz w:val="30"/>
          <w:szCs w:val="30"/>
        </w:rPr>
        <w:sectPr>
          <w:pgSz w:w="11906" w:h="16838"/>
          <w:pgMar w:top="1134" w:right="1312" w:bottom="1134" w:left="1354" w:header="720" w:footer="720" w:gutter="0"/>
          <w:cols w:space="720" w:num="1"/>
          <w:docGrid w:type="lines" w:linePitch="331" w:charSpace="0"/>
        </w:sectPr>
      </w:pPr>
    </w:p>
    <w:p w14:paraId="7F89C8EE">
      <w:pPr>
        <w:snapToGrid w:val="0"/>
        <w:spacing w:before="165" w:beforeLines="50" w:after="50"/>
        <w:jc w:val="left"/>
        <w:rPr>
          <w:rFonts w:ascii="宋体" w:hAnsi="宋体"/>
          <w:b/>
          <w:sz w:val="24"/>
        </w:rPr>
      </w:pPr>
      <w:r>
        <w:rPr>
          <w:rFonts w:hint="eastAsia" w:ascii="宋体" w:hAnsi="宋体"/>
          <w:b/>
          <w:sz w:val="24"/>
        </w:rPr>
        <w:t>5.中小企业声明函格式</w:t>
      </w:r>
    </w:p>
    <w:p w14:paraId="26615A84"/>
    <w:p w14:paraId="1A545746">
      <w:pPr>
        <w:jc w:val="center"/>
        <w:rPr>
          <w:rFonts w:ascii="方正小标宋简体" w:hAnsi="方正小标宋简体" w:eastAsia="方正小标宋简体" w:cs="方正小标宋简体"/>
          <w:sz w:val="44"/>
          <w:szCs w:val="44"/>
        </w:rPr>
      </w:pPr>
      <w:bookmarkStart w:id="354" w:name="OLE_LINK55"/>
      <w:r>
        <w:rPr>
          <w:rFonts w:hint="eastAsia" w:ascii="方正小标宋简体" w:hAnsi="方正小标宋简体" w:eastAsia="方正小标宋简体" w:cs="方正小标宋简体"/>
          <w:sz w:val="44"/>
          <w:szCs w:val="44"/>
        </w:rPr>
        <w:t>中小企业声明函</w:t>
      </w:r>
    </w:p>
    <w:p w14:paraId="2B1D1605">
      <w:pPr>
        <w:spacing w:before="2" w:line="500" w:lineRule="exact"/>
        <w:rPr>
          <w:rFonts w:ascii="宋体" w:hAnsi="宋体" w:cs="宋体"/>
          <w:b/>
          <w:bCs/>
          <w:sz w:val="27"/>
          <w:szCs w:val="27"/>
        </w:rPr>
      </w:pPr>
    </w:p>
    <w:p w14:paraId="2AB0059C">
      <w:pPr>
        <w:rPr>
          <w:spacing w:val="-4"/>
          <w:szCs w:val="21"/>
        </w:rPr>
      </w:pPr>
      <w:r>
        <w:rPr>
          <w:rFonts w:hint="eastAsia" w:hAnsi="宋体"/>
          <w:spacing w:val="-4"/>
          <w:szCs w:val="21"/>
        </w:rPr>
        <w:t>说明：</w:t>
      </w:r>
    </w:p>
    <w:p w14:paraId="28608E4B">
      <w:pPr>
        <w:ind w:firstLine="404" w:firstLineChars="200"/>
        <w:rPr>
          <w:spacing w:val="-4"/>
          <w:szCs w:val="21"/>
        </w:rPr>
      </w:pPr>
      <w:r>
        <w:rPr>
          <w:spacing w:val="-4"/>
          <w:szCs w:val="21"/>
        </w:rPr>
        <w:t>1</w:t>
      </w:r>
      <w:r>
        <w:rPr>
          <w:rFonts w:hint="eastAsia" w:hAnsi="宋体"/>
          <w:spacing w:val="-4"/>
          <w:szCs w:val="21"/>
        </w:rPr>
        <w:t>、本声明函主要供参加政府采购活动的中小企业填写，非中小企业无需填写。</w:t>
      </w:r>
    </w:p>
    <w:p w14:paraId="3EA7FB48">
      <w:pPr>
        <w:ind w:firstLine="404" w:firstLineChars="200"/>
        <w:rPr>
          <w:rFonts w:hAnsi="宋体"/>
          <w:spacing w:val="-4"/>
          <w:szCs w:val="21"/>
        </w:rPr>
      </w:pPr>
      <w:r>
        <w:rPr>
          <w:spacing w:val="-4"/>
          <w:szCs w:val="21"/>
        </w:rPr>
        <w:t>2</w:t>
      </w:r>
      <w:r>
        <w:rPr>
          <w:rFonts w:hint="eastAsia" w:hAnsi="宋体"/>
          <w:spacing w:val="-4"/>
          <w:szCs w:val="21"/>
        </w:rPr>
        <w:t>、小型、微型企业提供中型企业提供的货物的，视同为中型企业。</w:t>
      </w:r>
    </w:p>
    <w:p w14:paraId="75E24B5C">
      <w:pPr>
        <w:ind w:firstLine="404" w:firstLineChars="200"/>
        <w:rPr>
          <w:rFonts w:hAnsi="宋体"/>
          <w:spacing w:val="-4"/>
          <w:szCs w:val="21"/>
        </w:rPr>
      </w:pPr>
    </w:p>
    <w:p w14:paraId="570FED43">
      <w:pPr>
        <w:spacing w:after="120" w:line="360" w:lineRule="auto"/>
        <w:ind w:left="-426" w:leftChars="-203" w:right="142" w:firstLine="480" w:firstLineChars="200"/>
        <w:contextualSpacing/>
        <w:rPr>
          <w:rFonts w:ascii="宋体" w:hAnsi="宋体"/>
          <w:kern w:val="24"/>
          <w:sz w:val="24"/>
        </w:rPr>
      </w:pPr>
      <w:r>
        <w:rPr>
          <w:rFonts w:ascii="宋体" w:hAnsi="宋体"/>
          <w:kern w:val="24"/>
          <w:sz w:val="24"/>
        </w:rPr>
        <w:t>本公司（联合体）郑重声明，根据《政府采购促进中小企业发展管理办法》（财库﹝2020﹞46号）的规定，本公司（联合体）参加</w:t>
      </w:r>
      <w:r>
        <w:rPr>
          <w:rFonts w:ascii="宋体" w:hAnsi="宋体"/>
          <w:kern w:val="24"/>
          <w:sz w:val="24"/>
          <w:u w:val="single"/>
        </w:rPr>
        <w:t>（单位名称）</w:t>
      </w:r>
      <w:r>
        <w:rPr>
          <w:rFonts w:ascii="宋体" w:hAnsi="宋体"/>
          <w:kern w:val="24"/>
          <w:sz w:val="24"/>
        </w:rPr>
        <w:t>的</w:t>
      </w:r>
      <w:r>
        <w:rPr>
          <w:rFonts w:ascii="宋体" w:hAnsi="宋体"/>
          <w:kern w:val="24"/>
          <w:sz w:val="24"/>
          <w:u w:val="single"/>
        </w:rPr>
        <w:t>（项目名称）</w:t>
      </w:r>
      <w:r>
        <w:rPr>
          <w:rFonts w:ascii="宋体" w:hAnsi="宋体"/>
          <w:kern w:val="24"/>
          <w:sz w:val="24"/>
        </w:rPr>
        <w:t xml:space="preserve">  </w:t>
      </w:r>
      <w:r>
        <w:rPr>
          <w:rFonts w:hint="eastAsia" w:ascii="宋体" w:hAnsi="宋体"/>
          <w:kern w:val="24"/>
          <w:sz w:val="24"/>
          <w:u w:val="single"/>
        </w:rPr>
        <w:t>（</w:t>
      </w:r>
      <w:r>
        <w:rPr>
          <w:rFonts w:ascii="宋体" w:hAnsi="宋体"/>
          <w:kern w:val="24"/>
          <w:sz w:val="24"/>
          <w:u w:val="single"/>
        </w:rPr>
        <w:t>分标</w:t>
      </w:r>
      <w:r>
        <w:rPr>
          <w:rFonts w:hint="eastAsia" w:ascii="宋体" w:hAnsi="宋体"/>
          <w:kern w:val="24"/>
          <w:sz w:val="24"/>
          <w:u w:val="single"/>
        </w:rPr>
        <w:t>）</w:t>
      </w:r>
      <w:r>
        <w:rPr>
          <w:rFonts w:ascii="宋体" w:hAnsi="宋体"/>
          <w:kern w:val="24"/>
          <w:sz w:val="24"/>
        </w:rPr>
        <w:t>采购活动，提供的货物全部由符合政策要求的中小企业制造。相关企业（含联合体中的中小企业、签订分包意向协议的中小企业）的具体情况如下：</w:t>
      </w:r>
    </w:p>
    <w:p w14:paraId="6ABA1C25">
      <w:pPr>
        <w:tabs>
          <w:tab w:val="left" w:pos="1384"/>
          <w:tab w:val="left" w:pos="4562"/>
          <w:tab w:val="left" w:pos="6803"/>
        </w:tabs>
        <w:spacing w:line="360" w:lineRule="auto"/>
        <w:ind w:left="-426" w:right="-58" w:firstLine="655"/>
        <w:contextualSpacing/>
        <w:rPr>
          <w:rFonts w:ascii="宋体" w:hAnsi="宋体"/>
          <w:kern w:val="24"/>
          <w:sz w:val="24"/>
        </w:rPr>
      </w:pPr>
      <w:r>
        <w:rPr>
          <w:rFonts w:ascii="宋体" w:hAnsi="宋体"/>
          <w:kern w:val="24"/>
          <w:sz w:val="24"/>
        </w:rPr>
        <w:t>1.</w:t>
      </w:r>
      <w:r>
        <w:rPr>
          <w:rFonts w:ascii="宋体" w:hAnsi="宋体"/>
          <w:kern w:val="24"/>
          <w:sz w:val="24"/>
          <w:u w:val="single"/>
        </w:rPr>
        <w:t>（标的名称）</w:t>
      </w:r>
      <w:r>
        <w:rPr>
          <w:rFonts w:ascii="宋体" w:hAnsi="宋体"/>
          <w:kern w:val="24"/>
          <w:sz w:val="24"/>
        </w:rPr>
        <w:t>，属于</w:t>
      </w:r>
      <w:r>
        <w:rPr>
          <w:rFonts w:ascii="宋体" w:hAnsi="宋体"/>
          <w:kern w:val="24"/>
          <w:sz w:val="24"/>
          <w:u w:val="single"/>
        </w:rPr>
        <w:t>（采购文件中明确的所属行业）</w:t>
      </w:r>
      <w:r>
        <w:rPr>
          <w:rFonts w:ascii="宋体" w:hAnsi="宋体"/>
          <w:kern w:val="24"/>
          <w:sz w:val="24"/>
        </w:rPr>
        <w:t>行业；制造商为</w:t>
      </w:r>
      <w:r>
        <w:rPr>
          <w:rFonts w:ascii="宋体" w:hAnsi="宋体"/>
          <w:kern w:val="24"/>
          <w:sz w:val="24"/>
          <w:u w:val="single"/>
        </w:rPr>
        <w:t>（企业名称）</w:t>
      </w:r>
      <w:r>
        <w:rPr>
          <w:rFonts w:ascii="宋体" w:hAnsi="宋体"/>
          <w:kern w:val="24"/>
          <w:sz w:val="24"/>
        </w:rPr>
        <w:t>，从业人员</w:t>
      </w:r>
      <w:r>
        <w:rPr>
          <w:rFonts w:hint="eastAsia" w:ascii="宋体" w:hAnsi="宋体"/>
          <w:kern w:val="24"/>
          <w:sz w:val="24"/>
          <w:u w:val="single"/>
        </w:rPr>
        <w:t xml:space="preserve"> </w:t>
      </w:r>
      <w:r>
        <w:rPr>
          <w:rFonts w:ascii="宋体" w:hAnsi="宋体"/>
          <w:kern w:val="24"/>
          <w:sz w:val="24"/>
          <w:u w:val="single"/>
        </w:rPr>
        <w:t xml:space="preserve">     </w:t>
      </w:r>
      <w:r>
        <w:rPr>
          <w:rFonts w:ascii="宋体" w:hAnsi="宋体"/>
          <w:kern w:val="24"/>
          <w:sz w:val="24"/>
        </w:rPr>
        <w:t>人，营业收入为</w:t>
      </w:r>
      <w:r>
        <w:rPr>
          <w:rFonts w:hint="eastAsia" w:ascii="宋体" w:hAnsi="宋体"/>
          <w:kern w:val="24"/>
          <w:sz w:val="24"/>
          <w:u w:val="single"/>
        </w:rPr>
        <w:t xml:space="preserve"> </w:t>
      </w:r>
      <w:r>
        <w:rPr>
          <w:rFonts w:ascii="宋体" w:hAnsi="宋体"/>
          <w:kern w:val="24"/>
          <w:sz w:val="24"/>
          <w:u w:val="single"/>
        </w:rPr>
        <w:t xml:space="preserve">     </w:t>
      </w:r>
      <w:r>
        <w:rPr>
          <w:rFonts w:ascii="宋体" w:hAnsi="宋体"/>
          <w:kern w:val="24"/>
          <w:sz w:val="24"/>
        </w:rPr>
        <w:t>万元，资产总额为</w:t>
      </w:r>
      <w:r>
        <w:rPr>
          <w:rFonts w:hint="eastAsia" w:ascii="宋体" w:hAnsi="宋体"/>
          <w:kern w:val="24"/>
          <w:sz w:val="24"/>
          <w:u w:val="single"/>
        </w:rPr>
        <w:t xml:space="preserve"> </w:t>
      </w:r>
      <w:r>
        <w:rPr>
          <w:rFonts w:ascii="宋体" w:hAnsi="宋体"/>
          <w:kern w:val="24"/>
          <w:sz w:val="24"/>
          <w:u w:val="single"/>
        </w:rPr>
        <w:t xml:space="preserve">     </w:t>
      </w:r>
      <w:r>
        <w:rPr>
          <w:rFonts w:ascii="宋体" w:hAnsi="宋体"/>
          <w:kern w:val="24"/>
          <w:sz w:val="24"/>
        </w:rPr>
        <w:t>万元，属于</w:t>
      </w:r>
      <w:r>
        <w:rPr>
          <w:rFonts w:ascii="宋体" w:hAnsi="宋体"/>
          <w:kern w:val="24"/>
          <w:sz w:val="24"/>
          <w:u w:val="single"/>
        </w:rPr>
        <w:t>（中型企业、小型企业、微型企业）</w:t>
      </w:r>
      <w:r>
        <w:rPr>
          <w:rFonts w:ascii="宋体" w:hAnsi="宋体"/>
          <w:kern w:val="24"/>
          <w:sz w:val="24"/>
        </w:rPr>
        <w:t>；</w:t>
      </w:r>
    </w:p>
    <w:p w14:paraId="703DEC1B">
      <w:pPr>
        <w:tabs>
          <w:tab w:val="left" w:pos="1065"/>
          <w:tab w:val="left" w:pos="6477"/>
        </w:tabs>
        <w:spacing w:line="360" w:lineRule="auto"/>
        <w:ind w:left="-426" w:right="-58" w:firstLine="655"/>
        <w:contextualSpacing/>
        <w:rPr>
          <w:rFonts w:ascii="宋体" w:hAnsi="宋体"/>
          <w:kern w:val="24"/>
          <w:sz w:val="24"/>
        </w:rPr>
      </w:pPr>
      <w:r>
        <w:rPr>
          <w:rFonts w:ascii="宋体" w:hAnsi="宋体"/>
          <w:kern w:val="24"/>
          <w:sz w:val="24"/>
        </w:rPr>
        <w:t>2.</w:t>
      </w:r>
      <w:r>
        <w:rPr>
          <w:rFonts w:ascii="宋体" w:hAnsi="宋体"/>
          <w:kern w:val="24"/>
          <w:sz w:val="24"/>
          <w:u w:val="single"/>
        </w:rPr>
        <w:t>（标的名称）</w:t>
      </w:r>
      <w:r>
        <w:rPr>
          <w:rFonts w:ascii="宋体" w:hAnsi="宋体"/>
          <w:kern w:val="24"/>
          <w:sz w:val="24"/>
        </w:rPr>
        <w:t>，属于</w:t>
      </w:r>
      <w:r>
        <w:rPr>
          <w:rFonts w:ascii="宋体" w:hAnsi="宋体"/>
          <w:kern w:val="24"/>
          <w:sz w:val="24"/>
          <w:u w:val="single"/>
        </w:rPr>
        <w:t>（采购文件中明确的所属行业）</w:t>
      </w:r>
      <w:r>
        <w:rPr>
          <w:rFonts w:ascii="宋体" w:hAnsi="宋体"/>
          <w:kern w:val="24"/>
          <w:sz w:val="24"/>
        </w:rPr>
        <w:t>行业；制造商为</w:t>
      </w:r>
      <w:r>
        <w:rPr>
          <w:rFonts w:ascii="宋体" w:hAnsi="宋体"/>
          <w:kern w:val="24"/>
          <w:sz w:val="24"/>
          <w:u w:val="single"/>
        </w:rPr>
        <w:t>（企业名称）</w:t>
      </w:r>
      <w:r>
        <w:rPr>
          <w:rFonts w:ascii="宋体" w:hAnsi="宋体"/>
          <w:kern w:val="24"/>
          <w:sz w:val="24"/>
        </w:rPr>
        <w:t>，从业人员</w:t>
      </w:r>
      <w:r>
        <w:rPr>
          <w:rFonts w:hint="eastAsia" w:ascii="宋体" w:hAnsi="宋体"/>
          <w:kern w:val="24"/>
          <w:sz w:val="24"/>
          <w:u w:val="single"/>
        </w:rPr>
        <w:t xml:space="preserve"> </w:t>
      </w:r>
      <w:r>
        <w:rPr>
          <w:rFonts w:ascii="宋体" w:hAnsi="宋体"/>
          <w:kern w:val="24"/>
          <w:sz w:val="24"/>
          <w:u w:val="single"/>
        </w:rPr>
        <w:t xml:space="preserve">     </w:t>
      </w:r>
      <w:r>
        <w:rPr>
          <w:rFonts w:ascii="宋体" w:hAnsi="宋体"/>
          <w:kern w:val="24"/>
          <w:sz w:val="24"/>
        </w:rPr>
        <w:t>人，营业收入为</w:t>
      </w:r>
      <w:r>
        <w:rPr>
          <w:rFonts w:hint="eastAsia" w:ascii="宋体" w:hAnsi="宋体"/>
          <w:kern w:val="24"/>
          <w:sz w:val="24"/>
          <w:u w:val="single"/>
        </w:rPr>
        <w:t xml:space="preserve"> </w:t>
      </w:r>
      <w:r>
        <w:rPr>
          <w:rFonts w:ascii="宋体" w:hAnsi="宋体"/>
          <w:kern w:val="24"/>
          <w:sz w:val="24"/>
          <w:u w:val="single"/>
        </w:rPr>
        <w:t xml:space="preserve">     </w:t>
      </w:r>
      <w:r>
        <w:rPr>
          <w:rFonts w:ascii="宋体" w:hAnsi="宋体"/>
          <w:kern w:val="24"/>
          <w:sz w:val="24"/>
        </w:rPr>
        <w:t>万元，资产总额为</w:t>
      </w:r>
      <w:r>
        <w:rPr>
          <w:rFonts w:hint="eastAsia" w:ascii="宋体" w:hAnsi="宋体"/>
          <w:kern w:val="24"/>
          <w:sz w:val="24"/>
          <w:u w:val="single"/>
        </w:rPr>
        <w:t xml:space="preserve"> </w:t>
      </w:r>
      <w:r>
        <w:rPr>
          <w:rFonts w:ascii="宋体" w:hAnsi="宋体"/>
          <w:kern w:val="24"/>
          <w:sz w:val="24"/>
          <w:u w:val="single"/>
        </w:rPr>
        <w:t xml:space="preserve">     </w:t>
      </w:r>
      <w:r>
        <w:rPr>
          <w:rFonts w:ascii="宋体" w:hAnsi="宋体"/>
          <w:kern w:val="24"/>
          <w:sz w:val="24"/>
        </w:rPr>
        <w:t>万元，属于</w:t>
      </w:r>
      <w:r>
        <w:rPr>
          <w:rFonts w:ascii="宋体" w:hAnsi="宋体"/>
          <w:kern w:val="24"/>
          <w:sz w:val="24"/>
          <w:u w:val="single"/>
        </w:rPr>
        <w:t>（中型企业、小型企业、微型企业）</w:t>
      </w:r>
      <w:r>
        <w:rPr>
          <w:rFonts w:ascii="宋体" w:hAnsi="宋体"/>
          <w:kern w:val="24"/>
          <w:sz w:val="24"/>
        </w:rPr>
        <w:t>；</w:t>
      </w:r>
    </w:p>
    <w:p w14:paraId="077B3E5C">
      <w:pPr>
        <w:spacing w:after="120" w:line="360" w:lineRule="auto"/>
        <w:ind w:left="142" w:right="142"/>
        <w:contextualSpacing/>
        <w:rPr>
          <w:rFonts w:ascii="宋体" w:hAnsi="宋体"/>
          <w:kern w:val="24"/>
        </w:rPr>
      </w:pPr>
      <w:r>
        <w:rPr>
          <w:rFonts w:ascii="宋体" w:hAnsi="宋体"/>
          <w:kern w:val="24"/>
        </w:rPr>
        <w:t xml:space="preserve">…… </w:t>
      </w:r>
    </w:p>
    <w:p w14:paraId="075526A8">
      <w:pPr>
        <w:spacing w:after="120" w:line="360" w:lineRule="auto"/>
        <w:ind w:left="-405" w:leftChars="-193" w:right="142" w:firstLine="453" w:firstLineChars="189"/>
        <w:contextualSpacing/>
        <w:rPr>
          <w:rFonts w:ascii="宋体" w:hAnsi="宋体"/>
          <w:kern w:val="24"/>
          <w:sz w:val="24"/>
        </w:rPr>
      </w:pPr>
      <w:r>
        <w:rPr>
          <w:rFonts w:ascii="宋体" w:hAnsi="宋体"/>
          <w:kern w:val="24"/>
          <w:sz w:val="24"/>
        </w:rPr>
        <w:t>以上企业，不属于大企业的分支机构，不存在控股股东为大企业的情形，也不存在与大企业的负责人为同一人的情形。</w:t>
      </w:r>
    </w:p>
    <w:p w14:paraId="3F3866EC">
      <w:pPr>
        <w:spacing w:after="120" w:line="360" w:lineRule="auto"/>
        <w:ind w:left="-426" w:right="142" w:firstLine="567"/>
        <w:contextualSpacing/>
        <w:rPr>
          <w:rFonts w:ascii="宋体" w:hAnsi="宋体"/>
          <w:kern w:val="24"/>
          <w:sz w:val="24"/>
        </w:rPr>
      </w:pPr>
      <w:r>
        <w:rPr>
          <w:rFonts w:ascii="宋体" w:hAnsi="宋体"/>
          <w:kern w:val="24"/>
          <w:sz w:val="24"/>
        </w:rPr>
        <w:t>本企业对上述声明内容的真实性负责。如有虚假，将依法承担相应责任。</w:t>
      </w:r>
    </w:p>
    <w:p w14:paraId="761C5534">
      <w:pPr>
        <w:spacing w:line="360" w:lineRule="auto"/>
        <w:ind w:firstLine="420" w:firstLineChars="200"/>
        <w:rPr>
          <w:rFonts w:ascii="宋体" w:hAnsi="宋体"/>
          <w:szCs w:val="21"/>
        </w:rPr>
      </w:pPr>
    </w:p>
    <w:p w14:paraId="254722BE">
      <w:pPr>
        <w:spacing w:after="120" w:line="360" w:lineRule="auto"/>
        <w:ind w:left="-426" w:right="142" w:firstLine="567"/>
        <w:contextualSpacing/>
        <w:jc w:val="right"/>
        <w:rPr>
          <w:rFonts w:ascii="宋体" w:hAnsi="宋体"/>
          <w:kern w:val="24"/>
          <w:sz w:val="24"/>
        </w:rPr>
      </w:pPr>
      <w:r>
        <w:rPr>
          <w:rFonts w:hint="eastAsia" w:ascii="宋体" w:hAnsi="宋体"/>
          <w:kern w:val="24"/>
          <w:sz w:val="24"/>
        </w:rPr>
        <w:t>投标人名称(电子签章)：</w:t>
      </w:r>
    </w:p>
    <w:p w14:paraId="43AB1A05">
      <w:pPr>
        <w:spacing w:after="120" w:line="360" w:lineRule="auto"/>
        <w:ind w:left="-426" w:right="142" w:firstLine="567"/>
        <w:contextualSpacing/>
        <w:jc w:val="right"/>
        <w:rPr>
          <w:rFonts w:ascii="宋体" w:hAnsi="宋体"/>
          <w:kern w:val="24"/>
          <w:sz w:val="24"/>
        </w:rPr>
      </w:pPr>
      <w:r>
        <w:rPr>
          <w:rFonts w:hint="eastAsia" w:ascii="宋体" w:hAnsi="宋体"/>
          <w:kern w:val="24"/>
          <w:sz w:val="24"/>
        </w:rPr>
        <w:t>日期：  年  月   日</w:t>
      </w:r>
    </w:p>
    <w:p w14:paraId="2F177702">
      <w:pPr>
        <w:snapToGrid w:val="0"/>
        <w:spacing w:before="50" w:after="165" w:afterLines="50" w:line="360" w:lineRule="auto"/>
        <w:jc w:val="left"/>
        <w:rPr>
          <w:rFonts w:hAnsi="宋体" w:cs="宋体"/>
          <w:sz w:val="20"/>
        </w:rPr>
      </w:pPr>
      <w:r>
        <w:rPr>
          <w:rFonts w:hint="eastAsia" w:hAnsi="宋体" w:cs="宋体"/>
          <w:sz w:val="20"/>
        </w:rPr>
        <w:t>注：</w:t>
      </w:r>
    </w:p>
    <w:p w14:paraId="130DA731">
      <w:pPr>
        <w:numPr>
          <w:ilvl w:val="0"/>
          <w:numId w:val="29"/>
        </w:numPr>
        <w:snapToGrid w:val="0"/>
        <w:spacing w:before="50" w:after="165" w:afterLines="50" w:line="360" w:lineRule="auto"/>
        <w:jc w:val="left"/>
        <w:rPr>
          <w:sz w:val="20"/>
        </w:rPr>
      </w:pPr>
      <w:r>
        <w:rPr>
          <w:rFonts w:hint="eastAsia"/>
          <w:sz w:val="20"/>
        </w:rPr>
        <w:t>从业人员、营业收入、资产总额填报上一年度数据，无上一年度数据的新成立企业可不填报。</w:t>
      </w:r>
    </w:p>
    <w:p w14:paraId="4C39CC7E">
      <w:pPr>
        <w:snapToGrid w:val="0"/>
        <w:spacing w:before="50" w:after="165" w:afterLines="50" w:line="360" w:lineRule="auto"/>
        <w:ind w:firstLine="300" w:firstLineChars="150"/>
        <w:jc w:val="left"/>
        <w:rPr>
          <w:sz w:val="20"/>
        </w:rPr>
        <w:sectPr>
          <w:pgSz w:w="11906" w:h="16838"/>
          <w:pgMar w:top="1134" w:right="1134" w:bottom="1134" w:left="1134" w:header="720" w:footer="720" w:gutter="0"/>
          <w:cols w:space="720" w:num="1"/>
          <w:docGrid w:type="lines" w:linePitch="331" w:charSpace="0"/>
        </w:sectPr>
      </w:pPr>
      <w:r>
        <w:rPr>
          <w:rFonts w:hint="eastAsia"/>
          <w:sz w:val="20"/>
        </w:rPr>
        <w:t>2、请根据自己的真实情况出具《中小企业声明函》。依法享受中小企业优惠政策的，采购人或者采购代理机构在公告中标结果时，同时公告其《中小企业声明函》，接受社会监督。</w:t>
      </w:r>
    </w:p>
    <w:p w14:paraId="4A6A4ADB">
      <w:pPr>
        <w:rPr>
          <w:rFonts w:ascii="宋体" w:hAnsi="宋体"/>
          <w:b/>
          <w:sz w:val="24"/>
        </w:rPr>
      </w:pPr>
      <w:r>
        <w:rPr>
          <w:rFonts w:hint="eastAsia" w:ascii="宋体" w:hAnsi="宋体"/>
          <w:b/>
          <w:sz w:val="24"/>
        </w:rPr>
        <w:t>6.残疾人福利性单位声明函格式</w:t>
      </w:r>
    </w:p>
    <w:p w14:paraId="3EA7F06D">
      <w:pPr>
        <w:spacing w:line="588" w:lineRule="exact"/>
        <w:jc w:val="center"/>
        <w:rPr>
          <w:rFonts w:ascii="仿宋_GB2312" w:eastAsia="仿宋_GB2312"/>
          <w:b/>
          <w:spacing w:val="6"/>
          <w:sz w:val="32"/>
          <w:szCs w:val="32"/>
        </w:rPr>
      </w:pPr>
    </w:p>
    <w:p w14:paraId="66CDB87A">
      <w:pPr>
        <w:spacing w:line="588" w:lineRule="exact"/>
        <w:jc w:val="center"/>
        <w:rPr>
          <w:rFonts w:ascii="方正小标宋简体" w:hAnsi="方正小标宋简体" w:eastAsia="方正小标宋简体" w:cs="方正小标宋简体"/>
          <w:bCs/>
          <w:spacing w:val="6"/>
          <w:sz w:val="44"/>
          <w:szCs w:val="44"/>
        </w:rPr>
      </w:pPr>
      <w:r>
        <w:rPr>
          <w:rFonts w:hint="eastAsia" w:ascii="方正小标宋简体" w:hAnsi="方正小标宋简体" w:eastAsia="方正小标宋简体" w:cs="方正小标宋简体"/>
          <w:bCs/>
          <w:spacing w:val="6"/>
          <w:sz w:val="44"/>
          <w:szCs w:val="44"/>
        </w:rPr>
        <w:t>残疾人福利性单位声明函</w:t>
      </w:r>
    </w:p>
    <w:p w14:paraId="721AEE83">
      <w:pPr>
        <w:spacing w:line="588" w:lineRule="exact"/>
        <w:rPr>
          <w:rFonts w:ascii="仿宋_GB2312" w:eastAsia="仿宋_GB2312"/>
          <w:b/>
          <w:spacing w:val="6"/>
          <w:sz w:val="30"/>
          <w:szCs w:val="30"/>
        </w:rPr>
      </w:pPr>
    </w:p>
    <w:p w14:paraId="6BC8AD52">
      <w:pPr>
        <w:spacing w:line="360" w:lineRule="auto"/>
        <w:ind w:firstLine="504" w:firstLineChars="200"/>
        <w:contextualSpacing/>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宋体" w:hAnsi="宋体"/>
          <w:spacing w:val="-6"/>
          <w:sz w:val="24"/>
        </w:rPr>
        <w:t>疾人福利性单位制造的货物（不包括使用非残疾人福利性单位注册商标的货物）。</w:t>
      </w:r>
    </w:p>
    <w:p w14:paraId="55F64142">
      <w:pPr>
        <w:spacing w:line="360" w:lineRule="auto"/>
        <w:ind w:firstLine="504" w:firstLineChars="200"/>
        <w:contextualSpacing/>
        <w:rPr>
          <w:rFonts w:ascii="宋体" w:hAnsi="宋体"/>
          <w:spacing w:val="6"/>
          <w:sz w:val="24"/>
        </w:rPr>
      </w:pPr>
      <w:r>
        <w:rPr>
          <w:rFonts w:hint="eastAsia" w:ascii="宋体" w:hAnsi="宋体"/>
          <w:spacing w:val="6"/>
          <w:sz w:val="24"/>
        </w:rPr>
        <w:t>本单位对上述声明的真实性负责。如有虚假，将依法承担相应责任。</w:t>
      </w:r>
    </w:p>
    <w:p w14:paraId="100D32DB">
      <w:pPr>
        <w:spacing w:line="360" w:lineRule="auto"/>
        <w:ind w:firstLine="504" w:firstLineChars="200"/>
        <w:contextualSpacing/>
        <w:rPr>
          <w:rFonts w:ascii="宋体" w:hAnsi="宋体"/>
          <w:spacing w:val="6"/>
          <w:sz w:val="24"/>
        </w:rPr>
      </w:pPr>
    </w:p>
    <w:p w14:paraId="2C218DDE">
      <w:pPr>
        <w:spacing w:line="360" w:lineRule="auto"/>
        <w:ind w:firstLine="504" w:firstLineChars="200"/>
        <w:contextualSpacing/>
        <w:rPr>
          <w:rFonts w:ascii="宋体" w:hAnsi="宋体"/>
          <w:spacing w:val="6"/>
          <w:sz w:val="24"/>
        </w:rPr>
      </w:pPr>
    </w:p>
    <w:p w14:paraId="207D2C6A">
      <w:pPr>
        <w:tabs>
          <w:tab w:val="left" w:pos="4860"/>
        </w:tabs>
        <w:spacing w:line="360" w:lineRule="auto"/>
        <w:ind w:right="1560" w:firstLine="504" w:firstLineChars="200"/>
        <w:contextualSpacing/>
        <w:jc w:val="center"/>
        <w:rPr>
          <w:rFonts w:ascii="宋体" w:hAnsi="宋体"/>
          <w:spacing w:val="6"/>
          <w:sz w:val="24"/>
        </w:rPr>
      </w:pPr>
      <w:r>
        <w:rPr>
          <w:rFonts w:hint="eastAsia" w:ascii="宋体" w:hAnsi="宋体"/>
          <w:spacing w:val="6"/>
          <w:sz w:val="24"/>
        </w:rPr>
        <w:t>单位名称（电子签章）：</w:t>
      </w:r>
    </w:p>
    <w:p w14:paraId="1728AB46">
      <w:pPr>
        <w:tabs>
          <w:tab w:val="left" w:pos="4860"/>
        </w:tabs>
        <w:spacing w:line="360" w:lineRule="auto"/>
        <w:ind w:right="1560" w:firstLine="504" w:firstLineChars="200"/>
        <w:contextualSpacing/>
        <w:jc w:val="center"/>
        <w:rPr>
          <w:rFonts w:ascii="宋体" w:hAnsi="宋体"/>
          <w:spacing w:val="6"/>
          <w:sz w:val="24"/>
        </w:rPr>
      </w:pPr>
      <w:r>
        <w:rPr>
          <w:rFonts w:hint="eastAsia" w:ascii="宋体" w:hAnsi="宋体"/>
          <w:spacing w:val="6"/>
          <w:sz w:val="24"/>
        </w:rPr>
        <w:t>日  期：</w:t>
      </w:r>
    </w:p>
    <w:p w14:paraId="5FD2D44D">
      <w:pPr>
        <w:spacing w:line="360" w:lineRule="auto"/>
        <w:contextualSpacing/>
        <w:rPr>
          <w:rFonts w:ascii="宋体" w:hAnsi="宋体"/>
          <w:sz w:val="24"/>
        </w:rPr>
      </w:pPr>
    </w:p>
    <w:p w14:paraId="3DED40A2">
      <w:pPr>
        <w:spacing w:line="360" w:lineRule="auto"/>
        <w:contextualSpacing/>
        <w:rPr>
          <w:rFonts w:ascii="宋体" w:hAnsi="宋体"/>
          <w:sz w:val="24"/>
        </w:rPr>
      </w:pPr>
    </w:p>
    <w:p w14:paraId="3D8BD110">
      <w:pPr>
        <w:spacing w:line="360" w:lineRule="auto"/>
        <w:contextualSpacing/>
        <w:rPr>
          <w:rFonts w:ascii="宋体" w:hAnsi="宋体"/>
          <w:sz w:val="24"/>
        </w:rPr>
      </w:pPr>
    </w:p>
    <w:p w14:paraId="4229A10C">
      <w:pPr>
        <w:snapToGrid w:val="0"/>
        <w:spacing w:line="360" w:lineRule="auto"/>
        <w:ind w:firstLine="5160" w:firstLineChars="2150"/>
        <w:rPr>
          <w:rFonts w:ascii="宋体" w:hAnsi="宋体" w:cs="宋体"/>
          <w:kern w:val="0"/>
          <w:sz w:val="24"/>
          <w:lang w:val="zh-CN"/>
        </w:rPr>
      </w:pPr>
      <w:r>
        <w:rPr>
          <w:rFonts w:hint="eastAsia" w:ascii="宋体" w:hAnsi="宋体"/>
          <w:sz w:val="24"/>
        </w:rPr>
        <w:t>注：请根据自己的真实情况出具《残疾人福利性单位声明函》。依法享受中小企业优惠政策的，采购人或者采购代理机构在公告中标结果时，同时公告其《残疾人福利性单位声明函》，接受社会监督。</w:t>
      </w:r>
      <w:bookmarkEnd w:id="354"/>
    </w:p>
    <w:p w14:paraId="49AAA62C">
      <w:pPr>
        <w:pStyle w:val="20"/>
        <w:spacing w:line="600" w:lineRule="exact"/>
        <w:jc w:val="center"/>
        <w:rPr>
          <w:rFonts w:hAnsi="宋体" w:cs="宋体"/>
        </w:rPr>
      </w:pPr>
    </w:p>
    <w:p w14:paraId="7D586935">
      <w:pPr>
        <w:autoSpaceDE w:val="0"/>
        <w:autoSpaceDN w:val="0"/>
        <w:adjustRightInd w:val="0"/>
        <w:spacing w:line="360" w:lineRule="auto"/>
        <w:jc w:val="left"/>
        <w:rPr>
          <w:rFonts w:ascii="宋体" w:hAnsi="宋体" w:cs="宋体"/>
          <w:szCs w:val="21"/>
        </w:rPr>
        <w:sectPr>
          <w:pgSz w:w="11906" w:h="16838"/>
          <w:pgMar w:top="1134" w:right="1312" w:bottom="1134" w:left="1354" w:header="720" w:footer="720" w:gutter="0"/>
          <w:cols w:space="720" w:num="1"/>
          <w:docGrid w:type="lines" w:linePitch="331" w:charSpace="0"/>
        </w:sectPr>
      </w:pPr>
    </w:p>
    <w:p w14:paraId="23758D71">
      <w:pPr>
        <w:pStyle w:val="20"/>
        <w:jc w:val="center"/>
        <w:rPr>
          <w:rFonts w:hAnsi="宋体" w:cs="宋体"/>
          <w:szCs w:val="21"/>
        </w:rPr>
      </w:pPr>
    </w:p>
    <w:p w14:paraId="7A31519F">
      <w:pPr>
        <w:pStyle w:val="20"/>
        <w:outlineLvl w:val="1"/>
        <w:rPr>
          <w:rFonts w:hAnsi="宋体" w:cs="宋体"/>
          <w:b/>
          <w:bCs/>
          <w:sz w:val="28"/>
          <w:szCs w:val="28"/>
        </w:rPr>
      </w:pPr>
      <w:bookmarkStart w:id="355" w:name="_Toc5786"/>
      <w:bookmarkStart w:id="356" w:name="_Toc30049"/>
      <w:bookmarkStart w:id="357" w:name="_Toc29478"/>
      <w:bookmarkStart w:id="358" w:name="_Toc19686838"/>
      <w:bookmarkStart w:id="359" w:name="_Toc23476"/>
      <w:r>
        <w:rPr>
          <w:rFonts w:hint="eastAsia" w:hAnsi="宋体" w:cs="宋体"/>
          <w:b/>
          <w:bCs/>
          <w:sz w:val="28"/>
          <w:szCs w:val="28"/>
        </w:rPr>
        <w:t>二、商务技术文件格式</w:t>
      </w:r>
      <w:bookmarkEnd w:id="355"/>
      <w:bookmarkEnd w:id="356"/>
      <w:bookmarkEnd w:id="357"/>
      <w:bookmarkEnd w:id="358"/>
      <w:bookmarkEnd w:id="359"/>
    </w:p>
    <w:p w14:paraId="300ED087">
      <w:pPr>
        <w:snapToGrid w:val="0"/>
        <w:spacing w:before="165" w:beforeLines="50" w:after="50" w:line="360" w:lineRule="auto"/>
        <w:jc w:val="left"/>
        <w:rPr>
          <w:rFonts w:ascii="宋体" w:hAnsi="宋体"/>
          <w:b/>
          <w:sz w:val="24"/>
        </w:rPr>
      </w:pPr>
      <w:r>
        <w:rPr>
          <w:rFonts w:hint="eastAsia" w:ascii="宋体" w:hAnsi="宋体"/>
          <w:b/>
          <w:sz w:val="24"/>
        </w:rPr>
        <w:t xml:space="preserve">1.商务及技术文件封面格式： </w:t>
      </w:r>
    </w:p>
    <w:p w14:paraId="336FAB32">
      <w:pPr>
        <w:snapToGrid w:val="0"/>
        <w:spacing w:before="165" w:beforeLines="50" w:after="50"/>
        <w:jc w:val="center"/>
        <w:rPr>
          <w:rFonts w:ascii="宋体" w:hAnsi="宋体" w:eastAsia="方正小标宋简体"/>
          <w:bCs/>
          <w:sz w:val="48"/>
          <w:szCs w:val="48"/>
        </w:rPr>
      </w:pPr>
    </w:p>
    <w:p w14:paraId="14DC3C17">
      <w:pPr>
        <w:snapToGrid w:val="0"/>
        <w:spacing w:before="165" w:beforeLines="50" w:after="50"/>
        <w:jc w:val="center"/>
        <w:rPr>
          <w:rFonts w:ascii="宋体" w:hAnsi="宋体" w:eastAsia="方正小标宋简体"/>
          <w:bCs/>
          <w:sz w:val="48"/>
          <w:szCs w:val="48"/>
        </w:rPr>
      </w:pPr>
    </w:p>
    <w:p w14:paraId="79BF8B0C">
      <w:pPr>
        <w:snapToGrid w:val="0"/>
        <w:spacing w:before="165" w:beforeLines="50" w:after="50"/>
        <w:jc w:val="center"/>
        <w:rPr>
          <w:rFonts w:ascii="宋体" w:hAnsi="宋体"/>
          <w:sz w:val="24"/>
        </w:rPr>
      </w:pPr>
      <w:r>
        <w:rPr>
          <w:rFonts w:hint="eastAsia" w:ascii="宋体" w:hAnsi="宋体" w:eastAsia="方正小标宋简体"/>
          <w:bCs/>
          <w:sz w:val="48"/>
          <w:szCs w:val="48"/>
        </w:rPr>
        <w:t>电子投标文件</w:t>
      </w:r>
    </w:p>
    <w:p w14:paraId="22B673F8">
      <w:pPr>
        <w:snapToGrid w:val="0"/>
        <w:spacing w:before="165" w:beforeLines="50" w:after="50"/>
        <w:rPr>
          <w:rFonts w:ascii="宋体" w:hAnsi="宋体"/>
          <w:sz w:val="24"/>
          <w:szCs w:val="20"/>
        </w:rPr>
      </w:pPr>
      <w:r>
        <w:rPr>
          <w:rFonts w:hint="eastAsia" w:ascii="宋体" w:hAnsi="宋体"/>
          <w:sz w:val="24"/>
        </w:rPr>
        <w:t xml:space="preserve">                </w:t>
      </w:r>
    </w:p>
    <w:p w14:paraId="3CBD7E3C">
      <w:pPr>
        <w:snapToGrid w:val="0"/>
        <w:spacing w:before="165" w:beforeLines="50" w:after="50"/>
        <w:jc w:val="center"/>
        <w:rPr>
          <w:rFonts w:ascii="宋体" w:hAnsi="宋体"/>
          <w:b/>
          <w:sz w:val="24"/>
          <w:szCs w:val="20"/>
        </w:rPr>
      </w:pPr>
      <w:r>
        <w:rPr>
          <w:rFonts w:hint="eastAsia" w:ascii="宋体" w:hAnsi="宋体"/>
          <w:b/>
          <w:sz w:val="32"/>
          <w:szCs w:val="32"/>
        </w:rPr>
        <w:t>商务及技术文件</w:t>
      </w:r>
    </w:p>
    <w:p w14:paraId="77F006A7">
      <w:pPr>
        <w:snapToGrid w:val="0"/>
        <w:spacing w:before="165" w:beforeLines="50" w:after="50"/>
        <w:rPr>
          <w:rFonts w:ascii="宋体" w:hAnsi="宋体"/>
          <w:bCs/>
          <w:sz w:val="24"/>
          <w:szCs w:val="20"/>
        </w:rPr>
      </w:pPr>
    </w:p>
    <w:p w14:paraId="55F031D2">
      <w:pPr>
        <w:snapToGrid w:val="0"/>
        <w:spacing w:before="165" w:beforeLines="50" w:after="50"/>
        <w:ind w:firstLine="540" w:firstLineChars="225"/>
        <w:rPr>
          <w:rFonts w:ascii="宋体" w:hAnsi="宋体"/>
          <w:bCs/>
          <w:sz w:val="24"/>
        </w:rPr>
      </w:pPr>
      <w:r>
        <w:rPr>
          <w:rFonts w:hint="eastAsia" w:ascii="宋体" w:hAnsi="宋体"/>
          <w:bCs/>
          <w:sz w:val="24"/>
        </w:rPr>
        <w:t>项目名称：</w:t>
      </w:r>
    </w:p>
    <w:p w14:paraId="1ACD7763">
      <w:pPr>
        <w:snapToGrid w:val="0"/>
        <w:spacing w:before="165" w:beforeLines="50" w:after="50"/>
        <w:ind w:firstLine="540" w:firstLineChars="225"/>
        <w:rPr>
          <w:rFonts w:ascii="宋体" w:hAnsi="宋体"/>
          <w:bCs/>
          <w:sz w:val="24"/>
          <w:szCs w:val="20"/>
        </w:rPr>
      </w:pPr>
    </w:p>
    <w:p w14:paraId="36393D3C">
      <w:pPr>
        <w:snapToGrid w:val="0"/>
        <w:spacing w:before="165" w:beforeLines="50" w:after="50"/>
        <w:ind w:firstLine="540" w:firstLineChars="225"/>
        <w:rPr>
          <w:rFonts w:ascii="宋体" w:hAnsi="宋体"/>
          <w:bCs/>
          <w:sz w:val="24"/>
        </w:rPr>
      </w:pPr>
      <w:r>
        <w:rPr>
          <w:rFonts w:hint="eastAsia" w:ascii="宋体" w:hAnsi="宋体"/>
          <w:bCs/>
          <w:sz w:val="24"/>
        </w:rPr>
        <w:t>项目编号：</w:t>
      </w:r>
    </w:p>
    <w:p w14:paraId="4F5E78A7">
      <w:pPr>
        <w:snapToGrid w:val="0"/>
        <w:spacing w:before="165" w:beforeLines="50" w:after="50"/>
        <w:ind w:firstLine="540" w:firstLineChars="225"/>
        <w:rPr>
          <w:rFonts w:ascii="宋体" w:hAnsi="宋体"/>
          <w:bCs/>
          <w:sz w:val="24"/>
          <w:szCs w:val="20"/>
        </w:rPr>
      </w:pPr>
      <w:r>
        <w:rPr>
          <w:rFonts w:hint="eastAsia" w:ascii="宋体" w:hAnsi="宋体"/>
          <w:bCs/>
          <w:sz w:val="24"/>
        </w:rPr>
        <w:t xml:space="preserve"> </w:t>
      </w:r>
    </w:p>
    <w:p w14:paraId="36652887">
      <w:pPr>
        <w:snapToGrid w:val="0"/>
        <w:spacing w:before="165" w:beforeLines="50" w:after="50"/>
        <w:ind w:firstLine="540" w:firstLineChars="225"/>
        <w:rPr>
          <w:rFonts w:ascii="宋体" w:hAnsi="宋体"/>
          <w:bCs/>
          <w:sz w:val="24"/>
        </w:rPr>
      </w:pPr>
      <w:r>
        <w:rPr>
          <w:rFonts w:hint="eastAsia" w:ascii="宋体" w:hAnsi="宋体"/>
          <w:bCs/>
          <w:sz w:val="24"/>
        </w:rPr>
        <w:t>所投分标：</w:t>
      </w:r>
    </w:p>
    <w:p w14:paraId="26F50B05">
      <w:pPr>
        <w:snapToGrid w:val="0"/>
        <w:spacing w:before="165" w:beforeLines="50" w:after="50"/>
        <w:ind w:firstLine="540" w:firstLineChars="225"/>
        <w:rPr>
          <w:rFonts w:ascii="宋体" w:hAnsi="宋体"/>
          <w:bCs/>
          <w:sz w:val="24"/>
          <w:szCs w:val="20"/>
        </w:rPr>
      </w:pPr>
    </w:p>
    <w:p w14:paraId="07414489">
      <w:pPr>
        <w:pStyle w:val="9"/>
        <w:snapToGrid w:val="0"/>
        <w:spacing w:before="50" w:after="50"/>
        <w:ind w:firstLine="540" w:firstLineChars="225"/>
        <w:rPr>
          <w:rFonts w:ascii="宋体" w:hAnsi="宋体"/>
          <w:bCs/>
          <w:sz w:val="24"/>
          <w:szCs w:val="24"/>
        </w:rPr>
      </w:pPr>
      <w:r>
        <w:rPr>
          <w:rFonts w:hint="eastAsia" w:ascii="宋体" w:hAnsi="宋体"/>
          <w:bCs/>
          <w:sz w:val="24"/>
          <w:szCs w:val="24"/>
        </w:rPr>
        <w:t>投标人名称：</w:t>
      </w:r>
    </w:p>
    <w:p w14:paraId="2968AC08">
      <w:pPr>
        <w:pStyle w:val="9"/>
        <w:snapToGrid w:val="0"/>
        <w:spacing w:before="50" w:after="50"/>
        <w:ind w:firstLine="540" w:firstLineChars="225"/>
        <w:rPr>
          <w:rFonts w:ascii="宋体" w:hAnsi="宋体"/>
          <w:bCs/>
          <w:sz w:val="24"/>
          <w:szCs w:val="24"/>
        </w:rPr>
      </w:pPr>
    </w:p>
    <w:p w14:paraId="3E8CD871">
      <w:pPr>
        <w:pStyle w:val="9"/>
        <w:snapToGrid w:val="0"/>
        <w:spacing w:before="50" w:after="50"/>
        <w:ind w:firstLine="540" w:firstLineChars="225"/>
        <w:rPr>
          <w:rFonts w:ascii="宋体" w:hAnsi="宋体"/>
          <w:bCs/>
          <w:sz w:val="24"/>
          <w:szCs w:val="24"/>
        </w:rPr>
      </w:pPr>
      <w:r>
        <w:rPr>
          <w:rFonts w:hint="eastAsia" w:ascii="宋体" w:hAnsi="宋体"/>
          <w:bCs/>
          <w:sz w:val="24"/>
          <w:szCs w:val="24"/>
        </w:rPr>
        <w:t>投标人地址：</w:t>
      </w:r>
    </w:p>
    <w:p w14:paraId="4F0B7E97">
      <w:pPr>
        <w:pStyle w:val="9"/>
        <w:snapToGrid w:val="0"/>
        <w:spacing w:before="50" w:after="50"/>
        <w:ind w:firstLine="960" w:firstLineChars="400"/>
        <w:rPr>
          <w:rFonts w:ascii="宋体" w:hAnsi="宋体"/>
          <w:bCs/>
          <w:sz w:val="24"/>
          <w:szCs w:val="24"/>
        </w:rPr>
      </w:pPr>
    </w:p>
    <w:p w14:paraId="317F8ABE">
      <w:pPr>
        <w:snapToGrid w:val="0"/>
        <w:spacing w:before="165" w:beforeLines="50" w:after="50"/>
        <w:ind w:firstLine="645"/>
        <w:rPr>
          <w:rFonts w:ascii="宋体" w:hAnsi="宋体" w:cs="宋体"/>
          <w:sz w:val="24"/>
        </w:rPr>
      </w:pPr>
      <w:r>
        <w:rPr>
          <w:rFonts w:hint="eastAsia" w:ascii="宋体" w:hAnsi="宋体"/>
          <w:sz w:val="24"/>
        </w:rPr>
        <w:t xml:space="preserve">                        年  月  日</w:t>
      </w:r>
    </w:p>
    <w:p w14:paraId="2DC6B388">
      <w:pPr>
        <w:snapToGrid w:val="0"/>
        <w:spacing w:before="165" w:beforeLines="50" w:after="50"/>
        <w:rPr>
          <w:rFonts w:ascii="宋体" w:hAnsi="宋体" w:cs="宋体"/>
          <w:sz w:val="24"/>
          <w:szCs w:val="20"/>
        </w:rPr>
      </w:pPr>
      <w:r>
        <w:rPr>
          <w:rFonts w:hint="eastAsia" w:ascii="宋体" w:hAnsi="宋体" w:cs="宋体"/>
          <w:sz w:val="24"/>
          <w:szCs w:val="20"/>
        </w:rPr>
        <w:t xml:space="preserve"> </w:t>
      </w:r>
    </w:p>
    <w:p w14:paraId="14327716">
      <w:pPr>
        <w:spacing w:line="360" w:lineRule="auto"/>
        <w:ind w:right="420"/>
        <w:rPr>
          <w:rFonts w:ascii="宋体" w:hAnsi="宋体" w:cs="宋体"/>
          <w:sz w:val="24"/>
          <w:szCs w:val="20"/>
        </w:rPr>
      </w:pPr>
    </w:p>
    <w:p w14:paraId="51FDF9C3">
      <w:pPr>
        <w:spacing w:line="360" w:lineRule="auto"/>
        <w:ind w:right="420"/>
        <w:rPr>
          <w:rFonts w:ascii="宋体" w:hAnsi="宋体" w:cs="宋体"/>
          <w:sz w:val="24"/>
          <w:szCs w:val="20"/>
        </w:rPr>
      </w:pPr>
    </w:p>
    <w:p w14:paraId="155FD4E6">
      <w:pPr>
        <w:spacing w:line="360" w:lineRule="auto"/>
        <w:ind w:right="420"/>
        <w:rPr>
          <w:rFonts w:ascii="宋体" w:hAnsi="宋体" w:cs="宋体"/>
          <w:sz w:val="24"/>
          <w:szCs w:val="20"/>
        </w:rPr>
      </w:pPr>
    </w:p>
    <w:p w14:paraId="205E584F">
      <w:pPr>
        <w:spacing w:line="360" w:lineRule="auto"/>
        <w:ind w:right="420"/>
        <w:rPr>
          <w:rFonts w:ascii="宋体" w:hAnsi="宋体" w:cs="宋体"/>
          <w:sz w:val="24"/>
          <w:szCs w:val="20"/>
        </w:rPr>
      </w:pPr>
    </w:p>
    <w:p w14:paraId="62A16428">
      <w:pPr>
        <w:spacing w:line="360" w:lineRule="auto"/>
        <w:ind w:right="420"/>
        <w:rPr>
          <w:rFonts w:ascii="宋体" w:hAnsi="宋体" w:cs="宋体"/>
          <w:sz w:val="24"/>
          <w:szCs w:val="20"/>
        </w:rPr>
      </w:pPr>
    </w:p>
    <w:p w14:paraId="14E265DD">
      <w:pPr>
        <w:spacing w:line="360" w:lineRule="auto"/>
        <w:ind w:right="420"/>
        <w:rPr>
          <w:rFonts w:ascii="宋体" w:hAnsi="宋体" w:cs="宋体"/>
          <w:sz w:val="24"/>
          <w:szCs w:val="20"/>
        </w:rPr>
      </w:pPr>
    </w:p>
    <w:p w14:paraId="42E8906D">
      <w:pPr>
        <w:spacing w:line="360" w:lineRule="auto"/>
        <w:ind w:right="420"/>
        <w:rPr>
          <w:rFonts w:ascii="宋体" w:hAnsi="宋体" w:cs="宋体"/>
          <w:sz w:val="24"/>
          <w:szCs w:val="20"/>
        </w:rPr>
      </w:pPr>
    </w:p>
    <w:p w14:paraId="16A65339">
      <w:pPr>
        <w:snapToGrid w:val="0"/>
        <w:spacing w:line="360" w:lineRule="auto"/>
        <w:jc w:val="left"/>
        <w:rPr>
          <w:rFonts w:ascii="宋体" w:hAnsi="宋体"/>
          <w:b/>
          <w:bCs/>
          <w:sz w:val="28"/>
          <w:szCs w:val="28"/>
        </w:rPr>
      </w:pPr>
      <w:r>
        <w:rPr>
          <w:rFonts w:hint="eastAsia" w:ascii="宋体" w:hAnsi="宋体"/>
          <w:b/>
          <w:bCs/>
          <w:sz w:val="28"/>
          <w:szCs w:val="28"/>
        </w:rPr>
        <w:t>2.商务及技术文件目录</w:t>
      </w:r>
    </w:p>
    <w:p w14:paraId="70608E00">
      <w:pPr>
        <w:snapToGrid w:val="0"/>
        <w:spacing w:line="360" w:lineRule="auto"/>
        <w:jc w:val="left"/>
        <w:rPr>
          <w:rFonts w:ascii="微软雅黑" w:hAnsi="微软雅黑" w:eastAsia="微软雅黑"/>
          <w:b/>
          <w:bCs/>
          <w:sz w:val="24"/>
        </w:rPr>
      </w:pPr>
      <w:r>
        <w:rPr>
          <w:rFonts w:hint="eastAsia" w:ascii="宋体" w:hAnsi="宋体"/>
          <w:szCs w:val="21"/>
        </w:rPr>
        <w:t>根据招标文件规定及投标人提供的材料自行编写目录。</w:t>
      </w:r>
    </w:p>
    <w:p w14:paraId="603E6C5E">
      <w:pPr>
        <w:snapToGrid w:val="0"/>
        <w:spacing w:line="360" w:lineRule="auto"/>
        <w:ind w:firstLine="420" w:firstLineChars="200"/>
        <w:jc w:val="left"/>
        <w:rPr>
          <w:rFonts w:ascii="宋体" w:hAnsi="宋体" w:cs="宋体"/>
        </w:rPr>
        <w:sectPr>
          <w:pgSz w:w="11906" w:h="16838"/>
          <w:pgMar w:top="1134" w:right="1312" w:bottom="1134" w:left="1354" w:header="720" w:footer="720" w:gutter="0"/>
          <w:cols w:space="720" w:num="1"/>
          <w:docGrid w:type="lines" w:linePitch="331" w:charSpace="0"/>
        </w:sectPr>
      </w:pPr>
    </w:p>
    <w:p w14:paraId="4B0369D4">
      <w:pPr>
        <w:snapToGrid w:val="0"/>
        <w:spacing w:before="165" w:beforeLines="50" w:after="50"/>
        <w:jc w:val="left"/>
        <w:rPr>
          <w:rFonts w:ascii="宋体" w:hAnsi="宋体" w:cs="宋体"/>
          <w:b/>
          <w:sz w:val="32"/>
          <w:szCs w:val="32"/>
        </w:rPr>
      </w:pPr>
      <w:r>
        <w:rPr>
          <w:rFonts w:hint="eastAsia" w:ascii="宋体" w:hAnsi="宋体"/>
          <w:b/>
          <w:sz w:val="24"/>
        </w:rPr>
        <w:t>3.投标人参加本项目无围标串标行为的承诺</w:t>
      </w:r>
    </w:p>
    <w:p w14:paraId="6F584125">
      <w:pPr>
        <w:snapToGrid w:val="0"/>
        <w:spacing w:before="165" w:beforeLines="50" w:after="50"/>
        <w:ind w:left="420"/>
        <w:jc w:val="center"/>
        <w:rPr>
          <w:rFonts w:ascii="宋体" w:hAnsi="宋体" w:cs="宋体"/>
          <w:b/>
          <w:szCs w:val="21"/>
        </w:rPr>
      </w:pPr>
      <w:r>
        <w:rPr>
          <w:rFonts w:hint="eastAsia" w:ascii="宋体" w:hAnsi="宋体" w:cs="宋体"/>
          <w:b/>
          <w:sz w:val="32"/>
          <w:szCs w:val="32"/>
        </w:rPr>
        <w:t>投标人参加本项目无围标串标行为的承诺函</w:t>
      </w:r>
    </w:p>
    <w:p w14:paraId="1856ED94">
      <w:pPr>
        <w:snapToGrid w:val="0"/>
        <w:spacing w:before="165" w:beforeLines="50" w:after="50" w:line="360" w:lineRule="auto"/>
        <w:jc w:val="left"/>
        <w:rPr>
          <w:rFonts w:ascii="宋体" w:hAnsi="宋体" w:cs="宋体"/>
          <w:b/>
          <w:szCs w:val="21"/>
        </w:rPr>
      </w:pPr>
      <w:r>
        <w:rPr>
          <w:rFonts w:hint="eastAsia" w:ascii="宋体" w:hAnsi="宋体" w:cs="宋体"/>
          <w:b/>
          <w:szCs w:val="21"/>
        </w:rPr>
        <w:t>一、我方承诺无下列相互串通投标的情形：</w:t>
      </w:r>
    </w:p>
    <w:p w14:paraId="25EF7AD1">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rPr>
        <w:t>1.不同投标人的投标文件由同一单位或者个人编制；或者不同投标人报名的IP地址一致的；</w:t>
      </w:r>
    </w:p>
    <w:p w14:paraId="0B372A6D">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rPr>
        <w:t>2.不同投标人委托同一单位或者个人办理投标事宜；</w:t>
      </w:r>
    </w:p>
    <w:p w14:paraId="246982EE">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rPr>
        <w:t>3.不同的投标人的投标文件载明的项目管理员为同一个人；</w:t>
      </w:r>
    </w:p>
    <w:p w14:paraId="54C4C56B">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rPr>
        <w:t>4.不同投标人的投标文件异常一致或者投标报价呈规律性差异；</w:t>
      </w:r>
    </w:p>
    <w:p w14:paraId="34C653FD">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rPr>
        <w:t>5.不同投标人的投标文件相互混装；</w:t>
      </w:r>
    </w:p>
    <w:p w14:paraId="71553CD7">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rPr>
        <w:t>6.不同投标人的投标保证金从同一单位或者个人账户转出。</w:t>
      </w:r>
    </w:p>
    <w:p w14:paraId="52820B85">
      <w:pPr>
        <w:snapToGrid w:val="0"/>
        <w:spacing w:before="165" w:beforeLines="50" w:after="50" w:line="360" w:lineRule="auto"/>
        <w:jc w:val="left"/>
        <w:rPr>
          <w:rFonts w:ascii="宋体" w:hAnsi="宋体" w:cs="宋体"/>
          <w:szCs w:val="21"/>
        </w:rPr>
      </w:pPr>
      <w:r>
        <w:rPr>
          <w:rFonts w:hint="eastAsia" w:ascii="宋体" w:hAnsi="宋体" w:cs="宋体"/>
          <w:b/>
          <w:szCs w:val="21"/>
        </w:rPr>
        <w:t>二、我方承诺无下列恶意串通的情形：</w:t>
      </w:r>
    </w:p>
    <w:p w14:paraId="2D9E419D">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rPr>
        <w:t>1.投标人直接或者间接从采购人或者采购代理机构处获得其他投标人的相关信息并修改其投标文件或者投标文件；</w:t>
      </w:r>
    </w:p>
    <w:p w14:paraId="523EECC2">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rPr>
        <w:t>2.投标人按照采购人或者采购代理机构的授意撤换、修改投标文件或者投标文件；</w:t>
      </w:r>
    </w:p>
    <w:p w14:paraId="72A74735">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rPr>
        <w:t>3.投标人之间协商报价、技术方案等投标文件或者投标文件的实质性内容；</w:t>
      </w:r>
    </w:p>
    <w:p w14:paraId="330596F5">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rPr>
        <w:t>4.属于同一集团、协会、商会等组织成员的投标人按照该组织要求协同参加政府采购活动；</w:t>
      </w:r>
    </w:p>
    <w:p w14:paraId="0C5DC9E9">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rPr>
        <w:t>5.投标人之间事先约定一致抬高或者压低投标报价，或者在招标项目中事先约定轮流以高价位或者低价位中标，或者事先约定由某一特定投标人中标，然后再参加投标；</w:t>
      </w:r>
    </w:p>
    <w:p w14:paraId="3BEA0308">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rPr>
        <w:t>6.投标人之间商定部分投标人放弃参加政府采购活动或者放弃中标；</w:t>
      </w:r>
    </w:p>
    <w:p w14:paraId="46A145B9">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rPr>
        <w:t>7.投标人与采购人或者采购代理机构之间、投标人相互之间，为谋求特定投标人中标或者排斥其他投标人的其他串通行为。</w:t>
      </w:r>
    </w:p>
    <w:p w14:paraId="1449444C">
      <w:pPr>
        <w:snapToGrid w:val="0"/>
        <w:spacing w:before="165" w:beforeLines="50" w:after="50" w:line="360" w:lineRule="auto"/>
        <w:ind w:firstLine="413" w:firstLineChars="196"/>
        <w:jc w:val="left"/>
        <w:rPr>
          <w:rFonts w:ascii="宋体" w:hAnsi="宋体" w:cs="宋体"/>
          <w:b/>
          <w:szCs w:val="21"/>
        </w:rPr>
      </w:pPr>
      <w:r>
        <w:rPr>
          <w:rFonts w:hint="eastAsia" w:ascii="宋体" w:hAnsi="宋体" w:cs="宋体"/>
          <w:b/>
          <w:szCs w:val="21"/>
        </w:rPr>
        <w:t>以上情形一经核查属实，我方愿意承担一切后果，并不再寻求任何旨在减轻或者免除法律责任的辩解。</w:t>
      </w:r>
    </w:p>
    <w:p w14:paraId="176EBE73">
      <w:pPr>
        <w:spacing w:line="400" w:lineRule="exact"/>
        <w:contextualSpacing/>
        <w:jc w:val="left"/>
        <w:rPr>
          <w:rFonts w:ascii="宋体" w:hAnsi="宋体" w:cs="宋体"/>
          <w:b/>
          <w:sz w:val="24"/>
        </w:rPr>
      </w:pPr>
      <w:r>
        <w:rPr>
          <w:rFonts w:hint="eastAsia" w:ascii="宋体" w:hAnsi="宋体" w:cs="宋体"/>
          <w:szCs w:val="21"/>
        </w:rPr>
        <w:t xml:space="preserve">  </w:t>
      </w:r>
      <w:bookmarkStart w:id="360" w:name="OLE_LINK53"/>
      <w:r>
        <w:rPr>
          <w:rFonts w:hint="eastAsia" w:ascii="宋体" w:hAnsi="宋体" w:cs="宋体"/>
          <w:b/>
          <w:sz w:val="24"/>
        </w:rPr>
        <w:t xml:space="preserve">                 </w:t>
      </w:r>
    </w:p>
    <w:p w14:paraId="4EB0A28A">
      <w:pPr>
        <w:spacing w:line="400" w:lineRule="exact"/>
        <w:ind w:firstLine="2640" w:firstLineChars="1100"/>
        <w:contextualSpacing/>
        <w:jc w:val="left"/>
        <w:rPr>
          <w:rFonts w:ascii="宋体" w:hAnsi="宋体" w:cs="宋体"/>
          <w:sz w:val="24"/>
        </w:rPr>
      </w:pPr>
      <w:r>
        <w:rPr>
          <w:rFonts w:hint="eastAsia" w:ascii="宋体" w:hAnsi="宋体" w:cs="宋体"/>
          <w:sz w:val="24"/>
        </w:rPr>
        <w:t>法定代表人（签字或者盖章或者电子签名）：</w:t>
      </w:r>
      <w:r>
        <w:rPr>
          <w:rFonts w:hint="eastAsia" w:ascii="宋体" w:hAnsi="宋体" w:cs="宋体"/>
          <w:sz w:val="24"/>
          <w:u w:val="single"/>
        </w:rPr>
        <w:t xml:space="preserve">             </w:t>
      </w:r>
    </w:p>
    <w:p w14:paraId="1BDC7028">
      <w:pPr>
        <w:spacing w:line="400" w:lineRule="exact"/>
        <w:contextualSpacing/>
        <w:jc w:val="left"/>
        <w:rPr>
          <w:rFonts w:ascii="宋体" w:hAnsi="宋体" w:cs="宋体"/>
          <w:sz w:val="24"/>
        </w:rPr>
      </w:pPr>
      <w:r>
        <w:rPr>
          <w:rFonts w:hint="eastAsia" w:ascii="宋体" w:hAnsi="宋体" w:cs="宋体"/>
          <w:sz w:val="24"/>
        </w:rPr>
        <w:t xml:space="preserve">                                  投标人名称（电子签章）：</w:t>
      </w:r>
      <w:r>
        <w:rPr>
          <w:rFonts w:hint="eastAsia" w:ascii="宋体" w:hAnsi="宋体" w:cs="宋体"/>
          <w:sz w:val="24"/>
          <w:u w:val="single"/>
        </w:rPr>
        <w:t xml:space="preserve">                 </w:t>
      </w:r>
    </w:p>
    <w:bookmarkEnd w:id="360"/>
    <w:p w14:paraId="297BA256">
      <w:pPr>
        <w:snapToGrid w:val="0"/>
        <w:spacing w:before="295" w:after="295" w:line="360" w:lineRule="auto"/>
        <w:ind w:firstLine="5160" w:firstLineChars="2150"/>
        <w:jc w:val="center"/>
        <w:rPr>
          <w:rFonts w:hAnsi="宋体" w:cs="宋体"/>
          <w:b/>
          <w:sz w:val="24"/>
        </w:rPr>
      </w:pPr>
      <w:r>
        <w:rPr>
          <w:rFonts w:hint="eastAsia" w:ascii="宋体" w:hAnsi="宋体" w:cs="宋体"/>
          <w:sz w:val="24"/>
        </w:rPr>
        <w:t>年    月    日</w:t>
      </w:r>
      <w:r>
        <w:rPr>
          <w:rFonts w:hint="eastAsia" w:hAnsi="宋体" w:cs="宋体"/>
          <w:b/>
          <w:sz w:val="24"/>
        </w:rPr>
        <w:br w:type="page"/>
      </w:r>
      <w:r>
        <w:rPr>
          <w:rFonts w:hint="eastAsia" w:ascii="宋体" w:hAnsi="宋体"/>
          <w:b/>
          <w:sz w:val="24"/>
        </w:rPr>
        <w:t>4.法定代表人身份证明</w:t>
      </w:r>
    </w:p>
    <w:p w14:paraId="48F68F23">
      <w:pPr>
        <w:spacing w:before="331" w:beforeLines="100" w:after="165" w:afterLines="50"/>
        <w:ind w:left="540"/>
        <w:jc w:val="center"/>
        <w:rPr>
          <w:rFonts w:ascii="宋体" w:hAnsi="宋体" w:cs="宋体"/>
          <w:b/>
          <w:sz w:val="32"/>
          <w:szCs w:val="32"/>
        </w:rPr>
      </w:pPr>
    </w:p>
    <w:p w14:paraId="2A7AE3CA">
      <w:pPr>
        <w:spacing w:before="331" w:beforeLines="100" w:after="165" w:afterLines="50"/>
        <w:ind w:left="540"/>
        <w:jc w:val="center"/>
        <w:rPr>
          <w:rFonts w:ascii="宋体" w:hAnsi="宋体" w:cs="宋体"/>
          <w:sz w:val="32"/>
          <w:szCs w:val="32"/>
        </w:rPr>
      </w:pPr>
      <w:r>
        <w:rPr>
          <w:rFonts w:hint="eastAsia" w:ascii="宋体" w:hAnsi="宋体" w:cs="宋体"/>
          <w:b/>
          <w:sz w:val="32"/>
          <w:szCs w:val="32"/>
        </w:rPr>
        <w:t>法定代表人身份证明</w:t>
      </w:r>
    </w:p>
    <w:p w14:paraId="4EFC6AC4">
      <w:pPr>
        <w:spacing w:line="500" w:lineRule="exact"/>
        <w:ind w:left="540"/>
        <w:rPr>
          <w:rFonts w:ascii="宋体" w:hAnsi="宋体" w:cs="宋体"/>
          <w:sz w:val="24"/>
        </w:rPr>
      </w:pPr>
      <w:r>
        <w:rPr>
          <w:rFonts w:hint="eastAsia" w:ascii="宋体" w:hAnsi="宋体" w:cs="宋体"/>
          <w:sz w:val="24"/>
        </w:rPr>
        <w:t>投 标 人：</w:t>
      </w:r>
      <w:r>
        <w:rPr>
          <w:rFonts w:hint="eastAsia" w:ascii="宋体" w:hAnsi="宋体" w:cs="宋体"/>
          <w:sz w:val="24"/>
          <w:u w:val="single"/>
        </w:rPr>
        <w:t xml:space="preserve">                                                        </w:t>
      </w:r>
    </w:p>
    <w:p w14:paraId="50D8CA90">
      <w:pPr>
        <w:spacing w:line="500" w:lineRule="exact"/>
        <w:ind w:left="540"/>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14:paraId="1811B345">
      <w:pPr>
        <w:spacing w:line="500" w:lineRule="exact"/>
        <w:ind w:left="540"/>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      别：</w:t>
      </w:r>
      <w:r>
        <w:rPr>
          <w:rFonts w:hint="eastAsia" w:ascii="宋体" w:hAnsi="宋体" w:cs="宋体"/>
          <w:sz w:val="24"/>
          <w:u w:val="single"/>
        </w:rPr>
        <w:t xml:space="preserve">                </w:t>
      </w:r>
    </w:p>
    <w:p w14:paraId="7DC16B89">
      <w:pPr>
        <w:spacing w:line="500" w:lineRule="exact"/>
        <w:ind w:left="540"/>
        <w:rPr>
          <w:rFonts w:ascii="宋体" w:hAnsi="宋体" w:cs="宋体"/>
          <w:sz w:val="24"/>
          <w:u w:val="single"/>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p>
    <w:p w14:paraId="04A7B657">
      <w:pPr>
        <w:spacing w:line="500" w:lineRule="exact"/>
        <w:ind w:left="540"/>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14:paraId="5C864F8E">
      <w:pPr>
        <w:spacing w:line="500" w:lineRule="exact"/>
        <w:ind w:left="540"/>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（投标人名称）              </w:t>
      </w:r>
      <w:r>
        <w:rPr>
          <w:rFonts w:hint="eastAsia" w:ascii="宋体" w:hAnsi="宋体" w:cs="宋体"/>
          <w:sz w:val="24"/>
        </w:rPr>
        <w:t>的法定代表人（负责人）。</w:t>
      </w:r>
    </w:p>
    <w:p w14:paraId="3C5432F7">
      <w:pPr>
        <w:spacing w:line="500" w:lineRule="exact"/>
        <w:ind w:left="540"/>
        <w:rPr>
          <w:rFonts w:ascii="宋体" w:hAnsi="宋体" w:cs="宋体"/>
          <w:sz w:val="24"/>
        </w:rPr>
      </w:pPr>
      <w:r>
        <w:rPr>
          <w:rFonts w:hint="eastAsia" w:ascii="宋体" w:hAnsi="宋体" w:cs="宋体"/>
          <w:sz w:val="24"/>
        </w:rPr>
        <w:t>特此证明。</w:t>
      </w:r>
    </w:p>
    <w:p w14:paraId="2BE74274">
      <w:pPr>
        <w:spacing w:line="500" w:lineRule="exact"/>
        <w:ind w:left="540"/>
        <w:rPr>
          <w:rFonts w:ascii="宋体" w:hAnsi="宋体" w:cs="宋体"/>
          <w:sz w:val="24"/>
        </w:rPr>
      </w:pPr>
    </w:p>
    <w:p w14:paraId="35590A30">
      <w:pPr>
        <w:spacing w:line="500" w:lineRule="exact"/>
        <w:ind w:left="540"/>
        <w:rPr>
          <w:rFonts w:ascii="宋体" w:hAnsi="宋体" w:cs="宋体"/>
          <w:sz w:val="24"/>
        </w:rPr>
      </w:pPr>
    </w:p>
    <w:p w14:paraId="71016D38">
      <w:pPr>
        <w:spacing w:line="500" w:lineRule="exact"/>
        <w:ind w:left="540"/>
        <w:rPr>
          <w:rFonts w:ascii="宋体" w:hAnsi="宋体" w:cs="宋体"/>
          <w:sz w:val="24"/>
        </w:rPr>
      </w:pPr>
      <w:r>
        <w:rPr>
          <w:rFonts w:hint="eastAsia" w:ascii="宋体" w:hAnsi="宋体" w:cs="宋体"/>
          <w:sz w:val="24"/>
        </w:rPr>
        <w:t>附件：法定代表人有效身份证正反面复印件</w:t>
      </w:r>
    </w:p>
    <w:p w14:paraId="351CA7D7">
      <w:pPr>
        <w:spacing w:line="500" w:lineRule="exact"/>
        <w:ind w:left="540"/>
        <w:rPr>
          <w:rFonts w:ascii="宋体" w:hAnsi="宋体" w:cs="宋体"/>
          <w:sz w:val="24"/>
        </w:rPr>
      </w:pPr>
    </w:p>
    <w:p w14:paraId="35E88EA5">
      <w:pPr>
        <w:snapToGrid w:val="0"/>
        <w:spacing w:line="360" w:lineRule="auto"/>
        <w:ind w:firstLine="4935" w:firstLineChars="2350"/>
        <w:rPr>
          <w:rFonts w:ascii="宋体" w:hAnsi="宋体" w:cs="宋体"/>
          <w:kern w:val="0"/>
          <w:sz w:val="24"/>
        </w:rPr>
      </w:pPr>
      <w:r>
        <w:rPr>
          <w:rFonts w:hint="eastAsia" w:ascii="宋体" w:hAnsi="宋体" w:cs="宋体"/>
          <w:szCs w:val="21"/>
        </w:rPr>
        <w:t xml:space="preserve">  </w:t>
      </w:r>
      <w:bookmarkStart w:id="361" w:name="OLE_LINK51"/>
      <w:r>
        <w:rPr>
          <w:rFonts w:hint="eastAsia" w:ascii="宋体" w:hAnsi="宋体" w:cs="宋体"/>
          <w:kern w:val="0"/>
          <w:sz w:val="24"/>
          <w:lang w:val="zh-CN"/>
        </w:rPr>
        <w:t>投标人名称</w:t>
      </w:r>
      <w:bookmarkEnd w:id="361"/>
      <w:r>
        <w:rPr>
          <w:rFonts w:hint="eastAsia" w:ascii="宋体" w:hAnsi="宋体" w:cs="宋体"/>
          <w:kern w:val="0"/>
          <w:sz w:val="24"/>
          <w:lang w:val="zh-CN"/>
        </w:rPr>
        <w:t>(电子签章)：</w:t>
      </w:r>
    </w:p>
    <w:p w14:paraId="696C13D3">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F39D695">
      <w:pPr>
        <w:snapToGrid w:val="0"/>
        <w:spacing w:before="165" w:beforeLines="50" w:after="50"/>
        <w:jc w:val="center"/>
        <w:rPr>
          <w:rFonts w:ascii="宋体" w:hAnsi="宋体" w:cs="宋体"/>
          <w:b/>
          <w:sz w:val="24"/>
        </w:rPr>
      </w:pPr>
    </w:p>
    <w:p w14:paraId="43C84571">
      <w:pPr>
        <w:snapToGrid w:val="0"/>
        <w:spacing w:before="165" w:beforeLines="50" w:after="50"/>
        <w:ind w:firstLine="600" w:firstLineChars="250"/>
        <w:jc w:val="left"/>
        <w:rPr>
          <w:rFonts w:ascii="宋体" w:hAnsi="宋体" w:cs="宋体"/>
          <w:sz w:val="24"/>
        </w:rPr>
      </w:pPr>
      <w:r>
        <w:rPr>
          <w:rFonts w:hint="eastAsia" w:ascii="宋体" w:hAnsi="宋体" w:cs="宋体"/>
          <w:sz w:val="24"/>
        </w:rPr>
        <w:t>注：自然人投标的无需提供</w:t>
      </w:r>
    </w:p>
    <w:p w14:paraId="43A71CD1">
      <w:pPr>
        <w:snapToGrid w:val="0"/>
        <w:spacing w:before="165" w:beforeLines="50" w:after="50"/>
        <w:ind w:firstLine="600" w:firstLineChars="250"/>
        <w:jc w:val="left"/>
        <w:rPr>
          <w:rFonts w:ascii="宋体" w:hAnsi="宋体" w:cs="宋体"/>
          <w:sz w:val="24"/>
        </w:rPr>
      </w:pPr>
    </w:p>
    <w:p w14:paraId="072D8A50">
      <w:pPr>
        <w:snapToGrid w:val="0"/>
        <w:spacing w:before="165" w:beforeLines="50" w:after="50"/>
        <w:ind w:firstLine="602" w:firstLineChars="250"/>
        <w:jc w:val="left"/>
        <w:rPr>
          <w:rFonts w:ascii="宋体" w:hAnsi="宋体" w:cs="宋体"/>
          <w:b/>
          <w:sz w:val="24"/>
          <w:szCs w:val="20"/>
        </w:rPr>
      </w:pPr>
    </w:p>
    <w:tbl>
      <w:tblPr>
        <w:tblStyle w:val="37"/>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5605F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14:paraId="1D250BF3">
            <w:pPr>
              <w:spacing w:line="360" w:lineRule="auto"/>
              <w:rPr>
                <w:rFonts w:ascii="宋体" w:hAnsi="宋体" w:cs="宋体"/>
                <w:b/>
                <w:sz w:val="24"/>
              </w:rPr>
            </w:pPr>
          </w:p>
          <w:p w14:paraId="0AD08AD4">
            <w:pPr>
              <w:spacing w:line="360" w:lineRule="auto"/>
              <w:rPr>
                <w:rFonts w:ascii="宋体" w:hAnsi="宋体" w:cs="宋体"/>
                <w:b/>
                <w:sz w:val="24"/>
              </w:rPr>
            </w:pPr>
            <w:r>
              <w:rPr>
                <w:rFonts w:hint="eastAsia" w:ascii="宋体" w:hAnsi="宋体" w:cs="宋体"/>
                <w:b/>
                <w:sz w:val="24"/>
              </w:rPr>
              <w:t>法定代表人（负责人）身份证复印件粘帖处（正、反面）</w:t>
            </w:r>
          </w:p>
        </w:tc>
      </w:tr>
    </w:tbl>
    <w:p w14:paraId="192B6791">
      <w:pPr>
        <w:pStyle w:val="20"/>
        <w:snapToGrid w:val="0"/>
        <w:spacing w:before="295" w:after="295" w:line="360" w:lineRule="auto"/>
        <w:jc w:val="center"/>
        <w:rPr>
          <w:rFonts w:hAnsi="宋体" w:cs="宋体"/>
          <w:b/>
          <w:sz w:val="24"/>
        </w:rPr>
      </w:pPr>
      <w:r>
        <w:rPr>
          <w:rFonts w:hint="eastAsia" w:hAnsi="宋体" w:cs="宋体"/>
          <w:b/>
          <w:sz w:val="24"/>
        </w:rPr>
        <w:t>附件：</w:t>
      </w:r>
      <w:r>
        <w:rPr>
          <w:rFonts w:hint="eastAsia" w:hAnsi="宋体" w:cs="宋体"/>
          <w:b/>
          <w:sz w:val="24"/>
        </w:rPr>
        <w:br w:type="page"/>
      </w:r>
      <w:r>
        <w:rPr>
          <w:rFonts w:hint="eastAsia" w:hAnsi="宋体"/>
          <w:b/>
          <w:sz w:val="24"/>
        </w:rPr>
        <w:t>5.授权委托书格式（如有委托时）</w:t>
      </w:r>
    </w:p>
    <w:p w14:paraId="6A5CECB0">
      <w:pPr>
        <w:snapToGrid w:val="0"/>
        <w:spacing w:before="165" w:beforeLines="50" w:after="50"/>
        <w:jc w:val="center"/>
        <w:rPr>
          <w:rFonts w:ascii="宋体" w:hAnsi="宋体" w:cs="宋体"/>
          <w:b/>
          <w:sz w:val="32"/>
          <w:szCs w:val="32"/>
        </w:rPr>
      </w:pPr>
      <w:r>
        <w:rPr>
          <w:rFonts w:hint="eastAsia" w:ascii="宋体" w:hAnsi="宋体" w:cs="宋体"/>
          <w:b/>
          <w:sz w:val="32"/>
          <w:szCs w:val="32"/>
        </w:rPr>
        <w:t>法定代表人授权委托书</w:t>
      </w:r>
    </w:p>
    <w:p w14:paraId="55D64554">
      <w:pPr>
        <w:snapToGrid w:val="0"/>
        <w:spacing w:before="165" w:beforeLines="50" w:after="50"/>
        <w:jc w:val="center"/>
        <w:rPr>
          <w:rFonts w:ascii="宋体" w:hAnsi="宋体" w:cs="宋体"/>
          <w:b/>
          <w:sz w:val="24"/>
        </w:rPr>
      </w:pPr>
    </w:p>
    <w:p w14:paraId="1727C684">
      <w:pPr>
        <w:spacing w:line="360" w:lineRule="auto"/>
        <w:contextualSpacing/>
        <w:rPr>
          <w:rFonts w:ascii="宋体" w:hAnsi="宋体"/>
          <w:b/>
          <w:bCs/>
          <w:sz w:val="24"/>
        </w:rPr>
      </w:pPr>
      <w:r>
        <w:rPr>
          <w:rFonts w:hint="eastAsia" w:ascii="宋体" w:hAnsi="宋体"/>
          <w:bCs/>
          <w:sz w:val="24"/>
        </w:rPr>
        <w:t>致：</w:t>
      </w:r>
      <w:r>
        <w:rPr>
          <w:rFonts w:hint="eastAsia" w:ascii="宋体" w:hAnsi="宋体"/>
          <w:sz w:val="24"/>
          <w:u w:val="single"/>
        </w:rPr>
        <w:t>采购人名称</w:t>
      </w:r>
      <w:r>
        <w:rPr>
          <w:rFonts w:hint="eastAsia" w:ascii="宋体" w:hAnsi="宋体"/>
          <w:sz w:val="24"/>
        </w:rPr>
        <w:t>：</w:t>
      </w:r>
    </w:p>
    <w:p w14:paraId="01D25723">
      <w:pPr>
        <w:spacing w:line="360" w:lineRule="auto"/>
        <w:ind w:firstLine="566" w:firstLineChars="236"/>
        <w:contextualSpacing/>
        <w:rPr>
          <w:rFonts w:ascii="宋体" w:hAnsi="宋体"/>
          <w:sz w:val="24"/>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w:t>
      </w:r>
      <w:r>
        <w:rPr>
          <w:rFonts w:hint="eastAsia" w:ascii="宋体" w:hAnsi="宋体" w:cs="仿宋_GB2312"/>
          <w:sz w:val="24"/>
        </w:rPr>
        <w:t>（</w:t>
      </w:r>
      <w:r>
        <w:rPr>
          <w:rFonts w:hint="eastAsia" w:ascii="宋体" w:hAnsi="宋体" w:cs="仿宋_GB2312"/>
          <w:sz w:val="24"/>
          <w:u w:val="single"/>
        </w:rPr>
        <w:t>□法定代表人/□负责人/□自然人本人</w:t>
      </w:r>
      <w:r>
        <w:rPr>
          <w:rFonts w:hint="eastAsia" w:ascii="宋体" w:hAnsi="宋体" w:cs="仿宋_GB2312"/>
          <w:sz w:val="24"/>
        </w:rPr>
        <w:t>）</w:t>
      </w:r>
      <w:r>
        <w:rPr>
          <w:rFonts w:hint="eastAsia" w:ascii="宋体" w:hAnsi="宋体"/>
          <w:sz w:val="24"/>
        </w:rPr>
        <w:t>，现授权委托</w:t>
      </w:r>
      <w:r>
        <w:rPr>
          <w:rFonts w:hint="eastAsia" w:ascii="宋体" w:hAnsi="宋体"/>
          <w:sz w:val="24"/>
          <w:u w:val="single"/>
        </w:rPr>
        <w:t xml:space="preserve">              （姓名）</w:t>
      </w:r>
      <w:r>
        <w:rPr>
          <w:rFonts w:hint="eastAsia" w:ascii="宋体" w:hAnsi="宋体"/>
          <w:sz w:val="24"/>
        </w:rPr>
        <w:t>以我方的名义参加</w:t>
      </w:r>
      <w:r>
        <w:rPr>
          <w:rFonts w:hint="eastAsia" w:ascii="宋体" w:hAnsi="宋体"/>
          <w:sz w:val="24"/>
          <w:u w:val="single"/>
        </w:rPr>
        <w:t xml:space="preserve">              </w:t>
      </w:r>
      <w:r>
        <w:rPr>
          <w:rFonts w:hint="eastAsia" w:ascii="宋体" w:hAnsi="宋体"/>
          <w:sz w:val="24"/>
        </w:rPr>
        <w:t>项目的投标活动，并代表我方全权办理针对上述项目的所有采购程序和环节的具体事务和签署相关文件。</w:t>
      </w:r>
    </w:p>
    <w:p w14:paraId="78709FD5">
      <w:pPr>
        <w:spacing w:line="360" w:lineRule="auto"/>
        <w:contextualSpacing/>
        <w:rPr>
          <w:rFonts w:ascii="宋体" w:hAnsi="宋体"/>
          <w:sz w:val="24"/>
        </w:rPr>
      </w:pPr>
      <w:r>
        <w:rPr>
          <w:rFonts w:hint="eastAsia" w:ascii="宋体" w:hAnsi="宋体"/>
          <w:sz w:val="24"/>
        </w:rPr>
        <w:t xml:space="preserve">    我方对委托代理人的签字事项负全部责任。</w:t>
      </w:r>
    </w:p>
    <w:p w14:paraId="2A08FD2A">
      <w:pPr>
        <w:spacing w:line="360" w:lineRule="auto"/>
        <w:ind w:firstLine="480"/>
        <w:contextualSpacing/>
        <w:rPr>
          <w:rFonts w:ascii="宋体" w:hAnsi="宋体"/>
          <w:sz w:val="24"/>
        </w:rPr>
      </w:pPr>
      <w:r>
        <w:rPr>
          <w:rFonts w:hint="eastAsia" w:ascii="宋体" w:hAnsi="宋体"/>
          <w:sz w:val="24"/>
          <w:u w:val="single"/>
        </w:rPr>
        <w:t>本授权书自签署之日起生效，在撤销授权的书面通知以前，本授权书一直有效。委托代理人在授权书有效期内签署的所有文件不因授权的撤销而失效。</w:t>
      </w:r>
    </w:p>
    <w:p w14:paraId="23BC5A5A">
      <w:pPr>
        <w:spacing w:line="360" w:lineRule="auto"/>
        <w:ind w:firstLine="480"/>
        <w:contextualSpacing/>
        <w:rPr>
          <w:rFonts w:ascii="宋体" w:hAnsi="宋体"/>
          <w:sz w:val="24"/>
        </w:rPr>
      </w:pPr>
      <w:r>
        <w:rPr>
          <w:rFonts w:hint="eastAsia" w:ascii="宋体" w:hAnsi="宋体"/>
          <w:sz w:val="24"/>
        </w:rPr>
        <w:t>委托代理人无转委托权，特此委托。</w:t>
      </w:r>
    </w:p>
    <w:p w14:paraId="0526561C">
      <w:pPr>
        <w:spacing w:line="360" w:lineRule="auto"/>
        <w:ind w:firstLine="480"/>
        <w:contextualSpacing/>
        <w:rPr>
          <w:rFonts w:ascii="宋体" w:hAnsi="宋体"/>
          <w:sz w:val="24"/>
        </w:rPr>
      </w:pPr>
      <w:r>
        <w:rPr>
          <w:rFonts w:hint="eastAsia" w:ascii="宋体" w:hAnsi="宋体"/>
          <w:sz w:val="24"/>
        </w:rPr>
        <w:t>附：法定代表人身份证明及委托代理人有效身份证正反面复印件</w:t>
      </w:r>
    </w:p>
    <w:p w14:paraId="059F33E0">
      <w:pPr>
        <w:spacing w:line="360" w:lineRule="auto"/>
        <w:contextualSpacing/>
        <w:rPr>
          <w:rFonts w:ascii="宋体" w:hAnsi="宋体"/>
          <w:sz w:val="24"/>
        </w:rPr>
      </w:pPr>
    </w:p>
    <w:p w14:paraId="16C93701">
      <w:pPr>
        <w:spacing w:line="360" w:lineRule="auto"/>
        <w:contextualSpacing/>
        <w:rPr>
          <w:rFonts w:ascii="宋体" w:hAnsi="宋体"/>
          <w:sz w:val="24"/>
          <w:u w:val="single"/>
        </w:rPr>
      </w:pPr>
      <w:r>
        <w:rPr>
          <w:rFonts w:hint="eastAsia" w:ascii="宋体" w:hAnsi="宋体"/>
          <w:sz w:val="24"/>
        </w:rPr>
        <w:t>委托代理人（签字）：</w:t>
      </w:r>
      <w:r>
        <w:rPr>
          <w:rFonts w:hint="eastAsia" w:ascii="宋体" w:hAnsi="宋体"/>
          <w:sz w:val="24"/>
          <w:u w:val="single"/>
        </w:rPr>
        <w:t xml:space="preserve">               </w:t>
      </w:r>
      <w:r>
        <w:rPr>
          <w:rFonts w:hint="eastAsia" w:ascii="宋体" w:hAnsi="宋体"/>
          <w:sz w:val="24"/>
        </w:rPr>
        <w:t xml:space="preserve">            法定代表人（签字或盖章）：</w:t>
      </w:r>
      <w:r>
        <w:rPr>
          <w:rFonts w:hint="eastAsia" w:ascii="宋体" w:hAnsi="宋体"/>
          <w:sz w:val="24"/>
          <w:u w:val="single"/>
        </w:rPr>
        <w:t xml:space="preserve">              </w:t>
      </w:r>
    </w:p>
    <w:p w14:paraId="2D93C671">
      <w:pPr>
        <w:spacing w:line="360" w:lineRule="auto"/>
        <w:contextualSpacing/>
        <w:rPr>
          <w:rFonts w:ascii="宋体" w:hAnsi="宋体"/>
          <w:sz w:val="24"/>
        </w:rPr>
      </w:pPr>
      <w:r>
        <w:rPr>
          <w:rFonts w:hint="eastAsia" w:ascii="宋体" w:hAnsi="宋体"/>
          <w:sz w:val="24"/>
        </w:rPr>
        <w:t>委托代理人身份证号码：</w:t>
      </w:r>
      <w:r>
        <w:rPr>
          <w:rFonts w:hint="eastAsia" w:ascii="宋体" w:hAnsi="宋体"/>
          <w:sz w:val="24"/>
          <w:u w:val="single"/>
        </w:rPr>
        <w:t xml:space="preserve">                             </w:t>
      </w:r>
      <w:r>
        <w:rPr>
          <w:rFonts w:hint="eastAsia" w:ascii="宋体" w:hAnsi="宋体"/>
          <w:sz w:val="24"/>
        </w:rPr>
        <w:t xml:space="preserve"> </w:t>
      </w:r>
    </w:p>
    <w:p w14:paraId="32585EE8">
      <w:pPr>
        <w:spacing w:line="360" w:lineRule="auto"/>
        <w:contextualSpacing/>
        <w:jc w:val="center"/>
        <w:rPr>
          <w:rFonts w:ascii="宋体" w:hAnsi="宋体"/>
          <w:sz w:val="24"/>
        </w:rPr>
      </w:pPr>
      <w:r>
        <w:rPr>
          <w:rFonts w:hint="eastAsia" w:ascii="宋体" w:hAnsi="宋体"/>
          <w:sz w:val="24"/>
        </w:rPr>
        <w:t xml:space="preserve">                                      </w:t>
      </w:r>
    </w:p>
    <w:p w14:paraId="62FD101F">
      <w:pPr>
        <w:spacing w:line="360" w:lineRule="auto"/>
        <w:contextualSpacing/>
        <w:jc w:val="center"/>
        <w:rPr>
          <w:rFonts w:ascii="宋体" w:hAnsi="宋体"/>
          <w:sz w:val="24"/>
        </w:rPr>
      </w:pPr>
      <w:r>
        <w:rPr>
          <w:rFonts w:hint="eastAsia" w:ascii="宋体" w:hAnsi="宋体"/>
          <w:sz w:val="24"/>
        </w:rPr>
        <w:t xml:space="preserve">                                      </w:t>
      </w:r>
    </w:p>
    <w:p w14:paraId="61684FDE">
      <w:pPr>
        <w:spacing w:line="360" w:lineRule="auto"/>
        <w:ind w:firstLine="5520" w:firstLineChars="2300"/>
        <w:contextualSpacing/>
        <w:rPr>
          <w:rFonts w:ascii="宋体" w:hAnsi="宋体"/>
          <w:sz w:val="24"/>
        </w:rPr>
      </w:pPr>
      <w:r>
        <w:rPr>
          <w:rFonts w:hint="eastAsia" w:ascii="宋体" w:hAnsi="宋体" w:cs="宋体"/>
          <w:kern w:val="0"/>
          <w:sz w:val="24"/>
          <w:lang w:val="zh-CN"/>
        </w:rPr>
        <w:t>投标人名称</w:t>
      </w:r>
      <w:r>
        <w:rPr>
          <w:rFonts w:hint="eastAsia" w:ascii="宋体" w:hAnsi="宋体"/>
          <w:sz w:val="24"/>
        </w:rPr>
        <w:t>（电子签章）：</w:t>
      </w:r>
    </w:p>
    <w:p w14:paraId="0A3E12CE">
      <w:pPr>
        <w:spacing w:line="360" w:lineRule="auto"/>
        <w:contextualSpacing/>
        <w:jc w:val="center"/>
        <w:rPr>
          <w:rFonts w:ascii="宋体" w:hAnsi="宋体"/>
          <w:sz w:val="24"/>
        </w:rPr>
      </w:pPr>
      <w:r>
        <w:rPr>
          <w:rFonts w:hint="eastAsia" w:ascii="宋体" w:hAnsi="宋体"/>
          <w:sz w:val="24"/>
        </w:rPr>
        <w:t xml:space="preserve">                                              年    月    日</w:t>
      </w:r>
    </w:p>
    <w:p w14:paraId="1803552D">
      <w:pPr>
        <w:spacing w:line="360" w:lineRule="auto"/>
        <w:contextualSpacing/>
        <w:jc w:val="center"/>
        <w:rPr>
          <w:rFonts w:ascii="宋体" w:hAnsi="宋体"/>
          <w:sz w:val="24"/>
        </w:rPr>
      </w:pPr>
    </w:p>
    <w:p w14:paraId="67B4A835">
      <w:pPr>
        <w:spacing w:line="360" w:lineRule="auto"/>
        <w:contextualSpacing/>
        <w:rPr>
          <w:rFonts w:ascii="宋体" w:hAnsi="宋体"/>
          <w:sz w:val="24"/>
        </w:rPr>
      </w:pPr>
    </w:p>
    <w:p w14:paraId="4BD0DC0A">
      <w:pPr>
        <w:spacing w:line="360" w:lineRule="auto"/>
        <w:contextualSpacing/>
        <w:rPr>
          <w:rFonts w:ascii="宋体" w:hAnsi="宋体" w:cs="仿宋_GB2312"/>
          <w:sz w:val="24"/>
        </w:rPr>
      </w:pPr>
      <w:r>
        <w:rPr>
          <w:rFonts w:hint="eastAsia" w:ascii="宋体" w:hAnsi="宋体" w:cs="仿宋_GB2312"/>
          <w:sz w:val="24"/>
        </w:rPr>
        <w:t>注：1.</w:t>
      </w:r>
      <w:bookmarkStart w:id="362" w:name="_Hlk65851555"/>
      <w:r>
        <w:rPr>
          <w:rFonts w:hint="eastAsia" w:ascii="宋体" w:hAnsi="宋体" w:cs="仿宋_GB2312"/>
          <w:sz w:val="24"/>
        </w:rPr>
        <w:t xml:space="preserve"> </w:t>
      </w:r>
      <w:bookmarkStart w:id="363" w:name="_Hlk65852380"/>
      <w:r>
        <w:rPr>
          <w:rFonts w:hint="eastAsia" w:ascii="宋体" w:hAnsi="宋体" w:cs="仿宋_GB2312"/>
          <w:sz w:val="24"/>
        </w:rPr>
        <w:t>法定代表人必须在授权委托书上亲笔签字或盖章，</w:t>
      </w:r>
      <w:bookmarkEnd w:id="362"/>
      <w:r>
        <w:rPr>
          <w:rFonts w:hint="eastAsia" w:ascii="宋体" w:hAnsi="宋体" w:cs="仿宋_GB2312"/>
          <w:sz w:val="24"/>
        </w:rPr>
        <w:t>委托代理人必须在授权委托书上亲笔签字，</w:t>
      </w:r>
      <w:r>
        <w:rPr>
          <w:rFonts w:hint="eastAsia" w:ascii="宋体" w:hAnsi="宋体" w:cs="仿宋_GB2312"/>
          <w:b/>
          <w:bCs/>
          <w:sz w:val="24"/>
        </w:rPr>
        <w:t>否则作无效投标处理</w:t>
      </w:r>
      <w:r>
        <w:rPr>
          <w:rFonts w:hint="eastAsia" w:ascii="宋体" w:hAnsi="宋体" w:cs="仿宋_GB2312"/>
          <w:sz w:val="24"/>
        </w:rPr>
        <w:t>；</w:t>
      </w:r>
      <w:bookmarkEnd w:id="363"/>
    </w:p>
    <w:p w14:paraId="617103EF">
      <w:pPr>
        <w:spacing w:line="360" w:lineRule="auto"/>
        <w:ind w:firstLine="480" w:firstLineChars="200"/>
        <w:contextualSpacing/>
        <w:jc w:val="left"/>
        <w:rPr>
          <w:rFonts w:ascii="宋体" w:hAnsi="宋体" w:cs="仿宋_GB2312"/>
          <w:sz w:val="24"/>
        </w:rPr>
      </w:pPr>
      <w:r>
        <w:rPr>
          <w:rFonts w:hint="eastAsia" w:ascii="宋体" w:hAnsi="宋体" w:cs="仿宋_GB2312"/>
          <w:sz w:val="24"/>
        </w:rPr>
        <w:t>2.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201EA3BF">
      <w:pPr>
        <w:spacing w:line="360" w:lineRule="auto"/>
        <w:ind w:firstLine="480" w:firstLineChars="200"/>
        <w:contextualSpacing/>
        <w:jc w:val="left"/>
        <w:rPr>
          <w:rFonts w:ascii="宋体" w:hAnsi="宋体"/>
          <w:sz w:val="24"/>
        </w:rPr>
      </w:pPr>
      <w:bookmarkStart w:id="364" w:name="_Hlk65852305"/>
      <w:r>
        <w:rPr>
          <w:rFonts w:ascii="宋体" w:hAnsi="宋体" w:cs="仿宋_GB2312"/>
          <w:sz w:val="24"/>
        </w:rPr>
        <w:t>3.</w:t>
      </w:r>
      <w:r>
        <w:rPr>
          <w:rFonts w:hint="eastAsia" w:ascii="宋体" w:hAnsi="宋体" w:cs="仿宋_GB2312"/>
          <w:sz w:val="24"/>
        </w:rPr>
        <w:t>法人、其他组织投标时“我方”是指“我单位”，自然人投标时“我方”是指“本人”。</w:t>
      </w:r>
    </w:p>
    <w:bookmarkEnd w:id="364"/>
    <w:p w14:paraId="51079AD9">
      <w:pPr>
        <w:spacing w:line="360" w:lineRule="auto"/>
        <w:rPr>
          <w:rFonts w:ascii="宋体" w:hAnsi="宋体" w:cs="宋体"/>
          <w:b/>
          <w:sz w:val="24"/>
        </w:rPr>
      </w:pPr>
    </w:p>
    <w:p w14:paraId="1608BFFD">
      <w:pPr>
        <w:spacing w:line="360" w:lineRule="auto"/>
        <w:rPr>
          <w:rFonts w:ascii="宋体" w:hAnsi="宋体" w:cs="宋体"/>
          <w:b/>
          <w:sz w:val="24"/>
        </w:rPr>
      </w:pPr>
      <w:r>
        <w:rPr>
          <w:rFonts w:hint="eastAsia" w:ascii="宋体" w:hAnsi="宋体" w:cs="宋体"/>
          <w:b/>
          <w:sz w:val="24"/>
        </w:rPr>
        <w:t>附件：</w:t>
      </w:r>
    </w:p>
    <w:tbl>
      <w:tblPr>
        <w:tblStyle w:val="37"/>
        <w:tblpPr w:leftFromText="180" w:rightFromText="180" w:vertAnchor="text" w:horzAnchor="margin" w:tblpY="263"/>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2"/>
      </w:tblGrid>
      <w:tr w14:paraId="555A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9252" w:type="dxa"/>
          </w:tcPr>
          <w:p w14:paraId="75D999DD">
            <w:pPr>
              <w:spacing w:line="360" w:lineRule="auto"/>
              <w:rPr>
                <w:rFonts w:ascii="宋体" w:hAnsi="宋体" w:cs="宋体"/>
                <w:b/>
                <w:sz w:val="24"/>
              </w:rPr>
            </w:pPr>
          </w:p>
          <w:p w14:paraId="7FB7FA7D">
            <w:pPr>
              <w:spacing w:line="360" w:lineRule="auto"/>
              <w:rPr>
                <w:rFonts w:ascii="宋体" w:hAnsi="宋体" w:cs="宋体"/>
                <w:b/>
                <w:sz w:val="24"/>
              </w:rPr>
            </w:pPr>
            <w:r>
              <w:rPr>
                <w:rFonts w:hint="eastAsia" w:ascii="宋体" w:hAnsi="宋体" w:cs="宋体"/>
                <w:b/>
                <w:sz w:val="24"/>
              </w:rPr>
              <w:t>委托代理人身份证复印件粘帖处（正、反面）</w:t>
            </w:r>
          </w:p>
        </w:tc>
      </w:tr>
    </w:tbl>
    <w:p w14:paraId="253B2228">
      <w:pPr>
        <w:snapToGrid w:val="0"/>
        <w:spacing w:before="50" w:after="165" w:afterLines="50" w:line="360" w:lineRule="auto"/>
        <w:jc w:val="left"/>
        <w:rPr>
          <w:rFonts w:ascii="宋体" w:hAnsi="宋体" w:cs="宋体"/>
          <w:szCs w:val="21"/>
        </w:rPr>
      </w:pPr>
    </w:p>
    <w:p w14:paraId="67C014F2">
      <w:pPr>
        <w:snapToGrid w:val="0"/>
        <w:spacing w:before="165" w:beforeLines="50" w:after="50"/>
        <w:ind w:firstLine="566" w:firstLineChars="236"/>
        <w:jc w:val="center"/>
        <w:rPr>
          <w:rFonts w:ascii="宋体" w:hAnsi="宋体" w:cs="宋体"/>
          <w:b/>
          <w:bCs/>
          <w:sz w:val="30"/>
          <w:szCs w:val="30"/>
        </w:rPr>
      </w:pPr>
      <w:r>
        <w:rPr>
          <w:rFonts w:hint="eastAsia" w:ascii="宋体" w:hAnsi="宋体" w:cs="宋体"/>
          <w:sz w:val="24"/>
        </w:rPr>
        <w:t xml:space="preserve"> </w:t>
      </w:r>
      <w:r>
        <w:rPr>
          <w:rFonts w:hint="eastAsia" w:ascii="宋体" w:hAnsi="宋体" w:cs="宋体"/>
          <w:sz w:val="24"/>
        </w:rPr>
        <w:br w:type="page"/>
      </w:r>
    </w:p>
    <w:p w14:paraId="712AA334">
      <w:pPr>
        <w:rPr>
          <w:rFonts w:ascii="宋体" w:hAnsi="宋体"/>
          <w:b/>
          <w:sz w:val="24"/>
          <w:szCs w:val="20"/>
        </w:rPr>
      </w:pPr>
      <w:r>
        <w:rPr>
          <w:rFonts w:hint="eastAsia" w:ascii="宋体" w:hAnsi="宋体"/>
          <w:b/>
          <w:sz w:val="24"/>
        </w:rPr>
        <w:t>6.商务要求偏离表格式</w:t>
      </w:r>
    </w:p>
    <w:p w14:paraId="46D966A9">
      <w:pPr>
        <w:snapToGrid w:val="0"/>
        <w:spacing w:before="165" w:beforeLines="50" w:after="50"/>
        <w:ind w:firstLine="711" w:firstLineChars="236"/>
        <w:jc w:val="center"/>
        <w:rPr>
          <w:rFonts w:ascii="宋体" w:hAnsi="宋体" w:cs="宋体"/>
          <w:b/>
          <w:bCs/>
          <w:sz w:val="30"/>
          <w:szCs w:val="30"/>
        </w:rPr>
      </w:pPr>
    </w:p>
    <w:p w14:paraId="607680B2">
      <w:pPr>
        <w:snapToGrid w:val="0"/>
        <w:spacing w:before="165" w:beforeLines="50" w:after="50"/>
        <w:ind w:firstLine="711" w:firstLineChars="236"/>
        <w:jc w:val="center"/>
        <w:rPr>
          <w:rFonts w:ascii="宋体" w:hAnsi="宋体" w:cs="宋体"/>
          <w:b/>
          <w:bCs/>
          <w:sz w:val="30"/>
          <w:szCs w:val="30"/>
        </w:rPr>
      </w:pPr>
      <w:r>
        <w:rPr>
          <w:rFonts w:hint="eastAsia" w:ascii="宋体" w:hAnsi="宋体" w:cs="宋体"/>
          <w:b/>
          <w:bCs/>
          <w:sz w:val="30"/>
          <w:szCs w:val="30"/>
        </w:rPr>
        <w:t>商务条款偏离表</w:t>
      </w:r>
    </w:p>
    <w:p w14:paraId="5678740C">
      <w:pPr>
        <w:jc w:val="center"/>
        <w:rPr>
          <w:rFonts w:ascii="宋体" w:hAnsi="宋体" w:cs="宋体"/>
          <w:b/>
          <w:sz w:val="24"/>
          <w:szCs w:val="20"/>
        </w:rPr>
      </w:pPr>
      <w:r>
        <w:rPr>
          <w:rFonts w:hint="eastAsia" w:ascii="宋体" w:hAnsi="宋体" w:cs="宋体"/>
          <w:sz w:val="30"/>
          <w:szCs w:val="20"/>
        </w:rPr>
        <w:t>(注：按项目需求表具体项目修改)</w:t>
      </w:r>
    </w:p>
    <w:p w14:paraId="44670512">
      <w:pPr>
        <w:snapToGrid w:val="0"/>
        <w:spacing w:before="50"/>
        <w:jc w:val="left"/>
        <w:rPr>
          <w:rFonts w:ascii="宋体" w:hAnsi="宋体" w:cs="宋体"/>
          <w:sz w:val="24"/>
        </w:rPr>
      </w:pPr>
    </w:p>
    <w:p w14:paraId="295C24BF">
      <w:pPr>
        <w:pStyle w:val="20"/>
        <w:spacing w:line="360" w:lineRule="auto"/>
        <w:ind w:left="-424" w:leftChars="-202" w:firstLine="846"/>
        <w:rPr>
          <w:rFonts w:hAnsi="宋体" w:cs="宋体"/>
          <w:sz w:val="24"/>
          <w:szCs w:val="24"/>
        </w:rPr>
      </w:pPr>
      <w:r>
        <w:rPr>
          <w:rFonts w:hint="eastAsia" w:hAnsi="宋体" w:cs="宋体"/>
        </w:rPr>
        <w:t>请逐条对应本项目招标文件第二章“采购需求”中“商务条款”的要求，详细填写相应的具体内容。“偏离说明”一栏应当选择“正偏离”、“负偏离”或“无偏离”进行填写。</w:t>
      </w:r>
    </w:p>
    <w:tbl>
      <w:tblPr>
        <w:tblStyle w:val="37"/>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1E265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1" w:type="dxa"/>
            <w:tcBorders>
              <w:top w:val="single" w:color="auto" w:sz="4" w:space="0"/>
              <w:left w:val="single" w:color="auto" w:sz="4" w:space="0"/>
              <w:bottom w:val="single" w:color="auto" w:sz="4" w:space="0"/>
              <w:right w:val="single" w:color="auto" w:sz="4" w:space="0"/>
            </w:tcBorders>
            <w:vAlign w:val="center"/>
          </w:tcPr>
          <w:p w14:paraId="03558177">
            <w:pPr>
              <w:spacing w:line="340" w:lineRule="exact"/>
              <w:jc w:val="center"/>
              <w:rPr>
                <w:rFonts w:ascii="宋体" w:hAnsi="宋体" w:cs="宋体"/>
                <w:szCs w:val="21"/>
              </w:rPr>
            </w:pPr>
            <w:r>
              <w:rPr>
                <w:rFonts w:hint="eastAsia" w:ascii="宋体" w:hAnsi="宋体" w:cs="宋体"/>
                <w:szCs w:val="21"/>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6B283B61">
            <w:pPr>
              <w:spacing w:line="340" w:lineRule="exact"/>
              <w:jc w:val="center"/>
              <w:rPr>
                <w:rFonts w:ascii="宋体" w:hAnsi="宋体" w:cs="宋体"/>
                <w:szCs w:val="21"/>
              </w:rPr>
            </w:pPr>
            <w:r>
              <w:rPr>
                <w:rFonts w:hint="eastAsia" w:ascii="宋体" w:hAnsi="宋体" w:cs="宋体"/>
                <w:szCs w:val="21"/>
              </w:rPr>
              <w:t>招标文件的商务需求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410B1858">
            <w:pPr>
              <w:spacing w:line="340" w:lineRule="exact"/>
              <w:jc w:val="center"/>
              <w:rPr>
                <w:rFonts w:ascii="宋体" w:hAnsi="宋体" w:cs="宋体"/>
                <w:szCs w:val="21"/>
              </w:rPr>
            </w:pPr>
            <w:r>
              <w:rPr>
                <w:rFonts w:hint="eastAsia" w:ascii="宋体" w:hAnsi="宋体" w:cs="宋体"/>
                <w:szCs w:val="21"/>
              </w:rPr>
              <w:t>投标文件承诺的商务条款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0A288393">
            <w:pPr>
              <w:spacing w:line="340" w:lineRule="exact"/>
              <w:jc w:val="center"/>
              <w:rPr>
                <w:rFonts w:ascii="宋体" w:hAnsi="宋体" w:cs="宋体"/>
                <w:szCs w:val="21"/>
              </w:rPr>
            </w:pPr>
            <w:r>
              <w:rPr>
                <w:rFonts w:hint="eastAsia" w:ascii="宋体" w:hAnsi="宋体" w:cs="宋体"/>
                <w:szCs w:val="21"/>
              </w:rPr>
              <w:t>偏离说明</w:t>
            </w:r>
          </w:p>
        </w:tc>
      </w:tr>
      <w:tr w14:paraId="465AF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6BE43F93">
            <w:pPr>
              <w:spacing w:line="340" w:lineRule="exact"/>
              <w:rPr>
                <w:rFonts w:ascii="宋体" w:hAnsi="宋体" w:cs="宋体"/>
                <w:szCs w:val="21"/>
              </w:rPr>
            </w:pPr>
            <w:r>
              <w:rPr>
                <w:rFonts w:hint="eastAsia" w:ascii="宋体" w:hAnsi="宋体" w:cs="宋体"/>
                <w:szCs w:val="21"/>
              </w:rPr>
              <w:t>一</w:t>
            </w:r>
          </w:p>
        </w:tc>
        <w:tc>
          <w:tcPr>
            <w:tcW w:w="3926" w:type="dxa"/>
            <w:tcBorders>
              <w:top w:val="single" w:color="auto" w:sz="4" w:space="0"/>
              <w:left w:val="single" w:color="auto" w:sz="4" w:space="0"/>
              <w:bottom w:val="single" w:color="auto" w:sz="4" w:space="0"/>
              <w:right w:val="single" w:color="auto" w:sz="4" w:space="0"/>
            </w:tcBorders>
          </w:tcPr>
          <w:p w14:paraId="2BDD18C2">
            <w:pPr>
              <w:spacing w:line="340" w:lineRule="exact"/>
              <w:rPr>
                <w:rFonts w:ascii="宋体" w:hAnsi="宋体" w:cs="宋体"/>
                <w:szCs w:val="21"/>
              </w:rPr>
            </w:pPr>
            <w:r>
              <w:rPr>
                <w:rFonts w:hint="eastAsia" w:ascii="宋体" w:hAnsi="宋体" w:cs="宋体"/>
                <w:szCs w:val="21"/>
              </w:rPr>
              <w:t>1  ……</w:t>
            </w:r>
          </w:p>
          <w:p w14:paraId="6CBCEEDB">
            <w:pPr>
              <w:spacing w:line="340" w:lineRule="exact"/>
              <w:rPr>
                <w:rFonts w:ascii="宋体" w:hAnsi="宋体" w:cs="宋体"/>
                <w:szCs w:val="21"/>
              </w:rPr>
            </w:pPr>
            <w:r>
              <w:rPr>
                <w:rFonts w:hint="eastAsia" w:ascii="宋体" w:hAnsi="宋体" w:cs="宋体"/>
                <w:szCs w:val="21"/>
              </w:rPr>
              <w:t>2  ……</w:t>
            </w:r>
          </w:p>
          <w:p w14:paraId="378FF9C6">
            <w:pPr>
              <w:spacing w:line="340" w:lineRule="exact"/>
              <w:rPr>
                <w:rFonts w:ascii="宋体" w:hAnsi="宋体" w:cs="宋体"/>
                <w:szCs w:val="21"/>
              </w:rPr>
            </w:pPr>
            <w:r>
              <w:rPr>
                <w:rFonts w:hint="eastAsia" w:ascii="宋体" w:hAnsi="宋体" w:cs="宋体"/>
                <w:szCs w:val="21"/>
              </w:rPr>
              <w:t>3  ……</w:t>
            </w:r>
          </w:p>
          <w:p w14:paraId="1FB62A40">
            <w:pPr>
              <w:spacing w:line="340" w:lineRule="exact"/>
              <w:rPr>
                <w:rFonts w:ascii="宋体" w:hAnsi="宋体" w:cs="宋体"/>
                <w:szCs w:val="21"/>
              </w:rPr>
            </w:pPr>
            <w:r>
              <w:rPr>
                <w:rFonts w:hint="eastAsia" w:ascii="宋体" w:hAnsi="宋体" w:cs="宋体"/>
                <w:szCs w:val="21"/>
              </w:rPr>
              <w:t>……</w:t>
            </w:r>
          </w:p>
        </w:tc>
        <w:tc>
          <w:tcPr>
            <w:tcW w:w="3589" w:type="dxa"/>
            <w:tcBorders>
              <w:top w:val="single" w:color="auto" w:sz="4" w:space="0"/>
              <w:left w:val="single" w:color="auto" w:sz="4" w:space="0"/>
              <w:bottom w:val="single" w:color="auto" w:sz="4" w:space="0"/>
              <w:right w:val="single" w:color="auto" w:sz="4" w:space="0"/>
            </w:tcBorders>
          </w:tcPr>
          <w:p w14:paraId="59316AB1">
            <w:pPr>
              <w:spacing w:line="340" w:lineRule="exact"/>
              <w:rPr>
                <w:rFonts w:ascii="宋体" w:hAnsi="宋体" w:cs="宋体"/>
                <w:szCs w:val="21"/>
              </w:rPr>
            </w:pPr>
            <w:r>
              <w:rPr>
                <w:rFonts w:hint="eastAsia" w:ascii="宋体" w:hAnsi="宋体" w:cs="宋体"/>
                <w:szCs w:val="21"/>
              </w:rPr>
              <w:t>1  ……</w:t>
            </w:r>
          </w:p>
          <w:p w14:paraId="21FFECE0">
            <w:pPr>
              <w:spacing w:line="340" w:lineRule="exact"/>
              <w:rPr>
                <w:rFonts w:ascii="宋体" w:hAnsi="宋体" w:cs="宋体"/>
                <w:szCs w:val="21"/>
              </w:rPr>
            </w:pPr>
            <w:r>
              <w:rPr>
                <w:rFonts w:hint="eastAsia" w:ascii="宋体" w:hAnsi="宋体" w:cs="宋体"/>
                <w:szCs w:val="21"/>
              </w:rPr>
              <w:t>2  ……</w:t>
            </w:r>
          </w:p>
          <w:p w14:paraId="4C73961C">
            <w:pPr>
              <w:spacing w:line="340" w:lineRule="exact"/>
              <w:rPr>
                <w:rFonts w:ascii="宋体" w:hAnsi="宋体" w:cs="宋体"/>
                <w:szCs w:val="21"/>
              </w:rPr>
            </w:pPr>
            <w:r>
              <w:rPr>
                <w:rFonts w:hint="eastAsia" w:ascii="宋体" w:hAnsi="宋体" w:cs="宋体"/>
                <w:szCs w:val="21"/>
              </w:rPr>
              <w:t>3  ……</w:t>
            </w:r>
          </w:p>
          <w:p w14:paraId="03A4AC57">
            <w:pPr>
              <w:spacing w:line="340" w:lineRule="exact"/>
              <w:rPr>
                <w:rFonts w:ascii="宋体" w:hAnsi="宋体" w:cs="宋体"/>
                <w:szCs w:val="21"/>
              </w:rPr>
            </w:pPr>
            <w:r>
              <w:rPr>
                <w:rFonts w:hint="eastAsia" w:ascii="宋体" w:hAnsi="宋体" w:cs="宋体"/>
                <w:szCs w:val="21"/>
              </w:rPr>
              <w:t>……</w:t>
            </w:r>
          </w:p>
        </w:tc>
        <w:tc>
          <w:tcPr>
            <w:tcW w:w="1274" w:type="dxa"/>
            <w:tcBorders>
              <w:top w:val="single" w:color="auto" w:sz="4" w:space="0"/>
              <w:left w:val="single" w:color="auto" w:sz="4" w:space="0"/>
              <w:bottom w:val="single" w:color="auto" w:sz="4" w:space="0"/>
              <w:right w:val="single" w:color="auto" w:sz="4" w:space="0"/>
            </w:tcBorders>
          </w:tcPr>
          <w:p w14:paraId="01FB50EA">
            <w:pPr>
              <w:spacing w:line="300" w:lineRule="exact"/>
              <w:rPr>
                <w:rFonts w:ascii="宋体" w:hAnsi="宋体" w:cs="宋体"/>
                <w:szCs w:val="21"/>
              </w:rPr>
            </w:pPr>
            <w:r>
              <w:rPr>
                <w:rFonts w:hint="eastAsia" w:ascii="宋体" w:hAnsi="宋体" w:cs="宋体"/>
                <w:szCs w:val="21"/>
              </w:rPr>
              <w:t>正偏离（负偏离或无偏离）</w:t>
            </w:r>
          </w:p>
        </w:tc>
      </w:tr>
      <w:tr w14:paraId="6EEF5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4ED6E209">
            <w:pPr>
              <w:spacing w:line="340" w:lineRule="exact"/>
              <w:rPr>
                <w:rFonts w:ascii="宋体" w:hAnsi="宋体" w:cs="宋体"/>
                <w:szCs w:val="21"/>
              </w:rPr>
            </w:pPr>
            <w:r>
              <w:rPr>
                <w:rFonts w:hint="eastAsia" w:ascii="宋体" w:hAnsi="宋体" w:cs="宋体"/>
                <w:szCs w:val="21"/>
              </w:rPr>
              <w:t>二</w:t>
            </w:r>
          </w:p>
        </w:tc>
        <w:tc>
          <w:tcPr>
            <w:tcW w:w="3926" w:type="dxa"/>
            <w:tcBorders>
              <w:top w:val="single" w:color="auto" w:sz="4" w:space="0"/>
              <w:left w:val="single" w:color="auto" w:sz="4" w:space="0"/>
              <w:bottom w:val="single" w:color="auto" w:sz="4" w:space="0"/>
              <w:right w:val="single" w:color="auto" w:sz="4" w:space="0"/>
            </w:tcBorders>
          </w:tcPr>
          <w:p w14:paraId="679C2C08">
            <w:pPr>
              <w:spacing w:line="340" w:lineRule="exact"/>
              <w:rPr>
                <w:rFonts w:ascii="宋体" w:hAnsi="宋体" w:cs="宋体"/>
                <w:szCs w:val="21"/>
              </w:rPr>
            </w:pPr>
            <w:r>
              <w:rPr>
                <w:rFonts w:hint="eastAsia" w:ascii="宋体" w:hAnsi="宋体" w:cs="宋体"/>
                <w:szCs w:val="21"/>
              </w:rPr>
              <w:t>1  ……</w:t>
            </w:r>
          </w:p>
          <w:p w14:paraId="4CFFC89C">
            <w:pPr>
              <w:spacing w:line="340" w:lineRule="exact"/>
              <w:rPr>
                <w:rFonts w:ascii="宋体" w:hAnsi="宋体" w:cs="宋体"/>
                <w:szCs w:val="21"/>
              </w:rPr>
            </w:pPr>
            <w:r>
              <w:rPr>
                <w:rFonts w:hint="eastAsia" w:ascii="宋体" w:hAnsi="宋体" w:cs="宋体"/>
                <w:szCs w:val="21"/>
              </w:rPr>
              <w:t>2  ……</w:t>
            </w:r>
          </w:p>
          <w:p w14:paraId="340ED171">
            <w:pPr>
              <w:spacing w:line="340" w:lineRule="exact"/>
              <w:rPr>
                <w:rFonts w:ascii="宋体" w:hAnsi="宋体" w:cs="宋体"/>
                <w:szCs w:val="21"/>
              </w:rPr>
            </w:pPr>
            <w:r>
              <w:rPr>
                <w:rFonts w:hint="eastAsia" w:ascii="宋体" w:hAnsi="宋体" w:cs="宋体"/>
                <w:szCs w:val="21"/>
              </w:rPr>
              <w:t>3  ……</w:t>
            </w:r>
          </w:p>
          <w:p w14:paraId="5CA7FF67">
            <w:pPr>
              <w:spacing w:line="340" w:lineRule="exact"/>
              <w:rPr>
                <w:rFonts w:ascii="宋体" w:hAnsi="宋体" w:cs="宋体"/>
                <w:szCs w:val="21"/>
              </w:rPr>
            </w:pPr>
            <w:r>
              <w:rPr>
                <w:rFonts w:hint="eastAsia" w:ascii="宋体" w:hAnsi="宋体" w:cs="宋体"/>
                <w:szCs w:val="21"/>
              </w:rPr>
              <w:t>……</w:t>
            </w:r>
          </w:p>
        </w:tc>
        <w:tc>
          <w:tcPr>
            <w:tcW w:w="3589" w:type="dxa"/>
            <w:tcBorders>
              <w:top w:val="single" w:color="auto" w:sz="4" w:space="0"/>
              <w:left w:val="single" w:color="auto" w:sz="4" w:space="0"/>
              <w:bottom w:val="single" w:color="auto" w:sz="4" w:space="0"/>
              <w:right w:val="single" w:color="auto" w:sz="4" w:space="0"/>
            </w:tcBorders>
          </w:tcPr>
          <w:p w14:paraId="105E850A">
            <w:pPr>
              <w:spacing w:line="340" w:lineRule="exact"/>
              <w:rPr>
                <w:rFonts w:ascii="宋体" w:hAnsi="宋体" w:cs="宋体"/>
                <w:szCs w:val="21"/>
              </w:rPr>
            </w:pPr>
            <w:r>
              <w:rPr>
                <w:rFonts w:hint="eastAsia" w:ascii="宋体" w:hAnsi="宋体" w:cs="宋体"/>
                <w:szCs w:val="21"/>
              </w:rPr>
              <w:t>1  ……</w:t>
            </w:r>
          </w:p>
          <w:p w14:paraId="7FD1DF4D">
            <w:pPr>
              <w:spacing w:line="340" w:lineRule="exact"/>
              <w:rPr>
                <w:rFonts w:ascii="宋体" w:hAnsi="宋体" w:cs="宋体"/>
                <w:szCs w:val="21"/>
              </w:rPr>
            </w:pPr>
            <w:r>
              <w:rPr>
                <w:rFonts w:hint="eastAsia" w:ascii="宋体" w:hAnsi="宋体" w:cs="宋体"/>
                <w:szCs w:val="21"/>
              </w:rPr>
              <w:t>2  ……</w:t>
            </w:r>
          </w:p>
          <w:p w14:paraId="5C10B5A8">
            <w:pPr>
              <w:spacing w:line="340" w:lineRule="exact"/>
              <w:rPr>
                <w:rFonts w:ascii="宋体" w:hAnsi="宋体" w:cs="宋体"/>
                <w:szCs w:val="21"/>
              </w:rPr>
            </w:pPr>
            <w:r>
              <w:rPr>
                <w:rFonts w:hint="eastAsia" w:ascii="宋体" w:hAnsi="宋体" w:cs="宋体"/>
                <w:szCs w:val="21"/>
              </w:rPr>
              <w:t>3  ……</w:t>
            </w:r>
          </w:p>
          <w:p w14:paraId="577E4A2E">
            <w:pPr>
              <w:spacing w:line="340" w:lineRule="exact"/>
              <w:rPr>
                <w:rFonts w:ascii="宋体" w:hAnsi="宋体" w:cs="宋体"/>
                <w:szCs w:val="21"/>
              </w:rPr>
            </w:pPr>
            <w:r>
              <w:rPr>
                <w:rFonts w:hint="eastAsia" w:ascii="宋体" w:hAnsi="宋体" w:cs="宋体"/>
                <w:szCs w:val="21"/>
              </w:rPr>
              <w:t>……</w:t>
            </w:r>
          </w:p>
        </w:tc>
        <w:tc>
          <w:tcPr>
            <w:tcW w:w="1274" w:type="dxa"/>
            <w:tcBorders>
              <w:top w:val="single" w:color="auto" w:sz="4" w:space="0"/>
              <w:left w:val="single" w:color="auto" w:sz="4" w:space="0"/>
              <w:bottom w:val="single" w:color="auto" w:sz="4" w:space="0"/>
              <w:right w:val="single" w:color="auto" w:sz="4" w:space="0"/>
            </w:tcBorders>
          </w:tcPr>
          <w:p w14:paraId="2C64215A">
            <w:pPr>
              <w:spacing w:line="300" w:lineRule="exact"/>
              <w:rPr>
                <w:rFonts w:ascii="宋体" w:hAnsi="宋体" w:cs="宋体"/>
                <w:szCs w:val="21"/>
              </w:rPr>
            </w:pPr>
            <w:r>
              <w:rPr>
                <w:rFonts w:hint="eastAsia" w:ascii="宋体" w:hAnsi="宋体" w:cs="宋体"/>
                <w:szCs w:val="21"/>
              </w:rPr>
              <w:t>正偏离（负偏离或无偏离）</w:t>
            </w:r>
          </w:p>
        </w:tc>
      </w:tr>
      <w:tr w14:paraId="41A0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04A4461F">
            <w:pPr>
              <w:spacing w:line="340" w:lineRule="exact"/>
              <w:rPr>
                <w:rFonts w:ascii="宋体" w:hAnsi="宋体" w:cs="宋体"/>
                <w:szCs w:val="21"/>
              </w:rPr>
            </w:pPr>
            <w:r>
              <w:rPr>
                <w:rFonts w:hint="eastAsia" w:ascii="宋体" w:hAnsi="宋体" w:cs="宋体"/>
                <w:szCs w:val="21"/>
              </w:rPr>
              <w:t>...</w:t>
            </w:r>
          </w:p>
        </w:tc>
        <w:tc>
          <w:tcPr>
            <w:tcW w:w="3926" w:type="dxa"/>
            <w:tcBorders>
              <w:top w:val="single" w:color="auto" w:sz="4" w:space="0"/>
              <w:left w:val="single" w:color="auto" w:sz="4" w:space="0"/>
              <w:bottom w:val="single" w:color="auto" w:sz="4" w:space="0"/>
              <w:right w:val="single" w:color="auto" w:sz="4" w:space="0"/>
            </w:tcBorders>
          </w:tcPr>
          <w:p w14:paraId="25CD3D7E">
            <w:pPr>
              <w:spacing w:line="340" w:lineRule="exact"/>
              <w:rPr>
                <w:rFonts w:ascii="宋体" w:hAnsi="宋体" w:cs="宋体"/>
                <w:szCs w:val="21"/>
              </w:rPr>
            </w:pPr>
            <w:r>
              <w:rPr>
                <w:rFonts w:hint="eastAsia" w:ascii="宋体" w:hAnsi="宋体" w:cs="宋体"/>
                <w:szCs w:val="21"/>
              </w:rPr>
              <w:t>1  ……</w:t>
            </w:r>
          </w:p>
          <w:p w14:paraId="5956D202">
            <w:pPr>
              <w:spacing w:line="340" w:lineRule="exact"/>
              <w:rPr>
                <w:rFonts w:ascii="宋体" w:hAnsi="宋体" w:cs="宋体"/>
                <w:szCs w:val="21"/>
              </w:rPr>
            </w:pPr>
            <w:r>
              <w:rPr>
                <w:rFonts w:hint="eastAsia" w:ascii="宋体" w:hAnsi="宋体" w:cs="宋体"/>
                <w:szCs w:val="21"/>
              </w:rPr>
              <w:t>2  ……</w:t>
            </w:r>
          </w:p>
          <w:p w14:paraId="3D08A09B">
            <w:pPr>
              <w:spacing w:line="340" w:lineRule="exact"/>
              <w:rPr>
                <w:rFonts w:ascii="宋体" w:hAnsi="宋体" w:cs="宋体"/>
                <w:szCs w:val="21"/>
              </w:rPr>
            </w:pPr>
            <w:r>
              <w:rPr>
                <w:rFonts w:hint="eastAsia" w:ascii="宋体" w:hAnsi="宋体" w:cs="宋体"/>
                <w:szCs w:val="21"/>
              </w:rPr>
              <w:t>3  ……</w:t>
            </w:r>
          </w:p>
          <w:p w14:paraId="0631F5C7">
            <w:pPr>
              <w:spacing w:line="340" w:lineRule="exact"/>
              <w:rPr>
                <w:rFonts w:ascii="宋体" w:hAnsi="宋体" w:cs="宋体"/>
                <w:szCs w:val="21"/>
              </w:rPr>
            </w:pPr>
            <w:r>
              <w:rPr>
                <w:rFonts w:hint="eastAsia" w:ascii="宋体" w:hAnsi="宋体" w:cs="宋体"/>
                <w:szCs w:val="21"/>
              </w:rPr>
              <w:t>……</w:t>
            </w:r>
          </w:p>
        </w:tc>
        <w:tc>
          <w:tcPr>
            <w:tcW w:w="3589" w:type="dxa"/>
            <w:tcBorders>
              <w:top w:val="single" w:color="auto" w:sz="4" w:space="0"/>
              <w:left w:val="single" w:color="auto" w:sz="4" w:space="0"/>
              <w:bottom w:val="single" w:color="auto" w:sz="4" w:space="0"/>
              <w:right w:val="single" w:color="auto" w:sz="4" w:space="0"/>
            </w:tcBorders>
          </w:tcPr>
          <w:p w14:paraId="3F6EB701">
            <w:pPr>
              <w:spacing w:line="340" w:lineRule="exact"/>
              <w:rPr>
                <w:rFonts w:ascii="宋体" w:hAnsi="宋体" w:cs="宋体"/>
                <w:szCs w:val="21"/>
              </w:rPr>
            </w:pPr>
            <w:r>
              <w:rPr>
                <w:rFonts w:hint="eastAsia" w:ascii="宋体" w:hAnsi="宋体" w:cs="宋体"/>
                <w:szCs w:val="21"/>
              </w:rPr>
              <w:t>1  ……</w:t>
            </w:r>
          </w:p>
          <w:p w14:paraId="4BA54B8A">
            <w:pPr>
              <w:spacing w:line="340" w:lineRule="exact"/>
              <w:rPr>
                <w:rFonts w:ascii="宋体" w:hAnsi="宋体" w:cs="宋体"/>
                <w:szCs w:val="21"/>
              </w:rPr>
            </w:pPr>
            <w:r>
              <w:rPr>
                <w:rFonts w:hint="eastAsia" w:ascii="宋体" w:hAnsi="宋体" w:cs="宋体"/>
                <w:szCs w:val="21"/>
              </w:rPr>
              <w:t>2  ……</w:t>
            </w:r>
          </w:p>
          <w:p w14:paraId="5B07E34B">
            <w:pPr>
              <w:spacing w:line="340" w:lineRule="exact"/>
              <w:rPr>
                <w:rFonts w:ascii="宋体" w:hAnsi="宋体" w:cs="宋体"/>
                <w:szCs w:val="21"/>
              </w:rPr>
            </w:pPr>
            <w:r>
              <w:rPr>
                <w:rFonts w:hint="eastAsia" w:ascii="宋体" w:hAnsi="宋体" w:cs="宋体"/>
                <w:szCs w:val="21"/>
              </w:rPr>
              <w:t>3  ……</w:t>
            </w:r>
          </w:p>
          <w:p w14:paraId="63157EE5">
            <w:pPr>
              <w:spacing w:line="340" w:lineRule="exact"/>
              <w:rPr>
                <w:rFonts w:ascii="宋体" w:hAnsi="宋体" w:cs="宋体"/>
                <w:szCs w:val="21"/>
              </w:rPr>
            </w:pPr>
            <w:r>
              <w:rPr>
                <w:rFonts w:hint="eastAsia" w:ascii="宋体" w:hAnsi="宋体" w:cs="宋体"/>
                <w:szCs w:val="21"/>
              </w:rPr>
              <w:t>……</w:t>
            </w:r>
          </w:p>
        </w:tc>
        <w:tc>
          <w:tcPr>
            <w:tcW w:w="1274" w:type="dxa"/>
            <w:tcBorders>
              <w:top w:val="single" w:color="auto" w:sz="4" w:space="0"/>
              <w:left w:val="single" w:color="auto" w:sz="4" w:space="0"/>
              <w:bottom w:val="single" w:color="auto" w:sz="4" w:space="0"/>
              <w:right w:val="single" w:color="auto" w:sz="4" w:space="0"/>
            </w:tcBorders>
          </w:tcPr>
          <w:p w14:paraId="56FB8388">
            <w:pPr>
              <w:spacing w:line="300" w:lineRule="exact"/>
              <w:rPr>
                <w:rFonts w:ascii="宋体" w:hAnsi="宋体" w:cs="宋体"/>
                <w:szCs w:val="21"/>
              </w:rPr>
            </w:pPr>
            <w:r>
              <w:rPr>
                <w:rFonts w:hint="eastAsia" w:ascii="宋体" w:hAnsi="宋体" w:cs="宋体"/>
                <w:szCs w:val="21"/>
              </w:rPr>
              <w:t>正偏离（负偏离或无偏离）</w:t>
            </w:r>
          </w:p>
        </w:tc>
      </w:tr>
      <w:tr w14:paraId="4E4D8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tcPr>
          <w:p w14:paraId="127D10D2">
            <w:pPr>
              <w:spacing w:line="340" w:lineRule="exact"/>
              <w:rPr>
                <w:rFonts w:ascii="宋体" w:hAnsi="宋体" w:cs="宋体"/>
                <w:szCs w:val="21"/>
              </w:rPr>
            </w:pPr>
            <w:r>
              <w:rPr>
                <w:rFonts w:hint="eastAsia" w:ascii="宋体" w:hAnsi="宋体" w:cs="宋体"/>
                <w:szCs w:val="21"/>
                <w:u w:val="single"/>
              </w:rPr>
              <w:t>　　</w:t>
            </w:r>
            <w:r>
              <w:rPr>
                <w:rFonts w:hint="eastAsia" w:ascii="宋体" w:hAnsi="宋体" w:cs="宋体"/>
                <w:szCs w:val="21"/>
              </w:rPr>
              <w:t>分标（此处有分标时填写具体分标号，无分标时填写“无”）</w:t>
            </w:r>
          </w:p>
        </w:tc>
      </w:tr>
    </w:tbl>
    <w:p w14:paraId="006D17FE">
      <w:pPr>
        <w:pStyle w:val="16"/>
        <w:spacing w:line="520" w:lineRule="exact"/>
        <w:ind w:firstLine="0"/>
        <w:rPr>
          <w:rFonts w:hAnsi="宋体" w:cs="宋体"/>
          <w:sz w:val="24"/>
          <w:szCs w:val="24"/>
        </w:rPr>
      </w:pPr>
      <w:r>
        <w:rPr>
          <w:rFonts w:hint="eastAsia" w:hAnsi="宋体" w:cs="宋体"/>
          <w:sz w:val="24"/>
          <w:szCs w:val="24"/>
        </w:rPr>
        <w:t>注：</w:t>
      </w:r>
    </w:p>
    <w:p w14:paraId="506C974A">
      <w:pPr>
        <w:pStyle w:val="16"/>
        <w:spacing w:line="520" w:lineRule="exact"/>
        <w:ind w:firstLine="0"/>
        <w:rPr>
          <w:rFonts w:hAnsi="宋体" w:cs="宋体"/>
          <w:sz w:val="24"/>
          <w:szCs w:val="24"/>
        </w:rPr>
      </w:pPr>
      <w:r>
        <w:rPr>
          <w:rFonts w:hint="eastAsia" w:hAnsi="宋体" w:cs="宋体"/>
          <w:sz w:val="24"/>
          <w:szCs w:val="24"/>
        </w:rPr>
        <w:t>1. 说明：应对照招标文件“第二章 采购需求”中的商务条款逐条作明确的投标响应，并作出偏离说明。</w:t>
      </w:r>
    </w:p>
    <w:p w14:paraId="541FB711">
      <w:pPr>
        <w:pStyle w:val="16"/>
        <w:spacing w:line="520" w:lineRule="exact"/>
        <w:rPr>
          <w:rFonts w:hAnsi="宋体" w:cs="宋体"/>
          <w:sz w:val="24"/>
          <w:szCs w:val="24"/>
        </w:rPr>
      </w:pPr>
      <w:r>
        <w:rPr>
          <w:rFonts w:hint="eastAsia" w:hAnsi="宋体" w:cs="宋体"/>
          <w:sz w:val="24"/>
          <w:szCs w:val="24"/>
        </w:rPr>
        <w:t>2.投标人应根据自身的承诺，对照招标文件要求在“偏离说明”中注明</w:t>
      </w:r>
      <w:r>
        <w:rPr>
          <w:rFonts w:hint="eastAsia" w:hAnsi="宋体" w:cs="宋体"/>
          <w:b/>
          <w:bCs/>
          <w:sz w:val="24"/>
          <w:szCs w:val="24"/>
        </w:rPr>
        <w:t>“正偏离”、“负偏离”</w:t>
      </w:r>
      <w:r>
        <w:rPr>
          <w:rFonts w:hint="eastAsia" w:hAnsi="宋体" w:cs="宋体"/>
          <w:sz w:val="24"/>
          <w:szCs w:val="24"/>
        </w:rPr>
        <w:t>或者</w:t>
      </w:r>
      <w:r>
        <w:rPr>
          <w:rFonts w:hint="eastAsia" w:hAnsi="宋体" w:cs="宋体"/>
          <w:b/>
          <w:bCs/>
          <w:sz w:val="24"/>
          <w:szCs w:val="24"/>
        </w:rPr>
        <w:t>“无偏离”</w:t>
      </w:r>
      <w:r>
        <w:rPr>
          <w:rFonts w:hint="eastAsia" w:hAnsi="宋体" w:cs="宋体"/>
          <w:sz w:val="24"/>
          <w:szCs w:val="24"/>
        </w:rPr>
        <w:t>。既不属于“</w:t>
      </w:r>
      <w:r>
        <w:rPr>
          <w:rFonts w:hint="eastAsia" w:hAnsi="宋体" w:cs="宋体"/>
          <w:b/>
          <w:bCs/>
          <w:sz w:val="24"/>
          <w:szCs w:val="24"/>
        </w:rPr>
        <w:t>正偏离”</w:t>
      </w:r>
      <w:r>
        <w:rPr>
          <w:rFonts w:hint="eastAsia" w:hAnsi="宋体" w:cs="宋体"/>
          <w:sz w:val="24"/>
          <w:szCs w:val="24"/>
        </w:rPr>
        <w:t>也不属于</w:t>
      </w:r>
      <w:r>
        <w:rPr>
          <w:rFonts w:hint="eastAsia" w:hAnsi="宋体" w:cs="宋体"/>
          <w:b/>
          <w:bCs/>
          <w:sz w:val="24"/>
          <w:szCs w:val="24"/>
        </w:rPr>
        <w:t>“负偏离”</w:t>
      </w:r>
      <w:r>
        <w:rPr>
          <w:rFonts w:hint="eastAsia" w:hAnsi="宋体" w:cs="宋体"/>
          <w:sz w:val="24"/>
          <w:szCs w:val="24"/>
        </w:rPr>
        <w:t>即为</w:t>
      </w:r>
      <w:r>
        <w:rPr>
          <w:rFonts w:hint="eastAsia" w:hAnsi="宋体" w:cs="宋体"/>
          <w:b/>
          <w:bCs/>
          <w:sz w:val="24"/>
          <w:szCs w:val="24"/>
        </w:rPr>
        <w:t>“无偏离”</w:t>
      </w:r>
      <w:r>
        <w:rPr>
          <w:rFonts w:hint="eastAsia" w:hAnsi="宋体" w:cs="宋体"/>
          <w:sz w:val="24"/>
          <w:szCs w:val="24"/>
        </w:rPr>
        <w:t>。</w:t>
      </w:r>
    </w:p>
    <w:p w14:paraId="19F2489E">
      <w:pPr>
        <w:snapToGrid w:val="0"/>
        <w:spacing w:before="50" w:after="50"/>
        <w:rPr>
          <w:rFonts w:ascii="宋体" w:hAnsi="宋体" w:cs="宋体"/>
          <w:sz w:val="24"/>
        </w:rPr>
      </w:pPr>
    </w:p>
    <w:p w14:paraId="0849A93F">
      <w:pPr>
        <w:snapToGrid w:val="0"/>
        <w:spacing w:before="50" w:after="50"/>
        <w:rPr>
          <w:rFonts w:ascii="宋体" w:hAnsi="宋体" w:cs="宋体"/>
          <w:szCs w:val="21"/>
        </w:rPr>
      </w:pPr>
    </w:p>
    <w:p w14:paraId="65A7F3B2">
      <w:pPr>
        <w:snapToGrid w:val="0"/>
        <w:spacing w:before="50" w:after="50"/>
        <w:rPr>
          <w:rFonts w:ascii="宋体" w:hAnsi="宋体" w:cs="宋体"/>
          <w:spacing w:val="20"/>
          <w:sz w:val="24"/>
          <w:u w:val="single"/>
        </w:rPr>
      </w:pPr>
      <w:bookmarkStart w:id="365" w:name="OLE_LINK52"/>
      <w:r>
        <w:rPr>
          <w:rFonts w:hint="eastAsia" w:ascii="宋体" w:hAnsi="宋体" w:cs="宋体"/>
          <w:sz w:val="24"/>
        </w:rPr>
        <w:t>法定代表人或者委托代理人</w:t>
      </w:r>
      <w:r>
        <w:rPr>
          <w:rFonts w:hint="eastAsia" w:ascii="宋体" w:hAnsi="宋体" w:cs="宋体"/>
          <w:spacing w:val="20"/>
          <w:sz w:val="24"/>
        </w:rPr>
        <w:t>（签字或者电子签名）：</w:t>
      </w:r>
      <w:r>
        <w:rPr>
          <w:rFonts w:hint="eastAsia" w:ascii="宋体" w:hAnsi="宋体" w:cs="宋体"/>
          <w:spacing w:val="20"/>
          <w:sz w:val="24"/>
          <w:u w:val="single"/>
        </w:rPr>
        <w:t xml:space="preserve">        </w:t>
      </w:r>
    </w:p>
    <w:p w14:paraId="03BA11F7">
      <w:pPr>
        <w:snapToGrid w:val="0"/>
        <w:spacing w:before="165" w:beforeLines="50"/>
        <w:rPr>
          <w:rFonts w:ascii="宋体" w:hAnsi="宋体" w:cs="宋体"/>
          <w:spacing w:val="20"/>
          <w:sz w:val="24"/>
        </w:rPr>
      </w:pPr>
      <w:r>
        <w:rPr>
          <w:rFonts w:hint="eastAsia" w:ascii="宋体" w:hAnsi="宋体" w:cs="宋体"/>
          <w:spacing w:val="20"/>
          <w:sz w:val="24"/>
        </w:rPr>
        <w:t>投标人名称（电子签章）：</w:t>
      </w:r>
      <w:r>
        <w:rPr>
          <w:rFonts w:hint="eastAsia" w:ascii="宋体" w:hAnsi="宋体" w:cs="宋体"/>
          <w:spacing w:val="20"/>
          <w:sz w:val="24"/>
          <w:u w:val="single"/>
        </w:rPr>
        <w:t xml:space="preserve">            </w:t>
      </w:r>
      <w:r>
        <w:rPr>
          <w:rFonts w:hint="eastAsia" w:ascii="宋体" w:hAnsi="宋体" w:cs="宋体"/>
          <w:spacing w:val="20"/>
          <w:sz w:val="24"/>
        </w:rPr>
        <w:t xml:space="preserve">   </w:t>
      </w:r>
    </w:p>
    <w:p w14:paraId="439E77DC">
      <w:pPr>
        <w:snapToGrid w:val="0"/>
        <w:spacing w:before="165" w:beforeLines="50"/>
        <w:rPr>
          <w:rFonts w:ascii="宋体" w:hAnsi="宋体" w:cs="宋体"/>
          <w:sz w:val="24"/>
          <w:szCs w:val="20"/>
        </w:rPr>
      </w:pPr>
      <w:r>
        <w:rPr>
          <w:rFonts w:hint="eastAsia" w:ascii="宋体" w:hAnsi="宋体" w:cs="宋体"/>
          <w:spacing w:val="20"/>
          <w:sz w:val="24"/>
        </w:rPr>
        <w:t>日  期：</w:t>
      </w:r>
      <w:r>
        <w:rPr>
          <w:rFonts w:hint="eastAsia" w:ascii="宋体" w:hAnsi="宋体" w:cs="宋体"/>
          <w:spacing w:val="20"/>
          <w:sz w:val="24"/>
          <w:u w:val="single"/>
        </w:rPr>
        <w:t xml:space="preserve">         </w:t>
      </w:r>
      <w:bookmarkEnd w:id="365"/>
    </w:p>
    <w:p w14:paraId="31E36559">
      <w:pPr>
        <w:snapToGrid w:val="0"/>
        <w:spacing w:line="360" w:lineRule="auto"/>
        <w:jc w:val="left"/>
        <w:rPr>
          <w:rFonts w:ascii="宋体" w:hAnsi="宋体" w:cs="宋体"/>
          <w:b/>
          <w:bCs/>
          <w:sz w:val="30"/>
          <w:szCs w:val="30"/>
        </w:rPr>
      </w:pPr>
    </w:p>
    <w:p w14:paraId="67AC4914">
      <w:pPr>
        <w:snapToGrid w:val="0"/>
        <w:spacing w:before="165" w:beforeLines="50" w:after="50"/>
        <w:ind w:firstLine="602" w:firstLineChars="200"/>
        <w:jc w:val="center"/>
        <w:rPr>
          <w:rFonts w:ascii="宋体" w:hAnsi="宋体" w:cs="宋体"/>
          <w:b/>
          <w:bCs/>
          <w:sz w:val="30"/>
          <w:szCs w:val="30"/>
        </w:rPr>
        <w:sectPr>
          <w:footerReference r:id="rId19" w:type="first"/>
          <w:headerReference r:id="rId16" w:type="default"/>
          <w:footerReference r:id="rId17" w:type="default"/>
          <w:footerReference r:id="rId18" w:type="even"/>
          <w:pgSz w:w="11906" w:h="16838"/>
          <w:pgMar w:top="1134" w:right="1312" w:bottom="1134" w:left="1354" w:header="720" w:footer="720" w:gutter="0"/>
          <w:cols w:space="720" w:num="1"/>
          <w:docGrid w:type="lines" w:linePitch="331" w:charSpace="0"/>
        </w:sectPr>
      </w:pPr>
    </w:p>
    <w:p w14:paraId="13067160">
      <w:pPr>
        <w:snapToGrid w:val="0"/>
        <w:spacing w:before="165" w:beforeLines="50" w:after="50"/>
        <w:jc w:val="left"/>
        <w:rPr>
          <w:rFonts w:ascii="宋体" w:hAnsi="宋体" w:cs="宋体"/>
          <w:b/>
          <w:sz w:val="24"/>
        </w:rPr>
      </w:pPr>
      <w:r>
        <w:rPr>
          <w:rFonts w:hint="eastAsia" w:ascii="宋体" w:hAnsi="宋体" w:cs="宋体"/>
          <w:b/>
          <w:sz w:val="24"/>
        </w:rPr>
        <w:t>7.投标人业绩证明材料</w:t>
      </w:r>
    </w:p>
    <w:p w14:paraId="5151728A">
      <w:pPr>
        <w:pStyle w:val="29"/>
        <w:snapToGrid w:val="0"/>
        <w:ind w:left="480" w:hanging="480"/>
        <w:rPr>
          <w:rFonts w:ascii="宋体" w:hAnsi="宋体" w:cs="宋体"/>
          <w:sz w:val="24"/>
        </w:rPr>
      </w:pPr>
    </w:p>
    <w:p w14:paraId="6F80BE97">
      <w:pPr>
        <w:snapToGrid w:val="0"/>
        <w:spacing w:before="165" w:beforeLines="50" w:after="50"/>
        <w:ind w:left="480" w:firstLine="711" w:firstLineChars="236"/>
        <w:jc w:val="center"/>
        <w:rPr>
          <w:rFonts w:ascii="宋体" w:hAnsi="宋体" w:cs="宋体"/>
          <w:b/>
          <w:bCs/>
          <w:sz w:val="30"/>
          <w:szCs w:val="30"/>
        </w:rPr>
      </w:pPr>
      <w:r>
        <w:rPr>
          <w:rFonts w:hint="eastAsia" w:ascii="宋体" w:hAnsi="宋体" w:cs="宋体"/>
          <w:b/>
          <w:bCs/>
          <w:sz w:val="30"/>
          <w:szCs w:val="30"/>
        </w:rPr>
        <w:t>投标人业绩情况一览表格式：</w:t>
      </w:r>
    </w:p>
    <w:tbl>
      <w:tblPr>
        <w:tblStyle w:val="37"/>
        <w:tblW w:w="8979" w:type="dxa"/>
        <w:tblInd w:w="7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7"/>
        <w:gridCol w:w="1757"/>
        <w:gridCol w:w="2336"/>
        <w:gridCol w:w="2829"/>
      </w:tblGrid>
      <w:tr w14:paraId="18D3A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057" w:type="dxa"/>
            <w:vMerge w:val="restart"/>
            <w:tcBorders>
              <w:top w:val="single" w:color="auto" w:sz="4" w:space="0"/>
              <w:left w:val="single" w:color="auto" w:sz="4" w:space="0"/>
              <w:bottom w:val="single" w:color="auto" w:sz="4" w:space="0"/>
              <w:right w:val="single" w:color="auto" w:sz="4" w:space="0"/>
            </w:tcBorders>
            <w:vAlign w:val="center"/>
          </w:tcPr>
          <w:p w14:paraId="2CFDCB12">
            <w:pPr>
              <w:snapToGrid w:val="0"/>
              <w:spacing w:line="240" w:lineRule="exact"/>
              <w:jc w:val="center"/>
              <w:rPr>
                <w:rFonts w:ascii="宋体" w:hAnsi="宋体" w:cs="宋体"/>
                <w:sz w:val="24"/>
              </w:rPr>
            </w:pPr>
            <w:r>
              <w:rPr>
                <w:rFonts w:hint="eastAsia" w:ascii="宋体" w:hAnsi="宋体" w:cs="宋体"/>
                <w:sz w:val="24"/>
              </w:rPr>
              <w:t>采购人名称</w:t>
            </w:r>
          </w:p>
        </w:tc>
        <w:tc>
          <w:tcPr>
            <w:tcW w:w="1757" w:type="dxa"/>
            <w:vMerge w:val="restart"/>
            <w:tcBorders>
              <w:top w:val="single" w:color="auto" w:sz="4" w:space="0"/>
              <w:left w:val="single" w:color="auto" w:sz="4" w:space="0"/>
              <w:bottom w:val="single" w:color="auto" w:sz="4" w:space="0"/>
              <w:right w:val="single" w:color="auto" w:sz="4" w:space="0"/>
            </w:tcBorders>
            <w:vAlign w:val="center"/>
          </w:tcPr>
          <w:p w14:paraId="07522434">
            <w:pPr>
              <w:snapToGrid w:val="0"/>
              <w:spacing w:line="240" w:lineRule="exact"/>
              <w:jc w:val="center"/>
              <w:rPr>
                <w:rFonts w:ascii="宋体" w:hAnsi="宋体" w:cs="宋体"/>
                <w:sz w:val="24"/>
              </w:rPr>
            </w:pPr>
            <w:r>
              <w:rPr>
                <w:rFonts w:hint="eastAsia" w:ascii="宋体" w:hAnsi="宋体" w:cs="宋体"/>
                <w:sz w:val="24"/>
              </w:rPr>
              <w:t>项目名称</w:t>
            </w:r>
          </w:p>
        </w:tc>
        <w:tc>
          <w:tcPr>
            <w:tcW w:w="2336" w:type="dxa"/>
            <w:vMerge w:val="restart"/>
            <w:tcBorders>
              <w:top w:val="single" w:color="auto" w:sz="4" w:space="0"/>
              <w:left w:val="single" w:color="auto" w:sz="4" w:space="0"/>
              <w:bottom w:val="single" w:color="auto" w:sz="4" w:space="0"/>
              <w:right w:val="single" w:color="auto" w:sz="4" w:space="0"/>
            </w:tcBorders>
            <w:vAlign w:val="center"/>
          </w:tcPr>
          <w:p w14:paraId="2BBF85DA">
            <w:pPr>
              <w:snapToGrid w:val="0"/>
              <w:spacing w:line="240" w:lineRule="exact"/>
              <w:jc w:val="center"/>
              <w:rPr>
                <w:rFonts w:ascii="宋体" w:hAnsi="宋体" w:cs="宋体"/>
                <w:sz w:val="24"/>
              </w:rPr>
            </w:pPr>
            <w:r>
              <w:rPr>
                <w:rFonts w:hint="eastAsia" w:ascii="宋体" w:hAnsi="宋体" w:cs="宋体"/>
                <w:sz w:val="24"/>
              </w:rPr>
              <w:t>合同金额</w:t>
            </w:r>
          </w:p>
          <w:p w14:paraId="2AD8C33C">
            <w:pPr>
              <w:snapToGrid w:val="0"/>
              <w:spacing w:line="240" w:lineRule="exact"/>
              <w:jc w:val="center"/>
              <w:rPr>
                <w:rFonts w:ascii="宋体" w:hAnsi="宋体" w:cs="宋体"/>
                <w:sz w:val="24"/>
              </w:rPr>
            </w:pPr>
            <w:r>
              <w:rPr>
                <w:rFonts w:hint="eastAsia" w:ascii="宋体" w:hAnsi="宋体" w:cs="宋体"/>
                <w:sz w:val="24"/>
              </w:rPr>
              <w:t>（万元）</w:t>
            </w:r>
          </w:p>
        </w:tc>
        <w:tc>
          <w:tcPr>
            <w:tcW w:w="2829" w:type="dxa"/>
            <w:vMerge w:val="restart"/>
            <w:tcBorders>
              <w:top w:val="single" w:color="auto" w:sz="4" w:space="0"/>
              <w:left w:val="single" w:color="auto" w:sz="4" w:space="0"/>
              <w:bottom w:val="single" w:color="auto" w:sz="4" w:space="0"/>
              <w:right w:val="single" w:color="auto" w:sz="4" w:space="0"/>
            </w:tcBorders>
            <w:vAlign w:val="center"/>
          </w:tcPr>
          <w:p w14:paraId="5863AA7E">
            <w:pPr>
              <w:snapToGrid w:val="0"/>
              <w:spacing w:line="240" w:lineRule="exact"/>
              <w:jc w:val="center"/>
              <w:rPr>
                <w:rFonts w:ascii="宋体" w:hAnsi="宋体" w:cs="宋体"/>
                <w:sz w:val="24"/>
              </w:rPr>
            </w:pPr>
            <w:r>
              <w:rPr>
                <w:rFonts w:hint="eastAsia" w:ascii="宋体" w:hAnsi="宋体" w:cs="宋体"/>
                <w:sz w:val="24"/>
              </w:rPr>
              <w:t>采购人联系人及</w:t>
            </w:r>
          </w:p>
          <w:p w14:paraId="0323D427">
            <w:pPr>
              <w:snapToGrid w:val="0"/>
              <w:spacing w:line="240" w:lineRule="exact"/>
              <w:jc w:val="center"/>
              <w:rPr>
                <w:rFonts w:ascii="宋体" w:hAnsi="宋体" w:cs="宋体"/>
                <w:sz w:val="24"/>
              </w:rPr>
            </w:pPr>
            <w:r>
              <w:rPr>
                <w:rFonts w:hint="eastAsia" w:ascii="宋体" w:hAnsi="宋体" w:cs="宋体"/>
                <w:sz w:val="24"/>
              </w:rPr>
              <w:t>联系电话</w:t>
            </w:r>
          </w:p>
        </w:tc>
      </w:tr>
      <w:tr w14:paraId="58266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1" w:hRule="atLeast"/>
        </w:trPr>
        <w:tc>
          <w:tcPr>
            <w:tcW w:w="2057" w:type="dxa"/>
            <w:vMerge w:val="continue"/>
            <w:tcBorders>
              <w:top w:val="single" w:color="auto" w:sz="4" w:space="0"/>
              <w:left w:val="single" w:color="auto" w:sz="4" w:space="0"/>
              <w:bottom w:val="single" w:color="auto" w:sz="4" w:space="0"/>
              <w:right w:val="single" w:color="auto" w:sz="4" w:space="0"/>
            </w:tcBorders>
            <w:vAlign w:val="center"/>
          </w:tcPr>
          <w:p w14:paraId="0CB9B8B2">
            <w:pPr>
              <w:jc w:val="left"/>
              <w:rPr>
                <w:rFonts w:ascii="宋体" w:hAnsi="宋体" w:cs="宋体"/>
                <w:sz w:val="24"/>
              </w:rPr>
            </w:pPr>
          </w:p>
        </w:tc>
        <w:tc>
          <w:tcPr>
            <w:tcW w:w="1757" w:type="dxa"/>
            <w:vMerge w:val="continue"/>
            <w:tcBorders>
              <w:top w:val="single" w:color="auto" w:sz="4" w:space="0"/>
              <w:left w:val="single" w:color="auto" w:sz="4" w:space="0"/>
              <w:bottom w:val="single" w:color="auto" w:sz="4" w:space="0"/>
              <w:right w:val="single" w:color="auto" w:sz="4" w:space="0"/>
            </w:tcBorders>
            <w:vAlign w:val="center"/>
          </w:tcPr>
          <w:p w14:paraId="725AAF9B">
            <w:pPr>
              <w:jc w:val="left"/>
              <w:rPr>
                <w:rFonts w:ascii="宋体" w:hAnsi="宋体" w:cs="宋体"/>
                <w:sz w:val="24"/>
              </w:rPr>
            </w:pPr>
          </w:p>
        </w:tc>
        <w:tc>
          <w:tcPr>
            <w:tcW w:w="2336" w:type="dxa"/>
            <w:vMerge w:val="continue"/>
            <w:tcBorders>
              <w:top w:val="single" w:color="auto" w:sz="4" w:space="0"/>
              <w:left w:val="single" w:color="auto" w:sz="4" w:space="0"/>
              <w:bottom w:val="single" w:color="auto" w:sz="4" w:space="0"/>
              <w:right w:val="single" w:color="auto" w:sz="4" w:space="0"/>
            </w:tcBorders>
            <w:vAlign w:val="center"/>
          </w:tcPr>
          <w:p w14:paraId="3CB5A918">
            <w:pPr>
              <w:jc w:val="left"/>
              <w:rPr>
                <w:rFonts w:ascii="宋体" w:hAnsi="宋体" w:cs="宋体"/>
                <w:sz w:val="24"/>
              </w:rPr>
            </w:pPr>
          </w:p>
        </w:tc>
        <w:tc>
          <w:tcPr>
            <w:tcW w:w="2829" w:type="dxa"/>
            <w:vMerge w:val="continue"/>
            <w:tcBorders>
              <w:top w:val="single" w:color="auto" w:sz="4" w:space="0"/>
              <w:left w:val="single" w:color="auto" w:sz="4" w:space="0"/>
              <w:bottom w:val="single" w:color="auto" w:sz="4" w:space="0"/>
              <w:right w:val="single" w:color="auto" w:sz="4" w:space="0"/>
            </w:tcBorders>
            <w:vAlign w:val="center"/>
          </w:tcPr>
          <w:p w14:paraId="6C291A37">
            <w:pPr>
              <w:jc w:val="left"/>
              <w:rPr>
                <w:rFonts w:ascii="宋体" w:hAnsi="宋体" w:cs="宋体"/>
                <w:sz w:val="24"/>
              </w:rPr>
            </w:pPr>
          </w:p>
        </w:tc>
      </w:tr>
      <w:tr w14:paraId="12B82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057" w:type="dxa"/>
            <w:tcBorders>
              <w:top w:val="single" w:color="auto" w:sz="4" w:space="0"/>
              <w:left w:val="single" w:color="auto" w:sz="4" w:space="0"/>
              <w:bottom w:val="single" w:color="auto" w:sz="4" w:space="0"/>
              <w:right w:val="single" w:color="auto" w:sz="4" w:space="0"/>
            </w:tcBorders>
          </w:tcPr>
          <w:p w14:paraId="42704BB3">
            <w:pPr>
              <w:snapToGrid w:val="0"/>
              <w:spacing w:line="240" w:lineRule="exact"/>
              <w:jc w:val="left"/>
              <w:rPr>
                <w:rFonts w:ascii="宋体" w:hAnsi="宋体" w:cs="宋体"/>
                <w:sz w:val="24"/>
              </w:rPr>
            </w:pPr>
          </w:p>
        </w:tc>
        <w:tc>
          <w:tcPr>
            <w:tcW w:w="1757" w:type="dxa"/>
            <w:tcBorders>
              <w:top w:val="single" w:color="auto" w:sz="4" w:space="0"/>
              <w:left w:val="single" w:color="auto" w:sz="4" w:space="0"/>
              <w:bottom w:val="single" w:color="auto" w:sz="4" w:space="0"/>
              <w:right w:val="single" w:color="auto" w:sz="4" w:space="0"/>
            </w:tcBorders>
          </w:tcPr>
          <w:p w14:paraId="278BAA77">
            <w:pPr>
              <w:snapToGrid w:val="0"/>
              <w:spacing w:line="240" w:lineRule="exact"/>
              <w:jc w:val="left"/>
              <w:rPr>
                <w:rFonts w:ascii="宋体" w:hAnsi="宋体" w:cs="宋体"/>
                <w:sz w:val="24"/>
              </w:rPr>
            </w:pPr>
          </w:p>
        </w:tc>
        <w:tc>
          <w:tcPr>
            <w:tcW w:w="2336" w:type="dxa"/>
            <w:tcBorders>
              <w:top w:val="single" w:color="auto" w:sz="4" w:space="0"/>
              <w:left w:val="single" w:color="auto" w:sz="4" w:space="0"/>
              <w:bottom w:val="single" w:color="auto" w:sz="4" w:space="0"/>
              <w:right w:val="single" w:color="auto" w:sz="4" w:space="0"/>
            </w:tcBorders>
          </w:tcPr>
          <w:p w14:paraId="524C595F">
            <w:pPr>
              <w:snapToGrid w:val="0"/>
              <w:spacing w:line="240" w:lineRule="exact"/>
              <w:jc w:val="left"/>
              <w:rPr>
                <w:rFonts w:ascii="宋体" w:hAnsi="宋体" w:cs="宋体"/>
                <w:sz w:val="24"/>
              </w:rPr>
            </w:pPr>
          </w:p>
        </w:tc>
        <w:tc>
          <w:tcPr>
            <w:tcW w:w="2829" w:type="dxa"/>
            <w:tcBorders>
              <w:top w:val="single" w:color="auto" w:sz="4" w:space="0"/>
              <w:left w:val="single" w:color="auto" w:sz="4" w:space="0"/>
              <w:bottom w:val="single" w:color="auto" w:sz="4" w:space="0"/>
              <w:right w:val="single" w:color="auto" w:sz="4" w:space="0"/>
            </w:tcBorders>
          </w:tcPr>
          <w:p w14:paraId="6C5AA891">
            <w:pPr>
              <w:snapToGrid w:val="0"/>
              <w:spacing w:line="240" w:lineRule="exact"/>
              <w:jc w:val="left"/>
              <w:rPr>
                <w:rFonts w:ascii="宋体" w:hAnsi="宋体" w:cs="宋体"/>
                <w:sz w:val="24"/>
              </w:rPr>
            </w:pPr>
          </w:p>
        </w:tc>
      </w:tr>
      <w:tr w14:paraId="36F436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57" w:type="dxa"/>
            <w:tcBorders>
              <w:top w:val="single" w:color="auto" w:sz="4" w:space="0"/>
              <w:left w:val="single" w:color="auto" w:sz="4" w:space="0"/>
              <w:bottom w:val="single" w:color="auto" w:sz="4" w:space="0"/>
              <w:right w:val="single" w:color="auto" w:sz="4" w:space="0"/>
            </w:tcBorders>
          </w:tcPr>
          <w:p w14:paraId="3CB3F2F8">
            <w:pPr>
              <w:snapToGrid w:val="0"/>
              <w:spacing w:before="50" w:after="165" w:afterLines="50" w:line="400" w:lineRule="exact"/>
              <w:jc w:val="left"/>
              <w:rPr>
                <w:rFonts w:ascii="宋体" w:hAnsi="宋体" w:cs="宋体"/>
                <w:sz w:val="24"/>
              </w:rPr>
            </w:pPr>
          </w:p>
        </w:tc>
        <w:tc>
          <w:tcPr>
            <w:tcW w:w="1757" w:type="dxa"/>
            <w:tcBorders>
              <w:top w:val="single" w:color="auto" w:sz="4" w:space="0"/>
              <w:left w:val="single" w:color="auto" w:sz="4" w:space="0"/>
              <w:bottom w:val="single" w:color="auto" w:sz="4" w:space="0"/>
              <w:right w:val="single" w:color="auto" w:sz="4" w:space="0"/>
            </w:tcBorders>
          </w:tcPr>
          <w:p w14:paraId="6512F4DF">
            <w:pPr>
              <w:snapToGrid w:val="0"/>
              <w:spacing w:before="50" w:after="165" w:afterLines="50" w:line="400" w:lineRule="exact"/>
              <w:jc w:val="left"/>
              <w:rPr>
                <w:rFonts w:ascii="宋体" w:hAnsi="宋体" w:cs="宋体"/>
                <w:sz w:val="24"/>
              </w:rPr>
            </w:pPr>
          </w:p>
        </w:tc>
        <w:tc>
          <w:tcPr>
            <w:tcW w:w="2336" w:type="dxa"/>
            <w:tcBorders>
              <w:top w:val="single" w:color="auto" w:sz="4" w:space="0"/>
              <w:left w:val="single" w:color="auto" w:sz="4" w:space="0"/>
              <w:bottom w:val="single" w:color="auto" w:sz="4" w:space="0"/>
              <w:right w:val="single" w:color="auto" w:sz="4" w:space="0"/>
            </w:tcBorders>
          </w:tcPr>
          <w:p w14:paraId="186E6142">
            <w:pPr>
              <w:snapToGrid w:val="0"/>
              <w:spacing w:before="50" w:after="165" w:afterLines="50" w:line="400" w:lineRule="exact"/>
              <w:jc w:val="left"/>
              <w:rPr>
                <w:rFonts w:ascii="宋体" w:hAnsi="宋体" w:cs="宋体"/>
                <w:sz w:val="24"/>
              </w:rPr>
            </w:pPr>
          </w:p>
        </w:tc>
        <w:tc>
          <w:tcPr>
            <w:tcW w:w="2829" w:type="dxa"/>
            <w:tcBorders>
              <w:top w:val="single" w:color="auto" w:sz="4" w:space="0"/>
              <w:left w:val="single" w:color="auto" w:sz="4" w:space="0"/>
              <w:bottom w:val="single" w:color="auto" w:sz="4" w:space="0"/>
              <w:right w:val="single" w:color="auto" w:sz="4" w:space="0"/>
            </w:tcBorders>
          </w:tcPr>
          <w:p w14:paraId="3C5A7259">
            <w:pPr>
              <w:snapToGrid w:val="0"/>
              <w:spacing w:before="50" w:after="165" w:afterLines="50" w:line="400" w:lineRule="exact"/>
              <w:jc w:val="left"/>
              <w:rPr>
                <w:rFonts w:ascii="宋体" w:hAnsi="宋体" w:cs="宋体"/>
                <w:sz w:val="24"/>
              </w:rPr>
            </w:pPr>
          </w:p>
        </w:tc>
      </w:tr>
      <w:tr w14:paraId="68C72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057" w:type="dxa"/>
            <w:tcBorders>
              <w:top w:val="single" w:color="auto" w:sz="4" w:space="0"/>
              <w:left w:val="single" w:color="auto" w:sz="4" w:space="0"/>
              <w:bottom w:val="single" w:color="auto" w:sz="4" w:space="0"/>
              <w:right w:val="single" w:color="auto" w:sz="4" w:space="0"/>
            </w:tcBorders>
          </w:tcPr>
          <w:p w14:paraId="422FF4BF">
            <w:pPr>
              <w:snapToGrid w:val="0"/>
              <w:spacing w:before="50" w:after="165" w:afterLines="50" w:line="400" w:lineRule="exact"/>
              <w:jc w:val="left"/>
              <w:rPr>
                <w:rFonts w:ascii="宋体" w:hAnsi="宋体" w:cs="宋体"/>
                <w:sz w:val="24"/>
              </w:rPr>
            </w:pPr>
          </w:p>
        </w:tc>
        <w:tc>
          <w:tcPr>
            <w:tcW w:w="1757" w:type="dxa"/>
            <w:tcBorders>
              <w:top w:val="single" w:color="auto" w:sz="4" w:space="0"/>
              <w:left w:val="single" w:color="auto" w:sz="4" w:space="0"/>
              <w:bottom w:val="single" w:color="auto" w:sz="4" w:space="0"/>
              <w:right w:val="single" w:color="auto" w:sz="4" w:space="0"/>
            </w:tcBorders>
          </w:tcPr>
          <w:p w14:paraId="3FB59393">
            <w:pPr>
              <w:snapToGrid w:val="0"/>
              <w:spacing w:before="50" w:after="165" w:afterLines="50" w:line="400" w:lineRule="exact"/>
              <w:jc w:val="left"/>
              <w:rPr>
                <w:rFonts w:ascii="宋体" w:hAnsi="宋体" w:cs="宋体"/>
                <w:sz w:val="24"/>
              </w:rPr>
            </w:pPr>
          </w:p>
        </w:tc>
        <w:tc>
          <w:tcPr>
            <w:tcW w:w="2336" w:type="dxa"/>
            <w:tcBorders>
              <w:top w:val="single" w:color="auto" w:sz="4" w:space="0"/>
              <w:left w:val="single" w:color="auto" w:sz="4" w:space="0"/>
              <w:bottom w:val="single" w:color="auto" w:sz="4" w:space="0"/>
              <w:right w:val="single" w:color="auto" w:sz="4" w:space="0"/>
            </w:tcBorders>
          </w:tcPr>
          <w:p w14:paraId="2436936E">
            <w:pPr>
              <w:snapToGrid w:val="0"/>
              <w:spacing w:before="50" w:after="165" w:afterLines="50" w:line="400" w:lineRule="exact"/>
              <w:jc w:val="left"/>
              <w:rPr>
                <w:rFonts w:ascii="宋体" w:hAnsi="宋体" w:cs="宋体"/>
                <w:sz w:val="24"/>
              </w:rPr>
            </w:pPr>
          </w:p>
        </w:tc>
        <w:tc>
          <w:tcPr>
            <w:tcW w:w="2829" w:type="dxa"/>
            <w:tcBorders>
              <w:top w:val="single" w:color="auto" w:sz="4" w:space="0"/>
              <w:left w:val="single" w:color="auto" w:sz="4" w:space="0"/>
              <w:bottom w:val="single" w:color="auto" w:sz="4" w:space="0"/>
              <w:right w:val="single" w:color="auto" w:sz="4" w:space="0"/>
            </w:tcBorders>
          </w:tcPr>
          <w:p w14:paraId="7A605EAA">
            <w:pPr>
              <w:snapToGrid w:val="0"/>
              <w:spacing w:before="50" w:after="165" w:afterLines="50" w:line="400" w:lineRule="exact"/>
              <w:jc w:val="left"/>
              <w:rPr>
                <w:rFonts w:ascii="宋体" w:hAnsi="宋体" w:cs="宋体"/>
                <w:sz w:val="24"/>
              </w:rPr>
            </w:pPr>
          </w:p>
        </w:tc>
      </w:tr>
      <w:tr w14:paraId="57E01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57" w:type="dxa"/>
            <w:tcBorders>
              <w:top w:val="single" w:color="auto" w:sz="4" w:space="0"/>
              <w:left w:val="single" w:color="auto" w:sz="4" w:space="0"/>
              <w:bottom w:val="single" w:color="auto" w:sz="4" w:space="0"/>
              <w:right w:val="single" w:color="auto" w:sz="4" w:space="0"/>
            </w:tcBorders>
          </w:tcPr>
          <w:p w14:paraId="339704A6">
            <w:pPr>
              <w:snapToGrid w:val="0"/>
              <w:spacing w:before="50" w:after="165" w:afterLines="50" w:line="400" w:lineRule="exact"/>
              <w:jc w:val="left"/>
              <w:rPr>
                <w:rFonts w:ascii="宋体" w:hAnsi="宋体" w:cs="宋体"/>
                <w:sz w:val="24"/>
              </w:rPr>
            </w:pPr>
          </w:p>
        </w:tc>
        <w:tc>
          <w:tcPr>
            <w:tcW w:w="1757" w:type="dxa"/>
            <w:tcBorders>
              <w:top w:val="single" w:color="auto" w:sz="4" w:space="0"/>
              <w:left w:val="single" w:color="auto" w:sz="4" w:space="0"/>
              <w:bottom w:val="single" w:color="auto" w:sz="4" w:space="0"/>
              <w:right w:val="single" w:color="auto" w:sz="4" w:space="0"/>
            </w:tcBorders>
          </w:tcPr>
          <w:p w14:paraId="1F732F50">
            <w:pPr>
              <w:snapToGrid w:val="0"/>
              <w:spacing w:before="50" w:after="165" w:afterLines="50" w:line="400" w:lineRule="exact"/>
              <w:jc w:val="left"/>
              <w:rPr>
                <w:rFonts w:ascii="宋体" w:hAnsi="宋体" w:cs="宋体"/>
                <w:sz w:val="24"/>
              </w:rPr>
            </w:pPr>
          </w:p>
        </w:tc>
        <w:tc>
          <w:tcPr>
            <w:tcW w:w="2336" w:type="dxa"/>
            <w:tcBorders>
              <w:top w:val="single" w:color="auto" w:sz="4" w:space="0"/>
              <w:left w:val="single" w:color="auto" w:sz="4" w:space="0"/>
              <w:bottom w:val="single" w:color="auto" w:sz="4" w:space="0"/>
              <w:right w:val="single" w:color="auto" w:sz="4" w:space="0"/>
            </w:tcBorders>
          </w:tcPr>
          <w:p w14:paraId="16604213">
            <w:pPr>
              <w:snapToGrid w:val="0"/>
              <w:spacing w:before="50" w:after="165" w:afterLines="50" w:line="400" w:lineRule="exact"/>
              <w:jc w:val="left"/>
              <w:rPr>
                <w:rFonts w:ascii="宋体" w:hAnsi="宋体" w:cs="宋体"/>
                <w:sz w:val="24"/>
              </w:rPr>
            </w:pPr>
          </w:p>
        </w:tc>
        <w:tc>
          <w:tcPr>
            <w:tcW w:w="2829" w:type="dxa"/>
            <w:tcBorders>
              <w:top w:val="single" w:color="auto" w:sz="4" w:space="0"/>
              <w:left w:val="single" w:color="auto" w:sz="4" w:space="0"/>
              <w:bottom w:val="single" w:color="auto" w:sz="4" w:space="0"/>
              <w:right w:val="single" w:color="auto" w:sz="4" w:space="0"/>
            </w:tcBorders>
          </w:tcPr>
          <w:p w14:paraId="2662562A">
            <w:pPr>
              <w:snapToGrid w:val="0"/>
              <w:spacing w:before="50" w:after="165" w:afterLines="50" w:line="400" w:lineRule="exact"/>
              <w:jc w:val="left"/>
              <w:rPr>
                <w:rFonts w:ascii="宋体" w:hAnsi="宋体" w:cs="宋体"/>
                <w:sz w:val="24"/>
              </w:rPr>
            </w:pPr>
          </w:p>
        </w:tc>
      </w:tr>
      <w:tr w14:paraId="6BAAA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57" w:type="dxa"/>
            <w:tcBorders>
              <w:top w:val="single" w:color="auto" w:sz="4" w:space="0"/>
              <w:left w:val="single" w:color="auto" w:sz="4" w:space="0"/>
              <w:bottom w:val="single" w:color="auto" w:sz="4" w:space="0"/>
              <w:right w:val="single" w:color="auto" w:sz="4" w:space="0"/>
            </w:tcBorders>
          </w:tcPr>
          <w:p w14:paraId="4277E7AF">
            <w:pPr>
              <w:snapToGrid w:val="0"/>
              <w:spacing w:before="50" w:after="165" w:afterLines="50" w:line="400" w:lineRule="exact"/>
              <w:jc w:val="left"/>
              <w:rPr>
                <w:rFonts w:ascii="宋体" w:hAnsi="宋体" w:cs="宋体"/>
                <w:sz w:val="24"/>
              </w:rPr>
            </w:pPr>
          </w:p>
        </w:tc>
        <w:tc>
          <w:tcPr>
            <w:tcW w:w="1757" w:type="dxa"/>
            <w:tcBorders>
              <w:top w:val="single" w:color="auto" w:sz="4" w:space="0"/>
              <w:left w:val="single" w:color="auto" w:sz="4" w:space="0"/>
              <w:bottom w:val="single" w:color="auto" w:sz="4" w:space="0"/>
              <w:right w:val="single" w:color="auto" w:sz="4" w:space="0"/>
            </w:tcBorders>
          </w:tcPr>
          <w:p w14:paraId="0F9E1CBC">
            <w:pPr>
              <w:snapToGrid w:val="0"/>
              <w:spacing w:before="50" w:after="165" w:afterLines="50" w:line="400" w:lineRule="exact"/>
              <w:jc w:val="left"/>
              <w:rPr>
                <w:rFonts w:ascii="宋体" w:hAnsi="宋体" w:cs="宋体"/>
                <w:sz w:val="24"/>
              </w:rPr>
            </w:pPr>
          </w:p>
        </w:tc>
        <w:tc>
          <w:tcPr>
            <w:tcW w:w="2336" w:type="dxa"/>
            <w:tcBorders>
              <w:top w:val="single" w:color="auto" w:sz="4" w:space="0"/>
              <w:left w:val="single" w:color="auto" w:sz="4" w:space="0"/>
              <w:bottom w:val="single" w:color="auto" w:sz="4" w:space="0"/>
              <w:right w:val="single" w:color="auto" w:sz="4" w:space="0"/>
            </w:tcBorders>
          </w:tcPr>
          <w:p w14:paraId="517D6411">
            <w:pPr>
              <w:snapToGrid w:val="0"/>
              <w:spacing w:before="50" w:after="165" w:afterLines="50" w:line="400" w:lineRule="exact"/>
              <w:jc w:val="left"/>
              <w:rPr>
                <w:rFonts w:ascii="宋体" w:hAnsi="宋体" w:cs="宋体"/>
                <w:sz w:val="24"/>
              </w:rPr>
            </w:pPr>
          </w:p>
        </w:tc>
        <w:tc>
          <w:tcPr>
            <w:tcW w:w="2829" w:type="dxa"/>
            <w:tcBorders>
              <w:top w:val="single" w:color="auto" w:sz="4" w:space="0"/>
              <w:left w:val="single" w:color="auto" w:sz="4" w:space="0"/>
              <w:bottom w:val="single" w:color="auto" w:sz="4" w:space="0"/>
              <w:right w:val="single" w:color="auto" w:sz="4" w:space="0"/>
            </w:tcBorders>
          </w:tcPr>
          <w:p w14:paraId="70560EE5">
            <w:pPr>
              <w:snapToGrid w:val="0"/>
              <w:spacing w:before="50" w:after="165" w:afterLines="50" w:line="400" w:lineRule="exact"/>
              <w:jc w:val="left"/>
              <w:rPr>
                <w:rFonts w:ascii="宋体" w:hAnsi="宋体" w:cs="宋体"/>
                <w:sz w:val="24"/>
              </w:rPr>
            </w:pPr>
          </w:p>
        </w:tc>
      </w:tr>
    </w:tbl>
    <w:p w14:paraId="04B7D2AA">
      <w:pPr>
        <w:pStyle w:val="12"/>
        <w:spacing w:before="0" w:after="0" w:line="360" w:lineRule="auto"/>
        <w:contextualSpacing/>
        <w:rPr>
          <w:rFonts w:ascii="宋体" w:hAnsi="宋体" w:eastAsia="宋体" w:cs="宋体"/>
          <w:sz w:val="24"/>
          <w:szCs w:val="24"/>
        </w:rPr>
      </w:pPr>
    </w:p>
    <w:p w14:paraId="12BE3E19">
      <w:pPr>
        <w:pStyle w:val="12"/>
        <w:spacing w:before="0" w:after="0" w:line="360" w:lineRule="auto"/>
        <w:contextualSpacing/>
        <w:rPr>
          <w:rFonts w:ascii="宋体" w:hAnsi="宋体" w:eastAsia="宋体" w:cs="宋体"/>
          <w:b/>
          <w:bCs/>
          <w:sz w:val="24"/>
          <w:szCs w:val="24"/>
        </w:rPr>
      </w:pPr>
      <w:r>
        <w:rPr>
          <w:rFonts w:hint="eastAsia" w:ascii="宋体" w:hAnsi="宋体" w:eastAsia="宋体" w:cs="宋体"/>
          <w:b/>
          <w:bCs/>
          <w:sz w:val="24"/>
          <w:szCs w:val="24"/>
        </w:rPr>
        <w:t>注：</w:t>
      </w:r>
      <w:r>
        <w:rPr>
          <w:rFonts w:hint="eastAsia" w:ascii="宋体" w:hAnsi="宋体" w:eastAsia="宋体" w:cs="宋体"/>
          <w:b/>
          <w:bCs/>
          <w:sz w:val="24"/>
        </w:rPr>
        <w:t>投标人根据评标标准具体要求附业绩证明材料。</w:t>
      </w:r>
    </w:p>
    <w:p w14:paraId="52C22A04">
      <w:pPr>
        <w:pStyle w:val="12"/>
        <w:spacing w:before="0" w:after="0" w:line="360" w:lineRule="auto"/>
        <w:contextualSpacing/>
        <w:jc w:val="left"/>
        <w:rPr>
          <w:rFonts w:ascii="宋体" w:hAnsi="宋体" w:eastAsia="宋体" w:cs="宋体"/>
          <w:sz w:val="24"/>
          <w:szCs w:val="24"/>
          <w:u w:val="single"/>
        </w:rPr>
      </w:pPr>
      <w:r>
        <w:rPr>
          <w:rFonts w:hint="eastAsia" w:ascii="宋体" w:hAnsi="宋体" w:eastAsia="宋体" w:cs="宋体"/>
          <w:sz w:val="24"/>
          <w:szCs w:val="24"/>
        </w:rPr>
        <w:t>法定代表人或者委托代理人（签字或者电子签名）：</w:t>
      </w:r>
      <w:r>
        <w:rPr>
          <w:rFonts w:hint="eastAsia" w:ascii="宋体" w:hAnsi="宋体" w:eastAsia="宋体" w:cs="宋体"/>
          <w:sz w:val="24"/>
          <w:szCs w:val="24"/>
          <w:u w:val="single"/>
        </w:rPr>
        <w:t>　　　　　</w:t>
      </w:r>
    </w:p>
    <w:p w14:paraId="078025CD">
      <w:pPr>
        <w:spacing w:line="360" w:lineRule="auto"/>
        <w:ind w:right="480"/>
        <w:contextualSpacing/>
        <w:jc w:val="left"/>
        <w:rPr>
          <w:rFonts w:ascii="宋体" w:hAnsi="宋体" w:cs="宋体"/>
          <w:sz w:val="24"/>
          <w:szCs w:val="20"/>
        </w:rPr>
      </w:pPr>
      <w:r>
        <w:rPr>
          <w:rFonts w:hint="eastAsia" w:ascii="宋体" w:hAnsi="宋体" w:cs="宋体"/>
          <w:sz w:val="24"/>
        </w:rPr>
        <w:t xml:space="preserve">投标人名称（电子签章）： </w:t>
      </w:r>
      <w:r>
        <w:rPr>
          <w:rFonts w:hint="eastAsia" w:ascii="宋体" w:hAnsi="宋体" w:cs="宋体"/>
          <w:sz w:val="24"/>
          <w:u w:val="single"/>
        </w:rPr>
        <w:t xml:space="preserve">                </w:t>
      </w:r>
      <w:r>
        <w:rPr>
          <w:rFonts w:hint="eastAsia" w:ascii="宋体" w:hAnsi="宋体" w:cs="宋体"/>
          <w:sz w:val="24"/>
        </w:rPr>
        <w:t xml:space="preserve">                                                               年    月    日</w:t>
      </w:r>
    </w:p>
    <w:p w14:paraId="691E7BF8">
      <w:pPr>
        <w:snapToGrid w:val="0"/>
        <w:spacing w:line="360" w:lineRule="auto"/>
        <w:jc w:val="left"/>
        <w:rPr>
          <w:rFonts w:ascii="宋体" w:hAnsi="宋体" w:cs="宋体"/>
          <w:b/>
          <w:sz w:val="24"/>
        </w:rPr>
      </w:pPr>
    </w:p>
    <w:p w14:paraId="4EFCDD4E">
      <w:pPr>
        <w:snapToGrid w:val="0"/>
        <w:spacing w:before="165" w:beforeLines="50" w:after="50"/>
        <w:ind w:left="143" w:leftChars="68" w:firstLine="472" w:firstLineChars="196"/>
        <w:jc w:val="left"/>
        <w:rPr>
          <w:rFonts w:ascii="宋体" w:hAnsi="宋体" w:cs="宋体"/>
          <w:b/>
          <w:bCs/>
          <w:sz w:val="30"/>
          <w:szCs w:val="30"/>
        </w:rPr>
      </w:pPr>
      <w:r>
        <w:rPr>
          <w:rFonts w:hint="eastAsia" w:ascii="宋体" w:hAnsi="宋体" w:cs="宋体"/>
          <w:b/>
          <w:sz w:val="24"/>
        </w:rPr>
        <w:br w:type="page"/>
      </w:r>
    </w:p>
    <w:p w14:paraId="51B7D0A1">
      <w:pPr>
        <w:snapToGrid w:val="0"/>
        <w:spacing w:before="165" w:beforeLines="50" w:after="50"/>
        <w:ind w:left="142"/>
        <w:jc w:val="left"/>
        <w:rPr>
          <w:rFonts w:ascii="宋体" w:hAnsi="宋体"/>
          <w:b/>
          <w:sz w:val="24"/>
        </w:rPr>
      </w:pPr>
    </w:p>
    <w:p w14:paraId="3DCA9935">
      <w:pPr>
        <w:snapToGrid w:val="0"/>
        <w:spacing w:before="165" w:beforeLines="50" w:after="50"/>
        <w:ind w:left="142"/>
        <w:jc w:val="left"/>
        <w:rPr>
          <w:rFonts w:ascii="宋体" w:hAnsi="宋体"/>
          <w:b/>
          <w:sz w:val="24"/>
        </w:rPr>
      </w:pPr>
    </w:p>
    <w:p w14:paraId="1957C674">
      <w:pPr>
        <w:snapToGrid w:val="0"/>
        <w:spacing w:before="165" w:beforeLines="50" w:after="50"/>
        <w:ind w:left="142"/>
        <w:jc w:val="left"/>
        <w:rPr>
          <w:rFonts w:ascii="宋体" w:hAnsi="宋体"/>
          <w:b/>
          <w:sz w:val="24"/>
        </w:rPr>
      </w:pPr>
    </w:p>
    <w:p w14:paraId="52158EFB">
      <w:pPr>
        <w:snapToGrid w:val="0"/>
        <w:spacing w:before="165" w:beforeLines="50" w:after="50"/>
        <w:ind w:left="142"/>
        <w:jc w:val="left"/>
        <w:rPr>
          <w:rFonts w:ascii="宋体" w:hAnsi="宋体"/>
          <w:b/>
          <w:sz w:val="24"/>
        </w:rPr>
      </w:pPr>
    </w:p>
    <w:p w14:paraId="27449C60">
      <w:pPr>
        <w:snapToGrid w:val="0"/>
        <w:spacing w:before="165" w:beforeLines="50" w:after="50"/>
        <w:ind w:left="142"/>
        <w:jc w:val="left"/>
        <w:rPr>
          <w:rFonts w:ascii="宋体" w:hAnsi="宋体"/>
          <w:b/>
          <w:sz w:val="24"/>
        </w:rPr>
      </w:pPr>
    </w:p>
    <w:p w14:paraId="392E717B">
      <w:pPr>
        <w:snapToGrid w:val="0"/>
        <w:spacing w:before="165" w:beforeLines="50" w:after="50"/>
        <w:ind w:left="142"/>
        <w:jc w:val="left"/>
        <w:rPr>
          <w:rFonts w:ascii="宋体" w:hAnsi="宋体"/>
          <w:b/>
          <w:sz w:val="24"/>
        </w:rPr>
      </w:pPr>
    </w:p>
    <w:p w14:paraId="671AFD5D">
      <w:pPr>
        <w:snapToGrid w:val="0"/>
        <w:spacing w:before="165" w:beforeLines="50" w:after="50"/>
        <w:ind w:left="142"/>
        <w:jc w:val="left"/>
        <w:rPr>
          <w:rFonts w:ascii="宋体" w:hAnsi="宋体"/>
          <w:b/>
          <w:sz w:val="24"/>
        </w:rPr>
      </w:pPr>
    </w:p>
    <w:p w14:paraId="75E9BC33">
      <w:pPr>
        <w:snapToGrid w:val="0"/>
        <w:spacing w:before="165" w:beforeLines="50" w:after="50"/>
        <w:ind w:left="142"/>
        <w:jc w:val="left"/>
        <w:rPr>
          <w:rFonts w:ascii="宋体" w:hAnsi="宋体"/>
          <w:b/>
          <w:sz w:val="24"/>
        </w:rPr>
      </w:pPr>
    </w:p>
    <w:p w14:paraId="35286F2A">
      <w:pPr>
        <w:snapToGrid w:val="0"/>
        <w:spacing w:before="165" w:beforeLines="50" w:after="50"/>
        <w:ind w:left="142"/>
        <w:jc w:val="left"/>
        <w:rPr>
          <w:rFonts w:ascii="宋体" w:hAnsi="宋体"/>
          <w:b/>
          <w:sz w:val="24"/>
        </w:rPr>
      </w:pPr>
    </w:p>
    <w:p w14:paraId="0E1991FF">
      <w:pPr>
        <w:snapToGrid w:val="0"/>
        <w:spacing w:before="165" w:beforeLines="50" w:after="50"/>
        <w:ind w:left="142"/>
        <w:jc w:val="left"/>
        <w:rPr>
          <w:rFonts w:ascii="宋体" w:hAnsi="宋体"/>
          <w:b/>
          <w:sz w:val="24"/>
        </w:rPr>
      </w:pPr>
    </w:p>
    <w:p w14:paraId="019894C7">
      <w:pPr>
        <w:snapToGrid w:val="0"/>
        <w:spacing w:before="165" w:beforeLines="50" w:after="50"/>
        <w:ind w:left="142"/>
        <w:jc w:val="left"/>
        <w:rPr>
          <w:rFonts w:ascii="宋体" w:hAnsi="宋体"/>
          <w:b/>
          <w:sz w:val="24"/>
        </w:rPr>
      </w:pPr>
      <w:r>
        <w:rPr>
          <w:rFonts w:hint="eastAsia" w:ascii="宋体" w:hAnsi="宋体"/>
          <w:b/>
          <w:sz w:val="24"/>
        </w:rPr>
        <w:t>8.技术需求偏离表格式</w:t>
      </w:r>
    </w:p>
    <w:p w14:paraId="32047B7A">
      <w:pPr>
        <w:snapToGrid w:val="0"/>
        <w:spacing w:before="165" w:beforeLines="50" w:after="50"/>
        <w:ind w:left="142"/>
        <w:jc w:val="left"/>
        <w:rPr>
          <w:rFonts w:ascii="宋体" w:hAnsi="宋体"/>
          <w:b/>
          <w:sz w:val="24"/>
        </w:rPr>
      </w:pPr>
    </w:p>
    <w:p w14:paraId="0667B54E">
      <w:pPr>
        <w:snapToGrid w:val="0"/>
        <w:spacing w:before="165" w:beforeLines="50" w:after="50"/>
        <w:ind w:left="142"/>
        <w:jc w:val="center"/>
        <w:rPr>
          <w:rFonts w:ascii="宋体" w:hAnsi="宋体"/>
          <w:b/>
          <w:sz w:val="32"/>
          <w:szCs w:val="32"/>
        </w:rPr>
      </w:pPr>
      <w:r>
        <w:rPr>
          <w:rFonts w:hint="eastAsia" w:ascii="宋体" w:hAnsi="宋体"/>
          <w:b/>
          <w:sz w:val="32"/>
          <w:szCs w:val="32"/>
        </w:rPr>
        <w:t>技术需求偏离表</w:t>
      </w:r>
    </w:p>
    <w:p w14:paraId="69B6A0D9">
      <w:pPr>
        <w:snapToGrid w:val="0"/>
        <w:spacing w:before="165" w:beforeLines="50" w:after="50"/>
        <w:ind w:left="143" w:leftChars="68" w:firstLine="1050" w:firstLineChars="500"/>
        <w:jc w:val="left"/>
        <w:rPr>
          <w:rFonts w:ascii="宋体" w:hAnsi="宋体" w:cs="宋体"/>
          <w:b/>
          <w:sz w:val="32"/>
          <w:szCs w:val="32"/>
        </w:rPr>
      </w:pPr>
      <w:r>
        <w:rPr>
          <w:rFonts w:hint="eastAsia" w:ascii="宋体" w:hAnsi="宋体" w:cs="宋体"/>
          <w:szCs w:val="21"/>
          <w:u w:val="single"/>
        </w:rPr>
        <w:t xml:space="preserve">      </w:t>
      </w:r>
      <w:r>
        <w:rPr>
          <w:rFonts w:hint="eastAsia" w:ascii="宋体" w:hAnsi="宋体" w:cs="宋体"/>
          <w:szCs w:val="21"/>
        </w:rPr>
        <w:t>分标</w:t>
      </w:r>
    </w:p>
    <w:tbl>
      <w:tblPr>
        <w:tblStyle w:val="37"/>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610"/>
        <w:gridCol w:w="1834"/>
        <w:gridCol w:w="2181"/>
        <w:gridCol w:w="1934"/>
      </w:tblGrid>
      <w:tr w14:paraId="7010A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48" w:type="dxa"/>
            <w:vAlign w:val="center"/>
          </w:tcPr>
          <w:p w14:paraId="588EA777">
            <w:pPr>
              <w:pStyle w:val="20"/>
              <w:spacing w:line="400" w:lineRule="exact"/>
              <w:jc w:val="center"/>
              <w:rPr>
                <w:rFonts w:hAnsi="宋体" w:cs="宋体"/>
                <w:sz w:val="24"/>
                <w:szCs w:val="24"/>
              </w:rPr>
            </w:pPr>
            <w:r>
              <w:rPr>
                <w:rFonts w:hint="eastAsia" w:hAnsi="宋体" w:cs="宋体"/>
                <w:sz w:val="24"/>
                <w:szCs w:val="24"/>
              </w:rPr>
              <w:t>项号</w:t>
            </w:r>
          </w:p>
        </w:tc>
        <w:tc>
          <w:tcPr>
            <w:tcW w:w="1610" w:type="dxa"/>
            <w:vAlign w:val="center"/>
          </w:tcPr>
          <w:p w14:paraId="7D30242F">
            <w:pPr>
              <w:pStyle w:val="20"/>
              <w:spacing w:line="400" w:lineRule="exact"/>
              <w:jc w:val="center"/>
              <w:rPr>
                <w:rFonts w:hAnsi="宋体" w:cs="宋体"/>
                <w:sz w:val="24"/>
                <w:szCs w:val="24"/>
              </w:rPr>
            </w:pPr>
            <w:r>
              <w:rPr>
                <w:rFonts w:hint="eastAsia" w:hAnsi="宋体" w:cs="宋体"/>
                <w:sz w:val="24"/>
                <w:szCs w:val="24"/>
              </w:rPr>
              <w:t>标的的名称</w:t>
            </w:r>
          </w:p>
        </w:tc>
        <w:tc>
          <w:tcPr>
            <w:tcW w:w="1834" w:type="dxa"/>
            <w:vAlign w:val="center"/>
          </w:tcPr>
          <w:p w14:paraId="0D38F41A">
            <w:pPr>
              <w:pStyle w:val="20"/>
              <w:spacing w:line="400" w:lineRule="exact"/>
              <w:jc w:val="center"/>
              <w:rPr>
                <w:rFonts w:hAnsi="宋体" w:cs="宋体"/>
                <w:sz w:val="24"/>
                <w:szCs w:val="24"/>
              </w:rPr>
            </w:pPr>
            <w:r>
              <w:rPr>
                <w:rFonts w:hint="eastAsia" w:hAnsi="宋体" w:cs="宋体"/>
                <w:sz w:val="24"/>
                <w:szCs w:val="24"/>
              </w:rPr>
              <w:t>货物参数</w:t>
            </w:r>
          </w:p>
        </w:tc>
        <w:tc>
          <w:tcPr>
            <w:tcW w:w="2181" w:type="dxa"/>
            <w:vAlign w:val="center"/>
          </w:tcPr>
          <w:p w14:paraId="1D157AC1">
            <w:pPr>
              <w:pStyle w:val="20"/>
              <w:spacing w:line="400" w:lineRule="exact"/>
              <w:jc w:val="center"/>
              <w:rPr>
                <w:rFonts w:hAnsi="宋体" w:cs="宋体"/>
                <w:sz w:val="24"/>
                <w:szCs w:val="24"/>
              </w:rPr>
            </w:pPr>
            <w:r>
              <w:rPr>
                <w:rFonts w:hint="eastAsia" w:hAnsi="宋体" w:cs="宋体"/>
                <w:sz w:val="24"/>
                <w:szCs w:val="24"/>
              </w:rPr>
              <w:t>投标响应</w:t>
            </w:r>
          </w:p>
        </w:tc>
        <w:tc>
          <w:tcPr>
            <w:tcW w:w="1934" w:type="dxa"/>
            <w:vAlign w:val="center"/>
          </w:tcPr>
          <w:p w14:paraId="6066DF67">
            <w:pPr>
              <w:pStyle w:val="20"/>
              <w:spacing w:line="400" w:lineRule="exact"/>
              <w:jc w:val="center"/>
              <w:rPr>
                <w:rFonts w:hAnsi="宋体" w:cs="宋体"/>
                <w:sz w:val="24"/>
                <w:szCs w:val="24"/>
              </w:rPr>
            </w:pPr>
            <w:r>
              <w:rPr>
                <w:rFonts w:hint="eastAsia" w:hAnsi="宋体" w:cs="宋体"/>
                <w:sz w:val="24"/>
                <w:szCs w:val="24"/>
              </w:rPr>
              <w:t>偏离说明</w:t>
            </w:r>
          </w:p>
        </w:tc>
      </w:tr>
      <w:tr w14:paraId="5DCE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dxa"/>
            <w:vAlign w:val="center"/>
          </w:tcPr>
          <w:p w14:paraId="11A1DE8B">
            <w:pPr>
              <w:pStyle w:val="20"/>
              <w:spacing w:line="600" w:lineRule="exact"/>
              <w:jc w:val="center"/>
              <w:rPr>
                <w:rFonts w:hAnsi="宋体" w:cs="宋体"/>
                <w:sz w:val="24"/>
                <w:szCs w:val="24"/>
              </w:rPr>
            </w:pPr>
            <w:r>
              <w:rPr>
                <w:rFonts w:hint="eastAsia" w:hAnsi="宋体" w:cs="宋体"/>
                <w:sz w:val="24"/>
                <w:szCs w:val="24"/>
              </w:rPr>
              <w:t>1</w:t>
            </w:r>
          </w:p>
        </w:tc>
        <w:tc>
          <w:tcPr>
            <w:tcW w:w="1610" w:type="dxa"/>
            <w:vAlign w:val="center"/>
          </w:tcPr>
          <w:p w14:paraId="75CD7420">
            <w:pPr>
              <w:pStyle w:val="20"/>
              <w:spacing w:line="600" w:lineRule="exact"/>
              <w:jc w:val="center"/>
              <w:rPr>
                <w:rFonts w:hAnsi="宋体" w:cs="宋体"/>
                <w:sz w:val="24"/>
                <w:szCs w:val="24"/>
              </w:rPr>
            </w:pPr>
          </w:p>
        </w:tc>
        <w:tc>
          <w:tcPr>
            <w:tcW w:w="1834" w:type="dxa"/>
            <w:vAlign w:val="center"/>
          </w:tcPr>
          <w:p w14:paraId="471F950B">
            <w:pPr>
              <w:pStyle w:val="20"/>
              <w:spacing w:line="600" w:lineRule="exact"/>
              <w:jc w:val="center"/>
              <w:rPr>
                <w:rFonts w:hAnsi="宋体" w:cs="宋体"/>
                <w:sz w:val="24"/>
                <w:szCs w:val="24"/>
              </w:rPr>
            </w:pPr>
          </w:p>
        </w:tc>
        <w:tc>
          <w:tcPr>
            <w:tcW w:w="2181" w:type="dxa"/>
            <w:vAlign w:val="center"/>
          </w:tcPr>
          <w:p w14:paraId="464E2E8B">
            <w:pPr>
              <w:pStyle w:val="20"/>
              <w:spacing w:line="600" w:lineRule="exact"/>
              <w:jc w:val="center"/>
              <w:rPr>
                <w:rFonts w:hAnsi="宋体" w:cs="宋体"/>
                <w:sz w:val="24"/>
                <w:szCs w:val="24"/>
              </w:rPr>
            </w:pPr>
          </w:p>
        </w:tc>
        <w:tc>
          <w:tcPr>
            <w:tcW w:w="1934" w:type="dxa"/>
            <w:vAlign w:val="center"/>
          </w:tcPr>
          <w:p w14:paraId="5E21EDB7">
            <w:pPr>
              <w:pStyle w:val="20"/>
              <w:spacing w:line="600" w:lineRule="exact"/>
              <w:jc w:val="center"/>
              <w:rPr>
                <w:rFonts w:hAnsi="宋体" w:cs="宋体"/>
                <w:sz w:val="24"/>
                <w:szCs w:val="24"/>
              </w:rPr>
            </w:pPr>
          </w:p>
        </w:tc>
      </w:tr>
      <w:tr w14:paraId="738EE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dxa"/>
            <w:vAlign w:val="center"/>
          </w:tcPr>
          <w:p w14:paraId="50428EAB">
            <w:pPr>
              <w:pStyle w:val="20"/>
              <w:spacing w:line="600" w:lineRule="exact"/>
              <w:jc w:val="center"/>
              <w:rPr>
                <w:rFonts w:hAnsi="宋体" w:cs="宋体"/>
                <w:sz w:val="24"/>
                <w:szCs w:val="24"/>
              </w:rPr>
            </w:pPr>
            <w:r>
              <w:rPr>
                <w:rFonts w:hint="eastAsia" w:hAnsi="宋体" w:cs="宋体"/>
                <w:sz w:val="24"/>
                <w:szCs w:val="24"/>
              </w:rPr>
              <w:t>2</w:t>
            </w:r>
          </w:p>
        </w:tc>
        <w:tc>
          <w:tcPr>
            <w:tcW w:w="1610" w:type="dxa"/>
            <w:vAlign w:val="center"/>
          </w:tcPr>
          <w:p w14:paraId="5A7A4595">
            <w:pPr>
              <w:pStyle w:val="20"/>
              <w:spacing w:line="600" w:lineRule="exact"/>
              <w:jc w:val="center"/>
              <w:rPr>
                <w:rFonts w:hAnsi="宋体" w:cs="宋体"/>
                <w:sz w:val="24"/>
                <w:szCs w:val="24"/>
              </w:rPr>
            </w:pPr>
          </w:p>
        </w:tc>
        <w:tc>
          <w:tcPr>
            <w:tcW w:w="1834" w:type="dxa"/>
            <w:vAlign w:val="center"/>
          </w:tcPr>
          <w:p w14:paraId="331F2C65">
            <w:pPr>
              <w:pStyle w:val="20"/>
              <w:spacing w:line="600" w:lineRule="exact"/>
              <w:jc w:val="center"/>
              <w:rPr>
                <w:rFonts w:hAnsi="宋体" w:cs="宋体"/>
                <w:sz w:val="24"/>
                <w:szCs w:val="24"/>
              </w:rPr>
            </w:pPr>
          </w:p>
        </w:tc>
        <w:tc>
          <w:tcPr>
            <w:tcW w:w="2181" w:type="dxa"/>
            <w:vAlign w:val="center"/>
          </w:tcPr>
          <w:p w14:paraId="64491309">
            <w:pPr>
              <w:pStyle w:val="20"/>
              <w:spacing w:line="600" w:lineRule="exact"/>
              <w:jc w:val="center"/>
              <w:rPr>
                <w:rFonts w:hAnsi="宋体" w:cs="宋体"/>
                <w:sz w:val="24"/>
                <w:szCs w:val="24"/>
              </w:rPr>
            </w:pPr>
          </w:p>
        </w:tc>
        <w:tc>
          <w:tcPr>
            <w:tcW w:w="1934" w:type="dxa"/>
            <w:vAlign w:val="center"/>
          </w:tcPr>
          <w:p w14:paraId="68383EEF">
            <w:pPr>
              <w:pStyle w:val="20"/>
              <w:spacing w:line="600" w:lineRule="exact"/>
              <w:jc w:val="center"/>
              <w:rPr>
                <w:rFonts w:hAnsi="宋体" w:cs="宋体"/>
                <w:sz w:val="24"/>
                <w:szCs w:val="24"/>
              </w:rPr>
            </w:pPr>
          </w:p>
        </w:tc>
      </w:tr>
      <w:tr w14:paraId="7292C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dxa"/>
            <w:vAlign w:val="center"/>
          </w:tcPr>
          <w:p w14:paraId="5B8E5158">
            <w:pPr>
              <w:pStyle w:val="20"/>
              <w:spacing w:line="600" w:lineRule="exact"/>
              <w:jc w:val="center"/>
              <w:rPr>
                <w:rFonts w:hAnsi="宋体" w:cs="宋体"/>
                <w:sz w:val="24"/>
                <w:szCs w:val="24"/>
              </w:rPr>
            </w:pPr>
            <w:r>
              <w:rPr>
                <w:rFonts w:hint="eastAsia" w:hAnsi="宋体" w:cs="宋体"/>
                <w:sz w:val="24"/>
                <w:szCs w:val="24"/>
              </w:rPr>
              <w:t>...</w:t>
            </w:r>
          </w:p>
        </w:tc>
        <w:tc>
          <w:tcPr>
            <w:tcW w:w="1610" w:type="dxa"/>
            <w:vAlign w:val="center"/>
          </w:tcPr>
          <w:p w14:paraId="7ABF1074">
            <w:pPr>
              <w:pStyle w:val="20"/>
              <w:spacing w:line="600" w:lineRule="exact"/>
              <w:jc w:val="center"/>
              <w:rPr>
                <w:rFonts w:hAnsi="宋体" w:cs="宋体"/>
                <w:sz w:val="24"/>
                <w:szCs w:val="24"/>
              </w:rPr>
            </w:pPr>
          </w:p>
        </w:tc>
        <w:tc>
          <w:tcPr>
            <w:tcW w:w="1834" w:type="dxa"/>
            <w:vAlign w:val="center"/>
          </w:tcPr>
          <w:p w14:paraId="557D3474">
            <w:pPr>
              <w:pStyle w:val="20"/>
              <w:spacing w:line="600" w:lineRule="exact"/>
              <w:jc w:val="center"/>
              <w:rPr>
                <w:rFonts w:hAnsi="宋体" w:cs="宋体"/>
                <w:sz w:val="24"/>
                <w:szCs w:val="24"/>
              </w:rPr>
            </w:pPr>
          </w:p>
        </w:tc>
        <w:tc>
          <w:tcPr>
            <w:tcW w:w="2181" w:type="dxa"/>
            <w:vAlign w:val="center"/>
          </w:tcPr>
          <w:p w14:paraId="1E2E7983">
            <w:pPr>
              <w:pStyle w:val="20"/>
              <w:spacing w:line="600" w:lineRule="exact"/>
              <w:jc w:val="center"/>
              <w:rPr>
                <w:rFonts w:hAnsi="宋体" w:cs="宋体"/>
                <w:sz w:val="24"/>
                <w:szCs w:val="24"/>
              </w:rPr>
            </w:pPr>
          </w:p>
        </w:tc>
        <w:tc>
          <w:tcPr>
            <w:tcW w:w="1934" w:type="dxa"/>
            <w:vAlign w:val="center"/>
          </w:tcPr>
          <w:p w14:paraId="2B050204">
            <w:pPr>
              <w:pStyle w:val="20"/>
              <w:spacing w:line="600" w:lineRule="exact"/>
              <w:jc w:val="center"/>
              <w:rPr>
                <w:rFonts w:hAnsi="宋体" w:cs="宋体"/>
                <w:sz w:val="24"/>
                <w:szCs w:val="24"/>
              </w:rPr>
            </w:pPr>
          </w:p>
        </w:tc>
      </w:tr>
    </w:tbl>
    <w:p w14:paraId="7D7E5C06">
      <w:pPr>
        <w:pStyle w:val="16"/>
        <w:spacing w:line="520" w:lineRule="exact"/>
        <w:rPr>
          <w:rFonts w:hAnsi="宋体" w:cs="宋体"/>
          <w:sz w:val="24"/>
          <w:szCs w:val="24"/>
        </w:rPr>
      </w:pPr>
      <w:r>
        <w:rPr>
          <w:rFonts w:hint="eastAsia" w:hAnsi="宋体" w:cs="宋体"/>
          <w:sz w:val="24"/>
          <w:szCs w:val="24"/>
        </w:rPr>
        <w:t>注：</w:t>
      </w:r>
    </w:p>
    <w:p w14:paraId="74B383D0">
      <w:pPr>
        <w:pStyle w:val="16"/>
        <w:spacing w:line="520" w:lineRule="exact"/>
        <w:ind w:firstLine="0"/>
        <w:rPr>
          <w:rFonts w:hAnsi="宋体" w:cs="宋体"/>
          <w:sz w:val="24"/>
          <w:szCs w:val="24"/>
        </w:rPr>
      </w:pPr>
      <w:r>
        <w:rPr>
          <w:rFonts w:hint="eastAsia" w:hAnsi="宋体" w:cs="宋体"/>
          <w:sz w:val="24"/>
          <w:szCs w:val="24"/>
        </w:rPr>
        <w:t>1. 说明：应对照招标文件“第二章 货物需求一览表”中的标的名称及货物参数逐条作明确的投标响应，并作出偏离说明。</w:t>
      </w:r>
    </w:p>
    <w:p w14:paraId="239A0940">
      <w:pPr>
        <w:pStyle w:val="16"/>
        <w:spacing w:line="520" w:lineRule="exact"/>
        <w:rPr>
          <w:rFonts w:hAnsi="宋体" w:cs="宋体"/>
          <w:sz w:val="24"/>
          <w:szCs w:val="24"/>
        </w:rPr>
      </w:pPr>
      <w:r>
        <w:rPr>
          <w:rFonts w:hint="eastAsia" w:hAnsi="宋体" w:cs="宋体"/>
          <w:sz w:val="24"/>
          <w:szCs w:val="24"/>
        </w:rPr>
        <w:t>2.投标人根据投标货物的性能指标，对照招标文件技术要求，在“偏离说明”中注明“正偏离”、“负偏离”或者“无偏离”。既不属于“正偏离”也不属于“负偏离”即为“无偏离”。</w:t>
      </w:r>
    </w:p>
    <w:p w14:paraId="6E115ADE">
      <w:pPr>
        <w:pStyle w:val="15"/>
        <w:spacing w:line="360" w:lineRule="auto"/>
        <w:contextualSpacing/>
        <w:rPr>
          <w:rFonts w:ascii="宋体" w:hAnsi="宋体"/>
          <w:spacing w:val="20"/>
        </w:rPr>
      </w:pPr>
    </w:p>
    <w:p w14:paraId="7237F73B">
      <w:pPr>
        <w:spacing w:line="360" w:lineRule="auto"/>
        <w:contextualSpacing/>
        <w:rPr>
          <w:rFonts w:ascii="宋体" w:hAnsi="宋体"/>
          <w:spacing w:val="20"/>
          <w:sz w:val="24"/>
          <w:u w:val="single"/>
        </w:rPr>
      </w:pPr>
      <w:r>
        <w:rPr>
          <w:rFonts w:hint="eastAsia" w:ascii="宋体" w:hAnsi="宋体"/>
          <w:sz w:val="24"/>
        </w:rPr>
        <w:t>法定代表人或者委托代理人</w:t>
      </w:r>
      <w:r>
        <w:rPr>
          <w:rFonts w:hint="eastAsia" w:ascii="宋体" w:hAnsi="宋体"/>
          <w:spacing w:val="20"/>
          <w:sz w:val="24"/>
        </w:rPr>
        <w:t>（签字或者电子签名）：</w:t>
      </w:r>
      <w:r>
        <w:rPr>
          <w:rFonts w:hint="eastAsia" w:ascii="宋体" w:hAnsi="宋体"/>
          <w:spacing w:val="20"/>
          <w:sz w:val="24"/>
          <w:u w:val="single"/>
        </w:rPr>
        <w:t xml:space="preserve">        </w:t>
      </w:r>
    </w:p>
    <w:p w14:paraId="19A62C1B">
      <w:pPr>
        <w:spacing w:line="360" w:lineRule="auto"/>
        <w:contextualSpacing/>
        <w:rPr>
          <w:rFonts w:ascii="宋体" w:hAnsi="宋体"/>
          <w:spacing w:val="20"/>
          <w:sz w:val="24"/>
        </w:rPr>
      </w:pPr>
      <w:r>
        <w:rPr>
          <w:rFonts w:hint="eastAsia" w:ascii="宋体" w:hAnsi="宋体"/>
          <w:spacing w:val="20"/>
          <w:sz w:val="24"/>
        </w:rPr>
        <w:t>投标人名称（电子签章）：</w:t>
      </w:r>
      <w:r>
        <w:rPr>
          <w:rFonts w:hint="eastAsia" w:ascii="宋体" w:hAnsi="宋体"/>
          <w:spacing w:val="20"/>
          <w:sz w:val="24"/>
          <w:u w:val="single"/>
        </w:rPr>
        <w:t xml:space="preserve">            </w:t>
      </w:r>
      <w:r>
        <w:rPr>
          <w:rFonts w:hint="eastAsia" w:ascii="宋体" w:hAnsi="宋体"/>
          <w:spacing w:val="20"/>
          <w:sz w:val="24"/>
        </w:rPr>
        <w:t xml:space="preserve">              </w:t>
      </w:r>
    </w:p>
    <w:p w14:paraId="6922ACCB">
      <w:pPr>
        <w:spacing w:line="360" w:lineRule="auto"/>
        <w:contextualSpacing/>
        <w:rPr>
          <w:rFonts w:ascii="宋体" w:hAnsi="宋体"/>
          <w:sz w:val="24"/>
          <w:szCs w:val="20"/>
        </w:rPr>
      </w:pPr>
      <w:r>
        <w:rPr>
          <w:rFonts w:hint="eastAsia" w:ascii="宋体" w:hAnsi="宋体"/>
          <w:spacing w:val="20"/>
          <w:sz w:val="24"/>
        </w:rPr>
        <w:t>日  期：</w:t>
      </w:r>
      <w:r>
        <w:rPr>
          <w:rFonts w:hint="eastAsia" w:ascii="宋体" w:hAnsi="宋体"/>
          <w:spacing w:val="20"/>
          <w:sz w:val="24"/>
          <w:u w:val="single"/>
        </w:rPr>
        <w:t xml:space="preserve">          </w:t>
      </w:r>
    </w:p>
    <w:p w14:paraId="7086AE9A">
      <w:pPr>
        <w:spacing w:line="360" w:lineRule="auto"/>
        <w:contextualSpacing/>
        <w:rPr>
          <w:rFonts w:ascii="宋体" w:hAnsi="宋体"/>
          <w:spacing w:val="20"/>
          <w:sz w:val="24"/>
          <w:u w:val="single"/>
        </w:rPr>
      </w:pPr>
    </w:p>
    <w:p w14:paraId="3F4FC9EC">
      <w:pPr>
        <w:spacing w:line="360" w:lineRule="auto"/>
        <w:contextualSpacing/>
        <w:rPr>
          <w:rFonts w:ascii="宋体" w:hAnsi="宋体"/>
          <w:sz w:val="24"/>
          <w:szCs w:val="20"/>
        </w:rPr>
      </w:pPr>
    </w:p>
    <w:p w14:paraId="271E2317">
      <w:pPr>
        <w:snapToGrid w:val="0"/>
        <w:spacing w:before="165" w:beforeLines="50" w:after="50"/>
        <w:ind w:left="142"/>
        <w:jc w:val="left"/>
        <w:rPr>
          <w:rFonts w:ascii="宋体" w:hAnsi="宋体"/>
          <w:b/>
          <w:sz w:val="24"/>
        </w:rPr>
      </w:pPr>
      <w:r>
        <w:rPr>
          <w:rFonts w:ascii="宋体" w:hAnsi="宋体"/>
          <w:b/>
          <w:sz w:val="24"/>
        </w:rPr>
        <w:br w:type="page"/>
      </w:r>
      <w:r>
        <w:rPr>
          <w:rFonts w:hint="eastAsia" w:ascii="宋体" w:hAnsi="宋体"/>
          <w:b/>
          <w:sz w:val="24"/>
        </w:rPr>
        <w:t>9.项目实施人员一览表格式</w:t>
      </w:r>
    </w:p>
    <w:p w14:paraId="42481FD1">
      <w:pPr>
        <w:snapToGrid w:val="0"/>
        <w:spacing w:before="165" w:beforeLines="50" w:after="50"/>
        <w:ind w:left="142"/>
        <w:jc w:val="left"/>
        <w:rPr>
          <w:rFonts w:ascii="宋体" w:hAnsi="宋体"/>
          <w:b/>
          <w:sz w:val="24"/>
        </w:rPr>
      </w:pPr>
    </w:p>
    <w:p w14:paraId="4B512862">
      <w:pPr>
        <w:snapToGrid w:val="0"/>
        <w:spacing w:before="165" w:beforeLines="50" w:after="50"/>
        <w:ind w:left="142"/>
        <w:jc w:val="center"/>
        <w:rPr>
          <w:rFonts w:ascii="宋体" w:hAnsi="宋体"/>
          <w:b/>
          <w:sz w:val="32"/>
          <w:szCs w:val="32"/>
        </w:rPr>
      </w:pPr>
      <w:r>
        <w:rPr>
          <w:rFonts w:hint="eastAsia" w:ascii="宋体" w:hAnsi="宋体"/>
          <w:b/>
          <w:sz w:val="32"/>
          <w:szCs w:val="32"/>
        </w:rPr>
        <w:t>项目实施人员一览表</w:t>
      </w:r>
    </w:p>
    <w:p w14:paraId="089635EE">
      <w:pPr>
        <w:pStyle w:val="20"/>
        <w:rPr>
          <w:sz w:val="24"/>
          <w:szCs w:val="24"/>
        </w:rPr>
      </w:pPr>
      <w:r>
        <w:rPr>
          <w:rFonts w:hint="eastAsia"/>
          <w:sz w:val="24"/>
          <w:szCs w:val="24"/>
        </w:rPr>
        <w:t>所投分标：</w:t>
      </w:r>
      <w:r>
        <w:rPr>
          <w:rFonts w:hint="eastAsia"/>
          <w:sz w:val="24"/>
          <w:szCs w:val="24"/>
          <w:u w:val="single"/>
        </w:rPr>
        <w:t xml:space="preserve">     </w:t>
      </w:r>
      <w:r>
        <w:rPr>
          <w:rFonts w:hint="eastAsia"/>
          <w:sz w:val="24"/>
          <w:szCs w:val="24"/>
        </w:rPr>
        <w:t>分标</w:t>
      </w:r>
    </w:p>
    <w:tbl>
      <w:tblPr>
        <w:tblStyle w:val="3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853"/>
        <w:gridCol w:w="1705"/>
        <w:gridCol w:w="2052"/>
        <w:gridCol w:w="2044"/>
        <w:gridCol w:w="2217"/>
      </w:tblGrid>
      <w:tr w14:paraId="16E3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598D06CA">
            <w:pPr>
              <w:snapToGrid w:val="0"/>
              <w:spacing w:before="50" w:after="165" w:afterLines="50"/>
              <w:jc w:val="center"/>
              <w:rPr>
                <w:rFonts w:ascii="宋体" w:hAnsi="宋体"/>
                <w:sz w:val="24"/>
                <w:szCs w:val="20"/>
              </w:rPr>
            </w:pPr>
            <w:r>
              <w:rPr>
                <w:rFonts w:hint="eastAsia" w:ascii="宋体" w:hAnsi="宋体"/>
                <w:sz w:val="24"/>
                <w:szCs w:val="20"/>
              </w:rPr>
              <w:t>姓名</w:t>
            </w:r>
          </w:p>
        </w:tc>
        <w:tc>
          <w:tcPr>
            <w:tcW w:w="853" w:type="dxa"/>
            <w:vAlign w:val="center"/>
          </w:tcPr>
          <w:p w14:paraId="7C46E8F9">
            <w:pPr>
              <w:snapToGrid w:val="0"/>
              <w:spacing w:before="50" w:after="165" w:afterLines="50"/>
              <w:jc w:val="center"/>
              <w:rPr>
                <w:rFonts w:ascii="宋体" w:hAnsi="宋体"/>
                <w:sz w:val="24"/>
                <w:szCs w:val="20"/>
              </w:rPr>
            </w:pPr>
            <w:r>
              <w:rPr>
                <w:rFonts w:hint="eastAsia" w:ascii="宋体" w:hAnsi="宋体"/>
                <w:sz w:val="24"/>
                <w:szCs w:val="20"/>
              </w:rPr>
              <w:t>职务</w:t>
            </w:r>
          </w:p>
        </w:tc>
        <w:tc>
          <w:tcPr>
            <w:tcW w:w="1705" w:type="dxa"/>
            <w:vAlign w:val="center"/>
          </w:tcPr>
          <w:p w14:paraId="1534EA2D">
            <w:pPr>
              <w:snapToGrid w:val="0"/>
              <w:spacing w:before="50" w:after="165" w:afterLines="50"/>
              <w:jc w:val="center"/>
              <w:rPr>
                <w:rFonts w:ascii="宋体" w:hAnsi="宋体"/>
                <w:sz w:val="24"/>
                <w:szCs w:val="20"/>
              </w:rPr>
            </w:pPr>
            <w:r>
              <w:rPr>
                <w:rFonts w:hint="eastAsia" w:ascii="宋体" w:hAnsi="宋体"/>
                <w:sz w:val="24"/>
                <w:szCs w:val="20"/>
              </w:rPr>
              <w:t>专业</w:t>
            </w:r>
          </w:p>
        </w:tc>
        <w:tc>
          <w:tcPr>
            <w:tcW w:w="2052" w:type="dxa"/>
            <w:vAlign w:val="center"/>
          </w:tcPr>
          <w:p w14:paraId="468A458C">
            <w:pPr>
              <w:snapToGrid w:val="0"/>
              <w:spacing w:before="50" w:after="165" w:afterLines="50"/>
              <w:jc w:val="center"/>
              <w:rPr>
                <w:rFonts w:ascii="宋体" w:hAnsi="宋体"/>
                <w:sz w:val="24"/>
                <w:szCs w:val="20"/>
              </w:rPr>
            </w:pPr>
            <w:r>
              <w:rPr>
                <w:rFonts w:hint="eastAsia" w:ascii="宋体" w:hAnsi="宋体"/>
                <w:sz w:val="24"/>
                <w:szCs w:val="20"/>
              </w:rPr>
              <w:t>专业技术资格（职称）或者职业资格或者执业资格证或者其他证书</w:t>
            </w:r>
          </w:p>
        </w:tc>
        <w:tc>
          <w:tcPr>
            <w:tcW w:w="2044" w:type="dxa"/>
            <w:vAlign w:val="center"/>
          </w:tcPr>
          <w:p w14:paraId="5C1BB7BA">
            <w:pPr>
              <w:snapToGrid w:val="0"/>
              <w:spacing w:before="50" w:after="165" w:afterLines="50"/>
              <w:jc w:val="center"/>
              <w:rPr>
                <w:rFonts w:ascii="宋体" w:hAnsi="宋体"/>
                <w:sz w:val="24"/>
                <w:szCs w:val="20"/>
              </w:rPr>
            </w:pPr>
            <w:r>
              <w:rPr>
                <w:rFonts w:hint="eastAsia" w:ascii="宋体" w:hAnsi="宋体"/>
                <w:sz w:val="24"/>
                <w:szCs w:val="20"/>
              </w:rPr>
              <w:t>证书编号</w:t>
            </w:r>
          </w:p>
        </w:tc>
        <w:tc>
          <w:tcPr>
            <w:tcW w:w="2217" w:type="dxa"/>
            <w:vAlign w:val="center"/>
          </w:tcPr>
          <w:p w14:paraId="26C54FF6">
            <w:pPr>
              <w:snapToGrid w:val="0"/>
              <w:spacing w:before="50" w:after="165" w:afterLines="50"/>
              <w:jc w:val="center"/>
              <w:rPr>
                <w:rFonts w:ascii="宋体" w:hAnsi="宋体"/>
                <w:sz w:val="24"/>
                <w:szCs w:val="20"/>
              </w:rPr>
            </w:pPr>
            <w:r>
              <w:rPr>
                <w:rFonts w:hint="eastAsia" w:ascii="宋体" w:hAnsi="宋体"/>
                <w:sz w:val="24"/>
                <w:szCs w:val="20"/>
              </w:rPr>
              <w:t>备注</w:t>
            </w:r>
          </w:p>
        </w:tc>
      </w:tr>
      <w:tr w14:paraId="3EE47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1A32655C">
            <w:pPr>
              <w:snapToGrid w:val="0"/>
              <w:spacing w:before="50" w:after="165" w:afterLines="50"/>
              <w:jc w:val="center"/>
              <w:rPr>
                <w:rFonts w:ascii="宋体" w:hAnsi="宋体"/>
                <w:sz w:val="24"/>
                <w:szCs w:val="20"/>
              </w:rPr>
            </w:pPr>
          </w:p>
        </w:tc>
        <w:tc>
          <w:tcPr>
            <w:tcW w:w="853" w:type="dxa"/>
            <w:vAlign w:val="center"/>
          </w:tcPr>
          <w:p w14:paraId="3541D186">
            <w:pPr>
              <w:snapToGrid w:val="0"/>
              <w:spacing w:before="50" w:after="165" w:afterLines="50"/>
              <w:jc w:val="center"/>
              <w:rPr>
                <w:rFonts w:ascii="宋体" w:hAnsi="宋体"/>
                <w:sz w:val="24"/>
                <w:szCs w:val="20"/>
              </w:rPr>
            </w:pPr>
          </w:p>
        </w:tc>
        <w:tc>
          <w:tcPr>
            <w:tcW w:w="1705" w:type="dxa"/>
            <w:vAlign w:val="center"/>
          </w:tcPr>
          <w:p w14:paraId="5D39DD7A">
            <w:pPr>
              <w:snapToGrid w:val="0"/>
              <w:spacing w:before="50" w:after="165" w:afterLines="50"/>
              <w:jc w:val="center"/>
              <w:rPr>
                <w:rFonts w:ascii="宋体" w:hAnsi="宋体"/>
                <w:sz w:val="24"/>
                <w:szCs w:val="20"/>
              </w:rPr>
            </w:pPr>
          </w:p>
        </w:tc>
        <w:tc>
          <w:tcPr>
            <w:tcW w:w="2052" w:type="dxa"/>
            <w:vAlign w:val="center"/>
          </w:tcPr>
          <w:p w14:paraId="554A4769">
            <w:pPr>
              <w:snapToGrid w:val="0"/>
              <w:spacing w:before="50" w:after="165" w:afterLines="50"/>
              <w:jc w:val="center"/>
              <w:rPr>
                <w:rFonts w:ascii="宋体" w:hAnsi="宋体"/>
                <w:sz w:val="24"/>
                <w:szCs w:val="20"/>
              </w:rPr>
            </w:pPr>
          </w:p>
        </w:tc>
        <w:tc>
          <w:tcPr>
            <w:tcW w:w="2044" w:type="dxa"/>
            <w:vAlign w:val="center"/>
          </w:tcPr>
          <w:p w14:paraId="5B2594E2">
            <w:pPr>
              <w:snapToGrid w:val="0"/>
              <w:spacing w:before="50" w:after="165" w:afterLines="50"/>
              <w:jc w:val="center"/>
              <w:rPr>
                <w:rFonts w:ascii="宋体" w:hAnsi="宋体"/>
                <w:sz w:val="24"/>
                <w:szCs w:val="20"/>
              </w:rPr>
            </w:pPr>
          </w:p>
        </w:tc>
        <w:tc>
          <w:tcPr>
            <w:tcW w:w="2217" w:type="dxa"/>
            <w:vAlign w:val="center"/>
          </w:tcPr>
          <w:p w14:paraId="1C441F55">
            <w:pPr>
              <w:snapToGrid w:val="0"/>
              <w:spacing w:before="50" w:after="165" w:afterLines="50"/>
              <w:jc w:val="center"/>
              <w:rPr>
                <w:rFonts w:ascii="宋体" w:hAnsi="宋体"/>
                <w:sz w:val="24"/>
                <w:szCs w:val="20"/>
              </w:rPr>
            </w:pPr>
          </w:p>
        </w:tc>
      </w:tr>
      <w:tr w14:paraId="7294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0AE61E89">
            <w:pPr>
              <w:snapToGrid w:val="0"/>
              <w:spacing w:before="50" w:after="165" w:afterLines="50"/>
              <w:jc w:val="center"/>
              <w:rPr>
                <w:rFonts w:ascii="宋体" w:hAnsi="宋体"/>
                <w:sz w:val="24"/>
                <w:szCs w:val="20"/>
              </w:rPr>
            </w:pPr>
          </w:p>
        </w:tc>
        <w:tc>
          <w:tcPr>
            <w:tcW w:w="853" w:type="dxa"/>
            <w:vAlign w:val="center"/>
          </w:tcPr>
          <w:p w14:paraId="4BF08B4C">
            <w:pPr>
              <w:snapToGrid w:val="0"/>
              <w:spacing w:before="50" w:after="165" w:afterLines="50"/>
              <w:jc w:val="center"/>
              <w:rPr>
                <w:rFonts w:ascii="宋体" w:hAnsi="宋体"/>
                <w:sz w:val="24"/>
                <w:szCs w:val="20"/>
              </w:rPr>
            </w:pPr>
          </w:p>
        </w:tc>
        <w:tc>
          <w:tcPr>
            <w:tcW w:w="1705" w:type="dxa"/>
            <w:vAlign w:val="center"/>
          </w:tcPr>
          <w:p w14:paraId="573BA7B6">
            <w:pPr>
              <w:snapToGrid w:val="0"/>
              <w:spacing w:before="50" w:after="165" w:afterLines="50"/>
              <w:jc w:val="center"/>
              <w:rPr>
                <w:rFonts w:ascii="宋体" w:hAnsi="宋体"/>
                <w:sz w:val="24"/>
                <w:szCs w:val="20"/>
              </w:rPr>
            </w:pPr>
          </w:p>
        </w:tc>
        <w:tc>
          <w:tcPr>
            <w:tcW w:w="2052" w:type="dxa"/>
            <w:vAlign w:val="center"/>
          </w:tcPr>
          <w:p w14:paraId="751BF827">
            <w:pPr>
              <w:snapToGrid w:val="0"/>
              <w:spacing w:before="50" w:after="165" w:afterLines="50"/>
              <w:jc w:val="center"/>
              <w:rPr>
                <w:rFonts w:ascii="宋体" w:hAnsi="宋体"/>
                <w:sz w:val="24"/>
                <w:szCs w:val="20"/>
              </w:rPr>
            </w:pPr>
          </w:p>
        </w:tc>
        <w:tc>
          <w:tcPr>
            <w:tcW w:w="2044" w:type="dxa"/>
            <w:vAlign w:val="center"/>
          </w:tcPr>
          <w:p w14:paraId="3CAA071B">
            <w:pPr>
              <w:snapToGrid w:val="0"/>
              <w:spacing w:before="50" w:after="165" w:afterLines="50"/>
              <w:jc w:val="center"/>
              <w:rPr>
                <w:rFonts w:ascii="宋体" w:hAnsi="宋体"/>
                <w:sz w:val="24"/>
                <w:szCs w:val="20"/>
              </w:rPr>
            </w:pPr>
          </w:p>
        </w:tc>
        <w:tc>
          <w:tcPr>
            <w:tcW w:w="2217" w:type="dxa"/>
            <w:vAlign w:val="center"/>
          </w:tcPr>
          <w:p w14:paraId="469936E0">
            <w:pPr>
              <w:snapToGrid w:val="0"/>
              <w:spacing w:before="50" w:after="165" w:afterLines="50"/>
              <w:jc w:val="center"/>
              <w:rPr>
                <w:rFonts w:ascii="宋体" w:hAnsi="宋体"/>
                <w:sz w:val="24"/>
                <w:szCs w:val="20"/>
              </w:rPr>
            </w:pPr>
          </w:p>
        </w:tc>
      </w:tr>
      <w:tr w14:paraId="6F046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14:paraId="69182E15">
            <w:pPr>
              <w:snapToGrid w:val="0"/>
              <w:spacing w:before="50" w:after="165" w:afterLines="50"/>
              <w:jc w:val="center"/>
              <w:rPr>
                <w:rFonts w:ascii="宋体" w:hAnsi="宋体"/>
                <w:sz w:val="24"/>
                <w:szCs w:val="20"/>
              </w:rPr>
            </w:pPr>
          </w:p>
        </w:tc>
        <w:tc>
          <w:tcPr>
            <w:tcW w:w="853" w:type="dxa"/>
            <w:vAlign w:val="center"/>
          </w:tcPr>
          <w:p w14:paraId="1811D24B">
            <w:pPr>
              <w:snapToGrid w:val="0"/>
              <w:spacing w:before="50" w:after="165" w:afterLines="50"/>
              <w:jc w:val="center"/>
              <w:rPr>
                <w:rFonts w:ascii="宋体" w:hAnsi="宋体"/>
                <w:sz w:val="24"/>
                <w:szCs w:val="20"/>
              </w:rPr>
            </w:pPr>
          </w:p>
        </w:tc>
        <w:tc>
          <w:tcPr>
            <w:tcW w:w="1705" w:type="dxa"/>
            <w:vAlign w:val="center"/>
          </w:tcPr>
          <w:p w14:paraId="01105FC1">
            <w:pPr>
              <w:snapToGrid w:val="0"/>
              <w:spacing w:before="50" w:after="165" w:afterLines="50"/>
              <w:jc w:val="center"/>
              <w:rPr>
                <w:rFonts w:ascii="宋体" w:hAnsi="宋体"/>
                <w:sz w:val="24"/>
                <w:szCs w:val="20"/>
              </w:rPr>
            </w:pPr>
          </w:p>
        </w:tc>
        <w:tc>
          <w:tcPr>
            <w:tcW w:w="2052" w:type="dxa"/>
            <w:vAlign w:val="center"/>
          </w:tcPr>
          <w:p w14:paraId="4BE081E5">
            <w:pPr>
              <w:snapToGrid w:val="0"/>
              <w:spacing w:before="50" w:after="165" w:afterLines="50"/>
              <w:jc w:val="center"/>
              <w:rPr>
                <w:rFonts w:ascii="宋体" w:hAnsi="宋体"/>
                <w:sz w:val="24"/>
                <w:szCs w:val="20"/>
              </w:rPr>
            </w:pPr>
          </w:p>
        </w:tc>
        <w:tc>
          <w:tcPr>
            <w:tcW w:w="2044" w:type="dxa"/>
            <w:vAlign w:val="center"/>
          </w:tcPr>
          <w:p w14:paraId="22B0EEEA">
            <w:pPr>
              <w:snapToGrid w:val="0"/>
              <w:spacing w:before="50" w:after="165" w:afterLines="50"/>
              <w:jc w:val="center"/>
              <w:rPr>
                <w:rFonts w:ascii="宋体" w:hAnsi="宋体"/>
                <w:sz w:val="24"/>
                <w:szCs w:val="20"/>
              </w:rPr>
            </w:pPr>
          </w:p>
        </w:tc>
        <w:tc>
          <w:tcPr>
            <w:tcW w:w="2217" w:type="dxa"/>
            <w:vAlign w:val="center"/>
          </w:tcPr>
          <w:p w14:paraId="2704508A">
            <w:pPr>
              <w:snapToGrid w:val="0"/>
              <w:spacing w:before="50" w:after="165" w:afterLines="50"/>
              <w:jc w:val="center"/>
              <w:rPr>
                <w:rFonts w:ascii="宋体" w:hAnsi="宋体"/>
                <w:sz w:val="24"/>
                <w:szCs w:val="20"/>
              </w:rPr>
            </w:pPr>
          </w:p>
        </w:tc>
      </w:tr>
    </w:tbl>
    <w:p w14:paraId="611BE06F">
      <w:pPr>
        <w:snapToGrid w:val="0"/>
        <w:spacing w:before="50" w:after="165" w:afterLines="50"/>
        <w:jc w:val="left"/>
        <w:rPr>
          <w:rFonts w:ascii="宋体" w:hAnsi="宋体"/>
          <w:sz w:val="24"/>
          <w:szCs w:val="20"/>
        </w:rPr>
      </w:pPr>
    </w:p>
    <w:p w14:paraId="79A80002">
      <w:pPr>
        <w:spacing w:line="360" w:lineRule="auto"/>
        <w:contextualSpacing/>
        <w:jc w:val="left"/>
        <w:rPr>
          <w:rFonts w:ascii="宋体" w:hAnsi="宋体"/>
          <w:sz w:val="24"/>
          <w:szCs w:val="20"/>
        </w:rPr>
      </w:pPr>
      <w:r>
        <w:rPr>
          <w:rFonts w:hint="eastAsia" w:ascii="宋体" w:hAnsi="宋体"/>
          <w:sz w:val="24"/>
          <w:szCs w:val="20"/>
        </w:rPr>
        <w:t>注：</w:t>
      </w:r>
    </w:p>
    <w:p w14:paraId="483E7B46">
      <w:pPr>
        <w:spacing w:line="360" w:lineRule="auto"/>
        <w:contextualSpacing/>
        <w:jc w:val="left"/>
        <w:rPr>
          <w:rFonts w:ascii="宋体" w:hAnsi="宋体"/>
          <w:sz w:val="24"/>
          <w:szCs w:val="20"/>
        </w:rPr>
      </w:pPr>
      <w:r>
        <w:rPr>
          <w:rFonts w:hint="eastAsia" w:ascii="宋体" w:hAnsi="宋体"/>
          <w:sz w:val="24"/>
          <w:szCs w:val="20"/>
        </w:rPr>
        <w:t>1.在填写时，如本表格不适合投标单位的实际情况，可根据本表格式自行制表填写。</w:t>
      </w:r>
    </w:p>
    <w:p w14:paraId="6D78789D">
      <w:pPr>
        <w:spacing w:line="360" w:lineRule="auto"/>
        <w:contextualSpacing/>
        <w:jc w:val="left"/>
        <w:rPr>
          <w:rFonts w:ascii="宋体" w:hAnsi="宋体"/>
          <w:sz w:val="24"/>
          <w:szCs w:val="20"/>
        </w:rPr>
      </w:pPr>
      <w:r>
        <w:rPr>
          <w:rFonts w:hint="eastAsia" w:ascii="宋体" w:hAnsi="宋体"/>
          <w:sz w:val="24"/>
          <w:szCs w:val="20"/>
        </w:rPr>
        <w:t>2.投标人应当附本表所列证书的复印件并加盖投标人电子签章。</w:t>
      </w:r>
    </w:p>
    <w:p w14:paraId="264A2D60">
      <w:pPr>
        <w:spacing w:line="360" w:lineRule="auto"/>
        <w:contextualSpacing/>
        <w:rPr>
          <w:rFonts w:ascii="宋体" w:hAnsi="宋体"/>
          <w:sz w:val="24"/>
        </w:rPr>
      </w:pPr>
    </w:p>
    <w:p w14:paraId="512E4D14">
      <w:pPr>
        <w:spacing w:line="360" w:lineRule="auto"/>
        <w:contextualSpacing/>
        <w:rPr>
          <w:rFonts w:ascii="宋体" w:hAnsi="宋体"/>
          <w:spacing w:val="20"/>
          <w:sz w:val="24"/>
          <w:szCs w:val="20"/>
          <w:u w:val="single"/>
        </w:rPr>
      </w:pPr>
      <w:r>
        <w:rPr>
          <w:rFonts w:hint="eastAsia" w:ascii="宋体" w:hAnsi="宋体"/>
          <w:sz w:val="24"/>
        </w:rPr>
        <w:t>法定代表人或者委托代理人</w:t>
      </w:r>
      <w:r>
        <w:rPr>
          <w:rFonts w:hint="eastAsia" w:ascii="宋体" w:hAnsi="宋体"/>
          <w:spacing w:val="20"/>
          <w:sz w:val="24"/>
        </w:rPr>
        <w:t>（签字或者电子签名）：</w:t>
      </w:r>
      <w:r>
        <w:rPr>
          <w:rFonts w:hint="eastAsia" w:ascii="宋体" w:hAnsi="宋体"/>
          <w:spacing w:val="20"/>
          <w:sz w:val="24"/>
          <w:u w:val="single"/>
        </w:rPr>
        <w:t xml:space="preserve">        </w:t>
      </w:r>
    </w:p>
    <w:p w14:paraId="26C74C25">
      <w:pPr>
        <w:spacing w:line="360" w:lineRule="auto"/>
        <w:contextualSpacing/>
        <w:jc w:val="left"/>
        <w:rPr>
          <w:rFonts w:ascii="宋体" w:hAnsi="宋体"/>
          <w:spacing w:val="20"/>
          <w:sz w:val="24"/>
        </w:rPr>
      </w:pPr>
      <w:r>
        <w:rPr>
          <w:rFonts w:hint="eastAsia" w:ascii="宋体" w:hAnsi="宋体"/>
          <w:spacing w:val="20"/>
          <w:sz w:val="24"/>
        </w:rPr>
        <w:t>投标人名称（电子签章）：</w:t>
      </w:r>
      <w:r>
        <w:rPr>
          <w:rFonts w:hint="eastAsia" w:ascii="宋体" w:hAnsi="宋体"/>
          <w:spacing w:val="20"/>
          <w:sz w:val="24"/>
          <w:u w:val="single"/>
        </w:rPr>
        <w:t xml:space="preserve">            </w:t>
      </w:r>
      <w:r>
        <w:rPr>
          <w:rFonts w:hint="eastAsia" w:ascii="宋体" w:hAnsi="宋体"/>
          <w:spacing w:val="20"/>
          <w:sz w:val="24"/>
        </w:rPr>
        <w:t xml:space="preserve">              </w:t>
      </w:r>
    </w:p>
    <w:p w14:paraId="53F00446">
      <w:pPr>
        <w:jc w:val="left"/>
        <w:rPr>
          <w:rFonts w:ascii="宋体" w:hAnsi="宋体" w:cs="宋体"/>
          <w:b/>
          <w:bCs/>
          <w:sz w:val="24"/>
        </w:rPr>
        <w:sectPr>
          <w:headerReference r:id="rId20" w:type="default"/>
          <w:footerReference r:id="rId21" w:type="default"/>
          <w:pgSz w:w="11906" w:h="16838"/>
          <w:pgMar w:top="1134" w:right="1312" w:bottom="1134" w:left="1354" w:header="720" w:footer="720" w:gutter="0"/>
          <w:cols w:space="720" w:num="1"/>
          <w:docGrid w:type="lines" w:linePitch="331" w:charSpace="0"/>
        </w:sectPr>
      </w:pPr>
      <w:r>
        <w:rPr>
          <w:rFonts w:hint="eastAsia" w:ascii="宋体" w:hAnsi="宋体"/>
          <w:spacing w:val="20"/>
          <w:sz w:val="24"/>
        </w:rPr>
        <w:t>日 期：</w:t>
      </w:r>
      <w:r>
        <w:rPr>
          <w:rFonts w:hint="eastAsia" w:ascii="宋体" w:hAnsi="宋体"/>
          <w:spacing w:val="20"/>
          <w:sz w:val="24"/>
          <w:u w:val="single"/>
        </w:rPr>
        <w:t xml:space="preserve">         </w:t>
      </w:r>
    </w:p>
    <w:p w14:paraId="045491F3">
      <w:pPr>
        <w:pStyle w:val="20"/>
        <w:outlineLvl w:val="1"/>
        <w:rPr>
          <w:rFonts w:hAnsi="宋体" w:cs="宋体"/>
          <w:b/>
          <w:bCs/>
          <w:sz w:val="28"/>
          <w:szCs w:val="28"/>
        </w:rPr>
      </w:pPr>
      <w:bookmarkStart w:id="366" w:name="_Toc28397"/>
      <w:bookmarkStart w:id="367" w:name="_Toc5880"/>
      <w:bookmarkStart w:id="368" w:name="_Toc6917"/>
      <w:bookmarkStart w:id="369" w:name="_Toc19257"/>
      <w:r>
        <w:rPr>
          <w:rFonts w:hint="eastAsia" w:hAnsi="宋体" w:cs="宋体"/>
          <w:b/>
          <w:bCs/>
          <w:sz w:val="28"/>
          <w:szCs w:val="28"/>
        </w:rPr>
        <w:t>三、报价文件格式</w:t>
      </w:r>
      <w:bookmarkEnd w:id="366"/>
      <w:bookmarkEnd w:id="367"/>
      <w:bookmarkEnd w:id="368"/>
    </w:p>
    <w:p w14:paraId="67B6C5DB">
      <w:pPr>
        <w:snapToGrid w:val="0"/>
        <w:spacing w:before="165" w:beforeLines="50" w:after="50" w:line="360" w:lineRule="auto"/>
        <w:ind w:left="142"/>
        <w:jc w:val="left"/>
        <w:rPr>
          <w:rFonts w:ascii="宋体" w:hAnsi="宋体"/>
          <w:sz w:val="24"/>
          <w:szCs w:val="20"/>
        </w:rPr>
      </w:pPr>
      <w:r>
        <w:rPr>
          <w:rFonts w:hint="eastAsia" w:ascii="宋体" w:hAnsi="宋体"/>
          <w:b/>
          <w:sz w:val="24"/>
        </w:rPr>
        <w:t xml:space="preserve">1. 报价文件封面格式： </w:t>
      </w:r>
    </w:p>
    <w:p w14:paraId="244CA263">
      <w:pPr>
        <w:snapToGrid w:val="0"/>
        <w:spacing w:before="165" w:beforeLines="50" w:after="50" w:line="360" w:lineRule="auto"/>
        <w:ind w:left="142"/>
        <w:jc w:val="center"/>
        <w:rPr>
          <w:rFonts w:ascii="宋体" w:hAnsi="宋体" w:eastAsia="方正小标宋简体"/>
          <w:bCs/>
          <w:sz w:val="48"/>
          <w:szCs w:val="48"/>
        </w:rPr>
      </w:pPr>
      <w:r>
        <w:rPr>
          <w:rFonts w:hint="eastAsia" w:ascii="宋体" w:hAnsi="宋体" w:eastAsia="方正小标宋简体"/>
          <w:bCs/>
          <w:sz w:val="48"/>
          <w:szCs w:val="48"/>
        </w:rPr>
        <w:t>电子投标文件</w:t>
      </w:r>
    </w:p>
    <w:p w14:paraId="3A86D04D">
      <w:pPr>
        <w:snapToGrid w:val="0"/>
        <w:spacing w:before="165" w:beforeLines="50" w:after="50" w:line="400" w:lineRule="exact"/>
        <w:rPr>
          <w:rFonts w:ascii="宋体" w:hAnsi="宋体"/>
          <w:bCs/>
          <w:sz w:val="32"/>
          <w:szCs w:val="20"/>
        </w:rPr>
      </w:pPr>
      <w:r>
        <w:rPr>
          <w:rFonts w:hint="eastAsia" w:ascii="宋体" w:hAnsi="宋体"/>
          <w:sz w:val="24"/>
        </w:rPr>
        <w:t xml:space="preserve">                 </w:t>
      </w:r>
    </w:p>
    <w:p w14:paraId="2E209CDB">
      <w:pPr>
        <w:snapToGrid w:val="0"/>
        <w:spacing w:before="165" w:beforeLines="50" w:after="50" w:line="400" w:lineRule="exact"/>
        <w:jc w:val="center"/>
        <w:rPr>
          <w:rFonts w:ascii="宋体" w:hAnsi="宋体"/>
          <w:bCs/>
          <w:sz w:val="24"/>
          <w:szCs w:val="20"/>
        </w:rPr>
      </w:pPr>
    </w:p>
    <w:p w14:paraId="5EEAC56E">
      <w:pPr>
        <w:snapToGrid w:val="0"/>
        <w:spacing w:before="165" w:beforeLines="50" w:after="50" w:line="400" w:lineRule="exact"/>
        <w:jc w:val="center"/>
        <w:rPr>
          <w:rFonts w:ascii="宋体" w:hAnsi="宋体"/>
          <w:b/>
          <w:bCs/>
          <w:sz w:val="32"/>
          <w:szCs w:val="32"/>
        </w:rPr>
      </w:pPr>
      <w:r>
        <w:rPr>
          <w:rFonts w:hint="eastAsia" w:ascii="宋体" w:hAnsi="宋体"/>
          <w:b/>
          <w:bCs/>
          <w:sz w:val="32"/>
          <w:szCs w:val="32"/>
        </w:rPr>
        <w:t>报价文件</w:t>
      </w:r>
    </w:p>
    <w:p w14:paraId="61B3997A">
      <w:pPr>
        <w:snapToGrid w:val="0"/>
        <w:spacing w:before="165" w:beforeLines="50" w:after="50" w:line="400" w:lineRule="exact"/>
        <w:rPr>
          <w:rFonts w:ascii="宋体" w:hAnsi="宋体"/>
          <w:bCs/>
          <w:sz w:val="24"/>
          <w:szCs w:val="20"/>
        </w:rPr>
      </w:pPr>
    </w:p>
    <w:p w14:paraId="3F82CE31">
      <w:pPr>
        <w:snapToGrid w:val="0"/>
        <w:spacing w:before="165" w:beforeLines="50" w:after="50" w:line="400" w:lineRule="exact"/>
        <w:rPr>
          <w:rFonts w:ascii="宋体" w:hAnsi="宋体"/>
          <w:bCs/>
          <w:sz w:val="24"/>
          <w:szCs w:val="20"/>
        </w:rPr>
      </w:pPr>
    </w:p>
    <w:p w14:paraId="5FF842BF">
      <w:pPr>
        <w:snapToGrid w:val="0"/>
        <w:spacing w:before="165" w:beforeLines="50" w:after="50" w:line="400" w:lineRule="exact"/>
        <w:rPr>
          <w:rFonts w:ascii="宋体" w:hAnsi="宋体"/>
          <w:bCs/>
          <w:sz w:val="24"/>
          <w:szCs w:val="20"/>
        </w:rPr>
      </w:pPr>
    </w:p>
    <w:p w14:paraId="722CDE48">
      <w:pPr>
        <w:snapToGrid w:val="0"/>
        <w:spacing w:before="165" w:beforeLines="50" w:after="50" w:line="400" w:lineRule="exact"/>
        <w:rPr>
          <w:rFonts w:ascii="宋体" w:hAnsi="宋体"/>
          <w:bCs/>
          <w:sz w:val="24"/>
          <w:szCs w:val="20"/>
        </w:rPr>
      </w:pPr>
    </w:p>
    <w:p w14:paraId="34CB3435">
      <w:pPr>
        <w:snapToGrid w:val="0"/>
        <w:spacing w:before="165" w:beforeLines="50" w:after="50" w:line="400" w:lineRule="exact"/>
        <w:ind w:firstLine="360" w:firstLineChars="150"/>
        <w:rPr>
          <w:rFonts w:ascii="宋体" w:hAnsi="宋体"/>
          <w:bCs/>
          <w:sz w:val="24"/>
        </w:rPr>
      </w:pPr>
      <w:r>
        <w:rPr>
          <w:rFonts w:hint="eastAsia" w:ascii="宋体" w:hAnsi="宋体"/>
          <w:bCs/>
          <w:sz w:val="24"/>
        </w:rPr>
        <w:t xml:space="preserve">项目名称： </w:t>
      </w:r>
    </w:p>
    <w:p w14:paraId="272E08BE">
      <w:pPr>
        <w:snapToGrid w:val="0"/>
        <w:spacing w:before="165" w:beforeLines="50" w:after="50" w:line="400" w:lineRule="exact"/>
        <w:ind w:firstLine="360" w:firstLineChars="150"/>
        <w:rPr>
          <w:rFonts w:ascii="宋体" w:hAnsi="宋体"/>
          <w:bCs/>
          <w:sz w:val="24"/>
        </w:rPr>
      </w:pPr>
    </w:p>
    <w:p w14:paraId="21D6E52A">
      <w:pPr>
        <w:snapToGrid w:val="0"/>
        <w:spacing w:before="165" w:beforeLines="50" w:after="50" w:line="400" w:lineRule="exact"/>
        <w:ind w:firstLine="360" w:firstLineChars="150"/>
        <w:rPr>
          <w:rFonts w:ascii="宋体" w:hAnsi="宋体"/>
          <w:bCs/>
          <w:sz w:val="24"/>
        </w:rPr>
      </w:pPr>
      <w:r>
        <w:rPr>
          <w:rFonts w:hint="eastAsia" w:ascii="宋体" w:hAnsi="宋体"/>
          <w:bCs/>
          <w:sz w:val="24"/>
        </w:rPr>
        <w:t xml:space="preserve">项目编号： </w:t>
      </w:r>
    </w:p>
    <w:p w14:paraId="4B5034C7">
      <w:pPr>
        <w:snapToGrid w:val="0"/>
        <w:spacing w:before="165" w:beforeLines="50" w:after="50" w:line="400" w:lineRule="exact"/>
        <w:ind w:firstLine="360" w:firstLineChars="150"/>
        <w:rPr>
          <w:rFonts w:ascii="宋体" w:hAnsi="宋体"/>
          <w:bCs/>
          <w:sz w:val="24"/>
        </w:rPr>
      </w:pPr>
    </w:p>
    <w:p w14:paraId="3BB2E49C">
      <w:pPr>
        <w:snapToGrid w:val="0"/>
        <w:spacing w:before="165" w:beforeLines="50" w:after="50" w:line="400" w:lineRule="exact"/>
        <w:ind w:firstLine="360" w:firstLineChars="150"/>
        <w:rPr>
          <w:rFonts w:ascii="宋体" w:hAnsi="宋体"/>
          <w:bCs/>
          <w:sz w:val="24"/>
        </w:rPr>
      </w:pPr>
      <w:r>
        <w:rPr>
          <w:rFonts w:hint="eastAsia" w:ascii="宋体" w:hAnsi="宋体"/>
          <w:bCs/>
          <w:sz w:val="24"/>
        </w:rPr>
        <w:t>所投分标：</w:t>
      </w:r>
    </w:p>
    <w:p w14:paraId="421E1E5E">
      <w:pPr>
        <w:snapToGrid w:val="0"/>
        <w:spacing w:before="165" w:beforeLines="50" w:after="50" w:line="400" w:lineRule="exact"/>
        <w:ind w:firstLine="360" w:firstLineChars="150"/>
        <w:rPr>
          <w:rFonts w:ascii="宋体" w:hAnsi="宋体"/>
          <w:bCs/>
          <w:sz w:val="24"/>
        </w:rPr>
      </w:pPr>
    </w:p>
    <w:p w14:paraId="395482E1">
      <w:pPr>
        <w:snapToGrid w:val="0"/>
        <w:spacing w:before="165" w:beforeLines="50" w:after="50" w:line="400" w:lineRule="exact"/>
        <w:ind w:firstLine="360" w:firstLineChars="150"/>
        <w:rPr>
          <w:rFonts w:ascii="宋体" w:hAnsi="宋体"/>
          <w:bCs/>
          <w:sz w:val="24"/>
        </w:rPr>
      </w:pPr>
      <w:r>
        <w:rPr>
          <w:rFonts w:hint="eastAsia" w:ascii="宋体" w:hAnsi="宋体"/>
          <w:bCs/>
          <w:sz w:val="24"/>
        </w:rPr>
        <w:t>投标人名称：</w:t>
      </w:r>
    </w:p>
    <w:p w14:paraId="691A3549">
      <w:pPr>
        <w:snapToGrid w:val="0"/>
        <w:spacing w:before="165" w:beforeLines="50" w:after="50" w:line="400" w:lineRule="exact"/>
        <w:ind w:firstLine="360" w:firstLineChars="150"/>
        <w:rPr>
          <w:rFonts w:ascii="宋体" w:hAnsi="宋体"/>
          <w:bCs/>
          <w:sz w:val="24"/>
        </w:rPr>
      </w:pPr>
    </w:p>
    <w:p w14:paraId="3A4D8454">
      <w:pPr>
        <w:snapToGrid w:val="0"/>
        <w:spacing w:before="165" w:beforeLines="50" w:after="50" w:line="400" w:lineRule="exact"/>
        <w:ind w:firstLine="360" w:firstLineChars="150"/>
        <w:rPr>
          <w:rFonts w:ascii="宋体" w:hAnsi="宋体"/>
          <w:bCs/>
          <w:sz w:val="24"/>
        </w:rPr>
      </w:pPr>
      <w:r>
        <w:rPr>
          <w:rFonts w:hint="eastAsia" w:ascii="宋体" w:hAnsi="宋体"/>
          <w:bCs/>
          <w:sz w:val="24"/>
        </w:rPr>
        <w:t>投标人地址：</w:t>
      </w:r>
    </w:p>
    <w:p w14:paraId="6B7A2E5B">
      <w:pPr>
        <w:pStyle w:val="9"/>
        <w:snapToGrid w:val="0"/>
        <w:spacing w:before="50" w:after="50" w:line="400" w:lineRule="exact"/>
        <w:ind w:firstLine="960" w:firstLineChars="400"/>
        <w:rPr>
          <w:rFonts w:ascii="宋体" w:hAnsi="宋体"/>
          <w:bCs/>
          <w:sz w:val="24"/>
          <w:szCs w:val="24"/>
        </w:rPr>
      </w:pPr>
    </w:p>
    <w:p w14:paraId="4BDD1005">
      <w:pPr>
        <w:snapToGrid w:val="0"/>
        <w:spacing w:before="165" w:beforeLines="50" w:after="50" w:line="400" w:lineRule="exact"/>
        <w:rPr>
          <w:rFonts w:ascii="宋体" w:hAnsi="宋体" w:cs="宋体"/>
          <w:sz w:val="24"/>
        </w:rPr>
        <w:sectPr>
          <w:pgSz w:w="11906" w:h="16838"/>
          <w:pgMar w:top="1134" w:right="1312" w:bottom="1134" w:left="1354" w:header="720" w:footer="720" w:gutter="0"/>
          <w:cols w:space="720" w:num="1"/>
          <w:docGrid w:type="lines" w:linePitch="331" w:charSpace="0"/>
        </w:sectPr>
      </w:pPr>
      <w:r>
        <w:rPr>
          <w:rFonts w:hint="eastAsia" w:ascii="宋体" w:hAnsi="宋体"/>
          <w:sz w:val="24"/>
        </w:rPr>
        <w:t xml:space="preserve">                                   年  月  日</w:t>
      </w:r>
      <w:bookmarkEnd w:id="369"/>
    </w:p>
    <w:p w14:paraId="33F00F36">
      <w:pPr>
        <w:rPr>
          <w:rFonts w:ascii="宋体" w:hAnsi="宋体" w:cs="宋体"/>
        </w:rPr>
      </w:pPr>
    </w:p>
    <w:p w14:paraId="7EB5E94B">
      <w:pPr>
        <w:snapToGrid w:val="0"/>
        <w:spacing w:before="165" w:beforeLines="50" w:after="50" w:line="360" w:lineRule="auto"/>
        <w:jc w:val="left"/>
        <w:rPr>
          <w:rFonts w:ascii="宋体" w:hAnsi="宋体"/>
          <w:sz w:val="24"/>
          <w:szCs w:val="20"/>
        </w:rPr>
      </w:pPr>
      <w:r>
        <w:rPr>
          <w:rFonts w:hint="eastAsia" w:ascii="宋体" w:hAnsi="宋体"/>
          <w:b/>
          <w:sz w:val="24"/>
        </w:rPr>
        <w:t>2.</w:t>
      </w:r>
      <w:r>
        <w:rPr>
          <w:rFonts w:hint="eastAsia" w:ascii="宋体" w:hAnsi="宋体"/>
          <w:b/>
          <w:bCs/>
          <w:sz w:val="24"/>
        </w:rPr>
        <w:t>报价文件目录</w:t>
      </w:r>
    </w:p>
    <w:p w14:paraId="42CD2C4F">
      <w:pPr>
        <w:pStyle w:val="20"/>
        <w:spacing w:line="500" w:lineRule="exact"/>
        <w:rPr>
          <w:rFonts w:hAnsi="宋体" w:cs="宋体"/>
          <w:b/>
          <w:bCs/>
          <w:sz w:val="30"/>
          <w:szCs w:val="30"/>
        </w:rPr>
      </w:pPr>
      <w:r>
        <w:rPr>
          <w:rFonts w:hint="eastAsia" w:hAnsi="宋体"/>
          <w:szCs w:val="21"/>
        </w:rPr>
        <w:t>根据招标文件规定及投标人提供的材料自行编写目录。</w:t>
      </w:r>
      <w:r>
        <w:rPr>
          <w:rFonts w:hint="eastAsia" w:hAnsi="宋体" w:cs="宋体"/>
          <w:b/>
          <w:bCs/>
          <w:sz w:val="30"/>
          <w:szCs w:val="30"/>
        </w:rPr>
        <w:br w:type="page"/>
      </w:r>
      <w:r>
        <w:rPr>
          <w:rFonts w:hint="eastAsia" w:hAnsi="宋体"/>
          <w:b/>
          <w:bCs/>
          <w:sz w:val="24"/>
          <w:szCs w:val="24"/>
        </w:rPr>
        <w:t>3.投标函</w:t>
      </w:r>
    </w:p>
    <w:p w14:paraId="00746F77">
      <w:pPr>
        <w:snapToGrid w:val="0"/>
        <w:spacing w:before="165" w:beforeLines="50" w:after="50" w:line="320" w:lineRule="exact"/>
        <w:jc w:val="center"/>
        <w:rPr>
          <w:rFonts w:ascii="宋体" w:hAnsi="宋体" w:cs="宋体"/>
          <w:b/>
          <w:sz w:val="32"/>
          <w:szCs w:val="32"/>
        </w:rPr>
      </w:pPr>
      <w:r>
        <w:rPr>
          <w:rFonts w:hint="eastAsia" w:ascii="宋体" w:hAnsi="宋体" w:cs="宋体"/>
          <w:b/>
          <w:sz w:val="32"/>
          <w:szCs w:val="32"/>
        </w:rPr>
        <w:t>投 标 函</w:t>
      </w:r>
    </w:p>
    <w:p w14:paraId="554460EC">
      <w:pPr>
        <w:snapToGrid w:val="0"/>
        <w:spacing w:before="165" w:beforeLines="50" w:after="50" w:line="320" w:lineRule="exact"/>
        <w:jc w:val="center"/>
        <w:rPr>
          <w:rFonts w:ascii="宋体" w:hAnsi="宋体" w:cs="宋体"/>
          <w:b/>
          <w:sz w:val="24"/>
          <w:szCs w:val="20"/>
        </w:rPr>
      </w:pPr>
    </w:p>
    <w:p w14:paraId="27B377DF">
      <w:pPr>
        <w:snapToGrid w:val="0"/>
        <w:spacing w:line="360" w:lineRule="auto"/>
        <w:rPr>
          <w:rFonts w:ascii="宋体" w:hAnsi="宋体" w:cs="宋体"/>
          <w:szCs w:val="21"/>
        </w:rPr>
      </w:pPr>
      <w:r>
        <w:rPr>
          <w:rFonts w:hint="eastAsia" w:ascii="宋体" w:hAnsi="宋体" w:cs="宋体"/>
          <w:szCs w:val="21"/>
        </w:rPr>
        <w:t>致：</w:t>
      </w:r>
      <w:r>
        <w:rPr>
          <w:rFonts w:hint="eastAsia" w:ascii="宋体" w:hAnsi="宋体" w:cs="宋体"/>
          <w:szCs w:val="21"/>
          <w:u w:val="single"/>
        </w:rPr>
        <w:t>采购人名称</w:t>
      </w:r>
    </w:p>
    <w:p w14:paraId="0481E1CF">
      <w:pPr>
        <w:snapToGrid w:val="0"/>
        <w:spacing w:line="360" w:lineRule="auto"/>
        <w:ind w:firstLine="420" w:firstLineChars="200"/>
        <w:rPr>
          <w:rFonts w:ascii="宋体" w:hAnsi="宋体" w:cs="宋体"/>
          <w:szCs w:val="21"/>
        </w:rPr>
      </w:pPr>
      <w:r>
        <w:rPr>
          <w:rFonts w:hint="eastAsia" w:ascii="宋体" w:hAnsi="宋体" w:cs="宋体"/>
          <w:szCs w:val="21"/>
        </w:rPr>
        <w:t>根据贵方</w:t>
      </w:r>
      <w:r>
        <w:rPr>
          <w:rFonts w:hint="eastAsia" w:ascii="宋体" w:hAnsi="宋体" w:cs="宋体"/>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）的招标公告，签字代表</w:t>
      </w:r>
      <w:r>
        <w:rPr>
          <w:rFonts w:hint="eastAsia" w:ascii="宋体" w:hAnsi="宋体" w:cs="宋体"/>
          <w:szCs w:val="21"/>
          <w:u w:val="single"/>
        </w:rPr>
        <w:t xml:space="preserve">         </w:t>
      </w:r>
      <w:r>
        <w:rPr>
          <w:rFonts w:hint="eastAsia" w:ascii="宋体" w:hAnsi="宋体" w:cs="宋体"/>
          <w:szCs w:val="21"/>
        </w:rPr>
        <w:t>（姓名）经正式授权并代表投标人</w:t>
      </w:r>
      <w:r>
        <w:rPr>
          <w:rFonts w:hint="eastAsia" w:ascii="宋体" w:hAnsi="宋体" w:cs="宋体"/>
          <w:szCs w:val="21"/>
          <w:u w:val="single"/>
        </w:rPr>
        <w:t xml:space="preserve">              </w:t>
      </w:r>
      <w:r>
        <w:rPr>
          <w:rFonts w:hint="eastAsia" w:ascii="宋体" w:hAnsi="宋体" w:cs="宋体"/>
          <w:szCs w:val="21"/>
        </w:rPr>
        <w:t>（投标人名称）提交投标文件。</w:t>
      </w:r>
    </w:p>
    <w:p w14:paraId="2591E1D4">
      <w:pPr>
        <w:snapToGrid w:val="0"/>
        <w:spacing w:line="360" w:lineRule="auto"/>
        <w:ind w:firstLine="420" w:firstLineChars="200"/>
        <w:rPr>
          <w:rFonts w:ascii="宋体" w:hAnsi="宋体" w:cs="宋体"/>
          <w:szCs w:val="21"/>
        </w:rPr>
      </w:pPr>
      <w:r>
        <w:rPr>
          <w:rFonts w:hint="eastAsia" w:ascii="宋体" w:hAnsi="宋体" w:cs="宋体"/>
          <w:szCs w:val="21"/>
        </w:rPr>
        <w:t>据此函，我方宣布同意如下：</w:t>
      </w:r>
    </w:p>
    <w:p w14:paraId="271F1DEF">
      <w:pPr>
        <w:snapToGrid w:val="0"/>
        <w:spacing w:line="360" w:lineRule="auto"/>
        <w:ind w:firstLine="420" w:firstLineChars="200"/>
        <w:rPr>
          <w:rFonts w:ascii="宋体" w:hAnsi="宋体" w:cs="宋体"/>
          <w:szCs w:val="21"/>
        </w:rPr>
      </w:pPr>
      <w:r>
        <w:rPr>
          <w:rFonts w:hint="eastAsia" w:ascii="宋体" w:hAnsi="宋体" w:cs="宋体"/>
          <w:szCs w:val="21"/>
        </w:rPr>
        <w:t>1.我方已详细审查全部“招标文件”，包括修改文件（如有的话）以及全部参考资料和有关附件，已经了解我方对于招标文件、采购过程、采购结果有依法进行询问、质疑、投诉的权利及相关渠道和要求。</w:t>
      </w:r>
    </w:p>
    <w:p w14:paraId="4B870A95">
      <w:pPr>
        <w:snapToGrid w:val="0"/>
        <w:spacing w:line="360" w:lineRule="auto"/>
        <w:ind w:firstLine="420" w:firstLineChars="200"/>
        <w:rPr>
          <w:rFonts w:ascii="宋体" w:hAnsi="宋体" w:cs="宋体"/>
          <w:szCs w:val="21"/>
        </w:rPr>
      </w:pPr>
      <w:r>
        <w:rPr>
          <w:rFonts w:hint="eastAsia" w:ascii="宋体" w:hAnsi="宋体" w:cs="宋体"/>
          <w:szCs w:val="21"/>
        </w:rPr>
        <w:t>2.我方在投标之前已经完全理解并接受招标文件的各项规定和要求，对招标文件的合理性、合法性不再有异议。</w:t>
      </w:r>
    </w:p>
    <w:p w14:paraId="33ABCE84">
      <w:pPr>
        <w:snapToGrid w:val="0"/>
        <w:spacing w:line="360" w:lineRule="auto"/>
        <w:ind w:firstLine="420" w:firstLineChars="200"/>
        <w:rPr>
          <w:rFonts w:ascii="宋体" w:hAnsi="宋体" w:cs="宋体"/>
          <w:szCs w:val="21"/>
        </w:rPr>
      </w:pPr>
      <w:r>
        <w:rPr>
          <w:rFonts w:hint="eastAsia" w:ascii="宋体" w:hAnsi="宋体" w:cs="宋体"/>
          <w:szCs w:val="21"/>
        </w:rPr>
        <w:t>3.本投标有效期自投标截止之日起</w:t>
      </w:r>
      <w:r>
        <w:rPr>
          <w:rFonts w:hint="eastAsia" w:ascii="宋体" w:hAnsi="宋体" w:cs="宋体"/>
          <w:szCs w:val="21"/>
          <w:u w:val="single"/>
        </w:rPr>
        <w:t xml:space="preserve">    </w:t>
      </w:r>
      <w:r>
        <w:rPr>
          <w:rFonts w:hint="eastAsia" w:ascii="宋体" w:hAnsi="宋体" w:cs="宋体"/>
          <w:szCs w:val="21"/>
        </w:rPr>
        <w:t>日。</w:t>
      </w:r>
    </w:p>
    <w:p w14:paraId="0A339A91">
      <w:pPr>
        <w:snapToGrid w:val="0"/>
        <w:spacing w:line="360" w:lineRule="auto"/>
        <w:ind w:firstLine="420" w:firstLineChars="200"/>
        <w:rPr>
          <w:rFonts w:ascii="宋体" w:hAnsi="宋体" w:cs="宋体"/>
          <w:szCs w:val="21"/>
        </w:rPr>
      </w:pPr>
      <w:r>
        <w:rPr>
          <w:rFonts w:hint="eastAsia" w:ascii="宋体" w:hAnsi="宋体" w:cs="宋体"/>
          <w:szCs w:val="21"/>
        </w:rPr>
        <w:t>4.如中标，本投标文件至本项目合同履行完毕止均保持有效，我方将按“招标文件”及政府采购法律、法规的规定履行合同责任和义务。</w:t>
      </w:r>
    </w:p>
    <w:p w14:paraId="54FFEC40">
      <w:pPr>
        <w:snapToGrid w:val="0"/>
        <w:spacing w:line="360" w:lineRule="auto"/>
        <w:ind w:firstLine="420" w:firstLineChars="200"/>
        <w:rPr>
          <w:rFonts w:ascii="宋体" w:hAnsi="宋体" w:cs="宋体"/>
          <w:szCs w:val="21"/>
        </w:rPr>
      </w:pPr>
      <w:r>
        <w:rPr>
          <w:rFonts w:hint="eastAsia" w:ascii="宋体" w:hAnsi="宋体" w:cs="宋体"/>
          <w:szCs w:val="21"/>
        </w:rPr>
        <w:t>5.我方同意按照贵方要求提供与投标有关的一切数据或者资料。</w:t>
      </w:r>
    </w:p>
    <w:p w14:paraId="2B10CBD2">
      <w:pPr>
        <w:snapToGrid w:val="0"/>
        <w:spacing w:line="360" w:lineRule="auto"/>
        <w:ind w:firstLine="420" w:firstLineChars="200"/>
        <w:rPr>
          <w:rFonts w:ascii="宋体" w:hAnsi="宋体" w:cs="宋体"/>
          <w:szCs w:val="21"/>
        </w:rPr>
      </w:pPr>
      <w:r>
        <w:rPr>
          <w:rFonts w:hint="eastAsia" w:ascii="宋体" w:hAnsi="宋体" w:cs="宋体"/>
          <w:szCs w:val="21"/>
        </w:rPr>
        <w:t>6.我方向贵方提交的所有投标文件、资料都是准确的和真实的。</w:t>
      </w:r>
    </w:p>
    <w:p w14:paraId="2DC1B21E">
      <w:pPr>
        <w:snapToGrid w:val="0"/>
        <w:spacing w:line="360" w:lineRule="auto"/>
        <w:ind w:firstLine="420" w:firstLineChars="200"/>
        <w:rPr>
          <w:rFonts w:ascii="宋体" w:hAnsi="宋体" w:cs="宋体"/>
          <w:szCs w:val="21"/>
        </w:rPr>
      </w:pPr>
      <w:r>
        <w:rPr>
          <w:rFonts w:hint="eastAsia" w:ascii="宋体" w:hAnsi="宋体" w:cs="宋体"/>
          <w:szCs w:val="21"/>
        </w:rPr>
        <w:t>7.以上事项如有虚假或者隐瞒，我方愿意承担一切后果，并不再寻求任何旨在减轻或者免除法律责任的辩解。</w:t>
      </w:r>
    </w:p>
    <w:p w14:paraId="76BBA5B8">
      <w:pPr>
        <w:spacing w:line="360" w:lineRule="auto"/>
        <w:ind w:firstLine="420" w:firstLineChars="200"/>
        <w:rPr>
          <w:rFonts w:ascii="宋体" w:hAnsi="宋体" w:cs="宋体"/>
          <w:szCs w:val="21"/>
        </w:rPr>
      </w:pPr>
      <w:r>
        <w:rPr>
          <w:rFonts w:hint="eastAsia" w:ascii="宋体" w:hAnsi="宋体" w:cs="宋体"/>
          <w:szCs w:val="21"/>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74013DE7">
      <w:pPr>
        <w:spacing w:line="360" w:lineRule="auto"/>
        <w:ind w:firstLine="420" w:firstLineChars="200"/>
        <w:rPr>
          <w:rFonts w:ascii="宋体" w:hAnsi="宋体" w:cs="宋体"/>
          <w:szCs w:val="21"/>
        </w:rPr>
      </w:pPr>
      <w:r>
        <w:rPr>
          <w:rFonts w:hint="eastAsia" w:ascii="宋体" w:hAnsi="宋体" w:cs="宋体"/>
          <w:szCs w:val="21"/>
        </w:rPr>
        <w:t>□我方本次投标文件</w:t>
      </w:r>
      <w:r>
        <w:rPr>
          <w:rFonts w:hint="eastAsia" w:ascii="宋体" w:hAnsi="宋体" w:cs="宋体"/>
          <w:kern w:val="0"/>
          <w:szCs w:val="21"/>
        </w:rPr>
        <w:t>内容中</w:t>
      </w:r>
      <w:r>
        <w:rPr>
          <w:rFonts w:hint="eastAsia" w:ascii="宋体" w:hAnsi="宋体" w:cs="宋体"/>
          <w:szCs w:val="21"/>
        </w:rPr>
        <w:t>未</w:t>
      </w:r>
      <w:r>
        <w:rPr>
          <w:rFonts w:hint="eastAsia" w:ascii="宋体" w:hAnsi="宋体" w:cs="宋体"/>
          <w:kern w:val="0"/>
          <w:szCs w:val="21"/>
        </w:rPr>
        <w:t>涉及商业秘密；</w:t>
      </w:r>
    </w:p>
    <w:p w14:paraId="13DAB855">
      <w:pPr>
        <w:snapToGrid w:val="0"/>
        <w:spacing w:line="360" w:lineRule="auto"/>
        <w:ind w:firstLine="420" w:firstLineChars="200"/>
        <w:rPr>
          <w:rFonts w:ascii="宋体" w:hAnsi="宋体" w:cs="宋体"/>
          <w:szCs w:val="21"/>
        </w:rPr>
      </w:pPr>
      <w:r>
        <w:rPr>
          <w:rFonts w:hint="eastAsia" w:ascii="宋体" w:hAnsi="宋体" w:cs="宋体"/>
          <w:szCs w:val="21"/>
        </w:rPr>
        <w:t>□我方本次投标文件</w:t>
      </w:r>
      <w:r>
        <w:rPr>
          <w:rFonts w:hint="eastAsia" w:ascii="宋体" w:hAnsi="宋体" w:cs="宋体"/>
          <w:kern w:val="0"/>
          <w:szCs w:val="21"/>
        </w:rPr>
        <w:t>涉及商业秘密的内容有：</w:t>
      </w:r>
      <w:r>
        <w:rPr>
          <w:rFonts w:hint="eastAsia" w:ascii="宋体" w:hAnsi="宋体" w:cs="宋体"/>
          <w:kern w:val="0"/>
          <w:szCs w:val="21"/>
          <w:u w:val="single"/>
        </w:rPr>
        <w:t xml:space="preserve">                         </w:t>
      </w:r>
      <w:r>
        <w:rPr>
          <w:rFonts w:hint="eastAsia" w:ascii="宋体" w:hAnsi="宋体" w:cs="宋体"/>
          <w:kern w:val="0"/>
          <w:szCs w:val="21"/>
        </w:rPr>
        <w:t>；</w:t>
      </w:r>
    </w:p>
    <w:p w14:paraId="204DEA0F">
      <w:pPr>
        <w:snapToGrid w:val="0"/>
        <w:spacing w:line="360" w:lineRule="auto"/>
        <w:ind w:firstLine="420" w:firstLineChars="200"/>
        <w:rPr>
          <w:rFonts w:ascii="宋体" w:hAnsi="宋体" w:cs="宋体"/>
          <w:szCs w:val="21"/>
        </w:rPr>
      </w:pPr>
      <w:r>
        <w:rPr>
          <w:rFonts w:hint="eastAsia" w:ascii="宋体" w:hAnsi="宋体" w:cs="宋体"/>
          <w:szCs w:val="21"/>
        </w:rPr>
        <w:t>9.与本投标有关的一切正式往来信函请寄：</w:t>
      </w:r>
    </w:p>
    <w:p w14:paraId="660EC310">
      <w:pPr>
        <w:snapToGrid w:val="0"/>
        <w:spacing w:line="360" w:lineRule="auto"/>
        <w:rPr>
          <w:rFonts w:ascii="宋体" w:hAnsi="宋体" w:cs="宋体"/>
          <w:szCs w:val="21"/>
          <w:u w:val="single"/>
        </w:rPr>
      </w:pP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szCs w:val="21"/>
        </w:rPr>
        <w:t>邮编：</w:t>
      </w:r>
      <w:r>
        <w:rPr>
          <w:rFonts w:hint="eastAsia" w:ascii="宋体" w:hAnsi="宋体" w:cs="宋体"/>
          <w:szCs w:val="21"/>
          <w:u w:val="single"/>
        </w:rPr>
        <w:t xml:space="preserve">            </w:t>
      </w:r>
    </w:p>
    <w:p w14:paraId="21A1261B">
      <w:pPr>
        <w:snapToGrid w:val="0"/>
        <w:spacing w:line="360" w:lineRule="auto"/>
        <w:rPr>
          <w:rFonts w:ascii="宋体" w:hAnsi="宋体" w:cs="宋体"/>
          <w:szCs w:val="21"/>
        </w:rPr>
      </w:pPr>
      <w:r>
        <w:rPr>
          <w:rFonts w:hint="eastAsia" w:ascii="宋体" w:hAnsi="宋体" w:cs="宋体"/>
          <w:szCs w:val="21"/>
        </w:rPr>
        <w:t>电话：</w:t>
      </w:r>
      <w:r>
        <w:rPr>
          <w:rFonts w:hint="eastAsia" w:ascii="宋体" w:hAnsi="宋体" w:cs="宋体"/>
          <w:szCs w:val="21"/>
          <w:u w:val="single"/>
        </w:rPr>
        <w:t xml:space="preserve">        </w:t>
      </w:r>
      <w:r>
        <w:rPr>
          <w:rFonts w:hint="eastAsia" w:ascii="宋体" w:hAnsi="宋体" w:cs="宋体"/>
          <w:szCs w:val="21"/>
        </w:rPr>
        <w:t>传真：</w:t>
      </w:r>
      <w:r>
        <w:rPr>
          <w:rFonts w:hint="eastAsia" w:ascii="宋体" w:hAnsi="宋体" w:cs="宋体"/>
          <w:szCs w:val="21"/>
          <w:u w:val="single"/>
        </w:rPr>
        <w:t xml:space="preserve">          </w:t>
      </w:r>
    </w:p>
    <w:p w14:paraId="1E58E0D5">
      <w:pPr>
        <w:snapToGrid w:val="0"/>
        <w:spacing w:line="360" w:lineRule="auto"/>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p>
    <w:p w14:paraId="12E1F3E8">
      <w:pPr>
        <w:snapToGrid w:val="0"/>
        <w:spacing w:line="360" w:lineRule="auto"/>
        <w:jc w:val="left"/>
        <w:rPr>
          <w:rFonts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银行帐号：</w:t>
      </w:r>
      <w:r>
        <w:rPr>
          <w:rFonts w:hint="eastAsia" w:ascii="宋体" w:hAnsi="宋体" w:cs="宋体"/>
          <w:szCs w:val="21"/>
          <w:u w:val="single"/>
        </w:rPr>
        <w:t xml:space="preserve">                    </w:t>
      </w:r>
      <w:r>
        <w:rPr>
          <w:rFonts w:hint="eastAsia" w:ascii="宋体" w:hAnsi="宋体" w:cs="宋体"/>
          <w:szCs w:val="21"/>
        </w:rPr>
        <w:t xml:space="preserve"> </w:t>
      </w:r>
    </w:p>
    <w:p w14:paraId="1AE70136">
      <w:pPr>
        <w:snapToGrid w:val="0"/>
        <w:spacing w:before="295" w:after="295"/>
        <w:ind w:firstLine="2400" w:firstLineChars="1000"/>
        <w:jc w:val="left"/>
        <w:rPr>
          <w:rFonts w:ascii="宋体" w:hAnsi="宋体"/>
          <w:sz w:val="24"/>
        </w:rPr>
      </w:pPr>
      <w:r>
        <w:rPr>
          <w:rFonts w:hint="eastAsia" w:ascii="宋体" w:hAnsi="宋体"/>
          <w:sz w:val="24"/>
        </w:rPr>
        <w:t xml:space="preserve">法定代表人或者委托代理人（签字或者电子签名）:_______ </w:t>
      </w:r>
    </w:p>
    <w:p w14:paraId="00C8D286">
      <w:pPr>
        <w:snapToGrid w:val="0"/>
        <w:spacing w:before="295" w:after="295"/>
        <w:ind w:firstLine="4320" w:firstLineChars="1800"/>
        <w:jc w:val="left"/>
        <w:rPr>
          <w:rFonts w:hAnsi="宋体"/>
          <w:sz w:val="24"/>
        </w:rPr>
      </w:pPr>
      <w:r>
        <w:rPr>
          <w:rFonts w:hint="eastAsia" w:hAnsi="宋体"/>
          <w:sz w:val="24"/>
        </w:rPr>
        <w:t>投标人名称（电子签章）：</w:t>
      </w:r>
    </w:p>
    <w:p w14:paraId="137A0B93">
      <w:pPr>
        <w:snapToGrid w:val="0"/>
        <w:jc w:val="left"/>
        <w:rPr>
          <w:rFonts w:ascii="宋体" w:hAnsi="宋体" w:cs="宋体"/>
          <w:kern w:val="0"/>
          <w:sz w:val="24"/>
          <w:lang w:val="zh-CN"/>
        </w:rPr>
      </w:pPr>
      <w:r>
        <w:rPr>
          <w:rFonts w:hint="eastAsia" w:hAnsi="宋体"/>
          <w:sz w:val="24"/>
        </w:rPr>
        <w:t xml:space="preserve">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27DE7582">
      <w:pPr>
        <w:snapToGrid w:val="0"/>
        <w:ind w:firstLine="5160" w:firstLineChars="2150"/>
        <w:rPr>
          <w:rFonts w:ascii="宋体" w:hAnsi="宋体" w:cs="宋体"/>
          <w:kern w:val="0"/>
          <w:sz w:val="24"/>
          <w:lang w:val="zh-CN"/>
        </w:rPr>
        <w:sectPr>
          <w:pgSz w:w="11906" w:h="16838"/>
          <w:pgMar w:top="1134" w:right="1312" w:bottom="1134" w:left="1354" w:header="720" w:footer="720" w:gutter="0"/>
          <w:cols w:space="720" w:num="1"/>
          <w:docGrid w:type="lines" w:linePitch="331" w:charSpace="0"/>
        </w:sectPr>
      </w:pPr>
    </w:p>
    <w:p w14:paraId="207962A3">
      <w:pPr>
        <w:snapToGrid w:val="0"/>
        <w:spacing w:before="165" w:beforeLines="50" w:after="50" w:line="360" w:lineRule="auto"/>
        <w:jc w:val="left"/>
        <w:rPr>
          <w:rFonts w:hAnsi="宋体" w:cs="宋体"/>
          <w:sz w:val="30"/>
        </w:rPr>
      </w:pPr>
      <w:r>
        <w:rPr>
          <w:rFonts w:hint="eastAsia" w:ascii="宋体" w:hAnsi="宋体"/>
          <w:b/>
          <w:sz w:val="24"/>
        </w:rPr>
        <w:t>4. 开标一览表</w:t>
      </w:r>
    </w:p>
    <w:p w14:paraId="459587DF">
      <w:pPr>
        <w:pStyle w:val="20"/>
        <w:spacing w:line="360" w:lineRule="auto"/>
        <w:jc w:val="center"/>
        <w:rPr>
          <w:rFonts w:hAnsi="宋体" w:cs="宋体"/>
          <w:b/>
          <w:sz w:val="30"/>
          <w:szCs w:val="30"/>
        </w:rPr>
      </w:pPr>
      <w:r>
        <w:rPr>
          <w:rFonts w:hint="eastAsia" w:hAnsi="宋体" w:cs="宋体"/>
          <w:b/>
          <w:sz w:val="30"/>
          <w:szCs w:val="30"/>
        </w:rPr>
        <w:t>开标一览表</w:t>
      </w:r>
    </w:p>
    <w:p w14:paraId="010301DD">
      <w:pPr>
        <w:snapToGrid w:val="0"/>
        <w:spacing w:before="50" w:after="50" w:line="360" w:lineRule="auto"/>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项目编号：</w:t>
      </w:r>
      <w:r>
        <w:rPr>
          <w:rFonts w:hint="eastAsia" w:ascii="宋体" w:hAnsi="宋体" w:cs="宋体"/>
          <w:sz w:val="24"/>
          <w:u w:val="single"/>
        </w:rPr>
        <w:t xml:space="preserve">                  </w:t>
      </w:r>
      <w:r>
        <w:rPr>
          <w:rFonts w:hint="eastAsia" w:ascii="宋体" w:hAnsi="宋体" w:cs="宋体"/>
          <w:sz w:val="24"/>
        </w:rPr>
        <w:t xml:space="preserve"> </w:t>
      </w:r>
    </w:p>
    <w:p w14:paraId="4C053E9F">
      <w:pPr>
        <w:snapToGrid w:val="0"/>
        <w:spacing w:before="50" w:after="50" w:line="360" w:lineRule="auto"/>
        <w:jc w:val="left"/>
        <w:rPr>
          <w:rFonts w:ascii="宋体" w:hAnsi="宋体" w:cs="宋体"/>
          <w:sz w:val="24"/>
        </w:rPr>
      </w:pPr>
      <w:r>
        <w:rPr>
          <w:rFonts w:hint="eastAsia" w:ascii="宋体" w:hAnsi="宋体" w:cs="宋体"/>
          <w:sz w:val="24"/>
        </w:rPr>
        <w:t>分标：</w:t>
      </w:r>
      <w:r>
        <w:rPr>
          <w:rFonts w:hint="eastAsia" w:ascii="宋体" w:hAnsi="宋体" w:cs="宋体"/>
          <w:sz w:val="24"/>
          <w:u w:val="single"/>
        </w:rPr>
        <w:t xml:space="preserve">                      </w:t>
      </w:r>
      <w:r>
        <w:rPr>
          <w:rFonts w:hint="eastAsia" w:ascii="宋体" w:hAnsi="宋体" w:cs="宋体"/>
          <w:sz w:val="24"/>
        </w:rPr>
        <w:t xml:space="preserve">   </w:t>
      </w:r>
    </w:p>
    <w:tbl>
      <w:tblPr>
        <w:tblStyle w:val="37"/>
        <w:tblW w:w="9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071"/>
        <w:gridCol w:w="978"/>
        <w:gridCol w:w="1701"/>
        <w:gridCol w:w="1276"/>
        <w:gridCol w:w="1275"/>
        <w:gridCol w:w="1418"/>
        <w:gridCol w:w="1151"/>
      </w:tblGrid>
      <w:tr w14:paraId="7301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611" w:type="dxa"/>
            <w:tcBorders>
              <w:top w:val="single" w:color="auto" w:sz="4" w:space="0"/>
              <w:left w:val="single" w:color="auto" w:sz="4" w:space="0"/>
              <w:bottom w:val="single" w:color="auto" w:sz="4" w:space="0"/>
              <w:right w:val="single" w:color="auto" w:sz="4" w:space="0"/>
            </w:tcBorders>
            <w:vAlign w:val="center"/>
          </w:tcPr>
          <w:p w14:paraId="3FAF0B32">
            <w:pPr>
              <w:rPr>
                <w:rFonts w:ascii="宋体" w:hAnsi="宋体"/>
                <w:szCs w:val="22"/>
              </w:rPr>
            </w:pPr>
            <w:r>
              <w:rPr>
                <w:rFonts w:hint="eastAsia" w:ascii="宋体" w:hAnsi="宋体"/>
                <w:szCs w:val="22"/>
              </w:rPr>
              <w:t>序号</w:t>
            </w:r>
          </w:p>
        </w:tc>
        <w:tc>
          <w:tcPr>
            <w:tcW w:w="1071" w:type="dxa"/>
            <w:tcBorders>
              <w:top w:val="single" w:color="auto" w:sz="4" w:space="0"/>
              <w:left w:val="single" w:color="auto" w:sz="4" w:space="0"/>
              <w:bottom w:val="single" w:color="auto" w:sz="4" w:space="0"/>
              <w:right w:val="single" w:color="auto" w:sz="4" w:space="0"/>
            </w:tcBorders>
            <w:vAlign w:val="center"/>
          </w:tcPr>
          <w:p w14:paraId="6119D0E3">
            <w:pPr>
              <w:jc w:val="center"/>
              <w:rPr>
                <w:rFonts w:ascii="宋体" w:hAnsi="宋体"/>
                <w:szCs w:val="22"/>
              </w:rPr>
            </w:pPr>
            <w:bookmarkStart w:id="370" w:name="OLE_LINK128"/>
            <w:r>
              <w:rPr>
                <w:rFonts w:hint="eastAsia" w:ascii="宋体" w:hAnsi="宋体"/>
                <w:szCs w:val="22"/>
              </w:rPr>
              <w:t>标的名称</w:t>
            </w:r>
            <w:bookmarkEnd w:id="370"/>
          </w:p>
        </w:tc>
        <w:tc>
          <w:tcPr>
            <w:tcW w:w="978" w:type="dxa"/>
            <w:tcBorders>
              <w:top w:val="single" w:color="auto" w:sz="4" w:space="0"/>
              <w:left w:val="single" w:color="auto" w:sz="4" w:space="0"/>
              <w:bottom w:val="single" w:color="auto" w:sz="4" w:space="0"/>
              <w:right w:val="single" w:color="auto" w:sz="4" w:space="0"/>
            </w:tcBorders>
            <w:vAlign w:val="center"/>
          </w:tcPr>
          <w:p w14:paraId="3EAE1547">
            <w:pPr>
              <w:jc w:val="center"/>
            </w:pPr>
            <w:bookmarkStart w:id="371" w:name="OLE_LINK130"/>
            <w:r>
              <w:rPr>
                <w:rFonts w:hint="eastAsia"/>
              </w:rPr>
              <w:t>货物</w:t>
            </w:r>
          </w:p>
          <w:p w14:paraId="28CCEF6F">
            <w:pPr>
              <w:jc w:val="center"/>
              <w:rPr>
                <w:rFonts w:ascii="宋体" w:hAnsi="宋体"/>
                <w:szCs w:val="22"/>
              </w:rPr>
            </w:pPr>
            <w:r>
              <w:rPr>
                <w:rFonts w:hint="eastAsia"/>
              </w:rPr>
              <w:t>参数</w:t>
            </w:r>
            <w:bookmarkEnd w:id="371"/>
          </w:p>
        </w:tc>
        <w:tc>
          <w:tcPr>
            <w:tcW w:w="1701" w:type="dxa"/>
            <w:tcBorders>
              <w:top w:val="single" w:color="auto" w:sz="4" w:space="0"/>
              <w:left w:val="single" w:color="auto" w:sz="4" w:space="0"/>
              <w:bottom w:val="single" w:color="auto" w:sz="4" w:space="0"/>
              <w:right w:val="single" w:color="auto" w:sz="4" w:space="0"/>
            </w:tcBorders>
            <w:vAlign w:val="center"/>
          </w:tcPr>
          <w:p w14:paraId="22FB8DAC">
            <w:pPr>
              <w:snapToGrid w:val="0"/>
              <w:spacing w:before="50" w:after="50"/>
              <w:jc w:val="center"/>
              <w:rPr>
                <w:rFonts w:ascii="宋体" w:hAnsi="宋体"/>
                <w:sz w:val="24"/>
              </w:rPr>
            </w:pPr>
            <w:bookmarkStart w:id="372" w:name="OLE_LINK131"/>
            <w:r>
              <w:rPr>
                <w:rFonts w:hint="eastAsia" w:ascii="宋体" w:hAnsi="宋体"/>
                <w:szCs w:val="22"/>
              </w:rPr>
              <w:t>品牌、规格型号、制造商及原产地（如有）</w:t>
            </w:r>
            <w:bookmarkEnd w:id="372"/>
          </w:p>
        </w:tc>
        <w:tc>
          <w:tcPr>
            <w:tcW w:w="1276" w:type="dxa"/>
            <w:tcBorders>
              <w:top w:val="single" w:color="auto" w:sz="4" w:space="0"/>
              <w:left w:val="single" w:color="auto" w:sz="4" w:space="0"/>
              <w:bottom w:val="single" w:color="auto" w:sz="4" w:space="0"/>
              <w:right w:val="single" w:color="auto" w:sz="4" w:space="0"/>
            </w:tcBorders>
            <w:vAlign w:val="center"/>
          </w:tcPr>
          <w:p w14:paraId="64E19A33">
            <w:pPr>
              <w:jc w:val="center"/>
              <w:rPr>
                <w:rFonts w:ascii="宋体" w:hAnsi="宋体" w:cs="宋体"/>
                <w:szCs w:val="21"/>
              </w:rPr>
            </w:pPr>
            <w:bookmarkStart w:id="373" w:name="OLE_LINK133"/>
            <w:r>
              <w:rPr>
                <w:rFonts w:hint="eastAsia" w:ascii="宋体" w:hAnsi="宋体" w:cs="宋体"/>
                <w:szCs w:val="21"/>
              </w:rPr>
              <w:t>数量</w:t>
            </w:r>
          </w:p>
          <w:p w14:paraId="6292984B">
            <w:pPr>
              <w:jc w:val="center"/>
              <w:rPr>
                <w:rFonts w:ascii="宋体" w:hAnsi="宋体"/>
                <w:szCs w:val="22"/>
              </w:rPr>
            </w:pPr>
            <w:r>
              <w:rPr>
                <w:rFonts w:hint="eastAsia" w:ascii="宋体" w:hAnsi="宋体" w:cs="宋体"/>
                <w:szCs w:val="21"/>
              </w:rPr>
              <w:t>（暂估）</w:t>
            </w:r>
          </w:p>
          <w:bookmarkEnd w:id="373"/>
          <w:p w14:paraId="350DA12E">
            <w:pPr>
              <w:jc w:val="center"/>
              <w:rPr>
                <w:rFonts w:ascii="宋体" w:hAnsi="宋体"/>
                <w:szCs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08B4CA32">
            <w:pPr>
              <w:jc w:val="center"/>
              <w:rPr>
                <w:rFonts w:ascii="宋体" w:hAnsi="宋体"/>
                <w:szCs w:val="22"/>
              </w:rPr>
            </w:pPr>
            <w:bookmarkStart w:id="374" w:name="OLE_LINK132"/>
            <w:r>
              <w:rPr>
                <w:rFonts w:hint="eastAsia" w:ascii="宋体" w:hAnsi="宋体"/>
                <w:szCs w:val="22"/>
              </w:rPr>
              <w:t>供应基准单价</w:t>
            </w:r>
            <w:bookmarkEnd w:id="374"/>
          </w:p>
        </w:tc>
        <w:tc>
          <w:tcPr>
            <w:tcW w:w="1418" w:type="dxa"/>
            <w:tcBorders>
              <w:top w:val="single" w:color="auto" w:sz="4" w:space="0"/>
              <w:left w:val="single" w:color="auto" w:sz="4" w:space="0"/>
              <w:bottom w:val="single" w:color="auto" w:sz="4" w:space="0"/>
              <w:right w:val="single" w:color="auto" w:sz="4" w:space="0"/>
            </w:tcBorders>
            <w:vAlign w:val="center"/>
          </w:tcPr>
          <w:p w14:paraId="644C13AE">
            <w:pPr>
              <w:wordWrap w:val="0"/>
              <w:jc w:val="center"/>
            </w:pPr>
            <w:bookmarkStart w:id="375" w:name="OLE_LINK129"/>
            <w:r>
              <w:rPr>
                <w:rFonts w:hint="eastAsia"/>
              </w:rPr>
              <w:t>投标折扣</w:t>
            </w:r>
          </w:p>
          <w:p w14:paraId="3A916F78">
            <w:pPr>
              <w:wordWrap w:val="0"/>
              <w:jc w:val="center"/>
              <w:rPr>
                <w:rFonts w:ascii="宋体" w:hAnsi="宋体"/>
                <w:szCs w:val="22"/>
              </w:rPr>
            </w:pPr>
            <w:r>
              <w:rPr>
                <w:rFonts w:hint="eastAsia"/>
              </w:rPr>
              <w:t>系数</w:t>
            </w:r>
            <w:bookmarkEnd w:id="375"/>
          </w:p>
        </w:tc>
        <w:tc>
          <w:tcPr>
            <w:tcW w:w="1151" w:type="dxa"/>
            <w:tcBorders>
              <w:top w:val="single" w:color="auto" w:sz="4" w:space="0"/>
              <w:left w:val="single" w:color="auto" w:sz="4" w:space="0"/>
              <w:bottom w:val="single" w:color="auto" w:sz="4" w:space="0"/>
              <w:right w:val="single" w:color="auto" w:sz="4" w:space="0"/>
            </w:tcBorders>
            <w:vAlign w:val="center"/>
          </w:tcPr>
          <w:p w14:paraId="5DEF2B30">
            <w:pPr>
              <w:jc w:val="center"/>
              <w:rPr>
                <w:rFonts w:ascii="宋体" w:hAnsi="宋体"/>
                <w:szCs w:val="22"/>
              </w:rPr>
            </w:pPr>
            <w:r>
              <w:rPr>
                <w:rFonts w:hint="eastAsia" w:ascii="宋体" w:hAnsi="宋体"/>
                <w:szCs w:val="22"/>
              </w:rPr>
              <w:t>备注</w:t>
            </w:r>
          </w:p>
        </w:tc>
      </w:tr>
      <w:tr w14:paraId="2A649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611" w:type="dxa"/>
            <w:tcBorders>
              <w:top w:val="single" w:color="auto" w:sz="4" w:space="0"/>
              <w:left w:val="single" w:color="auto" w:sz="4" w:space="0"/>
              <w:bottom w:val="single" w:color="auto" w:sz="4" w:space="0"/>
              <w:right w:val="single" w:color="auto" w:sz="4" w:space="0"/>
            </w:tcBorders>
            <w:vAlign w:val="center"/>
          </w:tcPr>
          <w:p w14:paraId="69AE8B9E">
            <w:pPr>
              <w:rPr>
                <w:rFonts w:ascii="宋体" w:hAnsi="宋体"/>
                <w:szCs w:val="22"/>
              </w:rPr>
            </w:pPr>
            <w:r>
              <w:rPr>
                <w:rFonts w:ascii="宋体" w:hAnsi="宋体"/>
                <w:szCs w:val="22"/>
              </w:rPr>
              <w:t>1</w:t>
            </w:r>
          </w:p>
        </w:tc>
        <w:tc>
          <w:tcPr>
            <w:tcW w:w="1071" w:type="dxa"/>
            <w:tcBorders>
              <w:top w:val="single" w:color="auto" w:sz="4" w:space="0"/>
              <w:left w:val="single" w:color="auto" w:sz="4" w:space="0"/>
              <w:bottom w:val="single" w:color="auto" w:sz="4" w:space="0"/>
              <w:right w:val="single" w:color="auto" w:sz="4" w:space="0"/>
            </w:tcBorders>
            <w:vAlign w:val="center"/>
          </w:tcPr>
          <w:p w14:paraId="7E465E0B">
            <w:pPr>
              <w:rPr>
                <w:rFonts w:ascii="宋体" w:hAnsi="宋体"/>
                <w:szCs w:val="22"/>
              </w:rPr>
            </w:pPr>
          </w:p>
        </w:tc>
        <w:tc>
          <w:tcPr>
            <w:tcW w:w="978" w:type="dxa"/>
            <w:tcBorders>
              <w:top w:val="single" w:color="auto" w:sz="4" w:space="0"/>
              <w:left w:val="single" w:color="auto" w:sz="4" w:space="0"/>
              <w:bottom w:val="single" w:color="auto" w:sz="4" w:space="0"/>
              <w:right w:val="single" w:color="auto" w:sz="4" w:space="0"/>
            </w:tcBorders>
            <w:vAlign w:val="center"/>
          </w:tcPr>
          <w:p w14:paraId="6B54F320">
            <w:pPr>
              <w:rPr>
                <w:rFonts w:ascii="宋体" w:hAnsi="宋体"/>
                <w:szCs w:val="22"/>
              </w:rPr>
            </w:pPr>
          </w:p>
        </w:tc>
        <w:tc>
          <w:tcPr>
            <w:tcW w:w="1701" w:type="dxa"/>
            <w:tcBorders>
              <w:top w:val="single" w:color="auto" w:sz="4" w:space="0"/>
              <w:left w:val="single" w:color="auto" w:sz="4" w:space="0"/>
              <w:bottom w:val="single" w:color="auto" w:sz="4" w:space="0"/>
              <w:right w:val="single" w:color="auto" w:sz="4" w:space="0"/>
            </w:tcBorders>
          </w:tcPr>
          <w:p w14:paraId="5C115D02">
            <w:pPr>
              <w:rPr>
                <w:rFonts w:ascii="宋体" w:hAnsi="宋体"/>
                <w:szCs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7630BC10">
            <w:pPr>
              <w:rPr>
                <w:rFonts w:ascii="宋体" w:hAnsi="宋体"/>
                <w:szCs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54EFE830">
            <w:pPr>
              <w:rPr>
                <w:rFonts w:ascii="宋体" w:hAnsi="宋体"/>
                <w:szCs w:val="22"/>
              </w:rPr>
            </w:pPr>
          </w:p>
        </w:tc>
        <w:tc>
          <w:tcPr>
            <w:tcW w:w="1418" w:type="dxa"/>
            <w:vMerge w:val="restart"/>
            <w:tcBorders>
              <w:top w:val="single" w:color="auto" w:sz="4" w:space="0"/>
              <w:left w:val="single" w:color="auto" w:sz="4" w:space="0"/>
              <w:right w:val="single" w:color="auto" w:sz="4" w:space="0"/>
            </w:tcBorders>
            <w:vAlign w:val="center"/>
          </w:tcPr>
          <w:p w14:paraId="61CA83A0">
            <w:pPr>
              <w:rPr>
                <w:rFonts w:ascii="宋体" w:hAnsi="宋体"/>
                <w:szCs w:val="22"/>
              </w:rPr>
            </w:pPr>
            <w:r>
              <w:rPr>
                <w:rFonts w:hint="eastAsia"/>
                <w:u w:val="single"/>
              </w:rPr>
              <w:t xml:space="preserve">      </w:t>
            </w:r>
            <w:r>
              <w:rPr>
                <w:rFonts w:hint="eastAsia"/>
              </w:rPr>
              <w:t>%</w:t>
            </w:r>
          </w:p>
        </w:tc>
        <w:tc>
          <w:tcPr>
            <w:tcW w:w="1151" w:type="dxa"/>
            <w:vMerge w:val="restart"/>
            <w:tcBorders>
              <w:top w:val="single" w:color="auto" w:sz="4" w:space="0"/>
              <w:left w:val="single" w:color="auto" w:sz="4" w:space="0"/>
              <w:right w:val="single" w:color="auto" w:sz="4" w:space="0"/>
            </w:tcBorders>
            <w:vAlign w:val="center"/>
          </w:tcPr>
          <w:p w14:paraId="32F75037">
            <w:pPr>
              <w:rPr>
                <w:rFonts w:ascii="宋体" w:hAnsi="宋体"/>
                <w:szCs w:val="22"/>
              </w:rPr>
            </w:pPr>
          </w:p>
        </w:tc>
      </w:tr>
      <w:tr w14:paraId="2C6EC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11" w:type="dxa"/>
            <w:tcBorders>
              <w:top w:val="single" w:color="auto" w:sz="4" w:space="0"/>
              <w:left w:val="single" w:color="auto" w:sz="4" w:space="0"/>
              <w:bottom w:val="single" w:color="auto" w:sz="4" w:space="0"/>
              <w:right w:val="single" w:color="auto" w:sz="4" w:space="0"/>
            </w:tcBorders>
            <w:vAlign w:val="center"/>
          </w:tcPr>
          <w:p w14:paraId="6BD92409">
            <w:pPr>
              <w:rPr>
                <w:rFonts w:ascii="宋体" w:hAnsi="宋体"/>
                <w:szCs w:val="22"/>
              </w:rPr>
            </w:pPr>
            <w:r>
              <w:rPr>
                <w:rFonts w:ascii="宋体" w:hAnsi="宋体"/>
                <w:szCs w:val="22"/>
              </w:rPr>
              <w:t>2</w:t>
            </w:r>
          </w:p>
        </w:tc>
        <w:tc>
          <w:tcPr>
            <w:tcW w:w="1071" w:type="dxa"/>
            <w:tcBorders>
              <w:top w:val="single" w:color="auto" w:sz="4" w:space="0"/>
              <w:left w:val="single" w:color="auto" w:sz="4" w:space="0"/>
              <w:bottom w:val="single" w:color="auto" w:sz="4" w:space="0"/>
              <w:right w:val="single" w:color="auto" w:sz="4" w:space="0"/>
            </w:tcBorders>
            <w:vAlign w:val="center"/>
          </w:tcPr>
          <w:p w14:paraId="21C6AD92">
            <w:pPr>
              <w:rPr>
                <w:rFonts w:ascii="宋体" w:hAnsi="宋体"/>
                <w:szCs w:val="22"/>
              </w:rPr>
            </w:pPr>
          </w:p>
        </w:tc>
        <w:tc>
          <w:tcPr>
            <w:tcW w:w="978" w:type="dxa"/>
            <w:tcBorders>
              <w:top w:val="single" w:color="auto" w:sz="4" w:space="0"/>
              <w:left w:val="single" w:color="auto" w:sz="4" w:space="0"/>
              <w:bottom w:val="single" w:color="auto" w:sz="4" w:space="0"/>
              <w:right w:val="single" w:color="auto" w:sz="4" w:space="0"/>
            </w:tcBorders>
            <w:vAlign w:val="center"/>
          </w:tcPr>
          <w:p w14:paraId="6AB0EF63">
            <w:pPr>
              <w:rPr>
                <w:rFonts w:ascii="宋体" w:hAnsi="宋体"/>
                <w:szCs w:val="22"/>
              </w:rPr>
            </w:pPr>
          </w:p>
        </w:tc>
        <w:tc>
          <w:tcPr>
            <w:tcW w:w="1701" w:type="dxa"/>
            <w:tcBorders>
              <w:top w:val="single" w:color="auto" w:sz="4" w:space="0"/>
              <w:left w:val="single" w:color="auto" w:sz="4" w:space="0"/>
              <w:bottom w:val="single" w:color="auto" w:sz="4" w:space="0"/>
              <w:right w:val="single" w:color="auto" w:sz="4" w:space="0"/>
            </w:tcBorders>
          </w:tcPr>
          <w:p w14:paraId="6AA62AF2">
            <w:pPr>
              <w:rPr>
                <w:rFonts w:ascii="宋体" w:hAnsi="宋体"/>
                <w:szCs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02F2023C">
            <w:pPr>
              <w:rPr>
                <w:rFonts w:ascii="宋体" w:hAnsi="宋体"/>
                <w:szCs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4E841354">
            <w:pPr>
              <w:rPr>
                <w:rFonts w:ascii="宋体" w:hAnsi="宋体"/>
                <w:szCs w:val="22"/>
              </w:rPr>
            </w:pPr>
          </w:p>
        </w:tc>
        <w:tc>
          <w:tcPr>
            <w:tcW w:w="1418" w:type="dxa"/>
            <w:vMerge w:val="continue"/>
            <w:tcBorders>
              <w:left w:val="single" w:color="auto" w:sz="4" w:space="0"/>
              <w:right w:val="single" w:color="auto" w:sz="4" w:space="0"/>
            </w:tcBorders>
            <w:vAlign w:val="center"/>
          </w:tcPr>
          <w:p w14:paraId="1416D5FA">
            <w:pPr>
              <w:rPr>
                <w:rFonts w:ascii="宋体" w:hAnsi="宋体"/>
                <w:szCs w:val="22"/>
              </w:rPr>
            </w:pPr>
          </w:p>
        </w:tc>
        <w:tc>
          <w:tcPr>
            <w:tcW w:w="1151" w:type="dxa"/>
            <w:vMerge w:val="continue"/>
            <w:tcBorders>
              <w:left w:val="single" w:color="auto" w:sz="4" w:space="0"/>
              <w:right w:val="single" w:color="auto" w:sz="4" w:space="0"/>
            </w:tcBorders>
            <w:vAlign w:val="center"/>
          </w:tcPr>
          <w:p w14:paraId="2A4E8525">
            <w:pPr>
              <w:rPr>
                <w:rFonts w:ascii="宋体" w:hAnsi="宋体"/>
                <w:szCs w:val="22"/>
              </w:rPr>
            </w:pPr>
          </w:p>
        </w:tc>
      </w:tr>
      <w:tr w14:paraId="10FB8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611" w:type="dxa"/>
            <w:tcBorders>
              <w:top w:val="single" w:color="auto" w:sz="4" w:space="0"/>
              <w:left w:val="single" w:color="auto" w:sz="4" w:space="0"/>
              <w:bottom w:val="single" w:color="auto" w:sz="4" w:space="0"/>
              <w:right w:val="single" w:color="auto" w:sz="4" w:space="0"/>
            </w:tcBorders>
            <w:vAlign w:val="center"/>
          </w:tcPr>
          <w:p w14:paraId="34C42726">
            <w:pPr>
              <w:rPr>
                <w:rFonts w:ascii="宋体" w:hAnsi="宋体"/>
                <w:szCs w:val="22"/>
              </w:rPr>
            </w:pPr>
            <w:r>
              <w:rPr>
                <w:rFonts w:ascii="宋体" w:hAnsi="宋体"/>
                <w:szCs w:val="22"/>
              </w:rPr>
              <w:t>…</w:t>
            </w:r>
          </w:p>
        </w:tc>
        <w:tc>
          <w:tcPr>
            <w:tcW w:w="1071" w:type="dxa"/>
            <w:tcBorders>
              <w:top w:val="single" w:color="auto" w:sz="4" w:space="0"/>
              <w:left w:val="single" w:color="auto" w:sz="4" w:space="0"/>
              <w:bottom w:val="single" w:color="auto" w:sz="4" w:space="0"/>
              <w:right w:val="single" w:color="auto" w:sz="4" w:space="0"/>
            </w:tcBorders>
            <w:vAlign w:val="center"/>
          </w:tcPr>
          <w:p w14:paraId="20AF7EBC">
            <w:pPr>
              <w:rPr>
                <w:rFonts w:ascii="宋体" w:hAnsi="宋体"/>
                <w:szCs w:val="22"/>
              </w:rPr>
            </w:pPr>
          </w:p>
        </w:tc>
        <w:tc>
          <w:tcPr>
            <w:tcW w:w="978" w:type="dxa"/>
            <w:tcBorders>
              <w:top w:val="single" w:color="auto" w:sz="4" w:space="0"/>
              <w:left w:val="single" w:color="auto" w:sz="4" w:space="0"/>
              <w:bottom w:val="single" w:color="auto" w:sz="4" w:space="0"/>
              <w:right w:val="single" w:color="auto" w:sz="4" w:space="0"/>
            </w:tcBorders>
            <w:vAlign w:val="center"/>
          </w:tcPr>
          <w:p w14:paraId="59CBCC4F">
            <w:pPr>
              <w:rPr>
                <w:rFonts w:ascii="宋体" w:hAnsi="宋体"/>
                <w:szCs w:val="22"/>
              </w:rPr>
            </w:pPr>
          </w:p>
        </w:tc>
        <w:tc>
          <w:tcPr>
            <w:tcW w:w="1701" w:type="dxa"/>
            <w:tcBorders>
              <w:top w:val="single" w:color="auto" w:sz="4" w:space="0"/>
              <w:left w:val="single" w:color="auto" w:sz="4" w:space="0"/>
              <w:bottom w:val="single" w:color="auto" w:sz="4" w:space="0"/>
              <w:right w:val="single" w:color="auto" w:sz="4" w:space="0"/>
            </w:tcBorders>
          </w:tcPr>
          <w:p w14:paraId="0866660F">
            <w:pPr>
              <w:rPr>
                <w:rFonts w:ascii="宋体" w:hAnsi="宋体"/>
                <w:szCs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235D0749">
            <w:pPr>
              <w:rPr>
                <w:rFonts w:ascii="宋体" w:hAnsi="宋体"/>
                <w:szCs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1B8D76CC">
            <w:pPr>
              <w:rPr>
                <w:rFonts w:ascii="宋体" w:hAnsi="宋体"/>
                <w:szCs w:val="22"/>
              </w:rPr>
            </w:pPr>
          </w:p>
        </w:tc>
        <w:tc>
          <w:tcPr>
            <w:tcW w:w="1418" w:type="dxa"/>
            <w:vMerge w:val="continue"/>
            <w:tcBorders>
              <w:left w:val="single" w:color="auto" w:sz="4" w:space="0"/>
              <w:bottom w:val="single" w:color="auto" w:sz="4" w:space="0"/>
              <w:right w:val="single" w:color="auto" w:sz="4" w:space="0"/>
            </w:tcBorders>
            <w:vAlign w:val="center"/>
          </w:tcPr>
          <w:p w14:paraId="11F8472D">
            <w:pPr>
              <w:rPr>
                <w:rFonts w:ascii="宋体" w:hAnsi="宋体"/>
                <w:szCs w:val="22"/>
              </w:rPr>
            </w:pPr>
          </w:p>
        </w:tc>
        <w:tc>
          <w:tcPr>
            <w:tcW w:w="1151" w:type="dxa"/>
            <w:vMerge w:val="continue"/>
            <w:tcBorders>
              <w:left w:val="single" w:color="auto" w:sz="4" w:space="0"/>
              <w:bottom w:val="single" w:color="auto" w:sz="4" w:space="0"/>
              <w:right w:val="single" w:color="auto" w:sz="4" w:space="0"/>
            </w:tcBorders>
            <w:vAlign w:val="center"/>
          </w:tcPr>
          <w:p w14:paraId="6986704B">
            <w:pPr>
              <w:rPr>
                <w:rFonts w:ascii="宋体" w:hAnsi="宋体"/>
                <w:szCs w:val="22"/>
              </w:rPr>
            </w:pPr>
          </w:p>
        </w:tc>
      </w:tr>
      <w:tr w14:paraId="3DDBD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9481" w:type="dxa"/>
            <w:gridSpan w:val="8"/>
            <w:tcBorders>
              <w:top w:val="single" w:color="auto" w:sz="4" w:space="0"/>
              <w:left w:val="single" w:color="auto" w:sz="4" w:space="0"/>
              <w:bottom w:val="single" w:color="auto" w:sz="4" w:space="0"/>
              <w:right w:val="single" w:color="auto" w:sz="4" w:space="0"/>
            </w:tcBorders>
            <w:vAlign w:val="center"/>
          </w:tcPr>
          <w:p w14:paraId="72040376">
            <w:pPr>
              <w:rPr>
                <w:rFonts w:ascii="宋体" w:hAnsi="宋体"/>
                <w:szCs w:val="22"/>
              </w:rPr>
            </w:pPr>
            <w:r>
              <w:rPr>
                <w:rFonts w:hint="eastAsia" w:ascii="宋体" w:hAnsi="宋体"/>
                <w:szCs w:val="22"/>
              </w:rPr>
              <w:t>投标</w:t>
            </w:r>
            <w:r>
              <w:rPr>
                <w:rFonts w:hint="eastAsia"/>
              </w:rPr>
              <w:t>折扣系数</w:t>
            </w:r>
            <w:r>
              <w:rPr>
                <w:rFonts w:hint="eastAsia" w:ascii="宋体" w:hAnsi="宋体"/>
                <w:szCs w:val="22"/>
              </w:rPr>
              <w:t>：</w:t>
            </w:r>
            <w:r>
              <w:rPr>
                <w:rFonts w:hint="eastAsia" w:ascii="宋体" w:hAnsi="宋体"/>
                <w:szCs w:val="22"/>
                <w:u w:val="single"/>
              </w:rPr>
              <w:t xml:space="preserve">      </w:t>
            </w:r>
            <w:r>
              <w:rPr>
                <w:rFonts w:hint="eastAsia" w:ascii="宋体" w:hAnsi="宋体"/>
                <w:szCs w:val="22"/>
              </w:rPr>
              <w:t>%</w:t>
            </w:r>
          </w:p>
        </w:tc>
      </w:tr>
      <w:tr w14:paraId="7F4C9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9481" w:type="dxa"/>
            <w:gridSpan w:val="8"/>
            <w:tcBorders>
              <w:top w:val="single" w:color="auto" w:sz="4" w:space="0"/>
              <w:left w:val="single" w:color="auto" w:sz="4" w:space="0"/>
              <w:bottom w:val="single" w:color="auto" w:sz="4" w:space="0"/>
              <w:right w:val="single" w:color="auto" w:sz="4" w:space="0"/>
            </w:tcBorders>
            <w:vAlign w:val="center"/>
          </w:tcPr>
          <w:p w14:paraId="01197482">
            <w:pPr>
              <w:rPr>
                <w:rFonts w:ascii="宋体" w:hAnsi="宋体"/>
                <w:szCs w:val="22"/>
              </w:rPr>
            </w:pPr>
            <w:r>
              <w:rPr>
                <w:rFonts w:hint="eastAsia" w:ascii="宋体" w:hAnsi="宋体"/>
                <w:szCs w:val="21"/>
                <w:u w:val="single"/>
              </w:rPr>
              <w:t>　　</w:t>
            </w:r>
            <w:r>
              <w:rPr>
                <w:rFonts w:hint="eastAsia" w:ascii="宋体" w:hAnsi="宋体"/>
                <w:szCs w:val="21"/>
              </w:rPr>
              <w:t>分标（此处有分标时填写具体分标号，无分标时填写</w:t>
            </w:r>
            <w:r>
              <w:rPr>
                <w:rFonts w:ascii="宋体" w:hAnsi="宋体"/>
                <w:szCs w:val="21"/>
              </w:rPr>
              <w:t>“</w:t>
            </w:r>
            <w:r>
              <w:rPr>
                <w:rFonts w:hint="eastAsia" w:ascii="宋体" w:hAnsi="宋体"/>
                <w:szCs w:val="21"/>
              </w:rPr>
              <w:t>无</w:t>
            </w:r>
            <w:r>
              <w:rPr>
                <w:rFonts w:ascii="宋体" w:hAnsi="宋体"/>
                <w:szCs w:val="21"/>
              </w:rPr>
              <w:t>”</w:t>
            </w:r>
            <w:r>
              <w:rPr>
                <w:rFonts w:hint="eastAsia" w:ascii="宋体" w:hAnsi="宋体"/>
                <w:szCs w:val="21"/>
              </w:rPr>
              <w:t>）</w:t>
            </w:r>
          </w:p>
        </w:tc>
      </w:tr>
      <w:tr w14:paraId="454F8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9481" w:type="dxa"/>
            <w:gridSpan w:val="8"/>
            <w:tcBorders>
              <w:top w:val="single" w:color="auto" w:sz="4" w:space="0"/>
              <w:left w:val="single" w:color="auto" w:sz="4" w:space="0"/>
              <w:bottom w:val="single" w:color="auto" w:sz="4" w:space="0"/>
              <w:right w:val="single" w:color="auto" w:sz="4" w:space="0"/>
            </w:tcBorders>
            <w:vAlign w:val="center"/>
          </w:tcPr>
          <w:p w14:paraId="075A79EF">
            <w:pPr>
              <w:rPr>
                <w:rFonts w:ascii="宋体" w:hAnsi="宋体"/>
                <w:szCs w:val="22"/>
              </w:rPr>
            </w:pPr>
            <w:r>
              <w:rPr>
                <w:rFonts w:hint="eastAsia" w:ascii="宋体" w:hAnsi="宋体"/>
                <w:szCs w:val="22"/>
              </w:rPr>
              <w:t>交货时间：</w:t>
            </w:r>
          </w:p>
        </w:tc>
      </w:tr>
      <w:tr w14:paraId="0E4D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9481" w:type="dxa"/>
            <w:gridSpan w:val="8"/>
            <w:tcBorders>
              <w:top w:val="single" w:color="auto" w:sz="4" w:space="0"/>
              <w:left w:val="single" w:color="auto" w:sz="4" w:space="0"/>
              <w:bottom w:val="single" w:color="auto" w:sz="4" w:space="0"/>
              <w:right w:val="single" w:color="auto" w:sz="4" w:space="0"/>
            </w:tcBorders>
            <w:vAlign w:val="center"/>
          </w:tcPr>
          <w:p w14:paraId="7E26D809">
            <w:pPr>
              <w:rPr>
                <w:rFonts w:ascii="宋体" w:hAnsi="宋体"/>
                <w:szCs w:val="22"/>
              </w:rPr>
            </w:pPr>
            <w:r>
              <w:rPr>
                <w:rFonts w:hint="eastAsia" w:ascii="宋体" w:hAnsi="宋体"/>
                <w:szCs w:val="22"/>
              </w:rPr>
              <w:t>优惠及其它：</w:t>
            </w:r>
          </w:p>
        </w:tc>
      </w:tr>
    </w:tbl>
    <w:p w14:paraId="0260AF66">
      <w:pPr>
        <w:pStyle w:val="20"/>
        <w:snapToGrid w:val="0"/>
        <w:spacing w:line="360" w:lineRule="auto"/>
        <w:ind w:firstLine="482" w:firstLineChars="200"/>
        <w:rPr>
          <w:rFonts w:hAnsi="宋体" w:cs="宋体"/>
          <w:kern w:val="0"/>
          <w:szCs w:val="21"/>
          <w:lang w:val="zh-CN"/>
        </w:rPr>
      </w:pPr>
      <w:r>
        <w:rPr>
          <w:rFonts w:hint="eastAsia" w:hAnsi="宋体" w:cs="宋体"/>
          <w:b/>
          <w:kern w:val="0"/>
          <w:sz w:val="24"/>
        </w:rPr>
        <w:t xml:space="preserve"> </w:t>
      </w:r>
      <w:r>
        <w:rPr>
          <w:rFonts w:hint="eastAsia" w:hAnsi="宋体" w:cs="宋体"/>
          <w:kern w:val="0"/>
          <w:szCs w:val="21"/>
          <w:lang w:val="zh-CN"/>
        </w:rPr>
        <w:t xml:space="preserve">注： </w:t>
      </w:r>
    </w:p>
    <w:p w14:paraId="4404DD7B">
      <w:pPr>
        <w:snapToGrid w:val="0"/>
        <w:spacing w:before="50" w:after="50" w:line="360" w:lineRule="auto"/>
        <w:ind w:firstLine="420" w:firstLineChars="200"/>
        <w:jc w:val="left"/>
        <w:rPr>
          <w:rFonts w:ascii="宋体" w:hAnsi="宋体" w:cs="仿宋_GB2312"/>
          <w:kern w:val="0"/>
          <w:szCs w:val="21"/>
          <w:lang w:val="zh-CN"/>
        </w:rPr>
      </w:pPr>
      <w:r>
        <w:rPr>
          <w:rFonts w:hint="eastAsia" w:ascii="宋体" w:hAnsi="宋体" w:cs="仿宋_GB2312"/>
          <w:kern w:val="0"/>
          <w:szCs w:val="21"/>
          <w:lang w:val="zh-CN"/>
        </w:rPr>
        <w:t>1、 投标人需按本表格式填写，不得自行更改，也不得留空</w:t>
      </w:r>
      <w:r>
        <w:rPr>
          <w:rFonts w:hint="eastAsia" w:ascii="宋体" w:hAnsi="宋体" w:cs="仿宋_GB2312"/>
          <w:b/>
          <w:bCs/>
          <w:kern w:val="0"/>
          <w:szCs w:val="21"/>
          <w:lang w:val="zh-CN"/>
        </w:rPr>
        <w:t>（如没有相应内容填写，则填入“无”或“</w:t>
      </w:r>
      <w:r>
        <w:rPr>
          <w:rFonts w:hint="eastAsia" w:ascii="宋体" w:hAnsi="宋体" w:cs="仿宋_GB2312"/>
          <w:b/>
          <w:bCs/>
          <w:kern w:val="0"/>
          <w:szCs w:val="21"/>
        </w:rPr>
        <w:t>/</w:t>
      </w:r>
      <w:r>
        <w:rPr>
          <w:rFonts w:hint="eastAsia" w:ascii="宋体" w:hAnsi="宋体" w:cs="仿宋_GB2312"/>
          <w:b/>
          <w:bCs/>
          <w:kern w:val="0"/>
          <w:szCs w:val="21"/>
          <w:lang w:val="zh-CN"/>
        </w:rPr>
        <w:t>”）</w:t>
      </w:r>
      <w:r>
        <w:rPr>
          <w:rFonts w:hint="eastAsia" w:ascii="宋体" w:hAnsi="宋体" w:cs="仿宋_GB2312"/>
          <w:kern w:val="0"/>
          <w:szCs w:val="21"/>
          <w:lang w:val="zh-CN"/>
        </w:rPr>
        <w:t>, 如有多分标，按分标分别提供开标一览表，必须加盖投标人有效电子公章，</w:t>
      </w:r>
      <w:r>
        <w:rPr>
          <w:rFonts w:hint="eastAsia" w:ascii="宋体" w:hAnsi="宋体" w:cs="仿宋_GB2312"/>
          <w:b/>
          <w:kern w:val="0"/>
          <w:szCs w:val="21"/>
          <w:lang w:val="zh-CN"/>
        </w:rPr>
        <w:t>否则其投标作无效标处理。</w:t>
      </w:r>
    </w:p>
    <w:p w14:paraId="6D842D1C">
      <w:pPr>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2、本表内容均不能涂改，</w:t>
      </w:r>
      <w:r>
        <w:rPr>
          <w:rFonts w:hint="eastAsia" w:ascii="宋体" w:hAnsi="宋体" w:cs="宋体"/>
          <w:b/>
          <w:kern w:val="0"/>
          <w:szCs w:val="21"/>
          <w:lang w:val="zh-CN"/>
        </w:rPr>
        <w:t>否则其投标作无效标处理。</w:t>
      </w:r>
    </w:p>
    <w:p w14:paraId="09A01825">
      <w:pPr>
        <w:snapToGrid w:val="0"/>
        <w:spacing w:line="360" w:lineRule="auto"/>
        <w:ind w:firstLine="420" w:firstLineChars="200"/>
        <w:jc w:val="left"/>
        <w:rPr>
          <w:rFonts w:ascii="宋体" w:hAnsi="宋体" w:cs="宋体"/>
          <w:b/>
          <w:kern w:val="0"/>
          <w:szCs w:val="21"/>
          <w:lang w:val="zh-CN"/>
        </w:rPr>
      </w:pPr>
      <w:r>
        <w:rPr>
          <w:rFonts w:hint="eastAsia" w:ascii="宋体" w:hAnsi="宋体" w:cs="宋体"/>
          <w:kern w:val="0"/>
          <w:szCs w:val="21"/>
          <w:lang w:val="zh-CN"/>
        </w:rPr>
        <w:t>3、如为联合体投标，“投标人名称”处必须列明联合体各方名称，并标注联合体牵头人名称，且盖章处须加盖联合体各方公章，</w:t>
      </w:r>
      <w:r>
        <w:rPr>
          <w:rFonts w:hint="eastAsia" w:ascii="宋体" w:hAnsi="宋体" w:cs="宋体"/>
          <w:b/>
          <w:kern w:val="0"/>
          <w:szCs w:val="21"/>
          <w:lang w:val="zh-CN"/>
        </w:rPr>
        <w:t>否则其投标作无效标处理。</w:t>
      </w:r>
    </w:p>
    <w:p w14:paraId="6F2D9BEA">
      <w:pPr>
        <w:widowControl/>
        <w:snapToGrid w:val="0"/>
        <w:spacing w:line="360" w:lineRule="auto"/>
        <w:ind w:firstLine="420" w:firstLineChars="200"/>
        <w:jc w:val="left"/>
        <w:rPr>
          <w:rFonts w:ascii="宋体" w:hAnsi="宋体" w:cs="宋体"/>
          <w:kern w:val="0"/>
          <w:szCs w:val="21"/>
          <w:lang w:val="zh-CN"/>
        </w:rPr>
      </w:pPr>
      <w:r>
        <w:rPr>
          <w:rFonts w:hint="eastAsia" w:ascii="宋体" w:hAnsi="宋体" w:cs="仿宋_GB2312"/>
          <w:kern w:val="0"/>
          <w:szCs w:val="21"/>
          <w:lang w:val="zh-CN"/>
        </w:rPr>
        <w:t>4、以上表格要求细分项目及报价，在“标的名称”一栏中，填写具体货物，</w:t>
      </w:r>
      <w:r>
        <w:rPr>
          <w:rFonts w:hint="eastAsia" w:ascii="宋体" w:hAnsi="宋体" w:cs="仿宋_GB2312"/>
          <w:b/>
          <w:kern w:val="0"/>
          <w:szCs w:val="21"/>
          <w:lang w:val="zh-CN"/>
        </w:rPr>
        <w:t>否则其投标作无效标处理</w:t>
      </w:r>
      <w:r>
        <w:rPr>
          <w:rFonts w:hint="eastAsia" w:ascii="宋体" w:hAnsi="宋体" w:cs="仿宋_GB2312"/>
          <w:kern w:val="0"/>
          <w:szCs w:val="21"/>
          <w:lang w:val="zh-CN"/>
        </w:rPr>
        <w:t>。</w:t>
      </w:r>
    </w:p>
    <w:p w14:paraId="0FC0EBBB">
      <w:pPr>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rPr>
        <w:t>5、</w:t>
      </w:r>
      <w:r>
        <w:rPr>
          <w:rFonts w:hint="eastAsia" w:ascii="宋体" w:hAnsi="宋体" w:cs="宋体"/>
          <w:kern w:val="0"/>
          <w:szCs w:val="21"/>
          <w:lang w:val="zh-CN"/>
        </w:rPr>
        <w:t>特别提示：采购机构将对项目名称和项目编号，中标供应商名称、地址和中标金额，主要中标标的的名称、规格型号、数量、单价、服务要求等予以公示。</w:t>
      </w:r>
    </w:p>
    <w:p w14:paraId="635B4F7E">
      <w:pPr>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rPr>
        <w:t>6</w:t>
      </w:r>
      <w:r>
        <w:rPr>
          <w:rFonts w:hint="eastAsia" w:ascii="宋体" w:hAnsi="宋体" w:cs="宋体"/>
          <w:kern w:val="0"/>
          <w:szCs w:val="21"/>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07EF419">
      <w:pPr>
        <w:snapToGrid w:val="0"/>
        <w:spacing w:line="360" w:lineRule="auto"/>
        <w:ind w:right="-817" w:rightChars="-389"/>
        <w:rPr>
          <w:rFonts w:ascii="宋体" w:hAnsi="宋体"/>
          <w:sz w:val="24"/>
        </w:rPr>
      </w:pPr>
    </w:p>
    <w:p w14:paraId="2658CC8C">
      <w:pPr>
        <w:snapToGrid w:val="0"/>
        <w:spacing w:line="360" w:lineRule="auto"/>
        <w:ind w:left="-2" w:leftChars="-1" w:right="-817" w:rightChars="-389" w:firstLine="3120" w:firstLineChars="1300"/>
        <w:rPr>
          <w:rFonts w:ascii="宋体" w:hAnsi="宋体"/>
          <w:sz w:val="24"/>
        </w:rPr>
      </w:pPr>
      <w:r>
        <w:rPr>
          <w:rFonts w:hint="eastAsia" w:ascii="宋体" w:hAnsi="宋体"/>
          <w:sz w:val="24"/>
        </w:rPr>
        <w:t xml:space="preserve">法定代表人或者委托代理人（签字或者电子签名）： </w:t>
      </w:r>
    </w:p>
    <w:p w14:paraId="063470DB">
      <w:pPr>
        <w:snapToGrid w:val="0"/>
        <w:spacing w:line="360" w:lineRule="auto"/>
        <w:ind w:left="-3" w:leftChars="-15" w:right="-817" w:rightChars="-389" w:hanging="28" w:hangingChars="12"/>
        <w:rPr>
          <w:rFonts w:ascii="宋体" w:hAnsi="宋体"/>
          <w:sz w:val="24"/>
        </w:rPr>
      </w:pPr>
      <w:r>
        <w:rPr>
          <w:rFonts w:hint="eastAsia" w:ascii="宋体" w:hAnsi="宋体"/>
          <w:sz w:val="24"/>
        </w:rPr>
        <w:t xml:space="preserve">                                  投标人名称（电子签章）：</w:t>
      </w:r>
    </w:p>
    <w:p w14:paraId="0D9D8ABA">
      <w:pPr>
        <w:snapToGrid w:val="0"/>
        <w:spacing w:line="360" w:lineRule="auto"/>
        <w:rPr>
          <w:rFonts w:ascii="宋体" w:hAnsi="宋体" w:cs="宋体"/>
          <w:kern w:val="0"/>
          <w:sz w:val="24"/>
          <w:lang w:val="zh-CN"/>
        </w:rPr>
      </w:pPr>
      <w:r>
        <w:rPr>
          <w:rFonts w:hint="eastAsia" w:ascii="宋体" w:hAnsi="宋体"/>
          <w:sz w:val="24"/>
        </w:rPr>
        <w:t xml:space="preserve">                                  日期：    年   月   日</w:t>
      </w:r>
    </w:p>
    <w:p w14:paraId="24C1BBA7">
      <w:pPr>
        <w:pStyle w:val="20"/>
        <w:spacing w:line="500" w:lineRule="exact"/>
        <w:ind w:firstLine="450" w:firstLineChars="150"/>
        <w:rPr>
          <w:rFonts w:hAnsi="宋体" w:cs="宋体"/>
          <w:sz w:val="30"/>
        </w:rPr>
        <w:sectPr>
          <w:pgSz w:w="11906" w:h="16838"/>
          <w:pgMar w:top="1134" w:right="1312" w:bottom="1134" w:left="1354" w:header="720" w:footer="720" w:gutter="0"/>
          <w:cols w:space="720" w:num="1"/>
          <w:docGrid w:type="lines" w:linePitch="331" w:charSpace="0"/>
        </w:sectPr>
      </w:pPr>
    </w:p>
    <w:p w14:paraId="7C1EF425">
      <w:pPr>
        <w:pStyle w:val="20"/>
        <w:snapToGrid w:val="0"/>
        <w:spacing w:before="165" w:beforeLines="50" w:after="50"/>
        <w:jc w:val="center"/>
        <w:outlineLvl w:val="1"/>
        <w:rPr>
          <w:rFonts w:hAnsi="宋体" w:cs="宋体"/>
          <w:b/>
          <w:bCs/>
          <w:sz w:val="28"/>
          <w:szCs w:val="28"/>
        </w:rPr>
      </w:pPr>
      <w:bookmarkStart w:id="376" w:name="_Toc20767"/>
      <w:bookmarkStart w:id="377" w:name="_Toc24178"/>
      <w:bookmarkStart w:id="378" w:name="_Toc22437"/>
      <w:bookmarkStart w:id="379" w:name="_Toc19686840"/>
      <w:bookmarkStart w:id="380" w:name="_Toc11865"/>
      <w:r>
        <w:rPr>
          <w:rFonts w:hint="eastAsia" w:hAnsi="宋体" w:cs="宋体"/>
          <w:b/>
          <w:bCs/>
          <w:sz w:val="28"/>
          <w:szCs w:val="28"/>
        </w:rPr>
        <w:t>四、其他文书、文件格式</w:t>
      </w:r>
      <w:bookmarkEnd w:id="376"/>
      <w:bookmarkEnd w:id="377"/>
      <w:bookmarkEnd w:id="378"/>
      <w:bookmarkEnd w:id="379"/>
      <w:bookmarkEnd w:id="380"/>
    </w:p>
    <w:p w14:paraId="2F31637A">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中小企业声明函</w:t>
      </w:r>
    </w:p>
    <w:p w14:paraId="0DAD1597">
      <w:pPr>
        <w:spacing w:before="2" w:line="500" w:lineRule="exact"/>
        <w:rPr>
          <w:rFonts w:ascii="宋体" w:hAnsi="宋体" w:cs="宋体"/>
          <w:b/>
          <w:bCs/>
          <w:sz w:val="27"/>
          <w:szCs w:val="27"/>
        </w:rPr>
      </w:pPr>
    </w:p>
    <w:p w14:paraId="0A44B090">
      <w:pPr>
        <w:rPr>
          <w:spacing w:val="-4"/>
          <w:szCs w:val="21"/>
        </w:rPr>
      </w:pPr>
      <w:r>
        <w:rPr>
          <w:rFonts w:hint="eastAsia" w:hAnsi="宋体"/>
          <w:spacing w:val="-4"/>
          <w:szCs w:val="21"/>
        </w:rPr>
        <w:t>说明：</w:t>
      </w:r>
    </w:p>
    <w:p w14:paraId="20EE33BF">
      <w:pPr>
        <w:ind w:firstLine="404" w:firstLineChars="200"/>
        <w:rPr>
          <w:spacing w:val="-4"/>
          <w:szCs w:val="21"/>
        </w:rPr>
      </w:pPr>
      <w:r>
        <w:rPr>
          <w:spacing w:val="-4"/>
          <w:szCs w:val="21"/>
        </w:rPr>
        <w:t>1</w:t>
      </w:r>
      <w:r>
        <w:rPr>
          <w:rFonts w:hint="eastAsia" w:hAnsi="宋体"/>
          <w:spacing w:val="-4"/>
          <w:szCs w:val="21"/>
        </w:rPr>
        <w:t>、本声明函主要供参加政府采购活动的中小企业填写，非中小企业无需填写。</w:t>
      </w:r>
    </w:p>
    <w:p w14:paraId="1797C4CB">
      <w:pPr>
        <w:ind w:firstLine="404" w:firstLineChars="200"/>
        <w:rPr>
          <w:rFonts w:hAnsi="宋体"/>
          <w:spacing w:val="-4"/>
          <w:szCs w:val="21"/>
        </w:rPr>
      </w:pPr>
      <w:r>
        <w:rPr>
          <w:spacing w:val="-4"/>
          <w:szCs w:val="21"/>
        </w:rPr>
        <w:t>2</w:t>
      </w:r>
      <w:r>
        <w:rPr>
          <w:rFonts w:hint="eastAsia" w:hAnsi="宋体"/>
          <w:spacing w:val="-4"/>
          <w:szCs w:val="21"/>
        </w:rPr>
        <w:t>、小型、微型企业提供中型企业提供的货物的，视同为中型企业。</w:t>
      </w:r>
    </w:p>
    <w:p w14:paraId="6D9BE04D">
      <w:pPr>
        <w:ind w:firstLine="404" w:firstLineChars="200"/>
        <w:rPr>
          <w:rFonts w:hAnsi="宋体"/>
          <w:spacing w:val="-4"/>
          <w:szCs w:val="21"/>
        </w:rPr>
      </w:pPr>
    </w:p>
    <w:p w14:paraId="1E23C1BA">
      <w:pPr>
        <w:spacing w:after="120" w:line="360" w:lineRule="auto"/>
        <w:ind w:left="-426" w:leftChars="-203" w:right="142" w:firstLine="480" w:firstLineChars="200"/>
        <w:contextualSpacing/>
        <w:rPr>
          <w:rFonts w:ascii="宋体" w:hAnsi="宋体"/>
          <w:kern w:val="24"/>
          <w:sz w:val="24"/>
        </w:rPr>
      </w:pPr>
      <w:r>
        <w:rPr>
          <w:rFonts w:ascii="宋体" w:hAnsi="宋体"/>
          <w:kern w:val="24"/>
          <w:sz w:val="24"/>
        </w:rPr>
        <w:t>本公司（联合体）郑重声明，根据《政府采购促进中小企业发展管理办法》（财库﹝2020﹞46号）的规定，本公司（联合体）参加</w:t>
      </w:r>
      <w:r>
        <w:rPr>
          <w:rFonts w:ascii="宋体" w:hAnsi="宋体"/>
          <w:kern w:val="24"/>
          <w:sz w:val="24"/>
          <w:u w:val="single"/>
        </w:rPr>
        <w:t>（单位名称）</w:t>
      </w:r>
      <w:r>
        <w:rPr>
          <w:rFonts w:ascii="宋体" w:hAnsi="宋体"/>
          <w:kern w:val="24"/>
          <w:sz w:val="24"/>
        </w:rPr>
        <w:t>的</w:t>
      </w:r>
      <w:r>
        <w:rPr>
          <w:rFonts w:ascii="宋体" w:hAnsi="宋体"/>
          <w:kern w:val="24"/>
          <w:sz w:val="24"/>
          <w:u w:val="single"/>
        </w:rPr>
        <w:t>（项目名称）</w:t>
      </w:r>
      <w:r>
        <w:rPr>
          <w:rFonts w:ascii="宋体" w:hAnsi="宋体"/>
          <w:kern w:val="24"/>
          <w:sz w:val="24"/>
        </w:rPr>
        <w:t xml:space="preserve">  </w:t>
      </w:r>
      <w:r>
        <w:rPr>
          <w:rFonts w:hint="eastAsia" w:ascii="宋体" w:hAnsi="宋体"/>
          <w:kern w:val="24"/>
          <w:sz w:val="24"/>
          <w:u w:val="single"/>
        </w:rPr>
        <w:t>（</w:t>
      </w:r>
      <w:r>
        <w:rPr>
          <w:rFonts w:ascii="宋体" w:hAnsi="宋体"/>
          <w:kern w:val="24"/>
          <w:sz w:val="24"/>
          <w:u w:val="single"/>
        </w:rPr>
        <w:t>分标</w:t>
      </w:r>
      <w:r>
        <w:rPr>
          <w:rFonts w:hint="eastAsia" w:ascii="宋体" w:hAnsi="宋体"/>
          <w:kern w:val="24"/>
          <w:sz w:val="24"/>
          <w:u w:val="single"/>
        </w:rPr>
        <w:t>）</w:t>
      </w:r>
      <w:r>
        <w:rPr>
          <w:rFonts w:ascii="宋体" w:hAnsi="宋体"/>
          <w:kern w:val="24"/>
          <w:sz w:val="24"/>
        </w:rPr>
        <w:t>采购活动，提供的货物全部由符合政策要求的中小企业制造。相关企业（含联合体中的中小企业、签订分包意向协议的中小企业）的具体情况如下：</w:t>
      </w:r>
    </w:p>
    <w:p w14:paraId="6C975C35">
      <w:pPr>
        <w:tabs>
          <w:tab w:val="left" w:pos="1384"/>
          <w:tab w:val="left" w:pos="4562"/>
          <w:tab w:val="left" w:pos="6803"/>
        </w:tabs>
        <w:spacing w:line="360" w:lineRule="auto"/>
        <w:ind w:left="-426" w:right="-58" w:firstLine="655"/>
        <w:contextualSpacing/>
        <w:rPr>
          <w:rFonts w:ascii="宋体" w:hAnsi="宋体"/>
          <w:kern w:val="24"/>
          <w:sz w:val="24"/>
        </w:rPr>
      </w:pPr>
      <w:r>
        <w:rPr>
          <w:rFonts w:ascii="宋体" w:hAnsi="宋体"/>
          <w:kern w:val="24"/>
          <w:sz w:val="24"/>
        </w:rPr>
        <w:t>1.</w:t>
      </w:r>
      <w:r>
        <w:rPr>
          <w:rFonts w:ascii="宋体" w:hAnsi="宋体"/>
          <w:kern w:val="24"/>
          <w:sz w:val="24"/>
          <w:u w:val="single"/>
        </w:rPr>
        <w:t>（标的名称）</w:t>
      </w:r>
      <w:r>
        <w:rPr>
          <w:rFonts w:ascii="宋体" w:hAnsi="宋体"/>
          <w:kern w:val="24"/>
          <w:sz w:val="24"/>
        </w:rPr>
        <w:t>，属于</w:t>
      </w:r>
      <w:r>
        <w:rPr>
          <w:rFonts w:ascii="宋体" w:hAnsi="宋体"/>
          <w:kern w:val="24"/>
          <w:sz w:val="24"/>
          <w:u w:val="single"/>
        </w:rPr>
        <w:t>（采购文件中明确的所属行业）</w:t>
      </w:r>
      <w:r>
        <w:rPr>
          <w:rFonts w:ascii="宋体" w:hAnsi="宋体"/>
          <w:kern w:val="24"/>
          <w:sz w:val="24"/>
        </w:rPr>
        <w:t>行业；制造商为</w:t>
      </w:r>
      <w:r>
        <w:rPr>
          <w:rFonts w:ascii="宋体" w:hAnsi="宋体"/>
          <w:kern w:val="24"/>
          <w:sz w:val="24"/>
          <w:u w:val="single"/>
        </w:rPr>
        <w:t>（企业名称）</w:t>
      </w:r>
      <w:r>
        <w:rPr>
          <w:rFonts w:ascii="宋体" w:hAnsi="宋体"/>
          <w:kern w:val="24"/>
          <w:sz w:val="24"/>
        </w:rPr>
        <w:t>，从业人员</w:t>
      </w:r>
      <w:r>
        <w:rPr>
          <w:rFonts w:hint="eastAsia" w:ascii="宋体" w:hAnsi="宋体"/>
          <w:kern w:val="24"/>
          <w:sz w:val="24"/>
          <w:u w:val="single"/>
        </w:rPr>
        <w:t xml:space="preserve"> </w:t>
      </w:r>
      <w:r>
        <w:rPr>
          <w:rFonts w:ascii="宋体" w:hAnsi="宋体"/>
          <w:kern w:val="24"/>
          <w:sz w:val="24"/>
          <w:u w:val="single"/>
        </w:rPr>
        <w:t xml:space="preserve">     </w:t>
      </w:r>
      <w:r>
        <w:rPr>
          <w:rFonts w:ascii="宋体" w:hAnsi="宋体"/>
          <w:kern w:val="24"/>
          <w:sz w:val="24"/>
        </w:rPr>
        <w:t>人，营业收入为</w:t>
      </w:r>
      <w:r>
        <w:rPr>
          <w:rFonts w:hint="eastAsia" w:ascii="宋体" w:hAnsi="宋体"/>
          <w:kern w:val="24"/>
          <w:sz w:val="24"/>
          <w:u w:val="single"/>
        </w:rPr>
        <w:t xml:space="preserve"> </w:t>
      </w:r>
      <w:r>
        <w:rPr>
          <w:rFonts w:ascii="宋体" w:hAnsi="宋体"/>
          <w:kern w:val="24"/>
          <w:sz w:val="24"/>
          <w:u w:val="single"/>
        </w:rPr>
        <w:t xml:space="preserve">     </w:t>
      </w:r>
      <w:r>
        <w:rPr>
          <w:rFonts w:ascii="宋体" w:hAnsi="宋体"/>
          <w:kern w:val="24"/>
          <w:sz w:val="24"/>
        </w:rPr>
        <w:t>万元，资产总额为</w:t>
      </w:r>
      <w:r>
        <w:rPr>
          <w:rFonts w:hint="eastAsia" w:ascii="宋体" w:hAnsi="宋体"/>
          <w:kern w:val="24"/>
          <w:sz w:val="24"/>
          <w:u w:val="single"/>
        </w:rPr>
        <w:t xml:space="preserve"> </w:t>
      </w:r>
      <w:r>
        <w:rPr>
          <w:rFonts w:ascii="宋体" w:hAnsi="宋体"/>
          <w:kern w:val="24"/>
          <w:sz w:val="24"/>
          <w:u w:val="single"/>
        </w:rPr>
        <w:t xml:space="preserve">     </w:t>
      </w:r>
      <w:r>
        <w:rPr>
          <w:rFonts w:ascii="宋体" w:hAnsi="宋体"/>
          <w:kern w:val="24"/>
          <w:sz w:val="24"/>
        </w:rPr>
        <w:t>万元，属于</w:t>
      </w:r>
      <w:r>
        <w:rPr>
          <w:rFonts w:ascii="宋体" w:hAnsi="宋体"/>
          <w:kern w:val="24"/>
          <w:sz w:val="24"/>
          <w:u w:val="single"/>
        </w:rPr>
        <w:t>（中型企业、小型企业、微型企业）</w:t>
      </w:r>
      <w:r>
        <w:rPr>
          <w:rFonts w:ascii="宋体" w:hAnsi="宋体"/>
          <w:kern w:val="24"/>
          <w:sz w:val="24"/>
        </w:rPr>
        <w:t>；</w:t>
      </w:r>
    </w:p>
    <w:p w14:paraId="005689BD">
      <w:pPr>
        <w:tabs>
          <w:tab w:val="left" w:pos="1065"/>
          <w:tab w:val="left" w:pos="6477"/>
        </w:tabs>
        <w:spacing w:line="360" w:lineRule="auto"/>
        <w:ind w:left="-426" w:right="-58" w:firstLine="655"/>
        <w:contextualSpacing/>
        <w:rPr>
          <w:rFonts w:ascii="宋体" w:hAnsi="宋体"/>
          <w:kern w:val="24"/>
          <w:sz w:val="24"/>
        </w:rPr>
      </w:pPr>
      <w:r>
        <w:rPr>
          <w:rFonts w:ascii="宋体" w:hAnsi="宋体"/>
          <w:kern w:val="24"/>
          <w:sz w:val="24"/>
        </w:rPr>
        <w:t>2.</w:t>
      </w:r>
      <w:r>
        <w:rPr>
          <w:rFonts w:ascii="宋体" w:hAnsi="宋体"/>
          <w:kern w:val="24"/>
          <w:sz w:val="24"/>
          <w:u w:val="single"/>
        </w:rPr>
        <w:t>（标的名称）</w:t>
      </w:r>
      <w:r>
        <w:rPr>
          <w:rFonts w:ascii="宋体" w:hAnsi="宋体"/>
          <w:kern w:val="24"/>
          <w:sz w:val="24"/>
        </w:rPr>
        <w:t>，属于</w:t>
      </w:r>
      <w:r>
        <w:rPr>
          <w:rFonts w:ascii="宋体" w:hAnsi="宋体"/>
          <w:kern w:val="24"/>
          <w:sz w:val="24"/>
          <w:u w:val="single"/>
        </w:rPr>
        <w:t>（采购文件中明确的所属行业）</w:t>
      </w:r>
      <w:r>
        <w:rPr>
          <w:rFonts w:ascii="宋体" w:hAnsi="宋体"/>
          <w:kern w:val="24"/>
          <w:sz w:val="24"/>
        </w:rPr>
        <w:t>行业；制造商为</w:t>
      </w:r>
      <w:r>
        <w:rPr>
          <w:rFonts w:ascii="宋体" w:hAnsi="宋体"/>
          <w:kern w:val="24"/>
          <w:sz w:val="24"/>
          <w:u w:val="single"/>
        </w:rPr>
        <w:t>（企业名称）</w:t>
      </w:r>
      <w:r>
        <w:rPr>
          <w:rFonts w:ascii="宋体" w:hAnsi="宋体"/>
          <w:kern w:val="24"/>
          <w:sz w:val="24"/>
        </w:rPr>
        <w:t>，从业人员</w:t>
      </w:r>
      <w:r>
        <w:rPr>
          <w:rFonts w:hint="eastAsia" w:ascii="宋体" w:hAnsi="宋体"/>
          <w:kern w:val="24"/>
          <w:sz w:val="24"/>
          <w:u w:val="single"/>
        </w:rPr>
        <w:t xml:space="preserve"> </w:t>
      </w:r>
      <w:r>
        <w:rPr>
          <w:rFonts w:ascii="宋体" w:hAnsi="宋体"/>
          <w:kern w:val="24"/>
          <w:sz w:val="24"/>
          <w:u w:val="single"/>
        </w:rPr>
        <w:t xml:space="preserve">     </w:t>
      </w:r>
      <w:r>
        <w:rPr>
          <w:rFonts w:ascii="宋体" w:hAnsi="宋体"/>
          <w:kern w:val="24"/>
          <w:sz w:val="24"/>
        </w:rPr>
        <w:t>人，营业收入为</w:t>
      </w:r>
      <w:r>
        <w:rPr>
          <w:rFonts w:hint="eastAsia" w:ascii="宋体" w:hAnsi="宋体"/>
          <w:kern w:val="24"/>
          <w:sz w:val="24"/>
          <w:u w:val="single"/>
        </w:rPr>
        <w:t xml:space="preserve"> </w:t>
      </w:r>
      <w:r>
        <w:rPr>
          <w:rFonts w:ascii="宋体" w:hAnsi="宋体"/>
          <w:kern w:val="24"/>
          <w:sz w:val="24"/>
          <w:u w:val="single"/>
        </w:rPr>
        <w:t xml:space="preserve">     </w:t>
      </w:r>
      <w:r>
        <w:rPr>
          <w:rFonts w:ascii="宋体" w:hAnsi="宋体"/>
          <w:kern w:val="24"/>
          <w:sz w:val="24"/>
        </w:rPr>
        <w:t>万元，资产总额为</w:t>
      </w:r>
      <w:r>
        <w:rPr>
          <w:rFonts w:hint="eastAsia" w:ascii="宋体" w:hAnsi="宋体"/>
          <w:kern w:val="24"/>
          <w:sz w:val="24"/>
          <w:u w:val="single"/>
        </w:rPr>
        <w:t xml:space="preserve"> </w:t>
      </w:r>
      <w:r>
        <w:rPr>
          <w:rFonts w:ascii="宋体" w:hAnsi="宋体"/>
          <w:kern w:val="24"/>
          <w:sz w:val="24"/>
          <w:u w:val="single"/>
        </w:rPr>
        <w:t xml:space="preserve">     </w:t>
      </w:r>
      <w:r>
        <w:rPr>
          <w:rFonts w:ascii="宋体" w:hAnsi="宋体"/>
          <w:kern w:val="24"/>
          <w:sz w:val="24"/>
        </w:rPr>
        <w:t>万元，属于</w:t>
      </w:r>
      <w:r>
        <w:rPr>
          <w:rFonts w:ascii="宋体" w:hAnsi="宋体"/>
          <w:kern w:val="24"/>
          <w:sz w:val="24"/>
          <w:u w:val="single"/>
        </w:rPr>
        <w:t>（中型企业、小型企业、微型企业）</w:t>
      </w:r>
      <w:r>
        <w:rPr>
          <w:rFonts w:ascii="宋体" w:hAnsi="宋体"/>
          <w:kern w:val="24"/>
          <w:sz w:val="24"/>
        </w:rPr>
        <w:t>；</w:t>
      </w:r>
    </w:p>
    <w:p w14:paraId="2C4B86C4">
      <w:pPr>
        <w:spacing w:after="120" w:line="360" w:lineRule="auto"/>
        <w:ind w:left="142" w:right="142"/>
        <w:contextualSpacing/>
        <w:rPr>
          <w:rFonts w:ascii="宋体" w:hAnsi="宋体"/>
          <w:kern w:val="24"/>
        </w:rPr>
      </w:pPr>
      <w:r>
        <w:rPr>
          <w:rFonts w:ascii="宋体" w:hAnsi="宋体"/>
          <w:kern w:val="24"/>
        </w:rPr>
        <w:t xml:space="preserve">…… </w:t>
      </w:r>
    </w:p>
    <w:p w14:paraId="79CCE3CF">
      <w:pPr>
        <w:spacing w:after="120" w:line="360" w:lineRule="auto"/>
        <w:ind w:left="-405" w:leftChars="-193" w:right="142" w:firstLine="453" w:firstLineChars="189"/>
        <w:contextualSpacing/>
        <w:rPr>
          <w:rFonts w:ascii="宋体" w:hAnsi="宋体"/>
          <w:kern w:val="24"/>
          <w:sz w:val="24"/>
        </w:rPr>
      </w:pPr>
      <w:r>
        <w:rPr>
          <w:rFonts w:ascii="宋体" w:hAnsi="宋体"/>
          <w:kern w:val="24"/>
          <w:sz w:val="24"/>
        </w:rPr>
        <w:t>以上企业，不属于大企业的分支机构，不存在控股股东为大企业的情形，也不存在与大企业的负责人为同一人的情形。</w:t>
      </w:r>
    </w:p>
    <w:p w14:paraId="2BF1503B">
      <w:pPr>
        <w:spacing w:after="120" w:line="360" w:lineRule="auto"/>
        <w:ind w:left="-426" w:right="142" w:firstLine="567"/>
        <w:contextualSpacing/>
        <w:rPr>
          <w:rFonts w:ascii="宋体" w:hAnsi="宋体"/>
          <w:kern w:val="24"/>
          <w:sz w:val="24"/>
        </w:rPr>
      </w:pPr>
      <w:r>
        <w:rPr>
          <w:rFonts w:ascii="宋体" w:hAnsi="宋体"/>
          <w:kern w:val="24"/>
          <w:sz w:val="24"/>
        </w:rPr>
        <w:t>本企业对上述声明内容的真实性负责。如有虚假，将依法承担相应责任。</w:t>
      </w:r>
    </w:p>
    <w:p w14:paraId="1F4110E7">
      <w:pPr>
        <w:spacing w:line="360" w:lineRule="auto"/>
        <w:ind w:firstLine="420" w:firstLineChars="200"/>
        <w:rPr>
          <w:rFonts w:ascii="宋体" w:hAnsi="宋体"/>
          <w:szCs w:val="21"/>
        </w:rPr>
      </w:pPr>
    </w:p>
    <w:p w14:paraId="2E845EE6">
      <w:pPr>
        <w:spacing w:after="120" w:line="360" w:lineRule="auto"/>
        <w:ind w:left="-426" w:right="142" w:firstLine="567"/>
        <w:contextualSpacing/>
        <w:jc w:val="right"/>
        <w:rPr>
          <w:rFonts w:ascii="宋体" w:hAnsi="宋体"/>
          <w:kern w:val="24"/>
          <w:sz w:val="24"/>
        </w:rPr>
      </w:pPr>
      <w:r>
        <w:rPr>
          <w:rFonts w:hint="eastAsia" w:ascii="宋体" w:hAnsi="宋体"/>
          <w:kern w:val="24"/>
          <w:sz w:val="24"/>
        </w:rPr>
        <w:t>投标人名称(电子签章)：</w:t>
      </w:r>
    </w:p>
    <w:p w14:paraId="124144DA">
      <w:pPr>
        <w:spacing w:after="120" w:line="360" w:lineRule="auto"/>
        <w:ind w:left="-426" w:right="142" w:firstLine="567"/>
        <w:contextualSpacing/>
        <w:jc w:val="right"/>
        <w:rPr>
          <w:rFonts w:ascii="宋体" w:hAnsi="宋体"/>
          <w:kern w:val="24"/>
          <w:sz w:val="24"/>
        </w:rPr>
      </w:pPr>
      <w:r>
        <w:rPr>
          <w:rFonts w:hint="eastAsia" w:ascii="宋体" w:hAnsi="宋体"/>
          <w:kern w:val="24"/>
          <w:sz w:val="24"/>
        </w:rPr>
        <w:t>日期：  年  月   日</w:t>
      </w:r>
    </w:p>
    <w:p w14:paraId="3FC13C77">
      <w:pPr>
        <w:snapToGrid w:val="0"/>
        <w:spacing w:before="50" w:after="165" w:afterLines="50" w:line="360" w:lineRule="auto"/>
        <w:jc w:val="left"/>
        <w:rPr>
          <w:rFonts w:hAnsi="宋体" w:cs="宋体"/>
          <w:sz w:val="20"/>
        </w:rPr>
      </w:pPr>
      <w:r>
        <w:rPr>
          <w:rFonts w:hint="eastAsia" w:hAnsi="宋体" w:cs="宋体"/>
          <w:sz w:val="20"/>
        </w:rPr>
        <w:t>注：</w:t>
      </w:r>
    </w:p>
    <w:p w14:paraId="6A42F203">
      <w:pPr>
        <w:numPr>
          <w:ilvl w:val="0"/>
          <w:numId w:val="29"/>
        </w:numPr>
        <w:snapToGrid w:val="0"/>
        <w:spacing w:before="50" w:after="165" w:afterLines="50" w:line="360" w:lineRule="auto"/>
        <w:jc w:val="left"/>
        <w:rPr>
          <w:sz w:val="20"/>
        </w:rPr>
      </w:pPr>
      <w:r>
        <w:rPr>
          <w:rFonts w:hint="eastAsia"/>
          <w:sz w:val="20"/>
        </w:rPr>
        <w:t>从业人员、营业收入、资产总额填报上一年度数据，无上一年度数据的新成立企业可不填报。</w:t>
      </w:r>
    </w:p>
    <w:p w14:paraId="562CD68D">
      <w:pPr>
        <w:snapToGrid w:val="0"/>
        <w:spacing w:before="50" w:after="165" w:afterLines="50" w:line="360" w:lineRule="auto"/>
        <w:ind w:firstLine="300" w:firstLineChars="150"/>
        <w:jc w:val="left"/>
        <w:rPr>
          <w:sz w:val="20"/>
        </w:rPr>
        <w:sectPr>
          <w:pgSz w:w="11906" w:h="16838"/>
          <w:pgMar w:top="1134" w:right="1134" w:bottom="1134" w:left="1134" w:header="720" w:footer="720" w:gutter="0"/>
          <w:cols w:space="720" w:num="1"/>
          <w:docGrid w:type="lines" w:linePitch="331" w:charSpace="0"/>
        </w:sectPr>
      </w:pPr>
      <w:r>
        <w:rPr>
          <w:rFonts w:hint="eastAsia"/>
          <w:sz w:val="20"/>
        </w:rPr>
        <w:t>2、请根据自己的真实情况出具《中小企业声明函》。依法享受中小企业优惠政策的，采购人或者采购代理机构在公告中标结果时，同时公告其《中小企业声明函》，接受社会监督。</w:t>
      </w:r>
    </w:p>
    <w:p w14:paraId="50A68041">
      <w:pPr>
        <w:rPr>
          <w:rFonts w:ascii="宋体" w:hAnsi="宋体"/>
          <w:b/>
          <w:sz w:val="24"/>
        </w:rPr>
      </w:pPr>
      <w:r>
        <w:rPr>
          <w:rFonts w:hint="eastAsia" w:ascii="宋体" w:hAnsi="宋体"/>
          <w:b/>
          <w:sz w:val="24"/>
        </w:rPr>
        <w:t>6.残疾人福利性单位声明函格式</w:t>
      </w:r>
    </w:p>
    <w:p w14:paraId="22953CC9">
      <w:pPr>
        <w:spacing w:line="588" w:lineRule="exact"/>
        <w:jc w:val="center"/>
        <w:rPr>
          <w:rFonts w:ascii="仿宋_GB2312" w:eastAsia="仿宋_GB2312"/>
          <w:b/>
          <w:spacing w:val="6"/>
          <w:sz w:val="32"/>
          <w:szCs w:val="32"/>
        </w:rPr>
      </w:pPr>
    </w:p>
    <w:p w14:paraId="776CB867">
      <w:pPr>
        <w:spacing w:line="588" w:lineRule="exact"/>
        <w:jc w:val="center"/>
        <w:rPr>
          <w:rFonts w:ascii="方正小标宋简体" w:hAnsi="方正小标宋简体" w:eastAsia="方正小标宋简体" w:cs="方正小标宋简体"/>
          <w:bCs/>
          <w:spacing w:val="6"/>
          <w:sz w:val="44"/>
          <w:szCs w:val="44"/>
        </w:rPr>
      </w:pPr>
      <w:r>
        <w:rPr>
          <w:rFonts w:hint="eastAsia" w:ascii="方正小标宋简体" w:hAnsi="方正小标宋简体" w:eastAsia="方正小标宋简体" w:cs="方正小标宋简体"/>
          <w:bCs/>
          <w:spacing w:val="6"/>
          <w:sz w:val="44"/>
          <w:szCs w:val="44"/>
        </w:rPr>
        <w:t>残疾人福利性单位声明函</w:t>
      </w:r>
    </w:p>
    <w:p w14:paraId="6AE07586">
      <w:pPr>
        <w:spacing w:line="588" w:lineRule="exact"/>
        <w:rPr>
          <w:rFonts w:ascii="仿宋_GB2312" w:eastAsia="仿宋_GB2312"/>
          <w:b/>
          <w:spacing w:val="6"/>
          <w:sz w:val="30"/>
          <w:szCs w:val="30"/>
        </w:rPr>
      </w:pPr>
    </w:p>
    <w:p w14:paraId="037B4446">
      <w:pPr>
        <w:spacing w:line="360" w:lineRule="auto"/>
        <w:ind w:firstLine="504" w:firstLineChars="200"/>
        <w:contextualSpacing/>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宋体" w:hAnsi="宋体"/>
          <w:spacing w:val="-6"/>
          <w:sz w:val="24"/>
        </w:rPr>
        <w:t>疾人福利性单位制造的货物（不包括使用非残疾人福利性单位注册商标的货物）。</w:t>
      </w:r>
    </w:p>
    <w:p w14:paraId="74EF15E0">
      <w:pPr>
        <w:spacing w:line="360" w:lineRule="auto"/>
        <w:ind w:firstLine="504" w:firstLineChars="200"/>
        <w:contextualSpacing/>
        <w:rPr>
          <w:rFonts w:ascii="宋体" w:hAnsi="宋体"/>
          <w:spacing w:val="6"/>
          <w:sz w:val="24"/>
        </w:rPr>
      </w:pPr>
      <w:r>
        <w:rPr>
          <w:rFonts w:hint="eastAsia" w:ascii="宋体" w:hAnsi="宋体"/>
          <w:spacing w:val="6"/>
          <w:sz w:val="24"/>
        </w:rPr>
        <w:t>本单位对上述声明的真实性负责。如有虚假，将依法承担相应责任。</w:t>
      </w:r>
    </w:p>
    <w:p w14:paraId="57585E38">
      <w:pPr>
        <w:spacing w:line="360" w:lineRule="auto"/>
        <w:ind w:firstLine="504" w:firstLineChars="200"/>
        <w:contextualSpacing/>
        <w:rPr>
          <w:rFonts w:ascii="宋体" w:hAnsi="宋体"/>
          <w:spacing w:val="6"/>
          <w:sz w:val="24"/>
        </w:rPr>
      </w:pPr>
    </w:p>
    <w:p w14:paraId="38B574C6">
      <w:pPr>
        <w:spacing w:line="360" w:lineRule="auto"/>
        <w:ind w:firstLine="504" w:firstLineChars="200"/>
        <w:contextualSpacing/>
        <w:rPr>
          <w:rFonts w:ascii="宋体" w:hAnsi="宋体"/>
          <w:spacing w:val="6"/>
          <w:sz w:val="24"/>
        </w:rPr>
      </w:pPr>
    </w:p>
    <w:p w14:paraId="05874A96">
      <w:pPr>
        <w:tabs>
          <w:tab w:val="left" w:pos="4860"/>
        </w:tabs>
        <w:spacing w:line="360" w:lineRule="auto"/>
        <w:ind w:right="1560" w:firstLine="504" w:firstLineChars="200"/>
        <w:contextualSpacing/>
        <w:jc w:val="center"/>
        <w:rPr>
          <w:rFonts w:ascii="宋体" w:hAnsi="宋体"/>
          <w:spacing w:val="6"/>
          <w:sz w:val="24"/>
        </w:rPr>
      </w:pPr>
      <w:r>
        <w:rPr>
          <w:rFonts w:hint="eastAsia" w:ascii="宋体" w:hAnsi="宋体"/>
          <w:spacing w:val="6"/>
          <w:sz w:val="24"/>
        </w:rPr>
        <w:t>单位名称（电子签章）：</w:t>
      </w:r>
    </w:p>
    <w:p w14:paraId="18407EBC">
      <w:pPr>
        <w:tabs>
          <w:tab w:val="left" w:pos="4860"/>
        </w:tabs>
        <w:spacing w:line="360" w:lineRule="auto"/>
        <w:ind w:right="1560" w:firstLine="504" w:firstLineChars="200"/>
        <w:contextualSpacing/>
        <w:jc w:val="center"/>
        <w:rPr>
          <w:rFonts w:ascii="宋体" w:hAnsi="宋体"/>
          <w:spacing w:val="6"/>
          <w:sz w:val="24"/>
        </w:rPr>
      </w:pPr>
      <w:r>
        <w:rPr>
          <w:rFonts w:hint="eastAsia" w:ascii="宋体" w:hAnsi="宋体"/>
          <w:spacing w:val="6"/>
          <w:sz w:val="24"/>
        </w:rPr>
        <w:t>日  期：</w:t>
      </w:r>
    </w:p>
    <w:p w14:paraId="7B1ABFD5">
      <w:pPr>
        <w:spacing w:line="360" w:lineRule="auto"/>
        <w:contextualSpacing/>
        <w:rPr>
          <w:rFonts w:ascii="宋体" w:hAnsi="宋体"/>
          <w:sz w:val="24"/>
        </w:rPr>
      </w:pPr>
    </w:p>
    <w:p w14:paraId="6BE11EDF">
      <w:pPr>
        <w:spacing w:line="360" w:lineRule="auto"/>
        <w:contextualSpacing/>
        <w:rPr>
          <w:rFonts w:ascii="宋体" w:hAnsi="宋体"/>
          <w:sz w:val="24"/>
        </w:rPr>
      </w:pPr>
    </w:p>
    <w:p w14:paraId="3F97DD92">
      <w:pPr>
        <w:spacing w:line="360" w:lineRule="auto"/>
        <w:contextualSpacing/>
        <w:rPr>
          <w:rFonts w:ascii="宋体" w:hAnsi="宋体"/>
          <w:sz w:val="24"/>
        </w:rPr>
      </w:pPr>
    </w:p>
    <w:p w14:paraId="57DF3DCB">
      <w:pPr>
        <w:spacing w:line="360" w:lineRule="auto"/>
        <w:ind w:right="420" w:firstLine="480" w:firstLineChars="200"/>
        <w:rPr>
          <w:rFonts w:ascii="宋体" w:hAnsi="宋体" w:cs="宋体"/>
          <w:sz w:val="24"/>
        </w:rPr>
      </w:pPr>
      <w:r>
        <w:rPr>
          <w:rFonts w:hint="eastAsia" w:ascii="宋体" w:hAnsi="宋体"/>
          <w:sz w:val="24"/>
        </w:rPr>
        <w:t>注：请根据自己的真实情况出具《残疾人福利性单位声明函》。依法享受中小企业优惠政策的，采购人或者采购代理机构在公告中标结果时，同时公告其《残疾人福利性单位声明函》，接受社会监督。</w:t>
      </w:r>
    </w:p>
    <w:p w14:paraId="5387219F">
      <w:pPr>
        <w:snapToGrid w:val="0"/>
        <w:spacing w:before="50" w:after="165" w:afterLines="50" w:line="360" w:lineRule="auto"/>
        <w:jc w:val="left"/>
        <w:rPr>
          <w:rFonts w:ascii="宋体" w:hAnsi="宋体" w:cs="宋体"/>
          <w:sz w:val="20"/>
        </w:rPr>
        <w:sectPr>
          <w:pgSz w:w="11906" w:h="16838"/>
          <w:pgMar w:top="1134" w:right="1312" w:bottom="1134" w:left="1354" w:header="720" w:footer="720" w:gutter="0"/>
          <w:cols w:space="720" w:num="1"/>
          <w:docGrid w:type="lines" w:linePitch="331" w:charSpace="0"/>
        </w:sectPr>
      </w:pPr>
    </w:p>
    <w:p w14:paraId="3EA8DD87">
      <w:pPr>
        <w:snapToGrid w:val="0"/>
        <w:spacing w:before="50" w:after="165" w:afterLines="50" w:line="360" w:lineRule="auto"/>
        <w:jc w:val="left"/>
        <w:rPr>
          <w:rFonts w:ascii="宋体" w:hAnsi="宋体" w:cs="宋体"/>
          <w:sz w:val="20"/>
        </w:rPr>
      </w:pPr>
    </w:p>
    <w:p w14:paraId="27221BCE">
      <w:pPr>
        <w:pStyle w:val="20"/>
        <w:tabs>
          <w:tab w:val="left" w:pos="2472"/>
        </w:tabs>
        <w:spacing w:line="460" w:lineRule="exact"/>
        <w:jc w:val="center"/>
        <w:rPr>
          <w:rFonts w:hAnsi="宋体" w:cs="宋体"/>
          <w:b/>
          <w:sz w:val="36"/>
        </w:rPr>
      </w:pPr>
    </w:p>
    <w:p w14:paraId="5E2E7058">
      <w:pPr>
        <w:pStyle w:val="20"/>
        <w:tabs>
          <w:tab w:val="left" w:pos="2472"/>
        </w:tabs>
        <w:spacing w:line="460" w:lineRule="exact"/>
        <w:jc w:val="center"/>
        <w:rPr>
          <w:rFonts w:hAnsi="宋体" w:cs="宋体"/>
          <w:b/>
          <w:sz w:val="36"/>
        </w:rPr>
      </w:pPr>
    </w:p>
    <w:p w14:paraId="6B67B6AF">
      <w:pPr>
        <w:pStyle w:val="20"/>
        <w:tabs>
          <w:tab w:val="left" w:pos="2472"/>
        </w:tabs>
        <w:spacing w:line="460" w:lineRule="exact"/>
        <w:jc w:val="center"/>
        <w:rPr>
          <w:rFonts w:hAnsi="宋体" w:cs="宋体"/>
          <w:b/>
          <w:sz w:val="36"/>
        </w:rPr>
      </w:pPr>
    </w:p>
    <w:p w14:paraId="17DC36ED">
      <w:pPr>
        <w:pStyle w:val="20"/>
        <w:tabs>
          <w:tab w:val="left" w:pos="2472"/>
        </w:tabs>
        <w:spacing w:line="460" w:lineRule="exact"/>
        <w:jc w:val="center"/>
        <w:rPr>
          <w:rFonts w:hAnsi="宋体" w:cs="宋体"/>
          <w:b/>
          <w:sz w:val="36"/>
        </w:rPr>
      </w:pPr>
    </w:p>
    <w:p w14:paraId="287E18B8">
      <w:pPr>
        <w:pStyle w:val="20"/>
        <w:tabs>
          <w:tab w:val="left" w:pos="2472"/>
        </w:tabs>
        <w:spacing w:line="460" w:lineRule="exact"/>
        <w:jc w:val="center"/>
        <w:rPr>
          <w:rFonts w:hAnsi="宋体" w:cs="宋体"/>
          <w:b/>
          <w:sz w:val="36"/>
        </w:rPr>
      </w:pPr>
    </w:p>
    <w:p w14:paraId="50FB11EA">
      <w:pPr>
        <w:pStyle w:val="20"/>
        <w:tabs>
          <w:tab w:val="left" w:pos="2472"/>
        </w:tabs>
        <w:spacing w:line="460" w:lineRule="exact"/>
        <w:jc w:val="center"/>
        <w:rPr>
          <w:rFonts w:hAnsi="宋体" w:cs="宋体"/>
          <w:b/>
          <w:sz w:val="36"/>
        </w:rPr>
      </w:pPr>
    </w:p>
    <w:p w14:paraId="1D1751D7">
      <w:pPr>
        <w:pStyle w:val="20"/>
        <w:tabs>
          <w:tab w:val="left" w:pos="2472"/>
        </w:tabs>
        <w:spacing w:line="460" w:lineRule="exact"/>
        <w:jc w:val="center"/>
        <w:rPr>
          <w:rFonts w:hAnsi="宋体" w:cs="宋体"/>
          <w:b/>
          <w:sz w:val="36"/>
        </w:rPr>
      </w:pPr>
    </w:p>
    <w:p w14:paraId="4ED01C40">
      <w:pPr>
        <w:pStyle w:val="20"/>
        <w:tabs>
          <w:tab w:val="left" w:pos="2472"/>
        </w:tabs>
        <w:spacing w:line="460" w:lineRule="exact"/>
        <w:jc w:val="center"/>
        <w:rPr>
          <w:rFonts w:hAnsi="宋体" w:cs="宋体"/>
          <w:b/>
          <w:sz w:val="36"/>
        </w:rPr>
      </w:pPr>
    </w:p>
    <w:p w14:paraId="64F93796">
      <w:pPr>
        <w:pStyle w:val="20"/>
        <w:tabs>
          <w:tab w:val="left" w:pos="2472"/>
        </w:tabs>
        <w:spacing w:line="460" w:lineRule="exact"/>
        <w:jc w:val="center"/>
        <w:rPr>
          <w:rFonts w:hAnsi="宋体" w:cs="宋体"/>
          <w:b/>
          <w:sz w:val="36"/>
        </w:rPr>
      </w:pPr>
    </w:p>
    <w:p w14:paraId="2F889474">
      <w:pPr>
        <w:pStyle w:val="20"/>
        <w:tabs>
          <w:tab w:val="left" w:pos="2472"/>
        </w:tabs>
        <w:spacing w:line="460" w:lineRule="exact"/>
        <w:jc w:val="center"/>
        <w:rPr>
          <w:rFonts w:hAnsi="宋体" w:cs="宋体"/>
          <w:b/>
          <w:sz w:val="36"/>
        </w:rPr>
      </w:pPr>
    </w:p>
    <w:p w14:paraId="7F496632">
      <w:pPr>
        <w:pStyle w:val="20"/>
        <w:tabs>
          <w:tab w:val="left" w:pos="2472"/>
        </w:tabs>
        <w:spacing w:line="460" w:lineRule="exact"/>
        <w:jc w:val="center"/>
        <w:rPr>
          <w:rFonts w:hAnsi="宋体" w:cs="宋体"/>
          <w:b/>
          <w:sz w:val="36"/>
        </w:rPr>
      </w:pPr>
    </w:p>
    <w:p w14:paraId="56C4FE06">
      <w:pPr>
        <w:pStyle w:val="20"/>
        <w:tabs>
          <w:tab w:val="left" w:pos="2472"/>
        </w:tabs>
        <w:spacing w:line="460" w:lineRule="exact"/>
        <w:jc w:val="center"/>
        <w:outlineLvl w:val="0"/>
        <w:rPr>
          <w:rFonts w:hAnsi="宋体" w:cs="宋体"/>
          <w:b/>
          <w:sz w:val="36"/>
        </w:rPr>
      </w:pPr>
      <w:bookmarkStart w:id="381" w:name="_Toc16487"/>
      <w:bookmarkStart w:id="382" w:name="_Toc14328"/>
      <w:bookmarkStart w:id="383" w:name="_Toc25771"/>
      <w:bookmarkStart w:id="384" w:name="_Toc16314"/>
      <w:r>
        <w:rPr>
          <w:rFonts w:hint="eastAsia" w:hAnsi="宋体" w:cs="宋体"/>
          <w:b/>
          <w:sz w:val="36"/>
        </w:rPr>
        <w:t>第七章 质疑、投诉证明材料格式</w:t>
      </w:r>
      <w:bookmarkEnd w:id="381"/>
      <w:bookmarkEnd w:id="382"/>
      <w:bookmarkEnd w:id="383"/>
      <w:bookmarkEnd w:id="384"/>
    </w:p>
    <w:p w14:paraId="502532F1">
      <w:pPr>
        <w:snapToGrid w:val="0"/>
        <w:spacing w:before="50" w:after="165" w:afterLines="50" w:line="360" w:lineRule="auto"/>
        <w:ind w:firstLine="300" w:firstLineChars="150"/>
        <w:jc w:val="left"/>
        <w:rPr>
          <w:rFonts w:ascii="宋体" w:hAnsi="宋体" w:cs="宋体"/>
          <w:sz w:val="20"/>
        </w:rPr>
        <w:sectPr>
          <w:pgSz w:w="11906" w:h="16838"/>
          <w:pgMar w:top="1134" w:right="1312" w:bottom="1134" w:left="1354" w:header="720" w:footer="720" w:gutter="0"/>
          <w:cols w:space="720" w:num="1"/>
          <w:docGrid w:type="lines" w:linePitch="331" w:charSpace="0"/>
        </w:sectPr>
      </w:pPr>
    </w:p>
    <w:p w14:paraId="13DCBACD">
      <w:pPr>
        <w:widowControl/>
        <w:shd w:val="clear" w:color="auto" w:fill="FFFFFF"/>
        <w:spacing w:line="260" w:lineRule="exact"/>
        <w:jc w:val="left"/>
        <w:rPr>
          <w:rFonts w:ascii="宋体" w:hAnsi="宋体" w:cs="宋体"/>
          <w:b/>
          <w:bCs/>
          <w:sz w:val="28"/>
          <w:szCs w:val="28"/>
        </w:rPr>
      </w:pPr>
    </w:p>
    <w:p w14:paraId="7D41D5D6">
      <w:pPr>
        <w:pStyle w:val="5"/>
        <w:jc w:val="center"/>
        <w:rPr>
          <w:rFonts w:ascii="宋体" w:hAnsi="宋体" w:eastAsia="宋体" w:cs="宋体"/>
          <w:b w:val="0"/>
          <w:bCs w:val="0"/>
        </w:rPr>
      </w:pPr>
      <w:bookmarkStart w:id="385" w:name="_Toc11602"/>
      <w:bookmarkStart w:id="386" w:name="_Toc14386"/>
      <w:bookmarkStart w:id="387" w:name="_Toc14148"/>
      <w:bookmarkStart w:id="388" w:name="_Toc11244"/>
      <w:r>
        <w:rPr>
          <w:rFonts w:hint="eastAsia" w:ascii="宋体" w:hAnsi="宋体" w:eastAsia="宋体" w:cs="宋体"/>
          <w:b w:val="0"/>
          <w:bCs w:val="0"/>
        </w:rPr>
        <w:t>第一节 质疑函（格式）</w:t>
      </w:r>
      <w:bookmarkEnd w:id="385"/>
      <w:bookmarkEnd w:id="386"/>
      <w:bookmarkEnd w:id="387"/>
      <w:bookmarkEnd w:id="388"/>
    </w:p>
    <w:p w14:paraId="773377E8">
      <w:pPr>
        <w:jc w:val="center"/>
        <w:rPr>
          <w:rFonts w:ascii="宋体" w:hAnsi="宋体" w:cs="宋体"/>
          <w:b/>
          <w:bCs/>
          <w:sz w:val="44"/>
          <w:szCs w:val="44"/>
        </w:rPr>
      </w:pPr>
      <w:r>
        <w:rPr>
          <w:rFonts w:hint="eastAsia" w:ascii="宋体" w:hAnsi="宋体" w:cs="宋体"/>
          <w:b/>
          <w:bCs/>
          <w:sz w:val="44"/>
          <w:szCs w:val="44"/>
        </w:rPr>
        <w:t>质疑函范本</w:t>
      </w:r>
    </w:p>
    <w:p w14:paraId="38AEA10D">
      <w:pPr>
        <w:adjustRightInd w:val="0"/>
        <w:snapToGrid w:val="0"/>
        <w:spacing w:before="331" w:beforeLines="100" w:line="360" w:lineRule="auto"/>
        <w:rPr>
          <w:rFonts w:ascii="宋体" w:hAnsi="宋体" w:cs="宋体"/>
          <w:bCs/>
          <w:sz w:val="32"/>
          <w:szCs w:val="32"/>
        </w:rPr>
      </w:pPr>
      <w:r>
        <w:rPr>
          <w:rFonts w:hint="eastAsia" w:ascii="宋体" w:hAnsi="宋体" w:cs="宋体"/>
          <w:bCs/>
          <w:sz w:val="32"/>
          <w:szCs w:val="32"/>
        </w:rPr>
        <w:t>一、质疑供应商基本信息</w:t>
      </w:r>
    </w:p>
    <w:p w14:paraId="297E87A8">
      <w:pPr>
        <w:adjustRightInd w:val="0"/>
        <w:snapToGrid w:val="0"/>
        <w:spacing w:line="360" w:lineRule="auto"/>
        <w:rPr>
          <w:rFonts w:ascii="宋体" w:hAnsi="宋体" w:cs="宋体"/>
          <w:sz w:val="32"/>
          <w:szCs w:val="32"/>
          <w:u w:val="dotted"/>
        </w:rPr>
      </w:pPr>
      <w:r>
        <w:rPr>
          <w:rFonts w:hint="eastAsia" w:ascii="宋体" w:hAnsi="宋体" w:cs="宋体"/>
          <w:sz w:val="32"/>
          <w:szCs w:val="32"/>
        </w:rPr>
        <w:t>质疑供应商：</w:t>
      </w:r>
      <w:r>
        <w:rPr>
          <w:rFonts w:hint="eastAsia" w:ascii="宋体" w:hAnsi="宋体" w:cs="宋体"/>
          <w:sz w:val="32"/>
          <w:szCs w:val="32"/>
          <w:u w:val="dotted"/>
        </w:rPr>
        <w:t xml:space="preserve">                                        </w:t>
      </w:r>
    </w:p>
    <w:p w14:paraId="61D6848B">
      <w:pPr>
        <w:adjustRightInd w:val="0"/>
        <w:snapToGrid w:val="0"/>
        <w:spacing w:line="360" w:lineRule="auto"/>
        <w:rPr>
          <w:rFonts w:ascii="宋体" w:hAnsi="宋体" w:cs="宋体"/>
          <w:sz w:val="32"/>
          <w:szCs w:val="32"/>
        </w:rPr>
      </w:pPr>
      <w:r>
        <w:rPr>
          <w:rFonts w:hint="eastAsia" w:ascii="宋体" w:hAnsi="宋体" w:cs="宋体"/>
          <w:sz w:val="32"/>
          <w:szCs w:val="32"/>
        </w:rPr>
        <w:t>地址：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p>
    <w:p w14:paraId="14A7EAB6">
      <w:pPr>
        <w:adjustRightInd w:val="0"/>
        <w:snapToGrid w:val="0"/>
        <w:spacing w:line="360" w:lineRule="auto"/>
        <w:rPr>
          <w:rFonts w:ascii="宋体" w:hAnsi="宋体" w:cs="宋体"/>
          <w:sz w:val="32"/>
          <w:szCs w:val="32"/>
        </w:rPr>
      </w:pPr>
      <w:r>
        <w:rPr>
          <w:rFonts w:hint="eastAsia" w:ascii="宋体" w:hAnsi="宋体" w:cs="宋体"/>
          <w:sz w:val="32"/>
          <w:szCs w:val="32"/>
        </w:rPr>
        <w:t>联系人：</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p>
    <w:p w14:paraId="1C5AC486">
      <w:pPr>
        <w:adjustRightInd w:val="0"/>
        <w:snapToGrid w:val="0"/>
        <w:spacing w:line="360" w:lineRule="auto"/>
        <w:rPr>
          <w:rFonts w:ascii="宋体" w:hAnsi="宋体" w:cs="宋体"/>
          <w:sz w:val="32"/>
          <w:szCs w:val="32"/>
          <w:u w:val="dotted"/>
        </w:rPr>
      </w:pPr>
      <w:r>
        <w:rPr>
          <w:rFonts w:hint="eastAsia" w:ascii="宋体" w:hAnsi="宋体" w:cs="宋体"/>
          <w:sz w:val="32"/>
          <w:szCs w:val="32"/>
        </w:rPr>
        <w:t>授权代表：</w:t>
      </w:r>
      <w:r>
        <w:rPr>
          <w:rFonts w:hint="eastAsia" w:ascii="宋体" w:hAnsi="宋体" w:cs="宋体"/>
          <w:sz w:val="32"/>
          <w:szCs w:val="32"/>
          <w:u w:val="dotted"/>
        </w:rPr>
        <w:t xml:space="preserve">                                          </w:t>
      </w:r>
    </w:p>
    <w:p w14:paraId="730409FA">
      <w:pPr>
        <w:adjustRightInd w:val="0"/>
        <w:snapToGrid w:val="0"/>
        <w:spacing w:line="360" w:lineRule="auto"/>
        <w:rPr>
          <w:rFonts w:ascii="宋体" w:hAnsi="宋体" w:cs="宋体"/>
          <w:sz w:val="32"/>
          <w:szCs w:val="32"/>
        </w:rPr>
      </w:pPr>
      <w:r>
        <w:rPr>
          <w:rFonts w:hint="eastAsia" w:ascii="宋体" w:hAnsi="宋体" w:cs="宋体"/>
          <w:sz w:val="32"/>
          <w:szCs w:val="32"/>
        </w:rPr>
        <w:t>联系电话：</w:t>
      </w:r>
      <w:r>
        <w:rPr>
          <w:rFonts w:hint="eastAsia" w:ascii="宋体" w:hAnsi="宋体" w:cs="宋体"/>
          <w:sz w:val="32"/>
          <w:szCs w:val="32"/>
          <w:u w:val="dotted"/>
        </w:rPr>
        <w:t xml:space="preserve">                                           </w:t>
      </w:r>
      <w:r>
        <w:rPr>
          <w:rFonts w:hint="eastAsia" w:ascii="宋体" w:hAnsi="宋体" w:cs="宋体"/>
          <w:sz w:val="32"/>
          <w:szCs w:val="32"/>
        </w:rPr>
        <w:t xml:space="preserve"> </w:t>
      </w:r>
    </w:p>
    <w:p w14:paraId="333F9B45">
      <w:pPr>
        <w:adjustRightInd w:val="0"/>
        <w:snapToGrid w:val="0"/>
        <w:spacing w:line="360" w:lineRule="auto"/>
        <w:rPr>
          <w:rFonts w:ascii="宋体" w:hAnsi="宋体" w:cs="宋体"/>
          <w:sz w:val="32"/>
          <w:szCs w:val="32"/>
        </w:rPr>
      </w:pPr>
      <w:r>
        <w:rPr>
          <w:rFonts w:hint="eastAsia" w:ascii="宋体" w:hAnsi="宋体" w:cs="宋体"/>
          <w:sz w:val="32"/>
          <w:szCs w:val="32"/>
        </w:rPr>
        <w:t xml:space="preserve">地址： </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p>
    <w:p w14:paraId="6D0861A2">
      <w:pPr>
        <w:adjustRightInd w:val="0"/>
        <w:snapToGrid w:val="0"/>
        <w:spacing w:line="360" w:lineRule="auto"/>
        <w:rPr>
          <w:rFonts w:ascii="宋体" w:hAnsi="宋体" w:cs="宋体"/>
          <w:bCs/>
          <w:sz w:val="32"/>
          <w:szCs w:val="32"/>
        </w:rPr>
      </w:pPr>
      <w:r>
        <w:rPr>
          <w:rFonts w:hint="eastAsia" w:ascii="宋体" w:hAnsi="宋体" w:cs="宋体"/>
          <w:bCs/>
          <w:sz w:val="32"/>
          <w:szCs w:val="32"/>
        </w:rPr>
        <w:t>二、质疑项目基本情况</w:t>
      </w:r>
    </w:p>
    <w:p w14:paraId="6DF18AEB">
      <w:pPr>
        <w:adjustRightInd w:val="0"/>
        <w:snapToGrid w:val="0"/>
        <w:spacing w:line="360" w:lineRule="auto"/>
        <w:rPr>
          <w:rFonts w:ascii="宋体" w:hAnsi="宋体" w:cs="宋体"/>
          <w:sz w:val="32"/>
          <w:szCs w:val="32"/>
        </w:rPr>
      </w:pPr>
      <w:r>
        <w:rPr>
          <w:rFonts w:hint="eastAsia" w:ascii="宋体" w:hAnsi="宋体" w:cs="宋体"/>
          <w:sz w:val="32"/>
          <w:szCs w:val="32"/>
        </w:rPr>
        <w:t>质疑项目的名称：</w:t>
      </w:r>
      <w:r>
        <w:rPr>
          <w:rFonts w:hint="eastAsia" w:ascii="宋体" w:hAnsi="宋体" w:cs="宋体"/>
          <w:sz w:val="32"/>
          <w:szCs w:val="32"/>
          <w:u w:val="dotted"/>
        </w:rPr>
        <w:t xml:space="preserve">                       </w:t>
      </w:r>
    </w:p>
    <w:p w14:paraId="1CC11D44">
      <w:pPr>
        <w:adjustRightInd w:val="0"/>
        <w:snapToGrid w:val="0"/>
        <w:spacing w:line="360" w:lineRule="auto"/>
        <w:rPr>
          <w:rFonts w:ascii="宋体" w:hAnsi="宋体" w:cs="宋体"/>
          <w:sz w:val="32"/>
          <w:szCs w:val="32"/>
        </w:rPr>
      </w:pPr>
      <w:r>
        <w:rPr>
          <w:rFonts w:hint="eastAsia" w:ascii="宋体" w:hAnsi="宋体" w:cs="宋体"/>
          <w:sz w:val="32"/>
          <w:szCs w:val="32"/>
        </w:rPr>
        <w:t>质疑项目的编号：</w:t>
      </w:r>
      <w:r>
        <w:rPr>
          <w:rFonts w:hint="eastAsia" w:ascii="宋体" w:hAnsi="宋体" w:cs="宋体"/>
          <w:sz w:val="32"/>
          <w:szCs w:val="32"/>
          <w:u w:val="dotted"/>
        </w:rPr>
        <w:t xml:space="preserve">                   </w:t>
      </w:r>
      <w:r>
        <w:rPr>
          <w:rFonts w:hint="eastAsia" w:ascii="宋体" w:hAnsi="宋体" w:cs="宋体"/>
          <w:sz w:val="32"/>
          <w:szCs w:val="32"/>
        </w:rPr>
        <w:t>包号：</w:t>
      </w:r>
      <w:r>
        <w:rPr>
          <w:rFonts w:hint="eastAsia" w:ascii="宋体" w:hAnsi="宋体" w:cs="宋体"/>
          <w:sz w:val="32"/>
          <w:szCs w:val="32"/>
          <w:u w:val="dotted"/>
        </w:rPr>
        <w:t xml:space="preserve">                 </w:t>
      </w:r>
    </w:p>
    <w:p w14:paraId="48C7984A">
      <w:pPr>
        <w:adjustRightInd w:val="0"/>
        <w:snapToGrid w:val="0"/>
        <w:spacing w:line="360" w:lineRule="auto"/>
        <w:rPr>
          <w:rFonts w:ascii="宋体" w:hAnsi="宋体" w:cs="宋体"/>
          <w:sz w:val="32"/>
          <w:szCs w:val="32"/>
          <w:u w:val="dotted"/>
        </w:rPr>
      </w:pPr>
      <w:r>
        <w:rPr>
          <w:rFonts w:hint="eastAsia" w:ascii="宋体" w:hAnsi="宋体" w:cs="宋体"/>
          <w:sz w:val="32"/>
          <w:szCs w:val="32"/>
        </w:rPr>
        <w:t>采购人名称：</w:t>
      </w:r>
      <w:r>
        <w:rPr>
          <w:rFonts w:hint="eastAsia" w:ascii="宋体" w:hAnsi="宋体" w:cs="宋体"/>
          <w:sz w:val="32"/>
          <w:szCs w:val="32"/>
          <w:u w:val="dotted"/>
        </w:rPr>
        <w:t xml:space="preserve">                                 </w:t>
      </w:r>
    </w:p>
    <w:p w14:paraId="5CFD5880">
      <w:pPr>
        <w:adjustRightInd w:val="0"/>
        <w:snapToGrid w:val="0"/>
        <w:spacing w:line="360" w:lineRule="auto"/>
        <w:rPr>
          <w:rFonts w:ascii="宋体" w:hAnsi="宋体" w:cs="宋体"/>
          <w:sz w:val="32"/>
          <w:szCs w:val="32"/>
        </w:rPr>
      </w:pPr>
      <w:r>
        <w:rPr>
          <w:rFonts w:hint="eastAsia" w:ascii="宋体" w:hAnsi="宋体" w:cs="宋体"/>
          <w:sz w:val="32"/>
          <w:szCs w:val="32"/>
        </w:rPr>
        <w:t>采购文件获取日期：</w:t>
      </w:r>
      <w:r>
        <w:rPr>
          <w:rFonts w:hint="eastAsia" w:ascii="宋体" w:hAnsi="宋体" w:cs="宋体"/>
          <w:sz w:val="32"/>
          <w:szCs w:val="32"/>
          <w:u w:val="dotted"/>
        </w:rPr>
        <w:t xml:space="preserve">                                           </w:t>
      </w:r>
    </w:p>
    <w:p w14:paraId="22D48A5C">
      <w:pPr>
        <w:adjustRightInd w:val="0"/>
        <w:snapToGrid w:val="0"/>
        <w:spacing w:line="360" w:lineRule="auto"/>
        <w:rPr>
          <w:rFonts w:ascii="宋体" w:hAnsi="宋体" w:cs="宋体"/>
          <w:bCs/>
          <w:sz w:val="32"/>
          <w:szCs w:val="32"/>
        </w:rPr>
      </w:pPr>
      <w:r>
        <w:rPr>
          <w:rFonts w:hint="eastAsia" w:ascii="宋体" w:hAnsi="宋体" w:cs="宋体"/>
          <w:bCs/>
          <w:sz w:val="32"/>
          <w:szCs w:val="32"/>
        </w:rPr>
        <w:t>三、质疑事项具体内容</w:t>
      </w:r>
    </w:p>
    <w:p w14:paraId="15E3B24E">
      <w:pPr>
        <w:adjustRightInd w:val="0"/>
        <w:snapToGrid w:val="0"/>
        <w:spacing w:line="360" w:lineRule="auto"/>
        <w:rPr>
          <w:rFonts w:ascii="宋体" w:hAnsi="宋体" w:cs="宋体"/>
          <w:sz w:val="32"/>
          <w:szCs w:val="32"/>
          <w:u w:val="dotted"/>
        </w:rPr>
      </w:pPr>
      <w:r>
        <w:rPr>
          <w:rFonts w:hint="eastAsia" w:ascii="宋体" w:hAnsi="宋体" w:cs="宋体"/>
          <w:sz w:val="32"/>
          <w:szCs w:val="32"/>
        </w:rPr>
        <w:t>质疑事项1：</w:t>
      </w:r>
      <w:r>
        <w:rPr>
          <w:rFonts w:hint="eastAsia" w:ascii="宋体" w:hAnsi="宋体" w:cs="宋体"/>
          <w:sz w:val="32"/>
          <w:szCs w:val="32"/>
          <w:u w:val="dotted"/>
        </w:rPr>
        <w:t xml:space="preserve">                                         </w:t>
      </w:r>
    </w:p>
    <w:p w14:paraId="79FEC13D">
      <w:pPr>
        <w:adjustRightInd w:val="0"/>
        <w:snapToGrid w:val="0"/>
        <w:spacing w:line="360" w:lineRule="auto"/>
        <w:rPr>
          <w:rFonts w:ascii="宋体" w:hAnsi="宋体" w:cs="宋体"/>
          <w:sz w:val="32"/>
          <w:szCs w:val="32"/>
          <w:u w:val="dotted"/>
        </w:rPr>
      </w:pPr>
      <w:r>
        <w:rPr>
          <w:rFonts w:hint="eastAsia" w:ascii="宋体" w:hAnsi="宋体" w:cs="宋体"/>
          <w:sz w:val="32"/>
          <w:szCs w:val="32"/>
        </w:rPr>
        <w:t>事实依据：</w:t>
      </w:r>
      <w:r>
        <w:rPr>
          <w:rFonts w:hint="eastAsia" w:ascii="宋体" w:hAnsi="宋体" w:cs="宋体"/>
          <w:sz w:val="32"/>
          <w:szCs w:val="32"/>
          <w:u w:val="dotted"/>
        </w:rPr>
        <w:t xml:space="preserve">                                          </w:t>
      </w:r>
    </w:p>
    <w:p w14:paraId="2452DE5E">
      <w:pPr>
        <w:adjustRightInd w:val="0"/>
        <w:snapToGrid w:val="0"/>
        <w:spacing w:line="360" w:lineRule="auto"/>
        <w:rPr>
          <w:rFonts w:ascii="宋体" w:hAnsi="宋体" w:cs="宋体"/>
          <w:sz w:val="32"/>
          <w:szCs w:val="32"/>
        </w:rPr>
      </w:pPr>
      <w:r>
        <w:rPr>
          <w:rFonts w:hint="eastAsia" w:ascii="宋体" w:hAnsi="宋体" w:cs="宋体"/>
          <w:sz w:val="32"/>
          <w:szCs w:val="32"/>
          <w:u w:val="dotted"/>
        </w:rPr>
        <w:t xml:space="preserve">                                                       </w:t>
      </w:r>
    </w:p>
    <w:p w14:paraId="7CF54BCA">
      <w:pPr>
        <w:adjustRightInd w:val="0"/>
        <w:snapToGrid w:val="0"/>
        <w:spacing w:line="360" w:lineRule="auto"/>
        <w:rPr>
          <w:rFonts w:ascii="宋体" w:hAnsi="宋体" w:cs="宋体"/>
          <w:sz w:val="32"/>
          <w:szCs w:val="32"/>
          <w:u w:val="dotted"/>
        </w:rPr>
      </w:pPr>
      <w:r>
        <w:rPr>
          <w:rFonts w:hint="eastAsia" w:ascii="宋体" w:hAnsi="宋体" w:cs="宋体"/>
          <w:sz w:val="32"/>
          <w:szCs w:val="32"/>
        </w:rPr>
        <w:t>法律依据：</w:t>
      </w:r>
      <w:r>
        <w:rPr>
          <w:rFonts w:hint="eastAsia" w:ascii="宋体" w:hAnsi="宋体" w:cs="宋体"/>
          <w:sz w:val="32"/>
          <w:szCs w:val="32"/>
          <w:u w:val="dotted"/>
        </w:rPr>
        <w:t xml:space="preserve">                                          </w:t>
      </w:r>
    </w:p>
    <w:p w14:paraId="6BFB0FBC">
      <w:pPr>
        <w:adjustRightInd w:val="0"/>
        <w:snapToGrid w:val="0"/>
        <w:spacing w:line="360" w:lineRule="auto"/>
        <w:rPr>
          <w:rFonts w:ascii="宋体" w:hAnsi="宋体" w:cs="宋体"/>
          <w:sz w:val="32"/>
          <w:szCs w:val="32"/>
          <w:u w:val="dotted"/>
        </w:rPr>
      </w:pPr>
      <w:r>
        <w:rPr>
          <w:rFonts w:hint="eastAsia" w:ascii="宋体" w:hAnsi="宋体" w:cs="宋体"/>
          <w:sz w:val="32"/>
          <w:szCs w:val="32"/>
          <w:u w:val="dotted"/>
        </w:rPr>
        <w:t xml:space="preserve">                                                     </w:t>
      </w:r>
    </w:p>
    <w:p w14:paraId="3BD44207">
      <w:pPr>
        <w:adjustRightInd w:val="0"/>
        <w:snapToGrid w:val="0"/>
        <w:spacing w:line="360" w:lineRule="auto"/>
        <w:rPr>
          <w:rFonts w:ascii="宋体" w:hAnsi="宋体" w:cs="宋体"/>
          <w:sz w:val="32"/>
          <w:szCs w:val="32"/>
          <w:u w:val="dotted"/>
        </w:rPr>
      </w:pPr>
      <w:r>
        <w:rPr>
          <w:rFonts w:hint="eastAsia" w:ascii="宋体" w:hAnsi="宋体" w:cs="宋体"/>
          <w:sz w:val="32"/>
          <w:szCs w:val="32"/>
        </w:rPr>
        <w:t>质疑事项2</w:t>
      </w:r>
    </w:p>
    <w:p w14:paraId="7716A45A">
      <w:pPr>
        <w:adjustRightInd w:val="0"/>
        <w:snapToGrid w:val="0"/>
        <w:spacing w:line="360" w:lineRule="auto"/>
        <w:rPr>
          <w:rFonts w:ascii="宋体" w:hAnsi="宋体" w:cs="宋体"/>
          <w:sz w:val="32"/>
          <w:szCs w:val="32"/>
        </w:rPr>
      </w:pPr>
      <w:r>
        <w:rPr>
          <w:rFonts w:hint="eastAsia" w:ascii="宋体" w:hAnsi="宋体" w:cs="宋体"/>
          <w:sz w:val="32"/>
          <w:szCs w:val="32"/>
        </w:rPr>
        <w:t>……</w:t>
      </w:r>
    </w:p>
    <w:p w14:paraId="546183B4">
      <w:pPr>
        <w:adjustRightInd w:val="0"/>
        <w:snapToGrid w:val="0"/>
        <w:spacing w:line="360" w:lineRule="auto"/>
        <w:rPr>
          <w:rFonts w:ascii="宋体" w:hAnsi="宋体" w:cs="宋体"/>
          <w:bCs/>
          <w:sz w:val="32"/>
          <w:szCs w:val="32"/>
        </w:rPr>
      </w:pPr>
      <w:r>
        <w:rPr>
          <w:rFonts w:hint="eastAsia" w:ascii="宋体" w:hAnsi="宋体" w:cs="宋体"/>
          <w:bCs/>
          <w:sz w:val="32"/>
          <w:szCs w:val="32"/>
        </w:rPr>
        <w:t>四、与质疑事项相关的质疑请求</w:t>
      </w:r>
    </w:p>
    <w:p w14:paraId="05B62997">
      <w:pPr>
        <w:adjustRightInd w:val="0"/>
        <w:snapToGrid w:val="0"/>
        <w:spacing w:line="360" w:lineRule="auto"/>
        <w:rPr>
          <w:rFonts w:ascii="宋体" w:hAnsi="宋体" w:cs="宋体"/>
          <w:sz w:val="32"/>
          <w:szCs w:val="32"/>
          <w:u w:val="dotted"/>
        </w:rPr>
      </w:pPr>
      <w:r>
        <w:rPr>
          <w:rFonts w:hint="eastAsia" w:ascii="宋体" w:hAnsi="宋体" w:cs="宋体"/>
          <w:sz w:val="32"/>
          <w:szCs w:val="32"/>
        </w:rPr>
        <w:t>请求：</w:t>
      </w:r>
      <w:r>
        <w:rPr>
          <w:rFonts w:hint="eastAsia" w:ascii="宋体" w:hAnsi="宋体" w:cs="宋体"/>
          <w:sz w:val="32"/>
          <w:szCs w:val="32"/>
          <w:u w:val="dotted"/>
        </w:rPr>
        <w:t xml:space="preserve">                                               </w:t>
      </w:r>
    </w:p>
    <w:p w14:paraId="7B870997">
      <w:pPr>
        <w:outlineLvl w:val="0"/>
        <w:rPr>
          <w:rFonts w:ascii="宋体" w:hAnsi="宋体" w:cs="宋体"/>
          <w:sz w:val="30"/>
          <w:szCs w:val="30"/>
        </w:rPr>
      </w:pPr>
      <w:bookmarkStart w:id="389" w:name="_Toc6409"/>
      <w:bookmarkStart w:id="390" w:name="_Toc16131"/>
      <w:bookmarkStart w:id="391" w:name="_Toc25419"/>
      <w:r>
        <w:rPr>
          <w:rFonts w:hint="eastAsia" w:ascii="宋体" w:hAnsi="宋体" w:cs="宋体"/>
          <w:sz w:val="30"/>
          <w:szCs w:val="30"/>
        </w:rPr>
        <w:t>签字(签章)：                   公章：</w:t>
      </w:r>
      <w:bookmarkEnd w:id="389"/>
      <w:bookmarkEnd w:id="390"/>
      <w:bookmarkEnd w:id="391"/>
      <w:r>
        <w:rPr>
          <w:rFonts w:hint="eastAsia" w:ascii="宋体" w:hAnsi="宋体" w:cs="宋体"/>
          <w:sz w:val="30"/>
          <w:szCs w:val="30"/>
        </w:rPr>
        <w:t xml:space="preserve">                      </w:t>
      </w:r>
    </w:p>
    <w:p w14:paraId="55B1869E">
      <w:pPr>
        <w:outlineLvl w:val="0"/>
        <w:rPr>
          <w:rFonts w:ascii="宋体" w:hAnsi="宋体" w:cs="宋体"/>
          <w:sz w:val="30"/>
          <w:szCs w:val="30"/>
        </w:rPr>
      </w:pPr>
      <w:bookmarkStart w:id="392" w:name="_Toc5290"/>
      <w:bookmarkStart w:id="393" w:name="_Toc28805"/>
      <w:bookmarkStart w:id="394" w:name="_Toc22084"/>
      <w:r>
        <w:rPr>
          <w:rFonts w:hint="eastAsia" w:ascii="宋体" w:hAnsi="宋体" w:cs="宋体"/>
          <w:sz w:val="30"/>
          <w:szCs w:val="30"/>
        </w:rPr>
        <w:t>日期：</w:t>
      </w:r>
      <w:bookmarkEnd w:id="392"/>
      <w:bookmarkEnd w:id="393"/>
      <w:bookmarkEnd w:id="394"/>
      <w:r>
        <w:rPr>
          <w:rFonts w:hint="eastAsia" w:ascii="宋体" w:hAnsi="宋体" w:cs="宋体"/>
          <w:sz w:val="30"/>
          <w:szCs w:val="30"/>
        </w:rPr>
        <w:t xml:space="preserve">    </w:t>
      </w:r>
    </w:p>
    <w:p w14:paraId="2A11EEC4">
      <w:pPr>
        <w:adjustRightInd w:val="0"/>
        <w:snapToGrid w:val="0"/>
        <w:spacing w:line="360" w:lineRule="auto"/>
        <w:rPr>
          <w:rFonts w:ascii="宋体" w:hAnsi="宋体" w:cs="宋体"/>
          <w:sz w:val="32"/>
          <w:szCs w:val="32"/>
        </w:rPr>
      </w:pPr>
    </w:p>
    <w:p w14:paraId="2E0E7AF7">
      <w:pPr>
        <w:adjustRightInd w:val="0"/>
        <w:snapToGrid w:val="0"/>
        <w:spacing w:line="360" w:lineRule="auto"/>
        <w:rPr>
          <w:rFonts w:ascii="宋体" w:hAnsi="宋体" w:cs="宋体"/>
          <w:sz w:val="32"/>
          <w:szCs w:val="32"/>
        </w:rPr>
      </w:pPr>
    </w:p>
    <w:p w14:paraId="692C05A6">
      <w:pPr>
        <w:jc w:val="center"/>
        <w:rPr>
          <w:rFonts w:ascii="宋体" w:hAnsi="宋体" w:cs="宋体"/>
          <w:b/>
          <w:bCs/>
          <w:sz w:val="32"/>
          <w:szCs w:val="32"/>
        </w:rPr>
      </w:pPr>
    </w:p>
    <w:p w14:paraId="00A372A2">
      <w:pPr>
        <w:jc w:val="center"/>
        <w:rPr>
          <w:rFonts w:ascii="宋体" w:hAnsi="宋体" w:cs="宋体"/>
          <w:b/>
          <w:bCs/>
          <w:sz w:val="32"/>
          <w:szCs w:val="32"/>
        </w:rPr>
      </w:pPr>
    </w:p>
    <w:p w14:paraId="1D7E6AE2">
      <w:pPr>
        <w:jc w:val="center"/>
        <w:rPr>
          <w:rFonts w:ascii="宋体" w:hAnsi="宋体" w:cs="宋体"/>
          <w:b/>
          <w:bCs/>
          <w:sz w:val="32"/>
          <w:szCs w:val="32"/>
        </w:rPr>
      </w:pPr>
    </w:p>
    <w:p w14:paraId="31233B91">
      <w:pPr>
        <w:jc w:val="center"/>
        <w:rPr>
          <w:rFonts w:ascii="宋体" w:hAnsi="宋体" w:cs="宋体"/>
          <w:b/>
          <w:bCs/>
          <w:sz w:val="32"/>
          <w:szCs w:val="32"/>
        </w:rPr>
      </w:pPr>
    </w:p>
    <w:p w14:paraId="581C0717">
      <w:pPr>
        <w:jc w:val="center"/>
        <w:rPr>
          <w:rFonts w:ascii="宋体" w:hAnsi="宋体" w:cs="宋体"/>
          <w:b/>
          <w:bCs/>
          <w:sz w:val="32"/>
          <w:szCs w:val="32"/>
        </w:rPr>
      </w:pPr>
    </w:p>
    <w:p w14:paraId="0857C60B">
      <w:pPr>
        <w:jc w:val="center"/>
        <w:rPr>
          <w:rFonts w:ascii="宋体" w:hAnsi="宋体" w:cs="宋体"/>
          <w:b/>
          <w:bCs/>
          <w:sz w:val="32"/>
          <w:szCs w:val="32"/>
        </w:rPr>
      </w:pPr>
    </w:p>
    <w:p w14:paraId="6EA8BFC7">
      <w:pPr>
        <w:jc w:val="center"/>
        <w:rPr>
          <w:rFonts w:ascii="宋体" w:hAnsi="宋体" w:cs="宋体"/>
          <w:b/>
          <w:bCs/>
          <w:sz w:val="32"/>
          <w:szCs w:val="32"/>
        </w:rPr>
      </w:pPr>
    </w:p>
    <w:p w14:paraId="746C6815">
      <w:pPr>
        <w:rPr>
          <w:rFonts w:ascii="宋体" w:hAnsi="宋体" w:cs="宋体"/>
          <w:b/>
          <w:sz w:val="32"/>
          <w:szCs w:val="32"/>
        </w:rPr>
      </w:pPr>
    </w:p>
    <w:p w14:paraId="47ADC13E">
      <w:pPr>
        <w:rPr>
          <w:rFonts w:ascii="宋体" w:hAnsi="宋体" w:cs="宋体"/>
          <w:b/>
          <w:sz w:val="32"/>
          <w:szCs w:val="32"/>
        </w:rPr>
      </w:pPr>
    </w:p>
    <w:p w14:paraId="41AECBC2">
      <w:pPr>
        <w:rPr>
          <w:rFonts w:ascii="宋体" w:hAnsi="宋体" w:cs="宋体"/>
          <w:b/>
          <w:sz w:val="32"/>
          <w:szCs w:val="32"/>
        </w:rPr>
      </w:pPr>
    </w:p>
    <w:p w14:paraId="71635E4A">
      <w:pPr>
        <w:rPr>
          <w:rFonts w:ascii="宋体" w:hAnsi="宋体" w:cs="宋体"/>
          <w:b/>
          <w:sz w:val="32"/>
          <w:szCs w:val="32"/>
        </w:rPr>
      </w:pPr>
    </w:p>
    <w:p w14:paraId="167CEB2B">
      <w:pPr>
        <w:rPr>
          <w:rFonts w:ascii="宋体" w:hAnsi="宋体" w:cs="宋体"/>
          <w:b/>
          <w:sz w:val="32"/>
          <w:szCs w:val="32"/>
        </w:rPr>
      </w:pPr>
    </w:p>
    <w:p w14:paraId="0A5B98D0">
      <w:pPr>
        <w:rPr>
          <w:rFonts w:ascii="宋体" w:hAnsi="宋体" w:cs="宋体"/>
          <w:b/>
          <w:sz w:val="32"/>
          <w:szCs w:val="32"/>
        </w:rPr>
      </w:pPr>
    </w:p>
    <w:p w14:paraId="558D419F">
      <w:pPr>
        <w:rPr>
          <w:rFonts w:ascii="宋体" w:hAnsi="宋体" w:cs="宋体"/>
          <w:b/>
          <w:sz w:val="32"/>
          <w:szCs w:val="32"/>
        </w:rPr>
      </w:pPr>
    </w:p>
    <w:p w14:paraId="4544DA96">
      <w:pPr>
        <w:rPr>
          <w:rFonts w:ascii="宋体" w:hAnsi="宋体" w:cs="宋体"/>
          <w:b/>
          <w:sz w:val="32"/>
          <w:szCs w:val="32"/>
        </w:rPr>
      </w:pPr>
    </w:p>
    <w:p w14:paraId="21C5C9F1">
      <w:pPr>
        <w:rPr>
          <w:rFonts w:ascii="宋体" w:hAnsi="宋体" w:cs="宋体"/>
          <w:b/>
          <w:sz w:val="32"/>
          <w:szCs w:val="32"/>
        </w:rPr>
      </w:pPr>
    </w:p>
    <w:p w14:paraId="7CFC5E8C">
      <w:pPr>
        <w:outlineLvl w:val="0"/>
        <w:rPr>
          <w:rFonts w:ascii="宋体" w:hAnsi="宋体" w:cs="宋体"/>
          <w:b/>
          <w:sz w:val="32"/>
          <w:szCs w:val="32"/>
        </w:rPr>
      </w:pPr>
      <w:bookmarkStart w:id="395" w:name="_Toc12898"/>
      <w:bookmarkStart w:id="396" w:name="_Toc2935"/>
      <w:bookmarkStart w:id="397" w:name="_Toc25895"/>
      <w:r>
        <w:rPr>
          <w:rFonts w:hint="eastAsia" w:ascii="宋体" w:hAnsi="宋体" w:cs="宋体"/>
          <w:b/>
          <w:sz w:val="32"/>
          <w:szCs w:val="32"/>
        </w:rPr>
        <w:t>质疑函制作说明：</w:t>
      </w:r>
      <w:bookmarkEnd w:id="395"/>
      <w:bookmarkEnd w:id="396"/>
      <w:bookmarkEnd w:id="397"/>
    </w:p>
    <w:p w14:paraId="4B8008EF">
      <w:pPr>
        <w:widowControl/>
        <w:ind w:firstLine="640" w:firstLineChars="200"/>
        <w:jc w:val="left"/>
        <w:rPr>
          <w:rFonts w:ascii="宋体" w:hAnsi="宋体" w:cs="宋体"/>
          <w:sz w:val="32"/>
          <w:szCs w:val="32"/>
        </w:rPr>
      </w:pPr>
      <w:r>
        <w:rPr>
          <w:rFonts w:hint="eastAsia" w:ascii="宋体" w:hAnsi="宋体" w:cs="宋体"/>
          <w:sz w:val="32"/>
          <w:szCs w:val="32"/>
        </w:rPr>
        <w:t>1.供应商提出质疑时，应提交质疑函和必要的证明材料。</w:t>
      </w:r>
    </w:p>
    <w:p w14:paraId="6375EB3D">
      <w:pPr>
        <w:widowControl/>
        <w:ind w:firstLine="640" w:firstLineChars="200"/>
        <w:jc w:val="left"/>
        <w:rPr>
          <w:rFonts w:ascii="宋体" w:hAnsi="宋体" w:cs="宋体"/>
          <w:sz w:val="32"/>
          <w:szCs w:val="32"/>
        </w:rPr>
      </w:pPr>
      <w:r>
        <w:rPr>
          <w:rFonts w:hint="eastAsia" w:ascii="宋体" w:hAnsi="宋体" w:cs="宋体"/>
          <w:sz w:val="32"/>
          <w:szCs w:val="32"/>
        </w:rPr>
        <w:t>2.质疑供应商若委托代理人进行质疑的，质疑函应按要求列明“授权代表”的有关内容，并在附件中提交由质疑</w:t>
      </w:r>
      <w:r>
        <w:rPr>
          <w:rFonts w:hint="eastAsia" w:ascii="宋体" w:hAnsi="宋体" w:cs="宋体"/>
          <w:kern w:val="0"/>
          <w:sz w:val="32"/>
          <w:szCs w:val="32"/>
        </w:rPr>
        <w:t>供应商签署的授权委托书。授权委托书应载明代理人的姓名或者名称、代理事项、具体权限、期限和相关事项。</w:t>
      </w:r>
    </w:p>
    <w:p w14:paraId="10D08C8A">
      <w:pPr>
        <w:widowControl/>
        <w:ind w:firstLine="640" w:firstLineChars="200"/>
        <w:jc w:val="left"/>
        <w:rPr>
          <w:rFonts w:ascii="宋体" w:hAnsi="宋体" w:cs="宋体"/>
          <w:sz w:val="32"/>
          <w:szCs w:val="32"/>
        </w:rPr>
      </w:pPr>
      <w:r>
        <w:rPr>
          <w:rFonts w:hint="eastAsia" w:ascii="宋体" w:hAnsi="宋体" w:cs="宋体"/>
          <w:sz w:val="32"/>
          <w:szCs w:val="32"/>
        </w:rPr>
        <w:t>3.质疑供应商若对项目的某一分包进行质疑，质疑函中应列明具体分包号。</w:t>
      </w:r>
    </w:p>
    <w:p w14:paraId="1C78E5A0">
      <w:pPr>
        <w:widowControl/>
        <w:ind w:firstLine="640" w:firstLineChars="200"/>
        <w:jc w:val="left"/>
        <w:rPr>
          <w:rFonts w:ascii="宋体" w:hAnsi="宋体" w:cs="宋体"/>
          <w:sz w:val="32"/>
          <w:szCs w:val="32"/>
        </w:rPr>
      </w:pPr>
      <w:r>
        <w:rPr>
          <w:rFonts w:hint="eastAsia" w:ascii="宋体" w:hAnsi="宋体" w:cs="宋体"/>
          <w:sz w:val="32"/>
          <w:szCs w:val="32"/>
        </w:rPr>
        <w:t>4.质疑函的质疑事项应具体、明确，并有必要的事实依据和法律依据。</w:t>
      </w:r>
    </w:p>
    <w:p w14:paraId="7E6BA5F4">
      <w:pPr>
        <w:widowControl/>
        <w:ind w:firstLine="640" w:firstLineChars="200"/>
        <w:jc w:val="left"/>
        <w:rPr>
          <w:rFonts w:ascii="宋体" w:hAnsi="宋体" w:cs="宋体"/>
          <w:sz w:val="32"/>
          <w:szCs w:val="32"/>
        </w:rPr>
      </w:pPr>
      <w:r>
        <w:rPr>
          <w:rFonts w:hint="eastAsia" w:ascii="宋体" w:hAnsi="宋体" w:cs="宋体"/>
          <w:sz w:val="32"/>
          <w:szCs w:val="32"/>
        </w:rPr>
        <w:t>5.质疑函的质疑请求应与质疑事项相关。</w:t>
      </w:r>
    </w:p>
    <w:p w14:paraId="595EC600">
      <w:pPr>
        <w:widowControl/>
        <w:ind w:firstLine="640" w:firstLineChars="200"/>
        <w:jc w:val="left"/>
        <w:rPr>
          <w:rFonts w:ascii="宋体" w:hAnsi="宋体" w:cs="宋体"/>
          <w:sz w:val="32"/>
          <w:szCs w:val="32"/>
        </w:rPr>
      </w:pPr>
      <w:r>
        <w:rPr>
          <w:rFonts w:hint="eastAsia" w:ascii="宋体" w:hAnsi="宋体" w:cs="宋体"/>
          <w:sz w:val="32"/>
          <w:szCs w:val="32"/>
        </w:rPr>
        <w:t>6.质疑供应商为自然人的，质疑函应由本人签字；质疑供应商为法人（负责人）或者其他组织的，质疑函应由法定代表人、主要负责人，或者其授权代表签字或者盖章，并加盖公章。</w:t>
      </w:r>
    </w:p>
    <w:p w14:paraId="7D8D3484">
      <w:pPr>
        <w:widowControl/>
        <w:ind w:firstLine="600" w:firstLineChars="200"/>
        <w:jc w:val="left"/>
        <w:rPr>
          <w:rFonts w:ascii="宋体" w:hAnsi="宋体" w:cs="宋体"/>
          <w:sz w:val="30"/>
          <w:szCs w:val="30"/>
        </w:rPr>
      </w:pPr>
    </w:p>
    <w:p w14:paraId="4082643C">
      <w:pPr>
        <w:snapToGrid w:val="0"/>
        <w:spacing w:before="50" w:after="165" w:afterLines="50" w:line="360" w:lineRule="auto"/>
        <w:ind w:firstLine="480" w:firstLineChars="200"/>
        <w:jc w:val="left"/>
        <w:rPr>
          <w:rFonts w:ascii="宋体" w:hAnsi="宋体" w:cs="宋体"/>
          <w:kern w:val="0"/>
          <w:sz w:val="24"/>
        </w:rPr>
        <w:sectPr>
          <w:pgSz w:w="11906" w:h="16838"/>
          <w:pgMar w:top="1134" w:right="1312" w:bottom="1134" w:left="1354" w:header="720" w:footer="720" w:gutter="0"/>
          <w:cols w:space="720" w:num="1"/>
          <w:docGrid w:type="lines" w:linePitch="331" w:charSpace="0"/>
        </w:sectPr>
      </w:pPr>
    </w:p>
    <w:p w14:paraId="678C18D0">
      <w:pPr>
        <w:pStyle w:val="5"/>
        <w:jc w:val="center"/>
        <w:rPr>
          <w:rFonts w:ascii="宋体" w:hAnsi="宋体" w:eastAsia="宋体" w:cs="宋体"/>
          <w:b w:val="0"/>
          <w:bCs w:val="0"/>
        </w:rPr>
      </w:pPr>
      <w:bookmarkStart w:id="398" w:name="_Toc17607"/>
      <w:bookmarkStart w:id="399" w:name="_Toc26677"/>
      <w:bookmarkStart w:id="400" w:name="_Toc24801"/>
      <w:bookmarkStart w:id="401" w:name="_Toc25547"/>
      <w:r>
        <w:rPr>
          <w:rFonts w:hint="eastAsia" w:ascii="宋体" w:hAnsi="宋体" w:eastAsia="宋体" w:cs="宋体"/>
          <w:b w:val="0"/>
          <w:bCs w:val="0"/>
        </w:rPr>
        <w:t>第二节 投诉书（格式）</w:t>
      </w:r>
      <w:bookmarkEnd w:id="398"/>
      <w:bookmarkEnd w:id="399"/>
      <w:bookmarkEnd w:id="400"/>
      <w:bookmarkEnd w:id="401"/>
    </w:p>
    <w:p w14:paraId="5DEDE9C7">
      <w:pPr>
        <w:jc w:val="center"/>
        <w:outlineLvl w:val="1"/>
        <w:rPr>
          <w:rFonts w:ascii="宋体" w:hAnsi="宋体" w:cs="宋体"/>
          <w:b/>
          <w:sz w:val="44"/>
          <w:szCs w:val="44"/>
        </w:rPr>
      </w:pPr>
      <w:bookmarkStart w:id="402" w:name="_Toc15028"/>
      <w:bookmarkStart w:id="403" w:name="_Toc8781"/>
      <w:bookmarkStart w:id="404" w:name="_Toc10479"/>
      <w:r>
        <w:rPr>
          <w:rFonts w:hint="eastAsia" w:ascii="宋体" w:hAnsi="宋体" w:cs="宋体"/>
          <w:b/>
          <w:sz w:val="44"/>
          <w:szCs w:val="44"/>
        </w:rPr>
        <w:t>投诉书范本</w:t>
      </w:r>
      <w:bookmarkEnd w:id="402"/>
      <w:bookmarkEnd w:id="403"/>
      <w:bookmarkEnd w:id="404"/>
    </w:p>
    <w:p w14:paraId="4C56DF10">
      <w:pPr>
        <w:outlineLvl w:val="1"/>
        <w:rPr>
          <w:rFonts w:ascii="宋体" w:hAnsi="宋体" w:cs="宋体"/>
          <w:sz w:val="32"/>
          <w:szCs w:val="32"/>
        </w:rPr>
      </w:pPr>
      <w:bookmarkStart w:id="405" w:name="_Toc726"/>
      <w:bookmarkStart w:id="406" w:name="_Toc32576"/>
      <w:bookmarkStart w:id="407" w:name="_Toc1398"/>
      <w:r>
        <w:rPr>
          <w:rFonts w:hint="eastAsia" w:ascii="宋体" w:hAnsi="宋体" w:cs="宋体"/>
          <w:sz w:val="32"/>
          <w:szCs w:val="32"/>
        </w:rPr>
        <w:t>一、投诉相关主体基本情况</w:t>
      </w:r>
      <w:bookmarkEnd w:id="405"/>
      <w:bookmarkEnd w:id="406"/>
      <w:bookmarkEnd w:id="407"/>
    </w:p>
    <w:p w14:paraId="7E9E37CA">
      <w:pPr>
        <w:rPr>
          <w:rFonts w:ascii="宋体" w:hAnsi="宋体" w:cs="宋体"/>
          <w:sz w:val="32"/>
          <w:szCs w:val="32"/>
          <w:u w:val="dotted"/>
        </w:rPr>
      </w:pPr>
      <w:r>
        <w:rPr>
          <w:rFonts w:hint="eastAsia" w:ascii="宋体" w:hAnsi="宋体" w:cs="宋体"/>
          <w:sz w:val="32"/>
          <w:szCs w:val="32"/>
        </w:rPr>
        <w:t>投诉人：</w:t>
      </w:r>
      <w:r>
        <w:rPr>
          <w:rFonts w:hint="eastAsia" w:ascii="宋体" w:hAnsi="宋体" w:cs="宋体"/>
          <w:sz w:val="32"/>
          <w:szCs w:val="32"/>
          <w:u w:val="dotted"/>
        </w:rPr>
        <w:t xml:space="preserve">                                               </w:t>
      </w:r>
    </w:p>
    <w:p w14:paraId="2D7B97A2">
      <w:pPr>
        <w:rPr>
          <w:rFonts w:ascii="宋体" w:hAnsi="宋体" w:cs="宋体"/>
          <w:sz w:val="32"/>
          <w:szCs w:val="32"/>
          <w:u w:val="single"/>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322F2ACA">
      <w:pPr>
        <w:tabs>
          <w:tab w:val="left" w:pos="6510"/>
        </w:tabs>
        <w:jc w:val="left"/>
        <w:rPr>
          <w:rFonts w:ascii="宋体" w:hAnsi="宋体" w:cs="宋体"/>
          <w:sz w:val="32"/>
          <w:szCs w:val="32"/>
        </w:rPr>
      </w:pPr>
      <w:r>
        <w:rPr>
          <w:rFonts w:hint="eastAsia" w:ascii="宋体" w:hAnsi="宋体" w:cs="宋体"/>
          <w:sz w:val="32"/>
          <w:szCs w:val="32"/>
        </w:rPr>
        <w:t>法定代表人/主要负责人：</w:t>
      </w:r>
      <w:r>
        <w:rPr>
          <w:rFonts w:hint="eastAsia" w:ascii="宋体" w:hAnsi="宋体" w:cs="宋体"/>
          <w:sz w:val="32"/>
          <w:szCs w:val="32"/>
          <w:u w:val="dotted"/>
        </w:rPr>
        <w:t xml:space="preserve">                                   </w:t>
      </w:r>
      <w:r>
        <w:rPr>
          <w:rFonts w:hint="eastAsia" w:ascii="宋体" w:hAnsi="宋体" w:cs="宋体"/>
          <w:sz w:val="32"/>
          <w:szCs w:val="32"/>
        </w:rPr>
        <w:t xml:space="preserve">  </w:t>
      </w:r>
    </w:p>
    <w:p w14:paraId="667F48EC">
      <w:pPr>
        <w:tabs>
          <w:tab w:val="left" w:pos="6510"/>
        </w:tabs>
        <w:rPr>
          <w:rFonts w:ascii="宋体" w:hAnsi="宋体" w:cs="宋体"/>
          <w:sz w:val="32"/>
          <w:szCs w:val="32"/>
          <w:u w:val="dotted"/>
        </w:rPr>
      </w:pPr>
      <w:r>
        <w:rPr>
          <w:rFonts w:hint="eastAsia" w:ascii="宋体" w:hAnsi="宋体" w:cs="宋体"/>
          <w:sz w:val="32"/>
          <w:szCs w:val="32"/>
        </w:rPr>
        <w:t>联系电话：</w:t>
      </w:r>
      <w:r>
        <w:rPr>
          <w:rFonts w:hint="eastAsia" w:ascii="宋体" w:hAnsi="宋体" w:cs="宋体"/>
          <w:sz w:val="32"/>
          <w:szCs w:val="32"/>
          <w:u w:val="dotted"/>
        </w:rPr>
        <w:t xml:space="preserve">                                             </w:t>
      </w:r>
    </w:p>
    <w:p w14:paraId="0AE73F14">
      <w:pPr>
        <w:rPr>
          <w:rFonts w:ascii="宋体" w:hAnsi="宋体" w:cs="宋体"/>
          <w:sz w:val="32"/>
          <w:szCs w:val="32"/>
          <w:u w:val="dotted"/>
        </w:rPr>
      </w:pPr>
      <w:r>
        <w:rPr>
          <w:rFonts w:hint="eastAsia" w:ascii="宋体" w:hAnsi="宋体" w:cs="宋体"/>
          <w:sz w:val="32"/>
          <w:szCs w:val="32"/>
        </w:rPr>
        <w:t>授权代表：</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p>
    <w:p w14:paraId="754DE67E">
      <w:pPr>
        <w:rPr>
          <w:rFonts w:ascii="宋体" w:hAnsi="宋体" w:cs="宋体"/>
          <w:sz w:val="32"/>
          <w:szCs w:val="32"/>
          <w:u w:val="dotted"/>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r>
        <w:rPr>
          <w:rFonts w:hint="eastAsia" w:ascii="宋体" w:hAnsi="宋体" w:cs="宋体"/>
          <w:sz w:val="32"/>
          <w:szCs w:val="32"/>
          <w:u w:val="dotted"/>
        </w:rPr>
        <w:t xml:space="preserve">                   </w:t>
      </w:r>
    </w:p>
    <w:p w14:paraId="7E00709A">
      <w:pPr>
        <w:rPr>
          <w:rFonts w:ascii="宋体" w:hAnsi="宋体" w:cs="宋体"/>
          <w:sz w:val="32"/>
          <w:szCs w:val="32"/>
          <w:u w:val="single"/>
        </w:rPr>
      </w:pPr>
      <w:r>
        <w:rPr>
          <w:rFonts w:hint="eastAsia" w:ascii="宋体" w:hAnsi="宋体" w:cs="宋体"/>
          <w:sz w:val="32"/>
          <w:szCs w:val="32"/>
        </w:rPr>
        <w:t>被投诉人1：</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655EE2C6">
      <w:pPr>
        <w:rPr>
          <w:rFonts w:ascii="宋体" w:hAnsi="宋体" w:cs="宋体"/>
          <w:sz w:val="32"/>
          <w:szCs w:val="32"/>
          <w:u w:val="single"/>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7B4D9EC1">
      <w:pPr>
        <w:rPr>
          <w:rFonts w:ascii="宋体" w:hAnsi="宋体" w:cs="宋体"/>
          <w:sz w:val="32"/>
          <w:szCs w:val="32"/>
          <w:u w:val="single"/>
        </w:rPr>
      </w:pPr>
      <w:r>
        <w:rPr>
          <w:rFonts w:hint="eastAsia" w:ascii="宋体" w:hAnsi="宋体" w:cs="宋体"/>
          <w:sz w:val="32"/>
          <w:szCs w:val="32"/>
        </w:rPr>
        <w:t>联系人：</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41039582">
      <w:pPr>
        <w:rPr>
          <w:rFonts w:ascii="宋体" w:hAnsi="宋体" w:cs="宋体"/>
          <w:sz w:val="32"/>
          <w:szCs w:val="32"/>
        </w:rPr>
      </w:pPr>
      <w:r>
        <w:rPr>
          <w:rFonts w:hint="eastAsia" w:ascii="宋体" w:hAnsi="宋体" w:cs="宋体"/>
          <w:sz w:val="32"/>
          <w:szCs w:val="32"/>
        </w:rPr>
        <w:t>被投诉人2</w:t>
      </w:r>
    </w:p>
    <w:p w14:paraId="27403AE6">
      <w:pPr>
        <w:rPr>
          <w:rFonts w:ascii="宋体" w:hAnsi="宋体" w:cs="宋体"/>
          <w:sz w:val="32"/>
          <w:szCs w:val="32"/>
          <w:u w:val="dotted"/>
        </w:rPr>
      </w:pPr>
      <w:r>
        <w:rPr>
          <w:rFonts w:hint="eastAsia" w:ascii="宋体" w:hAnsi="宋体" w:cs="宋体"/>
          <w:sz w:val="32"/>
          <w:szCs w:val="32"/>
        </w:rPr>
        <w:t>……</w:t>
      </w:r>
    </w:p>
    <w:p w14:paraId="376B7F58">
      <w:pPr>
        <w:rPr>
          <w:rFonts w:ascii="宋体" w:hAnsi="宋体" w:cs="宋体"/>
          <w:sz w:val="32"/>
          <w:szCs w:val="32"/>
          <w:u w:val="single"/>
        </w:rPr>
      </w:pPr>
      <w:r>
        <w:rPr>
          <w:rFonts w:hint="eastAsia" w:ascii="宋体" w:hAnsi="宋体" w:cs="宋体"/>
          <w:sz w:val="32"/>
          <w:szCs w:val="32"/>
        </w:rPr>
        <w:t>相关供应商：</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00B69373">
      <w:pPr>
        <w:rPr>
          <w:rFonts w:ascii="宋体" w:hAnsi="宋体" w:cs="宋体"/>
          <w:sz w:val="32"/>
          <w:szCs w:val="32"/>
          <w:u w:val="single"/>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704A4AE9">
      <w:pPr>
        <w:rPr>
          <w:rFonts w:ascii="宋体" w:hAnsi="宋体" w:cs="宋体"/>
          <w:sz w:val="32"/>
          <w:szCs w:val="32"/>
          <w:u w:val="single"/>
        </w:rPr>
      </w:pPr>
      <w:r>
        <w:rPr>
          <w:rFonts w:hint="eastAsia" w:ascii="宋体" w:hAnsi="宋体" w:cs="宋体"/>
          <w:sz w:val="32"/>
          <w:szCs w:val="32"/>
        </w:rPr>
        <w:t>联系人：</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4A9FC6D2">
      <w:pPr>
        <w:outlineLvl w:val="1"/>
        <w:rPr>
          <w:rFonts w:ascii="宋体" w:hAnsi="宋体" w:cs="宋体"/>
          <w:sz w:val="32"/>
          <w:szCs w:val="32"/>
        </w:rPr>
      </w:pPr>
      <w:bookmarkStart w:id="408" w:name="_Toc32271"/>
      <w:bookmarkStart w:id="409" w:name="_Toc22015"/>
      <w:bookmarkStart w:id="410" w:name="_Toc30132"/>
      <w:r>
        <w:rPr>
          <w:rFonts w:hint="eastAsia" w:ascii="宋体" w:hAnsi="宋体" w:cs="宋体"/>
          <w:sz w:val="32"/>
          <w:szCs w:val="32"/>
        </w:rPr>
        <w:t>二、投诉项目基本情况</w:t>
      </w:r>
      <w:bookmarkEnd w:id="408"/>
      <w:bookmarkEnd w:id="409"/>
      <w:bookmarkEnd w:id="410"/>
    </w:p>
    <w:p w14:paraId="3EFE6AA6">
      <w:pPr>
        <w:rPr>
          <w:rFonts w:ascii="宋体" w:hAnsi="宋体" w:cs="宋体"/>
          <w:sz w:val="32"/>
          <w:szCs w:val="32"/>
          <w:u w:val="dotted"/>
        </w:rPr>
      </w:pPr>
      <w:r>
        <w:rPr>
          <w:rFonts w:hint="eastAsia" w:ascii="宋体" w:hAnsi="宋体" w:cs="宋体"/>
          <w:sz w:val="32"/>
          <w:szCs w:val="32"/>
        </w:rPr>
        <w:t>采购项目名称：</w:t>
      </w:r>
      <w:r>
        <w:rPr>
          <w:rFonts w:hint="eastAsia" w:ascii="宋体" w:hAnsi="宋体" w:cs="宋体"/>
          <w:sz w:val="32"/>
          <w:szCs w:val="32"/>
          <w:u w:val="dotted"/>
        </w:rPr>
        <w:t xml:space="preserve">         </w:t>
      </w:r>
    </w:p>
    <w:p w14:paraId="42E4FDBA">
      <w:pPr>
        <w:rPr>
          <w:rFonts w:ascii="宋体" w:hAnsi="宋体" w:cs="宋体"/>
          <w:sz w:val="32"/>
          <w:szCs w:val="32"/>
          <w:u w:val="single"/>
        </w:rPr>
      </w:pPr>
      <w:r>
        <w:rPr>
          <w:rFonts w:hint="eastAsia" w:ascii="宋体" w:hAnsi="宋体" w:cs="宋体"/>
          <w:sz w:val="32"/>
          <w:szCs w:val="32"/>
        </w:rPr>
        <w:t>采购项目编号：</w:t>
      </w:r>
      <w:r>
        <w:rPr>
          <w:rFonts w:hint="eastAsia" w:ascii="宋体" w:hAnsi="宋体" w:cs="宋体"/>
          <w:sz w:val="32"/>
          <w:szCs w:val="32"/>
          <w:u w:val="dotted"/>
        </w:rPr>
        <w:t xml:space="preserve">               </w:t>
      </w:r>
      <w:r>
        <w:rPr>
          <w:rFonts w:hint="eastAsia" w:ascii="宋体" w:hAnsi="宋体" w:cs="宋体"/>
          <w:sz w:val="32"/>
          <w:szCs w:val="32"/>
        </w:rPr>
        <w:t>包号：</w:t>
      </w:r>
      <w:r>
        <w:rPr>
          <w:rFonts w:hint="eastAsia" w:ascii="宋体" w:hAnsi="宋体" w:cs="宋体"/>
          <w:sz w:val="32"/>
          <w:szCs w:val="32"/>
          <w:u w:val="dotted"/>
        </w:rPr>
        <w:t xml:space="preserve">              </w:t>
      </w:r>
    </w:p>
    <w:p w14:paraId="779DFD15">
      <w:pPr>
        <w:rPr>
          <w:rFonts w:ascii="宋体" w:hAnsi="宋体" w:cs="宋体"/>
          <w:sz w:val="32"/>
          <w:szCs w:val="32"/>
        </w:rPr>
      </w:pPr>
      <w:r>
        <w:rPr>
          <w:rFonts w:hint="eastAsia" w:ascii="宋体" w:hAnsi="宋体" w:cs="宋体"/>
          <w:sz w:val="32"/>
          <w:szCs w:val="32"/>
        </w:rPr>
        <w:t>采购人名称：</w:t>
      </w:r>
      <w:r>
        <w:rPr>
          <w:rFonts w:hint="eastAsia" w:ascii="宋体" w:hAnsi="宋体" w:cs="宋体"/>
          <w:sz w:val="32"/>
          <w:szCs w:val="32"/>
          <w:u w:val="dotted"/>
        </w:rPr>
        <w:t xml:space="preserve">                               </w:t>
      </w:r>
      <w:r>
        <w:rPr>
          <w:rFonts w:hint="eastAsia" w:ascii="宋体" w:hAnsi="宋体" w:cs="宋体"/>
          <w:sz w:val="32"/>
          <w:szCs w:val="32"/>
        </w:rPr>
        <w:t xml:space="preserve">  </w:t>
      </w:r>
    </w:p>
    <w:p w14:paraId="1DA05DD7">
      <w:pPr>
        <w:rPr>
          <w:rFonts w:ascii="宋体" w:hAnsi="宋体" w:cs="宋体"/>
          <w:sz w:val="32"/>
          <w:szCs w:val="32"/>
          <w:u w:val="single"/>
        </w:rPr>
      </w:pPr>
      <w:r>
        <w:rPr>
          <w:rFonts w:hint="eastAsia" w:ascii="宋体" w:hAnsi="宋体" w:cs="宋体"/>
          <w:sz w:val="32"/>
          <w:szCs w:val="32"/>
        </w:rPr>
        <w:t>代理机构名称：</w:t>
      </w:r>
      <w:r>
        <w:rPr>
          <w:rFonts w:hint="eastAsia" w:ascii="宋体" w:hAnsi="宋体" w:cs="宋体"/>
          <w:sz w:val="32"/>
          <w:szCs w:val="32"/>
          <w:u w:val="dotted"/>
        </w:rPr>
        <w:t xml:space="preserve">                                         </w:t>
      </w:r>
    </w:p>
    <w:p w14:paraId="05EBD3F9">
      <w:pPr>
        <w:rPr>
          <w:rFonts w:ascii="宋体" w:hAnsi="宋体" w:cs="宋体"/>
          <w:sz w:val="32"/>
          <w:szCs w:val="32"/>
          <w:u w:val="dotted"/>
        </w:rPr>
      </w:pPr>
      <w:r>
        <w:rPr>
          <w:rFonts w:hint="eastAsia" w:ascii="宋体" w:hAnsi="宋体" w:cs="宋体"/>
          <w:sz w:val="32"/>
          <w:szCs w:val="32"/>
        </w:rPr>
        <w:t>采购文件公告:</w:t>
      </w:r>
      <w:r>
        <w:rPr>
          <w:rFonts w:hint="eastAsia" w:ascii="宋体" w:hAnsi="宋体" w:cs="宋体"/>
          <w:sz w:val="32"/>
          <w:szCs w:val="32"/>
          <w:u w:val="dotted"/>
        </w:rPr>
        <w:t xml:space="preserve">是/否 </w:t>
      </w:r>
      <w:r>
        <w:rPr>
          <w:rFonts w:hint="eastAsia" w:ascii="宋体" w:hAnsi="宋体" w:cs="宋体"/>
          <w:sz w:val="32"/>
          <w:szCs w:val="32"/>
        </w:rPr>
        <w:t>公告期限：</w:t>
      </w:r>
      <w:r>
        <w:rPr>
          <w:rFonts w:hint="eastAsia" w:ascii="宋体" w:hAnsi="宋体" w:cs="宋体"/>
          <w:sz w:val="32"/>
          <w:szCs w:val="32"/>
          <w:u w:val="dotted"/>
        </w:rPr>
        <w:t xml:space="preserve">                                 </w:t>
      </w:r>
    </w:p>
    <w:p w14:paraId="1BFD4C01">
      <w:pPr>
        <w:rPr>
          <w:rFonts w:ascii="宋体" w:hAnsi="宋体" w:cs="宋体"/>
          <w:sz w:val="32"/>
          <w:szCs w:val="32"/>
          <w:u w:val="single"/>
        </w:rPr>
      </w:pPr>
      <w:r>
        <w:rPr>
          <w:rFonts w:hint="eastAsia" w:ascii="宋体" w:hAnsi="宋体" w:cs="宋体"/>
          <w:sz w:val="32"/>
          <w:szCs w:val="32"/>
        </w:rPr>
        <w:t>采购结果公告:</w:t>
      </w:r>
      <w:r>
        <w:rPr>
          <w:rFonts w:hint="eastAsia" w:ascii="宋体" w:hAnsi="宋体" w:cs="宋体"/>
          <w:sz w:val="32"/>
          <w:szCs w:val="32"/>
          <w:u w:val="dotted"/>
        </w:rPr>
        <w:t xml:space="preserve">是/否 </w:t>
      </w:r>
      <w:r>
        <w:rPr>
          <w:rFonts w:hint="eastAsia" w:ascii="宋体" w:hAnsi="宋体" w:cs="宋体"/>
          <w:sz w:val="32"/>
          <w:szCs w:val="32"/>
        </w:rPr>
        <w:t>公告期限：</w:t>
      </w:r>
      <w:r>
        <w:rPr>
          <w:rFonts w:hint="eastAsia" w:ascii="宋体" w:hAnsi="宋体" w:cs="宋体"/>
          <w:sz w:val="32"/>
          <w:szCs w:val="32"/>
          <w:u w:val="dotted"/>
        </w:rPr>
        <w:t xml:space="preserve">                        </w:t>
      </w:r>
    </w:p>
    <w:p w14:paraId="0DFF06E8">
      <w:pPr>
        <w:outlineLvl w:val="1"/>
        <w:rPr>
          <w:rFonts w:ascii="宋体" w:hAnsi="宋体" w:cs="宋体"/>
          <w:sz w:val="32"/>
          <w:szCs w:val="32"/>
        </w:rPr>
      </w:pPr>
      <w:bookmarkStart w:id="411" w:name="_Toc6661"/>
      <w:bookmarkStart w:id="412" w:name="_Toc28360"/>
      <w:bookmarkStart w:id="413" w:name="_Toc9786"/>
      <w:r>
        <w:rPr>
          <w:rFonts w:hint="eastAsia" w:ascii="宋体" w:hAnsi="宋体" w:cs="宋体"/>
          <w:sz w:val="32"/>
          <w:szCs w:val="32"/>
        </w:rPr>
        <w:t>三、质疑基本情况</w:t>
      </w:r>
      <w:bookmarkEnd w:id="411"/>
      <w:bookmarkEnd w:id="412"/>
      <w:bookmarkEnd w:id="413"/>
    </w:p>
    <w:p w14:paraId="60E45B02">
      <w:pPr>
        <w:ind w:firstLine="640" w:firstLineChars="200"/>
        <w:rPr>
          <w:rFonts w:ascii="宋体" w:hAnsi="宋体" w:cs="宋体"/>
          <w:sz w:val="32"/>
          <w:szCs w:val="32"/>
          <w:u w:val="dotted"/>
        </w:rPr>
      </w:pPr>
      <w:r>
        <w:rPr>
          <w:rFonts w:hint="eastAsia" w:ascii="宋体" w:hAnsi="宋体" w:cs="宋体"/>
          <w:sz w:val="32"/>
          <w:szCs w:val="32"/>
        </w:rPr>
        <w:t>投诉人于</w:t>
      </w:r>
      <w:r>
        <w:rPr>
          <w:rFonts w:hint="eastAsia" w:ascii="宋体" w:hAnsi="宋体" w:cs="宋体"/>
          <w:sz w:val="32"/>
          <w:szCs w:val="32"/>
          <w:u w:val="dotted"/>
        </w:rPr>
        <w:t xml:space="preserve">   </w:t>
      </w:r>
      <w:r>
        <w:rPr>
          <w:rFonts w:hint="eastAsia" w:ascii="宋体" w:hAnsi="宋体" w:cs="宋体"/>
          <w:sz w:val="32"/>
          <w:szCs w:val="32"/>
        </w:rPr>
        <w:t>年</w:t>
      </w:r>
      <w:r>
        <w:rPr>
          <w:rFonts w:hint="eastAsia" w:ascii="宋体" w:hAnsi="宋体" w:cs="宋体"/>
          <w:sz w:val="32"/>
          <w:szCs w:val="32"/>
          <w:u w:val="dotted"/>
        </w:rPr>
        <w:t xml:space="preserve">   </w:t>
      </w:r>
      <w:r>
        <w:rPr>
          <w:rFonts w:hint="eastAsia" w:ascii="宋体" w:hAnsi="宋体" w:cs="宋体"/>
          <w:sz w:val="32"/>
          <w:szCs w:val="32"/>
        </w:rPr>
        <w:t>月</w:t>
      </w:r>
      <w:r>
        <w:rPr>
          <w:rFonts w:hint="eastAsia" w:ascii="宋体" w:hAnsi="宋体" w:cs="宋体"/>
          <w:sz w:val="32"/>
          <w:szCs w:val="32"/>
          <w:u w:val="dotted"/>
        </w:rPr>
        <w:t xml:space="preserve">  </w:t>
      </w:r>
      <w:r>
        <w:rPr>
          <w:rFonts w:hint="eastAsia" w:ascii="宋体" w:hAnsi="宋体" w:cs="宋体"/>
          <w:sz w:val="32"/>
          <w:szCs w:val="32"/>
        </w:rPr>
        <w:t>日,向</w:t>
      </w:r>
      <w:r>
        <w:rPr>
          <w:rFonts w:hint="eastAsia" w:ascii="宋体" w:hAnsi="宋体" w:cs="宋体"/>
          <w:sz w:val="32"/>
          <w:szCs w:val="32"/>
          <w:u w:val="dotted"/>
        </w:rPr>
        <w:t xml:space="preserve">                   </w:t>
      </w:r>
      <w:r>
        <w:rPr>
          <w:rFonts w:hint="eastAsia" w:ascii="宋体" w:hAnsi="宋体" w:cs="宋体"/>
          <w:sz w:val="32"/>
          <w:szCs w:val="32"/>
        </w:rPr>
        <w:t>提出质疑，质疑事项为：</w:t>
      </w:r>
      <w:r>
        <w:rPr>
          <w:rFonts w:hint="eastAsia" w:ascii="宋体" w:hAnsi="宋体" w:cs="宋体"/>
          <w:sz w:val="32"/>
          <w:szCs w:val="32"/>
          <w:u w:val="dotted"/>
        </w:rPr>
        <w:t xml:space="preserve">                                </w:t>
      </w:r>
    </w:p>
    <w:p w14:paraId="3FBF6F91">
      <w:pPr>
        <w:rPr>
          <w:rFonts w:ascii="宋体" w:hAnsi="宋体" w:cs="宋体"/>
          <w:sz w:val="32"/>
          <w:szCs w:val="32"/>
          <w:u w:val="dotted"/>
        </w:rPr>
      </w:pPr>
      <w:r>
        <w:rPr>
          <w:rFonts w:hint="eastAsia" w:ascii="宋体" w:hAnsi="宋体" w:cs="宋体"/>
          <w:sz w:val="32"/>
          <w:szCs w:val="32"/>
          <w:u w:val="dotted"/>
        </w:rPr>
        <w:t xml:space="preserve">                                                     </w:t>
      </w:r>
      <w:r>
        <w:rPr>
          <w:rFonts w:hint="eastAsia" w:ascii="宋体" w:hAnsi="宋体" w:cs="宋体"/>
          <w:sz w:val="32"/>
          <w:szCs w:val="32"/>
        </w:rPr>
        <w:t xml:space="preserve">  </w:t>
      </w:r>
    </w:p>
    <w:p w14:paraId="1F97331F">
      <w:pPr>
        <w:ind w:firstLine="480" w:firstLineChars="150"/>
        <w:rPr>
          <w:rFonts w:ascii="宋体" w:hAnsi="宋体" w:cs="宋体"/>
          <w:sz w:val="32"/>
          <w:szCs w:val="32"/>
        </w:rPr>
      </w:pPr>
      <w:r>
        <w:rPr>
          <w:rFonts w:hint="eastAsia" w:ascii="宋体" w:hAnsi="宋体" w:cs="宋体"/>
          <w:sz w:val="32"/>
          <w:szCs w:val="32"/>
          <w:u w:val="dotted"/>
        </w:rPr>
        <w:t>采购人/代理机构</w:t>
      </w:r>
      <w:r>
        <w:rPr>
          <w:rFonts w:hint="eastAsia" w:ascii="宋体" w:hAnsi="宋体" w:cs="宋体"/>
          <w:sz w:val="32"/>
          <w:szCs w:val="32"/>
        </w:rPr>
        <w:t>于</w:t>
      </w:r>
      <w:r>
        <w:rPr>
          <w:rFonts w:hint="eastAsia" w:ascii="宋体" w:hAnsi="宋体" w:cs="宋体"/>
          <w:sz w:val="32"/>
          <w:szCs w:val="32"/>
          <w:u w:val="dotted"/>
        </w:rPr>
        <w:t xml:space="preserve">   </w:t>
      </w:r>
      <w:r>
        <w:rPr>
          <w:rFonts w:hint="eastAsia" w:ascii="宋体" w:hAnsi="宋体" w:cs="宋体"/>
          <w:sz w:val="32"/>
          <w:szCs w:val="32"/>
        </w:rPr>
        <w:t>年</w:t>
      </w:r>
      <w:r>
        <w:rPr>
          <w:rFonts w:hint="eastAsia" w:ascii="宋体" w:hAnsi="宋体" w:cs="宋体"/>
          <w:sz w:val="32"/>
          <w:szCs w:val="32"/>
          <w:u w:val="dotted"/>
        </w:rPr>
        <w:t xml:space="preserve">   </w:t>
      </w:r>
      <w:r>
        <w:rPr>
          <w:rFonts w:hint="eastAsia" w:ascii="宋体" w:hAnsi="宋体" w:cs="宋体"/>
          <w:sz w:val="32"/>
          <w:szCs w:val="32"/>
        </w:rPr>
        <w:t>月</w:t>
      </w:r>
      <w:r>
        <w:rPr>
          <w:rFonts w:hint="eastAsia" w:ascii="宋体" w:hAnsi="宋体" w:cs="宋体"/>
          <w:sz w:val="32"/>
          <w:szCs w:val="32"/>
          <w:u w:val="dotted"/>
        </w:rPr>
        <w:t xml:space="preserve">   </w:t>
      </w:r>
      <w:r>
        <w:rPr>
          <w:rFonts w:hint="eastAsia" w:ascii="宋体" w:hAnsi="宋体" w:cs="宋体"/>
          <w:sz w:val="32"/>
          <w:szCs w:val="32"/>
        </w:rPr>
        <w:t>日,就质疑事项作出了答复/没有在法定期限内作出答复。</w:t>
      </w:r>
    </w:p>
    <w:p w14:paraId="1FEB1717">
      <w:pPr>
        <w:outlineLvl w:val="1"/>
        <w:rPr>
          <w:rFonts w:ascii="宋体" w:hAnsi="宋体" w:cs="宋体"/>
          <w:sz w:val="32"/>
          <w:szCs w:val="32"/>
        </w:rPr>
      </w:pPr>
      <w:bookmarkStart w:id="414" w:name="_Toc30838"/>
      <w:bookmarkStart w:id="415" w:name="_Toc23532"/>
      <w:bookmarkStart w:id="416" w:name="_Toc25581"/>
      <w:r>
        <w:rPr>
          <w:rFonts w:hint="eastAsia" w:ascii="宋体" w:hAnsi="宋体" w:cs="宋体"/>
          <w:sz w:val="32"/>
          <w:szCs w:val="32"/>
        </w:rPr>
        <w:t>四、投诉事项具体内容</w:t>
      </w:r>
      <w:bookmarkEnd w:id="414"/>
      <w:bookmarkEnd w:id="415"/>
      <w:bookmarkEnd w:id="416"/>
    </w:p>
    <w:p w14:paraId="12C9D03C">
      <w:pPr>
        <w:rPr>
          <w:rFonts w:ascii="宋体" w:hAnsi="宋体" w:cs="宋体"/>
          <w:sz w:val="32"/>
          <w:szCs w:val="32"/>
          <w:u w:val="single"/>
        </w:rPr>
      </w:pPr>
      <w:r>
        <w:rPr>
          <w:rFonts w:hint="eastAsia" w:ascii="宋体" w:hAnsi="宋体" w:cs="宋体"/>
          <w:sz w:val="32"/>
          <w:szCs w:val="32"/>
        </w:rPr>
        <w:t>投诉事项 1：</w:t>
      </w:r>
      <w:r>
        <w:rPr>
          <w:rFonts w:hint="eastAsia" w:ascii="宋体" w:hAnsi="宋体" w:cs="宋体"/>
          <w:sz w:val="32"/>
          <w:szCs w:val="32"/>
          <w:u w:val="dotted"/>
        </w:rPr>
        <w:t xml:space="preserve">                                       </w:t>
      </w:r>
    </w:p>
    <w:p w14:paraId="0CBE01F5">
      <w:pPr>
        <w:rPr>
          <w:rFonts w:ascii="宋体" w:hAnsi="宋体" w:cs="宋体"/>
          <w:sz w:val="32"/>
          <w:szCs w:val="32"/>
        </w:rPr>
      </w:pPr>
      <w:r>
        <w:rPr>
          <w:rFonts w:hint="eastAsia" w:ascii="宋体" w:hAnsi="宋体" w:cs="宋体"/>
          <w:sz w:val="32"/>
          <w:szCs w:val="32"/>
        </w:rPr>
        <w:t>事实依据：</w:t>
      </w:r>
      <w:r>
        <w:rPr>
          <w:rFonts w:hint="eastAsia" w:ascii="宋体" w:hAnsi="宋体" w:cs="宋体"/>
          <w:sz w:val="32"/>
          <w:szCs w:val="32"/>
          <w:u w:val="dotted"/>
        </w:rPr>
        <w:t xml:space="preserve">                                         </w:t>
      </w:r>
    </w:p>
    <w:p w14:paraId="53A9BC45">
      <w:pPr>
        <w:rPr>
          <w:rFonts w:ascii="宋体" w:hAnsi="宋体" w:cs="宋体"/>
          <w:sz w:val="32"/>
          <w:szCs w:val="32"/>
          <w:u w:val="dotted"/>
        </w:rPr>
      </w:pPr>
      <w:r>
        <w:rPr>
          <w:rFonts w:hint="eastAsia" w:ascii="宋体" w:hAnsi="宋体" w:cs="宋体"/>
          <w:sz w:val="32"/>
          <w:szCs w:val="32"/>
          <w:u w:val="dotted"/>
        </w:rPr>
        <w:t xml:space="preserve">                                                      </w:t>
      </w:r>
    </w:p>
    <w:p w14:paraId="4259ABAF">
      <w:pPr>
        <w:rPr>
          <w:rFonts w:ascii="宋体" w:hAnsi="宋体" w:cs="宋体"/>
          <w:sz w:val="32"/>
          <w:szCs w:val="32"/>
          <w:u w:val="single"/>
        </w:rPr>
      </w:pPr>
      <w:r>
        <w:rPr>
          <w:rFonts w:hint="eastAsia" w:ascii="宋体" w:hAnsi="宋体" w:cs="宋体"/>
          <w:sz w:val="32"/>
          <w:szCs w:val="32"/>
        </w:rPr>
        <w:t>法律依据：</w:t>
      </w:r>
      <w:r>
        <w:rPr>
          <w:rFonts w:hint="eastAsia" w:ascii="宋体" w:hAnsi="宋体" w:cs="宋体"/>
          <w:sz w:val="32"/>
          <w:szCs w:val="32"/>
          <w:u w:val="dotted"/>
        </w:rPr>
        <w:t xml:space="preserve">                                          </w:t>
      </w:r>
    </w:p>
    <w:p w14:paraId="54B6FB51">
      <w:pPr>
        <w:rPr>
          <w:rFonts w:ascii="宋体" w:hAnsi="宋体" w:cs="宋体"/>
          <w:sz w:val="32"/>
          <w:szCs w:val="32"/>
          <w:u w:val="dotted"/>
        </w:rPr>
      </w:pPr>
      <w:r>
        <w:rPr>
          <w:rFonts w:hint="eastAsia" w:ascii="宋体" w:hAnsi="宋体" w:cs="宋体"/>
          <w:sz w:val="32"/>
          <w:szCs w:val="32"/>
          <w:u w:val="dotted"/>
        </w:rPr>
        <w:t xml:space="preserve">                                                      </w:t>
      </w:r>
    </w:p>
    <w:p w14:paraId="57E158F4">
      <w:pPr>
        <w:rPr>
          <w:rFonts w:ascii="宋体" w:hAnsi="宋体" w:cs="宋体"/>
          <w:sz w:val="32"/>
          <w:szCs w:val="32"/>
        </w:rPr>
      </w:pPr>
      <w:r>
        <w:rPr>
          <w:rFonts w:hint="eastAsia" w:ascii="宋体" w:hAnsi="宋体" w:cs="宋体"/>
          <w:sz w:val="32"/>
          <w:szCs w:val="32"/>
        </w:rPr>
        <w:t>投诉事项2</w:t>
      </w:r>
    </w:p>
    <w:p w14:paraId="1FCAFFEF">
      <w:pPr>
        <w:rPr>
          <w:rFonts w:ascii="宋体" w:hAnsi="宋体" w:cs="宋体"/>
          <w:sz w:val="32"/>
          <w:szCs w:val="32"/>
          <w:u w:val="dotted"/>
        </w:rPr>
      </w:pPr>
      <w:r>
        <w:rPr>
          <w:rFonts w:hint="eastAsia" w:ascii="宋体" w:hAnsi="宋体" w:cs="宋体"/>
          <w:sz w:val="32"/>
          <w:szCs w:val="32"/>
        </w:rPr>
        <w:t>……</w:t>
      </w:r>
    </w:p>
    <w:p w14:paraId="11A6B869">
      <w:pPr>
        <w:outlineLvl w:val="1"/>
        <w:rPr>
          <w:rFonts w:ascii="宋体" w:hAnsi="宋体" w:cs="宋体"/>
          <w:sz w:val="32"/>
          <w:szCs w:val="32"/>
        </w:rPr>
      </w:pPr>
      <w:bookmarkStart w:id="417" w:name="_Toc6343"/>
      <w:bookmarkStart w:id="418" w:name="_Toc10743"/>
      <w:bookmarkStart w:id="419" w:name="_Toc14346"/>
      <w:r>
        <w:rPr>
          <w:rFonts w:hint="eastAsia" w:ascii="宋体" w:hAnsi="宋体" w:cs="宋体"/>
          <w:sz w:val="32"/>
          <w:szCs w:val="32"/>
        </w:rPr>
        <w:t>五、与投诉事项相关的投诉请求</w:t>
      </w:r>
      <w:bookmarkEnd w:id="417"/>
      <w:bookmarkEnd w:id="418"/>
      <w:bookmarkEnd w:id="419"/>
    </w:p>
    <w:p w14:paraId="1A9C3EA8">
      <w:pPr>
        <w:rPr>
          <w:rFonts w:ascii="宋体" w:hAnsi="宋体" w:cs="宋体"/>
          <w:sz w:val="32"/>
          <w:szCs w:val="32"/>
        </w:rPr>
      </w:pPr>
      <w:r>
        <w:rPr>
          <w:rFonts w:hint="eastAsia" w:ascii="宋体" w:hAnsi="宋体" w:cs="宋体"/>
          <w:sz w:val="32"/>
          <w:szCs w:val="32"/>
        </w:rPr>
        <w:t>请求：</w:t>
      </w:r>
      <w:r>
        <w:rPr>
          <w:rFonts w:hint="eastAsia" w:ascii="宋体" w:hAnsi="宋体" w:cs="宋体"/>
          <w:sz w:val="32"/>
          <w:szCs w:val="32"/>
          <w:u w:val="dotted"/>
        </w:rPr>
        <w:t xml:space="preserve">                                              </w:t>
      </w:r>
      <w:r>
        <w:rPr>
          <w:rFonts w:hint="eastAsia" w:ascii="宋体" w:hAnsi="宋体" w:cs="宋体"/>
          <w:sz w:val="32"/>
          <w:szCs w:val="32"/>
        </w:rPr>
        <w:t xml:space="preserve"> </w:t>
      </w:r>
    </w:p>
    <w:p w14:paraId="543D6F89">
      <w:pPr>
        <w:rPr>
          <w:rFonts w:ascii="宋体" w:hAnsi="宋体" w:cs="宋体"/>
          <w:sz w:val="32"/>
          <w:szCs w:val="32"/>
          <w:u w:val="single"/>
        </w:rPr>
      </w:pPr>
      <w:r>
        <w:rPr>
          <w:rFonts w:hint="eastAsia" w:ascii="宋体" w:hAnsi="宋体" w:cs="宋体"/>
          <w:sz w:val="32"/>
          <w:szCs w:val="32"/>
        </w:rPr>
        <w:t xml:space="preserve">                                                                                                    </w:t>
      </w:r>
    </w:p>
    <w:p w14:paraId="19085897">
      <w:pPr>
        <w:rPr>
          <w:rFonts w:ascii="宋体" w:hAnsi="宋体" w:cs="宋体"/>
          <w:sz w:val="32"/>
          <w:szCs w:val="32"/>
        </w:rPr>
      </w:pPr>
      <w:r>
        <w:rPr>
          <w:rFonts w:hint="eastAsia" w:ascii="宋体" w:hAnsi="宋体" w:cs="宋体"/>
          <w:sz w:val="32"/>
          <w:szCs w:val="32"/>
        </w:rPr>
        <w:t xml:space="preserve">签字(签章)：                   公章：                      </w:t>
      </w:r>
    </w:p>
    <w:p w14:paraId="51231E34">
      <w:pPr>
        <w:rPr>
          <w:rFonts w:ascii="宋体" w:hAnsi="宋体" w:cs="宋体"/>
          <w:sz w:val="32"/>
          <w:szCs w:val="32"/>
        </w:rPr>
      </w:pPr>
      <w:r>
        <w:rPr>
          <w:rFonts w:hint="eastAsia" w:ascii="宋体" w:hAnsi="宋体" w:cs="宋体"/>
          <w:sz w:val="32"/>
          <w:szCs w:val="32"/>
        </w:rPr>
        <w:t xml:space="preserve">日期：    </w:t>
      </w:r>
    </w:p>
    <w:p w14:paraId="5163A068">
      <w:pPr>
        <w:outlineLvl w:val="0"/>
        <w:rPr>
          <w:rFonts w:ascii="宋体" w:hAnsi="宋体" w:cs="宋体"/>
          <w:b/>
          <w:sz w:val="32"/>
          <w:szCs w:val="32"/>
        </w:rPr>
      </w:pPr>
      <w:bookmarkStart w:id="420" w:name="_Toc29025"/>
      <w:bookmarkStart w:id="421" w:name="_Toc16055"/>
      <w:bookmarkStart w:id="422" w:name="_Toc2982"/>
      <w:r>
        <w:rPr>
          <w:rFonts w:hint="eastAsia" w:ascii="宋体" w:hAnsi="宋体" w:cs="宋体"/>
          <w:b/>
          <w:sz w:val="32"/>
          <w:szCs w:val="32"/>
        </w:rPr>
        <w:t>投诉书制作说明：</w:t>
      </w:r>
      <w:bookmarkEnd w:id="420"/>
      <w:bookmarkEnd w:id="421"/>
      <w:bookmarkEnd w:id="422"/>
    </w:p>
    <w:p w14:paraId="5C7BB53E">
      <w:pPr>
        <w:widowControl/>
        <w:ind w:firstLine="640" w:firstLineChars="200"/>
        <w:rPr>
          <w:rFonts w:ascii="宋体" w:hAnsi="宋体" w:cs="宋体"/>
          <w:kern w:val="0"/>
          <w:sz w:val="32"/>
          <w:szCs w:val="32"/>
        </w:rPr>
      </w:pPr>
      <w:r>
        <w:rPr>
          <w:rFonts w:hint="eastAsia" w:ascii="宋体" w:hAnsi="宋体" w:cs="宋体"/>
          <w:sz w:val="32"/>
          <w:szCs w:val="32"/>
        </w:rPr>
        <w:t>1.投诉人提起投诉时，应当提交投诉书和必要的证明材料，并按照被投诉人和与投诉事项有关的供应商数量提供投诉书副本。</w:t>
      </w:r>
    </w:p>
    <w:p w14:paraId="29DEEDEB">
      <w:pPr>
        <w:widowControl/>
        <w:ind w:firstLine="640" w:firstLineChars="200"/>
        <w:jc w:val="left"/>
        <w:rPr>
          <w:rFonts w:ascii="宋体" w:hAnsi="宋体" w:cs="宋体"/>
          <w:kern w:val="0"/>
          <w:sz w:val="32"/>
          <w:szCs w:val="32"/>
        </w:rPr>
      </w:pPr>
      <w:r>
        <w:rPr>
          <w:rFonts w:hint="eastAsia" w:ascii="宋体" w:hAnsi="宋体" w:cs="宋体"/>
          <w:sz w:val="32"/>
          <w:szCs w:val="32"/>
        </w:rPr>
        <w:t>2.投诉人若委托代理人进行投诉的，投诉书应按照要求列明“授权代表”的有关内容，并在附件中提交由</w:t>
      </w:r>
      <w:r>
        <w:rPr>
          <w:rFonts w:hint="eastAsia" w:ascii="宋体" w:hAnsi="宋体" w:cs="宋体"/>
          <w:kern w:val="0"/>
          <w:sz w:val="32"/>
          <w:szCs w:val="32"/>
        </w:rPr>
        <w:t>投诉人签署的授权委托书。授权委托书应当载明代理人的姓名或者名称、代理事项、具体权限、期限和相关事项。</w:t>
      </w:r>
    </w:p>
    <w:p w14:paraId="48D04499">
      <w:pPr>
        <w:widowControl/>
        <w:ind w:firstLine="640" w:firstLineChars="200"/>
        <w:jc w:val="left"/>
        <w:rPr>
          <w:rFonts w:ascii="宋体" w:hAnsi="宋体" w:cs="宋体"/>
          <w:sz w:val="32"/>
          <w:szCs w:val="32"/>
        </w:rPr>
      </w:pPr>
      <w:r>
        <w:rPr>
          <w:rFonts w:hint="eastAsia" w:ascii="宋体" w:hAnsi="宋体" w:cs="宋体"/>
          <w:sz w:val="32"/>
          <w:szCs w:val="32"/>
        </w:rPr>
        <w:t>3.投诉人若对项目的某一分包进行投诉，投诉书应列明具体分包号。</w:t>
      </w:r>
    </w:p>
    <w:p w14:paraId="09AF2F97">
      <w:pPr>
        <w:widowControl/>
        <w:ind w:firstLine="640" w:firstLineChars="200"/>
        <w:jc w:val="left"/>
        <w:rPr>
          <w:rFonts w:ascii="宋体" w:hAnsi="宋体" w:cs="宋体"/>
          <w:sz w:val="32"/>
          <w:szCs w:val="32"/>
        </w:rPr>
      </w:pPr>
      <w:r>
        <w:rPr>
          <w:rFonts w:hint="eastAsia" w:ascii="宋体" w:hAnsi="宋体" w:cs="宋体"/>
          <w:sz w:val="32"/>
          <w:szCs w:val="32"/>
        </w:rPr>
        <w:t>4.投诉书应简要列明质疑事项，质疑函、质疑答复等作为附件材料提供。</w:t>
      </w:r>
    </w:p>
    <w:p w14:paraId="0ACF1F0A">
      <w:pPr>
        <w:widowControl/>
        <w:ind w:firstLine="640" w:firstLineChars="200"/>
        <w:jc w:val="left"/>
        <w:rPr>
          <w:rFonts w:ascii="宋体" w:hAnsi="宋体" w:cs="宋体"/>
          <w:sz w:val="32"/>
          <w:szCs w:val="32"/>
        </w:rPr>
      </w:pPr>
      <w:r>
        <w:rPr>
          <w:rFonts w:hint="eastAsia" w:ascii="宋体" w:hAnsi="宋体" w:cs="宋体"/>
          <w:sz w:val="32"/>
          <w:szCs w:val="32"/>
        </w:rPr>
        <w:t>5.投诉书的投诉事项应具体、明确，并有必要的事实依据和法律依据。</w:t>
      </w:r>
    </w:p>
    <w:p w14:paraId="6ED78431">
      <w:pPr>
        <w:widowControl/>
        <w:ind w:firstLine="640" w:firstLineChars="200"/>
        <w:jc w:val="left"/>
        <w:rPr>
          <w:rFonts w:ascii="宋体" w:hAnsi="宋体" w:cs="宋体"/>
          <w:sz w:val="32"/>
          <w:szCs w:val="32"/>
        </w:rPr>
      </w:pPr>
      <w:r>
        <w:rPr>
          <w:rFonts w:hint="eastAsia" w:ascii="宋体" w:hAnsi="宋体" w:cs="宋体"/>
          <w:sz w:val="32"/>
          <w:szCs w:val="32"/>
        </w:rPr>
        <w:t>6.投诉书的投诉请求应与投诉事项相关。</w:t>
      </w:r>
    </w:p>
    <w:p w14:paraId="443B0A7D">
      <w:pPr>
        <w:widowControl/>
        <w:ind w:firstLine="640" w:firstLineChars="200"/>
        <w:jc w:val="left"/>
        <w:rPr>
          <w:rFonts w:ascii="宋体" w:hAnsi="宋体" w:cs="宋体"/>
          <w:kern w:val="0"/>
          <w:sz w:val="32"/>
          <w:szCs w:val="32"/>
        </w:rPr>
      </w:pPr>
      <w:r>
        <w:rPr>
          <w:rFonts w:hint="eastAsia" w:ascii="宋体" w:hAnsi="宋体" w:cs="宋体"/>
          <w:sz w:val="32"/>
          <w:szCs w:val="32"/>
        </w:rPr>
        <w:t>7.投诉人为自然人的，投诉书应当由本人签字；投诉人为法人（负责人）或者其他组织的，投诉书应当由法定代表人、主要负责人，或者其授权代表签字或者盖章，并加盖公章。</w:t>
      </w:r>
    </w:p>
    <w:p w14:paraId="62A74D9D">
      <w:pPr>
        <w:snapToGrid w:val="0"/>
        <w:spacing w:before="50" w:after="165" w:afterLines="50" w:line="360" w:lineRule="auto"/>
        <w:ind w:firstLine="480" w:firstLineChars="200"/>
        <w:jc w:val="left"/>
        <w:rPr>
          <w:rFonts w:ascii="宋体" w:hAnsi="宋体" w:cs="宋体"/>
          <w:sz w:val="24"/>
        </w:rPr>
      </w:pPr>
    </w:p>
    <w:p w14:paraId="25A5022E">
      <w:pPr>
        <w:rPr>
          <w:rFonts w:ascii="宋体" w:hAnsi="宋体" w:cs="宋体"/>
        </w:rPr>
      </w:pPr>
    </w:p>
    <w:sectPr>
      <w:footerReference r:id="rId25" w:type="first"/>
      <w:headerReference r:id="rId22" w:type="default"/>
      <w:footerReference r:id="rId23" w:type="default"/>
      <w:footerReference r:id="rId24" w:type="even"/>
      <w:pgSz w:w="11906" w:h="16838"/>
      <w:pgMar w:top="1134" w:right="1312" w:bottom="1134" w:left="135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1DF0D33-50D2-43B8-B62F-EC7A3E01B65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5659F03E-525F-4FEF-B3AC-90BF977E793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F541DBBE-5748-44FC-9E53-C5D261A1EAE8}"/>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00000" w:csb1="00000000"/>
    <w:embedRegular r:id="rId4" w:fontKey="{2285C119-A7E5-46A1-BCC2-A9BCA6550884}"/>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embedRegular r:id="rId5" w:fontKey="{61DDF206-F20B-444B-A224-38420D97FC48}"/>
  </w:font>
  <w:font w:name="楷体_GB2312">
    <w:altName w:val="楷体"/>
    <w:panose1 w:val="00000000000000000000"/>
    <w:charset w:val="86"/>
    <w:family w:val="modern"/>
    <w:pitch w:val="default"/>
    <w:sig w:usb0="00000000" w:usb1="00000000" w:usb2="00000000" w:usb3="00000000" w:csb0="00040000" w:csb1="00000000"/>
    <w:embedRegular r:id="rId6" w:fontKey="{A0F03167-EDA6-49DA-B3E0-1A5A3D520BE2}"/>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00000" w:csb1="00000000"/>
    <w:embedRegular r:id="rId7" w:fontKey="{81816472-3A8D-4252-86EE-44B237999B2A}"/>
  </w:font>
  <w:font w:name="华文中宋">
    <w:altName w:val="宋体"/>
    <w:panose1 w:val="00000000000000000000"/>
    <w:charset w:val="86"/>
    <w:family w:val="auto"/>
    <w:pitch w:val="default"/>
    <w:sig w:usb0="00000000" w:usb1="00000000" w:usb2="00000000" w:usb3="00000000" w:csb0="0004009F" w:csb1="DFD70000"/>
    <w:embedRegular r:id="rId8" w:fontKey="{F5D4088C-5E23-4221-9D11-3BA5A3754AB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959F6">
    <w:pPr>
      <w:pStyle w:val="25"/>
      <w:tabs>
        <w:tab w:val="left" w:pos="5730"/>
        <w:tab w:val="clear" w:pos="4153"/>
      </w:tabs>
    </w:pPr>
    <w:r>
      <w:rPr>
        <w:rFonts w:hint="eastAsia"/>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40538">
    <w:pPr>
      <w:pStyle w:val="25"/>
      <w:framePr w:wrap="around" w:vAnchor="text" w:hAnchor="margin" w:xAlign="center" w:y="1"/>
      <w:ind w:left="560" w:hanging="560"/>
      <w:rPr>
        <w:rStyle w:val="40"/>
      </w:rPr>
    </w:pPr>
    <w:r>
      <w:fldChar w:fldCharType="begin"/>
    </w:r>
    <w:r>
      <w:rPr>
        <w:rStyle w:val="40"/>
      </w:rPr>
      <w:instrText xml:space="preserve">PAGE  </w:instrText>
    </w:r>
    <w:r>
      <w:fldChar w:fldCharType="end"/>
    </w:r>
  </w:p>
  <w:p w14:paraId="4A5D190C">
    <w:pPr>
      <w:pStyle w:val="25"/>
      <w:ind w:left="560" w:hanging="5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3DB00">
    <w:pPr>
      <w:pStyle w:val="25"/>
      <w:framePr w:wrap="around" w:vAnchor="text" w:hAnchor="margin" w:xAlign="right" w:y="1"/>
      <w:ind w:left="560" w:hanging="560"/>
      <w:rPr>
        <w:rStyle w:val="40"/>
      </w:rPr>
    </w:pPr>
    <w:r>
      <w:fldChar w:fldCharType="begin"/>
    </w:r>
    <w:r>
      <w:rPr>
        <w:rStyle w:val="40"/>
      </w:rPr>
      <w:instrText xml:space="preserve">PAGE  </w:instrText>
    </w:r>
    <w:r>
      <w:fldChar w:fldCharType="separate"/>
    </w:r>
    <w:r>
      <w:rPr>
        <w:rStyle w:val="40"/>
      </w:rPr>
      <w:t>122</w:t>
    </w:r>
    <w:r>
      <w:fldChar w:fldCharType="end"/>
    </w:r>
  </w:p>
  <w:p w14:paraId="1EAC9494">
    <w:pPr>
      <w:pStyle w:val="25"/>
      <w:ind w:left="560" w:right="360" w:hanging="560"/>
      <w:jc w:val="both"/>
    </w:pPr>
    <w:r>
      <w:rPr>
        <w:rFonts w:hint="eastAsia"/>
      </w:rPr>
      <w:t>121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628D9">
    <w:pPr>
      <w:pStyle w:val="25"/>
      <w:ind w:left="560" w:hanging="5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13E3B3A">
                          <w:pPr>
                            <w:pStyle w:val="25"/>
                          </w:pPr>
                          <w:r>
                            <w:rPr>
                              <w:rFonts w:hint="eastAsia"/>
                            </w:rPr>
                            <w:fldChar w:fldCharType="begin"/>
                          </w:r>
                          <w:r>
                            <w:rPr>
                              <w:rFonts w:hint="eastAsia"/>
                            </w:rPr>
                            <w:instrText xml:space="preserve"> PAGE  \* MERGEFORMAT </w:instrText>
                          </w:r>
                          <w:r>
                            <w:rPr>
                              <w:rFonts w:hint="eastAsia"/>
                            </w:rPr>
                            <w:fldChar w:fldCharType="separate"/>
                          </w:r>
                          <w:r>
                            <w:t>120</w:t>
                          </w:r>
                          <w:r>
                            <w:rPr>
                              <w:rFonts w:hint="eastAsia"/>
                            </w:rPr>
                            <w:fldChar w:fldCharType="end"/>
                          </w:r>
                        </w:p>
                      </w:txbxContent>
                    </wps:txbx>
                    <wps:bodyPr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CiSvbQ2wEAAMEDAAAOAAAAAAAAAAEA&#10;IAAAAB4BAABkcnMvZTJvRG9jLnhtbFBLBQYAAAAABgAGAFkBAABrBQAAAAA=&#10;">
              <v:fill on="f" focussize="0,0"/>
              <v:stroke on="f"/>
              <v:imagedata o:title=""/>
              <o:lock v:ext="edit" aspectratio="f"/>
              <v:textbox inset="0mm,0mm,0mm,0mm" style="mso-fit-shape-to-text:t;">
                <w:txbxContent>
                  <w:p w14:paraId="213E3B3A">
                    <w:pPr>
                      <w:pStyle w:val="25"/>
                    </w:pPr>
                    <w:r>
                      <w:rPr>
                        <w:rFonts w:hint="eastAsia"/>
                      </w:rPr>
                      <w:fldChar w:fldCharType="begin"/>
                    </w:r>
                    <w:r>
                      <w:rPr>
                        <w:rFonts w:hint="eastAsia"/>
                      </w:rPr>
                      <w:instrText xml:space="preserve"> PAGE  \* MERGEFORMAT </w:instrText>
                    </w:r>
                    <w:r>
                      <w:rPr>
                        <w:rFonts w:hint="eastAsia"/>
                      </w:rPr>
                      <w:fldChar w:fldCharType="separate"/>
                    </w:r>
                    <w:r>
                      <w:t>120</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22576">
    <w:pPr>
      <w:pStyle w:val="2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C3AD04E">
                          <w:pPr>
                            <w:pStyle w:val="25"/>
                          </w:pPr>
                          <w:r>
                            <w:rPr>
                              <w:rFonts w:hint="eastAsia"/>
                            </w:rPr>
                            <w:fldChar w:fldCharType="begin"/>
                          </w:r>
                          <w:r>
                            <w:rPr>
                              <w:rFonts w:hint="eastAsia"/>
                            </w:rPr>
                            <w:instrText xml:space="preserve"> PAGE  \* MERGEFORMAT </w:instrText>
                          </w:r>
                          <w:r>
                            <w:rPr>
                              <w:rFonts w:hint="eastAsia"/>
                            </w:rPr>
                            <w:fldChar w:fldCharType="separate"/>
                          </w:r>
                          <w:r>
                            <w:t>123</w:t>
                          </w:r>
                          <w:r>
                            <w:rPr>
                              <w:rFonts w:hint="eastAsia"/>
                            </w:rPr>
                            <w:fldChar w:fldCharType="end"/>
                          </w:r>
                        </w:p>
                      </w:txbxContent>
                    </wps:txbx>
                    <wps:bodyPr vert="horz" wrap="none" lIns="0" tIns="0" rIns="0" bIns="0" anchor="t" anchorCtr="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rbjbDdwBAADBAwAADgAAAAAAAAAB&#10;ACAAAAAeAQAAZHJzL2Uyb0RvYy54bWxQSwUGAAAAAAYABgBZAQAAbAUAAAAA&#10;">
              <v:fill on="f" focussize="0,0"/>
              <v:stroke on="f"/>
              <v:imagedata o:title=""/>
              <o:lock v:ext="edit" aspectratio="f"/>
              <v:textbox inset="0mm,0mm,0mm,0mm" style="mso-fit-shape-to-text:t;">
                <w:txbxContent>
                  <w:p w14:paraId="4C3AD04E">
                    <w:pPr>
                      <w:pStyle w:val="25"/>
                    </w:pPr>
                    <w:r>
                      <w:rPr>
                        <w:rFonts w:hint="eastAsia"/>
                      </w:rPr>
                      <w:fldChar w:fldCharType="begin"/>
                    </w:r>
                    <w:r>
                      <w:rPr>
                        <w:rFonts w:hint="eastAsia"/>
                      </w:rPr>
                      <w:instrText xml:space="preserve"> PAGE  \* MERGEFORMAT </w:instrText>
                    </w:r>
                    <w:r>
                      <w:rPr>
                        <w:rFonts w:hint="eastAsia"/>
                      </w:rPr>
                      <w:fldChar w:fldCharType="separate"/>
                    </w:r>
                    <w:r>
                      <w:t>123</w:t>
                    </w:r>
                    <w:r>
                      <w:rPr>
                        <w:rFonts w:hint="eastAsia"/>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7FF05">
    <w:pPr>
      <w:pStyle w:val="25"/>
      <w:framePr w:wrap="around" w:vAnchor="text" w:hAnchor="margin" w:xAlign="center" w:y="1"/>
      <w:rPr>
        <w:rStyle w:val="40"/>
      </w:rPr>
    </w:pPr>
    <w:r>
      <w:fldChar w:fldCharType="begin"/>
    </w:r>
    <w:r>
      <w:rPr>
        <w:rStyle w:val="40"/>
      </w:rPr>
      <w:instrText xml:space="preserve">PAGE  </w:instrText>
    </w:r>
    <w:r>
      <w:fldChar w:fldCharType="end"/>
    </w:r>
  </w:p>
  <w:p w14:paraId="78E0FA9D">
    <w:pPr>
      <w:pStyle w:val="25"/>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9F01E">
    <w:pPr>
      <w:pStyle w:val="25"/>
      <w:framePr w:wrap="around" w:vAnchor="text" w:hAnchor="margin" w:xAlign="right" w:y="1"/>
      <w:rPr>
        <w:rStyle w:val="40"/>
      </w:rPr>
    </w:pPr>
    <w:r>
      <w:fldChar w:fldCharType="begin"/>
    </w:r>
    <w:r>
      <w:rPr>
        <w:rStyle w:val="40"/>
      </w:rPr>
      <w:instrText xml:space="preserve">PAGE  </w:instrText>
    </w:r>
    <w:r>
      <w:fldChar w:fldCharType="separate"/>
    </w:r>
    <w:r>
      <w:rPr>
        <w:rStyle w:val="40"/>
      </w:rPr>
      <w:t>122</w:t>
    </w:r>
    <w:r>
      <w:fldChar w:fldCharType="end"/>
    </w:r>
  </w:p>
  <w:p w14:paraId="6F20463B">
    <w:pPr>
      <w:pStyle w:val="25"/>
      <w:ind w:right="360"/>
      <w:jc w:val="both"/>
    </w:pPr>
    <w:r>
      <w:rPr>
        <w:rFonts w:hint="eastAsia"/>
      </w:rPr>
      <w:t>121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52B1F">
    <w:pPr>
      <w:pStyle w:val="25"/>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4CC6E">
    <w:pPr>
      <w:pStyle w:val="2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75DC4">
    <w:pPr>
      <w:pStyle w:val="25"/>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BF6589">
                          <w:pPr>
                            <w:pStyle w:val="2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7BF6589">
                    <w:pPr>
                      <w:pStyle w:val="2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68695">
    <w:pPr>
      <w:pStyle w:val="25"/>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C55C41">
                          <w:pPr>
                            <w:pStyle w:val="25"/>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DC55C41">
                    <w:pPr>
                      <w:pStyle w:val="25"/>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D2AAF">
    <w:pPr>
      <w:pStyle w:val="25"/>
      <w:ind w:left="560" w:hanging="5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9789DE7">
                          <w:pPr>
                            <w:pStyle w:val="25"/>
                          </w:pPr>
                          <w:r>
                            <w:rPr>
                              <w:rFonts w:hint="eastAsia"/>
                            </w:rPr>
                            <w:fldChar w:fldCharType="begin"/>
                          </w:r>
                          <w:r>
                            <w:rPr>
                              <w:rFonts w:hint="eastAsia"/>
                            </w:rPr>
                            <w:instrText xml:space="preserve"> PAGE  \* MERGEFORMAT </w:instrText>
                          </w:r>
                          <w:r>
                            <w:rPr>
                              <w:rFonts w:hint="eastAsia"/>
                            </w:rPr>
                            <w:fldChar w:fldCharType="separate"/>
                          </w:r>
                          <w:r>
                            <w:t>91</w:t>
                          </w:r>
                          <w:r>
                            <w:rPr>
                              <w:rFonts w:hint="eastAsia"/>
                            </w:rPr>
                            <w:fldChar w:fldCharType="end"/>
                          </w: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XEzWTdwBAADAAwAADgAAAAAAAAAB&#10;ACAAAAAeAQAAZHJzL2Uyb0RvYy54bWxQSwUGAAAAAAYABgBZAQAAbAUAAAAA&#10;">
              <v:fill on="f" focussize="0,0"/>
              <v:stroke on="f"/>
              <v:imagedata o:title=""/>
              <o:lock v:ext="edit" aspectratio="f"/>
              <v:textbox inset="0mm,0mm,0mm,0mm" style="mso-fit-shape-to-text:t;">
                <w:txbxContent>
                  <w:p w14:paraId="19789DE7">
                    <w:pPr>
                      <w:pStyle w:val="25"/>
                    </w:pPr>
                    <w:r>
                      <w:rPr>
                        <w:rFonts w:hint="eastAsia"/>
                      </w:rPr>
                      <w:fldChar w:fldCharType="begin"/>
                    </w:r>
                    <w:r>
                      <w:rPr>
                        <w:rFonts w:hint="eastAsia"/>
                      </w:rPr>
                      <w:instrText xml:space="preserve"> PAGE  \* MERGEFORMAT </w:instrText>
                    </w:r>
                    <w:r>
                      <w:rPr>
                        <w:rFonts w:hint="eastAsia"/>
                      </w:rPr>
                      <w:fldChar w:fldCharType="separate"/>
                    </w:r>
                    <w:r>
                      <w:t>91</w:t>
                    </w:r>
                    <w:r>
                      <w:rPr>
                        <w:rFonts w:hint="eastAsia"/>
                      </w:rPr>
                      <w:fldChar w:fldCharType="end"/>
                    </w:r>
                  </w:p>
                </w:txbxContent>
              </v:textbox>
            </v:shape>
          </w:pict>
        </mc:Fallback>
      </mc:AlternateContent>
    </w:r>
  </w:p>
  <w:p w14:paraId="489FCA12">
    <w:pPr>
      <w:pStyle w:val="25"/>
      <w:ind w:left="560" w:hanging="5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7F4BA">
    <w:pPr>
      <w:pStyle w:val="25"/>
      <w:ind w:left="560" w:hanging="560"/>
      <w:jc w:val="center"/>
    </w:pPr>
    <w:r>
      <w:t>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1ED64">
    <w:pPr>
      <w:pStyle w:val="25"/>
      <w:ind w:left="560" w:hanging="5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B7E53D7">
                          <w:pPr>
                            <w:pStyle w:val="25"/>
                          </w:pPr>
                          <w:r>
                            <w:rPr>
                              <w:rFonts w:hint="eastAsia"/>
                            </w:rPr>
                            <w:fldChar w:fldCharType="begin"/>
                          </w:r>
                          <w:r>
                            <w:rPr>
                              <w:rFonts w:hint="eastAsia"/>
                            </w:rPr>
                            <w:instrText xml:space="preserve"> PAGE  \* MERGEFORMAT </w:instrText>
                          </w:r>
                          <w:r>
                            <w:rPr>
                              <w:rFonts w:hint="eastAsia"/>
                            </w:rPr>
                            <w:fldChar w:fldCharType="separate"/>
                          </w:r>
                          <w:r>
                            <w:t>100</w:t>
                          </w:r>
                          <w:r>
                            <w:rPr>
                              <w:rFonts w:hint="eastAsia"/>
                            </w:rPr>
                            <w:fldChar w:fldCharType="end"/>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BTvvuQ2wEAAMADAAAOAAAAAAAAAAEA&#10;IAAAAB4BAABkcnMvZTJvRG9jLnhtbFBLBQYAAAAABgAGAFkBAABrBQAAAAA=&#10;">
              <v:fill on="f" focussize="0,0"/>
              <v:stroke on="f"/>
              <v:imagedata o:title=""/>
              <o:lock v:ext="edit" aspectratio="f"/>
              <v:textbox inset="0mm,0mm,0mm,0mm" style="mso-fit-shape-to-text:t;">
                <w:txbxContent>
                  <w:p w14:paraId="4B7E53D7">
                    <w:pPr>
                      <w:pStyle w:val="25"/>
                    </w:pPr>
                    <w:r>
                      <w:rPr>
                        <w:rFonts w:hint="eastAsia"/>
                      </w:rPr>
                      <w:fldChar w:fldCharType="begin"/>
                    </w:r>
                    <w:r>
                      <w:rPr>
                        <w:rFonts w:hint="eastAsia"/>
                      </w:rPr>
                      <w:instrText xml:space="preserve"> PAGE  \* MERGEFORMAT </w:instrText>
                    </w:r>
                    <w:r>
                      <w:rPr>
                        <w:rFonts w:hint="eastAsia"/>
                      </w:rPr>
                      <w:fldChar w:fldCharType="separate"/>
                    </w:r>
                    <w:r>
                      <w:t>100</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FCE00">
    <w:pPr>
      <w:pStyle w:val="25"/>
      <w:ind w:left="560" w:hanging="5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C5EBF98">
                          <w:pPr>
                            <w:pStyle w:val="25"/>
                          </w:pPr>
                          <w:r>
                            <w:rPr>
                              <w:rFonts w:hint="eastAsia"/>
                            </w:rPr>
                            <w:fldChar w:fldCharType="begin"/>
                          </w:r>
                          <w:r>
                            <w:rPr>
                              <w:rFonts w:hint="eastAsia"/>
                            </w:rPr>
                            <w:instrText xml:space="preserve"> PAGE  \* MERGEFORMAT </w:instrText>
                          </w:r>
                          <w:r>
                            <w:rPr>
                              <w:rFonts w:hint="eastAsia"/>
                            </w:rPr>
                            <w:fldChar w:fldCharType="separate"/>
                          </w:r>
                          <w:r>
                            <w:t>106</w:t>
                          </w:r>
                          <w:r>
                            <w:rPr>
                              <w:rFonts w:hint="eastAsia"/>
                            </w:rPr>
                            <w:fldChar w:fldCharType="end"/>
                          </w:r>
                        </w:p>
                      </w:txbxContent>
                    </wps:txbx>
                    <wps:bodyPr vert="horz" wrap="none" lIns="0" tIns="0" rIns="0" bIns="0" anchor="t" anchorCtr="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DyWvFs2wEAAMEDAAAOAAAAAAAAAAEA&#10;IAAAAB4BAABkcnMvZTJvRG9jLnhtbFBLBQYAAAAABgAGAFkBAABrBQAAAAA=&#10;">
              <v:fill on="f" focussize="0,0"/>
              <v:stroke on="f"/>
              <v:imagedata o:title=""/>
              <o:lock v:ext="edit" aspectratio="f"/>
              <v:textbox inset="0mm,0mm,0mm,0mm" style="mso-fit-shape-to-text:t;">
                <w:txbxContent>
                  <w:p w14:paraId="5C5EBF98">
                    <w:pPr>
                      <w:pStyle w:val="25"/>
                    </w:pPr>
                    <w:r>
                      <w:rPr>
                        <w:rFonts w:hint="eastAsia"/>
                      </w:rPr>
                      <w:fldChar w:fldCharType="begin"/>
                    </w:r>
                    <w:r>
                      <w:rPr>
                        <w:rFonts w:hint="eastAsia"/>
                      </w:rPr>
                      <w:instrText xml:space="preserve"> PAGE  \* MERGEFORMAT </w:instrText>
                    </w:r>
                    <w:r>
                      <w:rPr>
                        <w:rFonts w:hint="eastAsia"/>
                      </w:rPr>
                      <w:fldChar w:fldCharType="separate"/>
                    </w:r>
                    <w:r>
                      <w:t>106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B4D98">
    <w:pPr>
      <w:pStyle w:val="26"/>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E95BB">
    <w:pPr>
      <w:pStyle w:val="26"/>
      <w:pBdr>
        <w:bottom w:val="none" w:color="auto" w:sz="0" w:space="1"/>
      </w:pBdr>
      <w:tabs>
        <w:tab w:val="center" w:pos="0"/>
        <w:tab w:val="clear" w:pos="415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C0016">
    <w:pPr>
      <w:pStyle w:val="26"/>
      <w:pBdr>
        <w:bottom w:val="none" w:color="auto" w:sz="0" w:space="1"/>
      </w:pBdr>
      <w:tabs>
        <w:tab w:val="center" w:pos="0"/>
        <w:tab w:val="left"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6AA0B">
    <w:pPr>
      <w:pStyle w:val="26"/>
      <w:pBdr>
        <w:bottom w:val="none" w:color="auto" w:sz="0" w:space="1"/>
      </w:pBdr>
      <w:tabs>
        <w:tab w:val="center" w:pos="0"/>
        <w:tab w:val="clear" w:pos="4153"/>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BC18E">
    <w:pPr>
      <w:pStyle w:val="26"/>
      <w:pBdr>
        <w:bottom w:val="none" w:color="auto" w:sz="0" w:space="1"/>
      </w:pBdr>
      <w:tabs>
        <w:tab w:val="center" w:pos="0"/>
        <w:tab w:val="clear" w:pos="4153"/>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63992">
    <w:pPr>
      <w:pStyle w:val="26"/>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4B5FA">
    <w:pPr>
      <w:pStyle w:val="26"/>
      <w:pBdr>
        <w:bottom w:val="none" w:color="auto" w:sz="0" w:space="1"/>
      </w:pBdr>
      <w:tabs>
        <w:tab w:val="center" w:pos="0"/>
        <w:tab w:val="clear" w:pos="4153"/>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A3572">
    <w:pPr>
      <w:pStyle w:val="2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118B47"/>
    <w:multiLevelType w:val="singleLevel"/>
    <w:tmpl w:val="91118B47"/>
    <w:lvl w:ilvl="0" w:tentative="0">
      <w:start w:val="1"/>
      <w:numFmt w:val="decimal"/>
      <w:suff w:val="nothing"/>
      <w:lvlText w:val="%1、"/>
      <w:lvlJc w:val="left"/>
    </w:lvl>
  </w:abstractNum>
  <w:abstractNum w:abstractNumId="1">
    <w:nsid w:val="96A209FA"/>
    <w:multiLevelType w:val="singleLevel"/>
    <w:tmpl w:val="96A209FA"/>
    <w:lvl w:ilvl="0" w:tentative="0">
      <w:start w:val="1"/>
      <w:numFmt w:val="decimal"/>
      <w:suff w:val="space"/>
      <w:lvlText w:val="%1."/>
      <w:lvlJc w:val="left"/>
    </w:lvl>
  </w:abstractNum>
  <w:abstractNum w:abstractNumId="2">
    <w:nsid w:val="A17D53C6"/>
    <w:multiLevelType w:val="singleLevel"/>
    <w:tmpl w:val="A17D53C6"/>
    <w:lvl w:ilvl="0" w:tentative="0">
      <w:start w:val="1"/>
      <w:numFmt w:val="decimal"/>
      <w:suff w:val="nothing"/>
      <w:lvlText w:val="%1."/>
      <w:lvlJc w:val="left"/>
      <w:pPr>
        <w:tabs>
          <w:tab w:val="left" w:pos="0"/>
        </w:tabs>
        <w:ind w:left="0" w:firstLine="0"/>
      </w:pPr>
      <w:rPr>
        <w:rFonts w:hint="default"/>
      </w:rPr>
    </w:lvl>
  </w:abstractNum>
  <w:abstractNum w:abstractNumId="3">
    <w:nsid w:val="B077FF54"/>
    <w:multiLevelType w:val="singleLevel"/>
    <w:tmpl w:val="B077FF54"/>
    <w:lvl w:ilvl="0" w:tentative="0">
      <w:start w:val="1"/>
      <w:numFmt w:val="decimal"/>
      <w:suff w:val="nothing"/>
      <w:lvlText w:val="（%1）"/>
      <w:lvlJc w:val="left"/>
    </w:lvl>
  </w:abstractNum>
  <w:abstractNum w:abstractNumId="4">
    <w:nsid w:val="C307F240"/>
    <w:multiLevelType w:val="singleLevel"/>
    <w:tmpl w:val="C307F240"/>
    <w:lvl w:ilvl="0" w:tentative="0">
      <w:start w:val="1"/>
      <w:numFmt w:val="decimal"/>
      <w:suff w:val="space"/>
      <w:lvlText w:val="%1."/>
      <w:lvlJc w:val="left"/>
    </w:lvl>
  </w:abstractNum>
  <w:abstractNum w:abstractNumId="5">
    <w:nsid w:val="0623166D"/>
    <w:multiLevelType w:val="multilevel"/>
    <w:tmpl w:val="0623166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6EE0963"/>
    <w:multiLevelType w:val="multilevel"/>
    <w:tmpl w:val="06EE096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7416DD3"/>
    <w:multiLevelType w:val="multilevel"/>
    <w:tmpl w:val="07416DD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8014262"/>
    <w:multiLevelType w:val="multilevel"/>
    <w:tmpl w:val="08014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AC277E1"/>
    <w:multiLevelType w:val="multilevel"/>
    <w:tmpl w:val="0AC277E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D0471CF"/>
    <w:multiLevelType w:val="multilevel"/>
    <w:tmpl w:val="0D0471C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D2F6EBF"/>
    <w:multiLevelType w:val="singleLevel"/>
    <w:tmpl w:val="0D2F6EBF"/>
    <w:lvl w:ilvl="0" w:tentative="0">
      <w:start w:val="1"/>
      <w:numFmt w:val="decimal"/>
      <w:suff w:val="space"/>
      <w:lvlText w:val="%1."/>
      <w:lvlJc w:val="left"/>
    </w:lvl>
  </w:abstractNum>
  <w:abstractNum w:abstractNumId="12">
    <w:nsid w:val="0D356B9F"/>
    <w:multiLevelType w:val="singleLevel"/>
    <w:tmpl w:val="0D356B9F"/>
    <w:lvl w:ilvl="0" w:tentative="0">
      <w:start w:val="1"/>
      <w:numFmt w:val="decimal"/>
      <w:suff w:val="nothing"/>
      <w:lvlText w:val="%1、"/>
      <w:lvlJc w:val="left"/>
    </w:lvl>
  </w:abstractNum>
  <w:abstractNum w:abstractNumId="13">
    <w:nsid w:val="0DA6573A"/>
    <w:multiLevelType w:val="multilevel"/>
    <w:tmpl w:val="0DA6573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4BD4C70"/>
    <w:multiLevelType w:val="multilevel"/>
    <w:tmpl w:val="14BD4C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AE834C7"/>
    <w:multiLevelType w:val="multilevel"/>
    <w:tmpl w:val="2AE834C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17">
    <w:nsid w:val="36313813"/>
    <w:multiLevelType w:val="multilevel"/>
    <w:tmpl w:val="3631381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6D83612"/>
    <w:multiLevelType w:val="multilevel"/>
    <w:tmpl w:val="36D8361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D496C44"/>
    <w:multiLevelType w:val="multilevel"/>
    <w:tmpl w:val="3D496C4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431530E"/>
    <w:multiLevelType w:val="multilevel"/>
    <w:tmpl w:val="4431530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09A6FE6"/>
    <w:multiLevelType w:val="multilevel"/>
    <w:tmpl w:val="509A6FE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2A71F33"/>
    <w:multiLevelType w:val="multilevel"/>
    <w:tmpl w:val="52A71F3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58C2ACD"/>
    <w:multiLevelType w:val="multilevel"/>
    <w:tmpl w:val="558C2AC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92F30EB"/>
    <w:multiLevelType w:val="multilevel"/>
    <w:tmpl w:val="592F30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B656A5D"/>
    <w:multiLevelType w:val="multilevel"/>
    <w:tmpl w:val="5B656A5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27">
    <w:nsid w:val="7DD81DE4"/>
    <w:multiLevelType w:val="multilevel"/>
    <w:tmpl w:val="7DD81DE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E567FDD"/>
    <w:multiLevelType w:val="multilevel"/>
    <w:tmpl w:val="7E567FD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4"/>
  </w:num>
  <w:num w:numId="3">
    <w:abstractNumId w:val="1"/>
  </w:num>
  <w:num w:numId="4">
    <w:abstractNumId w:val="11"/>
  </w:num>
  <w:num w:numId="5">
    <w:abstractNumId w:val="15"/>
  </w:num>
  <w:num w:numId="6">
    <w:abstractNumId w:val="17"/>
  </w:num>
  <w:num w:numId="7">
    <w:abstractNumId w:val="28"/>
  </w:num>
  <w:num w:numId="8">
    <w:abstractNumId w:val="25"/>
  </w:num>
  <w:num w:numId="9">
    <w:abstractNumId w:val="9"/>
  </w:num>
  <w:num w:numId="10">
    <w:abstractNumId w:val="10"/>
  </w:num>
  <w:num w:numId="11">
    <w:abstractNumId w:val="14"/>
  </w:num>
  <w:num w:numId="12">
    <w:abstractNumId w:val="18"/>
  </w:num>
  <w:num w:numId="13">
    <w:abstractNumId w:val="24"/>
  </w:num>
  <w:num w:numId="14">
    <w:abstractNumId w:val="13"/>
  </w:num>
  <w:num w:numId="15">
    <w:abstractNumId w:val="5"/>
  </w:num>
  <w:num w:numId="16">
    <w:abstractNumId w:val="27"/>
  </w:num>
  <w:num w:numId="17">
    <w:abstractNumId w:val="6"/>
  </w:num>
  <w:num w:numId="18">
    <w:abstractNumId w:val="22"/>
  </w:num>
  <w:num w:numId="19">
    <w:abstractNumId w:val="23"/>
  </w:num>
  <w:num w:numId="20">
    <w:abstractNumId w:val="19"/>
  </w:num>
  <w:num w:numId="21">
    <w:abstractNumId w:val="20"/>
  </w:num>
  <w:num w:numId="22">
    <w:abstractNumId w:val="7"/>
  </w:num>
  <w:num w:numId="23">
    <w:abstractNumId w:val="8"/>
  </w:num>
  <w:num w:numId="24">
    <w:abstractNumId w:val="21"/>
  </w:num>
  <w:num w:numId="25">
    <w:abstractNumId w:val="0"/>
  </w:num>
  <w:num w:numId="26">
    <w:abstractNumId w:val="3"/>
  </w:num>
  <w:num w:numId="27">
    <w:abstractNumId w:val="26"/>
  </w:num>
  <w:num w:numId="28">
    <w:abstractNumId w:val="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3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OThlOTJjNTNmMDY2M2YwMzdhMDEyYzcyNTRjNGMifQ=="/>
  </w:docVars>
  <w:rsids>
    <w:rsidRoot w:val="00172A27"/>
    <w:rsid w:val="0000096C"/>
    <w:rsid w:val="00000CDB"/>
    <w:rsid w:val="00001CDA"/>
    <w:rsid w:val="00004344"/>
    <w:rsid w:val="00005909"/>
    <w:rsid w:val="000207D5"/>
    <w:rsid w:val="00024E82"/>
    <w:rsid w:val="00027659"/>
    <w:rsid w:val="00030800"/>
    <w:rsid w:val="00031652"/>
    <w:rsid w:val="00034A7D"/>
    <w:rsid w:val="00035197"/>
    <w:rsid w:val="00035F9C"/>
    <w:rsid w:val="00044EDB"/>
    <w:rsid w:val="00054304"/>
    <w:rsid w:val="000553BC"/>
    <w:rsid w:val="00056551"/>
    <w:rsid w:val="0006218D"/>
    <w:rsid w:val="00063F24"/>
    <w:rsid w:val="00065AF0"/>
    <w:rsid w:val="00066EA9"/>
    <w:rsid w:val="00066FE1"/>
    <w:rsid w:val="00074D5F"/>
    <w:rsid w:val="00077BF5"/>
    <w:rsid w:val="00081789"/>
    <w:rsid w:val="00085A0D"/>
    <w:rsid w:val="00092A54"/>
    <w:rsid w:val="00092F65"/>
    <w:rsid w:val="0009317E"/>
    <w:rsid w:val="00093B18"/>
    <w:rsid w:val="00094E84"/>
    <w:rsid w:val="000A7A4B"/>
    <w:rsid w:val="000C302E"/>
    <w:rsid w:val="000C5D44"/>
    <w:rsid w:val="000D5F48"/>
    <w:rsid w:val="000D7284"/>
    <w:rsid w:val="000E6783"/>
    <w:rsid w:val="000F1BBE"/>
    <w:rsid w:val="001031E7"/>
    <w:rsid w:val="00104245"/>
    <w:rsid w:val="001108AC"/>
    <w:rsid w:val="00110DD2"/>
    <w:rsid w:val="0011187C"/>
    <w:rsid w:val="00116FC9"/>
    <w:rsid w:val="00120C46"/>
    <w:rsid w:val="00125837"/>
    <w:rsid w:val="001306A8"/>
    <w:rsid w:val="00140B14"/>
    <w:rsid w:val="00140CE8"/>
    <w:rsid w:val="00143DA6"/>
    <w:rsid w:val="00151CEE"/>
    <w:rsid w:val="0015209C"/>
    <w:rsid w:val="001551E7"/>
    <w:rsid w:val="00170AA7"/>
    <w:rsid w:val="00172A27"/>
    <w:rsid w:val="00173852"/>
    <w:rsid w:val="00174F9B"/>
    <w:rsid w:val="00177D95"/>
    <w:rsid w:val="00181460"/>
    <w:rsid w:val="00182C28"/>
    <w:rsid w:val="00190F4C"/>
    <w:rsid w:val="00193D49"/>
    <w:rsid w:val="0019577E"/>
    <w:rsid w:val="001B1366"/>
    <w:rsid w:val="001B2BDE"/>
    <w:rsid w:val="001B2FAE"/>
    <w:rsid w:val="001C2E44"/>
    <w:rsid w:val="001D047F"/>
    <w:rsid w:val="001E0216"/>
    <w:rsid w:val="001E0590"/>
    <w:rsid w:val="001E3E3A"/>
    <w:rsid w:val="001E4E53"/>
    <w:rsid w:val="001E6153"/>
    <w:rsid w:val="001E6C5D"/>
    <w:rsid w:val="001E7AB6"/>
    <w:rsid w:val="001F330A"/>
    <w:rsid w:val="001F4D3C"/>
    <w:rsid w:val="00201770"/>
    <w:rsid w:val="00204164"/>
    <w:rsid w:val="00204F25"/>
    <w:rsid w:val="00205999"/>
    <w:rsid w:val="00207350"/>
    <w:rsid w:val="00207DB7"/>
    <w:rsid w:val="00221909"/>
    <w:rsid w:val="002230A4"/>
    <w:rsid w:val="00231EAB"/>
    <w:rsid w:val="00232E04"/>
    <w:rsid w:val="00236055"/>
    <w:rsid w:val="00236B7D"/>
    <w:rsid w:val="00244627"/>
    <w:rsid w:val="002563B4"/>
    <w:rsid w:val="0025753A"/>
    <w:rsid w:val="002738BD"/>
    <w:rsid w:val="002867CF"/>
    <w:rsid w:val="00293976"/>
    <w:rsid w:val="00297271"/>
    <w:rsid w:val="002B3400"/>
    <w:rsid w:val="002B4610"/>
    <w:rsid w:val="002C0483"/>
    <w:rsid w:val="002C1328"/>
    <w:rsid w:val="002C27F2"/>
    <w:rsid w:val="002C38A0"/>
    <w:rsid w:val="002C7DD7"/>
    <w:rsid w:val="002D2EF2"/>
    <w:rsid w:val="002E0A18"/>
    <w:rsid w:val="002E6BA4"/>
    <w:rsid w:val="002F55FD"/>
    <w:rsid w:val="002F667D"/>
    <w:rsid w:val="003014B1"/>
    <w:rsid w:val="003051FD"/>
    <w:rsid w:val="00305816"/>
    <w:rsid w:val="00315EB2"/>
    <w:rsid w:val="003162D6"/>
    <w:rsid w:val="00316994"/>
    <w:rsid w:val="00320B19"/>
    <w:rsid w:val="00322C10"/>
    <w:rsid w:val="00327461"/>
    <w:rsid w:val="00330EE9"/>
    <w:rsid w:val="003331F5"/>
    <w:rsid w:val="00333D8C"/>
    <w:rsid w:val="00337A9F"/>
    <w:rsid w:val="00344631"/>
    <w:rsid w:val="00346976"/>
    <w:rsid w:val="00347950"/>
    <w:rsid w:val="00353905"/>
    <w:rsid w:val="00355191"/>
    <w:rsid w:val="00366E54"/>
    <w:rsid w:val="0037075A"/>
    <w:rsid w:val="00371C87"/>
    <w:rsid w:val="00376F5D"/>
    <w:rsid w:val="00384EB6"/>
    <w:rsid w:val="003868E3"/>
    <w:rsid w:val="0039417D"/>
    <w:rsid w:val="003A3917"/>
    <w:rsid w:val="003A622A"/>
    <w:rsid w:val="003B031E"/>
    <w:rsid w:val="003B31F1"/>
    <w:rsid w:val="003B7C9A"/>
    <w:rsid w:val="003C027A"/>
    <w:rsid w:val="003C393F"/>
    <w:rsid w:val="003D3465"/>
    <w:rsid w:val="003D478D"/>
    <w:rsid w:val="003D7400"/>
    <w:rsid w:val="003E0AD4"/>
    <w:rsid w:val="003E1425"/>
    <w:rsid w:val="003E64C1"/>
    <w:rsid w:val="003F1067"/>
    <w:rsid w:val="003F1F9C"/>
    <w:rsid w:val="003F7B0D"/>
    <w:rsid w:val="004029ED"/>
    <w:rsid w:val="00403AA3"/>
    <w:rsid w:val="0040651A"/>
    <w:rsid w:val="00431C3B"/>
    <w:rsid w:val="00435268"/>
    <w:rsid w:val="0044023A"/>
    <w:rsid w:val="004437ED"/>
    <w:rsid w:val="0044600A"/>
    <w:rsid w:val="00447BDE"/>
    <w:rsid w:val="00450ADB"/>
    <w:rsid w:val="00452102"/>
    <w:rsid w:val="004531C4"/>
    <w:rsid w:val="0046694A"/>
    <w:rsid w:val="0046760D"/>
    <w:rsid w:val="00467833"/>
    <w:rsid w:val="00474447"/>
    <w:rsid w:val="004820E2"/>
    <w:rsid w:val="004853B6"/>
    <w:rsid w:val="004861BA"/>
    <w:rsid w:val="00486E44"/>
    <w:rsid w:val="0049027F"/>
    <w:rsid w:val="004925A4"/>
    <w:rsid w:val="004929AD"/>
    <w:rsid w:val="004A0443"/>
    <w:rsid w:val="004A5F2A"/>
    <w:rsid w:val="004A6736"/>
    <w:rsid w:val="004B49D2"/>
    <w:rsid w:val="004C5B3E"/>
    <w:rsid w:val="004E126C"/>
    <w:rsid w:val="004F5BCD"/>
    <w:rsid w:val="005033B8"/>
    <w:rsid w:val="00503A40"/>
    <w:rsid w:val="00506840"/>
    <w:rsid w:val="00511A25"/>
    <w:rsid w:val="00517D40"/>
    <w:rsid w:val="00520861"/>
    <w:rsid w:val="00521880"/>
    <w:rsid w:val="00525C35"/>
    <w:rsid w:val="005279FB"/>
    <w:rsid w:val="00532BF5"/>
    <w:rsid w:val="0053541C"/>
    <w:rsid w:val="005458AD"/>
    <w:rsid w:val="0054778A"/>
    <w:rsid w:val="0055409E"/>
    <w:rsid w:val="00554A36"/>
    <w:rsid w:val="00562123"/>
    <w:rsid w:val="00562514"/>
    <w:rsid w:val="00564C6D"/>
    <w:rsid w:val="00576E04"/>
    <w:rsid w:val="0057733C"/>
    <w:rsid w:val="00581AC2"/>
    <w:rsid w:val="00583AC0"/>
    <w:rsid w:val="00584BFC"/>
    <w:rsid w:val="005873D0"/>
    <w:rsid w:val="005917A6"/>
    <w:rsid w:val="005932B6"/>
    <w:rsid w:val="00596F89"/>
    <w:rsid w:val="005B53A3"/>
    <w:rsid w:val="005C06FA"/>
    <w:rsid w:val="005D54D6"/>
    <w:rsid w:val="005D6CCE"/>
    <w:rsid w:val="005E671C"/>
    <w:rsid w:val="005F6F86"/>
    <w:rsid w:val="00600743"/>
    <w:rsid w:val="006048A4"/>
    <w:rsid w:val="00605362"/>
    <w:rsid w:val="006064F7"/>
    <w:rsid w:val="006068F0"/>
    <w:rsid w:val="00606C3B"/>
    <w:rsid w:val="00622C28"/>
    <w:rsid w:val="00626CA8"/>
    <w:rsid w:val="006271A0"/>
    <w:rsid w:val="006301C4"/>
    <w:rsid w:val="00631BAB"/>
    <w:rsid w:val="006406A8"/>
    <w:rsid w:val="00640B4E"/>
    <w:rsid w:val="00641D5B"/>
    <w:rsid w:val="00653CDE"/>
    <w:rsid w:val="00656442"/>
    <w:rsid w:val="00661DA0"/>
    <w:rsid w:val="006632E6"/>
    <w:rsid w:val="00670E85"/>
    <w:rsid w:val="0067703D"/>
    <w:rsid w:val="006831E3"/>
    <w:rsid w:val="00691B1A"/>
    <w:rsid w:val="00695425"/>
    <w:rsid w:val="006A101B"/>
    <w:rsid w:val="006A6DC8"/>
    <w:rsid w:val="006C015A"/>
    <w:rsid w:val="006C2360"/>
    <w:rsid w:val="006C55A9"/>
    <w:rsid w:val="006C5999"/>
    <w:rsid w:val="006D0A1B"/>
    <w:rsid w:val="006D6A62"/>
    <w:rsid w:val="006F0015"/>
    <w:rsid w:val="007074D8"/>
    <w:rsid w:val="00707FF2"/>
    <w:rsid w:val="00715456"/>
    <w:rsid w:val="00717D53"/>
    <w:rsid w:val="0072351B"/>
    <w:rsid w:val="00730FBB"/>
    <w:rsid w:val="00736625"/>
    <w:rsid w:val="00744B4B"/>
    <w:rsid w:val="00745B03"/>
    <w:rsid w:val="00745BFF"/>
    <w:rsid w:val="0074683F"/>
    <w:rsid w:val="007549ED"/>
    <w:rsid w:val="0075643C"/>
    <w:rsid w:val="00756DD1"/>
    <w:rsid w:val="00757B36"/>
    <w:rsid w:val="00761289"/>
    <w:rsid w:val="00761EA6"/>
    <w:rsid w:val="00767154"/>
    <w:rsid w:val="00773B6C"/>
    <w:rsid w:val="00781DF2"/>
    <w:rsid w:val="00790B95"/>
    <w:rsid w:val="007937A3"/>
    <w:rsid w:val="007B4684"/>
    <w:rsid w:val="007C09EA"/>
    <w:rsid w:val="007C2309"/>
    <w:rsid w:val="007C3B9F"/>
    <w:rsid w:val="007D5273"/>
    <w:rsid w:val="007D6581"/>
    <w:rsid w:val="007D6EBC"/>
    <w:rsid w:val="007F0A33"/>
    <w:rsid w:val="007F1D2B"/>
    <w:rsid w:val="007F4D7D"/>
    <w:rsid w:val="007F717F"/>
    <w:rsid w:val="008176CE"/>
    <w:rsid w:val="008232D5"/>
    <w:rsid w:val="00823F88"/>
    <w:rsid w:val="0082700E"/>
    <w:rsid w:val="008300D6"/>
    <w:rsid w:val="00843D45"/>
    <w:rsid w:val="00852105"/>
    <w:rsid w:val="0085544C"/>
    <w:rsid w:val="008604A4"/>
    <w:rsid w:val="008606F1"/>
    <w:rsid w:val="00860D9E"/>
    <w:rsid w:val="00862516"/>
    <w:rsid w:val="00864CFA"/>
    <w:rsid w:val="0086784A"/>
    <w:rsid w:val="008811BB"/>
    <w:rsid w:val="00884C48"/>
    <w:rsid w:val="0089747C"/>
    <w:rsid w:val="008974F2"/>
    <w:rsid w:val="008A2903"/>
    <w:rsid w:val="008C08ED"/>
    <w:rsid w:val="008C4798"/>
    <w:rsid w:val="008D3FFB"/>
    <w:rsid w:val="008D43F8"/>
    <w:rsid w:val="008E268A"/>
    <w:rsid w:val="008E3451"/>
    <w:rsid w:val="008E53FF"/>
    <w:rsid w:val="00904A9B"/>
    <w:rsid w:val="00905884"/>
    <w:rsid w:val="00920D6C"/>
    <w:rsid w:val="009276D5"/>
    <w:rsid w:val="00942D58"/>
    <w:rsid w:val="00942FDE"/>
    <w:rsid w:val="00952863"/>
    <w:rsid w:val="009528FA"/>
    <w:rsid w:val="0096166D"/>
    <w:rsid w:val="00986C7E"/>
    <w:rsid w:val="009911B9"/>
    <w:rsid w:val="009924D4"/>
    <w:rsid w:val="009961B0"/>
    <w:rsid w:val="009963BC"/>
    <w:rsid w:val="009A6C00"/>
    <w:rsid w:val="009B644A"/>
    <w:rsid w:val="009B67C7"/>
    <w:rsid w:val="009C3D9F"/>
    <w:rsid w:val="009C60E6"/>
    <w:rsid w:val="009D5E30"/>
    <w:rsid w:val="009D64B0"/>
    <w:rsid w:val="009D78FE"/>
    <w:rsid w:val="009E0DF2"/>
    <w:rsid w:val="009E2765"/>
    <w:rsid w:val="009E2C4C"/>
    <w:rsid w:val="009E509B"/>
    <w:rsid w:val="009E5F55"/>
    <w:rsid w:val="009F48CE"/>
    <w:rsid w:val="009F5431"/>
    <w:rsid w:val="009F5C57"/>
    <w:rsid w:val="00A079C6"/>
    <w:rsid w:val="00A11791"/>
    <w:rsid w:val="00A15437"/>
    <w:rsid w:val="00A207B9"/>
    <w:rsid w:val="00A218F9"/>
    <w:rsid w:val="00A317A2"/>
    <w:rsid w:val="00A31C07"/>
    <w:rsid w:val="00A31E32"/>
    <w:rsid w:val="00A35D90"/>
    <w:rsid w:val="00A37ECC"/>
    <w:rsid w:val="00A41DC7"/>
    <w:rsid w:val="00A4364F"/>
    <w:rsid w:val="00A5424F"/>
    <w:rsid w:val="00A54EBE"/>
    <w:rsid w:val="00A56CB5"/>
    <w:rsid w:val="00A64717"/>
    <w:rsid w:val="00A748C9"/>
    <w:rsid w:val="00A77398"/>
    <w:rsid w:val="00A80C51"/>
    <w:rsid w:val="00A81EDF"/>
    <w:rsid w:val="00A83A62"/>
    <w:rsid w:val="00A929CC"/>
    <w:rsid w:val="00A9536F"/>
    <w:rsid w:val="00A95495"/>
    <w:rsid w:val="00A955F2"/>
    <w:rsid w:val="00AA0FBE"/>
    <w:rsid w:val="00AA4479"/>
    <w:rsid w:val="00AA48D1"/>
    <w:rsid w:val="00AB7E31"/>
    <w:rsid w:val="00AD464B"/>
    <w:rsid w:val="00AD7E81"/>
    <w:rsid w:val="00AE0FF5"/>
    <w:rsid w:val="00AE127D"/>
    <w:rsid w:val="00AF12E5"/>
    <w:rsid w:val="00AF7D70"/>
    <w:rsid w:val="00B017FE"/>
    <w:rsid w:val="00B05D04"/>
    <w:rsid w:val="00B17E63"/>
    <w:rsid w:val="00B17F7F"/>
    <w:rsid w:val="00B20869"/>
    <w:rsid w:val="00B211ED"/>
    <w:rsid w:val="00B33B3B"/>
    <w:rsid w:val="00B52B37"/>
    <w:rsid w:val="00B548FD"/>
    <w:rsid w:val="00B556FB"/>
    <w:rsid w:val="00B56361"/>
    <w:rsid w:val="00B61746"/>
    <w:rsid w:val="00B62005"/>
    <w:rsid w:val="00B67934"/>
    <w:rsid w:val="00B76FFB"/>
    <w:rsid w:val="00B7795B"/>
    <w:rsid w:val="00B77961"/>
    <w:rsid w:val="00B803FE"/>
    <w:rsid w:val="00B84C74"/>
    <w:rsid w:val="00B94CF1"/>
    <w:rsid w:val="00BA2379"/>
    <w:rsid w:val="00BA6F13"/>
    <w:rsid w:val="00BB3A8E"/>
    <w:rsid w:val="00BB7111"/>
    <w:rsid w:val="00BC0690"/>
    <w:rsid w:val="00BC4D83"/>
    <w:rsid w:val="00BC6D1F"/>
    <w:rsid w:val="00BD1CD3"/>
    <w:rsid w:val="00BE0F5B"/>
    <w:rsid w:val="00BE242C"/>
    <w:rsid w:val="00BF2DE4"/>
    <w:rsid w:val="00BF4E4B"/>
    <w:rsid w:val="00BF7045"/>
    <w:rsid w:val="00C03881"/>
    <w:rsid w:val="00C03EC3"/>
    <w:rsid w:val="00C051BA"/>
    <w:rsid w:val="00C052AB"/>
    <w:rsid w:val="00C114D9"/>
    <w:rsid w:val="00C115C2"/>
    <w:rsid w:val="00C12A33"/>
    <w:rsid w:val="00C20A8B"/>
    <w:rsid w:val="00C234FA"/>
    <w:rsid w:val="00C31DD3"/>
    <w:rsid w:val="00C3405B"/>
    <w:rsid w:val="00C510B7"/>
    <w:rsid w:val="00C54574"/>
    <w:rsid w:val="00C67F26"/>
    <w:rsid w:val="00C72985"/>
    <w:rsid w:val="00C73607"/>
    <w:rsid w:val="00C7749B"/>
    <w:rsid w:val="00C80161"/>
    <w:rsid w:val="00C82DE7"/>
    <w:rsid w:val="00C90F87"/>
    <w:rsid w:val="00C91EA9"/>
    <w:rsid w:val="00CB10A1"/>
    <w:rsid w:val="00CB1671"/>
    <w:rsid w:val="00CB3128"/>
    <w:rsid w:val="00CB582D"/>
    <w:rsid w:val="00CB63FC"/>
    <w:rsid w:val="00CB78F3"/>
    <w:rsid w:val="00CC1E96"/>
    <w:rsid w:val="00CC7527"/>
    <w:rsid w:val="00CD60E2"/>
    <w:rsid w:val="00CF37DE"/>
    <w:rsid w:val="00CF45D0"/>
    <w:rsid w:val="00CF4883"/>
    <w:rsid w:val="00CF6FCC"/>
    <w:rsid w:val="00D06972"/>
    <w:rsid w:val="00D21461"/>
    <w:rsid w:val="00D22BE5"/>
    <w:rsid w:val="00D30B85"/>
    <w:rsid w:val="00D37A63"/>
    <w:rsid w:val="00D44310"/>
    <w:rsid w:val="00D44B33"/>
    <w:rsid w:val="00D556A1"/>
    <w:rsid w:val="00D563C2"/>
    <w:rsid w:val="00D57164"/>
    <w:rsid w:val="00D57281"/>
    <w:rsid w:val="00D65967"/>
    <w:rsid w:val="00D732AF"/>
    <w:rsid w:val="00D777F1"/>
    <w:rsid w:val="00D8185B"/>
    <w:rsid w:val="00D8194A"/>
    <w:rsid w:val="00D82F3E"/>
    <w:rsid w:val="00D969A3"/>
    <w:rsid w:val="00DA584A"/>
    <w:rsid w:val="00DB6895"/>
    <w:rsid w:val="00DC7AB8"/>
    <w:rsid w:val="00DD525D"/>
    <w:rsid w:val="00DD5508"/>
    <w:rsid w:val="00DE0E0D"/>
    <w:rsid w:val="00DE5E63"/>
    <w:rsid w:val="00DE675A"/>
    <w:rsid w:val="00E1452E"/>
    <w:rsid w:val="00E375E1"/>
    <w:rsid w:val="00E40A3B"/>
    <w:rsid w:val="00E431DF"/>
    <w:rsid w:val="00E54657"/>
    <w:rsid w:val="00E6697F"/>
    <w:rsid w:val="00E74681"/>
    <w:rsid w:val="00E77CF4"/>
    <w:rsid w:val="00E8042B"/>
    <w:rsid w:val="00E820A0"/>
    <w:rsid w:val="00E9217F"/>
    <w:rsid w:val="00E9496E"/>
    <w:rsid w:val="00E95E2C"/>
    <w:rsid w:val="00E96765"/>
    <w:rsid w:val="00E97D09"/>
    <w:rsid w:val="00EA009B"/>
    <w:rsid w:val="00EA04B7"/>
    <w:rsid w:val="00EA0937"/>
    <w:rsid w:val="00EA7723"/>
    <w:rsid w:val="00EB17F3"/>
    <w:rsid w:val="00EB28CA"/>
    <w:rsid w:val="00EB57D6"/>
    <w:rsid w:val="00EC5445"/>
    <w:rsid w:val="00EE1688"/>
    <w:rsid w:val="00EE23CC"/>
    <w:rsid w:val="00EF36D5"/>
    <w:rsid w:val="00EF3F63"/>
    <w:rsid w:val="00EF4C13"/>
    <w:rsid w:val="00EF6EEB"/>
    <w:rsid w:val="00F072C2"/>
    <w:rsid w:val="00F1066F"/>
    <w:rsid w:val="00F21207"/>
    <w:rsid w:val="00F5110A"/>
    <w:rsid w:val="00F52FF2"/>
    <w:rsid w:val="00F53FD4"/>
    <w:rsid w:val="00F56BEA"/>
    <w:rsid w:val="00F72D89"/>
    <w:rsid w:val="00F74F31"/>
    <w:rsid w:val="00F8163D"/>
    <w:rsid w:val="00F95FE2"/>
    <w:rsid w:val="00FA0D4F"/>
    <w:rsid w:val="00FA3C12"/>
    <w:rsid w:val="00FB02D1"/>
    <w:rsid w:val="00FB3A1E"/>
    <w:rsid w:val="00FB3C91"/>
    <w:rsid w:val="00FB4DCC"/>
    <w:rsid w:val="00FB6647"/>
    <w:rsid w:val="00FD3F1A"/>
    <w:rsid w:val="00FD442A"/>
    <w:rsid w:val="00FD6406"/>
    <w:rsid w:val="00FE5FE9"/>
    <w:rsid w:val="00FF0F02"/>
    <w:rsid w:val="01987FE8"/>
    <w:rsid w:val="01A11D18"/>
    <w:rsid w:val="01CF32DE"/>
    <w:rsid w:val="01D07863"/>
    <w:rsid w:val="02AB74CE"/>
    <w:rsid w:val="03216C8B"/>
    <w:rsid w:val="03531ABE"/>
    <w:rsid w:val="03711A65"/>
    <w:rsid w:val="03F4527E"/>
    <w:rsid w:val="043F6BA8"/>
    <w:rsid w:val="04BE2C85"/>
    <w:rsid w:val="05315D32"/>
    <w:rsid w:val="0599694A"/>
    <w:rsid w:val="05ED376C"/>
    <w:rsid w:val="05EE09F7"/>
    <w:rsid w:val="06226640"/>
    <w:rsid w:val="0684675A"/>
    <w:rsid w:val="06C9538B"/>
    <w:rsid w:val="07677F52"/>
    <w:rsid w:val="07787912"/>
    <w:rsid w:val="07B37861"/>
    <w:rsid w:val="07D50775"/>
    <w:rsid w:val="08F9428E"/>
    <w:rsid w:val="097D38BF"/>
    <w:rsid w:val="09D22C3E"/>
    <w:rsid w:val="09F42C17"/>
    <w:rsid w:val="0A2678DC"/>
    <w:rsid w:val="0A4D5B36"/>
    <w:rsid w:val="0A7F2A3B"/>
    <w:rsid w:val="0B7042D9"/>
    <w:rsid w:val="0B992AD6"/>
    <w:rsid w:val="0BB85702"/>
    <w:rsid w:val="0BC83278"/>
    <w:rsid w:val="0C142961"/>
    <w:rsid w:val="0C6D028B"/>
    <w:rsid w:val="0C7437BE"/>
    <w:rsid w:val="0DA05B37"/>
    <w:rsid w:val="0DA844D0"/>
    <w:rsid w:val="0DC2593A"/>
    <w:rsid w:val="0DCB6524"/>
    <w:rsid w:val="0E2C37CA"/>
    <w:rsid w:val="0E8D021A"/>
    <w:rsid w:val="0F4059AB"/>
    <w:rsid w:val="0F522244"/>
    <w:rsid w:val="10283EC5"/>
    <w:rsid w:val="10872A83"/>
    <w:rsid w:val="10F74040"/>
    <w:rsid w:val="110032AA"/>
    <w:rsid w:val="11C268FA"/>
    <w:rsid w:val="12C46AD7"/>
    <w:rsid w:val="139879D4"/>
    <w:rsid w:val="13B6250D"/>
    <w:rsid w:val="13DE781D"/>
    <w:rsid w:val="14076907"/>
    <w:rsid w:val="147369FB"/>
    <w:rsid w:val="14803CFD"/>
    <w:rsid w:val="14CF7D89"/>
    <w:rsid w:val="15107A3E"/>
    <w:rsid w:val="161208F7"/>
    <w:rsid w:val="16256A60"/>
    <w:rsid w:val="16274757"/>
    <w:rsid w:val="16712CBA"/>
    <w:rsid w:val="16CC1E75"/>
    <w:rsid w:val="17032688"/>
    <w:rsid w:val="174046AD"/>
    <w:rsid w:val="17EB22CD"/>
    <w:rsid w:val="17ED5830"/>
    <w:rsid w:val="184A31EF"/>
    <w:rsid w:val="18650227"/>
    <w:rsid w:val="18AD2E6A"/>
    <w:rsid w:val="18D36288"/>
    <w:rsid w:val="1904468E"/>
    <w:rsid w:val="190E4AC1"/>
    <w:rsid w:val="19283F69"/>
    <w:rsid w:val="1965596D"/>
    <w:rsid w:val="1A86524F"/>
    <w:rsid w:val="1B164860"/>
    <w:rsid w:val="1BAB7729"/>
    <w:rsid w:val="1C93342E"/>
    <w:rsid w:val="1CC91294"/>
    <w:rsid w:val="1DBD0166"/>
    <w:rsid w:val="1F531C0F"/>
    <w:rsid w:val="1F68647B"/>
    <w:rsid w:val="1F6D0E83"/>
    <w:rsid w:val="1FAB0A7F"/>
    <w:rsid w:val="201F799F"/>
    <w:rsid w:val="20617C8D"/>
    <w:rsid w:val="20CA495D"/>
    <w:rsid w:val="20DE5491"/>
    <w:rsid w:val="21FA4C17"/>
    <w:rsid w:val="224F3142"/>
    <w:rsid w:val="226C5475"/>
    <w:rsid w:val="22B01055"/>
    <w:rsid w:val="231B23CF"/>
    <w:rsid w:val="23245859"/>
    <w:rsid w:val="23517E46"/>
    <w:rsid w:val="23691ADC"/>
    <w:rsid w:val="23D70C44"/>
    <w:rsid w:val="24452713"/>
    <w:rsid w:val="245B3C6C"/>
    <w:rsid w:val="24631F8A"/>
    <w:rsid w:val="247A052F"/>
    <w:rsid w:val="24E131A0"/>
    <w:rsid w:val="24F808DC"/>
    <w:rsid w:val="25573843"/>
    <w:rsid w:val="25BA1E47"/>
    <w:rsid w:val="265610D8"/>
    <w:rsid w:val="27954796"/>
    <w:rsid w:val="28866D32"/>
    <w:rsid w:val="28E745E0"/>
    <w:rsid w:val="290F05E1"/>
    <w:rsid w:val="293E0E53"/>
    <w:rsid w:val="29414BEB"/>
    <w:rsid w:val="297F7916"/>
    <w:rsid w:val="29A21664"/>
    <w:rsid w:val="2A05197B"/>
    <w:rsid w:val="2A3C62E8"/>
    <w:rsid w:val="2A4D33D7"/>
    <w:rsid w:val="2B5238DB"/>
    <w:rsid w:val="2BC246BC"/>
    <w:rsid w:val="2C5C549B"/>
    <w:rsid w:val="2C6D6B61"/>
    <w:rsid w:val="2C7124DA"/>
    <w:rsid w:val="2C9F4DF8"/>
    <w:rsid w:val="2CDB0035"/>
    <w:rsid w:val="2D326103"/>
    <w:rsid w:val="2DD81DE0"/>
    <w:rsid w:val="2E725599"/>
    <w:rsid w:val="2EB40F43"/>
    <w:rsid w:val="2EC80B18"/>
    <w:rsid w:val="2F3F5418"/>
    <w:rsid w:val="2F8A756E"/>
    <w:rsid w:val="2FB6632A"/>
    <w:rsid w:val="31144349"/>
    <w:rsid w:val="31646D44"/>
    <w:rsid w:val="31C756D3"/>
    <w:rsid w:val="324156C7"/>
    <w:rsid w:val="329F26D5"/>
    <w:rsid w:val="3302487E"/>
    <w:rsid w:val="33723212"/>
    <w:rsid w:val="33A651CD"/>
    <w:rsid w:val="33C2368F"/>
    <w:rsid w:val="33D46F96"/>
    <w:rsid w:val="341E7629"/>
    <w:rsid w:val="34350F59"/>
    <w:rsid w:val="350060EC"/>
    <w:rsid w:val="3555244F"/>
    <w:rsid w:val="355D0CEA"/>
    <w:rsid w:val="359F6518"/>
    <w:rsid w:val="35E84682"/>
    <w:rsid w:val="36005E98"/>
    <w:rsid w:val="361E7FBA"/>
    <w:rsid w:val="37802587"/>
    <w:rsid w:val="388847AB"/>
    <w:rsid w:val="38942191"/>
    <w:rsid w:val="38FD0155"/>
    <w:rsid w:val="39011271"/>
    <w:rsid w:val="391929FA"/>
    <w:rsid w:val="393A2128"/>
    <w:rsid w:val="39690E54"/>
    <w:rsid w:val="3A1468FD"/>
    <w:rsid w:val="3B440C6C"/>
    <w:rsid w:val="3C4D7961"/>
    <w:rsid w:val="3CA95C4E"/>
    <w:rsid w:val="3CBD478C"/>
    <w:rsid w:val="3D304652"/>
    <w:rsid w:val="3D840EBE"/>
    <w:rsid w:val="3DB47140"/>
    <w:rsid w:val="3EDD0A55"/>
    <w:rsid w:val="3FC219B7"/>
    <w:rsid w:val="3FEB336E"/>
    <w:rsid w:val="40DD23CF"/>
    <w:rsid w:val="414B2D50"/>
    <w:rsid w:val="41680DD2"/>
    <w:rsid w:val="41FD149E"/>
    <w:rsid w:val="4253592E"/>
    <w:rsid w:val="427D4B80"/>
    <w:rsid w:val="431749DD"/>
    <w:rsid w:val="431F00A0"/>
    <w:rsid w:val="43660C41"/>
    <w:rsid w:val="43BF4313"/>
    <w:rsid w:val="44357ABE"/>
    <w:rsid w:val="44750147"/>
    <w:rsid w:val="44954413"/>
    <w:rsid w:val="44BB6228"/>
    <w:rsid w:val="44CA4BFA"/>
    <w:rsid w:val="44F57D31"/>
    <w:rsid w:val="451522C6"/>
    <w:rsid w:val="4567576A"/>
    <w:rsid w:val="45CD0190"/>
    <w:rsid w:val="45F4643C"/>
    <w:rsid w:val="46003A9C"/>
    <w:rsid w:val="470E4773"/>
    <w:rsid w:val="474D2118"/>
    <w:rsid w:val="4756119F"/>
    <w:rsid w:val="47AC4088"/>
    <w:rsid w:val="47B727F3"/>
    <w:rsid w:val="48F574DE"/>
    <w:rsid w:val="48F76CA0"/>
    <w:rsid w:val="491D21FB"/>
    <w:rsid w:val="496673D1"/>
    <w:rsid w:val="49680C86"/>
    <w:rsid w:val="49921089"/>
    <w:rsid w:val="49AE0A68"/>
    <w:rsid w:val="49B952AC"/>
    <w:rsid w:val="4A732449"/>
    <w:rsid w:val="4B28319F"/>
    <w:rsid w:val="4B411818"/>
    <w:rsid w:val="4BA3418D"/>
    <w:rsid w:val="4BDA6390"/>
    <w:rsid w:val="4CE443D8"/>
    <w:rsid w:val="4D0D219B"/>
    <w:rsid w:val="4E525A1D"/>
    <w:rsid w:val="4FEA3113"/>
    <w:rsid w:val="4FF40603"/>
    <w:rsid w:val="500B34D1"/>
    <w:rsid w:val="505E67E9"/>
    <w:rsid w:val="50624189"/>
    <w:rsid w:val="512C56EF"/>
    <w:rsid w:val="51D041C5"/>
    <w:rsid w:val="5280437A"/>
    <w:rsid w:val="52D06BFE"/>
    <w:rsid w:val="52DB34F5"/>
    <w:rsid w:val="53117F4B"/>
    <w:rsid w:val="539574B0"/>
    <w:rsid w:val="5439699D"/>
    <w:rsid w:val="54722658"/>
    <w:rsid w:val="54AE0FFD"/>
    <w:rsid w:val="54DB0DE8"/>
    <w:rsid w:val="550B093A"/>
    <w:rsid w:val="55AB276A"/>
    <w:rsid w:val="55CE06F1"/>
    <w:rsid w:val="562B2420"/>
    <w:rsid w:val="567858C7"/>
    <w:rsid w:val="56E83D9B"/>
    <w:rsid w:val="57237776"/>
    <w:rsid w:val="577F330F"/>
    <w:rsid w:val="57884F5B"/>
    <w:rsid w:val="58064DF0"/>
    <w:rsid w:val="58D45079"/>
    <w:rsid w:val="59193799"/>
    <w:rsid w:val="592D53C6"/>
    <w:rsid w:val="5BDC5041"/>
    <w:rsid w:val="5C141230"/>
    <w:rsid w:val="5C450EEE"/>
    <w:rsid w:val="5CB71CA8"/>
    <w:rsid w:val="5DCA306F"/>
    <w:rsid w:val="5DE14575"/>
    <w:rsid w:val="5EAF3B63"/>
    <w:rsid w:val="6062635B"/>
    <w:rsid w:val="606B7441"/>
    <w:rsid w:val="61D3795C"/>
    <w:rsid w:val="62B86788"/>
    <w:rsid w:val="63A46171"/>
    <w:rsid w:val="64A53594"/>
    <w:rsid w:val="64BC73F4"/>
    <w:rsid w:val="67175F00"/>
    <w:rsid w:val="679976FB"/>
    <w:rsid w:val="67FD6F7B"/>
    <w:rsid w:val="67FF3F37"/>
    <w:rsid w:val="685A7D89"/>
    <w:rsid w:val="68962176"/>
    <w:rsid w:val="68CC47D3"/>
    <w:rsid w:val="691D53AC"/>
    <w:rsid w:val="696E1463"/>
    <w:rsid w:val="6983599F"/>
    <w:rsid w:val="69A6491A"/>
    <w:rsid w:val="6A7D04D3"/>
    <w:rsid w:val="6A982BE8"/>
    <w:rsid w:val="6AB810A7"/>
    <w:rsid w:val="6ABA2666"/>
    <w:rsid w:val="6B223B8D"/>
    <w:rsid w:val="6B6D3820"/>
    <w:rsid w:val="6B9C5EAB"/>
    <w:rsid w:val="6D04105A"/>
    <w:rsid w:val="6D330CFE"/>
    <w:rsid w:val="6D4A6DF3"/>
    <w:rsid w:val="6D7234E8"/>
    <w:rsid w:val="6D9717F4"/>
    <w:rsid w:val="6DF74B29"/>
    <w:rsid w:val="6EAB4EBA"/>
    <w:rsid w:val="6F311677"/>
    <w:rsid w:val="6F877AD6"/>
    <w:rsid w:val="6F962FEA"/>
    <w:rsid w:val="6FA86B63"/>
    <w:rsid w:val="700D050F"/>
    <w:rsid w:val="706203E7"/>
    <w:rsid w:val="706B582E"/>
    <w:rsid w:val="7208212D"/>
    <w:rsid w:val="721E62F0"/>
    <w:rsid w:val="7269371E"/>
    <w:rsid w:val="735C0163"/>
    <w:rsid w:val="73842856"/>
    <w:rsid w:val="73CE7654"/>
    <w:rsid w:val="740C3D02"/>
    <w:rsid w:val="741A2E07"/>
    <w:rsid w:val="7444007E"/>
    <w:rsid w:val="74642314"/>
    <w:rsid w:val="75A616AE"/>
    <w:rsid w:val="75A77E81"/>
    <w:rsid w:val="75DA1B66"/>
    <w:rsid w:val="75E364AC"/>
    <w:rsid w:val="76072B71"/>
    <w:rsid w:val="7641303F"/>
    <w:rsid w:val="76EB4627"/>
    <w:rsid w:val="76FA579C"/>
    <w:rsid w:val="77F018CB"/>
    <w:rsid w:val="78415F35"/>
    <w:rsid w:val="785506C7"/>
    <w:rsid w:val="788665DD"/>
    <w:rsid w:val="794D4B20"/>
    <w:rsid w:val="79E24222"/>
    <w:rsid w:val="7A40451B"/>
    <w:rsid w:val="7A431165"/>
    <w:rsid w:val="7A551023"/>
    <w:rsid w:val="7A6027C8"/>
    <w:rsid w:val="7A900F43"/>
    <w:rsid w:val="7B21725B"/>
    <w:rsid w:val="7B90582C"/>
    <w:rsid w:val="7C3D726A"/>
    <w:rsid w:val="7CBE6A1D"/>
    <w:rsid w:val="7D1019DC"/>
    <w:rsid w:val="7D2625A2"/>
    <w:rsid w:val="7D80401B"/>
    <w:rsid w:val="7D8319A8"/>
    <w:rsid w:val="7E084DC3"/>
    <w:rsid w:val="7E402C65"/>
    <w:rsid w:val="7E9A0670"/>
    <w:rsid w:val="7FB90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2"/>
    <w:qFormat/>
    <w:uiPriority w:val="9"/>
    <w:pPr>
      <w:keepNext/>
      <w:keepLines/>
      <w:spacing w:before="340" w:after="330" w:line="576" w:lineRule="auto"/>
      <w:outlineLvl w:val="0"/>
    </w:pPr>
    <w:rPr>
      <w:b/>
      <w:bCs/>
      <w:kern w:val="44"/>
      <w:sz w:val="44"/>
      <w:szCs w:val="44"/>
    </w:rPr>
  </w:style>
  <w:style w:type="paragraph" w:styleId="5">
    <w:name w:val="heading 2"/>
    <w:basedOn w:val="1"/>
    <w:next w:val="1"/>
    <w:link w:val="53"/>
    <w:qFormat/>
    <w:uiPriority w:val="9"/>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link w:val="54"/>
    <w:qFormat/>
    <w:uiPriority w:val="9"/>
    <w:pPr>
      <w:keepNext/>
      <w:keepLines/>
      <w:spacing w:line="600" w:lineRule="exact"/>
      <w:ind w:firstLine="643" w:firstLineChars="200"/>
      <w:outlineLvl w:val="2"/>
    </w:pPr>
    <w:rPr>
      <w:b/>
      <w:bCs/>
      <w:sz w:val="32"/>
      <w:szCs w:val="32"/>
    </w:rPr>
  </w:style>
  <w:style w:type="paragraph" w:styleId="7">
    <w:name w:val="heading 4"/>
    <w:basedOn w:val="1"/>
    <w:next w:val="1"/>
    <w:link w:val="55"/>
    <w:qFormat/>
    <w:uiPriority w:val="9"/>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8">
    <w:name w:val="heading 5"/>
    <w:basedOn w:val="1"/>
    <w:next w:val="9"/>
    <w:link w:val="56"/>
    <w:qFormat/>
    <w:uiPriority w:val="9"/>
    <w:pPr>
      <w:keepNext/>
      <w:keepLines/>
      <w:spacing w:before="280" w:after="290" w:line="376" w:lineRule="auto"/>
      <w:outlineLvl w:val="4"/>
    </w:pPr>
    <w:rPr>
      <w:b/>
      <w:bCs/>
      <w:sz w:val="28"/>
      <w:szCs w:val="28"/>
    </w:rPr>
  </w:style>
  <w:style w:type="character" w:default="1" w:styleId="39">
    <w:name w:val="Default Paragraph Font"/>
    <w:semiHidden/>
    <w:unhideWhenUsed/>
    <w:qFormat/>
    <w:uiPriority w:val="1"/>
  </w:style>
  <w:style w:type="table" w:default="1" w:styleId="3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rPr>
      <w:kern w:val="0"/>
    </w:rPr>
  </w:style>
  <w:style w:type="paragraph" w:styleId="3">
    <w:name w:val="Body Text"/>
    <w:basedOn w:val="1"/>
    <w:next w:val="1"/>
    <w:link w:val="60"/>
    <w:unhideWhenUsed/>
    <w:qFormat/>
    <w:uiPriority w:val="99"/>
    <w:pPr>
      <w:spacing w:after="120"/>
    </w:pPr>
  </w:style>
  <w:style w:type="paragraph" w:styleId="9">
    <w:name w:val="Normal Indent"/>
    <w:basedOn w:val="1"/>
    <w:unhideWhenUsed/>
    <w:qFormat/>
    <w:uiPriority w:val="99"/>
    <w:pPr>
      <w:ind w:firstLine="420"/>
    </w:pPr>
    <w:rPr>
      <w:szCs w:val="20"/>
    </w:rPr>
  </w:style>
  <w:style w:type="paragraph" w:styleId="10">
    <w:name w:val="toc 7"/>
    <w:basedOn w:val="1"/>
    <w:next w:val="1"/>
    <w:link w:val="150"/>
    <w:unhideWhenUsed/>
    <w:qFormat/>
    <w:uiPriority w:val="39"/>
    <w:pPr>
      <w:jc w:val="left"/>
    </w:pPr>
    <w:rPr>
      <w:rFonts w:ascii="Calibri" w:hAnsi="Calibri"/>
      <w:sz w:val="22"/>
      <w:szCs w:val="22"/>
    </w:rPr>
  </w:style>
  <w:style w:type="paragraph" w:styleId="11">
    <w:name w:val="index 8"/>
    <w:basedOn w:val="1"/>
    <w:next w:val="1"/>
    <w:qFormat/>
    <w:uiPriority w:val="0"/>
    <w:pPr>
      <w:ind w:left="2940"/>
    </w:pPr>
  </w:style>
  <w:style w:type="paragraph" w:styleId="12">
    <w:name w:val="caption"/>
    <w:basedOn w:val="1"/>
    <w:next w:val="1"/>
    <w:qFormat/>
    <w:uiPriority w:val="35"/>
    <w:pPr>
      <w:spacing w:before="152" w:after="160"/>
    </w:pPr>
    <w:rPr>
      <w:rFonts w:ascii="Arial" w:hAnsi="Arial" w:eastAsia="黑体" w:cs="Arial"/>
      <w:sz w:val="20"/>
      <w:szCs w:val="20"/>
    </w:rPr>
  </w:style>
  <w:style w:type="paragraph" w:styleId="13">
    <w:name w:val="Document Map"/>
    <w:basedOn w:val="1"/>
    <w:link w:val="57"/>
    <w:unhideWhenUsed/>
    <w:qFormat/>
    <w:uiPriority w:val="99"/>
    <w:rPr>
      <w:rFonts w:ascii="宋体"/>
      <w:sz w:val="18"/>
      <w:szCs w:val="18"/>
    </w:rPr>
  </w:style>
  <w:style w:type="paragraph" w:styleId="14">
    <w:name w:val="annotation text"/>
    <w:basedOn w:val="1"/>
    <w:link w:val="69"/>
    <w:unhideWhenUsed/>
    <w:qFormat/>
    <w:uiPriority w:val="99"/>
    <w:pPr>
      <w:jc w:val="left"/>
    </w:pPr>
  </w:style>
  <w:style w:type="paragraph" w:styleId="15">
    <w:name w:val="Body Text 3"/>
    <w:basedOn w:val="1"/>
    <w:link w:val="59"/>
    <w:unhideWhenUsed/>
    <w:qFormat/>
    <w:uiPriority w:val="99"/>
    <w:pPr>
      <w:spacing w:after="120"/>
    </w:pPr>
    <w:rPr>
      <w:sz w:val="16"/>
      <w:szCs w:val="16"/>
    </w:rPr>
  </w:style>
  <w:style w:type="paragraph" w:styleId="16">
    <w:name w:val="Body Text Indent"/>
    <w:basedOn w:val="1"/>
    <w:next w:val="17"/>
    <w:link w:val="61"/>
    <w:unhideWhenUsed/>
    <w:qFormat/>
    <w:uiPriority w:val="99"/>
    <w:pPr>
      <w:spacing w:line="200" w:lineRule="exact"/>
      <w:ind w:firstLine="301"/>
    </w:pPr>
    <w:rPr>
      <w:rFonts w:ascii="宋体" w:hAnsi="Courier New"/>
      <w:spacing w:val="-4"/>
      <w:sz w:val="18"/>
      <w:szCs w:val="20"/>
    </w:rPr>
  </w:style>
  <w:style w:type="paragraph" w:styleId="17">
    <w:name w:val="Body Text First Indent 2"/>
    <w:basedOn w:val="16"/>
    <w:qFormat/>
    <w:uiPriority w:val="0"/>
    <w:pPr>
      <w:spacing w:after="120"/>
      <w:ind w:left="420" w:leftChars="200" w:firstLine="420" w:firstLineChars="200"/>
    </w:pPr>
    <w:rPr>
      <w:szCs w:val="24"/>
    </w:rPr>
  </w:style>
  <w:style w:type="paragraph" w:styleId="18">
    <w:name w:val="toc 5"/>
    <w:basedOn w:val="1"/>
    <w:next w:val="1"/>
    <w:unhideWhenUsed/>
    <w:qFormat/>
    <w:uiPriority w:val="39"/>
    <w:pPr>
      <w:jc w:val="left"/>
    </w:pPr>
    <w:rPr>
      <w:rFonts w:ascii="Calibri" w:hAnsi="Calibri"/>
      <w:sz w:val="22"/>
      <w:szCs w:val="22"/>
    </w:rPr>
  </w:style>
  <w:style w:type="paragraph" w:styleId="19">
    <w:name w:val="toc 3"/>
    <w:basedOn w:val="1"/>
    <w:next w:val="1"/>
    <w:unhideWhenUsed/>
    <w:qFormat/>
    <w:uiPriority w:val="39"/>
    <w:pPr>
      <w:jc w:val="left"/>
    </w:pPr>
    <w:rPr>
      <w:rFonts w:ascii="Calibri" w:hAnsi="Calibri"/>
      <w:smallCaps/>
      <w:sz w:val="22"/>
      <w:szCs w:val="22"/>
    </w:rPr>
  </w:style>
  <w:style w:type="paragraph" w:styleId="20">
    <w:name w:val="Plain Text"/>
    <w:basedOn w:val="1"/>
    <w:next w:val="1"/>
    <w:link w:val="62"/>
    <w:unhideWhenUsed/>
    <w:qFormat/>
    <w:uiPriority w:val="99"/>
    <w:rPr>
      <w:rFonts w:ascii="宋体" w:hAnsi="Courier New"/>
      <w:szCs w:val="20"/>
    </w:rPr>
  </w:style>
  <w:style w:type="paragraph" w:styleId="21">
    <w:name w:val="toc 8"/>
    <w:basedOn w:val="1"/>
    <w:next w:val="1"/>
    <w:unhideWhenUsed/>
    <w:qFormat/>
    <w:uiPriority w:val="39"/>
    <w:pPr>
      <w:jc w:val="left"/>
    </w:pPr>
    <w:rPr>
      <w:rFonts w:ascii="Calibri" w:hAnsi="Calibri"/>
      <w:sz w:val="22"/>
      <w:szCs w:val="22"/>
    </w:rPr>
  </w:style>
  <w:style w:type="paragraph" w:styleId="22">
    <w:name w:val="Date"/>
    <w:basedOn w:val="1"/>
    <w:next w:val="1"/>
    <w:link w:val="63"/>
    <w:unhideWhenUsed/>
    <w:qFormat/>
    <w:uiPriority w:val="99"/>
    <w:pPr>
      <w:ind w:left="100" w:leftChars="2500"/>
    </w:pPr>
  </w:style>
  <w:style w:type="paragraph" w:styleId="23">
    <w:name w:val="Body Text Indent 2"/>
    <w:basedOn w:val="1"/>
    <w:link w:val="64"/>
    <w:unhideWhenUsed/>
    <w:qFormat/>
    <w:uiPriority w:val="99"/>
    <w:pPr>
      <w:spacing w:after="120" w:line="480" w:lineRule="auto"/>
      <w:ind w:left="420" w:leftChars="200"/>
    </w:pPr>
  </w:style>
  <w:style w:type="paragraph" w:styleId="24">
    <w:name w:val="Balloon Text"/>
    <w:basedOn w:val="1"/>
    <w:link w:val="70"/>
    <w:unhideWhenUsed/>
    <w:qFormat/>
    <w:uiPriority w:val="99"/>
    <w:rPr>
      <w:sz w:val="18"/>
      <w:szCs w:val="18"/>
    </w:rPr>
  </w:style>
  <w:style w:type="paragraph" w:styleId="25">
    <w:name w:val="footer"/>
    <w:basedOn w:val="1"/>
    <w:link w:val="66"/>
    <w:unhideWhenUsed/>
    <w:qFormat/>
    <w:uiPriority w:val="99"/>
    <w:pPr>
      <w:tabs>
        <w:tab w:val="center" w:pos="4153"/>
        <w:tab w:val="right" w:pos="8306"/>
      </w:tabs>
      <w:snapToGrid w:val="0"/>
      <w:jc w:val="left"/>
    </w:pPr>
    <w:rPr>
      <w:sz w:val="18"/>
      <w:szCs w:val="18"/>
    </w:rPr>
  </w:style>
  <w:style w:type="paragraph" w:styleId="26">
    <w:name w:val="header"/>
    <w:basedOn w:val="1"/>
    <w:link w:val="71"/>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unhideWhenUsed/>
    <w:qFormat/>
    <w:uiPriority w:val="39"/>
    <w:pPr>
      <w:spacing w:before="360" w:after="360"/>
      <w:jc w:val="left"/>
    </w:pPr>
    <w:rPr>
      <w:rFonts w:ascii="Calibri" w:hAnsi="Calibri"/>
      <w:b/>
      <w:bCs/>
      <w:caps/>
      <w:sz w:val="22"/>
      <w:szCs w:val="22"/>
      <w:u w:val="single"/>
    </w:rPr>
  </w:style>
  <w:style w:type="paragraph" w:styleId="28">
    <w:name w:val="toc 4"/>
    <w:basedOn w:val="1"/>
    <w:next w:val="1"/>
    <w:unhideWhenUsed/>
    <w:qFormat/>
    <w:uiPriority w:val="39"/>
    <w:pPr>
      <w:jc w:val="left"/>
    </w:pPr>
    <w:rPr>
      <w:rFonts w:ascii="Calibri" w:hAnsi="Calibri"/>
      <w:sz w:val="22"/>
      <w:szCs w:val="22"/>
    </w:rPr>
  </w:style>
  <w:style w:type="paragraph" w:styleId="29">
    <w:name w:val="List"/>
    <w:basedOn w:val="1"/>
    <w:unhideWhenUsed/>
    <w:qFormat/>
    <w:uiPriority w:val="99"/>
    <w:pPr>
      <w:ind w:left="200" w:hanging="200" w:hangingChars="200"/>
    </w:pPr>
    <w:rPr>
      <w:sz w:val="28"/>
    </w:rPr>
  </w:style>
  <w:style w:type="paragraph" w:styleId="30">
    <w:name w:val="toc 6"/>
    <w:basedOn w:val="1"/>
    <w:next w:val="1"/>
    <w:unhideWhenUsed/>
    <w:qFormat/>
    <w:uiPriority w:val="39"/>
    <w:pPr>
      <w:jc w:val="left"/>
    </w:pPr>
    <w:rPr>
      <w:rFonts w:ascii="Calibri" w:hAnsi="Calibri"/>
      <w:sz w:val="22"/>
      <w:szCs w:val="22"/>
    </w:rPr>
  </w:style>
  <w:style w:type="paragraph" w:styleId="31">
    <w:name w:val="toc 2"/>
    <w:basedOn w:val="1"/>
    <w:next w:val="1"/>
    <w:unhideWhenUsed/>
    <w:qFormat/>
    <w:uiPriority w:val="39"/>
    <w:pPr>
      <w:jc w:val="left"/>
    </w:pPr>
    <w:rPr>
      <w:rFonts w:ascii="Calibri" w:hAnsi="Calibri"/>
      <w:b/>
      <w:bCs/>
      <w:smallCaps/>
      <w:sz w:val="22"/>
      <w:szCs w:val="22"/>
    </w:rPr>
  </w:style>
  <w:style w:type="paragraph" w:styleId="32">
    <w:name w:val="toc 9"/>
    <w:basedOn w:val="1"/>
    <w:next w:val="1"/>
    <w:unhideWhenUsed/>
    <w:qFormat/>
    <w:uiPriority w:val="39"/>
    <w:pPr>
      <w:jc w:val="left"/>
    </w:pPr>
    <w:rPr>
      <w:rFonts w:ascii="Calibri" w:hAnsi="Calibri"/>
      <w:sz w:val="22"/>
      <w:szCs w:val="22"/>
    </w:rPr>
  </w:style>
  <w:style w:type="paragraph" w:styleId="33">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4">
    <w:name w:val="index 1"/>
    <w:basedOn w:val="1"/>
    <w:next w:val="1"/>
    <w:qFormat/>
    <w:uiPriority w:val="99"/>
    <w:pPr>
      <w:spacing w:line="400" w:lineRule="exact"/>
      <w:ind w:firstLine="420" w:firstLineChars="200"/>
    </w:pPr>
    <w:rPr>
      <w:rFonts w:ascii="宋体" w:hAnsi="Courier New"/>
      <w:b/>
      <w:szCs w:val="20"/>
    </w:rPr>
  </w:style>
  <w:style w:type="paragraph" w:styleId="35">
    <w:name w:val="annotation subject"/>
    <w:basedOn w:val="14"/>
    <w:next w:val="14"/>
    <w:link w:val="72"/>
    <w:unhideWhenUsed/>
    <w:qFormat/>
    <w:uiPriority w:val="99"/>
    <w:rPr>
      <w:b/>
      <w:bCs/>
    </w:rPr>
  </w:style>
  <w:style w:type="paragraph" w:styleId="36">
    <w:name w:val="Body Text First Indent"/>
    <w:basedOn w:val="3"/>
    <w:next w:val="15"/>
    <w:unhideWhenUsed/>
    <w:qFormat/>
    <w:uiPriority w:val="0"/>
    <w:pPr>
      <w:ind w:firstLine="420" w:firstLineChars="100"/>
    </w:pPr>
  </w:style>
  <w:style w:type="table" w:styleId="38">
    <w:name w:val="Table Grid"/>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page number"/>
    <w:unhideWhenUsed/>
    <w:qFormat/>
    <w:uiPriority w:val="99"/>
  </w:style>
  <w:style w:type="character" w:styleId="41">
    <w:name w:val="FollowedHyperlink"/>
    <w:unhideWhenUsed/>
    <w:qFormat/>
    <w:uiPriority w:val="99"/>
    <w:rPr>
      <w:color w:val="800080"/>
      <w:u w:val="none"/>
    </w:rPr>
  </w:style>
  <w:style w:type="character" w:styleId="42">
    <w:name w:val="HTML Definition"/>
    <w:unhideWhenUsed/>
    <w:qFormat/>
    <w:uiPriority w:val="99"/>
  </w:style>
  <w:style w:type="character" w:styleId="43">
    <w:name w:val="HTML Typewriter"/>
    <w:unhideWhenUsed/>
    <w:qFormat/>
    <w:uiPriority w:val="99"/>
    <w:rPr>
      <w:rFonts w:ascii="monospace" w:hAnsi="monospace" w:eastAsia="monospace" w:cs="monospace"/>
      <w:sz w:val="20"/>
    </w:rPr>
  </w:style>
  <w:style w:type="character" w:styleId="44">
    <w:name w:val="HTML Acronym"/>
    <w:unhideWhenUsed/>
    <w:qFormat/>
    <w:uiPriority w:val="99"/>
  </w:style>
  <w:style w:type="character" w:styleId="45">
    <w:name w:val="HTML Variable"/>
    <w:unhideWhenUsed/>
    <w:qFormat/>
    <w:uiPriority w:val="99"/>
  </w:style>
  <w:style w:type="character" w:styleId="46">
    <w:name w:val="Hyperlink"/>
    <w:unhideWhenUsed/>
    <w:qFormat/>
    <w:uiPriority w:val="99"/>
    <w:rPr>
      <w:color w:val="0000FF"/>
      <w:u w:val="none"/>
    </w:rPr>
  </w:style>
  <w:style w:type="character" w:styleId="47">
    <w:name w:val="HTML Code"/>
    <w:unhideWhenUsed/>
    <w:qFormat/>
    <w:uiPriority w:val="99"/>
    <w:rPr>
      <w:rFonts w:hint="default" w:ascii="monospace" w:hAnsi="monospace" w:eastAsia="monospace" w:cs="monospace"/>
      <w:sz w:val="20"/>
    </w:rPr>
  </w:style>
  <w:style w:type="character" w:styleId="48">
    <w:name w:val="annotation reference"/>
    <w:unhideWhenUsed/>
    <w:qFormat/>
    <w:uiPriority w:val="99"/>
    <w:rPr>
      <w:sz w:val="21"/>
      <w:szCs w:val="21"/>
    </w:rPr>
  </w:style>
  <w:style w:type="character" w:styleId="49">
    <w:name w:val="HTML Cite"/>
    <w:unhideWhenUsed/>
    <w:qFormat/>
    <w:uiPriority w:val="99"/>
  </w:style>
  <w:style w:type="character" w:styleId="50">
    <w:name w:val="HTML Keyboard"/>
    <w:unhideWhenUsed/>
    <w:qFormat/>
    <w:uiPriority w:val="99"/>
    <w:rPr>
      <w:rFonts w:hint="default" w:ascii="monospace" w:hAnsi="monospace" w:eastAsia="monospace" w:cs="monospace"/>
      <w:sz w:val="20"/>
    </w:rPr>
  </w:style>
  <w:style w:type="character" w:styleId="51">
    <w:name w:val="HTML Sample"/>
    <w:unhideWhenUsed/>
    <w:qFormat/>
    <w:uiPriority w:val="99"/>
    <w:rPr>
      <w:rFonts w:hint="default" w:ascii="monospace" w:hAnsi="monospace" w:eastAsia="monospace" w:cs="monospace"/>
    </w:rPr>
  </w:style>
  <w:style w:type="character" w:customStyle="1" w:styleId="52">
    <w:name w:val="标题 1 Char"/>
    <w:link w:val="4"/>
    <w:qFormat/>
    <w:uiPriority w:val="0"/>
    <w:rPr>
      <w:b/>
      <w:bCs/>
      <w:kern w:val="44"/>
      <w:sz w:val="44"/>
      <w:szCs w:val="44"/>
    </w:rPr>
  </w:style>
  <w:style w:type="character" w:customStyle="1" w:styleId="53">
    <w:name w:val="标题 2 Char"/>
    <w:link w:val="5"/>
    <w:qFormat/>
    <w:uiPriority w:val="0"/>
    <w:rPr>
      <w:rFonts w:ascii="Arial" w:hAnsi="Arial" w:eastAsia="黑体"/>
      <w:b/>
      <w:bCs/>
      <w:kern w:val="2"/>
      <w:sz w:val="32"/>
      <w:szCs w:val="32"/>
    </w:rPr>
  </w:style>
  <w:style w:type="character" w:customStyle="1" w:styleId="54">
    <w:name w:val="标题 3 Char"/>
    <w:link w:val="6"/>
    <w:qFormat/>
    <w:uiPriority w:val="0"/>
    <w:rPr>
      <w:b/>
      <w:bCs/>
      <w:kern w:val="2"/>
      <w:sz w:val="32"/>
      <w:szCs w:val="32"/>
    </w:rPr>
  </w:style>
  <w:style w:type="character" w:customStyle="1" w:styleId="55">
    <w:name w:val="标题 4 Char"/>
    <w:link w:val="7"/>
    <w:qFormat/>
    <w:uiPriority w:val="0"/>
    <w:rPr>
      <w:rFonts w:ascii="Arial" w:eastAsia="黑体"/>
      <w:sz w:val="28"/>
    </w:rPr>
  </w:style>
  <w:style w:type="character" w:customStyle="1" w:styleId="56">
    <w:name w:val="标题 5 Char"/>
    <w:link w:val="8"/>
    <w:qFormat/>
    <w:uiPriority w:val="9"/>
    <w:rPr>
      <w:b/>
      <w:bCs/>
      <w:kern w:val="2"/>
      <w:sz w:val="28"/>
      <w:szCs w:val="28"/>
    </w:rPr>
  </w:style>
  <w:style w:type="character" w:customStyle="1" w:styleId="57">
    <w:name w:val="文档结构图 Char"/>
    <w:link w:val="13"/>
    <w:qFormat/>
    <w:uiPriority w:val="0"/>
    <w:rPr>
      <w:rFonts w:ascii="宋体"/>
      <w:kern w:val="2"/>
      <w:sz w:val="18"/>
      <w:szCs w:val="18"/>
    </w:rPr>
  </w:style>
  <w:style w:type="character" w:customStyle="1" w:styleId="58">
    <w:name w:val="批注文字 字符2"/>
    <w:qFormat/>
    <w:uiPriority w:val="0"/>
    <w:rPr>
      <w:kern w:val="2"/>
      <w:sz w:val="21"/>
      <w:szCs w:val="24"/>
    </w:rPr>
  </w:style>
  <w:style w:type="character" w:customStyle="1" w:styleId="59">
    <w:name w:val="正文文本 3 Char"/>
    <w:link w:val="15"/>
    <w:qFormat/>
    <w:uiPriority w:val="99"/>
    <w:rPr>
      <w:kern w:val="2"/>
      <w:sz w:val="16"/>
      <w:szCs w:val="16"/>
    </w:rPr>
  </w:style>
  <w:style w:type="character" w:customStyle="1" w:styleId="60">
    <w:name w:val="正文文本 Char"/>
    <w:link w:val="3"/>
    <w:qFormat/>
    <w:uiPriority w:val="99"/>
    <w:rPr>
      <w:kern w:val="2"/>
      <w:sz w:val="21"/>
      <w:szCs w:val="24"/>
    </w:rPr>
  </w:style>
  <w:style w:type="character" w:customStyle="1" w:styleId="61">
    <w:name w:val="正文文本缩进 Char"/>
    <w:link w:val="16"/>
    <w:qFormat/>
    <w:uiPriority w:val="0"/>
    <w:rPr>
      <w:rFonts w:ascii="宋体" w:hAnsi="Courier New" w:eastAsia="宋体"/>
      <w:spacing w:val="-4"/>
      <w:kern w:val="2"/>
      <w:sz w:val="18"/>
      <w:lang w:val="en-US" w:eastAsia="zh-CN" w:bidi="ar-SA"/>
    </w:rPr>
  </w:style>
  <w:style w:type="character" w:customStyle="1" w:styleId="62">
    <w:name w:val="纯文本 Char"/>
    <w:link w:val="20"/>
    <w:qFormat/>
    <w:uiPriority w:val="0"/>
    <w:rPr>
      <w:rFonts w:ascii="宋体" w:hAnsi="Courier New" w:eastAsia="宋体"/>
      <w:kern w:val="2"/>
      <w:sz w:val="21"/>
      <w:lang w:val="en-US" w:eastAsia="zh-CN" w:bidi="ar-SA"/>
    </w:rPr>
  </w:style>
  <w:style w:type="character" w:customStyle="1" w:styleId="63">
    <w:name w:val="日期 Char"/>
    <w:link w:val="22"/>
    <w:qFormat/>
    <w:uiPriority w:val="0"/>
    <w:rPr>
      <w:kern w:val="2"/>
      <w:sz w:val="21"/>
      <w:szCs w:val="24"/>
    </w:rPr>
  </w:style>
  <w:style w:type="character" w:customStyle="1" w:styleId="64">
    <w:name w:val="正文文本缩进 2 Char"/>
    <w:link w:val="23"/>
    <w:qFormat/>
    <w:uiPriority w:val="0"/>
    <w:rPr>
      <w:kern w:val="2"/>
      <w:sz w:val="21"/>
      <w:szCs w:val="24"/>
    </w:rPr>
  </w:style>
  <w:style w:type="character" w:customStyle="1" w:styleId="65">
    <w:name w:val="批注框文本 字符1"/>
    <w:qFormat/>
    <w:uiPriority w:val="0"/>
    <w:rPr>
      <w:kern w:val="2"/>
      <w:sz w:val="18"/>
      <w:szCs w:val="18"/>
    </w:rPr>
  </w:style>
  <w:style w:type="character" w:customStyle="1" w:styleId="66">
    <w:name w:val="页脚 Char"/>
    <w:link w:val="25"/>
    <w:qFormat/>
    <w:uiPriority w:val="99"/>
    <w:rPr>
      <w:kern w:val="2"/>
      <w:sz w:val="18"/>
      <w:szCs w:val="18"/>
    </w:rPr>
  </w:style>
  <w:style w:type="character" w:customStyle="1" w:styleId="67">
    <w:name w:val="页眉 字符2"/>
    <w:qFormat/>
    <w:uiPriority w:val="99"/>
    <w:rPr>
      <w:kern w:val="2"/>
      <w:sz w:val="18"/>
      <w:szCs w:val="18"/>
    </w:rPr>
  </w:style>
  <w:style w:type="character" w:customStyle="1" w:styleId="68">
    <w:name w:val="批注主题 字符1"/>
    <w:qFormat/>
    <w:uiPriority w:val="99"/>
    <w:rPr>
      <w:b/>
      <w:bCs/>
      <w:kern w:val="2"/>
      <w:sz w:val="21"/>
      <w:szCs w:val="24"/>
    </w:rPr>
  </w:style>
  <w:style w:type="character" w:customStyle="1" w:styleId="69">
    <w:name w:val="批注文字 Char"/>
    <w:link w:val="14"/>
    <w:qFormat/>
    <w:uiPriority w:val="0"/>
    <w:rPr>
      <w:kern w:val="2"/>
      <w:sz w:val="21"/>
      <w:szCs w:val="24"/>
    </w:rPr>
  </w:style>
  <w:style w:type="character" w:customStyle="1" w:styleId="70">
    <w:name w:val="批注框文本 Char"/>
    <w:link w:val="24"/>
    <w:qFormat/>
    <w:uiPriority w:val="0"/>
    <w:rPr>
      <w:kern w:val="2"/>
      <w:sz w:val="18"/>
      <w:szCs w:val="18"/>
    </w:rPr>
  </w:style>
  <w:style w:type="character" w:customStyle="1" w:styleId="71">
    <w:name w:val="页眉 Char"/>
    <w:link w:val="26"/>
    <w:qFormat/>
    <w:uiPriority w:val="99"/>
    <w:rPr>
      <w:rFonts w:ascii="Times New Roman" w:hAnsi="Times New Roman"/>
      <w:kern w:val="2"/>
      <w:sz w:val="18"/>
      <w:szCs w:val="18"/>
    </w:rPr>
  </w:style>
  <w:style w:type="character" w:customStyle="1" w:styleId="72">
    <w:name w:val="批注主题 Char"/>
    <w:link w:val="35"/>
    <w:qFormat/>
    <w:uiPriority w:val="99"/>
    <w:rPr>
      <w:b/>
      <w:bCs/>
      <w:kern w:val="2"/>
      <w:sz w:val="21"/>
      <w:szCs w:val="24"/>
    </w:rPr>
  </w:style>
  <w:style w:type="paragraph" w:customStyle="1" w:styleId="73">
    <w:name w:val="Default"/>
    <w:basedOn w:val="1"/>
    <w:qFormat/>
    <w:uiPriority w:val="0"/>
    <w:pPr>
      <w:widowControl/>
      <w:autoSpaceDE w:val="0"/>
      <w:autoSpaceDN w:val="0"/>
      <w:jc w:val="left"/>
    </w:pPr>
    <w:rPr>
      <w:rFonts w:ascii="宋体" w:hAnsi="宋体" w:cs="宋体"/>
      <w:color w:val="000000"/>
      <w:kern w:val="0"/>
      <w:sz w:val="24"/>
    </w:rPr>
  </w:style>
  <w:style w:type="character" w:customStyle="1" w:styleId="74">
    <w:name w:val="Char Char1"/>
    <w:qFormat/>
    <w:uiPriority w:val="0"/>
    <w:rPr>
      <w:rFonts w:ascii="宋体" w:hAnsi="Courier New" w:eastAsia="宋体"/>
      <w:kern w:val="2"/>
      <w:sz w:val="21"/>
      <w:lang w:val="en-US" w:eastAsia="zh-CN" w:bidi="ar-SA"/>
    </w:rPr>
  </w:style>
  <w:style w:type="character" w:customStyle="1" w:styleId="75">
    <w:name w:val="纯文本 字符2"/>
    <w:qFormat/>
    <w:uiPriority w:val="0"/>
    <w:rPr>
      <w:rFonts w:ascii="宋体" w:hAnsi="Courier New" w:eastAsia="宋体" w:cs="Courier New"/>
      <w:szCs w:val="21"/>
    </w:rPr>
  </w:style>
  <w:style w:type="character" w:customStyle="1" w:styleId="76">
    <w:name w:val="正文文本_"/>
    <w:link w:val="77"/>
    <w:qFormat/>
    <w:uiPriority w:val="0"/>
    <w:rPr>
      <w:rFonts w:ascii="MingLiU" w:hAnsi="MingLiU" w:eastAsia="MingLiU" w:cs="MingLiU"/>
      <w:spacing w:val="9"/>
      <w:sz w:val="19"/>
      <w:szCs w:val="19"/>
      <w:shd w:val="clear" w:color="auto" w:fill="FFFFFF"/>
    </w:rPr>
  </w:style>
  <w:style w:type="paragraph" w:customStyle="1" w:styleId="77">
    <w:name w:val="正文文本1"/>
    <w:basedOn w:val="1"/>
    <w:link w:val="76"/>
    <w:qFormat/>
    <w:uiPriority w:val="0"/>
    <w:pPr>
      <w:shd w:val="clear" w:color="auto" w:fill="FFFFFF"/>
      <w:spacing w:line="302" w:lineRule="exact"/>
      <w:ind w:firstLine="460"/>
      <w:jc w:val="left"/>
    </w:pPr>
    <w:rPr>
      <w:rFonts w:ascii="MingLiU" w:hAnsi="MingLiU" w:eastAsia="MingLiU"/>
      <w:spacing w:val="9"/>
      <w:kern w:val="0"/>
      <w:sz w:val="19"/>
      <w:szCs w:val="19"/>
    </w:rPr>
  </w:style>
  <w:style w:type="character" w:customStyle="1" w:styleId="78">
    <w:name w:val="纯文本 Char1"/>
    <w:link w:val="79"/>
    <w:qFormat/>
    <w:uiPriority w:val="0"/>
    <w:rPr>
      <w:rFonts w:ascii="宋体" w:hAnsi="Courier New" w:eastAsia="宋体"/>
      <w:kern w:val="2"/>
      <w:sz w:val="21"/>
      <w:lang w:val="en-US" w:eastAsia="zh-CN" w:bidi="ar-SA"/>
    </w:rPr>
  </w:style>
  <w:style w:type="paragraph" w:customStyle="1" w:styleId="79">
    <w:name w:val="纯文本1"/>
    <w:basedOn w:val="1"/>
    <w:link w:val="78"/>
    <w:qFormat/>
    <w:uiPriority w:val="0"/>
    <w:rPr>
      <w:rFonts w:ascii="宋体" w:hAnsi="Courier New"/>
      <w:szCs w:val="20"/>
    </w:rPr>
  </w:style>
  <w:style w:type="character" w:customStyle="1" w:styleId="80">
    <w:name w:val="正文文本 + 10 pt"/>
    <w:qFormat/>
    <w:uiPriority w:val="0"/>
    <w:rPr>
      <w:rFonts w:ascii="MingLiU" w:hAnsi="MingLiU" w:eastAsia="MingLiU" w:cs="MingLiU"/>
      <w:color w:val="000000"/>
      <w:spacing w:val="8"/>
      <w:w w:val="100"/>
      <w:position w:val="0"/>
      <w:sz w:val="20"/>
      <w:szCs w:val="20"/>
      <w:shd w:val="clear" w:color="auto" w:fill="FFFFFF"/>
      <w:lang w:val="zh-TW"/>
    </w:rPr>
  </w:style>
  <w:style w:type="character" w:customStyle="1" w:styleId="81">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2">
    <w:name w:val="页脚 字符"/>
    <w:qFormat/>
    <w:uiPriority w:val="99"/>
    <w:rPr>
      <w:sz w:val="18"/>
      <w:szCs w:val="18"/>
    </w:rPr>
  </w:style>
  <w:style w:type="character" w:customStyle="1" w:styleId="83">
    <w:name w:val="批注文字 字符1"/>
    <w:qFormat/>
    <w:uiPriority w:val="0"/>
    <w:rPr>
      <w:rFonts w:ascii="Times New Roman" w:hAnsi="Times New Roman"/>
      <w:kern w:val="2"/>
      <w:sz w:val="21"/>
      <w:szCs w:val="24"/>
    </w:rPr>
  </w:style>
  <w:style w:type="character" w:customStyle="1" w:styleId="84">
    <w:name w:val="正文2 Char Char"/>
    <w:link w:val="85"/>
    <w:qFormat/>
    <w:uiPriority w:val="0"/>
    <w:rPr>
      <w:kern w:val="2"/>
      <w:sz w:val="24"/>
    </w:rPr>
  </w:style>
  <w:style w:type="paragraph" w:customStyle="1" w:styleId="85">
    <w:name w:val="正文2"/>
    <w:basedOn w:val="1"/>
    <w:link w:val="84"/>
    <w:qFormat/>
    <w:uiPriority w:val="0"/>
    <w:pPr>
      <w:adjustRightInd w:val="0"/>
      <w:spacing w:before="156" w:line="360" w:lineRule="auto"/>
      <w:ind w:firstLine="510" w:firstLineChars="200"/>
    </w:pPr>
    <w:rPr>
      <w:sz w:val="24"/>
      <w:szCs w:val="20"/>
    </w:rPr>
  </w:style>
  <w:style w:type="character" w:customStyle="1" w:styleId="86">
    <w:name w:val="纯文本 Char_0"/>
    <w:link w:val="87"/>
    <w:qFormat/>
    <w:uiPriority w:val="0"/>
    <w:rPr>
      <w:rFonts w:ascii="宋体" w:hAnsi="Courier New"/>
      <w:kern w:val="2"/>
      <w:sz w:val="21"/>
      <w:szCs w:val="21"/>
    </w:rPr>
  </w:style>
  <w:style w:type="paragraph" w:customStyle="1" w:styleId="87">
    <w:name w:val="纯文本_0_0"/>
    <w:basedOn w:val="1"/>
    <w:link w:val="86"/>
    <w:qFormat/>
    <w:uiPriority w:val="0"/>
    <w:rPr>
      <w:rFonts w:ascii="宋体" w:hAnsi="Courier New"/>
      <w:szCs w:val="21"/>
    </w:rPr>
  </w:style>
  <w:style w:type="character" w:customStyle="1" w:styleId="88">
    <w:name w:val="批注文字 Char1"/>
    <w:qFormat/>
    <w:uiPriority w:val="0"/>
    <w:rPr>
      <w:rFonts w:ascii="Times New Roman" w:hAnsi="Times New Roman"/>
      <w:kern w:val="2"/>
      <w:sz w:val="21"/>
      <w:szCs w:val="24"/>
    </w:rPr>
  </w:style>
  <w:style w:type="paragraph" w:styleId="89">
    <w:name w:val="List Paragraph"/>
    <w:basedOn w:val="1"/>
    <w:qFormat/>
    <w:uiPriority w:val="34"/>
    <w:pPr>
      <w:ind w:firstLine="420" w:firstLineChars="200"/>
    </w:pPr>
  </w:style>
  <w:style w:type="paragraph" w:customStyle="1" w:styleId="90">
    <w:name w:val="Char Char Char1 Char Char Char Char Char Char Char"/>
    <w:basedOn w:val="1"/>
    <w:qFormat/>
    <w:uiPriority w:val="0"/>
  </w:style>
  <w:style w:type="paragraph" w:customStyle="1" w:styleId="91">
    <w:name w:val="Char Char Char"/>
    <w:basedOn w:val="1"/>
    <w:qFormat/>
    <w:uiPriority w:val="0"/>
    <w:rPr>
      <w:szCs w:val="20"/>
    </w:rPr>
  </w:style>
  <w:style w:type="paragraph" w:customStyle="1" w:styleId="92">
    <w:name w:val="Char Char Char Char Char Char Char Char Char Char Char Char"/>
    <w:basedOn w:val="1"/>
    <w:qFormat/>
    <w:uiPriority w:val="0"/>
    <w:pPr>
      <w:widowControl/>
      <w:spacing w:after="160" w:line="240" w:lineRule="exact"/>
      <w:jc w:val="left"/>
    </w:pPr>
  </w:style>
  <w:style w:type="paragraph" w:customStyle="1" w:styleId="93">
    <w:name w:val="列出段落1"/>
    <w:basedOn w:val="1"/>
    <w:qFormat/>
    <w:uiPriority w:val="34"/>
    <w:pPr>
      <w:spacing w:before="100" w:beforeAutospacing="1" w:after="100" w:afterAutospacing="1" w:line="360" w:lineRule="auto"/>
      <w:ind w:firstLine="420" w:firstLineChars="200"/>
    </w:pPr>
  </w:style>
  <w:style w:type="paragraph" w:customStyle="1" w:styleId="94">
    <w:name w:val="_Style 90"/>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95">
    <w:name w:val="样式 标题 2 + 非加粗 首行缩进:  2 字符"/>
    <w:basedOn w:val="5"/>
    <w:qFormat/>
    <w:uiPriority w:val="0"/>
    <w:pPr>
      <w:spacing w:before="0" w:after="0" w:line="600" w:lineRule="exact"/>
      <w:ind w:firstLine="640" w:firstLineChars="200"/>
      <w:jc w:val="left"/>
    </w:pPr>
    <w:rPr>
      <w:rFonts w:cs="宋体"/>
      <w:b w:val="0"/>
      <w:bCs w:val="0"/>
      <w:szCs w:val="20"/>
    </w:rPr>
  </w:style>
  <w:style w:type="paragraph" w:customStyle="1" w:styleId="96">
    <w:name w:val="Table Paragraph"/>
    <w:basedOn w:val="1"/>
    <w:qFormat/>
    <w:uiPriority w:val="1"/>
    <w:pPr>
      <w:jc w:val="left"/>
    </w:pPr>
    <w:rPr>
      <w:rFonts w:ascii="Calibri" w:hAnsi="Calibri"/>
      <w:kern w:val="0"/>
      <w:sz w:val="22"/>
      <w:szCs w:val="22"/>
      <w:lang w:eastAsia="en-US"/>
    </w:rPr>
  </w:style>
  <w:style w:type="paragraph" w:customStyle="1" w:styleId="97">
    <w:name w:val="Char"/>
    <w:basedOn w:val="1"/>
    <w:qFormat/>
    <w:uiPriority w:val="0"/>
    <w:rPr>
      <w:szCs w:val="21"/>
    </w:rPr>
  </w:style>
  <w:style w:type="paragraph" w:customStyle="1" w:styleId="98">
    <w:name w:val="Char Char Char Char Char Char Char"/>
    <w:basedOn w:val="1"/>
    <w:qFormat/>
    <w:uiPriority w:val="0"/>
  </w:style>
  <w:style w:type="paragraph" w:customStyle="1" w:styleId="99">
    <w:name w:val="Char Char Char Char Char Char Char1"/>
    <w:basedOn w:val="1"/>
    <w:qFormat/>
    <w:uiPriority w:val="0"/>
  </w:style>
  <w:style w:type="paragraph" w:customStyle="1" w:styleId="100">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01">
    <w:name w:val="Char Char Char Char Char Char Char Char Char Char Char Char1"/>
    <w:basedOn w:val="1"/>
    <w:qFormat/>
    <w:uiPriority w:val="0"/>
    <w:pPr>
      <w:widowControl/>
      <w:spacing w:after="160" w:line="240" w:lineRule="exact"/>
      <w:jc w:val="left"/>
    </w:pPr>
  </w:style>
  <w:style w:type="paragraph" w:customStyle="1" w:styleId="102">
    <w:name w:val="_Style 99"/>
    <w:qFormat/>
    <w:uiPriority w:val="0"/>
    <w:rPr>
      <w:rFonts w:ascii="Times New Roman" w:hAnsi="Times New Roman" w:eastAsia="宋体" w:cs="Times New Roman"/>
      <w:kern w:val="2"/>
      <w:sz w:val="21"/>
      <w:szCs w:val="24"/>
      <w:lang w:val="en-US" w:eastAsia="zh-CN" w:bidi="ar-SA"/>
    </w:rPr>
  </w:style>
  <w:style w:type="paragraph" w:customStyle="1" w:styleId="103">
    <w:name w:val="正文段"/>
    <w:basedOn w:val="1"/>
    <w:qFormat/>
    <w:uiPriority w:val="0"/>
    <w:pPr>
      <w:widowControl/>
      <w:snapToGrid w:val="0"/>
      <w:spacing w:after="156" w:afterLines="50"/>
      <w:ind w:firstLine="200" w:firstLineChars="200"/>
    </w:pPr>
    <w:rPr>
      <w:kern w:val="0"/>
      <w:sz w:val="24"/>
      <w:szCs w:val="20"/>
    </w:rPr>
  </w:style>
  <w:style w:type="paragraph" w:customStyle="1" w:styleId="104">
    <w:name w:val="Char Char Char Char"/>
    <w:basedOn w:val="1"/>
    <w:qFormat/>
    <w:uiPriority w:val="0"/>
    <w:pPr>
      <w:widowControl/>
      <w:spacing w:after="160" w:line="240" w:lineRule="exact"/>
      <w:jc w:val="left"/>
    </w:pPr>
  </w:style>
  <w:style w:type="paragraph" w:customStyle="1" w:styleId="105">
    <w:name w:val="Char1"/>
    <w:basedOn w:val="1"/>
    <w:qFormat/>
    <w:uiPriority w:val="0"/>
  </w:style>
  <w:style w:type="paragraph" w:customStyle="1" w:styleId="106">
    <w:name w:val="Char Char Char Char1"/>
    <w:basedOn w:val="1"/>
    <w:qFormat/>
    <w:uiPriority w:val="0"/>
    <w:pPr>
      <w:widowControl/>
      <w:spacing w:after="160" w:line="240" w:lineRule="exact"/>
      <w:jc w:val="left"/>
    </w:pPr>
  </w:style>
  <w:style w:type="paragraph" w:customStyle="1" w:styleId="107">
    <w:name w:val="样式 标题 1 + 居中 段前: 0 磅 段后: 0 磅 行距: 固定值 30 磅"/>
    <w:basedOn w:val="4"/>
    <w:qFormat/>
    <w:uiPriority w:val="0"/>
    <w:pPr>
      <w:spacing w:before="0" w:after="0" w:line="600" w:lineRule="exact"/>
      <w:jc w:val="center"/>
    </w:pPr>
    <w:rPr>
      <w:rFonts w:cs="宋体"/>
      <w:szCs w:val="20"/>
    </w:rPr>
  </w:style>
  <w:style w:type="paragraph" w:customStyle="1" w:styleId="108">
    <w:name w:val="正文缩进1"/>
    <w:basedOn w:val="1"/>
    <w:next w:val="16"/>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109">
    <w:name w:val="p0"/>
    <w:basedOn w:val="1"/>
    <w:qFormat/>
    <w:uiPriority w:val="0"/>
    <w:pPr>
      <w:widowControl/>
    </w:pPr>
    <w:rPr>
      <w:kern w:val="0"/>
      <w:szCs w:val="21"/>
    </w:rPr>
  </w:style>
  <w:style w:type="paragraph" w:customStyle="1" w:styleId="110">
    <w:name w:val="默认段落字体 Para Char Char Char Char Char Char Char Char Char1 Char Char Char Char"/>
    <w:basedOn w:val="1"/>
    <w:qFormat/>
    <w:uiPriority w:val="0"/>
    <w:rPr>
      <w:rFonts w:ascii="Tahoma" w:hAnsi="Tahoma"/>
      <w:sz w:val="24"/>
      <w:szCs w:val="20"/>
    </w:rPr>
  </w:style>
  <w:style w:type="character" w:customStyle="1" w:styleId="111">
    <w:name w:val="正文文本 字符"/>
    <w:qFormat/>
    <w:uiPriority w:val="99"/>
    <w:rPr>
      <w:kern w:val="2"/>
      <w:sz w:val="21"/>
      <w:szCs w:val="24"/>
    </w:rPr>
  </w:style>
  <w:style w:type="character" w:customStyle="1" w:styleId="112">
    <w:name w:val="纯文本 字符"/>
    <w:qFormat/>
    <w:uiPriority w:val="0"/>
    <w:rPr>
      <w:rFonts w:ascii="宋体" w:hAnsi="Courier New"/>
      <w:kern w:val="2"/>
      <w:sz w:val="21"/>
    </w:rPr>
  </w:style>
  <w:style w:type="character" w:customStyle="1" w:styleId="113">
    <w:name w:val="标题 1 字符"/>
    <w:qFormat/>
    <w:uiPriority w:val="0"/>
    <w:rPr>
      <w:b/>
      <w:bCs/>
      <w:kern w:val="44"/>
      <w:sz w:val="44"/>
      <w:szCs w:val="44"/>
    </w:rPr>
  </w:style>
  <w:style w:type="character" w:customStyle="1" w:styleId="114">
    <w:name w:val="标题 2 字符"/>
    <w:qFormat/>
    <w:uiPriority w:val="0"/>
    <w:rPr>
      <w:rFonts w:ascii="Arial" w:hAnsi="Arial" w:eastAsia="黑体"/>
      <w:b/>
      <w:bCs/>
      <w:kern w:val="2"/>
      <w:sz w:val="32"/>
      <w:szCs w:val="32"/>
    </w:rPr>
  </w:style>
  <w:style w:type="character" w:customStyle="1" w:styleId="115">
    <w:name w:val="标题 3 字符"/>
    <w:qFormat/>
    <w:uiPriority w:val="0"/>
    <w:rPr>
      <w:b/>
      <w:bCs/>
      <w:kern w:val="2"/>
      <w:sz w:val="32"/>
      <w:szCs w:val="32"/>
    </w:rPr>
  </w:style>
  <w:style w:type="character" w:customStyle="1" w:styleId="116">
    <w:name w:val="标题 4 字符"/>
    <w:qFormat/>
    <w:uiPriority w:val="0"/>
    <w:rPr>
      <w:rFonts w:ascii="Arial" w:eastAsia="黑体"/>
      <w:sz w:val="28"/>
    </w:rPr>
  </w:style>
  <w:style w:type="character" w:customStyle="1" w:styleId="117">
    <w:name w:val="标题 5 字符"/>
    <w:qFormat/>
    <w:uiPriority w:val="9"/>
    <w:rPr>
      <w:b/>
      <w:bCs/>
      <w:kern w:val="2"/>
      <w:sz w:val="28"/>
      <w:szCs w:val="28"/>
    </w:rPr>
  </w:style>
  <w:style w:type="character" w:customStyle="1" w:styleId="118">
    <w:name w:val="文档结构图 字符"/>
    <w:qFormat/>
    <w:uiPriority w:val="0"/>
    <w:rPr>
      <w:rFonts w:ascii="宋体"/>
      <w:kern w:val="2"/>
      <w:sz w:val="18"/>
      <w:szCs w:val="18"/>
    </w:rPr>
  </w:style>
  <w:style w:type="character" w:customStyle="1" w:styleId="119">
    <w:name w:val="正文文本 3 字符"/>
    <w:qFormat/>
    <w:uiPriority w:val="99"/>
    <w:rPr>
      <w:kern w:val="2"/>
      <w:sz w:val="16"/>
      <w:szCs w:val="16"/>
    </w:rPr>
  </w:style>
  <w:style w:type="character" w:customStyle="1" w:styleId="120">
    <w:name w:val="正文文本缩进 字符"/>
    <w:qFormat/>
    <w:uiPriority w:val="0"/>
    <w:rPr>
      <w:rFonts w:ascii="宋体" w:hAnsi="Courier New"/>
      <w:spacing w:val="-4"/>
      <w:kern w:val="2"/>
      <w:sz w:val="18"/>
    </w:rPr>
  </w:style>
  <w:style w:type="character" w:customStyle="1" w:styleId="121">
    <w:name w:val="日期 字符"/>
    <w:qFormat/>
    <w:uiPriority w:val="0"/>
    <w:rPr>
      <w:kern w:val="2"/>
      <w:sz w:val="21"/>
      <w:szCs w:val="24"/>
    </w:rPr>
  </w:style>
  <w:style w:type="character" w:customStyle="1" w:styleId="122">
    <w:name w:val="正文文本缩进 2 字符"/>
    <w:qFormat/>
    <w:uiPriority w:val="0"/>
    <w:rPr>
      <w:kern w:val="2"/>
      <w:sz w:val="21"/>
      <w:szCs w:val="24"/>
    </w:rPr>
  </w:style>
  <w:style w:type="character" w:customStyle="1" w:styleId="123">
    <w:name w:val="页脚 字符1"/>
    <w:qFormat/>
    <w:uiPriority w:val="99"/>
    <w:rPr>
      <w:kern w:val="2"/>
      <w:sz w:val="18"/>
      <w:szCs w:val="18"/>
    </w:rPr>
  </w:style>
  <w:style w:type="character" w:customStyle="1" w:styleId="124">
    <w:name w:val="页眉 字符1"/>
    <w:qFormat/>
    <w:uiPriority w:val="99"/>
    <w:rPr>
      <w:kern w:val="2"/>
      <w:sz w:val="18"/>
      <w:szCs w:val="18"/>
    </w:rPr>
  </w:style>
  <w:style w:type="paragraph" w:customStyle="1" w:styleId="125">
    <w:name w:val="_Style 11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6">
    <w:name w:val="纯文本 字符1"/>
    <w:semiHidden/>
    <w:qFormat/>
    <w:locked/>
    <w:uiPriority w:val="0"/>
    <w:rPr>
      <w:rFonts w:ascii="宋体" w:hAnsi="Courier New"/>
      <w:kern w:val="2"/>
      <w:sz w:val="21"/>
    </w:rPr>
  </w:style>
  <w:style w:type="paragraph" w:customStyle="1" w:styleId="127">
    <w:name w:val="列表段落1"/>
    <w:basedOn w:val="1"/>
    <w:qFormat/>
    <w:uiPriority w:val="34"/>
    <w:pPr>
      <w:ind w:firstLine="420" w:firstLineChars="200"/>
    </w:pPr>
    <w:rPr>
      <w:rFonts w:ascii="Calibri" w:hAnsi="Calibri"/>
      <w:szCs w:val="22"/>
    </w:rPr>
  </w:style>
  <w:style w:type="paragraph" w:customStyle="1" w:styleId="128">
    <w:name w:val="列出段落2"/>
    <w:basedOn w:val="1"/>
    <w:unhideWhenUsed/>
    <w:qFormat/>
    <w:uiPriority w:val="34"/>
    <w:pPr>
      <w:ind w:firstLine="420" w:firstLineChars="200"/>
    </w:pPr>
    <w:rPr>
      <w:rFonts w:ascii="Calibri" w:hAnsi="Calibri" w:cs="黑体"/>
    </w:rPr>
  </w:style>
  <w:style w:type="paragraph" w:customStyle="1" w:styleId="129">
    <w:name w:val="修订1"/>
    <w:semiHidden/>
    <w:qFormat/>
    <w:uiPriority w:val="99"/>
    <w:rPr>
      <w:rFonts w:ascii="Calibri" w:hAnsi="Calibri" w:eastAsia="宋体" w:cs="Times New Roman"/>
      <w:kern w:val="2"/>
      <w:sz w:val="21"/>
      <w:szCs w:val="22"/>
      <w:lang w:val="en-US" w:eastAsia="zh-CN" w:bidi="ar-SA"/>
    </w:rPr>
  </w:style>
  <w:style w:type="paragraph" w:customStyle="1" w:styleId="130">
    <w:name w:val="B-正文"/>
    <w:basedOn w:val="1"/>
    <w:qFormat/>
    <w:uiPriority w:val="0"/>
    <w:pPr>
      <w:spacing w:line="360" w:lineRule="auto"/>
      <w:ind w:firstLine="200" w:firstLineChars="200"/>
      <w:jc w:val="left"/>
    </w:pPr>
    <w:rPr>
      <w:rFonts w:ascii="宋体" w:hAnsi="宋体"/>
    </w:rPr>
  </w:style>
  <w:style w:type="character" w:customStyle="1" w:styleId="131">
    <w:name w:val="fontstyle01"/>
    <w:qFormat/>
    <w:uiPriority w:val="0"/>
    <w:rPr>
      <w:rFonts w:ascii="宋体" w:hAnsi="宋体" w:eastAsia="宋体" w:cs="宋体"/>
      <w:color w:val="000000"/>
      <w:sz w:val="22"/>
      <w:szCs w:val="22"/>
    </w:rPr>
  </w:style>
  <w:style w:type="character" w:customStyle="1" w:styleId="132">
    <w:name w:val="layui-layer-tabnow"/>
    <w:qFormat/>
    <w:uiPriority w:val="0"/>
    <w:rPr>
      <w:bdr w:val="single" w:color="CCCCCC" w:sz="6" w:space="0"/>
      <w:shd w:val="clear" w:color="auto" w:fill="FFFFFF"/>
    </w:rPr>
  </w:style>
  <w:style w:type="character" w:customStyle="1" w:styleId="133">
    <w:name w:val="first-child"/>
    <w:qFormat/>
    <w:uiPriority w:val="0"/>
  </w:style>
  <w:style w:type="paragraph" w:customStyle="1" w:styleId="134">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135">
    <w:name w:val="font11"/>
    <w:qFormat/>
    <w:uiPriority w:val="0"/>
    <w:rPr>
      <w:rFonts w:hint="eastAsia" w:ascii="黑体" w:hAnsi="宋体" w:eastAsia="黑体" w:cs="黑体"/>
      <w:color w:val="000000"/>
      <w:sz w:val="52"/>
      <w:szCs w:val="52"/>
      <w:u w:val="none"/>
    </w:rPr>
  </w:style>
  <w:style w:type="character" w:customStyle="1" w:styleId="136">
    <w:name w:val="font21"/>
    <w:basedOn w:val="39"/>
    <w:qFormat/>
    <w:uiPriority w:val="0"/>
    <w:rPr>
      <w:rFonts w:hint="eastAsia" w:ascii="黑体" w:hAnsi="宋体" w:eastAsia="黑体" w:cs="黑体"/>
      <w:color w:val="000000"/>
      <w:sz w:val="40"/>
      <w:szCs w:val="40"/>
      <w:u w:val="none"/>
    </w:rPr>
  </w:style>
  <w:style w:type="character" w:customStyle="1" w:styleId="137">
    <w:name w:val="next"/>
    <w:qFormat/>
    <w:uiPriority w:val="0"/>
    <w:rPr>
      <w:rFonts w:ascii="微软雅黑" w:hAnsi="微软雅黑" w:eastAsia="微软雅黑" w:cs="微软雅黑"/>
      <w:sz w:val="21"/>
      <w:szCs w:val="21"/>
    </w:rPr>
  </w:style>
  <w:style w:type="character" w:customStyle="1" w:styleId="138">
    <w:name w:val="next1"/>
    <w:qFormat/>
    <w:uiPriority w:val="0"/>
    <w:rPr>
      <w:color w:val="888888"/>
    </w:rPr>
  </w:style>
  <w:style w:type="character" w:customStyle="1" w:styleId="139">
    <w:name w:val="cfdate"/>
    <w:qFormat/>
    <w:uiPriority w:val="0"/>
    <w:rPr>
      <w:color w:val="333333"/>
      <w:sz w:val="18"/>
      <w:szCs w:val="18"/>
    </w:rPr>
  </w:style>
  <w:style w:type="character" w:customStyle="1" w:styleId="140">
    <w:name w:val="qxdate"/>
    <w:qFormat/>
    <w:uiPriority w:val="0"/>
    <w:rPr>
      <w:color w:val="333333"/>
      <w:sz w:val="18"/>
      <w:szCs w:val="18"/>
    </w:rPr>
  </w:style>
  <w:style w:type="character" w:customStyle="1" w:styleId="141">
    <w:name w:val="displayarti"/>
    <w:qFormat/>
    <w:uiPriority w:val="0"/>
    <w:rPr>
      <w:color w:val="FFFFFF"/>
      <w:shd w:val="clear" w:color="auto" w:fill="A00000"/>
    </w:rPr>
  </w:style>
  <w:style w:type="character" w:customStyle="1" w:styleId="142">
    <w:name w:val="gjfg"/>
    <w:qFormat/>
    <w:uiPriority w:val="0"/>
  </w:style>
  <w:style w:type="character" w:customStyle="1" w:styleId="143">
    <w:name w:val="redfilefwwh"/>
    <w:qFormat/>
    <w:uiPriority w:val="0"/>
    <w:rPr>
      <w:color w:val="BA2636"/>
      <w:sz w:val="18"/>
      <w:szCs w:val="18"/>
    </w:rPr>
  </w:style>
  <w:style w:type="character" w:customStyle="1" w:styleId="144">
    <w:name w:val="redfilenumber"/>
    <w:qFormat/>
    <w:uiPriority w:val="0"/>
    <w:rPr>
      <w:color w:val="BA2636"/>
      <w:sz w:val="18"/>
      <w:szCs w:val="18"/>
    </w:rPr>
  </w:style>
  <w:style w:type="character" w:customStyle="1" w:styleId="145">
    <w:name w:val="prev2"/>
    <w:qFormat/>
    <w:uiPriority w:val="0"/>
    <w:rPr>
      <w:rFonts w:hint="eastAsia" w:ascii="微软雅黑" w:hAnsi="微软雅黑" w:eastAsia="微软雅黑" w:cs="微软雅黑"/>
      <w:sz w:val="21"/>
      <w:szCs w:val="21"/>
    </w:rPr>
  </w:style>
  <w:style w:type="character" w:customStyle="1" w:styleId="146">
    <w:name w:val="prev3"/>
    <w:qFormat/>
    <w:uiPriority w:val="0"/>
    <w:rPr>
      <w:color w:val="888888"/>
    </w:rPr>
  </w:style>
  <w:style w:type="character" w:customStyle="1" w:styleId="147">
    <w:name w:val="font41"/>
    <w:qFormat/>
    <w:uiPriority w:val="0"/>
    <w:rPr>
      <w:rFonts w:hint="default" w:ascii="仿宋_GB2312" w:eastAsia="仿宋_GB2312" w:cs="仿宋_GB2312"/>
      <w:color w:val="000000"/>
      <w:sz w:val="20"/>
      <w:szCs w:val="20"/>
      <w:u w:val="none"/>
    </w:rPr>
  </w:style>
  <w:style w:type="paragraph" w:customStyle="1" w:styleId="148">
    <w:name w:val="null3"/>
    <w:qFormat/>
    <w:uiPriority w:val="0"/>
    <w:rPr>
      <w:rFonts w:hint="eastAsia" w:ascii="Calibri" w:hAnsi="Calibri" w:eastAsia="宋体" w:cs="Times New Roman"/>
      <w:sz w:val="21"/>
      <w:szCs w:val="22"/>
      <w:lang w:val="en-US" w:eastAsia="zh-Hans" w:bidi="ar-SA"/>
    </w:rPr>
  </w:style>
  <w:style w:type="paragraph" w:customStyle="1" w:styleId="149">
    <w:name w:val="p15"/>
    <w:basedOn w:val="1"/>
    <w:qFormat/>
    <w:uiPriority w:val="99"/>
    <w:pPr>
      <w:widowControl/>
    </w:pPr>
    <w:rPr>
      <w:rFonts w:ascii="宋体" w:hAnsi="宋体"/>
      <w:kern w:val="0"/>
      <w:szCs w:val="21"/>
    </w:rPr>
  </w:style>
  <w:style w:type="character" w:customStyle="1" w:styleId="150">
    <w:name w:val="目录 7 Char"/>
    <w:link w:val="10"/>
    <w:qFormat/>
    <w:uiPriority w:val="39"/>
    <w:rPr>
      <w:rFonts w:ascii="Calibri" w:hAnsi="Calibri"/>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125</Pages>
  <Words>16331</Words>
  <Characters>17703</Characters>
  <Lines>641</Lines>
  <Paragraphs>180</Paragraphs>
  <TotalTime>44</TotalTime>
  <ScaleCrop>false</ScaleCrop>
  <LinksUpToDate>false</LinksUpToDate>
  <CharactersWithSpaces>18442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2017-05-25T08:18:00Z</dcterms:created>
  <dc:creator>1</dc:creator>
  <cp:lastModifiedBy>Administrator</cp:lastModifiedBy>
  <cp:lastPrinted>2023-11-23T04:16:00Z</cp:lastPrinted>
  <dcterms:modified xsi:type="dcterms:W3CDTF">2025-08-08T07:32:04Z</dcterms:modified>
  <dc:title>南财采管〔2012〕3号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3A59F704073A49DD8BD55E9934901E0A_13</vt:lpwstr>
  </property>
  <property fmtid="{D5CDD505-2E9C-101B-9397-08002B2CF9AE}" pid="4" name="KSOTemplateDocerSaveRecord">
    <vt:lpwstr>eyJoZGlkIjoiNmI4OTIyODZmZDNkMjMzZWQ1ZTc1OTA5ZWYzY2ViOTUiLCJ1c2VySWQiOiIyNjUyNjk5MTkifQ==</vt:lpwstr>
  </property>
</Properties>
</file>