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B332F">
      <w:pPr>
        <w:spacing w:before="165" w:beforeLines="50" w:line="360" w:lineRule="auto"/>
        <w:jc w:val="center"/>
        <w:rPr>
          <w:rFonts w:hint="eastAsia" w:ascii="宋体" w:hAnsi="宋体" w:eastAsia="宋体" w:cs="宋体"/>
          <w:color w:val="auto"/>
          <w:sz w:val="36"/>
          <w:szCs w:val="36"/>
          <w:highlight w:val="none"/>
        </w:rPr>
      </w:pPr>
    </w:p>
    <w:p w14:paraId="2E70F689">
      <w:pPr>
        <w:spacing w:before="165" w:beforeLines="50" w:line="360" w:lineRule="auto"/>
        <w:jc w:val="center"/>
        <w:rPr>
          <w:rFonts w:hint="eastAsia" w:ascii="宋体" w:hAnsi="宋体" w:eastAsia="宋体" w:cs="宋体"/>
          <w:color w:val="auto"/>
          <w:sz w:val="36"/>
          <w:szCs w:val="36"/>
          <w:highlight w:val="none"/>
        </w:rPr>
      </w:pPr>
    </w:p>
    <w:p w14:paraId="7E82CAE7">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1DDA8059">
      <w:pP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6DB39858">
      <w:pPr>
        <w:spacing w:before="331" w:beforeLines="100" w:after="165" w:afterLines="50" w:line="360" w:lineRule="auto"/>
        <w:jc w:val="center"/>
        <w:rPr>
          <w:rFonts w:hint="eastAsia" w:ascii="宋体" w:hAnsi="宋体" w:eastAsia="宋体" w:cs="宋体"/>
          <w:color w:val="auto"/>
          <w:szCs w:val="21"/>
          <w:highlight w:val="none"/>
        </w:rPr>
      </w:pPr>
    </w:p>
    <w:p w14:paraId="5D49C790">
      <w:pPr>
        <w:spacing w:line="360" w:lineRule="auto"/>
        <w:rPr>
          <w:rFonts w:hint="eastAsia" w:ascii="宋体" w:hAnsi="宋体" w:eastAsia="宋体" w:cs="宋体"/>
          <w:b/>
          <w:color w:val="auto"/>
          <w:sz w:val="32"/>
          <w:szCs w:val="32"/>
          <w:highlight w:val="none"/>
        </w:rPr>
      </w:pPr>
    </w:p>
    <w:p w14:paraId="5F3251B5">
      <w:pPr>
        <w:spacing w:line="360" w:lineRule="auto"/>
        <w:jc w:val="center"/>
        <w:rPr>
          <w:rFonts w:hint="eastAsia" w:ascii="宋体" w:hAnsi="宋体" w:eastAsia="宋体" w:cs="宋体"/>
          <w:b/>
          <w:color w:val="auto"/>
          <w:sz w:val="32"/>
          <w:szCs w:val="32"/>
          <w:highlight w:val="none"/>
        </w:rPr>
      </w:pPr>
    </w:p>
    <w:p w14:paraId="544B032A">
      <w:pPr>
        <w:keepNext w:val="0"/>
        <w:keepLines w:val="0"/>
        <w:pageBreakBefore w:val="0"/>
        <w:widowControl w:val="0"/>
        <w:kinsoku/>
        <w:wordWrap/>
        <w:overflowPunct/>
        <w:topLinePunct w:val="0"/>
        <w:autoSpaceDE/>
        <w:autoSpaceDN/>
        <w:bidi w:val="0"/>
        <w:adjustRightInd/>
        <w:snapToGrid w:val="0"/>
        <w:spacing w:before="50" w:after="120" w:line="360" w:lineRule="auto"/>
        <w:ind w:left="2699" w:leftChars="568" w:right="0" w:rightChars="0" w:hanging="1506" w:hangingChars="500"/>
        <w:jc w:val="both"/>
        <w:textAlignment w:val="auto"/>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项目名称：</w:t>
      </w:r>
      <w:r>
        <w:rPr>
          <w:rFonts w:hint="eastAsia" w:ascii="宋体" w:hAnsi="宋体" w:cs="宋体"/>
          <w:b/>
          <w:bCs/>
          <w:color w:val="auto"/>
          <w:kern w:val="0"/>
          <w:sz w:val="30"/>
          <w:szCs w:val="30"/>
          <w:highlight w:val="none"/>
          <w:lang w:eastAsia="zh-CN"/>
        </w:rPr>
        <w:t>柳城县乡镇新时代民政服务站项目</w:t>
      </w:r>
    </w:p>
    <w:p w14:paraId="5CF64D24">
      <w:pPr>
        <w:keepNext w:val="0"/>
        <w:keepLines w:val="0"/>
        <w:pageBreakBefore w:val="0"/>
        <w:widowControl w:val="0"/>
        <w:kinsoku/>
        <w:wordWrap/>
        <w:overflowPunct/>
        <w:topLinePunct w:val="0"/>
        <w:autoSpaceDE/>
        <w:autoSpaceDN/>
        <w:bidi w:val="0"/>
        <w:adjustRightInd/>
        <w:snapToGrid w:val="0"/>
        <w:spacing w:before="50" w:after="120" w:line="360" w:lineRule="auto"/>
        <w:ind w:right="0" w:rightChars="0" w:firstLine="1205" w:firstLineChars="400"/>
        <w:jc w:val="both"/>
        <w:textAlignment w:val="auto"/>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lang w:eastAsia="zh-CN"/>
        </w:rPr>
        <w:t>项目编号：LZZC2025-C3-220082-GXRT</w:t>
      </w:r>
    </w:p>
    <w:p w14:paraId="28104F10">
      <w:pPr>
        <w:keepNext w:val="0"/>
        <w:keepLines w:val="0"/>
        <w:pageBreakBefore w:val="0"/>
        <w:widowControl w:val="0"/>
        <w:kinsoku/>
        <w:wordWrap/>
        <w:overflowPunct/>
        <w:topLinePunct w:val="0"/>
        <w:autoSpaceDE/>
        <w:autoSpaceDN/>
        <w:bidi w:val="0"/>
        <w:adjustRightInd/>
        <w:snapToGrid w:val="0"/>
        <w:spacing w:before="50" w:after="120" w:line="360" w:lineRule="auto"/>
        <w:ind w:right="0" w:rightChars="0" w:firstLine="1205" w:firstLineChars="400"/>
        <w:jc w:val="both"/>
        <w:textAlignment w:val="auto"/>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采 购 人：</w:t>
      </w:r>
      <w:r>
        <w:rPr>
          <w:rFonts w:hint="eastAsia" w:ascii="宋体" w:hAnsi="宋体" w:cs="宋体"/>
          <w:b/>
          <w:bCs/>
          <w:color w:val="auto"/>
          <w:kern w:val="0"/>
          <w:sz w:val="30"/>
          <w:szCs w:val="30"/>
          <w:highlight w:val="none"/>
          <w:lang w:eastAsia="zh-CN"/>
        </w:rPr>
        <w:t>柳城县民政局</w:t>
      </w:r>
    </w:p>
    <w:p w14:paraId="6AFB2B93">
      <w:pPr>
        <w:keepNext w:val="0"/>
        <w:keepLines w:val="0"/>
        <w:pageBreakBefore w:val="0"/>
        <w:widowControl w:val="0"/>
        <w:kinsoku/>
        <w:wordWrap/>
        <w:overflowPunct/>
        <w:topLinePunct w:val="0"/>
        <w:autoSpaceDE/>
        <w:autoSpaceDN/>
        <w:bidi w:val="0"/>
        <w:adjustRightInd/>
        <w:snapToGrid w:val="0"/>
        <w:spacing w:before="50" w:after="120" w:line="360" w:lineRule="auto"/>
        <w:ind w:right="0" w:rightChars="0" w:firstLine="1205" w:firstLineChars="400"/>
        <w:jc w:val="both"/>
        <w:textAlignment w:val="auto"/>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采购代理机构：</w:t>
      </w:r>
      <w:r>
        <w:rPr>
          <w:rFonts w:hint="eastAsia" w:ascii="宋体" w:hAnsi="宋体" w:cs="宋体"/>
          <w:b/>
          <w:bCs/>
          <w:color w:val="auto"/>
          <w:kern w:val="0"/>
          <w:sz w:val="30"/>
          <w:szCs w:val="30"/>
          <w:highlight w:val="none"/>
          <w:lang w:eastAsia="zh-CN"/>
        </w:rPr>
        <w:t>广西荣泰建筑设计有限责任公司</w:t>
      </w:r>
    </w:p>
    <w:p w14:paraId="621CF8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8"/>
          <w:szCs w:val="28"/>
          <w:highlight w:val="none"/>
        </w:rPr>
      </w:pPr>
    </w:p>
    <w:p w14:paraId="3187FA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highlight w:val="none"/>
        </w:rPr>
      </w:pPr>
      <w:r>
        <w:rPr>
          <w:rFonts w:hint="eastAsia" w:ascii="宋体" w:hAnsi="宋体" w:cs="宋体"/>
          <w:b/>
          <w:bCs/>
          <w:color w:val="auto"/>
          <w:sz w:val="30"/>
          <w:szCs w:val="30"/>
          <w:highlight w:val="none"/>
          <w:lang w:val="en-US" w:eastAsia="zh-CN"/>
        </w:rPr>
        <w:t>2025</w:t>
      </w:r>
      <w:r>
        <w:rPr>
          <w:rFonts w:hint="eastAsia" w:ascii="宋体" w:hAnsi="宋体" w:eastAsia="宋体" w:cs="宋体"/>
          <w:b/>
          <w:bCs/>
          <w:color w:val="auto"/>
          <w:sz w:val="30"/>
          <w:szCs w:val="30"/>
          <w:highlight w:val="none"/>
          <w:lang w:val="en-US" w:eastAsia="zh-CN"/>
        </w:rPr>
        <w:t>年</w:t>
      </w:r>
      <w:r>
        <w:rPr>
          <w:rFonts w:hint="eastAsia" w:ascii="宋体" w:hAnsi="宋体" w:cs="宋体"/>
          <w:b/>
          <w:bCs/>
          <w:color w:val="auto"/>
          <w:sz w:val="30"/>
          <w:szCs w:val="30"/>
          <w:highlight w:val="none"/>
          <w:lang w:val="en-US" w:eastAsia="zh-CN"/>
        </w:rPr>
        <w:t>9</w:t>
      </w:r>
      <w:r>
        <w:rPr>
          <w:rFonts w:hint="eastAsia" w:ascii="宋体" w:hAnsi="宋体" w:eastAsia="宋体" w:cs="宋体"/>
          <w:b/>
          <w:bCs/>
          <w:color w:val="auto"/>
          <w:sz w:val="30"/>
          <w:szCs w:val="30"/>
          <w:highlight w:val="none"/>
          <w:lang w:val="en-US" w:eastAsia="zh-CN"/>
        </w:rPr>
        <w:t>月</w:t>
      </w:r>
    </w:p>
    <w:p w14:paraId="0E70EC7D">
      <w:pPr>
        <w:snapToGrid w:val="0"/>
        <w:spacing w:before="50" w:after="120" w:line="360" w:lineRule="auto"/>
        <w:ind w:firstLine="1125" w:firstLineChars="393"/>
        <w:rPr>
          <w:rFonts w:hint="eastAsia" w:ascii="宋体" w:hAnsi="宋体" w:eastAsia="宋体" w:cs="宋体"/>
          <w:b/>
          <w:bCs/>
          <w:color w:val="auto"/>
          <w:w w:val="95"/>
          <w:sz w:val="30"/>
          <w:szCs w:val="30"/>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rtlGutter w:val="0"/>
          <w:docGrid w:type="lines" w:linePitch="312" w:charSpace="0"/>
        </w:sectPr>
      </w:pPr>
    </w:p>
    <w:p w14:paraId="67D9B472">
      <w:pPr>
        <w:rPr>
          <w:rFonts w:hint="eastAsia" w:ascii="宋体" w:hAnsi="宋体" w:eastAsia="宋体" w:cs="宋体"/>
          <w:b/>
          <w:color w:val="auto"/>
          <w:sz w:val="44"/>
          <w:szCs w:val="44"/>
          <w:highlight w:val="none"/>
        </w:rPr>
      </w:pPr>
    </w:p>
    <w:p w14:paraId="2CFDC3C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2B2D5527">
      <w:pPr>
        <w:spacing w:line="400" w:lineRule="exact"/>
        <w:jc w:val="center"/>
        <w:rPr>
          <w:rFonts w:hint="eastAsia" w:ascii="宋体" w:hAnsi="宋体" w:eastAsia="宋体" w:cs="宋体"/>
          <w:b/>
          <w:color w:val="auto"/>
          <w:sz w:val="44"/>
          <w:szCs w:val="44"/>
          <w:highlight w:val="none"/>
        </w:rPr>
      </w:pPr>
    </w:p>
    <w:p w14:paraId="6A2DBFFD">
      <w:pPr>
        <w:pStyle w:val="2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rPr>
        <w:t xml:space="preserve">第一章 </w:t>
      </w:r>
      <w:r>
        <w:rPr>
          <w:rFonts w:hint="eastAsia" w:ascii="宋体" w:hAnsi="宋体" w:cs="宋体"/>
          <w:bCs/>
          <w:color w:val="auto"/>
          <w:kern w:val="44"/>
          <w:sz w:val="24"/>
          <w:szCs w:val="24"/>
          <w:highlight w:val="none"/>
          <w:lang w:val="en-US" w:eastAsia="zh-CN"/>
        </w:rPr>
        <w:t xml:space="preserve"> </w:t>
      </w:r>
      <w:r>
        <w:rPr>
          <w:rFonts w:hint="eastAsia" w:ascii="宋体" w:hAnsi="宋体" w:eastAsia="宋体" w:cs="宋体"/>
          <w:bCs/>
          <w:color w:val="auto"/>
          <w:kern w:val="44"/>
          <w:sz w:val="24"/>
          <w:szCs w:val="24"/>
          <w:highlight w:val="none"/>
        </w:rPr>
        <w:t>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_Toc21228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4D9A9B">
      <w:pPr>
        <w:pStyle w:val="2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_Toc5857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44"/>
          <w:sz w:val="24"/>
          <w:szCs w:val="24"/>
          <w:highlight w:val="none"/>
        </w:rPr>
        <w:t xml:space="preserve">第二章 </w:t>
      </w:r>
      <w:r>
        <w:rPr>
          <w:rFonts w:hint="eastAsia" w:ascii="宋体" w:hAnsi="宋体" w:cs="宋体"/>
          <w:color w:val="auto"/>
          <w:kern w:val="44"/>
          <w:sz w:val="24"/>
          <w:szCs w:val="24"/>
          <w:highlight w:val="none"/>
          <w:lang w:val="en-US" w:eastAsia="zh-CN"/>
        </w:rPr>
        <w:t xml:space="preserve"> </w:t>
      </w:r>
      <w:r>
        <w:rPr>
          <w:rFonts w:hint="eastAsia" w:ascii="宋体" w:hAnsi="宋体" w:eastAsia="宋体" w:cs="宋体"/>
          <w:color w:val="auto"/>
          <w:kern w:val="44"/>
          <w:sz w:val="24"/>
          <w:szCs w:val="24"/>
          <w:highlight w:val="none"/>
        </w:rPr>
        <w:t>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_Toc5857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54687B">
      <w:pPr>
        <w:pStyle w:val="2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_Toc9125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44"/>
          <w:sz w:val="24"/>
          <w:szCs w:val="24"/>
          <w:highlight w:val="none"/>
        </w:rPr>
        <w:t xml:space="preserve">第三章 </w:t>
      </w:r>
      <w:r>
        <w:rPr>
          <w:rFonts w:hint="eastAsia" w:ascii="宋体" w:hAnsi="宋体" w:cs="宋体"/>
          <w:color w:val="auto"/>
          <w:kern w:val="44"/>
          <w:sz w:val="24"/>
          <w:szCs w:val="24"/>
          <w:highlight w:val="none"/>
          <w:lang w:val="en-US" w:eastAsia="zh-CN"/>
        </w:rPr>
        <w:t xml:space="preserve"> </w:t>
      </w:r>
      <w:r>
        <w:rPr>
          <w:rFonts w:hint="eastAsia" w:ascii="宋体" w:hAnsi="宋体" w:eastAsia="宋体" w:cs="宋体"/>
          <w:color w:val="auto"/>
          <w:kern w:val="44"/>
          <w:sz w:val="24"/>
          <w:szCs w:val="24"/>
          <w:highlight w:val="none"/>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_Toc9125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A93DCC">
      <w:pPr>
        <w:pStyle w:val="13"/>
        <w:keepNext w:val="0"/>
        <w:keepLines w:val="0"/>
        <w:pageBreakBefore w:val="0"/>
        <w:widowControl w:val="0"/>
        <w:tabs>
          <w:tab w:val="right" w:leader="dot" w:pos="9638"/>
          <w:tab w:val="clear" w:pos="829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_Toc15583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第一节 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_Toc15583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E6C0ED">
      <w:pPr>
        <w:pStyle w:val="13"/>
        <w:keepNext w:val="0"/>
        <w:keepLines w:val="0"/>
        <w:pageBreakBefore w:val="0"/>
        <w:widowControl w:val="0"/>
        <w:tabs>
          <w:tab w:val="right" w:leader="dot" w:pos="9638"/>
          <w:tab w:val="clear" w:pos="829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第二节 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B1091D">
      <w:pPr>
        <w:pStyle w:val="16"/>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一、总则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_Toc12165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B62B04">
      <w:pPr>
        <w:pStyle w:val="16"/>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_Toc29811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_Toc29811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5EFD795">
      <w:pPr>
        <w:pStyle w:val="16"/>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三、响应文件的编制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8F49F0">
      <w:pPr>
        <w:pStyle w:val="16"/>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_Toc26182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四、评审及磋商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_Toc26182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F22A4">
      <w:pPr>
        <w:pStyle w:val="16"/>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五、成交及合同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B00795">
      <w:pPr>
        <w:pStyle w:val="16"/>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_Toc8074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六、验收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435880">
      <w:pPr>
        <w:pStyle w:val="16"/>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_Toc9558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七、其他事项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_Toc9558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62BA9F">
      <w:pPr>
        <w:pStyle w:val="2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rPr>
        <w:t>第四章  评审程序、评审方法和评审标准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B7BDDD">
      <w:pPr>
        <w:pStyle w:val="13"/>
        <w:keepNext w:val="0"/>
        <w:keepLines w:val="0"/>
        <w:pageBreakBefore w:val="0"/>
        <w:widowControl w:val="0"/>
        <w:tabs>
          <w:tab w:val="right" w:leader="dot" w:pos="9638"/>
          <w:tab w:val="clear" w:pos="829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第一节 评审程序和评审方法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6189B1">
      <w:pPr>
        <w:pStyle w:val="13"/>
        <w:keepNext w:val="0"/>
        <w:keepLines w:val="0"/>
        <w:pageBreakBefore w:val="0"/>
        <w:widowControl w:val="0"/>
        <w:tabs>
          <w:tab w:val="right" w:leader="dot" w:pos="9638"/>
          <w:tab w:val="clear" w:pos="829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_Toc14052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第二节 评标报告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_Toc14052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C9C073">
      <w:pPr>
        <w:pStyle w:val="13"/>
        <w:keepNext w:val="0"/>
        <w:keepLines w:val="0"/>
        <w:pageBreakBefore w:val="0"/>
        <w:widowControl w:val="0"/>
        <w:tabs>
          <w:tab w:val="right" w:leader="dot" w:pos="9638"/>
          <w:tab w:val="clear" w:pos="829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第三节 评审过程的保密与录像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4C87C5">
      <w:pPr>
        <w:pStyle w:val="2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_Toc26450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rPr>
        <w:t xml:space="preserve">第五章 </w:t>
      </w:r>
      <w:r>
        <w:rPr>
          <w:rFonts w:hint="eastAsia" w:ascii="宋体" w:hAnsi="宋体" w:cs="宋体"/>
          <w:bCs/>
          <w:color w:val="auto"/>
          <w:kern w:val="44"/>
          <w:sz w:val="24"/>
          <w:szCs w:val="24"/>
          <w:highlight w:val="none"/>
          <w:lang w:val="en-US" w:eastAsia="zh-CN"/>
        </w:rPr>
        <w:t xml:space="preserve"> </w:t>
      </w:r>
      <w:r>
        <w:rPr>
          <w:rFonts w:hint="eastAsia" w:ascii="宋体" w:hAnsi="宋体" w:eastAsia="宋体" w:cs="宋体"/>
          <w:bCs/>
          <w:color w:val="auto"/>
          <w:kern w:val="44"/>
          <w:sz w:val="24"/>
          <w:szCs w:val="24"/>
          <w:highlight w:val="none"/>
        </w:rPr>
        <w:t>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2811DB">
      <w:pPr>
        <w:pStyle w:val="2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rPr>
        <w:t>第六章  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214955">
      <w:pPr>
        <w:pStyle w:val="2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kern w:val="44"/>
          <w:sz w:val="24"/>
          <w:szCs w:val="24"/>
          <w:highlight w:val="none"/>
        </w:rPr>
        <w:t xml:space="preserve">第七章 </w:t>
      </w:r>
      <w:r>
        <w:rPr>
          <w:rFonts w:hint="eastAsia" w:ascii="宋体" w:hAnsi="宋体" w:cs="宋体"/>
          <w:bCs w:val="0"/>
          <w:color w:val="auto"/>
          <w:kern w:val="44"/>
          <w:sz w:val="24"/>
          <w:szCs w:val="24"/>
          <w:highlight w:val="none"/>
          <w:lang w:val="en-US" w:eastAsia="zh-CN"/>
        </w:rPr>
        <w:t xml:space="preserve"> </w:t>
      </w:r>
      <w:r>
        <w:rPr>
          <w:rFonts w:hint="eastAsia" w:ascii="宋体" w:hAnsi="宋体" w:eastAsia="宋体" w:cs="宋体"/>
          <w:bCs w:val="0"/>
          <w:color w:val="auto"/>
          <w:kern w:val="44"/>
          <w:sz w:val="24"/>
          <w:szCs w:val="24"/>
          <w:highlight w:val="none"/>
        </w:rPr>
        <w:t>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9AEB44">
      <w:pPr>
        <w:pStyle w:val="2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第八章 </w:t>
      </w:r>
      <w:r>
        <w:rPr>
          <w:rFonts w:hint="eastAsia" w:ascii="宋体" w:hAnsi="宋体" w:cs="宋体"/>
          <w:bCs/>
          <w:color w:val="auto"/>
          <w:kern w:val="44"/>
          <w:sz w:val="24"/>
          <w:szCs w:val="24"/>
          <w:highlight w:val="none"/>
          <w:lang w:val="en-US" w:eastAsia="zh-CN" w:bidi="ar-SA"/>
        </w:rPr>
        <w:t xml:space="preserve"> </w:t>
      </w:r>
      <w:r>
        <w:rPr>
          <w:rFonts w:hint="eastAsia" w:ascii="宋体" w:hAnsi="宋体" w:eastAsia="宋体" w:cs="宋体"/>
          <w:bCs/>
          <w:color w:val="auto"/>
          <w:kern w:val="44"/>
          <w:sz w:val="24"/>
          <w:szCs w:val="24"/>
          <w:highlight w:val="none"/>
          <w:lang w:val="en-US" w:eastAsia="zh-CN" w:bidi="ar-SA"/>
        </w:rPr>
        <w:t>政府采购合同验收书范本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D985D1">
      <w:pPr>
        <w:keepNext w:val="0"/>
        <w:keepLines w:val="0"/>
        <w:pageBreakBefore w:val="0"/>
        <w:widowControl w:val="0"/>
        <w:tabs>
          <w:tab w:val="right" w:leader="dot" w:pos="8296"/>
          <w:tab w:val="right" w:leader="dot" w:pos="8647"/>
        </w:tabs>
        <w:kinsoku/>
        <w:wordWrap/>
        <w:overflowPunct/>
        <w:topLinePunct w:val="0"/>
        <w:autoSpaceDE/>
        <w:autoSpaceDN/>
        <w:bidi w:val="0"/>
        <w:adjustRightInd/>
        <w:snapToGrid w:val="0"/>
        <w:spacing w:line="360" w:lineRule="auto"/>
        <w:ind w:right="231" w:rightChars="11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7A51CE22">
      <w:pPr>
        <w:spacing w:line="400" w:lineRule="exact"/>
        <w:jc w:val="left"/>
        <w:rPr>
          <w:rFonts w:hint="eastAsia" w:ascii="宋体" w:hAnsi="宋体" w:eastAsia="宋体" w:cs="宋体"/>
          <w:b/>
          <w:color w:val="auto"/>
          <w:sz w:val="32"/>
          <w:szCs w:val="32"/>
          <w:highlight w:val="none"/>
        </w:rPr>
      </w:pPr>
    </w:p>
    <w:p w14:paraId="61CAB792">
      <w:pPr>
        <w:spacing w:line="400" w:lineRule="exact"/>
        <w:rPr>
          <w:rFonts w:hint="eastAsia" w:ascii="宋体" w:hAnsi="宋体" w:eastAsia="宋体" w:cs="宋体"/>
          <w:b/>
          <w:color w:val="auto"/>
          <w:sz w:val="32"/>
          <w:szCs w:val="32"/>
          <w:highlight w:val="none"/>
        </w:rPr>
        <w:sectPr>
          <w:pgSz w:w="11906" w:h="16838"/>
          <w:pgMar w:top="1440" w:right="1080" w:bottom="1440" w:left="1080" w:header="851" w:footer="992" w:gutter="0"/>
          <w:pgNumType w:start="0"/>
          <w:cols w:space="720" w:num="1"/>
          <w:titlePg/>
          <w:rtlGutter w:val="0"/>
          <w:docGrid w:type="lines" w:linePitch="312" w:charSpace="0"/>
        </w:sectPr>
      </w:pPr>
    </w:p>
    <w:p w14:paraId="7D317D75">
      <w:pPr>
        <w:spacing w:line="360" w:lineRule="auto"/>
        <w:ind w:firstLine="643" w:firstLineChars="200"/>
        <w:jc w:val="center"/>
        <w:outlineLvl w:val="0"/>
        <w:rPr>
          <w:rFonts w:hint="eastAsia" w:ascii="宋体" w:hAnsi="宋体" w:eastAsia="宋体" w:cs="宋体"/>
          <w:b/>
          <w:color w:val="auto"/>
          <w:kern w:val="44"/>
          <w:sz w:val="32"/>
          <w:szCs w:val="32"/>
          <w:highlight w:val="none"/>
        </w:rPr>
      </w:pPr>
      <w:bookmarkStart w:id="0" w:name="_Toc21228"/>
      <w:r>
        <w:rPr>
          <w:rFonts w:hint="eastAsia" w:ascii="宋体" w:hAnsi="宋体" w:eastAsia="宋体" w:cs="宋体"/>
          <w:b/>
          <w:color w:val="auto"/>
          <w:kern w:val="44"/>
          <w:sz w:val="32"/>
          <w:szCs w:val="32"/>
          <w:highlight w:val="none"/>
        </w:rPr>
        <w:t xml:space="preserve">第一章 </w:t>
      </w:r>
      <w:r>
        <w:rPr>
          <w:rFonts w:hint="eastAsia" w:ascii="宋体" w:hAnsi="宋体" w:cs="宋体"/>
          <w:b/>
          <w:color w:val="auto"/>
          <w:kern w:val="44"/>
          <w:sz w:val="32"/>
          <w:szCs w:val="32"/>
          <w:highlight w:val="none"/>
          <w:lang w:val="en-US" w:eastAsia="zh-CN"/>
        </w:rPr>
        <w:t xml:space="preserve"> </w:t>
      </w:r>
      <w:r>
        <w:rPr>
          <w:rFonts w:hint="eastAsia" w:ascii="宋体" w:hAnsi="宋体" w:eastAsia="宋体" w:cs="宋体"/>
          <w:b/>
          <w:color w:val="auto"/>
          <w:kern w:val="44"/>
          <w:sz w:val="32"/>
          <w:szCs w:val="32"/>
          <w:highlight w:val="none"/>
        </w:rPr>
        <w:t>竞争性磋商公告</w:t>
      </w:r>
      <w:bookmarkEnd w:id="0"/>
      <w:bookmarkStart w:id="1" w:name="_Toc28359089"/>
      <w:bookmarkStart w:id="2" w:name="_Toc28359012"/>
      <w:bookmarkStart w:id="3" w:name="_Toc44229878"/>
      <w:bookmarkStart w:id="4" w:name="_Toc35393629"/>
      <w:bookmarkStart w:id="5" w:name="_Toc35393798"/>
      <w:bookmarkStart w:id="6" w:name="_Toc28359004"/>
      <w:bookmarkStart w:id="7" w:name="_Toc35393792"/>
      <w:bookmarkStart w:id="8" w:name="_Toc28359081"/>
      <w:bookmarkStart w:id="9" w:name="_Toc35393623"/>
    </w:p>
    <w:p w14:paraId="090BCE3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项目概况</w:t>
      </w:r>
    </w:p>
    <w:p w14:paraId="60E9274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550" w:firstLineChars="250"/>
        <w:textAlignment w:val="auto"/>
        <w:rPr>
          <w:rFonts w:hint="eastAsia" w:ascii="宋体" w:hAnsi="宋体" w:eastAsia="宋体" w:cs="宋体"/>
          <w:color w:val="auto"/>
          <w:sz w:val="22"/>
          <w:szCs w:val="22"/>
          <w:highlight w:val="none"/>
          <w:u w:val="single"/>
        </w:rPr>
      </w:pPr>
      <w:r>
        <w:rPr>
          <w:rFonts w:hint="eastAsia" w:ascii="宋体" w:hAnsi="宋体" w:cs="宋体"/>
          <w:color w:val="auto"/>
          <w:sz w:val="22"/>
          <w:szCs w:val="22"/>
          <w:highlight w:val="none"/>
          <w:u w:val="single"/>
          <w:lang w:eastAsia="zh-CN"/>
        </w:rPr>
        <w:t>柳城县乡镇新时代民政服务站项目</w:t>
      </w:r>
      <w:r>
        <w:rPr>
          <w:rFonts w:hint="eastAsia" w:ascii="宋体" w:hAnsi="宋体" w:eastAsia="宋体" w:cs="宋体"/>
          <w:color w:val="auto"/>
          <w:sz w:val="22"/>
          <w:szCs w:val="22"/>
          <w:highlight w:val="none"/>
        </w:rPr>
        <w:t>的潜在供应商应在广西政府采购云平台（https</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//www.gcy.zfcg.gxzf.gov.cn/）获取采购文件</w:t>
      </w:r>
      <w:r>
        <w:rPr>
          <w:rFonts w:hint="eastAsia" w:ascii="宋体" w:hAnsi="宋体" w:eastAsia="宋体" w:cs="宋体"/>
          <w:color w:val="auto"/>
          <w:sz w:val="22"/>
          <w:szCs w:val="22"/>
          <w:highlight w:val="none"/>
          <w:u w:val="none"/>
        </w:rPr>
        <w:t>，并于</w:t>
      </w:r>
      <w:r>
        <w:rPr>
          <w:rFonts w:hint="eastAsia" w:ascii="宋体" w:hAnsi="宋体" w:cs="宋体"/>
          <w:color w:val="auto"/>
          <w:sz w:val="22"/>
          <w:szCs w:val="22"/>
          <w:highlight w:val="none"/>
          <w:u w:val="single"/>
          <w:lang w:val="en-US" w:eastAsia="zh-CN"/>
        </w:rPr>
        <w:t>2025</w:t>
      </w:r>
      <w:r>
        <w:rPr>
          <w:rFonts w:hint="eastAsia" w:ascii="宋体" w:hAnsi="宋体" w:cs="宋体"/>
          <w:color w:val="auto"/>
          <w:sz w:val="22"/>
          <w:szCs w:val="22"/>
          <w:highlight w:val="none"/>
          <w:u w:val="single"/>
          <w:lang w:eastAsia="zh-CN"/>
        </w:rPr>
        <w:t>年</w:t>
      </w:r>
      <w:r>
        <w:rPr>
          <w:rFonts w:hint="eastAsia" w:ascii="宋体" w:hAnsi="宋体" w:cs="宋体"/>
          <w:color w:val="auto"/>
          <w:sz w:val="22"/>
          <w:szCs w:val="22"/>
          <w:highlight w:val="none"/>
          <w:u w:val="single"/>
          <w:lang w:val="en-US" w:eastAsia="zh-CN"/>
        </w:rPr>
        <w:t>10</w:t>
      </w:r>
      <w:r>
        <w:rPr>
          <w:rFonts w:hint="eastAsia" w:ascii="宋体" w:hAnsi="宋体" w:cs="宋体"/>
          <w:color w:val="auto"/>
          <w:sz w:val="22"/>
          <w:szCs w:val="22"/>
          <w:highlight w:val="none"/>
          <w:u w:val="single"/>
          <w:lang w:eastAsia="zh-CN"/>
        </w:rPr>
        <w:t>月</w:t>
      </w:r>
      <w:r>
        <w:rPr>
          <w:rFonts w:hint="eastAsia" w:ascii="宋体" w:hAnsi="宋体" w:cs="宋体"/>
          <w:color w:val="auto"/>
          <w:sz w:val="22"/>
          <w:szCs w:val="22"/>
          <w:highlight w:val="none"/>
          <w:u w:val="single"/>
          <w:lang w:val="en-US" w:eastAsia="zh-CN"/>
        </w:rPr>
        <w:t>16</w:t>
      </w:r>
      <w:r>
        <w:rPr>
          <w:rFonts w:hint="eastAsia" w:ascii="宋体" w:hAnsi="宋体" w:cs="宋体"/>
          <w:color w:val="auto"/>
          <w:sz w:val="22"/>
          <w:szCs w:val="22"/>
          <w:highlight w:val="none"/>
          <w:u w:val="single"/>
          <w:lang w:eastAsia="zh-CN"/>
        </w:rPr>
        <w:t>日</w:t>
      </w:r>
      <w:r>
        <w:rPr>
          <w:rFonts w:hint="eastAsia" w:ascii="宋体" w:hAnsi="宋体" w:eastAsia="宋体" w:cs="宋体"/>
          <w:color w:val="auto"/>
          <w:sz w:val="22"/>
          <w:szCs w:val="22"/>
          <w:highlight w:val="none"/>
          <w:u w:val="single"/>
        </w:rPr>
        <w:t>09</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20</w:t>
      </w:r>
      <w:r>
        <w:rPr>
          <w:rFonts w:hint="eastAsia" w:ascii="宋体" w:hAnsi="宋体" w:eastAsia="宋体" w:cs="宋体"/>
          <w:bCs/>
          <w:color w:val="auto"/>
          <w:sz w:val="22"/>
          <w:szCs w:val="22"/>
          <w:highlight w:val="none"/>
        </w:rPr>
        <w:t>（北京时间）前</w:t>
      </w:r>
      <w:r>
        <w:rPr>
          <w:rFonts w:hint="eastAsia" w:ascii="宋体" w:hAnsi="宋体" w:eastAsia="宋体" w:cs="宋体"/>
          <w:color w:val="auto"/>
          <w:sz w:val="22"/>
          <w:szCs w:val="22"/>
          <w:highlight w:val="none"/>
        </w:rPr>
        <w:t>递交（上传）响应文件。</w:t>
      </w:r>
    </w:p>
    <w:p w14:paraId="38E8EEB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一、项目基本情况</w:t>
      </w:r>
      <w:bookmarkEnd w:id="1"/>
      <w:bookmarkEnd w:id="2"/>
      <w:bookmarkEnd w:id="3"/>
      <w:bookmarkEnd w:id="4"/>
      <w:bookmarkEnd w:id="5"/>
    </w:p>
    <w:p w14:paraId="5E27B06F">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项目编号：LZZC2025-C3-220082-GXRT</w:t>
      </w:r>
    </w:p>
    <w:p w14:paraId="0D60A195">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rPr>
        <w:t>项目名称：</w:t>
      </w:r>
      <w:r>
        <w:rPr>
          <w:rFonts w:hint="eastAsia" w:ascii="宋体" w:hAnsi="宋体" w:cs="宋体"/>
          <w:color w:val="auto"/>
          <w:sz w:val="22"/>
          <w:szCs w:val="22"/>
          <w:highlight w:val="none"/>
          <w:lang w:eastAsia="zh-CN"/>
        </w:rPr>
        <w:t>柳城县乡镇新时代民政服务站项目</w:t>
      </w:r>
    </w:p>
    <w:p w14:paraId="37E1A796">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采购方式：竞争性磋商</w:t>
      </w:r>
    </w:p>
    <w:p w14:paraId="36D04081">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预算总金额（元）：</w:t>
      </w:r>
      <w:r>
        <w:rPr>
          <w:rFonts w:hint="eastAsia" w:ascii="宋体" w:hAnsi="宋体" w:cs="宋体"/>
          <w:color w:val="auto"/>
          <w:sz w:val="22"/>
          <w:szCs w:val="22"/>
          <w:highlight w:val="none"/>
          <w:lang w:eastAsia="zh-CN"/>
        </w:rPr>
        <w:t>1560000</w:t>
      </w:r>
    </w:p>
    <w:p w14:paraId="0546D8F5">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p>
    <w:p w14:paraId="358DCE23">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p>
    <w:p w14:paraId="787079F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标项名称</w:t>
      </w:r>
      <w:r>
        <w:rPr>
          <w:rFonts w:hint="eastAsia" w:ascii="仿宋" w:hAnsi="仿宋" w:eastAsia="仿宋" w:cs="仿宋"/>
          <w:color w:val="auto"/>
          <w:sz w:val="22"/>
          <w:szCs w:val="22"/>
          <w:highlight w:val="none"/>
          <w:lang w:eastAsia="zh-CN"/>
        </w:rPr>
        <w:t>：柳城县乡镇新时代民政服务站项目</w:t>
      </w:r>
    </w:p>
    <w:p w14:paraId="05C3F22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数量：1项</w:t>
      </w:r>
    </w:p>
    <w:p w14:paraId="0F1C48F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预算金额（元）：</w:t>
      </w:r>
      <w:r>
        <w:rPr>
          <w:rFonts w:hint="eastAsia" w:ascii="仿宋" w:hAnsi="仿宋" w:eastAsia="仿宋" w:cs="仿宋"/>
          <w:color w:val="auto"/>
          <w:sz w:val="22"/>
          <w:szCs w:val="22"/>
          <w:highlight w:val="none"/>
          <w:lang w:eastAsia="zh-CN"/>
        </w:rPr>
        <w:t>1560000</w:t>
      </w:r>
    </w:p>
    <w:p w14:paraId="64FD53B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简要规格描述或项目基本概况介绍、用途：</w:t>
      </w:r>
      <w:r>
        <w:rPr>
          <w:rFonts w:hint="eastAsia" w:ascii="仿宋" w:hAnsi="仿宋" w:eastAsia="仿宋" w:cs="仿宋"/>
          <w:color w:val="auto"/>
          <w:sz w:val="22"/>
          <w:szCs w:val="22"/>
          <w:highlight w:val="none"/>
          <w:lang w:eastAsia="zh-CN"/>
        </w:rPr>
        <w:t>柳城县乡镇新时代民政服务站项目</w:t>
      </w:r>
      <w:r>
        <w:rPr>
          <w:rFonts w:hint="eastAsia" w:ascii="仿宋" w:hAnsi="仿宋" w:eastAsia="仿宋" w:cs="仿宋"/>
          <w:color w:val="auto"/>
          <w:sz w:val="22"/>
          <w:szCs w:val="22"/>
          <w:highlight w:val="none"/>
        </w:rPr>
        <w:t>1项，具体内容详见采购文件第二章《采购需求》。</w:t>
      </w:r>
    </w:p>
    <w:p w14:paraId="2E27825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最高限价</w:t>
      </w:r>
      <w:r>
        <w:rPr>
          <w:rFonts w:hint="eastAsia" w:ascii="仿宋" w:hAnsi="仿宋" w:eastAsia="仿宋" w:cs="仿宋"/>
          <w:color w:val="auto"/>
          <w:sz w:val="22"/>
          <w:szCs w:val="22"/>
          <w:highlight w:val="none"/>
          <w:lang w:val="en-US" w:eastAsia="zh-CN"/>
        </w:rPr>
        <w:t>(如有)</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w:t>
      </w:r>
    </w:p>
    <w:p w14:paraId="3863F44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合同履行期限：1年，</w:t>
      </w:r>
      <w:r>
        <w:rPr>
          <w:rFonts w:hint="eastAsia" w:ascii="仿宋" w:hAnsi="仿宋" w:eastAsia="仿宋" w:cs="仿宋"/>
          <w:color w:val="auto"/>
          <w:sz w:val="22"/>
          <w:szCs w:val="22"/>
          <w:highlight w:val="none"/>
          <w:lang w:val="en-US" w:eastAsia="zh-CN"/>
        </w:rPr>
        <w:t>具体起止日期以合同约定为准</w:t>
      </w:r>
      <w:r>
        <w:rPr>
          <w:rFonts w:hint="eastAsia" w:ascii="仿宋" w:hAnsi="仿宋" w:eastAsia="仿宋" w:cs="仿宋"/>
          <w:color w:val="auto"/>
          <w:sz w:val="22"/>
          <w:szCs w:val="22"/>
          <w:highlight w:val="none"/>
        </w:rPr>
        <w:t>。</w:t>
      </w:r>
    </w:p>
    <w:p w14:paraId="54E5CDD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u w:val="none"/>
        </w:rPr>
      </w:pPr>
      <w:r>
        <w:rPr>
          <w:rFonts w:hint="eastAsia" w:ascii="仿宋" w:hAnsi="仿宋" w:eastAsia="仿宋" w:cs="仿宋"/>
          <w:color w:val="auto"/>
          <w:sz w:val="22"/>
          <w:szCs w:val="22"/>
          <w:highlight w:val="none"/>
        </w:rPr>
        <w:t>本标项</w:t>
      </w:r>
      <w:r>
        <w:rPr>
          <w:rFonts w:hint="eastAsia" w:ascii="仿宋" w:hAnsi="仿宋" w:eastAsia="仿宋" w:cs="仿宋"/>
          <w:color w:val="auto"/>
          <w:sz w:val="22"/>
          <w:szCs w:val="22"/>
          <w:highlight w:val="none"/>
          <w:u w:val="none"/>
        </w:rPr>
        <w:t>（否）接受联合体投标</w:t>
      </w:r>
    </w:p>
    <w:p w14:paraId="02E3D7BF">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2"/>
          <w:szCs w:val="22"/>
          <w:highlight w:val="none"/>
          <w:lang w:val="en-US" w:eastAsia="zh-CN"/>
        </w:rPr>
      </w:pPr>
      <w:r>
        <w:rPr>
          <w:rFonts w:hint="eastAsia" w:ascii="仿宋" w:hAnsi="仿宋" w:eastAsia="仿宋" w:cs="仿宋"/>
          <w:color w:val="auto"/>
          <w:sz w:val="22"/>
          <w:szCs w:val="22"/>
          <w:highlight w:val="none"/>
          <w:u w:val="none"/>
          <w:lang w:val="en-US" w:eastAsia="zh-CN"/>
        </w:rPr>
        <w:t>备注：本项目为线上电子招标项目，采用远程异地评标，有意向参与本项目的供应商应当做好参与全流程电子招投标交易的充分准备。</w:t>
      </w:r>
    </w:p>
    <w:p w14:paraId="6D689671">
      <w:pPr>
        <w:rPr>
          <w:rFonts w:hint="eastAsia" w:ascii="宋体" w:hAnsi="宋体" w:eastAsia="宋体" w:cs="宋体"/>
          <w:color w:val="auto"/>
          <w:sz w:val="22"/>
          <w:szCs w:val="22"/>
          <w:highlight w:val="none"/>
        </w:rPr>
      </w:pPr>
      <w:bookmarkStart w:id="10" w:name="_Toc35393799"/>
      <w:bookmarkStart w:id="11" w:name="_Toc28359013"/>
      <w:bookmarkStart w:id="12" w:name="_Toc44229879"/>
      <w:bookmarkStart w:id="13" w:name="_Toc35393630"/>
      <w:bookmarkStart w:id="14" w:name="_Toc28359090"/>
    </w:p>
    <w:p w14:paraId="5B3C2E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2"/>
          <w:szCs w:val="22"/>
          <w:highlight w:val="none"/>
        </w:rPr>
      </w:pPr>
      <w:r>
        <w:rPr>
          <w:rFonts w:hint="eastAsia" w:ascii="宋体" w:hAnsi="宋体" w:eastAsia="宋体" w:cs="宋体"/>
          <w:b/>
          <w:color w:val="auto"/>
          <w:kern w:val="44"/>
          <w:sz w:val="22"/>
          <w:szCs w:val="22"/>
          <w:highlight w:val="none"/>
        </w:rPr>
        <w:t>二、申请人的资格条件</w:t>
      </w:r>
      <w:bookmarkEnd w:id="10"/>
      <w:bookmarkEnd w:id="11"/>
      <w:bookmarkEnd w:id="12"/>
      <w:bookmarkEnd w:id="13"/>
      <w:bookmarkEnd w:id="14"/>
    </w:p>
    <w:p w14:paraId="6AEB72A1">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w:t>
      </w:r>
    </w:p>
    <w:p w14:paraId="14573270">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2.落实政府采购政策需满足的资格要求：</w:t>
      </w:r>
      <w:r>
        <w:rPr>
          <w:rFonts w:hint="eastAsia" w:ascii="宋体" w:hAnsi="宋体" w:cs="宋体"/>
          <w:color w:val="auto"/>
          <w:sz w:val="22"/>
          <w:szCs w:val="22"/>
          <w:highlight w:val="none"/>
          <w:lang w:val="en-US" w:eastAsia="zh-CN"/>
        </w:rPr>
        <w:t>本项目专门面向小微企业采购。</w:t>
      </w:r>
    </w:p>
    <w:p w14:paraId="57679A13">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3.本项目的特定资格要求：</w:t>
      </w:r>
      <w:r>
        <w:rPr>
          <w:rFonts w:hint="eastAsia" w:ascii="宋体" w:hAnsi="宋体" w:cs="宋体"/>
          <w:color w:val="auto"/>
          <w:sz w:val="22"/>
          <w:szCs w:val="22"/>
          <w:highlight w:val="none"/>
          <w:lang w:val="en-US" w:eastAsia="zh-CN"/>
        </w:rPr>
        <w:t>无</w:t>
      </w:r>
      <w:r>
        <w:rPr>
          <w:rFonts w:hint="eastAsia" w:ascii="宋体" w:hAnsi="宋体" w:eastAsia="宋体" w:cs="宋体"/>
          <w:color w:val="auto"/>
          <w:sz w:val="22"/>
          <w:szCs w:val="22"/>
          <w:highlight w:val="none"/>
        </w:rPr>
        <w:t>。</w:t>
      </w:r>
    </w:p>
    <w:p w14:paraId="02946C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三、获取竞争性磋商文件</w:t>
      </w:r>
      <w:bookmarkEnd w:id="6"/>
      <w:bookmarkEnd w:id="7"/>
      <w:bookmarkEnd w:id="8"/>
      <w:bookmarkEnd w:id="9"/>
    </w:p>
    <w:p w14:paraId="745C5073">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bookmarkStart w:id="15" w:name="_Toc35393793"/>
      <w:bookmarkStart w:id="16" w:name="_Toc28359005"/>
      <w:bookmarkStart w:id="17" w:name="_Toc28359082"/>
      <w:bookmarkStart w:id="18" w:name="_Toc35393624"/>
      <w:r>
        <w:rPr>
          <w:rFonts w:hint="eastAsia" w:ascii="宋体" w:hAnsi="宋体" w:eastAsia="宋体" w:cs="宋体"/>
          <w:color w:val="auto"/>
          <w:sz w:val="22"/>
          <w:szCs w:val="22"/>
          <w:highlight w:val="none"/>
        </w:rPr>
        <w:t>时间：</w:t>
      </w:r>
      <w:r>
        <w:rPr>
          <w:rFonts w:hint="eastAsia" w:ascii="宋体" w:hAnsi="宋体" w:cs="宋体"/>
          <w:color w:val="auto"/>
          <w:sz w:val="22"/>
          <w:szCs w:val="22"/>
          <w:highlight w:val="none"/>
          <w:u w:val="none"/>
          <w:lang w:val="en-US" w:eastAsia="zh-CN"/>
        </w:rPr>
        <w:t>2025</w:t>
      </w:r>
      <w:r>
        <w:rPr>
          <w:rFonts w:hint="eastAsia" w:ascii="宋体" w:hAnsi="宋体" w:eastAsia="宋体" w:cs="宋体"/>
          <w:color w:val="auto"/>
          <w:sz w:val="22"/>
          <w:szCs w:val="22"/>
          <w:highlight w:val="none"/>
          <w:u w:val="none"/>
        </w:rPr>
        <w:t>年</w:t>
      </w:r>
      <w:r>
        <w:rPr>
          <w:rFonts w:hint="eastAsia" w:ascii="宋体" w:hAnsi="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lang w:val="en-US" w:eastAsia="zh-CN"/>
        </w:rPr>
        <w:t>月</w:t>
      </w:r>
      <w:r>
        <w:rPr>
          <w:rFonts w:hint="eastAsia" w:ascii="宋体" w:hAnsi="宋体" w:cs="宋体"/>
          <w:color w:val="auto"/>
          <w:sz w:val="22"/>
          <w:szCs w:val="22"/>
          <w:highlight w:val="none"/>
          <w:u w:val="none"/>
          <w:lang w:val="en-US" w:eastAsia="zh-CN"/>
        </w:rPr>
        <w:t>23</w:t>
      </w:r>
      <w:r>
        <w:rPr>
          <w:rFonts w:hint="eastAsia" w:ascii="宋体" w:hAnsi="宋体" w:eastAsia="宋体" w:cs="宋体"/>
          <w:color w:val="auto"/>
          <w:sz w:val="22"/>
          <w:szCs w:val="22"/>
          <w:highlight w:val="none"/>
          <w:u w:val="none"/>
        </w:rPr>
        <w:t>日至</w:t>
      </w:r>
      <w:r>
        <w:rPr>
          <w:rFonts w:hint="eastAsia" w:ascii="宋体" w:hAnsi="宋体" w:cs="宋体"/>
          <w:color w:val="auto"/>
          <w:sz w:val="22"/>
          <w:szCs w:val="22"/>
          <w:highlight w:val="none"/>
          <w:u w:val="none"/>
          <w:lang w:val="en-US" w:eastAsia="zh-CN"/>
        </w:rPr>
        <w:t>2025</w:t>
      </w:r>
      <w:r>
        <w:rPr>
          <w:rFonts w:hint="eastAsia" w:ascii="宋体" w:hAnsi="宋体" w:eastAsia="宋体" w:cs="宋体"/>
          <w:color w:val="auto"/>
          <w:sz w:val="22"/>
          <w:szCs w:val="22"/>
          <w:highlight w:val="none"/>
          <w:u w:val="none"/>
        </w:rPr>
        <w:t>年</w:t>
      </w:r>
      <w:r>
        <w:rPr>
          <w:rFonts w:hint="eastAsia" w:ascii="宋体" w:hAnsi="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lang w:val="en-US" w:eastAsia="zh-CN"/>
        </w:rPr>
        <w:t>月</w:t>
      </w:r>
      <w:r>
        <w:rPr>
          <w:rFonts w:hint="eastAsia" w:ascii="宋体" w:hAnsi="宋体" w:cs="宋体"/>
          <w:color w:val="auto"/>
          <w:sz w:val="22"/>
          <w:szCs w:val="22"/>
          <w:highlight w:val="none"/>
          <w:u w:val="none"/>
          <w:lang w:val="en-US" w:eastAsia="zh-CN"/>
        </w:rPr>
        <w:t>29</w:t>
      </w:r>
      <w:r>
        <w:rPr>
          <w:rFonts w:hint="eastAsia" w:ascii="宋体" w:hAnsi="宋体" w:eastAsia="宋体" w:cs="宋体"/>
          <w:color w:val="auto"/>
          <w:sz w:val="22"/>
          <w:szCs w:val="22"/>
          <w:highlight w:val="none"/>
          <w:u w:val="none"/>
        </w:rPr>
        <w:t>日，每天上</w:t>
      </w:r>
      <w:r>
        <w:rPr>
          <w:rFonts w:hint="eastAsia" w:ascii="宋体" w:hAnsi="宋体" w:eastAsia="宋体" w:cs="宋体"/>
          <w:color w:val="auto"/>
          <w:sz w:val="22"/>
          <w:szCs w:val="22"/>
          <w:highlight w:val="none"/>
        </w:rPr>
        <w:t>午00</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00至12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00，下午12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00至23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59（北京时间，法定节假日除外）。</w:t>
      </w:r>
    </w:p>
    <w:p w14:paraId="79971B37">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地点（网址）：广西政府采购云平台线上获取</w:t>
      </w:r>
    </w:p>
    <w:p w14:paraId="4A5ACD56">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bCs/>
          <w:color w:val="auto"/>
          <w:sz w:val="22"/>
          <w:szCs w:val="22"/>
          <w:highlight w:val="none"/>
          <w:lang w:val="en-US"/>
        </w:rPr>
      </w:pPr>
      <w:r>
        <w:rPr>
          <w:rFonts w:hint="eastAsia" w:ascii="宋体" w:hAnsi="宋体" w:eastAsia="宋体" w:cs="宋体"/>
          <w:color w:val="auto"/>
          <w:sz w:val="22"/>
          <w:szCs w:val="22"/>
          <w:highlight w:val="none"/>
        </w:rPr>
        <w:t>方式</w:t>
      </w:r>
      <w:r>
        <w:rPr>
          <w:rFonts w:hint="eastAsia" w:ascii="宋体" w:hAnsi="宋体" w:eastAsia="宋体" w:cs="宋体"/>
          <w:color w:val="auto"/>
          <w:sz w:val="22"/>
          <w:szCs w:val="22"/>
          <w:highlight w:val="none"/>
          <w:lang w:eastAsia="zh-CN"/>
        </w:rPr>
        <w:t>：供应商登录广西政府采购云平台https</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//www.gcy.zfcg.gxzf.gov.cn/在线申请获取采购文件（进入“项目采购”应用，在获取采购文件菜单中选择项目，申请获取采购文件）</w:t>
      </w:r>
    </w:p>
    <w:p w14:paraId="52BE505A">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w:t>
      </w:r>
    </w:p>
    <w:p w14:paraId="4E4FF10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w:t>
      </w:r>
      <w:bookmarkEnd w:id="15"/>
      <w:bookmarkEnd w:id="16"/>
      <w:bookmarkEnd w:id="17"/>
      <w:bookmarkEnd w:id="18"/>
      <w:r>
        <w:rPr>
          <w:rFonts w:hint="eastAsia" w:ascii="宋体" w:hAnsi="宋体" w:eastAsia="宋体" w:cs="宋体"/>
          <w:b/>
          <w:bCs/>
          <w:color w:val="auto"/>
          <w:sz w:val="22"/>
          <w:szCs w:val="22"/>
          <w:highlight w:val="none"/>
        </w:rPr>
        <w:t>响应文件提交</w:t>
      </w:r>
    </w:p>
    <w:p w14:paraId="4CBCBBD0">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截止时间：</w:t>
      </w:r>
      <w:r>
        <w:rPr>
          <w:rFonts w:hint="eastAsia" w:ascii="宋体" w:hAnsi="宋体" w:cs="宋体"/>
          <w:color w:val="auto"/>
          <w:kern w:val="0"/>
          <w:sz w:val="22"/>
          <w:szCs w:val="22"/>
          <w:highlight w:val="none"/>
          <w:lang w:val="en-US" w:eastAsia="zh-CN"/>
        </w:rPr>
        <w:t>2025</w:t>
      </w:r>
      <w:r>
        <w:rPr>
          <w:rFonts w:hint="eastAsia" w:ascii="宋体" w:hAnsi="宋体" w:cs="宋体"/>
          <w:color w:val="auto"/>
          <w:kern w:val="0"/>
          <w:sz w:val="22"/>
          <w:szCs w:val="22"/>
          <w:highlight w:val="none"/>
          <w:lang w:eastAsia="zh-CN"/>
        </w:rPr>
        <w:t>年</w:t>
      </w:r>
      <w:r>
        <w:rPr>
          <w:rFonts w:hint="eastAsia" w:ascii="宋体" w:hAnsi="宋体" w:cs="宋体"/>
          <w:color w:val="auto"/>
          <w:kern w:val="0"/>
          <w:sz w:val="22"/>
          <w:szCs w:val="22"/>
          <w:highlight w:val="none"/>
          <w:lang w:val="en-US" w:eastAsia="zh-CN"/>
        </w:rPr>
        <w:t>10</w:t>
      </w:r>
      <w:r>
        <w:rPr>
          <w:rFonts w:hint="eastAsia" w:ascii="宋体" w:hAnsi="宋体" w:cs="宋体"/>
          <w:color w:val="auto"/>
          <w:kern w:val="0"/>
          <w:sz w:val="22"/>
          <w:szCs w:val="22"/>
          <w:highlight w:val="none"/>
          <w:lang w:eastAsia="zh-CN"/>
        </w:rPr>
        <w:t>月</w:t>
      </w:r>
      <w:r>
        <w:rPr>
          <w:rFonts w:hint="eastAsia" w:ascii="宋体" w:hAnsi="宋体" w:cs="宋体"/>
          <w:color w:val="auto"/>
          <w:kern w:val="0"/>
          <w:sz w:val="22"/>
          <w:szCs w:val="22"/>
          <w:highlight w:val="none"/>
          <w:lang w:val="en-US" w:eastAsia="zh-CN"/>
        </w:rPr>
        <w:t>16</w:t>
      </w:r>
      <w:r>
        <w:rPr>
          <w:rFonts w:hint="eastAsia" w:ascii="宋体" w:hAnsi="宋体" w:cs="宋体"/>
          <w:color w:val="auto"/>
          <w:kern w:val="0"/>
          <w:sz w:val="22"/>
          <w:szCs w:val="22"/>
          <w:highlight w:val="none"/>
          <w:lang w:eastAsia="zh-CN"/>
        </w:rPr>
        <w:t>日</w:t>
      </w:r>
      <w:r>
        <w:rPr>
          <w:rFonts w:hint="eastAsia" w:ascii="宋体" w:hAnsi="宋体" w:eastAsia="宋体" w:cs="宋体"/>
          <w:color w:val="auto"/>
          <w:kern w:val="0"/>
          <w:sz w:val="22"/>
          <w:szCs w:val="22"/>
          <w:highlight w:val="none"/>
          <w:lang w:eastAsia="zh-CN"/>
        </w:rPr>
        <w:t>09</w:t>
      </w:r>
      <w:r>
        <w:rPr>
          <w:rFonts w:hint="eastAsia" w:ascii="宋体" w:hAnsi="宋体" w:cs="宋体"/>
          <w:color w:val="auto"/>
          <w:kern w:val="0"/>
          <w:sz w:val="22"/>
          <w:szCs w:val="22"/>
          <w:highlight w:val="none"/>
          <w:lang w:eastAsia="zh-CN"/>
        </w:rPr>
        <w:t>：20</w:t>
      </w:r>
      <w:r>
        <w:rPr>
          <w:rFonts w:hint="eastAsia" w:ascii="宋体" w:hAnsi="宋体" w:eastAsia="宋体" w:cs="宋体"/>
          <w:color w:val="auto"/>
          <w:kern w:val="0"/>
          <w:sz w:val="22"/>
          <w:szCs w:val="22"/>
          <w:highlight w:val="none"/>
          <w:lang w:eastAsia="zh-CN"/>
        </w:rPr>
        <w:t>（北京时间）</w:t>
      </w:r>
    </w:p>
    <w:p w14:paraId="2ADBBFC2">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地点（网址）：请登录广西政府采购云平台投标客户端投标</w:t>
      </w:r>
    </w:p>
    <w:p w14:paraId="565615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五、响应文件开启</w:t>
      </w:r>
    </w:p>
    <w:p w14:paraId="2684C347">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Cs/>
          <w:color w:val="auto"/>
          <w:sz w:val="22"/>
          <w:szCs w:val="22"/>
          <w:highlight w:val="none"/>
          <w:u w:val="none"/>
        </w:rPr>
      </w:pPr>
      <w:r>
        <w:rPr>
          <w:rFonts w:hint="eastAsia" w:ascii="宋体" w:hAnsi="宋体" w:eastAsia="宋体" w:cs="宋体"/>
          <w:bCs/>
          <w:color w:val="auto"/>
          <w:sz w:val="22"/>
          <w:szCs w:val="22"/>
          <w:highlight w:val="none"/>
          <w:u w:val="none"/>
        </w:rPr>
        <w:t>开启时间：</w:t>
      </w:r>
      <w:r>
        <w:rPr>
          <w:rFonts w:hint="eastAsia" w:ascii="宋体" w:hAnsi="宋体" w:cs="宋体"/>
          <w:bCs/>
          <w:color w:val="auto"/>
          <w:sz w:val="22"/>
          <w:szCs w:val="22"/>
          <w:highlight w:val="none"/>
          <w:u w:val="none"/>
          <w:lang w:val="en-US" w:eastAsia="zh-CN"/>
        </w:rPr>
        <w:t>2025</w:t>
      </w:r>
      <w:r>
        <w:rPr>
          <w:rFonts w:hint="eastAsia" w:ascii="宋体" w:hAnsi="宋体" w:cs="宋体"/>
          <w:bCs/>
          <w:color w:val="auto"/>
          <w:sz w:val="22"/>
          <w:szCs w:val="22"/>
          <w:highlight w:val="none"/>
          <w:u w:val="none"/>
          <w:lang w:eastAsia="zh-CN"/>
        </w:rPr>
        <w:t>年</w:t>
      </w:r>
      <w:r>
        <w:rPr>
          <w:rFonts w:hint="eastAsia" w:ascii="宋体" w:hAnsi="宋体" w:cs="宋体"/>
          <w:bCs/>
          <w:color w:val="auto"/>
          <w:sz w:val="22"/>
          <w:szCs w:val="22"/>
          <w:highlight w:val="none"/>
          <w:u w:val="none"/>
          <w:lang w:val="en-US" w:eastAsia="zh-CN"/>
        </w:rPr>
        <w:t>10</w:t>
      </w:r>
      <w:r>
        <w:rPr>
          <w:rFonts w:hint="eastAsia" w:ascii="宋体" w:hAnsi="宋体" w:cs="宋体"/>
          <w:bCs/>
          <w:color w:val="auto"/>
          <w:sz w:val="22"/>
          <w:szCs w:val="22"/>
          <w:highlight w:val="none"/>
          <w:u w:val="none"/>
          <w:lang w:eastAsia="zh-CN"/>
        </w:rPr>
        <w:t>月</w:t>
      </w:r>
      <w:r>
        <w:rPr>
          <w:rFonts w:hint="eastAsia" w:ascii="宋体" w:hAnsi="宋体" w:cs="宋体"/>
          <w:bCs/>
          <w:color w:val="auto"/>
          <w:sz w:val="22"/>
          <w:szCs w:val="22"/>
          <w:highlight w:val="none"/>
          <w:u w:val="none"/>
          <w:lang w:val="en-US" w:eastAsia="zh-CN"/>
        </w:rPr>
        <w:t>16</w:t>
      </w:r>
      <w:r>
        <w:rPr>
          <w:rFonts w:hint="eastAsia" w:ascii="宋体" w:hAnsi="宋体" w:cs="宋体"/>
          <w:bCs/>
          <w:color w:val="auto"/>
          <w:sz w:val="22"/>
          <w:szCs w:val="22"/>
          <w:highlight w:val="none"/>
          <w:u w:val="none"/>
          <w:lang w:eastAsia="zh-CN"/>
        </w:rPr>
        <w:t>日</w:t>
      </w:r>
      <w:r>
        <w:rPr>
          <w:rFonts w:hint="eastAsia" w:ascii="宋体" w:hAnsi="宋体" w:eastAsia="宋体" w:cs="宋体"/>
          <w:bCs/>
          <w:color w:val="auto"/>
          <w:sz w:val="22"/>
          <w:szCs w:val="22"/>
          <w:highlight w:val="none"/>
          <w:u w:val="none"/>
        </w:rPr>
        <w:t>09</w:t>
      </w:r>
      <w:r>
        <w:rPr>
          <w:rFonts w:hint="eastAsia" w:ascii="宋体" w:hAnsi="宋体" w:cs="宋体"/>
          <w:bCs/>
          <w:color w:val="auto"/>
          <w:sz w:val="22"/>
          <w:szCs w:val="22"/>
          <w:highlight w:val="none"/>
          <w:u w:val="none"/>
          <w:lang w:eastAsia="zh-CN"/>
        </w:rPr>
        <w:t>：20</w:t>
      </w:r>
      <w:r>
        <w:rPr>
          <w:rFonts w:hint="eastAsia" w:ascii="宋体" w:hAnsi="宋体" w:eastAsia="宋体" w:cs="宋体"/>
          <w:color w:val="auto"/>
          <w:spacing w:val="3"/>
          <w:sz w:val="22"/>
          <w:szCs w:val="22"/>
          <w:highlight w:val="none"/>
        </w:rPr>
        <w:t>（北京时间）</w:t>
      </w:r>
    </w:p>
    <w:p w14:paraId="7A99C2F4">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Cs/>
          <w:color w:val="auto"/>
          <w:sz w:val="22"/>
          <w:szCs w:val="22"/>
          <w:highlight w:val="none"/>
          <w:u w:val="none"/>
        </w:rPr>
      </w:pPr>
      <w:r>
        <w:rPr>
          <w:rFonts w:hint="eastAsia" w:ascii="宋体" w:hAnsi="宋体" w:eastAsia="宋体" w:cs="宋体"/>
          <w:bCs/>
          <w:color w:val="auto"/>
          <w:sz w:val="22"/>
          <w:szCs w:val="22"/>
          <w:highlight w:val="none"/>
          <w:u w:val="none"/>
        </w:rPr>
        <w:t>开标地点：请登录广西政府采购云平台投标客户端投标</w:t>
      </w:r>
      <w:r>
        <w:rPr>
          <w:rFonts w:hint="eastAsia" w:ascii="宋体" w:hAnsi="宋体" w:eastAsia="宋体" w:cs="宋体"/>
          <w:color w:val="auto"/>
          <w:spacing w:val="10"/>
          <w:sz w:val="22"/>
          <w:szCs w:val="22"/>
          <w:highlight w:val="none"/>
        </w:rPr>
        <w:t>。</w:t>
      </w:r>
    </w:p>
    <w:p w14:paraId="338EBE2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rPr>
      </w:pPr>
      <w:bookmarkStart w:id="19" w:name="_Toc28359007"/>
      <w:bookmarkStart w:id="20" w:name="_Toc28359084"/>
      <w:bookmarkStart w:id="21" w:name="_Toc35393625"/>
      <w:bookmarkStart w:id="22" w:name="_Toc35393794"/>
      <w:r>
        <w:rPr>
          <w:rFonts w:hint="eastAsia" w:ascii="宋体" w:hAnsi="宋体" w:eastAsia="宋体" w:cs="宋体"/>
          <w:b/>
          <w:bCs/>
          <w:color w:val="auto"/>
          <w:sz w:val="22"/>
          <w:szCs w:val="22"/>
          <w:highlight w:val="none"/>
        </w:rPr>
        <w:t>六、公告期限</w:t>
      </w:r>
      <w:bookmarkEnd w:id="19"/>
      <w:bookmarkEnd w:id="20"/>
      <w:bookmarkEnd w:id="21"/>
      <w:bookmarkEnd w:id="22"/>
    </w:p>
    <w:p w14:paraId="40304FD2">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自本公告发布之日起</w:t>
      </w:r>
      <w:r>
        <w:rPr>
          <w:rFonts w:hint="eastAsia" w:ascii="宋体" w:hAnsi="宋体" w:cs="宋体"/>
          <w:color w:val="auto"/>
          <w:kern w:val="0"/>
          <w:sz w:val="22"/>
          <w:szCs w:val="22"/>
          <w:highlight w:val="none"/>
          <w:u w:val="none"/>
          <w:lang w:val="en-US" w:eastAsia="zh-CN"/>
        </w:rPr>
        <w:t>5</w:t>
      </w:r>
      <w:r>
        <w:rPr>
          <w:rFonts w:hint="eastAsia" w:ascii="宋体" w:hAnsi="宋体" w:eastAsia="宋体" w:cs="宋体"/>
          <w:color w:val="auto"/>
          <w:kern w:val="0"/>
          <w:sz w:val="22"/>
          <w:szCs w:val="22"/>
          <w:highlight w:val="none"/>
        </w:rPr>
        <w:t>个工作日。</w:t>
      </w:r>
    </w:p>
    <w:p w14:paraId="1644B0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rPr>
      </w:pPr>
      <w:bookmarkStart w:id="23" w:name="_Toc35393795"/>
      <w:bookmarkStart w:id="24" w:name="_Toc35393626"/>
      <w:r>
        <w:rPr>
          <w:rFonts w:hint="eastAsia" w:ascii="宋体" w:hAnsi="宋体" w:eastAsia="宋体" w:cs="宋体"/>
          <w:b/>
          <w:bCs/>
          <w:color w:val="auto"/>
          <w:sz w:val="22"/>
          <w:szCs w:val="22"/>
          <w:highlight w:val="none"/>
        </w:rPr>
        <w:t>七、其他补充事宜</w:t>
      </w:r>
      <w:bookmarkEnd w:id="23"/>
      <w:bookmarkEnd w:id="24"/>
    </w:p>
    <w:p w14:paraId="4D79DFDC">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rPr>
        <w:t>保证金：</w:t>
      </w:r>
      <w:r>
        <w:rPr>
          <w:rFonts w:hint="eastAsia" w:ascii="宋体" w:hAnsi="宋体" w:eastAsia="宋体" w:cs="宋体"/>
          <w:color w:val="auto"/>
          <w:sz w:val="22"/>
          <w:szCs w:val="22"/>
          <w:highlight w:val="none"/>
          <w:lang w:val="en-US" w:eastAsia="zh-CN"/>
        </w:rPr>
        <w:t>本项目不收取磋商保证金</w:t>
      </w:r>
      <w:r>
        <w:rPr>
          <w:rFonts w:hint="eastAsia" w:ascii="宋体" w:hAnsi="宋体" w:eastAsia="宋体" w:cs="宋体"/>
          <w:color w:val="auto"/>
          <w:sz w:val="22"/>
          <w:szCs w:val="22"/>
          <w:highlight w:val="none"/>
        </w:rPr>
        <w:t>。</w:t>
      </w:r>
    </w:p>
    <w:p w14:paraId="06F7150B">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eastAsia="zh-CN"/>
        </w:rPr>
        <w:t>.</w:t>
      </w:r>
      <w:bookmarkStart w:id="25" w:name="_Hlk37429585"/>
      <w:bookmarkStart w:id="26" w:name="_Hlk37429595"/>
      <w:r>
        <w:rPr>
          <w:rFonts w:hint="eastAsia" w:ascii="宋体" w:hAnsi="宋体" w:eastAsia="宋体" w:cs="宋体"/>
          <w:color w:val="auto"/>
          <w:kern w:val="0"/>
          <w:sz w:val="22"/>
          <w:szCs w:val="22"/>
          <w:highlight w:val="none"/>
        </w:rPr>
        <w:t>网上查询地址</w:t>
      </w:r>
      <w:r>
        <w:rPr>
          <w:rFonts w:hint="eastAsia" w:ascii="宋体" w:hAnsi="宋体" w:cs="宋体"/>
          <w:color w:val="auto"/>
          <w:kern w:val="0"/>
          <w:sz w:val="22"/>
          <w:szCs w:val="22"/>
          <w:highlight w:val="none"/>
          <w:lang w:eastAsia="zh-CN"/>
        </w:rPr>
        <w:t>：</w:t>
      </w:r>
      <w:bookmarkEnd w:id="25"/>
      <w:bookmarkEnd w:id="26"/>
      <w:bookmarkStart w:id="27" w:name="_Hlk37429674"/>
      <w:r>
        <w:rPr>
          <w:rFonts w:hint="eastAsia" w:ascii="宋体" w:hAnsi="宋体" w:eastAsia="宋体" w:cs="宋体"/>
          <w:color w:val="auto"/>
          <w:sz w:val="22"/>
          <w:szCs w:val="22"/>
          <w:highlight w:val="none"/>
          <w:lang w:val="en-US" w:eastAsia="zh-CN"/>
        </w:rPr>
        <w:t>中国政府采购网（www.ccgp.gov.cn）、广西政府采购网（zfcg.gxzf.gov.cn）、柳州市政府采购网（zfcg.lzscz.liuzhou.gov.cn）。</w:t>
      </w:r>
    </w:p>
    <w:p w14:paraId="0D92692B">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本项目需要落实的政府采购政策</w:t>
      </w:r>
    </w:p>
    <w:p w14:paraId="447E3EDE">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（1）政府采购促进中小企业发展。</w:t>
      </w:r>
    </w:p>
    <w:p w14:paraId="569E9271">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（2）政府采购促进残疾人就业政策。</w:t>
      </w:r>
    </w:p>
    <w:p w14:paraId="3FCF246D">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）政府采购支持监狱企业发展。</w:t>
      </w:r>
      <w:bookmarkEnd w:id="27"/>
    </w:p>
    <w:p w14:paraId="10402318">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02E2F01">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.若对项目采购电子交易系统操作有疑问，可登录“广西政府采购云平台”平台（</w:t>
      </w:r>
      <w:r>
        <w:rPr>
          <w:rFonts w:hint="eastAsia" w:ascii="宋体" w:hAnsi="宋体" w:cs="宋体"/>
          <w:color w:val="auto"/>
          <w:kern w:val="0"/>
          <w:sz w:val="22"/>
          <w:szCs w:val="22"/>
          <w:highlight w:val="none"/>
          <w:lang w:val="en-US" w:eastAsia="zh-CN"/>
        </w:rPr>
        <w:t>https：//www.gcy.zfcg.gxzf.gov.cn/</w:t>
      </w:r>
      <w:r>
        <w:rPr>
          <w:rFonts w:hint="eastAsia" w:ascii="宋体" w:hAnsi="宋体" w:eastAsia="宋体" w:cs="宋体"/>
          <w:color w:val="auto"/>
          <w:kern w:val="0"/>
          <w:sz w:val="22"/>
          <w:szCs w:val="22"/>
          <w:highlight w:val="none"/>
          <w:lang w:val="en-US" w:eastAsia="zh-CN"/>
        </w:rPr>
        <w:t>），点击右侧咨询小采，获取采小蜜智能服务管家帮助，或拨打广西政府采购云平台服务热线95763获取热线服务帮助。</w:t>
      </w:r>
    </w:p>
    <w:p w14:paraId="547088A1">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en-US" w:eastAsia="zh-CN"/>
        </w:rPr>
        <w:t>.关于申请人资格要求的其它说明</w:t>
      </w:r>
    </w:p>
    <w:p w14:paraId="0AA3DCC2">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B21CC37">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E0637E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2"/>
          <w:szCs w:val="22"/>
          <w:highlight w:val="none"/>
        </w:rPr>
      </w:pPr>
      <w:r>
        <w:rPr>
          <w:rFonts w:hint="eastAsia" w:ascii="宋体" w:hAnsi="宋体" w:eastAsia="宋体" w:cs="宋体"/>
          <w:b/>
          <w:color w:val="auto"/>
          <w:kern w:val="44"/>
          <w:sz w:val="22"/>
          <w:szCs w:val="22"/>
          <w:highlight w:val="none"/>
        </w:rPr>
        <w:t>八、凡对本次采购提出询问，请按以下方式联系</w:t>
      </w:r>
    </w:p>
    <w:p w14:paraId="3BB8A951">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1.采购人信息</w:t>
      </w:r>
    </w:p>
    <w:p w14:paraId="37219C7A">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jc w:val="left"/>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名称：</w:t>
      </w:r>
      <w:r>
        <w:rPr>
          <w:rFonts w:hint="eastAsia" w:ascii="宋体" w:hAnsi="宋体" w:cs="宋体"/>
          <w:color w:val="auto"/>
          <w:sz w:val="22"/>
          <w:szCs w:val="22"/>
          <w:highlight w:val="none"/>
          <w:u w:val="none"/>
          <w:lang w:eastAsia="zh-CN"/>
        </w:rPr>
        <w:t>柳城县民政局</w:t>
      </w:r>
    </w:p>
    <w:p w14:paraId="34034F1E">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jc w:val="left"/>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地址：广西柳州市柳城县大埔镇白阳中路 33 号</w:t>
      </w:r>
    </w:p>
    <w:p w14:paraId="75B2385D">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jc w:val="left"/>
        <w:textAlignment w:val="auto"/>
        <w:rPr>
          <w:rFonts w:hint="eastAsia" w:ascii="宋体" w:hAnsi="宋体" w:cs="宋体"/>
          <w:color w:val="auto"/>
          <w:sz w:val="22"/>
          <w:szCs w:val="22"/>
          <w:highlight w:val="none"/>
          <w:u w:val="none"/>
          <w:lang w:eastAsia="zh-CN"/>
        </w:rPr>
      </w:pPr>
      <w:r>
        <w:rPr>
          <w:rFonts w:hint="eastAsia" w:ascii="宋体" w:hAnsi="宋体" w:cs="宋体"/>
          <w:color w:val="auto"/>
          <w:sz w:val="22"/>
          <w:szCs w:val="22"/>
          <w:highlight w:val="none"/>
          <w:u w:val="none"/>
          <w:lang w:eastAsia="zh-CN"/>
        </w:rPr>
        <w:t>项目联系人：明慧</w:t>
      </w:r>
    </w:p>
    <w:p w14:paraId="71A51A97">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jc w:val="left"/>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eastAsia="zh-CN"/>
        </w:rPr>
        <w:t>项目联系方式：0772-2465997</w:t>
      </w:r>
    </w:p>
    <w:p w14:paraId="273B470F">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2.采购代理机构信息</w:t>
      </w:r>
    </w:p>
    <w:p w14:paraId="5061B2FD">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名称：</w:t>
      </w:r>
      <w:r>
        <w:rPr>
          <w:rFonts w:hint="eastAsia" w:ascii="宋体" w:hAnsi="宋体" w:cs="宋体"/>
          <w:color w:val="auto"/>
          <w:sz w:val="22"/>
          <w:szCs w:val="22"/>
          <w:highlight w:val="none"/>
          <w:u w:val="none"/>
          <w:lang w:eastAsia="zh-CN"/>
        </w:rPr>
        <w:t>广西荣泰建筑设计有限责任公司</w:t>
      </w:r>
    </w:p>
    <w:p w14:paraId="47849A3D">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地址：</w:t>
      </w:r>
      <w:r>
        <w:rPr>
          <w:rFonts w:hint="eastAsia" w:ascii="宋体" w:hAnsi="宋体" w:cs="宋体"/>
          <w:color w:val="auto"/>
          <w:sz w:val="22"/>
          <w:szCs w:val="22"/>
          <w:highlight w:val="none"/>
          <w:u w:val="none"/>
          <w:lang w:eastAsia="zh-CN"/>
        </w:rPr>
        <w:t>广西柳州市城中区静兰路东一巷19号静兰小区北侧荣</w:t>
      </w:r>
      <w:bookmarkStart w:id="101" w:name="_GoBack"/>
      <w:bookmarkEnd w:id="101"/>
      <w:r>
        <w:rPr>
          <w:rFonts w:hint="eastAsia" w:ascii="宋体" w:hAnsi="宋体" w:cs="宋体"/>
          <w:color w:val="auto"/>
          <w:sz w:val="22"/>
          <w:szCs w:val="22"/>
          <w:highlight w:val="none"/>
          <w:u w:val="none"/>
          <w:lang w:eastAsia="zh-CN"/>
        </w:rPr>
        <w:t>泰设计公司大楼</w:t>
      </w:r>
    </w:p>
    <w:p w14:paraId="26A9D91B">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项目联系人：</w:t>
      </w:r>
      <w:r>
        <w:rPr>
          <w:rFonts w:hint="eastAsia" w:ascii="宋体" w:hAnsi="宋体" w:cs="宋体"/>
          <w:color w:val="auto"/>
          <w:sz w:val="22"/>
          <w:szCs w:val="22"/>
          <w:highlight w:val="none"/>
          <w:u w:val="none"/>
          <w:lang w:eastAsia="zh-CN"/>
        </w:rPr>
        <w:t>陈旺</w:t>
      </w:r>
    </w:p>
    <w:p w14:paraId="2CCD0C1F">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项目联系方式：</w:t>
      </w:r>
      <w:r>
        <w:rPr>
          <w:rFonts w:hint="eastAsia" w:ascii="宋体" w:hAnsi="宋体" w:cs="宋体"/>
          <w:color w:val="auto"/>
          <w:sz w:val="22"/>
          <w:szCs w:val="22"/>
          <w:highlight w:val="none"/>
          <w:u w:val="none"/>
          <w:lang w:eastAsia="zh-CN"/>
        </w:rPr>
        <w:t>0772-2551208</w:t>
      </w:r>
    </w:p>
    <w:p w14:paraId="64B81D5B">
      <w:pPr>
        <w:keepNext w:val="0"/>
        <w:keepLines w:val="0"/>
        <w:pageBreakBefore w:val="0"/>
        <w:kinsoku/>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highlight w:val="none"/>
          <w:u w:val="none"/>
        </w:rPr>
      </w:pPr>
    </w:p>
    <w:p w14:paraId="79F4C727">
      <w:pPr>
        <w:spacing w:line="360" w:lineRule="auto"/>
        <w:ind w:firstLine="480" w:firstLineChars="200"/>
        <w:jc w:val="right"/>
        <w:outlineLvl w:val="0"/>
        <w:rPr>
          <w:rFonts w:hint="eastAsia" w:ascii="宋体" w:hAnsi="宋体" w:eastAsia="宋体" w:cs="宋体"/>
          <w:color w:val="auto"/>
          <w:sz w:val="24"/>
          <w:szCs w:val="24"/>
          <w:highlight w:val="none"/>
        </w:rPr>
      </w:pPr>
    </w:p>
    <w:p w14:paraId="3DA3EE51">
      <w:pPr>
        <w:spacing w:line="360" w:lineRule="auto"/>
        <w:ind w:firstLine="480" w:firstLineChars="200"/>
        <w:jc w:val="center"/>
        <w:outlineLvl w:val="0"/>
        <w:rPr>
          <w:rFonts w:hint="eastAsia" w:ascii="宋体" w:hAnsi="宋体" w:eastAsia="宋体" w:cs="宋体"/>
          <w:b/>
          <w:bCs/>
          <w:color w:val="auto"/>
          <w:kern w:val="44"/>
          <w:sz w:val="32"/>
          <w:szCs w:val="32"/>
          <w:highlight w:val="none"/>
        </w:rPr>
      </w:pPr>
      <w:r>
        <w:rPr>
          <w:rFonts w:hint="eastAsia" w:ascii="宋体" w:hAnsi="宋体" w:eastAsia="宋体" w:cs="宋体"/>
          <w:color w:val="auto"/>
          <w:sz w:val="24"/>
          <w:szCs w:val="24"/>
          <w:highlight w:val="none"/>
        </w:rPr>
        <w:br w:type="page"/>
      </w:r>
      <w:bookmarkStart w:id="28" w:name="_Toc5857"/>
      <w:r>
        <w:rPr>
          <w:rFonts w:hint="eastAsia" w:ascii="宋体" w:hAnsi="宋体" w:eastAsia="宋体" w:cs="宋体"/>
          <w:b/>
          <w:color w:val="auto"/>
          <w:kern w:val="44"/>
          <w:sz w:val="32"/>
          <w:szCs w:val="32"/>
          <w:highlight w:val="none"/>
        </w:rPr>
        <w:t xml:space="preserve">第二章 </w:t>
      </w:r>
      <w:r>
        <w:rPr>
          <w:rFonts w:hint="eastAsia" w:ascii="宋体" w:hAnsi="宋体" w:cs="宋体"/>
          <w:b/>
          <w:color w:val="auto"/>
          <w:kern w:val="44"/>
          <w:sz w:val="32"/>
          <w:szCs w:val="32"/>
          <w:highlight w:val="none"/>
          <w:lang w:val="en-US" w:eastAsia="zh-CN"/>
        </w:rPr>
        <w:t xml:space="preserve"> </w:t>
      </w:r>
      <w:r>
        <w:rPr>
          <w:rFonts w:hint="eastAsia" w:ascii="宋体" w:hAnsi="宋体" w:eastAsia="宋体" w:cs="宋体"/>
          <w:b/>
          <w:color w:val="auto"/>
          <w:kern w:val="44"/>
          <w:sz w:val="32"/>
          <w:szCs w:val="32"/>
          <w:highlight w:val="none"/>
        </w:rPr>
        <w:t>采购需求</w:t>
      </w:r>
      <w:bookmarkEnd w:id="28"/>
    </w:p>
    <w:p w14:paraId="2B51186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说明：</w:t>
      </w:r>
    </w:p>
    <w:p w14:paraId="55F300D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1、本项目需求表中带有“▲”的技术参数或要求为实质性要求，必须满足，竞标响应不得低于该技术指标或要求。</w:t>
      </w:r>
    </w:p>
    <w:p w14:paraId="62F499E1">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2、供应商所竞标货物或服务如国家有强制性要求的按国家规定执行，若执行标准有修改或更新按最新版本执行。</w:t>
      </w:r>
    </w:p>
    <w:p w14:paraId="04F81B5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jc w:val="left"/>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3.中小企业划分标准所属行业名称（行业名称及划分见本章附件）：其他未列明行业</w:t>
      </w:r>
    </w:p>
    <w:tbl>
      <w:tblPr>
        <w:tblStyle w:val="32"/>
        <w:tblW w:w="102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2"/>
        <w:gridCol w:w="389"/>
        <w:gridCol w:w="923"/>
        <w:gridCol w:w="977"/>
        <w:gridCol w:w="7526"/>
      </w:tblGrid>
      <w:tr w14:paraId="6F56A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0237" w:type="dxa"/>
            <w:gridSpan w:val="5"/>
            <w:tcBorders>
              <w:top w:val="single" w:color="auto" w:sz="4" w:space="0"/>
              <w:left w:val="single" w:color="auto" w:sz="4" w:space="0"/>
              <w:bottom w:val="nil"/>
              <w:right w:val="single" w:color="auto" w:sz="4" w:space="0"/>
            </w:tcBorders>
            <w:noWrap w:val="0"/>
            <w:vAlign w:val="center"/>
          </w:tcPr>
          <w:p w14:paraId="2F53593E">
            <w:pPr>
              <w:spacing w:line="3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服务需求一览表</w:t>
            </w:r>
          </w:p>
        </w:tc>
      </w:tr>
      <w:tr w14:paraId="4B27C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22" w:type="dxa"/>
            <w:vMerge w:val="restart"/>
            <w:tcBorders>
              <w:top w:val="nil"/>
              <w:left w:val="single" w:color="auto" w:sz="4" w:space="0"/>
              <w:bottom w:val="nil"/>
              <w:right w:val="single" w:color="auto" w:sz="4" w:space="0"/>
            </w:tcBorders>
            <w:noWrap w:val="0"/>
            <w:vAlign w:val="center"/>
          </w:tcPr>
          <w:p w14:paraId="5BB3A2F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采购清单及技术参数</w:t>
            </w:r>
          </w:p>
        </w:tc>
        <w:tc>
          <w:tcPr>
            <w:tcW w:w="389"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1F91D5C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923" w:type="dxa"/>
            <w:tcBorders>
              <w:top w:val="single" w:color="auto" w:sz="4" w:space="0"/>
              <w:left w:val="nil"/>
              <w:bottom w:val="single" w:color="auto" w:sz="4" w:space="0"/>
              <w:right w:val="single" w:color="auto" w:sz="4" w:space="0"/>
            </w:tcBorders>
            <w:noWrap w:val="0"/>
            <w:vAlign w:val="center"/>
          </w:tcPr>
          <w:p w14:paraId="74B0118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标的的名称</w:t>
            </w:r>
          </w:p>
        </w:tc>
        <w:tc>
          <w:tcPr>
            <w:tcW w:w="977" w:type="dxa"/>
            <w:tcBorders>
              <w:top w:val="single" w:color="auto" w:sz="4" w:space="0"/>
              <w:left w:val="nil"/>
              <w:bottom w:val="single" w:color="auto" w:sz="4" w:space="0"/>
              <w:right w:val="single" w:color="auto" w:sz="4" w:space="0"/>
            </w:tcBorders>
            <w:noWrap w:val="0"/>
            <w:vAlign w:val="center"/>
          </w:tcPr>
          <w:p w14:paraId="091E225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526" w:type="dxa"/>
            <w:tcBorders>
              <w:top w:val="single" w:color="auto" w:sz="4" w:space="0"/>
              <w:left w:val="nil"/>
              <w:bottom w:val="single" w:color="auto" w:sz="4" w:space="0"/>
              <w:right w:val="single" w:color="auto" w:sz="4" w:space="0"/>
            </w:tcBorders>
            <w:noWrap w:val="0"/>
            <w:vAlign w:val="center"/>
          </w:tcPr>
          <w:p w14:paraId="420B56E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技术参数</w:t>
            </w:r>
          </w:p>
        </w:tc>
      </w:tr>
      <w:tr w14:paraId="1867A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22" w:type="dxa"/>
            <w:vMerge w:val="continue"/>
            <w:tcBorders>
              <w:top w:val="nil"/>
              <w:left w:val="single" w:color="auto" w:sz="4" w:space="0"/>
              <w:bottom w:val="single" w:color="auto" w:sz="4" w:space="0"/>
              <w:right w:val="single" w:color="auto" w:sz="4" w:space="0"/>
            </w:tcBorders>
            <w:noWrap w:val="0"/>
            <w:vAlign w:val="center"/>
          </w:tcPr>
          <w:p w14:paraId="5D7342FC">
            <w:pPr>
              <w:widowControl/>
              <w:jc w:val="left"/>
              <w:rPr>
                <w:rFonts w:hint="eastAsia" w:ascii="宋体" w:hAnsi="宋体" w:eastAsia="宋体" w:cs="宋体"/>
                <w:color w:val="auto"/>
                <w:sz w:val="28"/>
                <w:szCs w:val="28"/>
                <w:highlight w:val="none"/>
              </w:rPr>
            </w:pPr>
          </w:p>
        </w:tc>
        <w:tc>
          <w:tcPr>
            <w:tcW w:w="389" w:type="dxa"/>
            <w:tcBorders>
              <w:top w:val="single" w:color="auto" w:sz="4" w:space="0"/>
              <w:left w:val="nil"/>
              <w:bottom w:val="single" w:color="auto" w:sz="4" w:space="0"/>
              <w:right w:val="single" w:color="auto" w:sz="4" w:space="0"/>
            </w:tcBorders>
            <w:noWrap w:val="0"/>
            <w:vAlign w:val="center"/>
          </w:tcPr>
          <w:p w14:paraId="191B36C7">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8"/>
                <w:highlight w:val="none"/>
              </w:rPr>
              <w:t>1</w:t>
            </w:r>
          </w:p>
        </w:tc>
        <w:tc>
          <w:tcPr>
            <w:tcW w:w="923" w:type="dxa"/>
            <w:tcBorders>
              <w:top w:val="single" w:color="auto" w:sz="4" w:space="0"/>
              <w:left w:val="nil"/>
              <w:bottom w:val="single" w:color="auto" w:sz="4" w:space="0"/>
              <w:right w:val="single" w:color="auto" w:sz="4" w:space="0"/>
            </w:tcBorders>
            <w:noWrap w:val="0"/>
            <w:vAlign w:val="center"/>
          </w:tcPr>
          <w:p w14:paraId="34FF9B7F">
            <w:pPr>
              <w:spacing w:line="26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柳城县乡镇新时代民政服务站项目</w:t>
            </w:r>
          </w:p>
        </w:tc>
        <w:tc>
          <w:tcPr>
            <w:tcW w:w="977" w:type="dxa"/>
            <w:tcBorders>
              <w:top w:val="single" w:color="auto" w:sz="4" w:space="0"/>
              <w:left w:val="nil"/>
              <w:bottom w:val="single" w:color="auto" w:sz="4" w:space="0"/>
              <w:right w:val="single" w:color="auto" w:sz="4" w:space="0"/>
            </w:tcBorders>
            <w:noWrap w:val="0"/>
            <w:vAlign w:val="center"/>
          </w:tcPr>
          <w:p w14:paraId="234B53ED">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8"/>
                <w:highlight w:val="none"/>
                <w:lang w:val="en-US" w:eastAsia="zh-CN"/>
              </w:rPr>
              <w:t>1</w:t>
            </w:r>
            <w:r>
              <w:rPr>
                <w:rFonts w:hint="eastAsia" w:ascii="宋体" w:hAnsi="宋体" w:eastAsia="宋体" w:cs="宋体"/>
                <w:color w:val="auto"/>
                <w:sz w:val="22"/>
                <w:szCs w:val="28"/>
                <w:highlight w:val="none"/>
              </w:rPr>
              <w:t>项</w:t>
            </w:r>
          </w:p>
        </w:tc>
        <w:tc>
          <w:tcPr>
            <w:tcW w:w="7526" w:type="dxa"/>
            <w:tcBorders>
              <w:top w:val="single" w:color="auto" w:sz="4" w:space="0"/>
              <w:left w:val="nil"/>
              <w:bottom w:val="single" w:color="auto" w:sz="4" w:space="0"/>
              <w:right w:val="single" w:color="auto" w:sz="4" w:space="0"/>
            </w:tcBorders>
            <w:noWrap w:val="0"/>
            <w:vAlign w:val="top"/>
          </w:tcPr>
          <w:p w14:paraId="7B9A00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（一）关爱访视服务</w:t>
            </w:r>
          </w:p>
          <w:p w14:paraId="7362350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动辖区志愿者、“银发”志愿者等开展日常探访，收集服务对象的诉求和意见建议，对访视中群众需要解决的问题，民政服务站能解决的自行解决，解决不了的向乡镇政府和县民政局反映。服务对象名单由服务供应商对接柳城县民政局各相关业务股室获取。</w:t>
            </w:r>
          </w:p>
          <w:p w14:paraId="04EC6B3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城乡低保、低保边缘家庭和支出型困难家庭：新申请对象（包括审批通过和不通过）100%入户核查，主要核实户籍、家庭成员、家庭收入和财产等基本情况。在册对象每半年入户抽查不低于30%，每年抽查不低于60%，总数不低于10000人次。</w:t>
            </w:r>
          </w:p>
          <w:p w14:paraId="19F38B31">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散供养特困人员：为60岁以上分散供养特困人员提供探视服务，每月至少探访服务对象1次，探访形式可多样化，了解其基本生活情况、安全风险情况、照料服务和关爱保障情况，并根据实际情况提供资源链接等服务，一年探访总数不低于9000人次。</w:t>
            </w:r>
          </w:p>
          <w:p w14:paraId="082B3021">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3.享受困难残疾人生活补贴和重度残疾人护理补贴的对象：每半年至少探访1次，探访形式可多样化，一年探访总数不低于5600人次。</w:t>
            </w:r>
          </w:p>
          <w:p w14:paraId="079C61A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4.70周岁及以上独居、空巢老人：每半年至少上门探访服务对象1次，探访形式可多样化，一年探访总数不低于4000人次。</w:t>
            </w:r>
          </w:p>
          <w:p w14:paraId="736871A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5.居住在乡镇敬老院和农村幸福院的对象：每月至少上门探访服务对象及开展消防安全、食品安全、燃气安全、防范一氧化碳中毒、防火、防汛减灾等方面的排查1次。</w:t>
            </w:r>
          </w:p>
          <w:p w14:paraId="026AB2A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6.高龄老人（80周岁及以上）：完成高龄老人的生存认证系统初次建模，全年建模率达100%；开展高龄老人生存认证工作，每人每半年开展一次，每季度认证率不低于20%，年度总认证率达到90%以上。</w:t>
            </w:r>
          </w:p>
          <w:p w14:paraId="46E926B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孤儿、事实无人抚养儿童：每半年上门探访1次，全年总探访次数不低于200人次，主要了解儿童的监护情况、生活和学习情况（主要是就读学校和年级）、心理健康情况，了解事实无人抚养儿童父母的情况（对照事实无人抚养儿童的条件）是否有变化。</w:t>
            </w:r>
          </w:p>
          <w:p w14:paraId="37CEA71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8.回归稳固的流浪乞讨人员：上门探访当年回归稳固的流浪乞讨人员，每人每年不少于1次。</w:t>
            </w:r>
          </w:p>
          <w:p w14:paraId="16D1A5E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9.其他对象：根据上级要求适时安排。</w:t>
            </w:r>
          </w:p>
          <w:p w14:paraId="1B34E4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（二）关爱宣传服务</w:t>
            </w:r>
          </w:p>
          <w:p w14:paraId="24B05D22">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突发应急类服务。联合社区、物业等各方力量，共同构建网络化、全方位的应急响应体系。当服务对象发生意外、突发疾病等紧急情况时，迅速、有效地应对，保障群众的生命财产安全。要求每个乡镇建立志愿服务队1支，不少于2人；公示应急电话1个，服务记录本1本。</w:t>
            </w:r>
          </w:p>
          <w:p w14:paraId="67A2B4A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民政政策宣传服务。结合重阳节、清明节、儿童节等传统节日，开展多种形式的主题宣传活动，主要宣传党和国家的方针政策，民政及相关领域政策，老年人和儿童预防诈骗、健康养生等安全常识和法制教育，引导基层群众移风易俗、规范操办红白喜事，开展公益慈善活动等。要求印制民政政策宣传材料不少于6类，每类不少于600张，以印制样本及发放记录为准。通过公众号发文推送民政服务资讯及政策，不少于12篇；社区活动不少于12场，每次活动参与人员不少于30人。</w:t>
            </w:r>
          </w:p>
          <w:p w14:paraId="2D2E01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（三）创新特色服务</w:t>
            </w:r>
          </w:p>
          <w:p w14:paraId="557102E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根据服务对象特点，结合实际选择1-2项创新服务内容进行探索。</w:t>
            </w:r>
          </w:p>
          <w:p w14:paraId="180B9EC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1.心理健康辅导服务。通过心理讲座、个体咨询等方式，为需要的群众提供心理健康知识普及、心理健康疏导等服务。</w:t>
            </w:r>
          </w:p>
          <w:p w14:paraId="3172BBB1">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2.矛盾纠纷调解服务。配合社区作为对象矛盾纠纷的化解，保障服务对象的切身利益，帮助协调化解邻里矛盾、婚姻家庭、劳动争议等群众矛盾纠纷，开展家庭关系辅导等。</w:t>
            </w:r>
          </w:p>
          <w:p w14:paraId="559C862B">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3.法律援助服务。为群众免费提供相关法律咨询服务，接受群众提出的涉及切身利益的有关政策和法律法规咨询，帮助协调相关职能部门给予解答。</w:t>
            </w:r>
          </w:p>
          <w:p w14:paraId="6065A8E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4.家庭赋能服务。为失能半失能老人家庭、儿童寄养家庭等提供家庭成员或照顾者的护理技能培训，如日常生活照料、基础医疗知识等。</w:t>
            </w:r>
          </w:p>
          <w:p w14:paraId="7EBACAE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5.其他创新特色服务。为民政服务对象及有需要困难群众链接资源，积极创新、大胆探索各类创新服务。探索搭建资源平台，为散居特困人员提供各类转介服务,如送医、助餐、助浴等。</w:t>
            </w:r>
          </w:p>
          <w:p w14:paraId="300C66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（四）其他服务</w:t>
            </w:r>
          </w:p>
          <w:p w14:paraId="5E3B0BCB">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链接银龄志愿服务资源。将银龄志愿服务团作为民政服务基层的有生力量，搭建银龄志愿者服务平台，吸引更多银龄志愿者参与社区服务，为民政服务对象提供帮助。对银龄志愿者进行培训和指导，提高其服务能力和水平，助力老年友好型社区建设。建立银龄志愿服务团1个，招募志愿者不少于10人，围绕“一老一小”开展志愿服务活动不少于24场。</w:t>
            </w:r>
          </w:p>
          <w:p w14:paraId="50082042">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助力全国救助管理区域性中心试点工作任务。以民政服务站为平台，为流浪乞讨人员提供救助物资，引导需要救助的服务对象到救助管理机构或民政部门进行救助，推动市、县、乡、村“四级联动”机制有效运行。民政服务站中，设置有流浪乞讨救助服务点1个，服务点设有休息饮水区，并提供救助引导卡。</w:t>
            </w:r>
          </w:p>
          <w:p w14:paraId="046F624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3.配合做好乡镇慈善工作。指导村（社区）发展社区慈善。</w:t>
            </w:r>
          </w:p>
          <w:p w14:paraId="1AC4461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4.指导社会组织工作。指导乡镇依托社会组织孵化基地培育发展社会组织10个以上，指导社会组织发挥作用、开展社区服务；协助做好社会组织年检工作。</w:t>
            </w:r>
          </w:p>
          <w:p w14:paraId="0E688F7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殡葬领域服务：每月完成县区、12个乡镇和2个华侨管理区移风易俗宣传一次，每次发放宣传单至少30份。清明节前需要完成12个乡镇、2个华侨管理区（139个村、社区张贴清明节倡议书和移风易俗倡议书），1个县区内指定地方张贴和悬挂横幅。</w:t>
            </w:r>
          </w:p>
          <w:p w14:paraId="015FC3A5">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区划地名服务：积极发动和引导群众依托“乡村著名行动”微信小程序自主采集上传寄递物流综合服务站、村邮站、农家乐、采摘园、景区、经营类型超市、商铺商店、酒店等兴趣点，提高图上地名感知度和活跃度。一年兴趣点采集量不低于1000个。</w:t>
            </w:r>
          </w:p>
          <w:p w14:paraId="1D9C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（五）站点建设要求</w:t>
            </w:r>
          </w:p>
          <w:p w14:paraId="6A96B5A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1.制作新时代民政服务站标识牌，并安装在显眼、易见位置。要求规范名称为“柳城县XX乡镇新时代民政服务站”，标识牌包含“中国民政”全国统一标识元素。打造5个民政服务站示范站点。</w:t>
            </w:r>
          </w:p>
          <w:p w14:paraId="6F98AE5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2.建立新时代民政工作站工作职责、服务流程、服务项目简介等，含“柳小明”元素。</w:t>
            </w:r>
          </w:p>
          <w:p w14:paraId="6C7CA1F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3.站点专职工作人员不少于2名，以中青年为主，中专（高中）及以上学历，男女不限，熟悉民政业务。</w:t>
            </w:r>
          </w:p>
        </w:tc>
      </w:tr>
      <w:tr w14:paraId="07D2A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0237" w:type="dxa"/>
            <w:gridSpan w:val="5"/>
            <w:tcBorders>
              <w:top w:val="single" w:color="auto" w:sz="4" w:space="0"/>
              <w:left w:val="single" w:color="auto" w:sz="4" w:space="0"/>
              <w:bottom w:val="single" w:color="auto" w:sz="4" w:space="0"/>
              <w:right w:val="single" w:color="auto" w:sz="4" w:space="0"/>
            </w:tcBorders>
            <w:noWrap w:val="0"/>
            <w:vAlign w:val="center"/>
          </w:tcPr>
          <w:p w14:paraId="0943A9C0">
            <w:pPr>
              <w:spacing w:line="260" w:lineRule="exact"/>
              <w:jc w:val="left"/>
              <w:rPr>
                <w:rFonts w:hint="eastAsia" w:ascii="宋体" w:hAnsi="宋体" w:eastAsia="宋体" w:cs="宋体"/>
                <w:color w:val="auto"/>
                <w:sz w:val="22"/>
                <w:szCs w:val="28"/>
                <w:highlight w:val="none"/>
              </w:rPr>
            </w:pPr>
            <w:r>
              <w:rPr>
                <w:rFonts w:hint="eastAsia" w:ascii="宋体" w:hAnsi="宋体" w:eastAsia="宋体" w:cs="宋体"/>
                <w:b/>
                <w:bCs/>
                <w:color w:val="auto"/>
                <w:sz w:val="22"/>
                <w:szCs w:val="28"/>
                <w:highlight w:val="none"/>
              </w:rPr>
              <w:t>▲商务条款</w:t>
            </w:r>
          </w:p>
        </w:tc>
      </w:tr>
      <w:tr w14:paraId="100FD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711" w:type="dxa"/>
            <w:gridSpan w:val="4"/>
            <w:tcBorders>
              <w:top w:val="single" w:color="auto" w:sz="4" w:space="0"/>
              <w:left w:val="single" w:color="auto" w:sz="4" w:space="0"/>
              <w:bottom w:val="single" w:color="auto" w:sz="4" w:space="0"/>
              <w:right w:val="single" w:color="auto" w:sz="4" w:space="0"/>
            </w:tcBorders>
            <w:noWrap w:val="0"/>
            <w:vAlign w:val="center"/>
          </w:tcPr>
          <w:p w14:paraId="0FABF266">
            <w:pPr>
              <w:spacing w:line="260" w:lineRule="exact"/>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一、合同签订期</w:t>
            </w:r>
          </w:p>
        </w:tc>
        <w:tc>
          <w:tcPr>
            <w:tcW w:w="7526" w:type="dxa"/>
            <w:tcBorders>
              <w:top w:val="single" w:color="auto" w:sz="4" w:space="0"/>
              <w:left w:val="single" w:color="auto" w:sz="4" w:space="0"/>
              <w:bottom w:val="single" w:color="auto" w:sz="4" w:space="0"/>
              <w:right w:val="single" w:color="auto" w:sz="4" w:space="0"/>
            </w:tcBorders>
            <w:noWrap w:val="0"/>
            <w:vAlign w:val="center"/>
          </w:tcPr>
          <w:p w14:paraId="5384106B">
            <w:pPr>
              <w:spacing w:line="260" w:lineRule="exact"/>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自</w:t>
            </w:r>
            <w:r>
              <w:rPr>
                <w:rFonts w:hint="eastAsia" w:ascii="宋体" w:hAnsi="宋体" w:eastAsia="宋体" w:cs="宋体"/>
                <w:color w:val="auto"/>
                <w:sz w:val="22"/>
                <w:szCs w:val="28"/>
                <w:highlight w:val="none"/>
                <w:lang w:val="en-US" w:eastAsia="zh-CN"/>
              </w:rPr>
              <w:t>成交</w:t>
            </w:r>
            <w:r>
              <w:rPr>
                <w:rFonts w:hint="eastAsia" w:ascii="宋体" w:hAnsi="宋体" w:eastAsia="宋体" w:cs="宋体"/>
                <w:color w:val="auto"/>
                <w:sz w:val="22"/>
                <w:szCs w:val="28"/>
                <w:highlight w:val="none"/>
              </w:rPr>
              <w:t>通知书发出之日起 25 日内</w:t>
            </w:r>
            <w:r>
              <w:rPr>
                <w:rFonts w:hint="eastAsia" w:ascii="宋体" w:hAnsi="宋体" w:eastAsia="宋体" w:cs="宋体"/>
                <w:color w:val="auto"/>
                <w:sz w:val="22"/>
                <w:szCs w:val="28"/>
                <w:highlight w:val="none"/>
                <w:lang w:eastAsia="zh-CN"/>
              </w:rPr>
              <w:t>。</w:t>
            </w:r>
          </w:p>
        </w:tc>
      </w:tr>
      <w:tr w14:paraId="17BA5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711" w:type="dxa"/>
            <w:gridSpan w:val="4"/>
            <w:tcBorders>
              <w:top w:val="single" w:color="auto" w:sz="4" w:space="0"/>
              <w:left w:val="single" w:color="auto" w:sz="4" w:space="0"/>
              <w:bottom w:val="single" w:color="auto" w:sz="4" w:space="0"/>
              <w:right w:val="single" w:color="auto" w:sz="4" w:space="0"/>
            </w:tcBorders>
            <w:noWrap w:val="0"/>
            <w:vAlign w:val="center"/>
          </w:tcPr>
          <w:p w14:paraId="5B334A13">
            <w:pPr>
              <w:spacing w:line="260" w:lineRule="exact"/>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二、服务期</w:t>
            </w:r>
          </w:p>
        </w:tc>
        <w:tc>
          <w:tcPr>
            <w:tcW w:w="7526" w:type="dxa"/>
            <w:tcBorders>
              <w:top w:val="single" w:color="auto" w:sz="4" w:space="0"/>
              <w:left w:val="single" w:color="auto" w:sz="4" w:space="0"/>
              <w:bottom w:val="single" w:color="auto" w:sz="4" w:space="0"/>
              <w:right w:val="single" w:color="auto" w:sz="4" w:space="0"/>
            </w:tcBorders>
            <w:noWrap w:val="0"/>
            <w:vAlign w:val="center"/>
          </w:tcPr>
          <w:p w14:paraId="338170AB">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1年，具体起止日期以合同约定为准。</w:t>
            </w:r>
          </w:p>
        </w:tc>
      </w:tr>
      <w:tr w14:paraId="0D98D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711" w:type="dxa"/>
            <w:gridSpan w:val="4"/>
            <w:tcBorders>
              <w:top w:val="single" w:color="auto" w:sz="4" w:space="0"/>
              <w:left w:val="single" w:color="auto" w:sz="4" w:space="0"/>
              <w:bottom w:val="single" w:color="auto" w:sz="4" w:space="0"/>
              <w:right w:val="single" w:color="auto" w:sz="4" w:space="0"/>
            </w:tcBorders>
            <w:noWrap w:val="0"/>
            <w:vAlign w:val="center"/>
          </w:tcPr>
          <w:p w14:paraId="6EE24498">
            <w:pPr>
              <w:spacing w:line="260" w:lineRule="exact"/>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三、服务地点</w:t>
            </w:r>
          </w:p>
        </w:tc>
        <w:tc>
          <w:tcPr>
            <w:tcW w:w="7526" w:type="dxa"/>
            <w:tcBorders>
              <w:top w:val="single" w:color="auto" w:sz="4" w:space="0"/>
              <w:left w:val="single" w:color="auto" w:sz="4" w:space="0"/>
              <w:bottom w:val="single" w:color="auto" w:sz="4" w:space="0"/>
              <w:right w:val="single" w:color="auto" w:sz="4" w:space="0"/>
            </w:tcBorders>
            <w:noWrap w:val="0"/>
            <w:vAlign w:val="center"/>
          </w:tcPr>
          <w:p w14:paraId="61D3DF85">
            <w:pPr>
              <w:spacing w:line="360" w:lineRule="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柳城县12个乡镇</w:t>
            </w:r>
          </w:p>
        </w:tc>
      </w:tr>
      <w:tr w14:paraId="103FC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711" w:type="dxa"/>
            <w:gridSpan w:val="4"/>
            <w:tcBorders>
              <w:top w:val="single" w:color="auto" w:sz="4" w:space="0"/>
              <w:left w:val="single" w:color="auto" w:sz="4" w:space="0"/>
              <w:bottom w:val="single" w:color="auto" w:sz="4" w:space="0"/>
              <w:right w:val="single" w:color="auto" w:sz="4" w:space="0"/>
            </w:tcBorders>
            <w:noWrap w:val="0"/>
            <w:vAlign w:val="center"/>
          </w:tcPr>
          <w:p w14:paraId="645598C5">
            <w:pPr>
              <w:spacing w:line="260" w:lineRule="exact"/>
              <w:jc w:val="left"/>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四、</w:t>
            </w:r>
            <w:r>
              <w:rPr>
                <w:rFonts w:hint="eastAsia" w:ascii="宋体" w:hAnsi="宋体" w:cs="宋体"/>
                <w:color w:val="auto"/>
                <w:sz w:val="22"/>
                <w:szCs w:val="28"/>
                <w:highlight w:val="none"/>
                <w:lang w:val="en-US" w:eastAsia="zh-CN"/>
              </w:rPr>
              <w:t>项目评估</w:t>
            </w:r>
          </w:p>
        </w:tc>
        <w:tc>
          <w:tcPr>
            <w:tcW w:w="7526" w:type="dxa"/>
            <w:tcBorders>
              <w:top w:val="single" w:color="auto" w:sz="4" w:space="0"/>
              <w:left w:val="single" w:color="auto" w:sz="4" w:space="0"/>
              <w:bottom w:val="single" w:color="auto" w:sz="4" w:space="0"/>
              <w:right w:val="single" w:color="auto" w:sz="4" w:space="0"/>
            </w:tcBorders>
            <w:noWrap w:val="0"/>
            <w:vAlign w:val="center"/>
          </w:tcPr>
          <w:p w14:paraId="77186E6D">
            <w:pPr>
              <w:spacing w:line="360" w:lineRule="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工作结束后7个工作日内，</w:t>
            </w:r>
            <w:r>
              <w:rPr>
                <w:rFonts w:hint="eastAsia" w:ascii="宋体" w:hAnsi="宋体" w:cs="宋体"/>
                <w:color w:val="auto"/>
                <w:sz w:val="22"/>
                <w:szCs w:val="28"/>
                <w:highlight w:val="none"/>
                <w:lang w:val="en-US" w:eastAsia="zh-CN"/>
              </w:rPr>
              <w:t>柳城</w:t>
            </w:r>
            <w:r>
              <w:rPr>
                <w:rFonts w:hint="eastAsia" w:ascii="宋体" w:hAnsi="宋体" w:eastAsia="宋体" w:cs="宋体"/>
                <w:color w:val="auto"/>
                <w:sz w:val="22"/>
                <w:szCs w:val="28"/>
                <w:highlight w:val="none"/>
                <w:lang w:eastAsia="zh-CN"/>
              </w:rPr>
              <w:t>县民政局将成立自评小组对项目进行评估，形成评估意见。</w:t>
            </w:r>
          </w:p>
        </w:tc>
      </w:tr>
      <w:tr w14:paraId="03B83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711" w:type="dxa"/>
            <w:gridSpan w:val="4"/>
            <w:tcBorders>
              <w:top w:val="single" w:color="auto" w:sz="4" w:space="0"/>
              <w:left w:val="single" w:color="auto" w:sz="4" w:space="0"/>
              <w:bottom w:val="single" w:color="auto" w:sz="4" w:space="0"/>
              <w:right w:val="single" w:color="auto" w:sz="4" w:space="0"/>
            </w:tcBorders>
            <w:noWrap w:val="0"/>
            <w:vAlign w:val="center"/>
          </w:tcPr>
          <w:p w14:paraId="293579F0">
            <w:pPr>
              <w:spacing w:line="260" w:lineRule="exact"/>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五、售后服务要求</w:t>
            </w:r>
          </w:p>
        </w:tc>
        <w:tc>
          <w:tcPr>
            <w:tcW w:w="7526" w:type="dxa"/>
            <w:tcBorders>
              <w:top w:val="single" w:color="auto" w:sz="4" w:space="0"/>
              <w:left w:val="single" w:color="auto" w:sz="4" w:space="0"/>
              <w:bottom w:val="single" w:color="auto" w:sz="4" w:space="0"/>
              <w:right w:val="single" w:color="auto" w:sz="4" w:space="0"/>
            </w:tcBorders>
            <w:noWrap w:val="0"/>
            <w:vAlign w:val="center"/>
          </w:tcPr>
          <w:p w14:paraId="1D31F449">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服务期间，接到采购人处理问题通知后4小时内到达采购人指定地点。</w:t>
            </w:r>
          </w:p>
        </w:tc>
      </w:tr>
      <w:tr w14:paraId="7E45F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711" w:type="dxa"/>
            <w:gridSpan w:val="4"/>
            <w:tcBorders>
              <w:top w:val="single" w:color="auto" w:sz="4" w:space="0"/>
              <w:left w:val="single" w:color="auto" w:sz="4" w:space="0"/>
              <w:bottom w:val="single" w:color="auto" w:sz="4" w:space="0"/>
              <w:right w:val="single" w:color="auto" w:sz="4" w:space="0"/>
            </w:tcBorders>
            <w:noWrap w:val="0"/>
            <w:vAlign w:val="center"/>
          </w:tcPr>
          <w:p w14:paraId="6E9CF2C1">
            <w:pPr>
              <w:spacing w:line="260" w:lineRule="exact"/>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六、付款方式</w:t>
            </w:r>
          </w:p>
        </w:tc>
        <w:tc>
          <w:tcPr>
            <w:tcW w:w="7526" w:type="dxa"/>
            <w:tcBorders>
              <w:top w:val="single" w:color="auto" w:sz="4" w:space="0"/>
              <w:left w:val="single" w:color="auto" w:sz="4" w:space="0"/>
              <w:bottom w:val="single" w:color="auto" w:sz="4" w:space="0"/>
              <w:right w:val="single" w:color="auto" w:sz="4" w:space="0"/>
            </w:tcBorders>
            <w:noWrap w:val="0"/>
            <w:vAlign w:val="center"/>
          </w:tcPr>
          <w:p w14:paraId="0A329C38">
            <w:pPr>
              <w:numPr>
                <w:ilvl w:val="0"/>
                <w:numId w:val="0"/>
              </w:num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本合同签订后10个工作日内，</w:t>
            </w:r>
            <w:r>
              <w:rPr>
                <w:rFonts w:hint="eastAsia" w:ascii="宋体" w:hAnsi="宋体" w:cs="宋体"/>
                <w:color w:val="auto"/>
                <w:sz w:val="22"/>
                <w:szCs w:val="28"/>
                <w:highlight w:val="none"/>
                <w:lang w:val="en-US" w:eastAsia="zh-CN"/>
              </w:rPr>
              <w:t>采购人</w:t>
            </w:r>
            <w:r>
              <w:rPr>
                <w:rFonts w:hint="eastAsia" w:ascii="宋体" w:hAnsi="宋体" w:eastAsia="宋体" w:cs="宋体"/>
                <w:color w:val="auto"/>
                <w:sz w:val="22"/>
                <w:szCs w:val="28"/>
                <w:highlight w:val="none"/>
              </w:rPr>
              <w:t>支付给</w:t>
            </w:r>
            <w:r>
              <w:rPr>
                <w:rFonts w:hint="eastAsia" w:ascii="宋体" w:hAnsi="宋体" w:cs="宋体"/>
                <w:color w:val="auto"/>
                <w:sz w:val="22"/>
                <w:szCs w:val="28"/>
                <w:highlight w:val="none"/>
                <w:lang w:val="en-US" w:eastAsia="zh-CN"/>
              </w:rPr>
              <w:t>成交供应商</w:t>
            </w:r>
            <w:r>
              <w:rPr>
                <w:rFonts w:hint="eastAsia" w:ascii="宋体" w:hAnsi="宋体" w:eastAsia="宋体" w:cs="宋体"/>
                <w:color w:val="auto"/>
                <w:sz w:val="22"/>
                <w:szCs w:val="28"/>
                <w:highlight w:val="none"/>
              </w:rPr>
              <w:t>合同总金额的25%作为项目启动款，余下的75%项目款分3次平均拨付，拨付时间分别为：</w:t>
            </w:r>
            <w:r>
              <w:rPr>
                <w:rFonts w:hint="eastAsia" w:ascii="宋体" w:hAnsi="宋体" w:cs="宋体"/>
                <w:color w:val="auto"/>
                <w:sz w:val="22"/>
                <w:szCs w:val="28"/>
                <w:highlight w:val="none"/>
                <w:lang w:val="en-US" w:eastAsia="zh-CN"/>
              </w:rPr>
              <w:t>2025</w:t>
            </w:r>
            <w:r>
              <w:rPr>
                <w:rFonts w:hint="eastAsia" w:ascii="宋体" w:hAnsi="宋体" w:eastAsia="宋体" w:cs="宋体"/>
                <w:color w:val="auto"/>
                <w:sz w:val="22"/>
                <w:szCs w:val="28"/>
                <w:highlight w:val="none"/>
              </w:rPr>
              <w:t>年</w:t>
            </w:r>
            <w:r>
              <w:rPr>
                <w:rFonts w:hint="eastAsia" w:ascii="宋体" w:hAnsi="宋体" w:cs="宋体"/>
                <w:color w:val="auto"/>
                <w:sz w:val="22"/>
                <w:szCs w:val="28"/>
                <w:highlight w:val="none"/>
                <w:lang w:val="en-US" w:eastAsia="zh-CN"/>
              </w:rPr>
              <w:t>12</w:t>
            </w:r>
            <w:r>
              <w:rPr>
                <w:rFonts w:hint="eastAsia" w:ascii="宋体" w:hAnsi="宋体" w:eastAsia="宋体" w:cs="宋体"/>
                <w:color w:val="auto"/>
                <w:sz w:val="22"/>
                <w:szCs w:val="28"/>
                <w:highlight w:val="none"/>
              </w:rPr>
              <w:t>月</w:t>
            </w:r>
            <w:r>
              <w:rPr>
                <w:rFonts w:hint="eastAsia" w:ascii="宋体" w:hAnsi="宋体" w:cs="宋体"/>
                <w:color w:val="auto"/>
                <w:sz w:val="22"/>
                <w:szCs w:val="28"/>
                <w:highlight w:val="none"/>
                <w:lang w:val="en-US" w:eastAsia="zh-CN"/>
              </w:rPr>
              <w:t>28</w:t>
            </w:r>
            <w:r>
              <w:rPr>
                <w:rFonts w:hint="eastAsia" w:ascii="宋体" w:hAnsi="宋体" w:eastAsia="宋体" w:cs="宋体"/>
                <w:color w:val="auto"/>
                <w:sz w:val="22"/>
                <w:szCs w:val="28"/>
                <w:highlight w:val="none"/>
              </w:rPr>
              <w:t>日、202</w:t>
            </w:r>
            <w:r>
              <w:rPr>
                <w:rFonts w:hint="eastAsia" w:ascii="宋体" w:hAnsi="宋体" w:cs="宋体"/>
                <w:color w:val="auto"/>
                <w:sz w:val="22"/>
                <w:szCs w:val="28"/>
                <w:highlight w:val="none"/>
                <w:lang w:val="en-US" w:eastAsia="zh-CN"/>
              </w:rPr>
              <w:t>6</w:t>
            </w:r>
            <w:r>
              <w:rPr>
                <w:rFonts w:hint="eastAsia" w:ascii="宋体" w:hAnsi="宋体" w:eastAsia="宋体" w:cs="宋体"/>
                <w:color w:val="auto"/>
                <w:sz w:val="22"/>
                <w:szCs w:val="28"/>
                <w:highlight w:val="none"/>
              </w:rPr>
              <w:t>年</w:t>
            </w:r>
            <w:r>
              <w:rPr>
                <w:rFonts w:hint="eastAsia" w:ascii="宋体" w:hAnsi="宋体" w:cs="宋体"/>
                <w:color w:val="auto"/>
                <w:sz w:val="22"/>
                <w:szCs w:val="28"/>
                <w:highlight w:val="none"/>
                <w:lang w:val="en-US" w:eastAsia="zh-CN"/>
              </w:rPr>
              <w:t>3</w:t>
            </w:r>
            <w:r>
              <w:rPr>
                <w:rFonts w:hint="eastAsia" w:ascii="宋体" w:hAnsi="宋体" w:eastAsia="宋体" w:cs="宋体"/>
                <w:color w:val="auto"/>
                <w:sz w:val="22"/>
                <w:szCs w:val="28"/>
                <w:highlight w:val="none"/>
              </w:rPr>
              <w:t>月</w:t>
            </w:r>
            <w:r>
              <w:rPr>
                <w:rFonts w:hint="eastAsia" w:ascii="宋体" w:hAnsi="宋体" w:cs="宋体"/>
                <w:color w:val="auto"/>
                <w:sz w:val="22"/>
                <w:szCs w:val="28"/>
                <w:highlight w:val="none"/>
                <w:lang w:val="en-US" w:eastAsia="zh-CN"/>
              </w:rPr>
              <w:t>28日</w:t>
            </w:r>
            <w:r>
              <w:rPr>
                <w:rFonts w:hint="eastAsia" w:ascii="宋体" w:hAnsi="宋体" w:eastAsia="宋体" w:cs="宋体"/>
                <w:color w:val="auto"/>
                <w:sz w:val="22"/>
                <w:szCs w:val="28"/>
                <w:highlight w:val="none"/>
              </w:rPr>
              <w:t>、202</w:t>
            </w:r>
            <w:r>
              <w:rPr>
                <w:rFonts w:hint="eastAsia" w:ascii="宋体" w:hAnsi="宋体" w:cs="宋体"/>
                <w:color w:val="auto"/>
                <w:sz w:val="22"/>
                <w:szCs w:val="28"/>
                <w:highlight w:val="none"/>
                <w:lang w:val="en-US" w:eastAsia="zh-CN"/>
              </w:rPr>
              <w:t>6</w:t>
            </w:r>
            <w:r>
              <w:rPr>
                <w:rFonts w:hint="eastAsia" w:ascii="宋体" w:hAnsi="宋体" w:eastAsia="宋体" w:cs="宋体"/>
                <w:color w:val="auto"/>
                <w:sz w:val="22"/>
                <w:szCs w:val="28"/>
                <w:highlight w:val="none"/>
              </w:rPr>
              <w:t>年</w:t>
            </w:r>
            <w:r>
              <w:rPr>
                <w:rFonts w:hint="eastAsia" w:ascii="宋体" w:hAnsi="宋体" w:cs="宋体"/>
                <w:color w:val="auto"/>
                <w:sz w:val="22"/>
                <w:szCs w:val="28"/>
                <w:highlight w:val="none"/>
                <w:lang w:val="en-US" w:eastAsia="zh-CN"/>
              </w:rPr>
              <w:t>6</w:t>
            </w:r>
            <w:r>
              <w:rPr>
                <w:rFonts w:hint="eastAsia" w:ascii="宋体" w:hAnsi="宋体" w:eastAsia="宋体" w:cs="宋体"/>
                <w:color w:val="auto"/>
                <w:sz w:val="22"/>
                <w:szCs w:val="28"/>
                <w:highlight w:val="none"/>
              </w:rPr>
              <w:t>月28日前拨付。若</w:t>
            </w:r>
            <w:r>
              <w:rPr>
                <w:rFonts w:hint="eastAsia" w:ascii="宋体" w:hAnsi="宋体" w:cs="宋体"/>
                <w:color w:val="auto"/>
                <w:sz w:val="22"/>
                <w:szCs w:val="28"/>
                <w:highlight w:val="none"/>
                <w:lang w:val="en-US" w:eastAsia="zh-CN"/>
              </w:rPr>
              <w:t>采购人</w:t>
            </w:r>
            <w:r>
              <w:rPr>
                <w:rFonts w:hint="eastAsia" w:ascii="宋体" w:hAnsi="宋体" w:eastAsia="宋体" w:cs="宋体"/>
                <w:color w:val="auto"/>
                <w:sz w:val="22"/>
                <w:szCs w:val="28"/>
                <w:highlight w:val="none"/>
              </w:rPr>
              <w:t>遇到特殊情况不能按季拨付经费的，</w:t>
            </w:r>
            <w:r>
              <w:rPr>
                <w:rFonts w:hint="eastAsia" w:ascii="宋体" w:hAnsi="宋体" w:cs="宋体"/>
                <w:color w:val="auto"/>
                <w:sz w:val="22"/>
                <w:szCs w:val="28"/>
                <w:highlight w:val="none"/>
                <w:lang w:val="en-US" w:eastAsia="zh-CN"/>
              </w:rPr>
              <w:t>采购人</w:t>
            </w:r>
            <w:r>
              <w:rPr>
                <w:rFonts w:hint="eastAsia" w:ascii="宋体" w:hAnsi="宋体" w:eastAsia="宋体" w:cs="宋体"/>
                <w:color w:val="auto"/>
                <w:sz w:val="22"/>
                <w:szCs w:val="28"/>
                <w:highlight w:val="none"/>
              </w:rPr>
              <w:t>和</w:t>
            </w:r>
            <w:r>
              <w:rPr>
                <w:rFonts w:hint="eastAsia" w:ascii="宋体" w:hAnsi="宋体" w:cs="宋体"/>
                <w:color w:val="auto"/>
                <w:sz w:val="22"/>
                <w:szCs w:val="28"/>
                <w:highlight w:val="none"/>
                <w:lang w:val="en-US" w:eastAsia="zh-CN"/>
              </w:rPr>
              <w:t>成交供应商</w:t>
            </w:r>
            <w:r>
              <w:rPr>
                <w:rFonts w:hint="eastAsia" w:ascii="宋体" w:hAnsi="宋体" w:eastAsia="宋体" w:cs="宋体"/>
                <w:color w:val="auto"/>
                <w:sz w:val="22"/>
                <w:szCs w:val="28"/>
                <w:highlight w:val="none"/>
              </w:rPr>
              <w:t>可协商按月拨付经费，保障项目工作人员的基本工资。当工作人员存在缺岗时，按照当月实际工作天数计算工资。</w:t>
            </w:r>
          </w:p>
        </w:tc>
      </w:tr>
      <w:tr w14:paraId="36677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711" w:type="dxa"/>
            <w:gridSpan w:val="4"/>
            <w:tcBorders>
              <w:top w:val="single" w:color="auto" w:sz="4" w:space="0"/>
              <w:left w:val="single" w:color="auto" w:sz="4" w:space="0"/>
              <w:bottom w:val="single" w:color="auto" w:sz="4" w:space="0"/>
              <w:right w:val="single" w:color="auto" w:sz="4" w:space="0"/>
            </w:tcBorders>
            <w:noWrap w:val="0"/>
            <w:vAlign w:val="center"/>
          </w:tcPr>
          <w:p w14:paraId="25D206E5">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七、其他要求</w:t>
            </w:r>
          </w:p>
        </w:tc>
        <w:tc>
          <w:tcPr>
            <w:tcW w:w="7526" w:type="dxa"/>
            <w:tcBorders>
              <w:top w:val="single" w:color="auto" w:sz="4" w:space="0"/>
              <w:left w:val="single" w:color="auto" w:sz="4" w:space="0"/>
              <w:bottom w:val="single" w:color="auto" w:sz="4" w:space="0"/>
              <w:right w:val="single" w:color="auto" w:sz="4" w:space="0"/>
            </w:tcBorders>
            <w:noWrap w:val="0"/>
            <w:vAlign w:val="center"/>
          </w:tcPr>
          <w:p w14:paraId="013312E6">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w:t>
            </w:r>
            <w:r>
              <w:rPr>
                <w:rFonts w:hint="eastAsia" w:ascii="宋体" w:hAnsi="宋体" w:eastAsia="宋体" w:cs="宋体"/>
                <w:color w:val="auto"/>
                <w:sz w:val="22"/>
                <w:szCs w:val="28"/>
                <w:highlight w:val="none"/>
                <w:lang w:val="en-US" w:eastAsia="zh-CN"/>
              </w:rPr>
              <w:t>.</w:t>
            </w:r>
            <w:r>
              <w:rPr>
                <w:rFonts w:hint="eastAsia" w:ascii="宋体" w:hAnsi="宋体" w:eastAsia="宋体" w:cs="宋体"/>
                <w:color w:val="auto"/>
                <w:sz w:val="22"/>
                <w:szCs w:val="28"/>
                <w:highlight w:val="none"/>
              </w:rPr>
              <w:t>报价须含（但不限于）以下部分：</w:t>
            </w:r>
          </w:p>
          <w:p w14:paraId="55A8F586">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（1）服务的价格；</w:t>
            </w:r>
          </w:p>
          <w:p w14:paraId="48BCCAAB">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（2）必要的保险费用和各项税金；</w:t>
            </w:r>
          </w:p>
          <w:p w14:paraId="69BE397D">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（3）项目技术服务费、人工、交通、通讯、办公费等；</w:t>
            </w:r>
          </w:p>
          <w:p w14:paraId="5A7C907C">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（4）其他费用（如培训、技术支持、售后服务等及实施过程中的应预见和不可预见的）。</w:t>
            </w:r>
          </w:p>
          <w:p w14:paraId="7C18087C">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w:t>
            </w:r>
            <w:r>
              <w:rPr>
                <w:rFonts w:hint="eastAsia" w:ascii="宋体" w:hAnsi="宋体" w:eastAsia="宋体" w:cs="宋体"/>
                <w:color w:val="auto"/>
                <w:sz w:val="22"/>
                <w:szCs w:val="28"/>
                <w:highlight w:val="none"/>
                <w:lang w:val="en-US" w:eastAsia="zh-CN"/>
              </w:rPr>
              <w:t>.</w:t>
            </w:r>
            <w:r>
              <w:rPr>
                <w:rFonts w:hint="eastAsia" w:ascii="宋体" w:hAnsi="宋体" w:eastAsia="宋体" w:cs="宋体"/>
                <w:color w:val="auto"/>
                <w:sz w:val="22"/>
                <w:szCs w:val="28"/>
                <w:highlight w:val="none"/>
              </w:rPr>
              <w:t>本项目实行费用包干制，磋商报价包含完成上述服务内容所需的一切费用。供应商实施项目工作期间如出现人员人身、财产安全事故、损失等由供应商全部负责，采购人不负任何责任。</w:t>
            </w:r>
          </w:p>
          <w:p w14:paraId="07CB6DF2">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w:t>
            </w:r>
            <w:r>
              <w:rPr>
                <w:rFonts w:hint="eastAsia" w:ascii="宋体" w:hAnsi="宋体" w:eastAsia="宋体" w:cs="宋体"/>
                <w:color w:val="auto"/>
                <w:sz w:val="22"/>
                <w:szCs w:val="28"/>
                <w:highlight w:val="none"/>
                <w:lang w:val="en-US" w:eastAsia="zh-CN"/>
              </w:rPr>
              <w:t>.</w:t>
            </w:r>
            <w:r>
              <w:rPr>
                <w:rFonts w:hint="eastAsia" w:ascii="宋体" w:hAnsi="宋体" w:eastAsia="宋体" w:cs="宋体"/>
                <w:color w:val="auto"/>
                <w:sz w:val="22"/>
                <w:szCs w:val="28"/>
                <w:highlight w:val="none"/>
              </w:rPr>
              <w:t>供应商应通过简报或者报告等多种形式定期向采购人汇报执行情况，分类保存项目执行过程中的文本、照片、和音像等资料</w:t>
            </w:r>
          </w:p>
          <w:p w14:paraId="542474A2">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4</w:t>
            </w:r>
            <w:r>
              <w:rPr>
                <w:rFonts w:hint="eastAsia" w:ascii="宋体" w:hAnsi="宋体" w:eastAsia="宋体" w:cs="宋体"/>
                <w:color w:val="auto"/>
                <w:sz w:val="22"/>
                <w:szCs w:val="28"/>
                <w:highlight w:val="none"/>
                <w:lang w:val="en-US" w:eastAsia="zh-CN"/>
              </w:rPr>
              <w:t>.</w:t>
            </w:r>
            <w:r>
              <w:rPr>
                <w:rFonts w:hint="eastAsia" w:ascii="宋体" w:hAnsi="宋体" w:eastAsia="宋体" w:cs="宋体"/>
                <w:color w:val="auto"/>
                <w:sz w:val="22"/>
                <w:szCs w:val="28"/>
                <w:highlight w:val="none"/>
              </w:rPr>
              <w:t>保密要求：成交供应商对采购人及其下属单位所提供的技术及数据资料应严格保密，不得扩散。</w:t>
            </w:r>
          </w:p>
          <w:p w14:paraId="41C65B63">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5</w:t>
            </w:r>
            <w:r>
              <w:rPr>
                <w:rFonts w:hint="eastAsia" w:ascii="宋体" w:hAnsi="宋体" w:eastAsia="宋体" w:cs="宋体"/>
                <w:color w:val="auto"/>
                <w:sz w:val="22"/>
                <w:szCs w:val="28"/>
                <w:highlight w:val="none"/>
                <w:lang w:val="en-US" w:eastAsia="zh-CN"/>
              </w:rPr>
              <w:t>.</w:t>
            </w:r>
            <w:r>
              <w:rPr>
                <w:rFonts w:hint="eastAsia" w:ascii="宋体" w:hAnsi="宋体" w:eastAsia="宋体" w:cs="宋体"/>
                <w:color w:val="auto"/>
                <w:sz w:val="22"/>
                <w:szCs w:val="28"/>
                <w:highlight w:val="none"/>
              </w:rPr>
              <w:t>供应商对磋商文件的项目要求应完全响应，如果存在虚假响应或者是虚假承诺，由此造成的一切后果由供应商承担。</w:t>
            </w:r>
          </w:p>
          <w:p w14:paraId="2F3D11B2">
            <w:pPr>
              <w:spacing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6</w:t>
            </w:r>
            <w:r>
              <w:rPr>
                <w:rFonts w:hint="eastAsia" w:ascii="宋体" w:hAnsi="宋体" w:eastAsia="宋体" w:cs="宋体"/>
                <w:color w:val="auto"/>
                <w:sz w:val="22"/>
                <w:szCs w:val="28"/>
                <w:highlight w:val="none"/>
                <w:lang w:val="en-US" w:eastAsia="zh-CN"/>
              </w:rPr>
              <w:t>.</w:t>
            </w:r>
            <w:r>
              <w:rPr>
                <w:rFonts w:hint="eastAsia" w:ascii="宋体" w:hAnsi="宋体" w:eastAsia="宋体" w:cs="宋体"/>
                <w:color w:val="auto"/>
                <w:sz w:val="22"/>
                <w:szCs w:val="28"/>
                <w:highlight w:val="none"/>
              </w:rPr>
              <w:t>成交供应商自行承担在提供服务过程中因侵犯他人知识产权或自身原因产生的法律纠纷和责任并妥善处理，采购人不承担任何责任。</w:t>
            </w:r>
          </w:p>
        </w:tc>
      </w:tr>
    </w:tbl>
    <w:p w14:paraId="446A0DDB">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p>
    <w:p w14:paraId="5CBF86E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B2FAB12">
      <w:pPr>
        <w:pageBreakBefore w:val="0"/>
        <w:kinsoku/>
        <w:wordWrap w:val="0"/>
        <w:overflowPunct/>
        <w:bidi w:val="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附件：</w:t>
      </w:r>
    </w:p>
    <w:tbl>
      <w:tblPr>
        <w:tblStyle w:val="32"/>
        <w:tblW w:w="0" w:type="auto"/>
        <w:jc w:val="center"/>
        <w:tblLayout w:type="fixed"/>
        <w:tblCellMar>
          <w:top w:w="0" w:type="dxa"/>
          <w:left w:w="108" w:type="dxa"/>
          <w:bottom w:w="0" w:type="dxa"/>
          <w:right w:w="108" w:type="dxa"/>
        </w:tblCellMar>
      </w:tblPr>
      <w:tblGrid>
        <w:gridCol w:w="1904"/>
        <w:gridCol w:w="1384"/>
        <w:gridCol w:w="913"/>
        <w:gridCol w:w="1966"/>
        <w:gridCol w:w="1743"/>
        <w:gridCol w:w="1142"/>
      </w:tblGrid>
      <w:tr w14:paraId="182588B1">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3AD44448">
            <w:pPr>
              <w:pageBreakBefore w:val="0"/>
              <w:widowControl/>
              <w:kinsoku/>
              <w:wordWrap w:val="0"/>
              <w:overflowPunct/>
              <w:bidi w:val="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30B4067E">
            <w:pPr>
              <w:pageBreakBefore w:val="0"/>
              <w:widowControl/>
              <w:kinsoku/>
              <w:wordWrap w:val="0"/>
              <w:overflowPunct/>
              <w:bidi w:val="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1CB8B3E4">
            <w:pPr>
              <w:pageBreakBefore w:val="0"/>
              <w:widowControl/>
              <w:kinsoku/>
              <w:wordWrap w:val="0"/>
              <w:overflowPunct/>
              <w:bidi w:val="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计量单位</w:t>
            </w:r>
          </w:p>
        </w:tc>
        <w:tc>
          <w:tcPr>
            <w:tcW w:w="1966" w:type="dxa"/>
            <w:tcBorders>
              <w:top w:val="single" w:color="auto" w:sz="4" w:space="0"/>
              <w:left w:val="nil"/>
              <w:bottom w:val="single" w:color="auto" w:sz="4" w:space="0"/>
              <w:right w:val="single" w:color="auto" w:sz="4" w:space="0"/>
            </w:tcBorders>
            <w:noWrap w:val="0"/>
            <w:vAlign w:val="center"/>
          </w:tcPr>
          <w:p w14:paraId="2A5709F6">
            <w:pPr>
              <w:pageBreakBefore w:val="0"/>
              <w:widowControl/>
              <w:kinsoku/>
              <w:wordWrap w:val="0"/>
              <w:overflowPunct/>
              <w:bidi w:val="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中型</w:t>
            </w:r>
          </w:p>
        </w:tc>
        <w:tc>
          <w:tcPr>
            <w:tcW w:w="1743" w:type="dxa"/>
            <w:tcBorders>
              <w:top w:val="single" w:color="auto" w:sz="4" w:space="0"/>
              <w:left w:val="nil"/>
              <w:bottom w:val="single" w:color="auto" w:sz="4" w:space="0"/>
              <w:right w:val="single" w:color="auto" w:sz="4" w:space="0"/>
            </w:tcBorders>
            <w:noWrap w:val="0"/>
            <w:vAlign w:val="center"/>
          </w:tcPr>
          <w:p w14:paraId="6B631F87">
            <w:pPr>
              <w:pageBreakBefore w:val="0"/>
              <w:widowControl/>
              <w:kinsoku/>
              <w:wordWrap w:val="0"/>
              <w:overflowPunct/>
              <w:bidi w:val="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小型</w:t>
            </w:r>
          </w:p>
        </w:tc>
        <w:tc>
          <w:tcPr>
            <w:tcW w:w="1142" w:type="dxa"/>
            <w:tcBorders>
              <w:top w:val="single" w:color="auto" w:sz="4" w:space="0"/>
              <w:left w:val="nil"/>
              <w:bottom w:val="single" w:color="auto" w:sz="4" w:space="0"/>
              <w:right w:val="single" w:color="auto" w:sz="4" w:space="0"/>
            </w:tcBorders>
            <w:noWrap w:val="0"/>
            <w:vAlign w:val="center"/>
          </w:tcPr>
          <w:p w14:paraId="199DAA1C">
            <w:pPr>
              <w:pageBreakBefore w:val="0"/>
              <w:widowControl/>
              <w:kinsoku/>
              <w:wordWrap w:val="0"/>
              <w:overflowPunct/>
              <w:bidi w:val="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微型</w:t>
            </w:r>
          </w:p>
        </w:tc>
      </w:tr>
      <w:tr w14:paraId="15FE624F">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283B45EC">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农、林、牧、渔</w:t>
            </w:r>
          </w:p>
        </w:tc>
        <w:tc>
          <w:tcPr>
            <w:tcW w:w="1384" w:type="dxa"/>
            <w:tcBorders>
              <w:top w:val="nil"/>
              <w:left w:val="nil"/>
              <w:bottom w:val="single" w:color="auto" w:sz="4" w:space="0"/>
              <w:right w:val="single" w:color="auto" w:sz="4" w:space="0"/>
            </w:tcBorders>
            <w:noWrap w:val="0"/>
            <w:vAlign w:val="center"/>
          </w:tcPr>
          <w:p w14:paraId="35FE781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46E66B1">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4C3A955">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14:paraId="00791B3A">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50≤Y＜500</w:t>
            </w:r>
          </w:p>
        </w:tc>
        <w:tc>
          <w:tcPr>
            <w:tcW w:w="1142" w:type="dxa"/>
            <w:tcBorders>
              <w:top w:val="nil"/>
              <w:left w:val="nil"/>
              <w:bottom w:val="single" w:color="auto" w:sz="4" w:space="0"/>
              <w:right w:val="single" w:color="auto" w:sz="4" w:space="0"/>
            </w:tcBorders>
            <w:noWrap w:val="0"/>
            <w:vAlign w:val="center"/>
          </w:tcPr>
          <w:p w14:paraId="48860333">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Y＜50</w:t>
            </w:r>
          </w:p>
        </w:tc>
      </w:tr>
      <w:tr w14:paraId="61117842">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2C611C7">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工业</w:t>
            </w:r>
          </w:p>
        </w:tc>
        <w:tc>
          <w:tcPr>
            <w:tcW w:w="1384" w:type="dxa"/>
            <w:tcBorders>
              <w:top w:val="nil"/>
              <w:left w:val="nil"/>
              <w:bottom w:val="single" w:color="auto" w:sz="4" w:space="0"/>
              <w:right w:val="single" w:color="auto" w:sz="4" w:space="0"/>
            </w:tcBorders>
            <w:noWrap w:val="0"/>
            <w:vAlign w:val="center"/>
          </w:tcPr>
          <w:p w14:paraId="32E70463">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901164F">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49F679AE">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2333DC12">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494AB8B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w:t>
            </w:r>
          </w:p>
        </w:tc>
      </w:tr>
      <w:tr w14:paraId="6C39D9F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DF15B64">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5946F4BA">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F4D67AD">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EA33515">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2000≤Y＜40000</w:t>
            </w:r>
          </w:p>
        </w:tc>
        <w:tc>
          <w:tcPr>
            <w:tcW w:w="1743" w:type="dxa"/>
            <w:tcBorders>
              <w:top w:val="nil"/>
              <w:left w:val="nil"/>
              <w:bottom w:val="single" w:color="auto" w:sz="4" w:space="0"/>
              <w:right w:val="single" w:color="auto" w:sz="4" w:space="0"/>
            </w:tcBorders>
            <w:noWrap w:val="0"/>
            <w:vAlign w:val="center"/>
          </w:tcPr>
          <w:p w14:paraId="4680BA88">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300≤Y＜2000</w:t>
            </w:r>
          </w:p>
        </w:tc>
        <w:tc>
          <w:tcPr>
            <w:tcW w:w="1142" w:type="dxa"/>
            <w:tcBorders>
              <w:top w:val="nil"/>
              <w:left w:val="nil"/>
              <w:bottom w:val="single" w:color="auto" w:sz="4" w:space="0"/>
              <w:right w:val="single" w:color="auto" w:sz="4" w:space="0"/>
            </w:tcBorders>
            <w:noWrap w:val="0"/>
            <w:vAlign w:val="center"/>
          </w:tcPr>
          <w:p w14:paraId="61EB208D">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Y＜300</w:t>
            </w:r>
          </w:p>
        </w:tc>
      </w:tr>
      <w:tr w14:paraId="25364D26">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E3FAC02">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建筑业</w:t>
            </w:r>
          </w:p>
        </w:tc>
        <w:tc>
          <w:tcPr>
            <w:tcW w:w="1384" w:type="dxa"/>
            <w:tcBorders>
              <w:top w:val="nil"/>
              <w:left w:val="nil"/>
              <w:bottom w:val="single" w:color="auto" w:sz="4" w:space="0"/>
              <w:right w:val="single" w:color="auto" w:sz="4" w:space="0"/>
            </w:tcBorders>
            <w:noWrap w:val="0"/>
            <w:vAlign w:val="center"/>
          </w:tcPr>
          <w:p w14:paraId="29AEF69D">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6791E43">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DF5BE1C">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6000≤Y＜80000</w:t>
            </w:r>
          </w:p>
        </w:tc>
        <w:tc>
          <w:tcPr>
            <w:tcW w:w="1743" w:type="dxa"/>
            <w:tcBorders>
              <w:top w:val="nil"/>
              <w:left w:val="nil"/>
              <w:bottom w:val="single" w:color="auto" w:sz="4" w:space="0"/>
              <w:right w:val="single" w:color="auto" w:sz="4" w:space="0"/>
            </w:tcBorders>
            <w:noWrap w:val="0"/>
            <w:vAlign w:val="center"/>
          </w:tcPr>
          <w:p w14:paraId="6C5E44A2">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300≤Y＜6000</w:t>
            </w:r>
          </w:p>
        </w:tc>
        <w:tc>
          <w:tcPr>
            <w:tcW w:w="1142" w:type="dxa"/>
            <w:tcBorders>
              <w:top w:val="nil"/>
              <w:left w:val="nil"/>
              <w:bottom w:val="single" w:color="auto" w:sz="4" w:space="0"/>
              <w:right w:val="single" w:color="auto" w:sz="4" w:space="0"/>
            </w:tcBorders>
            <w:noWrap w:val="0"/>
            <w:vAlign w:val="center"/>
          </w:tcPr>
          <w:p w14:paraId="1F486BEE">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Y＜300</w:t>
            </w:r>
          </w:p>
        </w:tc>
      </w:tr>
      <w:tr w14:paraId="444D5972">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BDE7A6F">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07A0950">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56287EE7">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56637162">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5000≤Z＜80000</w:t>
            </w:r>
          </w:p>
        </w:tc>
        <w:tc>
          <w:tcPr>
            <w:tcW w:w="1743" w:type="dxa"/>
            <w:tcBorders>
              <w:top w:val="nil"/>
              <w:left w:val="nil"/>
              <w:bottom w:val="single" w:color="auto" w:sz="4" w:space="0"/>
              <w:right w:val="single" w:color="auto" w:sz="4" w:space="0"/>
            </w:tcBorders>
            <w:noWrap w:val="0"/>
            <w:vAlign w:val="center"/>
          </w:tcPr>
          <w:p w14:paraId="6E80949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300≤Z＜5000</w:t>
            </w:r>
          </w:p>
        </w:tc>
        <w:tc>
          <w:tcPr>
            <w:tcW w:w="1142" w:type="dxa"/>
            <w:tcBorders>
              <w:top w:val="nil"/>
              <w:left w:val="nil"/>
              <w:bottom w:val="single" w:color="auto" w:sz="4" w:space="0"/>
              <w:right w:val="single" w:color="auto" w:sz="4" w:space="0"/>
            </w:tcBorders>
            <w:noWrap w:val="0"/>
            <w:vAlign w:val="center"/>
          </w:tcPr>
          <w:p w14:paraId="1DF65D40">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Z＜300</w:t>
            </w:r>
          </w:p>
        </w:tc>
      </w:tr>
      <w:tr w14:paraId="6E447F2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307FF09">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批发业</w:t>
            </w:r>
          </w:p>
        </w:tc>
        <w:tc>
          <w:tcPr>
            <w:tcW w:w="1384" w:type="dxa"/>
            <w:tcBorders>
              <w:top w:val="nil"/>
              <w:left w:val="nil"/>
              <w:bottom w:val="single" w:color="auto" w:sz="4" w:space="0"/>
              <w:right w:val="single" w:color="auto" w:sz="4" w:space="0"/>
            </w:tcBorders>
            <w:noWrap w:val="0"/>
            <w:vAlign w:val="center"/>
          </w:tcPr>
          <w:p w14:paraId="20311111">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61DA42D">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79191D4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20≤X＜200</w:t>
            </w:r>
          </w:p>
        </w:tc>
        <w:tc>
          <w:tcPr>
            <w:tcW w:w="1743" w:type="dxa"/>
            <w:tcBorders>
              <w:top w:val="nil"/>
              <w:left w:val="nil"/>
              <w:bottom w:val="single" w:color="auto" w:sz="4" w:space="0"/>
              <w:right w:val="single" w:color="auto" w:sz="4" w:space="0"/>
            </w:tcBorders>
            <w:noWrap w:val="0"/>
            <w:vAlign w:val="center"/>
          </w:tcPr>
          <w:p w14:paraId="7F96C18F">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5≤X＜20</w:t>
            </w:r>
          </w:p>
        </w:tc>
        <w:tc>
          <w:tcPr>
            <w:tcW w:w="1142" w:type="dxa"/>
            <w:tcBorders>
              <w:top w:val="nil"/>
              <w:left w:val="nil"/>
              <w:bottom w:val="single" w:color="auto" w:sz="4" w:space="0"/>
              <w:right w:val="single" w:color="auto" w:sz="4" w:space="0"/>
            </w:tcBorders>
            <w:noWrap w:val="0"/>
            <w:vAlign w:val="center"/>
          </w:tcPr>
          <w:p w14:paraId="30C0DA04">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X＜5</w:t>
            </w:r>
          </w:p>
        </w:tc>
      </w:tr>
      <w:tr w14:paraId="1BC3D371">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5C38C84">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51A4C800">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789507C">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EAB9847">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5000≤Y＜40000</w:t>
            </w:r>
          </w:p>
        </w:tc>
        <w:tc>
          <w:tcPr>
            <w:tcW w:w="1743" w:type="dxa"/>
            <w:tcBorders>
              <w:top w:val="nil"/>
              <w:left w:val="nil"/>
              <w:bottom w:val="single" w:color="auto" w:sz="4" w:space="0"/>
              <w:right w:val="single" w:color="auto" w:sz="4" w:space="0"/>
            </w:tcBorders>
            <w:noWrap w:val="0"/>
            <w:vAlign w:val="center"/>
          </w:tcPr>
          <w:p w14:paraId="5510123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1000≤Y＜5000</w:t>
            </w:r>
          </w:p>
        </w:tc>
        <w:tc>
          <w:tcPr>
            <w:tcW w:w="1142" w:type="dxa"/>
            <w:tcBorders>
              <w:top w:val="nil"/>
              <w:left w:val="nil"/>
              <w:bottom w:val="single" w:color="auto" w:sz="4" w:space="0"/>
              <w:right w:val="single" w:color="auto" w:sz="4" w:space="0"/>
            </w:tcBorders>
            <w:noWrap w:val="0"/>
            <w:vAlign w:val="center"/>
          </w:tcPr>
          <w:p w14:paraId="0345F755">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Y＜1000</w:t>
            </w:r>
          </w:p>
        </w:tc>
      </w:tr>
      <w:tr w14:paraId="53AF9986">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FB43F46">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零售业</w:t>
            </w:r>
          </w:p>
        </w:tc>
        <w:tc>
          <w:tcPr>
            <w:tcW w:w="1384" w:type="dxa"/>
            <w:tcBorders>
              <w:top w:val="nil"/>
              <w:left w:val="nil"/>
              <w:bottom w:val="single" w:color="auto" w:sz="4" w:space="0"/>
              <w:right w:val="single" w:color="auto" w:sz="4" w:space="0"/>
            </w:tcBorders>
            <w:noWrap w:val="0"/>
            <w:vAlign w:val="center"/>
          </w:tcPr>
          <w:p w14:paraId="0AD854EE">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2EE4B77">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3EC99207">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50≤X＜300</w:t>
            </w:r>
          </w:p>
        </w:tc>
        <w:tc>
          <w:tcPr>
            <w:tcW w:w="1743" w:type="dxa"/>
            <w:tcBorders>
              <w:top w:val="nil"/>
              <w:left w:val="nil"/>
              <w:bottom w:val="single" w:color="auto" w:sz="4" w:space="0"/>
              <w:right w:val="single" w:color="auto" w:sz="4" w:space="0"/>
            </w:tcBorders>
            <w:noWrap w:val="0"/>
            <w:vAlign w:val="center"/>
          </w:tcPr>
          <w:p w14:paraId="145B935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10≤X＜50</w:t>
            </w:r>
          </w:p>
        </w:tc>
        <w:tc>
          <w:tcPr>
            <w:tcW w:w="1142" w:type="dxa"/>
            <w:tcBorders>
              <w:top w:val="nil"/>
              <w:left w:val="nil"/>
              <w:bottom w:val="single" w:color="auto" w:sz="4" w:space="0"/>
              <w:right w:val="single" w:color="auto" w:sz="4" w:space="0"/>
            </w:tcBorders>
            <w:noWrap w:val="0"/>
            <w:vAlign w:val="center"/>
          </w:tcPr>
          <w:p w14:paraId="064581CF">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14:paraId="2498F0B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CA83C4B">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21729C20">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13E3B4D">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66849CEC">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14:paraId="3C61D240">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100≤Y＜500</w:t>
            </w:r>
          </w:p>
        </w:tc>
        <w:tc>
          <w:tcPr>
            <w:tcW w:w="1142" w:type="dxa"/>
            <w:tcBorders>
              <w:top w:val="nil"/>
              <w:left w:val="nil"/>
              <w:bottom w:val="single" w:color="auto" w:sz="4" w:space="0"/>
              <w:right w:val="single" w:color="auto" w:sz="4" w:space="0"/>
            </w:tcBorders>
            <w:noWrap w:val="0"/>
            <w:vAlign w:val="center"/>
          </w:tcPr>
          <w:p w14:paraId="2D9171CA">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6A0965AB">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797BD6E6">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交通运输业</w:t>
            </w:r>
          </w:p>
        </w:tc>
        <w:tc>
          <w:tcPr>
            <w:tcW w:w="1384" w:type="dxa"/>
            <w:tcBorders>
              <w:top w:val="nil"/>
              <w:left w:val="nil"/>
              <w:bottom w:val="single" w:color="auto" w:sz="4" w:space="0"/>
              <w:right w:val="single" w:color="auto" w:sz="4" w:space="0"/>
            </w:tcBorders>
            <w:noWrap w:val="0"/>
            <w:vAlign w:val="center"/>
          </w:tcPr>
          <w:p w14:paraId="73FA6CAA">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60810AA1">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7374798F">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4438FF9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2809111C">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w:t>
            </w:r>
          </w:p>
        </w:tc>
      </w:tr>
      <w:tr w14:paraId="431BD57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7910EEC">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2FC77BD5">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58A7455">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CAF2FA3">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3000≤Y＜30000</w:t>
            </w:r>
          </w:p>
        </w:tc>
        <w:tc>
          <w:tcPr>
            <w:tcW w:w="1743" w:type="dxa"/>
            <w:tcBorders>
              <w:top w:val="nil"/>
              <w:left w:val="nil"/>
              <w:bottom w:val="single" w:color="auto" w:sz="4" w:space="0"/>
              <w:right w:val="single" w:color="auto" w:sz="4" w:space="0"/>
            </w:tcBorders>
            <w:noWrap w:val="0"/>
            <w:vAlign w:val="center"/>
          </w:tcPr>
          <w:p w14:paraId="7F0E6FE4">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200≤Y＜3000</w:t>
            </w:r>
          </w:p>
        </w:tc>
        <w:tc>
          <w:tcPr>
            <w:tcW w:w="1142" w:type="dxa"/>
            <w:tcBorders>
              <w:top w:val="nil"/>
              <w:left w:val="nil"/>
              <w:bottom w:val="single" w:color="auto" w:sz="4" w:space="0"/>
              <w:right w:val="single" w:color="auto" w:sz="4" w:space="0"/>
            </w:tcBorders>
            <w:noWrap w:val="0"/>
            <w:vAlign w:val="center"/>
          </w:tcPr>
          <w:p w14:paraId="7BBE0624">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Y＜200</w:t>
            </w:r>
          </w:p>
        </w:tc>
      </w:tr>
      <w:tr w14:paraId="6745408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D0D1B49">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仓储业</w:t>
            </w:r>
          </w:p>
        </w:tc>
        <w:tc>
          <w:tcPr>
            <w:tcW w:w="1384" w:type="dxa"/>
            <w:tcBorders>
              <w:top w:val="nil"/>
              <w:left w:val="nil"/>
              <w:bottom w:val="single" w:color="auto" w:sz="4" w:space="0"/>
              <w:right w:val="single" w:color="auto" w:sz="4" w:space="0"/>
            </w:tcBorders>
            <w:noWrap w:val="0"/>
            <w:vAlign w:val="center"/>
          </w:tcPr>
          <w:p w14:paraId="148EC55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22A2086">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3F0066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100≤X＜200</w:t>
            </w:r>
          </w:p>
        </w:tc>
        <w:tc>
          <w:tcPr>
            <w:tcW w:w="1743" w:type="dxa"/>
            <w:tcBorders>
              <w:top w:val="nil"/>
              <w:left w:val="nil"/>
              <w:bottom w:val="single" w:color="auto" w:sz="4" w:space="0"/>
              <w:right w:val="single" w:color="auto" w:sz="4" w:space="0"/>
            </w:tcBorders>
            <w:noWrap w:val="0"/>
            <w:vAlign w:val="center"/>
          </w:tcPr>
          <w:p w14:paraId="37C30E13">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20≤X＜100</w:t>
            </w:r>
          </w:p>
        </w:tc>
        <w:tc>
          <w:tcPr>
            <w:tcW w:w="1142" w:type="dxa"/>
            <w:tcBorders>
              <w:top w:val="nil"/>
              <w:left w:val="nil"/>
              <w:bottom w:val="single" w:color="auto" w:sz="4" w:space="0"/>
              <w:right w:val="single" w:color="auto" w:sz="4" w:space="0"/>
            </w:tcBorders>
            <w:noWrap w:val="0"/>
            <w:vAlign w:val="center"/>
          </w:tcPr>
          <w:p w14:paraId="1DA6F03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w:t>
            </w:r>
          </w:p>
        </w:tc>
      </w:tr>
      <w:tr w14:paraId="46383A9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9CEB7FC">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2DBC8EA4">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EDF71A3">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54FF6618">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1000≤Y＜30000</w:t>
            </w:r>
          </w:p>
        </w:tc>
        <w:tc>
          <w:tcPr>
            <w:tcW w:w="1743" w:type="dxa"/>
            <w:tcBorders>
              <w:top w:val="nil"/>
              <w:left w:val="nil"/>
              <w:bottom w:val="single" w:color="auto" w:sz="4" w:space="0"/>
              <w:right w:val="single" w:color="auto" w:sz="4" w:space="0"/>
            </w:tcBorders>
            <w:noWrap w:val="0"/>
            <w:vAlign w:val="center"/>
          </w:tcPr>
          <w:p w14:paraId="69BCF0E7">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14:paraId="4CFFFAFF">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211A0A02">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8F484F8">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邮政业</w:t>
            </w:r>
          </w:p>
        </w:tc>
        <w:tc>
          <w:tcPr>
            <w:tcW w:w="1384" w:type="dxa"/>
            <w:tcBorders>
              <w:top w:val="nil"/>
              <w:left w:val="nil"/>
              <w:bottom w:val="single" w:color="auto" w:sz="4" w:space="0"/>
              <w:right w:val="single" w:color="auto" w:sz="4" w:space="0"/>
            </w:tcBorders>
            <w:noWrap w:val="0"/>
            <w:vAlign w:val="center"/>
          </w:tcPr>
          <w:p w14:paraId="01F23321">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34F2B702">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75E86398">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6E27D3ED">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2B9453D6">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w:t>
            </w:r>
          </w:p>
        </w:tc>
      </w:tr>
      <w:tr w14:paraId="1C90C4AF">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4F0508A">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174CD16">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F8975E4">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5DAE625C">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2000≤Y＜30000</w:t>
            </w:r>
          </w:p>
        </w:tc>
        <w:tc>
          <w:tcPr>
            <w:tcW w:w="1743" w:type="dxa"/>
            <w:tcBorders>
              <w:top w:val="nil"/>
              <w:left w:val="nil"/>
              <w:bottom w:val="single" w:color="auto" w:sz="4" w:space="0"/>
              <w:right w:val="single" w:color="auto" w:sz="4" w:space="0"/>
            </w:tcBorders>
            <w:noWrap w:val="0"/>
            <w:vAlign w:val="center"/>
          </w:tcPr>
          <w:p w14:paraId="6DC261E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0640A75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518DB46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15CFF15">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住宿业</w:t>
            </w:r>
          </w:p>
        </w:tc>
        <w:tc>
          <w:tcPr>
            <w:tcW w:w="1384" w:type="dxa"/>
            <w:tcBorders>
              <w:top w:val="nil"/>
              <w:left w:val="nil"/>
              <w:bottom w:val="single" w:color="auto" w:sz="4" w:space="0"/>
              <w:right w:val="single" w:color="auto" w:sz="4" w:space="0"/>
            </w:tcBorders>
            <w:noWrap w:val="0"/>
            <w:vAlign w:val="center"/>
          </w:tcPr>
          <w:p w14:paraId="233D715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40794F39">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4448E507">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5204FB5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70FEBE1C">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14:paraId="7F38A2D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0C3FA14">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0732D27">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12B06C5D">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9EA19ED">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76E2CCD7">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2066ABC0">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7AB024D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AB09E38">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餐饮业</w:t>
            </w:r>
          </w:p>
        </w:tc>
        <w:tc>
          <w:tcPr>
            <w:tcW w:w="1384" w:type="dxa"/>
            <w:tcBorders>
              <w:top w:val="nil"/>
              <w:left w:val="nil"/>
              <w:bottom w:val="single" w:color="auto" w:sz="4" w:space="0"/>
              <w:right w:val="single" w:color="auto" w:sz="4" w:space="0"/>
            </w:tcBorders>
            <w:noWrap w:val="0"/>
            <w:vAlign w:val="center"/>
          </w:tcPr>
          <w:p w14:paraId="3B3F9B0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64924488">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1681F7CF">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5E2CD138">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03FD0497">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14:paraId="696AB5B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226AD6E">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12F2BAF">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8639AA7">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691418C">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28E5F4B5">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5607E447">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190629A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EE86635">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信息传输业</w:t>
            </w:r>
          </w:p>
        </w:tc>
        <w:tc>
          <w:tcPr>
            <w:tcW w:w="1384" w:type="dxa"/>
            <w:tcBorders>
              <w:top w:val="nil"/>
              <w:left w:val="nil"/>
              <w:bottom w:val="single" w:color="auto" w:sz="4" w:space="0"/>
              <w:right w:val="single" w:color="auto" w:sz="4" w:space="0"/>
            </w:tcBorders>
            <w:noWrap w:val="0"/>
            <w:vAlign w:val="center"/>
          </w:tcPr>
          <w:p w14:paraId="13278A85">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3C139ADA">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1A6BE8A7">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100≤X＜2000</w:t>
            </w:r>
          </w:p>
        </w:tc>
        <w:tc>
          <w:tcPr>
            <w:tcW w:w="1743" w:type="dxa"/>
            <w:tcBorders>
              <w:top w:val="nil"/>
              <w:left w:val="nil"/>
              <w:bottom w:val="single" w:color="auto" w:sz="4" w:space="0"/>
              <w:right w:val="single" w:color="auto" w:sz="4" w:space="0"/>
            </w:tcBorders>
            <w:noWrap w:val="0"/>
            <w:vAlign w:val="center"/>
          </w:tcPr>
          <w:p w14:paraId="5E847865">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5BEAA264">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14:paraId="23D26C92">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448FE46">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2D455708">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890A644">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6A801AB8">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1000≤Y＜100000</w:t>
            </w:r>
          </w:p>
        </w:tc>
        <w:tc>
          <w:tcPr>
            <w:tcW w:w="1743" w:type="dxa"/>
            <w:tcBorders>
              <w:top w:val="nil"/>
              <w:left w:val="nil"/>
              <w:bottom w:val="single" w:color="auto" w:sz="4" w:space="0"/>
              <w:right w:val="single" w:color="auto" w:sz="4" w:space="0"/>
            </w:tcBorders>
            <w:noWrap w:val="0"/>
            <w:vAlign w:val="center"/>
          </w:tcPr>
          <w:p w14:paraId="47B82968">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14:paraId="0DE8179D">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3CDB3D6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C1D107A">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7048AF2C">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645CD109">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1D47C44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01DF7EE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64DD5F7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14:paraId="19A3A0DD">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6EFC74F">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ABC7BF1">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DAA7DFB">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70484446">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1000≤Y＜10000</w:t>
            </w:r>
          </w:p>
        </w:tc>
        <w:tc>
          <w:tcPr>
            <w:tcW w:w="1743" w:type="dxa"/>
            <w:tcBorders>
              <w:top w:val="nil"/>
              <w:left w:val="nil"/>
              <w:bottom w:val="single" w:color="auto" w:sz="4" w:space="0"/>
              <w:right w:val="single" w:color="auto" w:sz="4" w:space="0"/>
            </w:tcBorders>
            <w:noWrap w:val="0"/>
            <w:vAlign w:val="center"/>
          </w:tcPr>
          <w:p w14:paraId="0F51B337">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50≤Y＜1000</w:t>
            </w:r>
          </w:p>
        </w:tc>
        <w:tc>
          <w:tcPr>
            <w:tcW w:w="1142" w:type="dxa"/>
            <w:tcBorders>
              <w:top w:val="nil"/>
              <w:left w:val="nil"/>
              <w:bottom w:val="single" w:color="auto" w:sz="4" w:space="0"/>
              <w:right w:val="single" w:color="auto" w:sz="4" w:space="0"/>
            </w:tcBorders>
            <w:noWrap w:val="0"/>
            <w:vAlign w:val="center"/>
          </w:tcPr>
          <w:p w14:paraId="5D3218FD">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Y＜50</w:t>
            </w:r>
          </w:p>
        </w:tc>
      </w:tr>
      <w:tr w14:paraId="2B9DAD1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3F77355">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房地产开发经营</w:t>
            </w:r>
          </w:p>
        </w:tc>
        <w:tc>
          <w:tcPr>
            <w:tcW w:w="1384" w:type="dxa"/>
            <w:tcBorders>
              <w:top w:val="nil"/>
              <w:left w:val="nil"/>
              <w:bottom w:val="single" w:color="auto" w:sz="4" w:space="0"/>
              <w:right w:val="single" w:color="auto" w:sz="4" w:space="0"/>
            </w:tcBorders>
            <w:noWrap w:val="0"/>
            <w:vAlign w:val="center"/>
          </w:tcPr>
          <w:p w14:paraId="57B8CDF0">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2E6BEBA">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71793190">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1000≤Y＜200000</w:t>
            </w:r>
          </w:p>
        </w:tc>
        <w:tc>
          <w:tcPr>
            <w:tcW w:w="1743" w:type="dxa"/>
            <w:tcBorders>
              <w:top w:val="nil"/>
              <w:left w:val="nil"/>
              <w:bottom w:val="single" w:color="auto" w:sz="4" w:space="0"/>
              <w:right w:val="single" w:color="auto" w:sz="4" w:space="0"/>
            </w:tcBorders>
            <w:noWrap w:val="0"/>
            <w:vAlign w:val="center"/>
          </w:tcPr>
          <w:p w14:paraId="74E8884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100≤X＜1000</w:t>
            </w:r>
          </w:p>
        </w:tc>
        <w:tc>
          <w:tcPr>
            <w:tcW w:w="1142" w:type="dxa"/>
            <w:tcBorders>
              <w:top w:val="nil"/>
              <w:left w:val="nil"/>
              <w:bottom w:val="single" w:color="auto" w:sz="4" w:space="0"/>
              <w:right w:val="single" w:color="auto" w:sz="4" w:space="0"/>
            </w:tcBorders>
            <w:noWrap w:val="0"/>
            <w:vAlign w:val="center"/>
          </w:tcPr>
          <w:p w14:paraId="2A635D81">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X＜100</w:t>
            </w:r>
          </w:p>
        </w:tc>
      </w:tr>
      <w:tr w14:paraId="2CF28FC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8CD7131">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B3A3D3D">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2BEBB0E9">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937C9BA">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5000≤Z＜10000</w:t>
            </w:r>
          </w:p>
        </w:tc>
        <w:tc>
          <w:tcPr>
            <w:tcW w:w="1743" w:type="dxa"/>
            <w:tcBorders>
              <w:top w:val="nil"/>
              <w:left w:val="nil"/>
              <w:bottom w:val="single" w:color="auto" w:sz="4" w:space="0"/>
              <w:right w:val="single" w:color="auto" w:sz="4" w:space="0"/>
            </w:tcBorders>
            <w:noWrap w:val="0"/>
            <w:vAlign w:val="center"/>
          </w:tcPr>
          <w:p w14:paraId="76D609D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2000≤Y＜5000</w:t>
            </w:r>
          </w:p>
        </w:tc>
        <w:tc>
          <w:tcPr>
            <w:tcW w:w="1142" w:type="dxa"/>
            <w:tcBorders>
              <w:top w:val="nil"/>
              <w:left w:val="nil"/>
              <w:bottom w:val="single" w:color="auto" w:sz="4" w:space="0"/>
              <w:right w:val="single" w:color="auto" w:sz="4" w:space="0"/>
            </w:tcBorders>
            <w:noWrap w:val="0"/>
            <w:vAlign w:val="center"/>
          </w:tcPr>
          <w:p w14:paraId="164D7C68">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Y＜2000</w:t>
            </w:r>
          </w:p>
        </w:tc>
      </w:tr>
      <w:tr w14:paraId="6226CD1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044B31CC">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物业管理</w:t>
            </w:r>
          </w:p>
        </w:tc>
        <w:tc>
          <w:tcPr>
            <w:tcW w:w="1384" w:type="dxa"/>
            <w:tcBorders>
              <w:top w:val="nil"/>
              <w:left w:val="nil"/>
              <w:bottom w:val="single" w:color="auto" w:sz="4" w:space="0"/>
              <w:right w:val="single" w:color="auto" w:sz="4" w:space="0"/>
            </w:tcBorders>
            <w:noWrap w:val="0"/>
            <w:vAlign w:val="center"/>
          </w:tcPr>
          <w:p w14:paraId="5EEF5B48">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77E1BE6C">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C5B44BD">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529E4885">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142" w:type="dxa"/>
            <w:tcBorders>
              <w:top w:val="nil"/>
              <w:left w:val="nil"/>
              <w:bottom w:val="single" w:color="auto" w:sz="4" w:space="0"/>
              <w:right w:val="single" w:color="auto" w:sz="4" w:space="0"/>
            </w:tcBorders>
            <w:noWrap w:val="0"/>
            <w:vAlign w:val="center"/>
          </w:tcPr>
          <w:p w14:paraId="63A1EB8C">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X＜100</w:t>
            </w:r>
          </w:p>
        </w:tc>
      </w:tr>
      <w:tr w14:paraId="0A8311DE">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9C953B1">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60A686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EBCD212">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18E4F49">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1000≤Y＜5000</w:t>
            </w:r>
          </w:p>
        </w:tc>
        <w:tc>
          <w:tcPr>
            <w:tcW w:w="1743" w:type="dxa"/>
            <w:tcBorders>
              <w:top w:val="nil"/>
              <w:left w:val="nil"/>
              <w:bottom w:val="single" w:color="auto" w:sz="4" w:space="0"/>
              <w:right w:val="single" w:color="auto" w:sz="4" w:space="0"/>
            </w:tcBorders>
            <w:noWrap w:val="0"/>
            <w:vAlign w:val="center"/>
          </w:tcPr>
          <w:p w14:paraId="331776EC">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500≤Y＜1000</w:t>
            </w:r>
          </w:p>
        </w:tc>
        <w:tc>
          <w:tcPr>
            <w:tcW w:w="1142" w:type="dxa"/>
            <w:tcBorders>
              <w:top w:val="nil"/>
              <w:left w:val="nil"/>
              <w:bottom w:val="single" w:color="auto" w:sz="4" w:space="0"/>
              <w:right w:val="single" w:color="auto" w:sz="4" w:space="0"/>
            </w:tcBorders>
            <w:noWrap w:val="0"/>
            <w:vAlign w:val="center"/>
          </w:tcPr>
          <w:p w14:paraId="72020DF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Y＜500</w:t>
            </w:r>
          </w:p>
        </w:tc>
      </w:tr>
      <w:tr w14:paraId="0D08904D">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0E75B819">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6390320D">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642FB8E7">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58F111F8">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510D0EF6">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3B33EB3C">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14:paraId="7580683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F3BABAD">
            <w:pPr>
              <w:pageBreakBefore w:val="0"/>
              <w:widowControl/>
              <w:kinsoku/>
              <w:wordWrap w:val="0"/>
              <w:overflowPunct/>
              <w:bidi w:val="0"/>
              <w:jc w:val="left"/>
              <w:rPr>
                <w:rFonts w:hint="eastAsia" w:ascii="宋体" w:hAnsi="宋体" w:eastAsia="宋体" w:cs="宋体"/>
                <w:b/>
                <w:bCs/>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3F56974">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1F52B89D">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6FF1EE3E">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8000≤Z＜120000</w:t>
            </w:r>
          </w:p>
        </w:tc>
        <w:tc>
          <w:tcPr>
            <w:tcW w:w="1743" w:type="dxa"/>
            <w:tcBorders>
              <w:top w:val="nil"/>
              <w:left w:val="nil"/>
              <w:bottom w:val="single" w:color="auto" w:sz="4" w:space="0"/>
              <w:right w:val="single" w:color="auto" w:sz="4" w:space="0"/>
            </w:tcBorders>
            <w:noWrap w:val="0"/>
            <w:vAlign w:val="center"/>
          </w:tcPr>
          <w:p w14:paraId="0E0234A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100≤Z＜8000</w:t>
            </w:r>
          </w:p>
        </w:tc>
        <w:tc>
          <w:tcPr>
            <w:tcW w:w="1142" w:type="dxa"/>
            <w:tcBorders>
              <w:top w:val="nil"/>
              <w:left w:val="nil"/>
              <w:bottom w:val="single" w:color="auto" w:sz="4" w:space="0"/>
              <w:right w:val="single" w:color="auto" w:sz="4" w:space="0"/>
            </w:tcBorders>
            <w:noWrap w:val="0"/>
            <w:vAlign w:val="center"/>
          </w:tcPr>
          <w:p w14:paraId="1F7BB746">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65403B2A">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60EDEEC3">
            <w:pPr>
              <w:pageBreakBefore w:val="0"/>
              <w:widowControl/>
              <w:kinsoku/>
              <w:wordWrap w:val="0"/>
              <w:overflowPunct/>
              <w:bidi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其他未列明行业</w:t>
            </w:r>
          </w:p>
        </w:tc>
        <w:tc>
          <w:tcPr>
            <w:tcW w:w="1384" w:type="dxa"/>
            <w:tcBorders>
              <w:top w:val="nil"/>
              <w:left w:val="nil"/>
              <w:bottom w:val="single" w:color="auto" w:sz="4" w:space="0"/>
              <w:right w:val="single" w:color="auto" w:sz="4" w:space="0"/>
            </w:tcBorders>
            <w:noWrap w:val="0"/>
            <w:vAlign w:val="center"/>
          </w:tcPr>
          <w:p w14:paraId="384B1086">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707A3CF">
            <w:pPr>
              <w:pageBreakBefore w:val="0"/>
              <w:widowControl/>
              <w:kinsoku/>
              <w:wordWrap w:val="0"/>
              <w:overflowPunct/>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2551963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08562B3B">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3766D1F1">
            <w:pPr>
              <w:pageBreakBefore w:val="0"/>
              <w:widowControl/>
              <w:kinsoku/>
              <w:wordWrap w:val="0"/>
              <w:overflowPunct/>
              <w:bidi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bl>
    <w:p w14:paraId="096908C1">
      <w:pPr>
        <w:pStyle w:val="12"/>
        <w:rPr>
          <w:rFonts w:hint="eastAsia" w:ascii="宋体" w:hAnsi="宋体" w:eastAsia="宋体" w:cs="宋体"/>
          <w:color w:val="000000"/>
          <w:szCs w:val="21"/>
          <w:highlight w:val="none"/>
        </w:rPr>
      </w:pPr>
      <w:r>
        <w:rPr>
          <w:rFonts w:hint="eastAsia" w:ascii="宋体" w:hAnsi="宋体" w:eastAsia="宋体" w:cs="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128CBF2">
      <w:pPr>
        <w:spacing w:line="428" w:lineRule="exact"/>
        <w:ind w:left="119"/>
        <w:jc w:val="center"/>
        <w:outlineLvl w:val="0"/>
        <w:rPr>
          <w:rFonts w:hint="eastAsia" w:ascii="宋体" w:hAnsi="宋体" w:eastAsia="宋体" w:cs="宋体"/>
          <w:szCs w:val="21"/>
          <w:highlight w:val="none"/>
        </w:rPr>
      </w:pPr>
    </w:p>
    <w:p w14:paraId="34E9064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highlight w:val="none"/>
        </w:rPr>
      </w:pPr>
    </w:p>
    <w:p w14:paraId="61DE81C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highlight w:val="none"/>
        </w:rPr>
      </w:pPr>
    </w:p>
    <w:p w14:paraId="0DE07A1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highlight w:val="none"/>
        </w:rPr>
      </w:pPr>
    </w:p>
    <w:p w14:paraId="4AC15129">
      <w:pPr>
        <w:keepNext/>
        <w:keepLines/>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kern w:val="44"/>
          <w:sz w:val="24"/>
          <w:szCs w:val="24"/>
          <w:highlight w:val="none"/>
        </w:rPr>
      </w:pPr>
      <w:r>
        <w:rPr>
          <w:rFonts w:hint="eastAsia" w:ascii="宋体" w:hAnsi="宋体" w:eastAsia="宋体" w:cs="宋体"/>
          <w:b/>
          <w:bCs/>
          <w:color w:val="auto"/>
          <w:sz w:val="24"/>
          <w:szCs w:val="24"/>
          <w:highlight w:val="none"/>
        </w:rPr>
        <w:br w:type="page"/>
      </w:r>
      <w:bookmarkStart w:id="29" w:name="_Toc9125"/>
      <w:r>
        <w:rPr>
          <w:rFonts w:hint="eastAsia" w:ascii="宋体" w:hAnsi="宋体" w:eastAsia="宋体" w:cs="宋体"/>
          <w:b/>
          <w:color w:val="auto"/>
          <w:kern w:val="44"/>
          <w:sz w:val="32"/>
          <w:szCs w:val="32"/>
          <w:highlight w:val="none"/>
        </w:rPr>
        <w:t xml:space="preserve">第三章 </w:t>
      </w:r>
      <w:r>
        <w:rPr>
          <w:rFonts w:hint="eastAsia" w:ascii="宋体" w:hAnsi="宋体" w:cs="宋体"/>
          <w:b/>
          <w:color w:val="auto"/>
          <w:kern w:val="44"/>
          <w:sz w:val="32"/>
          <w:szCs w:val="32"/>
          <w:highlight w:val="none"/>
          <w:lang w:val="en-US" w:eastAsia="zh-CN"/>
        </w:rPr>
        <w:t xml:space="preserve"> </w:t>
      </w:r>
      <w:r>
        <w:rPr>
          <w:rFonts w:hint="eastAsia" w:ascii="宋体" w:hAnsi="宋体" w:eastAsia="宋体" w:cs="宋体"/>
          <w:b/>
          <w:color w:val="auto"/>
          <w:kern w:val="44"/>
          <w:sz w:val="32"/>
          <w:szCs w:val="32"/>
          <w:highlight w:val="none"/>
        </w:rPr>
        <w:t>供应商须知</w:t>
      </w:r>
      <w:bookmarkEnd w:id="29"/>
    </w:p>
    <w:p w14:paraId="6D90EEA9">
      <w:pPr>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color w:val="auto"/>
          <w:sz w:val="24"/>
          <w:szCs w:val="24"/>
          <w:highlight w:val="none"/>
        </w:rPr>
      </w:pPr>
      <w:bookmarkStart w:id="30" w:name="_Toc15583"/>
      <w:r>
        <w:rPr>
          <w:rFonts w:hint="eastAsia" w:ascii="宋体" w:hAnsi="宋体" w:eastAsia="宋体" w:cs="宋体"/>
          <w:b/>
          <w:bCs w:val="0"/>
          <w:color w:val="auto"/>
          <w:sz w:val="24"/>
          <w:szCs w:val="24"/>
          <w:highlight w:val="none"/>
        </w:rPr>
        <w:t>第一节 供应商须知前附表</w:t>
      </w:r>
      <w:bookmarkEnd w:id="30"/>
    </w:p>
    <w:tbl>
      <w:tblPr>
        <w:tblStyle w:val="32"/>
        <w:tblW w:w="517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8"/>
        <w:gridCol w:w="1241"/>
        <w:gridCol w:w="7474"/>
      </w:tblGrid>
      <w:tr w14:paraId="24BFE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1D48BBA2">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646" w:type="pct"/>
            <w:noWrap w:val="0"/>
            <w:vAlign w:val="center"/>
          </w:tcPr>
          <w:p w14:paraId="4D94FAD1">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条款内容</w:t>
            </w:r>
          </w:p>
        </w:tc>
        <w:tc>
          <w:tcPr>
            <w:tcW w:w="3890" w:type="pct"/>
            <w:noWrap w:val="0"/>
            <w:vAlign w:val="center"/>
          </w:tcPr>
          <w:p w14:paraId="2726104A">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具体要求</w:t>
            </w:r>
          </w:p>
        </w:tc>
      </w:tr>
      <w:tr w14:paraId="7A773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7D2B934D">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646" w:type="pct"/>
            <w:noWrap w:val="0"/>
            <w:vAlign w:val="center"/>
          </w:tcPr>
          <w:p w14:paraId="723B9439">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供应商资格条件</w:t>
            </w:r>
          </w:p>
        </w:tc>
        <w:tc>
          <w:tcPr>
            <w:tcW w:w="3890" w:type="pct"/>
            <w:noWrap w:val="0"/>
            <w:vAlign w:val="center"/>
          </w:tcPr>
          <w:p w14:paraId="2DF2D04B">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供应商资格条件要求详见公告。</w:t>
            </w:r>
          </w:p>
        </w:tc>
      </w:tr>
      <w:tr w14:paraId="0C519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19FB613B">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w:t>
            </w:r>
          </w:p>
        </w:tc>
        <w:tc>
          <w:tcPr>
            <w:tcW w:w="646" w:type="pct"/>
            <w:noWrap w:val="0"/>
            <w:vAlign w:val="center"/>
          </w:tcPr>
          <w:p w14:paraId="3E0C96CA">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是否接受联合体竞标</w:t>
            </w:r>
          </w:p>
        </w:tc>
        <w:tc>
          <w:tcPr>
            <w:tcW w:w="3890" w:type="pct"/>
            <w:noWrap w:val="0"/>
            <w:vAlign w:val="center"/>
          </w:tcPr>
          <w:p w14:paraId="33AA33A9">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54A78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37885AA5">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w:t>
            </w:r>
          </w:p>
        </w:tc>
        <w:tc>
          <w:tcPr>
            <w:tcW w:w="646" w:type="pct"/>
            <w:noWrap w:val="0"/>
            <w:vAlign w:val="center"/>
          </w:tcPr>
          <w:p w14:paraId="55DF7D6D">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联合体竞标要求</w:t>
            </w:r>
          </w:p>
        </w:tc>
        <w:tc>
          <w:tcPr>
            <w:tcW w:w="3890" w:type="pct"/>
            <w:noWrap w:val="0"/>
            <w:vAlign w:val="center"/>
          </w:tcPr>
          <w:p w14:paraId="6ABD7B97">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无</w:t>
            </w:r>
          </w:p>
        </w:tc>
      </w:tr>
      <w:tr w14:paraId="67DE8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5DD16734">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w:t>
            </w:r>
          </w:p>
        </w:tc>
        <w:tc>
          <w:tcPr>
            <w:tcW w:w="646" w:type="pct"/>
            <w:noWrap w:val="0"/>
            <w:vAlign w:val="center"/>
          </w:tcPr>
          <w:p w14:paraId="63979B02">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是否允许分包</w:t>
            </w:r>
          </w:p>
        </w:tc>
        <w:tc>
          <w:tcPr>
            <w:tcW w:w="3890" w:type="pct"/>
            <w:noWrap w:val="0"/>
            <w:vAlign w:val="center"/>
          </w:tcPr>
          <w:p w14:paraId="21207E4B">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F052"/>
            </w:r>
            <w:r>
              <w:rPr>
                <w:rFonts w:hint="eastAsia" w:ascii="宋体" w:hAnsi="宋体" w:eastAsia="宋体" w:cs="宋体"/>
                <w:color w:val="auto"/>
                <w:sz w:val="22"/>
                <w:szCs w:val="22"/>
                <w:highlight w:val="none"/>
              </w:rPr>
              <w:t>不允许分包</w:t>
            </w:r>
          </w:p>
          <w:p w14:paraId="6878A4EB">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分包内容：</w:t>
            </w:r>
            <w:r>
              <w:rPr>
                <w:rFonts w:hint="eastAsia" w:ascii="宋体" w:hAnsi="宋体" w:eastAsia="宋体" w:cs="宋体"/>
                <w:color w:val="auto"/>
                <w:sz w:val="22"/>
                <w:szCs w:val="22"/>
                <w:highlight w:val="none"/>
                <w:u w:val="single"/>
              </w:rPr>
              <w:t xml:space="preserve">       /       。</w:t>
            </w:r>
          </w:p>
          <w:p w14:paraId="4EB3632F">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分包金额或者比例：</w:t>
            </w:r>
            <w:r>
              <w:rPr>
                <w:rFonts w:hint="eastAsia" w:ascii="宋体" w:hAnsi="宋体" w:eastAsia="宋体" w:cs="宋体"/>
                <w:color w:val="auto"/>
                <w:sz w:val="22"/>
                <w:szCs w:val="22"/>
                <w:highlight w:val="none"/>
                <w:u w:val="single"/>
              </w:rPr>
              <w:t xml:space="preserve">      /        。</w:t>
            </w:r>
          </w:p>
        </w:tc>
      </w:tr>
      <w:tr w14:paraId="01FDC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2538DAA9">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12.1.1</w:t>
            </w:r>
          </w:p>
        </w:tc>
        <w:tc>
          <w:tcPr>
            <w:tcW w:w="646" w:type="pct"/>
            <w:noWrap w:val="0"/>
            <w:vAlign w:val="center"/>
          </w:tcPr>
          <w:p w14:paraId="2E96604F">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资格证明文件组成</w:t>
            </w:r>
          </w:p>
        </w:tc>
        <w:tc>
          <w:tcPr>
            <w:tcW w:w="3890" w:type="pct"/>
            <w:noWrap w:val="0"/>
            <w:vAlign w:val="center"/>
          </w:tcPr>
          <w:p w14:paraId="0162E5F4">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1.磋商供应商有效的“主体资格证明文件”复印件（如营业执照、事业单位法人证书、执业许可证、自然人身份证等）；</w:t>
            </w:r>
            <w:r>
              <w:rPr>
                <w:rFonts w:hint="eastAsia" w:ascii="宋体" w:hAnsi="宋体" w:eastAsia="宋体" w:cs="宋体"/>
                <w:b/>
                <w:bCs/>
                <w:color w:val="auto"/>
                <w:sz w:val="22"/>
                <w:szCs w:val="22"/>
                <w:highlight w:val="none"/>
              </w:rPr>
              <w:t>（必须提供，否则响应文件按无效响应处理）</w:t>
            </w:r>
          </w:p>
          <w:p w14:paraId="2346021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政府采购供应商资格信用承诺函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格式后附</w:t>
            </w:r>
            <w:r>
              <w:rPr>
                <w:rFonts w:hint="eastAsia" w:ascii="宋体" w:hAnsi="宋体" w:cs="宋体"/>
                <w:color w:val="auto"/>
                <w:sz w:val="22"/>
                <w:szCs w:val="22"/>
                <w:highlight w:val="none"/>
                <w:lang w:eastAsia="zh-CN"/>
              </w:rPr>
              <w:t>）；</w:t>
            </w:r>
            <w:r>
              <w:rPr>
                <w:rFonts w:hint="eastAsia" w:ascii="宋体" w:hAnsi="宋体" w:eastAsia="宋体" w:cs="宋体"/>
                <w:b/>
                <w:bCs/>
                <w:color w:val="auto"/>
                <w:sz w:val="22"/>
                <w:szCs w:val="22"/>
                <w:highlight w:val="none"/>
              </w:rPr>
              <w:t>（必须提供，否则响应文件按无效响应处理）</w:t>
            </w:r>
          </w:p>
          <w:p w14:paraId="49B6147F">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.供应商直接控股、管理关系信息表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格式后附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（必须提供，否则响应文件按无效响应处理）</w:t>
            </w:r>
          </w:p>
          <w:p w14:paraId="531A2EFF">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cs="宋体"/>
                <w:color w:val="auto"/>
                <w:sz w:val="22"/>
                <w:szCs w:val="22"/>
                <w:highlight w:val="none"/>
                <w:lang w:val="en-US" w:eastAsia="zh-CN"/>
              </w:rPr>
            </w:pPr>
            <w:r>
              <w:rPr>
                <w:rFonts w:hint="eastAsia" w:ascii="宋体" w:hAnsi="宋体" w:eastAsia="宋体" w:cs="宋体"/>
                <w:i w:val="0"/>
                <w:iCs w:val="0"/>
                <w:color w:val="auto"/>
                <w:sz w:val="22"/>
                <w:szCs w:val="22"/>
                <w:highlight w:val="none"/>
                <w:u w:val="none"/>
                <w:lang w:val="en-US" w:eastAsia="zh-CN"/>
              </w:rPr>
              <w:t>4.中小企业声明函（或残疾人福利性单位声明函或监狱企业证明文件）</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格式后附</w:t>
            </w:r>
            <w:r>
              <w:rPr>
                <w:rFonts w:hint="eastAsia" w:ascii="宋体" w:hAnsi="宋体" w:cs="宋体"/>
                <w:color w:val="auto"/>
                <w:sz w:val="22"/>
                <w:szCs w:val="22"/>
                <w:highlight w:val="none"/>
                <w:lang w:eastAsia="zh-CN"/>
              </w:rPr>
              <w:t>）</w:t>
            </w:r>
            <w:r>
              <w:rPr>
                <w:rFonts w:hint="eastAsia" w:ascii="宋体" w:hAnsi="宋体" w:eastAsia="宋体" w:cs="宋体"/>
                <w:i w:val="0"/>
                <w:iCs w:val="0"/>
                <w:color w:val="auto"/>
                <w:sz w:val="22"/>
                <w:szCs w:val="22"/>
                <w:highlight w:val="none"/>
                <w:u w:val="none"/>
                <w:lang w:val="en-US" w:eastAsia="zh-CN"/>
              </w:rPr>
              <w:t>；</w:t>
            </w:r>
            <w:r>
              <w:rPr>
                <w:rFonts w:hint="eastAsia" w:ascii="宋体" w:hAnsi="宋体" w:eastAsia="宋体" w:cs="宋体"/>
                <w:b/>
                <w:bCs/>
                <w:color w:val="auto"/>
                <w:sz w:val="22"/>
                <w:szCs w:val="22"/>
                <w:highlight w:val="none"/>
              </w:rPr>
              <w:t>（必须提供，否则响应文件按无效响应处理）</w:t>
            </w:r>
          </w:p>
          <w:p w14:paraId="59E3E22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除磋商文件规定必须提供以外，供应商认为需要提供的其他证明材料；</w:t>
            </w:r>
          </w:p>
          <w:p w14:paraId="61FAFF3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注：以上标明“必须提供”的材料属于复印件的扫描件的，必须加盖供应商</w:t>
            </w:r>
            <w:r>
              <w:rPr>
                <w:rFonts w:hint="eastAsia" w:ascii="宋体" w:hAnsi="宋体" w:eastAsia="宋体" w:cs="宋体"/>
                <w:b/>
                <w:color w:val="auto"/>
                <w:sz w:val="22"/>
                <w:szCs w:val="22"/>
                <w:highlight w:val="none"/>
                <w:lang w:eastAsia="zh-CN"/>
              </w:rPr>
              <w:t>公章（或电子签章）</w:t>
            </w:r>
            <w:r>
              <w:rPr>
                <w:rFonts w:hint="eastAsia" w:ascii="宋体" w:hAnsi="宋体" w:eastAsia="宋体" w:cs="宋体"/>
                <w:b/>
                <w:color w:val="auto"/>
                <w:sz w:val="22"/>
                <w:szCs w:val="22"/>
                <w:highlight w:val="none"/>
              </w:rPr>
              <w:t>，否则响应文件按无效响应处理。</w:t>
            </w:r>
          </w:p>
        </w:tc>
      </w:tr>
      <w:tr w14:paraId="6157B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restart"/>
            <w:noWrap w:val="0"/>
            <w:vAlign w:val="center"/>
          </w:tcPr>
          <w:p w14:paraId="5BF7FA55">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12.1.2</w:t>
            </w:r>
          </w:p>
        </w:tc>
        <w:tc>
          <w:tcPr>
            <w:tcW w:w="646" w:type="pct"/>
            <w:noWrap w:val="0"/>
            <w:vAlign w:val="center"/>
          </w:tcPr>
          <w:p w14:paraId="593ABA2D">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商务文件组成</w:t>
            </w:r>
          </w:p>
        </w:tc>
        <w:tc>
          <w:tcPr>
            <w:tcW w:w="3890" w:type="pct"/>
            <w:noWrap w:val="0"/>
            <w:vAlign w:val="center"/>
          </w:tcPr>
          <w:p w14:paraId="0C0EF68C">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1.无串通竞标行为的承诺函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格式后附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（必须提供，否则响应文件按无效响应处理）</w:t>
            </w:r>
          </w:p>
          <w:p w14:paraId="1E0B7068">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2.法定代表人身份证明书及法定代表人有效身份证正反面复印件</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格式后附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除自然人竞标外</w:t>
            </w:r>
            <w:r>
              <w:rPr>
                <w:rFonts w:hint="eastAsia" w:ascii="宋体" w:hAnsi="宋体" w:eastAsia="宋体" w:cs="宋体"/>
                <w:b/>
                <w:color w:val="auto"/>
                <w:sz w:val="22"/>
                <w:szCs w:val="22"/>
                <w:highlight w:val="none"/>
              </w:rPr>
              <w:t>必须提供，否则响应文件按无效响应处理</w:t>
            </w:r>
            <w:r>
              <w:rPr>
                <w:rFonts w:hint="eastAsia" w:ascii="宋体" w:hAnsi="宋体" w:eastAsia="宋体" w:cs="宋体"/>
                <w:color w:val="auto"/>
                <w:sz w:val="22"/>
                <w:szCs w:val="22"/>
                <w:highlight w:val="none"/>
              </w:rPr>
              <w:t>）</w:t>
            </w:r>
          </w:p>
          <w:p w14:paraId="03E091E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3.法定代表人授权委托书及委托代理人有效身份证正反面复印件</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格式后附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委托时必须提供，否则响应文件按无效响应处理</w:t>
            </w:r>
            <w:r>
              <w:rPr>
                <w:rFonts w:hint="eastAsia" w:ascii="宋体" w:hAnsi="宋体" w:eastAsia="宋体" w:cs="宋体"/>
                <w:color w:val="auto"/>
                <w:sz w:val="22"/>
                <w:szCs w:val="22"/>
                <w:highlight w:val="none"/>
              </w:rPr>
              <w:t>）</w:t>
            </w:r>
          </w:p>
          <w:p w14:paraId="0C511B10">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.商务条款偏离表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格式后附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（必须提供，否则响应文件按无效响应处理）</w:t>
            </w:r>
          </w:p>
          <w:p w14:paraId="733E909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.竞标人情况介绍；</w:t>
            </w:r>
          </w:p>
          <w:p w14:paraId="3BC2D642">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.供应商认为需要提供的其他有关资料。</w:t>
            </w:r>
          </w:p>
          <w:p w14:paraId="5ADE3CD3">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注：1.法定代表人授权委托书必须由法定代表人及委托代理人签字，并加盖供应商公章</w:t>
            </w:r>
            <w:r>
              <w:rPr>
                <w:rFonts w:hint="eastAsia" w:ascii="宋体" w:hAnsi="宋体" w:eastAsia="宋体" w:cs="宋体"/>
                <w:b/>
                <w:color w:val="auto"/>
                <w:sz w:val="22"/>
                <w:szCs w:val="22"/>
                <w:highlight w:val="none"/>
                <w:lang w:eastAsia="zh-CN"/>
              </w:rPr>
              <w:t>（或电子签章）</w:t>
            </w:r>
            <w:r>
              <w:rPr>
                <w:rFonts w:hint="eastAsia" w:ascii="宋体" w:hAnsi="宋体" w:eastAsia="宋体" w:cs="宋体"/>
                <w:b/>
                <w:color w:val="auto"/>
                <w:sz w:val="22"/>
                <w:szCs w:val="22"/>
                <w:highlight w:val="none"/>
              </w:rPr>
              <w:t>，否则响应文件按无效响应处理。</w:t>
            </w:r>
          </w:p>
          <w:p w14:paraId="58172CDD">
            <w:pPr>
              <w:keepNext w:val="0"/>
              <w:keepLines w:val="0"/>
              <w:pageBreakBefore w:val="0"/>
              <w:widowControl w:val="0"/>
              <w:kinsoku/>
              <w:wordWrap/>
              <w:overflowPunct/>
              <w:topLinePunct w:val="0"/>
              <w:autoSpaceDE/>
              <w:autoSpaceDN/>
              <w:bidi w:val="0"/>
              <w:adjustRightInd/>
              <w:snapToGrid w:val="0"/>
              <w:spacing w:line="360" w:lineRule="auto"/>
              <w:ind w:left="0" w:firstLine="433" w:firstLineChars="196"/>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2.以上标明“必须提供”的材料属于复印件的扫描件的，必须加盖供应商</w:t>
            </w:r>
            <w:r>
              <w:rPr>
                <w:rFonts w:hint="eastAsia" w:ascii="宋体" w:hAnsi="宋体" w:eastAsia="宋体" w:cs="宋体"/>
                <w:b/>
                <w:color w:val="auto"/>
                <w:sz w:val="22"/>
                <w:szCs w:val="22"/>
                <w:highlight w:val="none"/>
                <w:lang w:eastAsia="zh-CN"/>
              </w:rPr>
              <w:t>公章（或电子签章）</w:t>
            </w:r>
            <w:r>
              <w:rPr>
                <w:rFonts w:hint="eastAsia" w:ascii="宋体" w:hAnsi="宋体" w:eastAsia="宋体" w:cs="宋体"/>
                <w:b/>
                <w:color w:val="auto"/>
                <w:sz w:val="22"/>
                <w:szCs w:val="22"/>
                <w:highlight w:val="none"/>
              </w:rPr>
              <w:t>，否则响应文件按无效响应处理。</w:t>
            </w:r>
          </w:p>
        </w:tc>
      </w:tr>
      <w:tr w14:paraId="21ED3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continue"/>
            <w:noWrap w:val="0"/>
            <w:vAlign w:val="center"/>
          </w:tcPr>
          <w:p w14:paraId="199E2E0A">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p>
        </w:tc>
        <w:tc>
          <w:tcPr>
            <w:tcW w:w="646" w:type="pct"/>
            <w:noWrap w:val="0"/>
            <w:vAlign w:val="center"/>
          </w:tcPr>
          <w:p w14:paraId="1E1E3ADC">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技术文件组成</w:t>
            </w:r>
          </w:p>
        </w:tc>
        <w:tc>
          <w:tcPr>
            <w:tcW w:w="3890" w:type="pct"/>
            <w:noWrap w:val="0"/>
            <w:vAlign w:val="center"/>
          </w:tcPr>
          <w:p w14:paraId="1B6DB255">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1.服务需求偏离表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格式后附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（必须提供，否则响应文件按无效响应处理）</w:t>
            </w:r>
          </w:p>
          <w:p w14:paraId="745070E7">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2.服务方案（由竞标人</w:t>
            </w:r>
            <w:r>
              <w:rPr>
                <w:rFonts w:hint="eastAsia" w:ascii="宋体" w:hAnsi="宋体" w:cs="宋体"/>
                <w:color w:val="auto"/>
                <w:sz w:val="22"/>
                <w:szCs w:val="22"/>
                <w:highlight w:val="none"/>
                <w:lang w:val="en-US" w:eastAsia="zh-CN"/>
              </w:rPr>
              <w:t>可</w:t>
            </w: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第四章  评标方法及评分标准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要求编制）；</w:t>
            </w:r>
          </w:p>
          <w:p w14:paraId="16191E1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rPr>
              <w:t>3.售后服务方案；</w:t>
            </w:r>
            <w:r>
              <w:rPr>
                <w:rFonts w:hint="eastAsia" w:ascii="宋体" w:hAnsi="宋体" w:eastAsia="宋体" w:cs="宋体"/>
                <w:b/>
                <w:color w:val="auto"/>
                <w:sz w:val="22"/>
                <w:szCs w:val="22"/>
                <w:highlight w:val="none"/>
              </w:rPr>
              <w:t>（必须提供，否则作无效投标处理）</w:t>
            </w:r>
            <w:r>
              <w:rPr>
                <w:rFonts w:hint="eastAsia" w:ascii="宋体" w:hAnsi="宋体" w:eastAsia="宋体" w:cs="宋体"/>
                <w:b/>
                <w:color w:val="auto"/>
                <w:sz w:val="22"/>
                <w:szCs w:val="22"/>
                <w:highlight w:val="none"/>
                <w:lang w:eastAsia="zh-CN"/>
              </w:rPr>
              <w:t>；</w:t>
            </w:r>
          </w:p>
          <w:p w14:paraId="2A400F57">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val="0"/>
                <w:color w:val="auto"/>
                <w:sz w:val="22"/>
                <w:szCs w:val="22"/>
                <w:highlight w:val="none"/>
                <w:lang w:val="en-US" w:eastAsia="zh-CN"/>
              </w:rPr>
              <w:t>4.</w:t>
            </w:r>
            <w:r>
              <w:rPr>
                <w:rFonts w:hint="eastAsia" w:ascii="宋体" w:hAnsi="宋体" w:eastAsia="宋体" w:cs="宋体"/>
                <w:b w:val="0"/>
                <w:color w:val="auto"/>
                <w:sz w:val="22"/>
                <w:szCs w:val="22"/>
                <w:highlight w:val="none"/>
                <w:lang w:eastAsia="zh-CN"/>
              </w:rPr>
              <w:t>项目实施人员一览表；</w:t>
            </w:r>
            <w:r>
              <w:rPr>
                <w:rFonts w:hint="eastAsia" w:ascii="宋体" w:hAnsi="宋体" w:eastAsia="宋体" w:cs="宋体"/>
                <w:b/>
                <w:color w:val="auto"/>
                <w:sz w:val="22"/>
                <w:szCs w:val="22"/>
                <w:highlight w:val="none"/>
                <w:lang w:eastAsia="zh-CN"/>
              </w:rPr>
              <w:t>（必须提供，否则作无效投标处理）；</w:t>
            </w:r>
          </w:p>
          <w:p w14:paraId="58FD17B8">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val="0"/>
                <w:color w:val="auto"/>
                <w:sz w:val="22"/>
                <w:szCs w:val="22"/>
                <w:highlight w:val="none"/>
                <w:lang w:eastAsia="zh-CN"/>
              </w:rPr>
            </w:pPr>
            <w:r>
              <w:rPr>
                <w:rFonts w:hint="eastAsia" w:ascii="宋体" w:hAnsi="宋体" w:eastAsia="宋体" w:cs="宋体"/>
                <w:b w:val="0"/>
                <w:color w:val="auto"/>
                <w:sz w:val="22"/>
                <w:szCs w:val="22"/>
                <w:highlight w:val="none"/>
                <w:lang w:eastAsia="zh-CN"/>
              </w:rPr>
              <w:t>5.</w:t>
            </w:r>
            <w:r>
              <w:rPr>
                <w:rFonts w:hint="eastAsia" w:ascii="宋体" w:hAnsi="宋体" w:eastAsia="宋体" w:cs="宋体"/>
                <w:b w:val="0"/>
                <w:bCs w:val="0"/>
                <w:color w:val="auto"/>
                <w:spacing w:val="0"/>
                <w:sz w:val="22"/>
                <w:szCs w:val="22"/>
                <w:highlight w:val="none"/>
                <w:lang w:val="en-US" w:eastAsia="zh-CN"/>
              </w:rPr>
              <w:t>供应商</w:t>
            </w:r>
            <w:r>
              <w:rPr>
                <w:rFonts w:hint="eastAsia" w:ascii="宋体" w:hAnsi="宋体" w:eastAsia="宋体" w:cs="宋体"/>
                <w:b w:val="0"/>
                <w:color w:val="auto"/>
                <w:sz w:val="22"/>
                <w:szCs w:val="22"/>
                <w:highlight w:val="none"/>
                <w:lang w:eastAsia="zh-CN"/>
              </w:rPr>
              <w:t>对本项目的合理化建议和改进措施；</w:t>
            </w:r>
          </w:p>
          <w:p w14:paraId="7E5E8A52">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.供应商认为需要提供的其他有关资料。</w:t>
            </w:r>
          </w:p>
          <w:p w14:paraId="248FC7A7">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注：以上标明“必须提供”的材料属于复印件的扫描件的，必须加盖供应商</w:t>
            </w:r>
            <w:r>
              <w:rPr>
                <w:rFonts w:hint="eastAsia" w:ascii="宋体" w:hAnsi="宋体" w:eastAsia="宋体" w:cs="宋体"/>
                <w:b/>
                <w:color w:val="auto"/>
                <w:sz w:val="22"/>
                <w:szCs w:val="22"/>
                <w:highlight w:val="none"/>
                <w:lang w:eastAsia="zh-CN"/>
              </w:rPr>
              <w:t>公章（或电子签章）</w:t>
            </w:r>
            <w:r>
              <w:rPr>
                <w:rFonts w:hint="eastAsia" w:ascii="宋体" w:hAnsi="宋体" w:eastAsia="宋体" w:cs="宋体"/>
                <w:b/>
                <w:color w:val="auto"/>
                <w:sz w:val="22"/>
                <w:szCs w:val="22"/>
                <w:highlight w:val="none"/>
              </w:rPr>
              <w:t>，否则响应文件按无效响应处理。</w:t>
            </w:r>
          </w:p>
        </w:tc>
      </w:tr>
      <w:tr w14:paraId="437F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4656EF47">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12.1.2</w:t>
            </w:r>
          </w:p>
        </w:tc>
        <w:tc>
          <w:tcPr>
            <w:tcW w:w="646" w:type="pct"/>
            <w:noWrap w:val="0"/>
            <w:vAlign w:val="center"/>
          </w:tcPr>
          <w:p w14:paraId="23F6C064">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报价文件组成</w:t>
            </w:r>
          </w:p>
        </w:tc>
        <w:tc>
          <w:tcPr>
            <w:tcW w:w="3890" w:type="pct"/>
            <w:noWrap w:val="0"/>
            <w:vAlign w:val="center"/>
          </w:tcPr>
          <w:p w14:paraId="4FF4C66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格式后附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（必须提供，否则响应文件按无效响应处理）</w:t>
            </w:r>
          </w:p>
          <w:p w14:paraId="0F9EB735">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2.响应报价表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格式后附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（必须提供，否则响应文件按无效响应处理）</w:t>
            </w:r>
          </w:p>
          <w:p w14:paraId="4254A894">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.供应商针对报价需要说明的其他文件和说明。</w:t>
            </w:r>
          </w:p>
          <w:p w14:paraId="56C8E4B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注：以上标明“必须提供”的材料属于复印件的扫描件的，必须加盖供应商</w:t>
            </w:r>
            <w:r>
              <w:rPr>
                <w:rFonts w:hint="eastAsia" w:ascii="宋体" w:hAnsi="宋体" w:eastAsia="宋体" w:cs="宋体"/>
                <w:b/>
                <w:color w:val="auto"/>
                <w:sz w:val="22"/>
                <w:szCs w:val="22"/>
                <w:highlight w:val="none"/>
                <w:lang w:eastAsia="zh-CN"/>
              </w:rPr>
              <w:t>公章（或电子签章）</w:t>
            </w:r>
            <w:r>
              <w:rPr>
                <w:rFonts w:hint="eastAsia" w:ascii="宋体" w:hAnsi="宋体" w:eastAsia="宋体" w:cs="宋体"/>
                <w:b/>
                <w:color w:val="auto"/>
                <w:sz w:val="22"/>
                <w:szCs w:val="22"/>
                <w:highlight w:val="none"/>
              </w:rPr>
              <w:t>，否则响应文件按无效响应处理。</w:t>
            </w:r>
          </w:p>
        </w:tc>
      </w:tr>
      <w:tr w14:paraId="1DD13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62BA2431">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w:t>
            </w:r>
          </w:p>
        </w:tc>
        <w:tc>
          <w:tcPr>
            <w:tcW w:w="646" w:type="pct"/>
            <w:noWrap w:val="0"/>
            <w:vAlign w:val="center"/>
          </w:tcPr>
          <w:p w14:paraId="14D7D486">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响应报价要求</w:t>
            </w:r>
          </w:p>
        </w:tc>
        <w:tc>
          <w:tcPr>
            <w:tcW w:w="3890" w:type="pct"/>
            <w:noWrap w:val="0"/>
            <w:vAlign w:val="center"/>
          </w:tcPr>
          <w:p w14:paraId="69C646C3">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p w14:paraId="49DD9B1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val="en-US" w:eastAsia="zh-CN"/>
              </w:rPr>
              <w:t>本采购文件</w:t>
            </w:r>
            <w:r>
              <w:rPr>
                <w:rFonts w:hint="eastAsia" w:ascii="宋体" w:hAnsi="宋体" w:eastAsia="宋体" w:cs="宋体"/>
                <w:b/>
                <w:color w:val="auto"/>
                <w:sz w:val="22"/>
                <w:szCs w:val="22"/>
                <w:highlight w:val="none"/>
              </w:rPr>
              <w:t>第二章</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采购需求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另有约定的，从其约定</w:t>
            </w:r>
            <w:r>
              <w:rPr>
                <w:rFonts w:hint="eastAsia" w:ascii="宋体" w:hAnsi="宋体" w:eastAsia="宋体" w:cs="宋体"/>
                <w:b/>
                <w:color w:val="auto"/>
                <w:sz w:val="22"/>
                <w:szCs w:val="22"/>
                <w:highlight w:val="none"/>
                <w:lang w:eastAsia="zh-CN"/>
              </w:rPr>
              <w:t>；响应报价</w:t>
            </w:r>
            <w:r>
              <w:rPr>
                <w:rFonts w:hint="eastAsia" w:ascii="宋体" w:hAnsi="宋体" w:eastAsia="宋体" w:cs="宋体"/>
                <w:b/>
                <w:color w:val="auto"/>
                <w:sz w:val="22"/>
                <w:szCs w:val="22"/>
                <w:highlight w:val="none"/>
                <w:lang w:val="en-US" w:eastAsia="zh-CN"/>
              </w:rPr>
              <w:t>范围如有不完整，</w:t>
            </w:r>
            <w:r>
              <w:rPr>
                <w:rFonts w:hint="eastAsia" w:ascii="宋体" w:hAnsi="宋体" w:eastAsia="宋体" w:cs="宋体"/>
                <w:b/>
                <w:color w:val="auto"/>
                <w:sz w:val="22"/>
                <w:szCs w:val="22"/>
                <w:highlight w:val="none"/>
              </w:rPr>
              <w:t>响应文件按无效响应处理</w:t>
            </w:r>
            <w:r>
              <w:rPr>
                <w:rFonts w:hint="eastAsia" w:ascii="宋体" w:hAnsi="宋体" w:eastAsia="宋体" w:cs="宋体"/>
                <w:b/>
                <w:color w:val="auto"/>
                <w:sz w:val="22"/>
                <w:szCs w:val="22"/>
                <w:highlight w:val="none"/>
                <w:lang w:eastAsia="zh-CN"/>
              </w:rPr>
              <w:t>）</w:t>
            </w:r>
          </w:p>
        </w:tc>
      </w:tr>
      <w:tr w14:paraId="70C91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4F21E349">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w:t>
            </w:r>
          </w:p>
        </w:tc>
        <w:tc>
          <w:tcPr>
            <w:tcW w:w="646" w:type="pct"/>
            <w:noWrap w:val="0"/>
            <w:vAlign w:val="center"/>
          </w:tcPr>
          <w:p w14:paraId="4219F23B">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竞标有效期</w:t>
            </w:r>
          </w:p>
        </w:tc>
        <w:tc>
          <w:tcPr>
            <w:tcW w:w="3890" w:type="pct"/>
            <w:noWrap w:val="0"/>
            <w:vAlign w:val="center"/>
          </w:tcPr>
          <w:p w14:paraId="284CCFDA">
            <w:pPr>
              <w:keepNext w:val="0"/>
              <w:keepLines w:val="0"/>
              <w:pageBreakBefore w:val="0"/>
              <w:widowControl w:val="0"/>
              <w:tabs>
                <w:tab w:val="left" w:pos="720"/>
                <w:tab w:val="left" w:pos="840"/>
              </w:tabs>
              <w:kinsoku/>
              <w:wordWrap/>
              <w:overflowPunct/>
              <w:topLinePunct w:val="0"/>
              <w:autoSpaceDE/>
              <w:autoSpaceDN/>
              <w:bidi w:val="0"/>
              <w:adjustRightInd/>
              <w:snapToGrid w:val="0"/>
              <w:spacing w:line="360" w:lineRule="auto"/>
              <w:ind w:left="0" w:hanging="297" w:hangingChars="135"/>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自首次响应文件提交截止之日起</w:t>
            </w:r>
            <w:r>
              <w:rPr>
                <w:rFonts w:hint="eastAsia" w:ascii="宋体" w:hAnsi="宋体" w:eastAsia="宋体" w:cs="宋体"/>
                <w:color w:val="auto"/>
                <w:sz w:val="22"/>
                <w:szCs w:val="22"/>
                <w:highlight w:val="none"/>
                <w:u w:val="single"/>
              </w:rPr>
              <w:t xml:space="preserve"> 90 </w:t>
            </w:r>
            <w:r>
              <w:rPr>
                <w:rFonts w:hint="eastAsia" w:ascii="宋体" w:hAnsi="宋体" w:eastAsia="宋体" w:cs="宋体"/>
                <w:color w:val="auto"/>
                <w:sz w:val="22"/>
                <w:szCs w:val="22"/>
                <w:highlight w:val="none"/>
              </w:rPr>
              <w:t>日。</w:t>
            </w:r>
          </w:p>
        </w:tc>
      </w:tr>
      <w:tr w14:paraId="6C175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292F62E0">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w:t>
            </w:r>
          </w:p>
        </w:tc>
        <w:tc>
          <w:tcPr>
            <w:tcW w:w="646" w:type="pct"/>
            <w:noWrap w:val="0"/>
            <w:vAlign w:val="center"/>
          </w:tcPr>
          <w:p w14:paraId="08868633">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磋商保证金</w:t>
            </w:r>
          </w:p>
        </w:tc>
        <w:tc>
          <w:tcPr>
            <w:tcW w:w="3890" w:type="pct"/>
            <w:noWrap w:val="0"/>
            <w:vAlign w:val="center"/>
          </w:tcPr>
          <w:p w14:paraId="710A3119">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不收取</w:t>
            </w:r>
            <w:r>
              <w:rPr>
                <w:rFonts w:hint="eastAsia" w:ascii="宋体" w:hAnsi="宋体" w:eastAsia="宋体" w:cs="宋体"/>
                <w:color w:val="auto"/>
                <w:sz w:val="22"/>
                <w:szCs w:val="22"/>
                <w:highlight w:val="none"/>
                <w:lang w:val="en-US" w:eastAsia="zh-CN"/>
              </w:rPr>
              <w:t>磋商保证金</w:t>
            </w:r>
            <w:r>
              <w:rPr>
                <w:rFonts w:hint="eastAsia" w:ascii="宋体" w:hAnsi="宋体" w:eastAsia="宋体" w:cs="宋体"/>
                <w:color w:val="auto"/>
                <w:sz w:val="22"/>
                <w:szCs w:val="22"/>
                <w:highlight w:val="none"/>
              </w:rPr>
              <w:t>。</w:t>
            </w:r>
          </w:p>
        </w:tc>
      </w:tr>
      <w:tr w14:paraId="6BC25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restart"/>
            <w:noWrap w:val="0"/>
            <w:vAlign w:val="center"/>
          </w:tcPr>
          <w:p w14:paraId="02D250B4">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646" w:type="pct"/>
            <w:noWrap w:val="0"/>
            <w:vAlign w:val="center"/>
          </w:tcPr>
          <w:p w14:paraId="6D3E6225">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首次响应文件提交</w:t>
            </w:r>
            <w:r>
              <w:rPr>
                <w:rFonts w:hint="eastAsia" w:ascii="宋体" w:hAnsi="宋体" w:eastAsia="宋体" w:cs="宋体"/>
                <w:color w:val="auto"/>
                <w:sz w:val="22"/>
                <w:szCs w:val="22"/>
                <w:highlight w:val="none"/>
                <w:lang w:val="en-US" w:eastAsia="zh-CN"/>
              </w:rPr>
              <w:t>截止</w:t>
            </w:r>
            <w:r>
              <w:rPr>
                <w:rFonts w:hint="eastAsia" w:ascii="宋体" w:hAnsi="宋体" w:eastAsia="宋体" w:cs="宋体"/>
                <w:color w:val="auto"/>
                <w:sz w:val="22"/>
                <w:szCs w:val="22"/>
                <w:highlight w:val="none"/>
              </w:rPr>
              <w:t>时间</w:t>
            </w:r>
          </w:p>
        </w:tc>
        <w:tc>
          <w:tcPr>
            <w:tcW w:w="3890" w:type="pct"/>
            <w:noWrap w:val="0"/>
            <w:vAlign w:val="center"/>
          </w:tcPr>
          <w:p w14:paraId="543FDB2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详见竞争性磋商公告。</w:t>
            </w:r>
          </w:p>
        </w:tc>
      </w:tr>
      <w:tr w14:paraId="0870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continue"/>
            <w:noWrap w:val="0"/>
            <w:vAlign w:val="center"/>
          </w:tcPr>
          <w:p w14:paraId="67B09738">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p>
        </w:tc>
        <w:tc>
          <w:tcPr>
            <w:tcW w:w="646" w:type="pct"/>
            <w:noWrap w:val="0"/>
            <w:vAlign w:val="center"/>
          </w:tcPr>
          <w:p w14:paraId="154D37D5">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首次响应文件提交地点</w:t>
            </w:r>
          </w:p>
        </w:tc>
        <w:tc>
          <w:tcPr>
            <w:tcW w:w="3890" w:type="pct"/>
            <w:noWrap w:val="0"/>
            <w:vAlign w:val="center"/>
          </w:tcPr>
          <w:p w14:paraId="78EF60C0">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详见竞争性磋商公告。</w:t>
            </w:r>
          </w:p>
        </w:tc>
      </w:tr>
      <w:tr w14:paraId="61A8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5AF6DE6B">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20.6</w:t>
            </w:r>
          </w:p>
        </w:tc>
        <w:tc>
          <w:tcPr>
            <w:tcW w:w="646" w:type="pct"/>
            <w:noWrap w:val="0"/>
            <w:vAlign w:val="center"/>
          </w:tcPr>
          <w:p w14:paraId="2A7C330B">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备份响应文件</w:t>
            </w:r>
          </w:p>
        </w:tc>
        <w:tc>
          <w:tcPr>
            <w:tcW w:w="3890" w:type="pct"/>
            <w:noWrap w:val="0"/>
            <w:vAlign w:val="center"/>
          </w:tcPr>
          <w:p w14:paraId="22BEECDB">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供应商在在线上传加密文件后可以在开标前向代理机构提供加密副本文件（与加密文件同时生成的），当解密时间内供应商由于非人为操作导致无法解密的，可以由代理机构用备份文件进行异常处理</w:t>
            </w:r>
            <w:r>
              <w:rPr>
                <w:rFonts w:hint="eastAsia" w:ascii="宋体" w:hAnsi="宋体" w:eastAsia="宋体" w:cs="宋体"/>
                <w:color w:val="auto"/>
                <w:sz w:val="22"/>
                <w:szCs w:val="22"/>
                <w:highlight w:val="none"/>
              </w:rPr>
              <w:t>。</w:t>
            </w:r>
          </w:p>
        </w:tc>
      </w:tr>
      <w:tr w14:paraId="06691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restart"/>
            <w:noWrap w:val="0"/>
            <w:vAlign w:val="center"/>
          </w:tcPr>
          <w:p w14:paraId="7AF0791C">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26.2</w:t>
            </w:r>
          </w:p>
        </w:tc>
        <w:tc>
          <w:tcPr>
            <w:tcW w:w="646" w:type="pct"/>
            <w:noWrap w:val="0"/>
            <w:vAlign w:val="center"/>
          </w:tcPr>
          <w:p w14:paraId="7BA9BAB0">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highlight w:val="none"/>
              </w:rPr>
            </w:pPr>
            <w:r>
              <w:rPr>
                <w:rFonts w:hint="eastAsia" w:ascii="宋体" w:hAnsi="宋体" w:eastAsia="宋体" w:cs="宋体"/>
                <w:b w:val="0"/>
                <w:bCs/>
                <w:color w:val="auto"/>
                <w:sz w:val="22"/>
                <w:szCs w:val="22"/>
                <w:highlight w:val="none"/>
              </w:rPr>
              <w:t>负偏离要求</w:t>
            </w:r>
          </w:p>
        </w:tc>
        <w:tc>
          <w:tcPr>
            <w:tcW w:w="3890" w:type="pct"/>
            <w:noWrap w:val="0"/>
            <w:vAlign w:val="center"/>
          </w:tcPr>
          <w:p w14:paraId="2B1F0FB7">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商务条款评审中允许负偏离的条款数为 </w:t>
            </w:r>
            <w:r>
              <w:rPr>
                <w:rFonts w:hint="eastAsia" w:ascii="宋体" w:hAnsi="宋体" w:eastAsia="宋体" w:cs="宋体"/>
                <w:b/>
                <w:color w:val="auto"/>
                <w:sz w:val="22"/>
                <w:szCs w:val="22"/>
                <w:highlight w:val="none"/>
                <w:lang w:val="en-US" w:eastAsia="zh-CN"/>
              </w:rPr>
              <w:t>0</w:t>
            </w:r>
            <w:r>
              <w:rPr>
                <w:rFonts w:hint="eastAsia" w:ascii="宋体" w:hAnsi="宋体" w:eastAsia="宋体" w:cs="宋体"/>
                <w:b/>
                <w:color w:val="auto"/>
                <w:sz w:val="22"/>
                <w:szCs w:val="22"/>
                <w:highlight w:val="none"/>
              </w:rPr>
              <w:t xml:space="preserve"> 项</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若超出，</w:t>
            </w:r>
            <w:r>
              <w:rPr>
                <w:rFonts w:hint="eastAsia" w:ascii="宋体" w:hAnsi="宋体" w:eastAsia="宋体" w:cs="宋体"/>
                <w:b/>
                <w:color w:val="auto"/>
                <w:sz w:val="22"/>
                <w:szCs w:val="22"/>
                <w:highlight w:val="none"/>
              </w:rPr>
              <w:t>作无效响应处理。</w:t>
            </w:r>
          </w:p>
          <w:p w14:paraId="3040246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服务需求评审中允许负偏离的条款数为 </w:t>
            </w:r>
            <w:r>
              <w:rPr>
                <w:rFonts w:hint="eastAsia" w:ascii="宋体" w:hAnsi="宋体" w:cs="宋体"/>
                <w:b/>
                <w:color w:val="auto"/>
                <w:sz w:val="22"/>
                <w:szCs w:val="22"/>
                <w:highlight w:val="none"/>
                <w:lang w:val="en-US" w:eastAsia="zh-CN"/>
              </w:rPr>
              <w:t>5</w:t>
            </w:r>
            <w:r>
              <w:rPr>
                <w:rFonts w:hint="eastAsia" w:ascii="宋体" w:hAnsi="宋体" w:eastAsia="宋体" w:cs="宋体"/>
                <w:b/>
                <w:color w:val="auto"/>
                <w:sz w:val="22"/>
                <w:szCs w:val="22"/>
                <w:highlight w:val="none"/>
              </w:rPr>
              <w:t xml:space="preserve"> 项</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若超出，</w:t>
            </w:r>
            <w:r>
              <w:rPr>
                <w:rFonts w:hint="eastAsia" w:ascii="宋体" w:hAnsi="宋体" w:eastAsia="宋体" w:cs="宋体"/>
                <w:b/>
                <w:color w:val="auto"/>
                <w:sz w:val="22"/>
                <w:szCs w:val="22"/>
                <w:highlight w:val="none"/>
              </w:rPr>
              <w:t>作无效响应处理。</w:t>
            </w:r>
          </w:p>
        </w:tc>
      </w:tr>
      <w:tr w14:paraId="726CF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continue"/>
            <w:noWrap w:val="0"/>
            <w:vAlign w:val="center"/>
          </w:tcPr>
          <w:p w14:paraId="7BE2B910">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p>
        </w:tc>
        <w:tc>
          <w:tcPr>
            <w:tcW w:w="646" w:type="pct"/>
            <w:noWrap w:val="0"/>
            <w:vAlign w:val="center"/>
          </w:tcPr>
          <w:p w14:paraId="59CC62B0">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磋商的顺序</w:t>
            </w:r>
          </w:p>
        </w:tc>
        <w:tc>
          <w:tcPr>
            <w:tcW w:w="3890" w:type="pct"/>
            <w:noWrap w:val="0"/>
            <w:vAlign w:val="center"/>
          </w:tcPr>
          <w:p w14:paraId="7D862F69">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A3"/>
            </w:r>
            <w:r>
              <w:rPr>
                <w:rFonts w:hint="eastAsia" w:ascii="宋体" w:hAnsi="宋体" w:eastAsia="宋体" w:cs="宋体"/>
                <w:color w:val="auto"/>
                <w:sz w:val="22"/>
                <w:szCs w:val="22"/>
                <w:highlight w:val="none"/>
              </w:rPr>
              <w:t>按照提交首次响应文件的顺序，通知磋商时，若某供应商不在通知现场时，该供应商排序到最后磋商，按照签到的顺序由其下一位供应商先参与磋商。</w:t>
            </w:r>
          </w:p>
          <w:p w14:paraId="397CAFD9">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随机排序。</w:t>
            </w:r>
          </w:p>
        </w:tc>
      </w:tr>
      <w:tr w14:paraId="75BD5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2EBFDF8B">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646" w:type="pct"/>
            <w:noWrap w:val="0"/>
            <w:vAlign w:val="center"/>
          </w:tcPr>
          <w:p w14:paraId="18598135">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3890" w:type="pct"/>
            <w:noWrap w:val="0"/>
            <w:vAlign w:val="center"/>
          </w:tcPr>
          <w:p w14:paraId="08AF4CB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本项目不收取履约保证金</w:t>
            </w:r>
          </w:p>
        </w:tc>
      </w:tr>
      <w:tr w14:paraId="12184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564D9DD5">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29.5</w:t>
            </w:r>
          </w:p>
        </w:tc>
        <w:tc>
          <w:tcPr>
            <w:tcW w:w="646" w:type="pct"/>
            <w:noWrap w:val="0"/>
            <w:vAlign w:val="center"/>
          </w:tcPr>
          <w:p w14:paraId="67235928">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签订电子采购合同</w:t>
            </w:r>
          </w:p>
        </w:tc>
        <w:tc>
          <w:tcPr>
            <w:tcW w:w="3890" w:type="pct"/>
            <w:noWrap w:val="0"/>
            <w:vAlign w:val="center"/>
          </w:tcPr>
          <w:p w14:paraId="5D19E2F5">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成交供应商领取电子成交通知书后，在规定的日期、时间、地点，由法定代表人或其授权代表与采购人代表签订电子采购合同。</w:t>
            </w:r>
          </w:p>
        </w:tc>
      </w:tr>
      <w:tr w14:paraId="2C4D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restart"/>
            <w:noWrap w:val="0"/>
            <w:vAlign w:val="center"/>
          </w:tcPr>
          <w:p w14:paraId="196D5D21">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31.2</w:t>
            </w:r>
          </w:p>
        </w:tc>
        <w:tc>
          <w:tcPr>
            <w:tcW w:w="646" w:type="pct"/>
            <w:noWrap w:val="0"/>
            <w:vAlign w:val="center"/>
          </w:tcPr>
          <w:p w14:paraId="04224974">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接收质疑函方式</w:t>
            </w:r>
          </w:p>
        </w:tc>
        <w:tc>
          <w:tcPr>
            <w:tcW w:w="3890" w:type="pct"/>
            <w:noWrap w:val="0"/>
            <w:vAlign w:val="center"/>
          </w:tcPr>
          <w:p w14:paraId="1033E62C">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以书面形式</w:t>
            </w:r>
          </w:p>
        </w:tc>
      </w:tr>
      <w:tr w14:paraId="09464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continue"/>
            <w:noWrap w:val="0"/>
            <w:vAlign w:val="center"/>
          </w:tcPr>
          <w:p w14:paraId="77B14668">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p>
        </w:tc>
        <w:tc>
          <w:tcPr>
            <w:tcW w:w="646" w:type="pct"/>
            <w:noWrap w:val="0"/>
            <w:vAlign w:val="center"/>
          </w:tcPr>
          <w:p w14:paraId="14B97DCA">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质疑联系部门及联系方式</w:t>
            </w:r>
          </w:p>
        </w:tc>
        <w:tc>
          <w:tcPr>
            <w:tcW w:w="3890" w:type="pct"/>
            <w:noWrap w:val="0"/>
            <w:vAlign w:val="center"/>
          </w:tcPr>
          <w:p w14:paraId="3FB2BFC7">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u w:val="none"/>
              </w:rPr>
            </w:pPr>
            <w:r>
              <w:rPr>
                <w:rFonts w:hint="eastAsia" w:ascii="宋体" w:hAnsi="宋体" w:cs="宋体"/>
                <w:color w:val="auto"/>
                <w:sz w:val="22"/>
                <w:szCs w:val="22"/>
                <w:highlight w:val="none"/>
                <w:u w:val="none"/>
                <w:lang w:eastAsia="zh-CN"/>
              </w:rPr>
              <w:t>广西荣泰建筑设计有限责任公司</w:t>
            </w:r>
          </w:p>
          <w:p w14:paraId="15BD91AC">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联系电话：</w:t>
            </w:r>
            <w:r>
              <w:rPr>
                <w:rFonts w:hint="eastAsia" w:ascii="宋体" w:hAnsi="宋体" w:cs="宋体"/>
                <w:color w:val="auto"/>
                <w:sz w:val="22"/>
                <w:szCs w:val="22"/>
                <w:highlight w:val="none"/>
                <w:u w:val="none"/>
                <w:lang w:eastAsia="zh-CN"/>
              </w:rPr>
              <w:t>0772-2551208</w:t>
            </w:r>
          </w:p>
          <w:p w14:paraId="2D6DD124">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none"/>
              </w:rPr>
              <w:t>通讯地址：</w:t>
            </w:r>
            <w:r>
              <w:rPr>
                <w:rFonts w:hint="eastAsia" w:ascii="宋体" w:hAnsi="宋体" w:cs="宋体"/>
                <w:color w:val="auto"/>
                <w:sz w:val="22"/>
                <w:szCs w:val="22"/>
                <w:highlight w:val="none"/>
                <w:u w:val="none"/>
                <w:lang w:eastAsia="zh-CN"/>
              </w:rPr>
              <w:t>广西柳州市城中区静兰路东一巷19号静兰小区北侧荣泰设计公司大楼</w:t>
            </w:r>
          </w:p>
        </w:tc>
      </w:tr>
      <w:tr w14:paraId="1D0A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continue"/>
            <w:noWrap w:val="0"/>
            <w:vAlign w:val="center"/>
          </w:tcPr>
          <w:p w14:paraId="29FBBFAF">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p>
        </w:tc>
        <w:tc>
          <w:tcPr>
            <w:tcW w:w="646" w:type="pct"/>
            <w:noWrap w:val="0"/>
            <w:vAlign w:val="center"/>
          </w:tcPr>
          <w:p w14:paraId="20F95B0C">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现场提交质疑办理业务时间</w:t>
            </w:r>
          </w:p>
        </w:tc>
        <w:tc>
          <w:tcPr>
            <w:tcW w:w="3890" w:type="pct"/>
            <w:noWrap w:val="0"/>
            <w:vAlign w:val="center"/>
          </w:tcPr>
          <w:p w14:paraId="6F14E490">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质疑期内每个工作日</w:t>
            </w:r>
            <w:r>
              <w:rPr>
                <w:rFonts w:hint="eastAsia" w:ascii="宋体" w:hAnsi="宋体" w:eastAsia="宋体" w:cs="宋体"/>
                <w:color w:val="auto"/>
                <w:sz w:val="22"/>
                <w:szCs w:val="22"/>
                <w:highlight w:val="none"/>
                <w:u w:val="single"/>
              </w:rPr>
              <w:t>0</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rPr>
              <w:t>00</w:t>
            </w:r>
            <w:r>
              <w:rPr>
                <w:rFonts w:hint="eastAsia" w:ascii="宋体" w:hAnsi="宋体" w:eastAsia="宋体" w:cs="宋体"/>
                <w:color w:val="auto"/>
                <w:sz w:val="22"/>
                <w:szCs w:val="22"/>
                <w:highlight w:val="none"/>
              </w:rPr>
              <w:t>分到</w:t>
            </w:r>
            <w:r>
              <w:rPr>
                <w:rFonts w:hint="eastAsia" w:ascii="宋体" w:hAnsi="宋体" w:eastAsia="宋体" w:cs="宋体"/>
                <w:color w:val="auto"/>
                <w:sz w:val="22"/>
                <w:szCs w:val="22"/>
                <w:highlight w:val="none"/>
                <w:u w:val="single"/>
              </w:rPr>
              <w:t>12</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rPr>
              <w:t>00</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u w:val="single"/>
              </w:rPr>
              <w:t>15</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rPr>
              <w:t>00</w:t>
            </w:r>
            <w:r>
              <w:rPr>
                <w:rFonts w:hint="eastAsia" w:ascii="宋体" w:hAnsi="宋体" w:eastAsia="宋体" w:cs="宋体"/>
                <w:color w:val="auto"/>
                <w:sz w:val="22"/>
                <w:szCs w:val="22"/>
                <w:highlight w:val="none"/>
              </w:rPr>
              <w:t>分到</w:t>
            </w:r>
            <w:r>
              <w:rPr>
                <w:rFonts w:hint="eastAsia" w:ascii="宋体" w:hAnsi="宋体" w:eastAsia="宋体" w:cs="宋体"/>
                <w:color w:val="auto"/>
                <w:sz w:val="22"/>
                <w:szCs w:val="22"/>
                <w:highlight w:val="none"/>
                <w:u w:val="single"/>
              </w:rPr>
              <w:t>18</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rPr>
              <w:t>00</w:t>
            </w:r>
            <w:r>
              <w:rPr>
                <w:rFonts w:hint="eastAsia" w:ascii="宋体" w:hAnsi="宋体" w:eastAsia="宋体" w:cs="宋体"/>
                <w:color w:val="auto"/>
                <w:sz w:val="22"/>
                <w:szCs w:val="22"/>
                <w:highlight w:val="none"/>
              </w:rPr>
              <w:t>分</w:t>
            </w:r>
          </w:p>
        </w:tc>
      </w:tr>
      <w:tr w14:paraId="53C90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462" w:type="pct"/>
            <w:noWrap w:val="0"/>
            <w:vAlign w:val="center"/>
          </w:tcPr>
          <w:p w14:paraId="3520187D">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31.6</w:t>
            </w:r>
          </w:p>
        </w:tc>
        <w:tc>
          <w:tcPr>
            <w:tcW w:w="646" w:type="pct"/>
            <w:noWrap w:val="0"/>
            <w:vAlign w:val="center"/>
          </w:tcPr>
          <w:p w14:paraId="19A58FAD">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受理投诉方式</w:t>
            </w:r>
          </w:p>
        </w:tc>
        <w:tc>
          <w:tcPr>
            <w:tcW w:w="3890" w:type="pct"/>
            <w:noWrap w:val="0"/>
            <w:vAlign w:val="center"/>
          </w:tcPr>
          <w:p w14:paraId="160AC7F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1、受理方式：纸质方式受理，投诉书正、副本（经过质疑的事项才可投诉）。</w:t>
            </w:r>
          </w:p>
          <w:p w14:paraId="0EC131EB">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受理单位：</w:t>
            </w:r>
            <w:r>
              <w:rPr>
                <w:rFonts w:hint="eastAsia" w:ascii="宋体" w:hAnsi="宋体" w:cs="宋体"/>
                <w:bCs/>
                <w:color w:val="auto"/>
                <w:sz w:val="22"/>
                <w:szCs w:val="22"/>
                <w:highlight w:val="none"/>
                <w:lang w:val="en-US" w:eastAsia="zh-CN"/>
              </w:rPr>
              <w:t>柳州市柳城县</w:t>
            </w:r>
            <w:r>
              <w:rPr>
                <w:rFonts w:hint="eastAsia" w:ascii="宋体" w:hAnsi="宋体" w:cs="宋体"/>
                <w:bCs/>
                <w:color w:val="auto"/>
                <w:sz w:val="22"/>
                <w:szCs w:val="22"/>
                <w:highlight w:val="none"/>
                <w:lang w:eastAsia="zh-CN"/>
              </w:rPr>
              <w:t>财政局</w:t>
            </w:r>
          </w:p>
        </w:tc>
      </w:tr>
      <w:tr w14:paraId="32540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49D112AA">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w:t>
            </w:r>
          </w:p>
        </w:tc>
        <w:tc>
          <w:tcPr>
            <w:tcW w:w="646" w:type="pct"/>
            <w:noWrap w:val="0"/>
            <w:vAlign w:val="center"/>
          </w:tcPr>
          <w:p w14:paraId="7179CD1C">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采购代理费</w:t>
            </w:r>
          </w:p>
        </w:tc>
        <w:tc>
          <w:tcPr>
            <w:tcW w:w="3890" w:type="pct"/>
            <w:noWrap w:val="0"/>
            <w:vAlign w:val="center"/>
          </w:tcPr>
          <w:p w14:paraId="236FB98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是否收取采购代理费：</w:t>
            </w:r>
          </w:p>
          <w:p w14:paraId="4C58ACB9">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sym w:font="Wingdings 2" w:char="F052"/>
            </w:r>
            <w:r>
              <w:rPr>
                <w:rFonts w:hint="eastAsia" w:ascii="宋体" w:hAnsi="宋体" w:eastAsia="宋体" w:cs="宋体"/>
                <w:color w:val="auto"/>
                <w:kern w:val="0"/>
                <w:sz w:val="22"/>
                <w:szCs w:val="22"/>
                <w:highlight w:val="none"/>
              </w:rPr>
              <w:t>是    □ 否</w:t>
            </w:r>
          </w:p>
          <w:p w14:paraId="5A14F732">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2.采购代理费支付方式：</w:t>
            </w:r>
          </w:p>
          <w:p w14:paraId="4AC34A08">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sym w:font="Wingdings 2" w:char="F052"/>
            </w:r>
            <w:r>
              <w:rPr>
                <w:rFonts w:hint="eastAsia" w:ascii="宋体" w:hAnsi="宋体" w:eastAsia="宋体" w:cs="宋体"/>
                <w:color w:val="auto"/>
                <w:kern w:val="0"/>
                <w:sz w:val="22"/>
                <w:szCs w:val="22"/>
                <w:highlight w:val="none"/>
              </w:rPr>
              <w:t>本项目代理服务费由</w:t>
            </w:r>
            <w:r>
              <w:rPr>
                <w:rFonts w:hint="eastAsia" w:ascii="宋体" w:hAnsi="宋体" w:eastAsia="宋体" w:cs="宋体"/>
                <w:color w:val="auto"/>
                <w:kern w:val="0"/>
                <w:sz w:val="22"/>
                <w:szCs w:val="22"/>
                <w:highlight w:val="none"/>
                <w:u w:val="single"/>
              </w:rPr>
              <w:t>成交供应商</w:t>
            </w:r>
            <w:r>
              <w:rPr>
                <w:rFonts w:hint="eastAsia" w:ascii="宋体" w:hAnsi="宋体" w:eastAsia="宋体" w:cs="宋体"/>
                <w:color w:val="auto"/>
                <w:kern w:val="0"/>
                <w:sz w:val="22"/>
                <w:szCs w:val="22"/>
                <w:highlight w:val="none"/>
              </w:rPr>
              <w:t>领取成交通知书前，一次性向采购代理机构支付。</w:t>
            </w:r>
          </w:p>
          <w:p w14:paraId="79DD0604">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□采购人支付。</w:t>
            </w:r>
          </w:p>
          <w:p w14:paraId="60D6B795">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3.采购代理费收取标准：</w:t>
            </w:r>
          </w:p>
          <w:p w14:paraId="5B31B7E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sym w:font="Wingdings 2" w:char="F052"/>
            </w:r>
            <w:r>
              <w:rPr>
                <w:rFonts w:hint="eastAsia" w:ascii="宋体" w:hAnsi="宋体" w:eastAsia="宋体" w:cs="宋体"/>
                <w:color w:val="auto"/>
                <w:kern w:val="0"/>
                <w:sz w:val="22"/>
                <w:szCs w:val="22"/>
                <w:highlight w:val="none"/>
              </w:rPr>
              <w:t>以分标（</w:t>
            </w:r>
            <w:r>
              <w:rPr>
                <w:rFonts w:hint="eastAsia" w:ascii="宋体" w:hAnsi="宋体" w:eastAsia="宋体" w:cs="宋体"/>
                <w:color w:val="auto"/>
                <w:kern w:val="0"/>
                <w:sz w:val="22"/>
                <w:szCs w:val="22"/>
                <w:highlight w:val="none"/>
              </w:rPr>
              <w:sym w:font="Wingdings 2" w:char="0052"/>
            </w:r>
            <w:r>
              <w:rPr>
                <w:rFonts w:hint="eastAsia" w:ascii="宋体" w:hAnsi="宋体" w:eastAsia="宋体" w:cs="宋体"/>
                <w:color w:val="auto"/>
                <w:kern w:val="0"/>
                <w:sz w:val="22"/>
                <w:szCs w:val="22"/>
                <w:highlight w:val="none"/>
              </w:rPr>
              <w:t>成交金额/</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采购预算/□暂定成交金额/□其他</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）为计费额，按</w:t>
            </w:r>
            <w:r>
              <w:rPr>
                <w:rFonts w:hint="eastAsia" w:ascii="宋体" w:hAnsi="宋体" w:eastAsia="宋体" w:cs="宋体"/>
                <w:color w:val="auto"/>
                <w:kern w:val="0"/>
                <w:sz w:val="22"/>
                <w:szCs w:val="22"/>
                <w:highlight w:val="none"/>
                <w:u w:val="single"/>
              </w:rPr>
              <w:t>服务类</w:t>
            </w:r>
            <w:r>
              <w:rPr>
                <w:rFonts w:hint="eastAsia" w:ascii="宋体" w:hAnsi="宋体" w:eastAsia="宋体" w:cs="宋体"/>
                <w:color w:val="auto"/>
                <w:kern w:val="0"/>
                <w:sz w:val="22"/>
                <w:szCs w:val="22"/>
                <w:highlight w:val="none"/>
              </w:rPr>
              <w:t>采用差额定率累进法计算出收费基准价格，采购代理收费以（</w:t>
            </w:r>
            <w:r>
              <w:rPr>
                <w:rFonts w:hint="eastAsia" w:ascii="宋体" w:hAnsi="宋体" w:eastAsia="宋体" w:cs="宋体"/>
                <w:color w:val="auto"/>
                <w:kern w:val="0"/>
                <w:sz w:val="22"/>
                <w:szCs w:val="22"/>
                <w:highlight w:val="none"/>
              </w:rPr>
              <w:sym w:font="Wingdings 2" w:char="00A3"/>
            </w:r>
            <w:r>
              <w:rPr>
                <w:rFonts w:hint="eastAsia" w:ascii="宋体" w:hAnsi="宋体" w:eastAsia="宋体" w:cs="宋体"/>
                <w:color w:val="auto"/>
                <w:kern w:val="0"/>
                <w:sz w:val="22"/>
                <w:szCs w:val="22"/>
                <w:highlight w:val="none"/>
              </w:rPr>
              <w:t>收费基准价格/</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收费基准价格下浮</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12</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/□收费基准价格上浮</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）收取。</w:t>
            </w:r>
          </w:p>
          <w:p w14:paraId="684FAFBA">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kern w:val="0"/>
                <w:sz w:val="22"/>
                <w:szCs w:val="22"/>
                <w:highlight w:val="none"/>
                <w:u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固定采购代理收费</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p>
        </w:tc>
      </w:tr>
      <w:tr w14:paraId="4D703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04DB3819">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34.1</w:t>
            </w:r>
          </w:p>
        </w:tc>
        <w:tc>
          <w:tcPr>
            <w:tcW w:w="646" w:type="pct"/>
            <w:noWrap w:val="0"/>
            <w:vAlign w:val="center"/>
          </w:tcPr>
          <w:p w14:paraId="4CB35085">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w:t>
            </w:r>
          </w:p>
        </w:tc>
        <w:tc>
          <w:tcPr>
            <w:tcW w:w="3890" w:type="pct"/>
            <w:noWrap w:val="0"/>
            <w:vAlign w:val="center"/>
          </w:tcPr>
          <w:p w14:paraId="72597545">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解释权：</w:t>
            </w:r>
            <w:r>
              <w:rPr>
                <w:rFonts w:hint="eastAsia" w:ascii="宋体" w:hAnsi="宋体" w:eastAsia="宋体" w:cs="宋体"/>
                <w:color w:val="auto"/>
                <w:kern w:val="0"/>
                <w:sz w:val="22"/>
                <w:szCs w:val="22"/>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 w:val="22"/>
                <w:szCs w:val="22"/>
                <w:highlight w:val="none"/>
              </w:rPr>
              <w:t>由采购人或者采购代理机构负责解释。</w:t>
            </w:r>
          </w:p>
          <w:p w14:paraId="58CACDB7">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法律责任：</w:t>
            </w:r>
            <w:r>
              <w:rPr>
                <w:rFonts w:hint="eastAsia" w:ascii="宋体" w:hAnsi="宋体" w:eastAsia="宋体" w:cs="宋体"/>
                <w:color w:val="auto"/>
                <w:kern w:val="0"/>
                <w:sz w:val="22"/>
                <w:szCs w:val="22"/>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7C32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noWrap w:val="0"/>
            <w:vAlign w:val="center"/>
          </w:tcPr>
          <w:p w14:paraId="36472E55">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w:t>
            </w:r>
          </w:p>
        </w:tc>
        <w:tc>
          <w:tcPr>
            <w:tcW w:w="646" w:type="pct"/>
            <w:noWrap w:val="0"/>
            <w:vAlign w:val="center"/>
          </w:tcPr>
          <w:p w14:paraId="6CEA5F3D">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c>
          <w:tcPr>
            <w:tcW w:w="3890" w:type="pct"/>
            <w:noWrap w:val="0"/>
            <w:vAlign w:val="center"/>
          </w:tcPr>
          <w:p w14:paraId="004821F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F960CD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2692A1C">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5E61E7D7">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4.自然人竞标的，磋商文件规定盖公章处由自然人摁手指指印。</w:t>
            </w:r>
          </w:p>
          <w:p w14:paraId="4E199766">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5.本磋商文件所称的“以上”“以下”“以内”“届满”，包括本数；所称的“不满”“超过”“以外”，不包括本数。</w:t>
            </w:r>
          </w:p>
        </w:tc>
      </w:tr>
    </w:tbl>
    <w:p w14:paraId="5E970354">
      <w:pPr>
        <w:keepNext/>
        <w:keepLines/>
        <w:spacing w:before="260" w:after="260" w:line="420" w:lineRule="exact"/>
        <w:jc w:val="center"/>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bookmarkStart w:id="31" w:name="_Toc5715"/>
      <w:r>
        <w:rPr>
          <w:rFonts w:hint="eastAsia" w:ascii="宋体" w:hAnsi="宋体" w:eastAsia="宋体" w:cs="宋体"/>
          <w:b/>
          <w:bCs w:val="0"/>
          <w:color w:val="auto"/>
          <w:sz w:val="24"/>
          <w:szCs w:val="24"/>
          <w:highlight w:val="none"/>
        </w:rPr>
        <w:t xml:space="preserve">第二节 </w:t>
      </w:r>
      <w:r>
        <w:rPr>
          <w:rFonts w:hint="eastAsia" w:ascii="宋体"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供应商须知正文</w:t>
      </w:r>
      <w:bookmarkEnd w:id="31"/>
    </w:p>
    <w:p w14:paraId="2C8E7B50">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Theme="minorEastAsia" w:hAnsiTheme="minorEastAsia" w:eastAsiaTheme="minorEastAsia" w:cstheme="minorEastAsia"/>
          <w:bCs/>
          <w:color w:val="auto"/>
          <w:sz w:val="22"/>
          <w:szCs w:val="22"/>
          <w:highlight w:val="none"/>
        </w:rPr>
      </w:pPr>
      <w:bookmarkStart w:id="32" w:name="_Toc12165"/>
      <w:r>
        <w:rPr>
          <w:rFonts w:hint="eastAsia" w:asciiTheme="minorEastAsia" w:hAnsiTheme="minorEastAsia" w:eastAsiaTheme="minorEastAsia" w:cstheme="minorEastAsia"/>
          <w:b/>
          <w:bCs w:val="0"/>
          <w:color w:val="auto"/>
          <w:sz w:val="24"/>
          <w:szCs w:val="24"/>
          <w:highlight w:val="none"/>
        </w:rPr>
        <w:t>一、总则</w:t>
      </w:r>
      <w:bookmarkEnd w:id="32"/>
    </w:p>
    <w:p w14:paraId="7E15DD53">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1.适用范围</w:t>
      </w:r>
    </w:p>
    <w:p w14:paraId="565CFB85">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855B706">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w:t>
      </w:r>
      <w:r>
        <w:rPr>
          <w:rFonts w:hint="eastAsia" w:asciiTheme="minorEastAsia" w:hAnsiTheme="minorEastAsia" w:eastAsiaTheme="minorEastAsia" w:cstheme="minorEastAsia"/>
          <w:color w:val="auto"/>
          <w:spacing w:val="-6"/>
          <w:sz w:val="22"/>
          <w:szCs w:val="22"/>
          <w:highlight w:val="none"/>
        </w:rPr>
        <w:t>本竞争性磋商文件（以下简称磋商文件）适用于本项目的所有采购程序和环节（法律、法规另有规定的，从其规定）。</w:t>
      </w:r>
    </w:p>
    <w:p w14:paraId="3171AE2C">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2.定义</w:t>
      </w:r>
    </w:p>
    <w:p w14:paraId="3413610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2.1“采购人”是指依法进行政府采购的国家机关、事业单位、团体组织。</w:t>
      </w:r>
    </w:p>
    <w:p w14:paraId="13508420">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rPr>
        <w:t>2.2“采购代理机构”是指政府采购集中采购机构和集中采购机构以外的采购代理机构。</w:t>
      </w:r>
    </w:p>
    <w:p w14:paraId="4BAB5C88">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2.3“供应商”是指向采购人提供货物、工程或者服务的法人、其他组织或者自然人。</w:t>
      </w:r>
    </w:p>
    <w:p w14:paraId="5CD7197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2.4“服务”是指除货物和工程以外的其他政府采购对象。</w:t>
      </w:r>
    </w:p>
    <w:p w14:paraId="5787C46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2.5“竞标”是指供应商按照本项目竞争性磋商公告或者邀请函规定的方式获取磋商文件、提交响应文件并希望获得标的的行为。</w:t>
      </w:r>
    </w:p>
    <w:p w14:paraId="43565C3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2.6“响应文件”</w:t>
      </w:r>
      <w:r>
        <w:rPr>
          <w:rFonts w:hint="eastAsia" w:asciiTheme="minorEastAsia" w:hAnsiTheme="minorEastAsia" w:eastAsiaTheme="minorEastAsia" w:cstheme="minorEastAsia"/>
          <w:color w:val="auto"/>
          <w:spacing w:val="-6"/>
          <w:sz w:val="22"/>
          <w:szCs w:val="22"/>
          <w:highlight w:val="none"/>
        </w:rPr>
        <w:t>是指：供应商根据本磋商文件要求，编制包含资格证明、报价商务技术等所有内容的文件。</w:t>
      </w:r>
    </w:p>
    <w:p w14:paraId="5E59E201">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2.7“实质性要求”是指磋商文件中已经指明不满足则响应文件按无效响应处理的条款，或者不能负偏离的条款，或者采购需求中带“</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”的条款。</w:t>
      </w:r>
    </w:p>
    <w:p w14:paraId="0C45CF44">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2.8“正偏离”，是指响应文件对磋商文件“采购需求”中有关条款作出的响应优于条款要求并有利于采购人的情形。</w:t>
      </w:r>
    </w:p>
    <w:p w14:paraId="173D36F0">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2.9“负偏离”，是指响应文件对磋商文件“采购需求”中有关条款作出的响应不满足条款要求，导致采购人要求不能得到满足的情形。</w:t>
      </w:r>
    </w:p>
    <w:p w14:paraId="3D21D27F">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2.10“允许负偏离的条款”是指采购需求中的不属于“实质性要求”的条款。</w:t>
      </w:r>
    </w:p>
    <w:p w14:paraId="45FD00D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2.11“书面形式”是指合同书、信件和数据电文（包括电报、电传、传真、电子数据交换和电子邮件）等可以有形地表现所载内容的形式。</w:t>
      </w:r>
    </w:p>
    <w:p w14:paraId="648C823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2.12“首次报价”是指供应商提交的首次响应文件中的报价。</w:t>
      </w:r>
    </w:p>
    <w:p w14:paraId="45780BC5">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2.13“评审报价”是指供应商提交的最后报价并经修正（如有）和政策功能价格扣除（如有）后的价格。</w:t>
      </w:r>
    </w:p>
    <w:p w14:paraId="7D6BD8BB">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3.供应商的资格条件</w:t>
      </w:r>
    </w:p>
    <w:p w14:paraId="7E3C1D79">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供应商的资格条件详见“供应商须知前附表”。</w:t>
      </w:r>
    </w:p>
    <w:p w14:paraId="13B992E0">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4.磋商费用</w:t>
      </w:r>
    </w:p>
    <w:p w14:paraId="63211EA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供应商应承担参与本次采购活动有关的所有费用，包括但不限于、勘查现场、编制和提交响应文件、参加磋商与应答、签订合同等，不论竞标结果如何，均应自行承担。</w:t>
      </w:r>
    </w:p>
    <w:p w14:paraId="137EFA69">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5.联合体竞标</w:t>
      </w:r>
    </w:p>
    <w:p w14:paraId="393725E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5.1本项目是否接受联合体竞标，详见“供应商须知前附表”。</w:t>
      </w:r>
    </w:p>
    <w:p w14:paraId="773C2969">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5.2如接受联合体竞标，联合体竞标要求详见“供应商须知前附表”。</w:t>
      </w:r>
    </w:p>
    <w:p w14:paraId="2EC34FB2">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sz w:val="22"/>
          <w:szCs w:val="22"/>
          <w:highlight w:val="none"/>
        </w:rPr>
        <w:t>5.3</w:t>
      </w:r>
      <w:r>
        <w:rPr>
          <w:rFonts w:hint="eastAsia" w:asciiTheme="minorEastAsia" w:hAnsiTheme="minorEastAsia" w:eastAsiaTheme="minorEastAsia" w:cstheme="minorEastAsia"/>
          <w:bCs/>
          <w:color w:val="auto"/>
          <w:sz w:val="22"/>
          <w:szCs w:val="22"/>
          <w:highlight w:val="none"/>
        </w:rPr>
        <w:t>根据</w:t>
      </w:r>
      <w:r>
        <w:rPr>
          <w:rFonts w:hint="eastAsia" w:asciiTheme="minorEastAsia" w:hAnsiTheme="minorEastAsia" w:eastAsiaTheme="minorEastAsia" w:cstheme="minorEastAsia"/>
          <w:bCs/>
          <w:color w:val="auto"/>
          <w:sz w:val="22"/>
          <w:szCs w:val="22"/>
          <w:highlight w:val="none"/>
          <w:lang w:eastAsia="zh-CN"/>
        </w:rPr>
        <w:t>《政府采购促进中小企业发展管理办法》</w:t>
      </w:r>
      <w:r>
        <w:rPr>
          <w:rFonts w:hint="eastAsia" w:asciiTheme="minorEastAsia" w:hAnsiTheme="minorEastAsia" w:eastAsiaTheme="minorEastAsia" w:cstheme="minorEastAsia"/>
          <w:bCs/>
          <w:color w:val="auto"/>
          <w:sz w:val="22"/>
          <w:szCs w:val="22"/>
          <w:highlight w:val="none"/>
        </w:rPr>
        <w:t>（财库[2020]46号）第九条规定，</w:t>
      </w:r>
      <w:r>
        <w:rPr>
          <w:rFonts w:hint="eastAsia" w:asciiTheme="minorEastAsia" w:hAnsiTheme="minorEastAsia" w:eastAsiaTheme="minorEastAsia" w:cstheme="minorEastAsia"/>
          <w:bCs/>
          <w:color w:val="auto"/>
          <w:sz w:val="22"/>
          <w:szCs w:val="22"/>
          <w:highlight w:val="none"/>
          <w:lang w:val="en-US" w:eastAsia="zh-CN"/>
        </w:rPr>
        <w:t>结合</w:t>
      </w:r>
      <w:r>
        <w:rPr>
          <w:rFonts w:hint="eastAsia" w:asciiTheme="minorEastAsia" w:hAnsiTheme="minorEastAsia" w:eastAsiaTheme="minorEastAsia" w:cstheme="minorEastAsia"/>
          <w:color w:val="auto"/>
          <w:sz w:val="22"/>
          <w:szCs w:val="22"/>
          <w:highlight w:val="none"/>
          <w:lang w:eastAsia="zh-CN"/>
        </w:rPr>
        <w:t>《关于进一步加大政府采购支持中小企业力度的通知》（</w:t>
      </w:r>
      <w:r>
        <w:rPr>
          <w:rFonts w:hint="eastAsia" w:asciiTheme="minorEastAsia" w:hAnsiTheme="minorEastAsia" w:eastAsiaTheme="minorEastAsia" w:cstheme="minorEastAsia"/>
          <w:color w:val="auto"/>
          <w:sz w:val="22"/>
          <w:szCs w:val="22"/>
          <w:highlight w:val="none"/>
        </w:rPr>
        <w:t>财库〔2022〕19号</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的要求</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接受大中型企业与小微企业组成联合体的采购项目，对于联合协议约定小微企业的合同份额占到合同总金额30%以上的，采购人、采购代理机构应当对联合体的报价给予</w:t>
      </w:r>
      <w:r>
        <w:rPr>
          <w:rFonts w:hint="eastAsia" w:asciiTheme="minorEastAsia" w:hAnsiTheme="minorEastAsia" w:eastAsiaTheme="minorEastAsia" w:cstheme="minorEastAsia"/>
          <w:bCs/>
          <w:color w:val="auto"/>
          <w:sz w:val="22"/>
          <w:szCs w:val="22"/>
          <w:highlight w:val="none"/>
          <w:lang w:val="en-US" w:eastAsia="zh-CN"/>
        </w:rPr>
        <w:t>4</w:t>
      </w:r>
      <w:r>
        <w:rPr>
          <w:rFonts w:hint="eastAsia" w:asciiTheme="minorEastAsia" w:hAnsiTheme="minorEastAsia" w:eastAsiaTheme="minorEastAsia" w:cstheme="minorEastAsia"/>
          <w:bCs/>
          <w:color w:val="auto"/>
          <w:sz w:val="22"/>
          <w:szCs w:val="22"/>
          <w:highlight w:val="none"/>
        </w:rPr>
        <w:t>%-</w:t>
      </w:r>
      <w:r>
        <w:rPr>
          <w:rFonts w:hint="eastAsia" w:asciiTheme="minorEastAsia" w:hAnsiTheme="minorEastAsia" w:eastAsiaTheme="minorEastAsia" w:cstheme="minorEastAsia"/>
          <w:bCs/>
          <w:color w:val="auto"/>
          <w:sz w:val="22"/>
          <w:szCs w:val="22"/>
          <w:highlight w:val="none"/>
          <w:lang w:val="en-US" w:eastAsia="zh-CN"/>
        </w:rPr>
        <w:t>6</w:t>
      </w:r>
      <w:r>
        <w:rPr>
          <w:rFonts w:hint="eastAsia" w:asciiTheme="minorEastAsia" w:hAnsiTheme="minorEastAsia" w:eastAsiaTheme="minorEastAsia" w:cstheme="minorEastAsia"/>
          <w:bCs/>
          <w:color w:val="auto"/>
          <w:sz w:val="22"/>
          <w:szCs w:val="22"/>
          <w:highlight w:val="none"/>
        </w:rPr>
        <w:t>%（工程项目为1%—2%）的扣除，用扣除后的价格参加评审。组成联合体的小微企业与联合体内其他企业、分包企业之间存在直接控股、管理关系的，不享受价格扣除优惠政策。</w:t>
      </w:r>
    </w:p>
    <w:p w14:paraId="79CC438E">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6.转包与分包</w:t>
      </w:r>
    </w:p>
    <w:p w14:paraId="2AB54972">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6.1本项目是否允许分包详见“供应商须知前附表”，本项目不允许违法分包。</w:t>
      </w:r>
    </w:p>
    <w:p w14:paraId="2FCCAF8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6.2</w:t>
      </w:r>
      <w:r>
        <w:rPr>
          <w:rFonts w:hint="eastAsia" w:asciiTheme="minorEastAsia" w:hAnsiTheme="minorEastAsia" w:eastAsiaTheme="minorEastAsia" w:cstheme="minorEastAsia"/>
          <w:bCs/>
          <w:color w:val="auto"/>
          <w:sz w:val="22"/>
          <w:szCs w:val="22"/>
          <w:highlight w:val="none"/>
        </w:rPr>
        <w:t>根据</w:t>
      </w:r>
      <w:r>
        <w:rPr>
          <w:rFonts w:hint="eastAsia" w:asciiTheme="minorEastAsia" w:hAnsiTheme="minorEastAsia" w:eastAsiaTheme="minorEastAsia" w:cstheme="minorEastAsia"/>
          <w:bCs/>
          <w:color w:val="auto"/>
          <w:sz w:val="22"/>
          <w:szCs w:val="22"/>
          <w:highlight w:val="none"/>
          <w:lang w:eastAsia="zh-CN"/>
        </w:rPr>
        <w:t>《政府采购促进中小企业发展管理办法》</w:t>
      </w:r>
      <w:r>
        <w:rPr>
          <w:rFonts w:hint="eastAsia" w:asciiTheme="minorEastAsia" w:hAnsiTheme="minorEastAsia" w:eastAsiaTheme="minorEastAsia" w:cstheme="minorEastAsia"/>
          <w:bCs/>
          <w:color w:val="auto"/>
          <w:sz w:val="22"/>
          <w:szCs w:val="22"/>
          <w:highlight w:val="none"/>
        </w:rPr>
        <w:t>（财库[2020]46号）第九条规定，</w:t>
      </w:r>
      <w:r>
        <w:rPr>
          <w:rFonts w:hint="eastAsia" w:asciiTheme="minorEastAsia" w:hAnsiTheme="minorEastAsia" w:eastAsiaTheme="minorEastAsia" w:cstheme="minorEastAsia"/>
          <w:bCs/>
          <w:color w:val="auto"/>
          <w:sz w:val="22"/>
          <w:szCs w:val="22"/>
          <w:highlight w:val="none"/>
          <w:lang w:val="en-US" w:eastAsia="zh-CN"/>
        </w:rPr>
        <w:t>结合</w:t>
      </w:r>
      <w:r>
        <w:rPr>
          <w:rFonts w:hint="eastAsia" w:asciiTheme="minorEastAsia" w:hAnsiTheme="minorEastAsia" w:eastAsiaTheme="minorEastAsia" w:cstheme="minorEastAsia"/>
          <w:color w:val="auto"/>
          <w:sz w:val="22"/>
          <w:szCs w:val="22"/>
          <w:highlight w:val="none"/>
          <w:lang w:eastAsia="zh-CN"/>
        </w:rPr>
        <w:t>《关于进一步加大政府采购支持中小企业力度的通知》（</w:t>
      </w:r>
      <w:r>
        <w:rPr>
          <w:rFonts w:hint="eastAsia" w:asciiTheme="minorEastAsia" w:hAnsiTheme="minorEastAsia" w:eastAsiaTheme="minorEastAsia" w:cstheme="minorEastAsia"/>
          <w:color w:val="auto"/>
          <w:sz w:val="22"/>
          <w:szCs w:val="22"/>
          <w:highlight w:val="none"/>
        </w:rPr>
        <w:t>财库〔2022〕19号</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的要求</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允许大中型企业向一家或者多家小微企业分包的采购项目，对于分包意向协议约定小微企业的合同份额占到合同总金额30%以上的，采购人、采购代理机构应当对大中型企业的报价给予</w:t>
      </w:r>
      <w:r>
        <w:rPr>
          <w:rFonts w:hint="eastAsia" w:asciiTheme="minorEastAsia" w:hAnsiTheme="minorEastAsia" w:eastAsiaTheme="minorEastAsia" w:cstheme="minorEastAsia"/>
          <w:bCs/>
          <w:color w:val="auto"/>
          <w:sz w:val="22"/>
          <w:szCs w:val="22"/>
          <w:highlight w:val="none"/>
          <w:lang w:val="en-US" w:eastAsia="zh-CN"/>
        </w:rPr>
        <w:t>4</w:t>
      </w:r>
      <w:r>
        <w:rPr>
          <w:rFonts w:hint="eastAsia" w:asciiTheme="minorEastAsia" w:hAnsiTheme="minorEastAsia" w:eastAsiaTheme="minorEastAsia" w:cstheme="minorEastAsia"/>
          <w:bCs/>
          <w:color w:val="auto"/>
          <w:sz w:val="22"/>
          <w:szCs w:val="22"/>
          <w:highlight w:val="none"/>
        </w:rPr>
        <w:t>%-</w:t>
      </w:r>
      <w:r>
        <w:rPr>
          <w:rFonts w:hint="eastAsia" w:asciiTheme="minorEastAsia" w:hAnsiTheme="minorEastAsia" w:eastAsiaTheme="minorEastAsia" w:cstheme="minorEastAsia"/>
          <w:bCs/>
          <w:color w:val="auto"/>
          <w:sz w:val="22"/>
          <w:szCs w:val="22"/>
          <w:highlight w:val="none"/>
          <w:lang w:val="en-US" w:eastAsia="zh-CN"/>
        </w:rPr>
        <w:t>6</w:t>
      </w:r>
      <w:r>
        <w:rPr>
          <w:rFonts w:hint="eastAsia" w:asciiTheme="minorEastAsia" w:hAnsiTheme="minorEastAsia" w:eastAsiaTheme="minorEastAsia" w:cstheme="minorEastAsia"/>
          <w:bCs/>
          <w:color w:val="auto"/>
          <w:sz w:val="22"/>
          <w:szCs w:val="22"/>
          <w:highlight w:val="none"/>
        </w:rPr>
        <w:t>%的扣除，用扣除后的价格参加评审。接受分包的小微企业与分包企业之间存在直接控股、管理关系的，不享受价格扣除优惠政策。</w:t>
      </w:r>
    </w:p>
    <w:p w14:paraId="2A5ABE53">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bookmarkStart w:id="33" w:name="_Toc254970532"/>
      <w:bookmarkStart w:id="34" w:name="_Toc254970673"/>
      <w:r>
        <w:rPr>
          <w:rFonts w:hint="eastAsia" w:asciiTheme="minorEastAsia" w:hAnsiTheme="minorEastAsia" w:eastAsiaTheme="minorEastAsia" w:cstheme="minorEastAsia"/>
          <w:b/>
          <w:bCs/>
          <w:color w:val="auto"/>
          <w:sz w:val="22"/>
          <w:szCs w:val="22"/>
          <w:highlight w:val="none"/>
        </w:rPr>
        <w:t>7.特别说明</w:t>
      </w:r>
      <w:bookmarkEnd w:id="33"/>
      <w:bookmarkEnd w:id="34"/>
    </w:p>
    <w:p w14:paraId="278ED0F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bookmarkStart w:id="35" w:name="_8.1提供相同品牌产品且通过资格审查、符合性审查的不同投标人参加同一合"/>
      <w:bookmarkEnd w:id="35"/>
      <w:r>
        <w:rPr>
          <w:rFonts w:hint="eastAsia" w:asciiTheme="minorEastAsia" w:hAnsiTheme="minorEastAsia" w:eastAsiaTheme="minorEastAsia" w:cstheme="minorEastAsia"/>
          <w:color w:val="auto"/>
          <w:sz w:val="22"/>
          <w:szCs w:val="22"/>
          <w:highlight w:val="none"/>
        </w:rPr>
        <w:t>7.1</w:t>
      </w:r>
      <w:bookmarkStart w:id="36" w:name="_Hlk65832145"/>
      <w:r>
        <w:rPr>
          <w:rFonts w:hint="eastAsia" w:asciiTheme="minorEastAsia" w:hAnsiTheme="minorEastAsia" w:eastAsiaTheme="minorEastAsia" w:cstheme="minorEastAsia"/>
          <w:color w:val="auto"/>
          <w:sz w:val="22"/>
          <w:szCs w:val="22"/>
          <w:highlight w:val="none"/>
        </w:rPr>
        <w:t>如果本磋商文件要求提供供应商或制造商的资格、信誉、荣誉、业绩与企业认证等材料的，资格、信誉、荣誉、业绩与企业认证等必须为供应商或者制造商所拥有或自身获得。</w:t>
      </w:r>
    </w:p>
    <w:bookmarkEnd w:id="36"/>
    <w:p w14:paraId="6001CE2F">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7.2供应商应仔细阅读磋商文件的所有内容，按照磋商文件的要求提交响应文件，并对所提供的全部资料的真实性承担法律责任。</w:t>
      </w:r>
    </w:p>
    <w:p w14:paraId="03883C6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7.3供应商在竞标活动中提供任何疑似虚假材料，将报监管部门查处；签订合同后发现的，成交供应商须依照《</w:t>
      </w:r>
      <w:r>
        <w:rPr>
          <w:rFonts w:hint="eastAsia" w:asciiTheme="minorEastAsia" w:hAnsiTheme="minorEastAsia" w:eastAsiaTheme="minorEastAsia" w:cstheme="minorEastAsia"/>
          <w:color w:val="auto"/>
          <w:sz w:val="22"/>
          <w:szCs w:val="22"/>
          <w:highlight w:val="none"/>
          <w:lang w:eastAsia="zh-CN"/>
        </w:rPr>
        <w:t>中华人民共和国民法典</w:t>
      </w:r>
      <w:r>
        <w:rPr>
          <w:rFonts w:hint="eastAsia" w:asciiTheme="minorEastAsia" w:hAnsiTheme="minorEastAsia" w:eastAsiaTheme="minorEastAsia" w:cstheme="minorEastAsia"/>
          <w:color w:val="auto"/>
          <w:sz w:val="22"/>
          <w:szCs w:val="22"/>
          <w:highlight w:val="none"/>
        </w:rPr>
        <w:t>》规定赔偿采购人，且民事赔偿并不免除违法供应商的行政与刑事责任。</w:t>
      </w:r>
    </w:p>
    <w:p w14:paraId="14257EA5">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7.4在政府采购活动中，采购人员及相关人员与供应商有下列利害关系之一的，应当回避：</w:t>
      </w:r>
    </w:p>
    <w:p w14:paraId="0E283612">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（1）参加采购活动前3年内与供应商存在劳动关系；</w:t>
      </w:r>
    </w:p>
    <w:p w14:paraId="0F4023AC">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（2）参加采购活动前3年内担任供应商的董事、监事；</w:t>
      </w:r>
    </w:p>
    <w:p w14:paraId="7C48CAF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（3）参加采购活动前3年内是供应商的控股股东或者实际控制人；</w:t>
      </w:r>
    </w:p>
    <w:p w14:paraId="62D772B6">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（4）与供应商的法定代表人或者负责人有夫妻、直系血亲、三代以内旁系血亲或者近姻亲关系；</w:t>
      </w:r>
    </w:p>
    <w:p w14:paraId="1805D279">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（5）与供应商有其他可能影响政府采购活动公平、公正进行的关系。</w:t>
      </w:r>
    </w:p>
    <w:p w14:paraId="3AD1CA75">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A4B3335">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7.5有下列情形之一的视为供应商相互串通竞标，响应文件将被视为无效：</w:t>
      </w:r>
    </w:p>
    <w:p w14:paraId="5CD9D3F4">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（1）不同供应商的响应文件由同一单位或者个人编制；或者不同供应商报名的IP地址一致的；或者编制响应文件硬件设备CPU编号、硬盘编号、网卡地址一致的情况。</w:t>
      </w:r>
    </w:p>
    <w:p w14:paraId="23B01740">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（2）不同供应商委托同一单位或者个人办理竞标事宜；</w:t>
      </w:r>
    </w:p>
    <w:p w14:paraId="6286D569">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（3）不同的供应商的响应文件载明的项目管理员为同一个人；</w:t>
      </w:r>
    </w:p>
    <w:p w14:paraId="70799959">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（4）不同供应商的响应文件异常一致或者报价呈规律性差异；</w:t>
      </w:r>
    </w:p>
    <w:p w14:paraId="6EA6AF86">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（5）不同供应商的响应文件相互混装；</w:t>
      </w:r>
    </w:p>
    <w:p w14:paraId="6264AE10">
      <w:pPr>
        <w:pageBreakBefore w:val="0"/>
        <w:widowControl w:val="0"/>
        <w:tabs>
          <w:tab w:val="left" w:pos="6931"/>
        </w:tabs>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（6）不同供应商的磋商保证金从同一单位或者个人账户转出。</w:t>
      </w:r>
      <w:r>
        <w:rPr>
          <w:rFonts w:hint="eastAsia" w:asciiTheme="minorEastAsia" w:hAnsiTheme="minorEastAsia" w:eastAsiaTheme="minorEastAsia" w:cstheme="minorEastAsia"/>
          <w:color w:val="auto"/>
          <w:sz w:val="22"/>
          <w:szCs w:val="22"/>
          <w:highlight w:val="none"/>
        </w:rPr>
        <w:tab/>
      </w:r>
    </w:p>
    <w:p w14:paraId="2FFDE959">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7.6供应商有下列情形之一的，属于恶意串通行为，将报同级监督管理部门：</w:t>
      </w:r>
    </w:p>
    <w:p w14:paraId="27F271B2">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（1）供应商直接或者间接从采购人或者采购代理机构处获得其他供应商的相关信息并修改其响应文件；</w:t>
      </w:r>
    </w:p>
    <w:p w14:paraId="1E4AD36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（2）供应商按照采购人或者采购代理机构的授意撤换、修改响应文件；</w:t>
      </w:r>
    </w:p>
    <w:p w14:paraId="24AE4152">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（3）供应商之间协商报价、技术方案等响应文件或者响应文件的实质性内容；</w:t>
      </w:r>
    </w:p>
    <w:p w14:paraId="128D7892">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（4）属于同一集团、协会、商会等组织成员的供应商按照该组织要求协同参加政府采购活动；</w:t>
      </w:r>
    </w:p>
    <w:p w14:paraId="73F5BB90">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（5）供应商之间事先约定一致抬高或者压低报价，或者在政府采购活动中事先约定轮流以高价位或者低价位成交，或者事先约定由某一特定供应商成交，然后再参加竞标；</w:t>
      </w:r>
    </w:p>
    <w:p w14:paraId="77836891">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（6）供应商之间商定部分供应商放弃参加政府采购活动或者放弃成交；</w:t>
      </w:r>
    </w:p>
    <w:p w14:paraId="12BEABA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（7）供应商与采购人或者采购代理机构之间、供应商相互之间，为谋求特定供应商成交或者排斥其他供应商的其他串通行为。</w:t>
      </w:r>
    </w:p>
    <w:p w14:paraId="44C33546">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Theme="minorEastAsia" w:hAnsiTheme="minorEastAsia" w:eastAsiaTheme="minorEastAsia" w:cstheme="minorEastAsia"/>
          <w:color w:val="auto"/>
          <w:sz w:val="22"/>
          <w:szCs w:val="22"/>
          <w:highlight w:val="none"/>
        </w:rPr>
      </w:pPr>
      <w:bookmarkStart w:id="37" w:name="_Toc254970534"/>
      <w:bookmarkStart w:id="38" w:name="_Toc29811"/>
      <w:bookmarkStart w:id="39" w:name="_Toc254970675"/>
      <w:r>
        <w:rPr>
          <w:rFonts w:hint="eastAsia" w:asciiTheme="minorEastAsia" w:hAnsiTheme="minorEastAsia" w:eastAsiaTheme="minorEastAsia" w:cstheme="minorEastAsia"/>
          <w:b/>
          <w:bCs/>
          <w:color w:val="auto"/>
          <w:sz w:val="24"/>
          <w:szCs w:val="24"/>
          <w:highlight w:val="none"/>
        </w:rPr>
        <w:t>二、磋商文件</w:t>
      </w:r>
      <w:bookmarkEnd w:id="37"/>
      <w:bookmarkEnd w:id="38"/>
      <w:bookmarkEnd w:id="39"/>
    </w:p>
    <w:p w14:paraId="0EFDD9AF">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8.磋商文件的构成</w:t>
      </w:r>
    </w:p>
    <w:p w14:paraId="797086A1">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第一章 竞争性磋商公告；</w:t>
      </w:r>
    </w:p>
    <w:p w14:paraId="55F909F8">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第二章 采购需求；</w:t>
      </w:r>
    </w:p>
    <w:p w14:paraId="713B96EE">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第三章 供应商须知； </w:t>
      </w:r>
    </w:p>
    <w:p w14:paraId="5976F7E8">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第四章 评审程序、评审方法和评审标准；</w:t>
      </w:r>
    </w:p>
    <w:p w14:paraId="0DF01CDA">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第五章 响应文件格式；</w:t>
      </w:r>
    </w:p>
    <w:p w14:paraId="1E6102E0">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第六章 合同文本；</w:t>
      </w:r>
    </w:p>
    <w:p w14:paraId="4409BBAD">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第七章 质疑、投诉材料格式。</w:t>
      </w:r>
    </w:p>
    <w:p w14:paraId="29912C55">
      <w:pPr>
        <w:pStyle w:val="31"/>
        <w:pageBreakBefore w:val="0"/>
        <w:widowControl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第八章 政府采购合同验收书范本</w:t>
      </w:r>
    </w:p>
    <w:p w14:paraId="3F2C4FF4">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9.供应商的询问</w:t>
      </w:r>
    </w:p>
    <w:p w14:paraId="0262EB0F">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55E1FE69">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10.磋商文件的澄清和修改</w:t>
      </w:r>
    </w:p>
    <w:p w14:paraId="45A2867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81FE8C">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A697EB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3EC2C5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10.4</w:t>
      </w:r>
      <w:r>
        <w:rPr>
          <w:rFonts w:hint="eastAsia" w:asciiTheme="minorEastAsia" w:hAnsiTheme="minorEastAsia" w:eastAsiaTheme="minorEastAsia" w:cstheme="minorEastAsia"/>
          <w:color w:val="auto"/>
          <w:sz w:val="22"/>
          <w:szCs w:val="22"/>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45AF53D">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10.5采购人和采购代理机构可以视采购具体情况，变更提交首次响应文件截止时间和</w:t>
      </w:r>
      <w:r>
        <w:rPr>
          <w:rFonts w:hint="eastAsia" w:asciiTheme="minorEastAsia" w:hAnsiTheme="minorEastAsia" w:eastAsiaTheme="minorEastAsia" w:cstheme="minorEastAsia"/>
          <w:color w:val="auto"/>
          <w:sz w:val="22"/>
          <w:szCs w:val="22"/>
          <w:highlight w:val="none"/>
          <w:lang w:val="en-US" w:eastAsia="zh-CN"/>
        </w:rPr>
        <w:t>磋商</w:t>
      </w:r>
      <w:r>
        <w:rPr>
          <w:rFonts w:hint="eastAsia" w:asciiTheme="minorEastAsia" w:hAnsiTheme="minorEastAsia" w:eastAsiaTheme="minorEastAsia" w:cstheme="minorEastAsia"/>
          <w:color w:val="auto"/>
          <w:sz w:val="22"/>
          <w:szCs w:val="22"/>
          <w:highlight w:val="none"/>
        </w:rPr>
        <w:t>时间，将变更时间将在“采购文件公告”中“七、其他补充事宜</w:t>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rPr>
        <w:t>网上查询地址”规定的政府采购信息发布媒体上发布更正公告。</w:t>
      </w:r>
    </w:p>
    <w:p w14:paraId="1B19FB7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b/>
          <w:color w:val="auto"/>
          <w:kern w:val="0"/>
          <w:sz w:val="22"/>
          <w:szCs w:val="22"/>
          <w:highlight w:val="none"/>
        </w:rPr>
        <w:t>响应文件未按磋商文件的澄清、修改的内容编制，又不符合实质性要求的，其响应文件作无效处理。</w:t>
      </w:r>
    </w:p>
    <w:p w14:paraId="5F284936">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Theme="minorEastAsia" w:hAnsiTheme="minorEastAsia" w:eastAsiaTheme="minorEastAsia" w:cstheme="minorEastAsia"/>
          <w:color w:val="auto"/>
          <w:sz w:val="22"/>
          <w:szCs w:val="22"/>
          <w:highlight w:val="none"/>
        </w:rPr>
      </w:pPr>
      <w:bookmarkStart w:id="40" w:name="_Toc12429"/>
      <w:r>
        <w:rPr>
          <w:rFonts w:hint="eastAsia" w:asciiTheme="minorEastAsia" w:hAnsiTheme="minorEastAsia" w:eastAsiaTheme="minorEastAsia" w:cstheme="minorEastAsia"/>
          <w:b/>
          <w:bCs/>
          <w:color w:val="auto"/>
          <w:sz w:val="24"/>
          <w:szCs w:val="24"/>
          <w:highlight w:val="none"/>
        </w:rPr>
        <w:t>三、响应文件的编制</w:t>
      </w:r>
      <w:bookmarkEnd w:id="40"/>
    </w:p>
    <w:p w14:paraId="2A656E38">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11.响应文件的编制原则</w:t>
      </w:r>
    </w:p>
    <w:p w14:paraId="6931D0D4">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供应商必须按照磋商文件的要求编制响应文件，并对其提交的响应文件的真实性、合法性承担法律责任。响应文件必须对磋商文件作出实质性响应。</w:t>
      </w:r>
    </w:p>
    <w:p w14:paraId="457BF228">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12.响应文件的组成</w:t>
      </w:r>
    </w:p>
    <w:p w14:paraId="703ECF9D">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12.1响应文件由资格证明文件、报价文件、商务技术文件三部分组成。</w:t>
      </w:r>
    </w:p>
    <w:p w14:paraId="557B874F">
      <w:pPr>
        <w:pageBreakBefore w:val="0"/>
        <w:widowControl w:val="0"/>
        <w:kinsoku/>
        <w:wordWrap/>
        <w:overflowPunct/>
        <w:topLinePunct w:val="0"/>
        <w:autoSpaceDE/>
        <w:autoSpaceDN/>
        <w:bidi w:val="0"/>
        <w:adjustRightInd/>
        <w:snapToGrid/>
        <w:spacing w:line="360" w:lineRule="auto"/>
        <w:ind w:left="420" w:leftChars="200"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12.1.1资格证明文件：详见须知前附表</w:t>
      </w:r>
    </w:p>
    <w:p w14:paraId="5FF09C91">
      <w:pPr>
        <w:pageBreakBefore w:val="0"/>
        <w:widowControl w:val="0"/>
        <w:kinsoku/>
        <w:wordWrap/>
        <w:overflowPunct/>
        <w:topLinePunct w:val="0"/>
        <w:autoSpaceDE/>
        <w:autoSpaceDN/>
        <w:bidi w:val="0"/>
        <w:adjustRightInd/>
        <w:snapToGrid/>
        <w:spacing w:line="360" w:lineRule="auto"/>
        <w:ind w:left="420" w:leftChars="200"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12.1.2商务技术文件：详见须知前附表</w:t>
      </w:r>
    </w:p>
    <w:p w14:paraId="35ECFCB3">
      <w:pPr>
        <w:pageBreakBefore w:val="0"/>
        <w:widowControl w:val="0"/>
        <w:kinsoku/>
        <w:wordWrap/>
        <w:overflowPunct/>
        <w:topLinePunct w:val="0"/>
        <w:autoSpaceDE/>
        <w:autoSpaceDN/>
        <w:bidi w:val="0"/>
        <w:adjustRightInd/>
        <w:snapToGrid/>
        <w:spacing w:line="360" w:lineRule="auto"/>
        <w:ind w:left="420" w:leftChars="200"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12.1.3报价文件：详见须知前附表</w:t>
      </w:r>
    </w:p>
    <w:p w14:paraId="66BDF7F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12.2响应文件电子版：详见须知前附表</w:t>
      </w:r>
    </w:p>
    <w:p w14:paraId="1A8343CF">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13.计量单位</w:t>
      </w:r>
    </w:p>
    <w:p w14:paraId="73FBBFD8">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磋商文件已有明确规定的，使用磋商文件规定的计量单位；磋商文件没有规定的，应采用中华人民共和国法定计量单位，货币种类为人民币，否则视同未响应。</w:t>
      </w:r>
    </w:p>
    <w:p w14:paraId="02E0934A">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14.竞标的风险</w:t>
      </w:r>
    </w:p>
    <w:p w14:paraId="0131AFF4">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供应商没有按照磋商文件要求提供全部资料，或者供应商没有对磋商文件在各方面作出实质性响应可能导致其响应无效，是供应商应当考虑的风险。</w:t>
      </w:r>
    </w:p>
    <w:p w14:paraId="74103D93">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15.响应报价要求和构成</w:t>
      </w:r>
    </w:p>
    <w:p w14:paraId="557AF87F">
      <w:pPr>
        <w:pageBreakBefore w:val="0"/>
        <w:widowControl w:val="0"/>
        <w:tabs>
          <w:tab w:val="left" w:pos="2492"/>
        </w:tabs>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15.1响应报价应按“第五章 响应文件格式”中“响应报价表”格式填写。</w:t>
      </w:r>
    </w:p>
    <w:p w14:paraId="3CE4BA21">
      <w:pPr>
        <w:pageBreakBefore w:val="0"/>
        <w:widowControl w:val="0"/>
        <w:tabs>
          <w:tab w:val="left" w:pos="2492"/>
        </w:tabs>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15.2响应报价的价格构成见“供应商须知前附表”。</w:t>
      </w:r>
    </w:p>
    <w:p w14:paraId="6A5F26D2">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15.3响应报价要求</w:t>
      </w:r>
    </w:p>
    <w:p w14:paraId="5008A0E4">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15.3.1供应商的响应报价应符合以下要求，否则响应文件按无效响应处理：</w:t>
      </w:r>
    </w:p>
    <w:p w14:paraId="74A3D57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（1）供应商必须就“采购需求”中所竞标的全部内容分别作完整唯一总价报价，不得存在漏项报价；</w:t>
      </w:r>
    </w:p>
    <w:p w14:paraId="0C202A7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（2）供应商必须就所竞标</w:t>
      </w:r>
      <w:r>
        <w:rPr>
          <w:rFonts w:hint="eastAsia" w:asciiTheme="minorEastAsia" w:hAnsiTheme="minorEastAsia" w:eastAsiaTheme="minorEastAsia" w:cstheme="minorEastAsia"/>
          <w:color w:val="auto"/>
          <w:sz w:val="22"/>
          <w:szCs w:val="22"/>
          <w:highlight w:val="none"/>
          <w:lang w:val="en-US" w:eastAsia="zh-CN"/>
        </w:rPr>
        <w:t>的</w:t>
      </w:r>
      <w:r>
        <w:rPr>
          <w:rFonts w:hint="eastAsia" w:asciiTheme="minorEastAsia" w:hAnsiTheme="minorEastAsia" w:eastAsiaTheme="minorEastAsia" w:cstheme="minorEastAsia"/>
          <w:color w:val="auto"/>
          <w:sz w:val="22"/>
          <w:szCs w:val="22"/>
          <w:highlight w:val="none"/>
        </w:rPr>
        <w:t>内容作唯一报价。</w:t>
      </w:r>
    </w:p>
    <w:p w14:paraId="74AEA05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15.3.2响应报价（包含首次报价、最后报价）超过所竞标规定的采购预算金额或者最高限价的，其响应文件将作无效处理。</w:t>
      </w:r>
    </w:p>
    <w:p w14:paraId="0B7C808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15.3.3</w:t>
      </w:r>
      <w:bookmarkStart w:id="41" w:name="_Hlk42592874"/>
      <w:r>
        <w:rPr>
          <w:rFonts w:hint="eastAsia" w:asciiTheme="minorEastAsia" w:hAnsiTheme="minorEastAsia" w:eastAsiaTheme="minorEastAsia" w:cstheme="minorEastAsia"/>
          <w:color w:val="auto"/>
          <w:sz w:val="22"/>
          <w:szCs w:val="22"/>
          <w:highlight w:val="none"/>
        </w:rPr>
        <w:t>响应报价（包含首次报价、最后报价）超过分项采购预算金额或者最高限价的，其响应文件将作无效处理。</w:t>
      </w:r>
    </w:p>
    <w:bookmarkEnd w:id="41"/>
    <w:p w14:paraId="29B44B97">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16.竞标有效期</w:t>
      </w:r>
    </w:p>
    <w:p w14:paraId="3F02CAA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16.1竞标有效期是指为保证采购人有足够的时间在提交响应文件后完成评审、确定成交供应商、合同签订等工作而要求供应商提交的响应文件在一定时间内保持有效的期限。</w:t>
      </w:r>
    </w:p>
    <w:p w14:paraId="2EB7492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16.2竞标有效期应由供应商按“供应商须知前附表”规定的期限作出响应。</w:t>
      </w:r>
    </w:p>
    <w:p w14:paraId="3971B4FF">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16.3供应商的响应文件在竞标有效期内均保持有效。</w:t>
      </w:r>
    </w:p>
    <w:p w14:paraId="6156C269">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17.磋商保证金</w:t>
      </w:r>
    </w:p>
    <w:p w14:paraId="671F153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17.1提交</w:t>
      </w:r>
      <w:r>
        <w:rPr>
          <w:rFonts w:hint="eastAsia" w:asciiTheme="minorEastAsia" w:hAnsiTheme="minorEastAsia" w:eastAsiaTheme="minorEastAsia" w:cstheme="minorEastAsia"/>
          <w:bCs/>
          <w:color w:val="auto"/>
          <w:sz w:val="22"/>
          <w:szCs w:val="22"/>
          <w:highlight w:val="none"/>
          <w:lang w:val="en-US" w:eastAsia="zh-CN"/>
        </w:rPr>
        <w:t>磋商</w:t>
      </w:r>
      <w:r>
        <w:rPr>
          <w:rFonts w:hint="eastAsia" w:asciiTheme="minorEastAsia" w:hAnsiTheme="minorEastAsia" w:eastAsiaTheme="minorEastAsia" w:cstheme="minorEastAsia"/>
          <w:bCs/>
          <w:color w:val="auto"/>
          <w:sz w:val="22"/>
          <w:szCs w:val="22"/>
          <w:highlight w:val="none"/>
          <w:lang w:eastAsia="zh-CN"/>
        </w:rPr>
        <w:t>保证金的要求详见采购文件“供应商须知前附表”。</w:t>
      </w:r>
    </w:p>
    <w:p w14:paraId="33164B2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17.2</w:t>
      </w:r>
      <w:r>
        <w:rPr>
          <w:rFonts w:hint="eastAsia" w:asciiTheme="minorEastAsia" w:hAnsiTheme="minorEastAsia" w:eastAsiaTheme="minorEastAsia" w:cstheme="minorEastAsia"/>
          <w:bCs/>
          <w:color w:val="auto"/>
          <w:sz w:val="22"/>
          <w:szCs w:val="22"/>
          <w:highlight w:val="none"/>
          <w:lang w:val="en-US" w:eastAsia="zh-CN"/>
        </w:rPr>
        <w:t>磋商</w:t>
      </w:r>
      <w:r>
        <w:rPr>
          <w:rFonts w:hint="eastAsia" w:asciiTheme="minorEastAsia" w:hAnsiTheme="minorEastAsia" w:eastAsiaTheme="minorEastAsia" w:cstheme="minorEastAsia"/>
          <w:bCs/>
          <w:color w:val="auto"/>
          <w:sz w:val="22"/>
          <w:szCs w:val="22"/>
          <w:highlight w:val="none"/>
          <w:lang w:eastAsia="zh-CN"/>
        </w:rPr>
        <w:t>保证金退还：除采购文件规定不予退还保证金的情形外，未成交供应商的</w:t>
      </w:r>
      <w:r>
        <w:rPr>
          <w:rFonts w:hint="eastAsia" w:asciiTheme="minorEastAsia" w:hAnsiTheme="minorEastAsia" w:eastAsiaTheme="minorEastAsia" w:cstheme="minorEastAsia"/>
          <w:bCs/>
          <w:color w:val="auto"/>
          <w:sz w:val="22"/>
          <w:szCs w:val="22"/>
          <w:highlight w:val="none"/>
          <w:lang w:val="en-US" w:eastAsia="zh-CN"/>
        </w:rPr>
        <w:t>磋商</w:t>
      </w:r>
      <w:r>
        <w:rPr>
          <w:rFonts w:hint="eastAsia" w:asciiTheme="minorEastAsia" w:hAnsiTheme="minorEastAsia" w:eastAsiaTheme="minorEastAsia" w:cstheme="minorEastAsia"/>
          <w:bCs/>
          <w:color w:val="auto"/>
          <w:sz w:val="22"/>
          <w:szCs w:val="22"/>
          <w:highlight w:val="none"/>
          <w:lang w:eastAsia="zh-CN"/>
        </w:rPr>
        <w:t>保证金在成交通知书发出后</w:t>
      </w:r>
      <w:r>
        <w:rPr>
          <w:rFonts w:hint="eastAsia" w:asciiTheme="minorEastAsia" w:hAnsiTheme="minorEastAsia" w:eastAsiaTheme="minorEastAsia" w:cstheme="minorEastAsia"/>
          <w:bCs/>
          <w:color w:val="auto"/>
          <w:sz w:val="22"/>
          <w:szCs w:val="22"/>
          <w:highlight w:val="none"/>
          <w:lang w:val="en-US" w:eastAsia="zh-CN"/>
        </w:rPr>
        <w:t>五</w:t>
      </w:r>
      <w:r>
        <w:rPr>
          <w:rFonts w:hint="eastAsia" w:asciiTheme="minorEastAsia" w:hAnsiTheme="minorEastAsia" w:eastAsiaTheme="minorEastAsia" w:cstheme="minorEastAsia"/>
          <w:bCs/>
          <w:color w:val="auto"/>
          <w:sz w:val="22"/>
          <w:szCs w:val="22"/>
          <w:highlight w:val="none"/>
          <w:lang w:eastAsia="zh-CN"/>
        </w:rPr>
        <w:t>个工作日内退还，成交供应商的</w:t>
      </w:r>
      <w:r>
        <w:rPr>
          <w:rFonts w:hint="eastAsia" w:asciiTheme="minorEastAsia" w:hAnsiTheme="minorEastAsia" w:eastAsiaTheme="minorEastAsia" w:cstheme="minorEastAsia"/>
          <w:bCs/>
          <w:color w:val="auto"/>
          <w:sz w:val="22"/>
          <w:szCs w:val="22"/>
          <w:highlight w:val="none"/>
          <w:lang w:val="en-US" w:eastAsia="zh-CN"/>
        </w:rPr>
        <w:t>磋商</w:t>
      </w:r>
      <w:r>
        <w:rPr>
          <w:rFonts w:hint="eastAsia" w:asciiTheme="minorEastAsia" w:hAnsiTheme="minorEastAsia" w:eastAsiaTheme="minorEastAsia" w:cstheme="minorEastAsia"/>
          <w:bCs/>
          <w:color w:val="auto"/>
          <w:sz w:val="22"/>
          <w:szCs w:val="22"/>
          <w:highlight w:val="none"/>
          <w:lang w:eastAsia="zh-CN"/>
        </w:rPr>
        <w:t>保证金在与采购人签订合同后</w:t>
      </w:r>
      <w:r>
        <w:rPr>
          <w:rFonts w:hint="eastAsia" w:asciiTheme="minorEastAsia" w:hAnsiTheme="minorEastAsia" w:eastAsiaTheme="minorEastAsia" w:cstheme="minorEastAsia"/>
          <w:bCs/>
          <w:color w:val="auto"/>
          <w:sz w:val="22"/>
          <w:szCs w:val="22"/>
          <w:highlight w:val="none"/>
          <w:lang w:val="en-US" w:eastAsia="zh-CN"/>
        </w:rPr>
        <w:t>五</w:t>
      </w:r>
      <w:r>
        <w:rPr>
          <w:rFonts w:hint="eastAsia" w:asciiTheme="minorEastAsia" w:hAnsiTheme="minorEastAsia" w:eastAsiaTheme="minorEastAsia" w:cstheme="minorEastAsia"/>
          <w:bCs/>
          <w:color w:val="auto"/>
          <w:sz w:val="22"/>
          <w:szCs w:val="22"/>
          <w:highlight w:val="none"/>
          <w:lang w:eastAsia="zh-CN"/>
        </w:rPr>
        <w:t>个工作日内退还。[支票、汇票、本票形式</w:t>
      </w:r>
      <w:r>
        <w:rPr>
          <w:rFonts w:hint="eastAsia" w:asciiTheme="minorEastAsia" w:hAnsiTheme="minorEastAsia" w:eastAsiaTheme="minorEastAsia" w:cstheme="minorEastAsia"/>
          <w:bCs/>
          <w:color w:val="auto"/>
          <w:sz w:val="22"/>
          <w:szCs w:val="22"/>
          <w:highlight w:val="none"/>
          <w:lang w:val="en-US" w:eastAsia="zh-CN"/>
        </w:rPr>
        <w:t>磋商</w:t>
      </w:r>
      <w:r>
        <w:rPr>
          <w:rFonts w:hint="eastAsia" w:asciiTheme="minorEastAsia" w:hAnsiTheme="minorEastAsia" w:eastAsiaTheme="minorEastAsia" w:cstheme="minorEastAsia"/>
          <w:bCs/>
          <w:color w:val="auto"/>
          <w:sz w:val="22"/>
          <w:szCs w:val="22"/>
          <w:highlight w:val="none"/>
          <w:lang w:eastAsia="zh-CN"/>
        </w:rPr>
        <w:t>保证金的退还方式：</w:t>
      </w:r>
      <w:r>
        <w:rPr>
          <w:rFonts w:hint="eastAsia" w:asciiTheme="minorEastAsia" w:hAnsiTheme="minorEastAsia" w:eastAsiaTheme="minorEastAsia" w:cstheme="minorEastAsia"/>
          <w:bCs/>
          <w:color w:val="auto"/>
          <w:sz w:val="22"/>
          <w:szCs w:val="22"/>
          <w:highlight w:val="none"/>
          <w:lang w:val="en-US" w:eastAsia="zh-CN"/>
        </w:rPr>
        <w:t>供应商</w:t>
      </w:r>
      <w:r>
        <w:rPr>
          <w:rFonts w:hint="eastAsia" w:asciiTheme="minorEastAsia" w:hAnsiTheme="minorEastAsia" w:eastAsiaTheme="minorEastAsia" w:cstheme="minorEastAsia"/>
          <w:bCs/>
          <w:color w:val="auto"/>
          <w:sz w:val="22"/>
          <w:szCs w:val="22"/>
          <w:highlight w:val="none"/>
          <w:lang w:eastAsia="zh-CN"/>
        </w:rPr>
        <w:t>应在自接到采购代理机构通知日起（成交通知书发出当日通知未成交供应商；与采购人签订合同当日通知成交供应商）的</w:t>
      </w:r>
      <w:r>
        <w:rPr>
          <w:rFonts w:hint="eastAsia" w:asciiTheme="minorEastAsia" w:hAnsiTheme="minorEastAsia" w:eastAsiaTheme="minorEastAsia" w:cstheme="minorEastAsia"/>
          <w:bCs/>
          <w:color w:val="auto"/>
          <w:sz w:val="22"/>
          <w:szCs w:val="22"/>
          <w:highlight w:val="none"/>
          <w:lang w:val="en-US" w:eastAsia="zh-CN"/>
        </w:rPr>
        <w:t>五</w:t>
      </w:r>
      <w:r>
        <w:rPr>
          <w:rFonts w:hint="eastAsia" w:asciiTheme="minorEastAsia" w:hAnsiTheme="minorEastAsia" w:eastAsiaTheme="minorEastAsia" w:cstheme="minorEastAsia"/>
          <w:bCs/>
          <w:color w:val="auto"/>
          <w:sz w:val="22"/>
          <w:szCs w:val="22"/>
          <w:highlight w:val="none"/>
          <w:lang w:eastAsia="zh-CN"/>
        </w:rPr>
        <w:t>个工作日内自行前往采购代理机构处领取原件。</w:t>
      </w:r>
      <w:r>
        <w:rPr>
          <w:rFonts w:hint="eastAsia" w:asciiTheme="minorEastAsia" w:hAnsiTheme="minorEastAsia" w:eastAsiaTheme="minorEastAsia" w:cstheme="minorEastAsia"/>
          <w:bCs/>
          <w:color w:val="auto"/>
          <w:sz w:val="22"/>
          <w:szCs w:val="22"/>
          <w:highlight w:val="none"/>
          <w:lang w:val="en-US" w:eastAsia="zh-CN"/>
        </w:rPr>
        <w:t>供应商</w:t>
      </w:r>
      <w:r>
        <w:rPr>
          <w:rFonts w:hint="eastAsia" w:asciiTheme="minorEastAsia" w:hAnsiTheme="minorEastAsia" w:eastAsiaTheme="minorEastAsia" w:cstheme="minorEastAsia"/>
          <w:bCs/>
          <w:color w:val="auto"/>
          <w:sz w:val="22"/>
          <w:szCs w:val="22"/>
          <w:highlight w:val="none"/>
          <w:lang w:eastAsia="zh-CN"/>
        </w:rPr>
        <w:t>因自身原因逾期领取所造成的后果由</w:t>
      </w:r>
      <w:r>
        <w:rPr>
          <w:rFonts w:hint="eastAsia" w:asciiTheme="minorEastAsia" w:hAnsiTheme="minorEastAsia" w:eastAsiaTheme="minorEastAsia" w:cstheme="minorEastAsia"/>
          <w:bCs/>
          <w:color w:val="auto"/>
          <w:sz w:val="22"/>
          <w:szCs w:val="22"/>
          <w:highlight w:val="none"/>
          <w:lang w:val="en-US" w:eastAsia="zh-CN"/>
        </w:rPr>
        <w:t>供应商</w:t>
      </w:r>
      <w:r>
        <w:rPr>
          <w:rFonts w:hint="eastAsia" w:asciiTheme="minorEastAsia" w:hAnsiTheme="minorEastAsia" w:eastAsiaTheme="minorEastAsia" w:cstheme="minorEastAsia"/>
          <w:bCs/>
          <w:color w:val="auto"/>
          <w:sz w:val="22"/>
          <w:szCs w:val="22"/>
          <w:highlight w:val="none"/>
          <w:lang w:eastAsia="zh-CN"/>
        </w:rPr>
        <w:t>自行承担。]</w:t>
      </w:r>
    </w:p>
    <w:p w14:paraId="232CA95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17.3磋商保证金不计息。</w:t>
      </w:r>
    </w:p>
    <w:p w14:paraId="325AA59D">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 w:val="0"/>
          <w:bCs w:val="0"/>
          <w:color w:val="auto"/>
          <w:sz w:val="22"/>
          <w:szCs w:val="22"/>
          <w:highlight w:val="none"/>
          <w:lang w:eastAsia="zh-CN"/>
        </w:rPr>
      </w:pPr>
      <w:r>
        <w:rPr>
          <w:rFonts w:hint="eastAsia" w:asciiTheme="minorEastAsia" w:hAnsiTheme="minorEastAsia" w:eastAsiaTheme="minorEastAsia" w:cstheme="minorEastAsia"/>
          <w:b w:val="0"/>
          <w:bCs w:val="0"/>
          <w:color w:val="auto"/>
          <w:sz w:val="22"/>
          <w:szCs w:val="22"/>
          <w:highlight w:val="none"/>
        </w:rPr>
        <w:t>17.4供应商有下列情形之一的，磋商保证金将不予退还：</w:t>
      </w:r>
    </w:p>
    <w:p w14:paraId="124E574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（1）供应商在提交响应文件截止时间后撤回响应文件的；</w:t>
      </w:r>
    </w:p>
    <w:p w14:paraId="010E9B1C">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（2）供应商在响应文件中提供虚假材料的；</w:t>
      </w:r>
    </w:p>
    <w:p w14:paraId="749EE478">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（3）除因不可抗力或者磋商文件认可的情形以外，成交供应商不与采购人签订合同的；</w:t>
      </w:r>
    </w:p>
    <w:p w14:paraId="5979C26C">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（4）供应商与采购人、其他供应商或者采购代理机构恶意串通的；</w:t>
      </w:r>
    </w:p>
    <w:p w14:paraId="7B7AFCD1">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（5）磋商文件规定的其他情形。</w:t>
      </w:r>
    </w:p>
    <w:p w14:paraId="2D8F629D">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18.响应文件编制的要求</w:t>
      </w:r>
    </w:p>
    <w:p w14:paraId="1D0E91B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18.1各供应商在编制响应文件时请按照磋商文件“第五章</w:t>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rPr>
        <w:t>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7ACA23C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18.2响应文件应按资格证明、报价分别编制，商务技术文件合并编制，本磋商只接受电子版响应文件，要求见本章“12.2响应文件电子版要求”。</w:t>
      </w:r>
    </w:p>
    <w:p w14:paraId="2532306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18.</w:t>
      </w:r>
      <w:bookmarkStart w:id="42" w:name="_Hlk65832699"/>
      <w:r>
        <w:rPr>
          <w:rFonts w:hint="eastAsia" w:asciiTheme="minorEastAsia" w:hAnsiTheme="minorEastAsia" w:eastAsiaTheme="minorEastAsia" w:cstheme="minorEastAsia"/>
          <w:color w:val="auto"/>
          <w:sz w:val="22"/>
          <w:szCs w:val="22"/>
          <w:highlight w:val="none"/>
        </w:rPr>
        <w:t>3响应文件须由供应商在</w:t>
      </w:r>
      <w:r>
        <w:rPr>
          <w:rFonts w:hint="eastAsia" w:asciiTheme="minorEastAsia" w:hAnsiTheme="minorEastAsia" w:eastAsiaTheme="minorEastAsia" w:cstheme="minorEastAsia"/>
          <w:color w:val="auto"/>
          <w:kern w:val="0"/>
          <w:sz w:val="22"/>
          <w:szCs w:val="22"/>
          <w:highlight w:val="none"/>
          <w:lang w:val="zh-CN"/>
        </w:rPr>
        <w:t>“</w:t>
      </w:r>
      <w:r>
        <w:rPr>
          <w:rFonts w:hint="eastAsia" w:asciiTheme="minorEastAsia" w:hAnsiTheme="minorEastAsia" w:eastAsiaTheme="minorEastAsia" w:cstheme="minorEastAsia"/>
          <w:color w:val="auto"/>
          <w:sz w:val="22"/>
          <w:szCs w:val="22"/>
          <w:highlight w:val="none"/>
        </w:rPr>
        <w:t>第五章 响应文件格式</w:t>
      </w:r>
      <w:r>
        <w:rPr>
          <w:rFonts w:hint="eastAsia" w:asciiTheme="minorEastAsia" w:hAnsiTheme="minorEastAsia" w:eastAsiaTheme="minorEastAsia" w:cstheme="minorEastAsia"/>
          <w:color w:val="auto"/>
          <w:kern w:val="0"/>
          <w:sz w:val="22"/>
          <w:szCs w:val="22"/>
          <w:highlight w:val="none"/>
          <w:lang w:val="zh-CN"/>
        </w:rPr>
        <w:t>”</w:t>
      </w:r>
      <w:r>
        <w:rPr>
          <w:rFonts w:hint="eastAsia" w:asciiTheme="minorEastAsia" w:hAnsiTheme="minorEastAsia" w:eastAsiaTheme="minorEastAsia" w:cstheme="minorEastAsia"/>
          <w:color w:val="auto"/>
          <w:sz w:val="22"/>
          <w:szCs w:val="22"/>
          <w:highlight w:val="none"/>
        </w:rPr>
        <w:t>规定位置进行签署、盖章</w:t>
      </w:r>
      <w:bookmarkEnd w:id="42"/>
      <w:r>
        <w:rPr>
          <w:rFonts w:hint="eastAsia" w:asciiTheme="minorEastAsia" w:hAnsiTheme="minorEastAsia" w:eastAsiaTheme="minorEastAsia" w:cstheme="minorEastAsia"/>
          <w:color w:val="auto"/>
          <w:sz w:val="22"/>
          <w:szCs w:val="22"/>
          <w:highlight w:val="none"/>
        </w:rPr>
        <w:t>，否则其响应文件按无效响应处理。骑缝盖公章不视为在规定位置盖章。</w:t>
      </w:r>
    </w:p>
    <w:p w14:paraId="6CAEEFC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18.4响应文件中标注的供应商名称应与营业执照（事业单位法人证书、执业许可证、自然人身份证）及电子公章一致，否则其响应文件按无效响应处理。</w:t>
      </w:r>
    </w:p>
    <w:p w14:paraId="00B7A44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18.5响应文件应避免涂改、行间插字或者删除，否则其响应文件按无效响应处理。</w:t>
      </w:r>
    </w:p>
    <w:p w14:paraId="0F7F97D1">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19.响应文件的密封和标记</w:t>
      </w:r>
    </w:p>
    <w:p w14:paraId="37C75FB8">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EEB90B6">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19.2使用“广西政府采购云平台电子交易客户端”需要提前申领CA数字证书，申领流程见该项目采购公告附件。</w:t>
      </w:r>
    </w:p>
    <w:p w14:paraId="237C0919">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830D3BB">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20.响应文件的提交</w:t>
      </w:r>
    </w:p>
    <w:p w14:paraId="30B7ACB5">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20.1供应商必须在“供应商须知前附表”规定的时间和地点提交响应文件。</w:t>
      </w:r>
    </w:p>
    <w:p w14:paraId="0A417836">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20.2在响应文件提交截止时间以后，不能补充、修改响应文件。</w:t>
      </w:r>
    </w:p>
    <w:p w14:paraId="2B802BB6">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20.3在提交“最后报价”后，供应商不能退出</w:t>
      </w:r>
      <w:r>
        <w:rPr>
          <w:rFonts w:hint="eastAsia" w:asciiTheme="minorEastAsia" w:hAnsiTheme="minorEastAsia" w:eastAsiaTheme="minorEastAsia" w:cstheme="minorEastAsia"/>
          <w:color w:val="auto"/>
          <w:sz w:val="22"/>
          <w:szCs w:val="22"/>
          <w:highlight w:val="none"/>
          <w:lang w:val="en-US" w:eastAsia="zh-CN"/>
        </w:rPr>
        <w:t>磋商</w:t>
      </w:r>
      <w:r>
        <w:rPr>
          <w:rFonts w:hint="eastAsia" w:asciiTheme="minorEastAsia" w:hAnsiTheme="minorEastAsia" w:eastAsiaTheme="minorEastAsia" w:cstheme="minorEastAsia"/>
          <w:color w:val="auto"/>
          <w:sz w:val="22"/>
          <w:szCs w:val="22"/>
          <w:highlight w:val="none"/>
        </w:rPr>
        <w:t>。</w:t>
      </w:r>
    </w:p>
    <w:p w14:paraId="4C301C5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3F3994B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20.5采购机构不可视情况延长提交响应文件的截止时间。</w:t>
      </w:r>
    </w:p>
    <w:p w14:paraId="53AE5870">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20.6备份响应文件。</w:t>
      </w:r>
      <w:r>
        <w:rPr>
          <w:rFonts w:hint="eastAsia" w:asciiTheme="minorEastAsia" w:hAnsiTheme="minorEastAsia" w:eastAsiaTheme="minorEastAsia" w:cstheme="minorEastAsia"/>
          <w:bCs/>
          <w:color w:val="auto"/>
          <w:sz w:val="22"/>
          <w:szCs w:val="22"/>
          <w:highlight w:val="none"/>
        </w:rPr>
        <w:t>详见在“供应商须知前附表”。</w:t>
      </w:r>
    </w:p>
    <w:p w14:paraId="76EDFBB9">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21.首次响应文件的补充、修改与撤回</w:t>
      </w:r>
    </w:p>
    <w:p w14:paraId="74A9EA10">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0AFAFA48">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bookmarkStart w:id="43" w:name="_Hlk45702405"/>
      <w:r>
        <w:rPr>
          <w:rFonts w:hint="eastAsia" w:asciiTheme="minorEastAsia" w:hAnsiTheme="minorEastAsia" w:eastAsiaTheme="minorEastAsia" w:cstheme="minorEastAsia"/>
          <w:b/>
          <w:bCs/>
          <w:color w:val="auto"/>
          <w:sz w:val="22"/>
          <w:szCs w:val="22"/>
          <w:highlight w:val="none"/>
        </w:rPr>
        <w:t>22.首次响应文件的退回</w:t>
      </w:r>
    </w:p>
    <w:p w14:paraId="6ADDD092">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在首次响应文件提交截止时间止提交响应文件的供应商不足3家时电子响应文件由代理机构在“</w:t>
      </w:r>
      <w:r>
        <w:rPr>
          <w:rFonts w:hint="eastAsia" w:asciiTheme="minorEastAsia" w:hAnsiTheme="minorEastAsia" w:eastAsiaTheme="minorEastAsia" w:cstheme="minorEastAsia"/>
          <w:color w:val="auto"/>
          <w:sz w:val="22"/>
          <w:szCs w:val="22"/>
          <w:highlight w:val="none"/>
          <w:lang w:eastAsia="zh-CN"/>
        </w:rPr>
        <w:t>广西政府采购云平台</w:t>
      </w:r>
      <w:r>
        <w:rPr>
          <w:rFonts w:hint="eastAsia" w:asciiTheme="minorEastAsia" w:hAnsiTheme="minorEastAsia" w:eastAsiaTheme="minorEastAsia" w:cstheme="minorEastAsia"/>
          <w:color w:val="auto"/>
          <w:sz w:val="22"/>
          <w:szCs w:val="22"/>
          <w:highlight w:val="none"/>
        </w:rPr>
        <w:t>”平台操作退回，除此之外采购人和采购代理机构对已提交的电子响应文件概不退回。</w:t>
      </w:r>
    </w:p>
    <w:p w14:paraId="4EE973A6">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23.截止时间后的撤回</w:t>
      </w:r>
    </w:p>
    <w:bookmarkEnd w:id="43"/>
    <w:p w14:paraId="2FF9175F">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供应商在首次响应文件提交截止时间后向采购人、采购代理机构书面申请撤回响应文件的，将根据本须知正文17.4的规定不予退还其磋商保证金。</w:t>
      </w:r>
    </w:p>
    <w:p w14:paraId="3D55E220">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Theme="minorEastAsia" w:hAnsiTheme="minorEastAsia" w:eastAsiaTheme="minorEastAsia" w:cstheme="minorEastAsia"/>
          <w:color w:val="auto"/>
          <w:sz w:val="22"/>
          <w:szCs w:val="22"/>
          <w:highlight w:val="none"/>
        </w:rPr>
      </w:pPr>
      <w:bookmarkStart w:id="44" w:name="_Toc26182"/>
      <w:r>
        <w:rPr>
          <w:rFonts w:hint="eastAsia" w:asciiTheme="minorEastAsia" w:hAnsiTheme="minorEastAsia" w:eastAsiaTheme="minorEastAsia" w:cstheme="minorEastAsia"/>
          <w:b/>
          <w:bCs/>
          <w:color w:val="auto"/>
          <w:sz w:val="24"/>
          <w:szCs w:val="24"/>
          <w:highlight w:val="none"/>
        </w:rPr>
        <w:t>四、评审及磋商</w:t>
      </w:r>
      <w:bookmarkEnd w:id="44"/>
    </w:p>
    <w:p w14:paraId="4636F997">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24.磋商小组成立</w:t>
      </w:r>
    </w:p>
    <w:p w14:paraId="7CF65434">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8DD5262">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9C8ECA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24.3</w:t>
      </w:r>
      <w:r>
        <w:rPr>
          <w:rFonts w:hint="eastAsia" w:asciiTheme="minorEastAsia" w:hAnsiTheme="minorEastAsia" w:eastAsiaTheme="minorEastAsia" w:cstheme="minorEastAsia"/>
          <w:color w:val="auto"/>
          <w:sz w:val="22"/>
          <w:szCs w:val="22"/>
          <w:highlight w:val="none"/>
        </w:rPr>
        <w:t>本项目磋商小组由评审专家</w:t>
      </w:r>
      <w:r>
        <w:rPr>
          <w:rFonts w:hint="eastAsia" w:asciiTheme="minorEastAsia" w:hAnsiTheme="minorEastAsia" w:eastAsiaTheme="minorEastAsia" w:cstheme="minorEastAsia"/>
          <w:color w:val="auto"/>
          <w:sz w:val="22"/>
          <w:szCs w:val="22"/>
          <w:highlight w:val="none"/>
          <w:u w:val="single"/>
        </w:rPr>
        <w:t>2</w:t>
      </w:r>
      <w:r>
        <w:rPr>
          <w:rFonts w:hint="eastAsia" w:asciiTheme="minorEastAsia" w:hAnsiTheme="minorEastAsia" w:eastAsiaTheme="minorEastAsia" w:cstheme="minorEastAsia"/>
          <w:color w:val="auto"/>
          <w:sz w:val="22"/>
          <w:szCs w:val="22"/>
          <w:highlight w:val="none"/>
        </w:rPr>
        <w:t>人和采购人代表</w:t>
      </w:r>
      <w:r>
        <w:rPr>
          <w:rFonts w:hint="eastAsia" w:asciiTheme="minorEastAsia" w:hAnsiTheme="minorEastAsia" w:eastAsiaTheme="minorEastAsia" w:cstheme="minorEastAsia"/>
          <w:color w:val="auto"/>
          <w:sz w:val="22"/>
          <w:szCs w:val="22"/>
          <w:highlight w:val="none"/>
          <w:u w:val="single"/>
        </w:rPr>
        <w:t>1</w:t>
      </w:r>
      <w:r>
        <w:rPr>
          <w:rFonts w:hint="eastAsia" w:asciiTheme="minorEastAsia" w:hAnsiTheme="minorEastAsia" w:eastAsiaTheme="minorEastAsia" w:cstheme="minorEastAsia"/>
          <w:color w:val="auto"/>
          <w:sz w:val="22"/>
          <w:szCs w:val="22"/>
          <w:highlight w:val="none"/>
        </w:rPr>
        <w:t>人，共</w:t>
      </w:r>
      <w:r>
        <w:rPr>
          <w:rFonts w:hint="eastAsia" w:asciiTheme="minorEastAsia" w:hAnsiTheme="minorEastAsia" w:eastAsiaTheme="minorEastAsia" w:cstheme="minorEastAsia"/>
          <w:color w:val="auto"/>
          <w:sz w:val="22"/>
          <w:szCs w:val="22"/>
          <w:highlight w:val="none"/>
          <w:u w:val="single"/>
        </w:rPr>
        <w:t>3</w:t>
      </w:r>
      <w:r>
        <w:rPr>
          <w:rFonts w:hint="eastAsia" w:asciiTheme="minorEastAsia" w:hAnsiTheme="minorEastAsia" w:eastAsiaTheme="minorEastAsia" w:cstheme="minorEastAsia"/>
          <w:color w:val="auto"/>
          <w:sz w:val="22"/>
          <w:szCs w:val="22"/>
          <w:highlight w:val="none"/>
        </w:rPr>
        <w:t>人组成。</w:t>
      </w:r>
    </w:p>
    <w:p w14:paraId="39DCD1F3">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25.首次响应文件的开启</w:t>
      </w:r>
    </w:p>
    <w:p w14:paraId="62717D8F">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25.1首次响应文件由磋商小组或者采购代理机构在“供应商须知前附表”规定的时间开启。</w:t>
      </w:r>
    </w:p>
    <w:p w14:paraId="7EAAB14D">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25.2</w:t>
      </w:r>
      <w:r>
        <w:rPr>
          <w:rFonts w:hint="eastAsia" w:asciiTheme="minorEastAsia" w:hAnsiTheme="minorEastAsia" w:eastAsiaTheme="minorEastAsia" w:cstheme="minorEastAsia"/>
          <w:bCs/>
          <w:color w:val="auto"/>
          <w:kern w:val="0"/>
          <w:sz w:val="22"/>
          <w:szCs w:val="22"/>
          <w:highlight w:val="none"/>
        </w:rPr>
        <w:t>响应文件解密</w:t>
      </w:r>
    </w:p>
    <w:p w14:paraId="3A050DC5">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采购代理机构将在“供应商须知前附表”规定的时</w:t>
      </w:r>
      <w:r>
        <w:rPr>
          <w:rFonts w:hint="eastAsia" w:asciiTheme="minorEastAsia" w:hAnsiTheme="minorEastAsia" w:eastAsiaTheme="minorEastAsia" w:cstheme="minorEastAsia"/>
          <w:color w:val="auto"/>
          <w:kern w:val="0"/>
          <w:sz w:val="22"/>
          <w:szCs w:val="22"/>
          <w:highlight w:val="none"/>
        </w:rPr>
        <w:t>间通过电子交易平台组织响应文件开启，采购机构依托电子交易平台发起开始解密指令，供应商的法定代表人或其委托代理人</w:t>
      </w:r>
      <w:r>
        <w:rPr>
          <w:rFonts w:hint="eastAsia" w:asciiTheme="minorEastAsia" w:hAnsiTheme="minorEastAsia" w:eastAsiaTheme="minorEastAsia" w:cstheme="minorEastAsia"/>
          <w:b/>
          <w:color w:val="auto"/>
          <w:kern w:val="0"/>
          <w:sz w:val="22"/>
          <w:szCs w:val="22"/>
          <w:highlight w:val="none"/>
        </w:rPr>
        <w:t>须携带加密时所用的CA锁按平台提示和采购文件的规定登录到“</w:t>
      </w:r>
      <w:r>
        <w:rPr>
          <w:rFonts w:hint="eastAsia" w:asciiTheme="minorEastAsia" w:hAnsiTheme="minorEastAsia" w:eastAsiaTheme="minorEastAsia" w:cstheme="minorEastAsia"/>
          <w:b/>
          <w:color w:val="auto"/>
          <w:kern w:val="0"/>
          <w:sz w:val="22"/>
          <w:szCs w:val="22"/>
          <w:highlight w:val="none"/>
          <w:lang w:eastAsia="zh-CN"/>
        </w:rPr>
        <w:t>广西政府采购云平台</w:t>
      </w:r>
      <w:r>
        <w:rPr>
          <w:rFonts w:hint="eastAsia" w:asciiTheme="minorEastAsia" w:hAnsiTheme="minorEastAsia" w:eastAsiaTheme="minorEastAsia" w:cstheme="minorEastAsia"/>
          <w:b/>
          <w:color w:val="auto"/>
          <w:kern w:val="0"/>
          <w:sz w:val="22"/>
          <w:szCs w:val="22"/>
          <w:highlight w:val="none"/>
        </w:rPr>
        <w:t>”平台电子开标大厅签到并在发起解密指令之时起30分钟内完成对电子响应文件在线解密</w:t>
      </w:r>
      <w:r>
        <w:rPr>
          <w:rFonts w:hint="eastAsia" w:asciiTheme="minorEastAsia" w:hAnsiTheme="minorEastAsia" w:eastAsiaTheme="minorEastAsia" w:cstheme="minorEastAsia"/>
          <w:color w:val="auto"/>
          <w:kern w:val="0"/>
          <w:sz w:val="22"/>
          <w:szCs w:val="22"/>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Theme="minorEastAsia" w:hAnsiTheme="minorEastAsia" w:eastAsiaTheme="minorEastAsia" w:cstheme="minorEastAsia"/>
          <w:b/>
          <w:color w:val="auto"/>
          <w:kern w:val="0"/>
          <w:sz w:val="22"/>
          <w:szCs w:val="22"/>
          <w:highlight w:val="none"/>
        </w:rPr>
        <w:t>视为响应文件无效。</w:t>
      </w:r>
      <w:r>
        <w:rPr>
          <w:rFonts w:hint="eastAsia" w:asciiTheme="minorEastAsia" w:hAnsiTheme="minorEastAsia" w:eastAsiaTheme="minorEastAsia" w:cstheme="minorEastAsia"/>
          <w:color w:val="auto"/>
          <w:kern w:val="0"/>
          <w:sz w:val="22"/>
          <w:szCs w:val="22"/>
          <w:highlight w:val="none"/>
        </w:rPr>
        <w:t>（解密</w:t>
      </w:r>
      <w:r>
        <w:rPr>
          <w:rFonts w:hint="eastAsia" w:asciiTheme="minorEastAsia" w:hAnsiTheme="minorEastAsia" w:eastAsiaTheme="minorEastAsia" w:cstheme="minorEastAsia"/>
          <w:bCs/>
          <w:color w:val="auto"/>
          <w:kern w:val="0"/>
          <w:sz w:val="22"/>
          <w:szCs w:val="22"/>
          <w:highlight w:val="none"/>
        </w:rPr>
        <w:t>异常情况处理：详见本章</w:t>
      </w:r>
      <w:r>
        <w:rPr>
          <w:rFonts w:hint="eastAsia" w:asciiTheme="minorEastAsia" w:hAnsiTheme="minorEastAsia" w:eastAsiaTheme="minorEastAsia" w:cstheme="minorEastAsia"/>
          <w:color w:val="auto"/>
          <w:kern w:val="0"/>
          <w:sz w:val="22"/>
          <w:szCs w:val="22"/>
          <w:highlight w:val="none"/>
        </w:rPr>
        <w:t>26.</w:t>
      </w:r>
      <w:r>
        <w:rPr>
          <w:rFonts w:hint="eastAsia" w:asciiTheme="minorEastAsia" w:hAnsiTheme="minorEastAsia" w:eastAsiaTheme="minorEastAsia" w:cstheme="minorEastAsia"/>
          <w:color w:val="auto"/>
          <w:kern w:val="0"/>
          <w:sz w:val="22"/>
          <w:szCs w:val="22"/>
          <w:highlight w:val="none"/>
          <w:lang w:val="en-US" w:eastAsia="zh-CN"/>
        </w:rPr>
        <w:t>4</w:t>
      </w:r>
      <w:r>
        <w:rPr>
          <w:rFonts w:hint="eastAsia" w:asciiTheme="minorEastAsia" w:hAnsiTheme="minorEastAsia" w:eastAsiaTheme="minorEastAsia" w:cstheme="minorEastAsia"/>
          <w:color w:val="auto"/>
          <w:kern w:val="0"/>
          <w:sz w:val="22"/>
          <w:szCs w:val="22"/>
          <w:highlight w:val="none"/>
        </w:rPr>
        <w:t>电子交易活动的中止。）</w:t>
      </w:r>
    </w:p>
    <w:p w14:paraId="7894EEA0">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如</w:t>
      </w:r>
      <w:r>
        <w:rPr>
          <w:rFonts w:hint="eastAsia" w:asciiTheme="minorEastAsia" w:hAnsiTheme="minorEastAsia" w:eastAsiaTheme="minorEastAsia" w:cstheme="minorEastAsia"/>
          <w:bCs/>
          <w:color w:val="auto"/>
          <w:kern w:val="0"/>
          <w:sz w:val="22"/>
          <w:szCs w:val="22"/>
          <w:highlight w:val="none"/>
        </w:rPr>
        <w:t>供应商成功解密响应文件，但未在“</w:t>
      </w:r>
      <w:r>
        <w:rPr>
          <w:rFonts w:hint="eastAsia" w:asciiTheme="minorEastAsia" w:hAnsiTheme="minorEastAsia" w:eastAsiaTheme="minorEastAsia" w:cstheme="minorEastAsia"/>
          <w:bCs/>
          <w:color w:val="auto"/>
          <w:kern w:val="0"/>
          <w:sz w:val="22"/>
          <w:szCs w:val="22"/>
          <w:highlight w:val="none"/>
          <w:lang w:eastAsia="zh-CN"/>
        </w:rPr>
        <w:t>广西政府采购云平台</w:t>
      </w:r>
      <w:r>
        <w:rPr>
          <w:rFonts w:hint="eastAsia" w:asciiTheme="minorEastAsia" w:hAnsiTheme="minorEastAsia" w:eastAsiaTheme="minorEastAsia" w:cstheme="minorEastAsia"/>
          <w:bCs/>
          <w:color w:val="auto"/>
          <w:kern w:val="0"/>
          <w:sz w:val="22"/>
          <w:szCs w:val="22"/>
          <w:highlight w:val="none"/>
        </w:rPr>
        <w:t>”电子开标大厅参加</w:t>
      </w:r>
      <w:r>
        <w:rPr>
          <w:rFonts w:hint="eastAsia" w:asciiTheme="minorEastAsia" w:hAnsiTheme="minorEastAsia" w:eastAsiaTheme="minorEastAsia" w:cstheme="minorEastAsia"/>
          <w:bCs/>
          <w:color w:val="auto"/>
          <w:kern w:val="0"/>
          <w:sz w:val="22"/>
          <w:szCs w:val="22"/>
          <w:highlight w:val="none"/>
          <w:lang w:eastAsia="zh-CN"/>
        </w:rPr>
        <w:t>磋商</w:t>
      </w:r>
      <w:r>
        <w:rPr>
          <w:rFonts w:hint="eastAsia" w:asciiTheme="minorEastAsia" w:hAnsiTheme="minorEastAsia" w:eastAsiaTheme="minorEastAsia" w:cstheme="minorEastAsia"/>
          <w:bCs/>
          <w:color w:val="auto"/>
          <w:kern w:val="0"/>
          <w:sz w:val="22"/>
          <w:szCs w:val="22"/>
          <w:highlight w:val="none"/>
        </w:rPr>
        <w:t>的，视同认可</w:t>
      </w:r>
      <w:r>
        <w:rPr>
          <w:rFonts w:hint="eastAsia" w:asciiTheme="minorEastAsia" w:hAnsiTheme="minorEastAsia" w:eastAsiaTheme="minorEastAsia" w:cstheme="minorEastAsia"/>
          <w:bCs/>
          <w:color w:val="auto"/>
          <w:kern w:val="0"/>
          <w:sz w:val="22"/>
          <w:szCs w:val="22"/>
          <w:highlight w:val="none"/>
          <w:lang w:eastAsia="zh-CN"/>
        </w:rPr>
        <w:t>磋商</w:t>
      </w:r>
      <w:r>
        <w:rPr>
          <w:rFonts w:hint="eastAsia" w:asciiTheme="minorEastAsia" w:hAnsiTheme="minorEastAsia" w:eastAsiaTheme="minorEastAsia" w:cstheme="minorEastAsia"/>
          <w:bCs/>
          <w:color w:val="auto"/>
          <w:kern w:val="0"/>
          <w:sz w:val="22"/>
          <w:szCs w:val="22"/>
          <w:highlight w:val="none"/>
        </w:rPr>
        <w:t>过程和结果，</w:t>
      </w:r>
      <w:r>
        <w:rPr>
          <w:rFonts w:hint="eastAsia" w:asciiTheme="minorEastAsia" w:hAnsiTheme="minorEastAsia" w:eastAsiaTheme="minorEastAsia" w:cstheme="minorEastAsia"/>
          <w:color w:val="auto"/>
          <w:kern w:val="0"/>
          <w:sz w:val="22"/>
          <w:szCs w:val="22"/>
          <w:highlight w:val="none"/>
        </w:rPr>
        <w:t>由此产生的后果由供应商自行负责。参与</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的供应商不足3家的，不得</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w:t>
      </w:r>
    </w:p>
    <w:p w14:paraId="7D5EE49B">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26.评审程序、评审方法和评审标准</w:t>
      </w:r>
    </w:p>
    <w:p w14:paraId="0E174846">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26.1磋商小组按照“第四章 评审程序、评审方法和评审标准”规定的方法、评审因素、标准和程序对响应文件进行评审。</w:t>
      </w:r>
    </w:p>
    <w:p w14:paraId="7D1E63ED">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26.2磋商文件内容违反国家有关强制性规定的，磋商小组应当停止评审并向采购人或者采购代理机构说明情况，并在评审报告中书面体现。</w:t>
      </w:r>
    </w:p>
    <w:p w14:paraId="2F604BB2">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26.</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采购需求负偏离要求及磋商顺序详见“供应商须知前附表”。</w:t>
      </w:r>
    </w:p>
    <w:p w14:paraId="6DA65471">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26.</w:t>
      </w: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电子交易活动的中止。采购过程中出现以下情形，导致电子交易平台无法正常运行，或者无法保证电子交易的公平、公正和安全时，采购机构可中止电子交易活动：</w:t>
      </w:r>
    </w:p>
    <w:p w14:paraId="5050048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（1）电子交易平台发生故障而无法登录访问的；</w:t>
      </w:r>
    </w:p>
    <w:p w14:paraId="0950DC16">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（2）电子交易平台应用或数据库出现错误，不能进行正常操作的；</w:t>
      </w:r>
    </w:p>
    <w:p w14:paraId="3D8AB31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（3）电子交易平台发现严重安全漏洞，有潜在泄密危险的；</w:t>
      </w:r>
    </w:p>
    <w:p w14:paraId="257AE65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（4）病毒发作导致不能进行正常操作的；</w:t>
      </w:r>
    </w:p>
    <w:p w14:paraId="3E6F8E3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）其他无法保证电子交易的公平、公正和安全的情况。</w:t>
      </w:r>
    </w:p>
    <w:p w14:paraId="0402E634">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26.</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A793EF7">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Theme="minorEastAsia" w:hAnsiTheme="minorEastAsia" w:eastAsiaTheme="minorEastAsia" w:cstheme="minorEastAsia"/>
          <w:color w:val="auto"/>
          <w:sz w:val="22"/>
          <w:szCs w:val="22"/>
          <w:highlight w:val="none"/>
        </w:rPr>
      </w:pPr>
      <w:bookmarkStart w:id="45" w:name="_Toc9972"/>
      <w:r>
        <w:rPr>
          <w:rFonts w:hint="eastAsia" w:asciiTheme="minorEastAsia" w:hAnsiTheme="minorEastAsia" w:eastAsiaTheme="minorEastAsia" w:cstheme="minorEastAsia"/>
          <w:b/>
          <w:bCs/>
          <w:color w:val="auto"/>
          <w:sz w:val="24"/>
          <w:szCs w:val="24"/>
          <w:highlight w:val="none"/>
        </w:rPr>
        <w:t>五、成交及合同</w:t>
      </w:r>
      <w:bookmarkEnd w:id="45"/>
    </w:p>
    <w:p w14:paraId="60D71D4A">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27.确定成交供应商及结果公告</w:t>
      </w:r>
    </w:p>
    <w:p w14:paraId="1B5E168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27.1确定成交供应商。</w:t>
      </w:r>
      <w:r>
        <w:rPr>
          <w:rFonts w:hint="eastAsia" w:asciiTheme="minorEastAsia" w:hAnsiTheme="minorEastAsia" w:eastAsiaTheme="minorEastAsia" w:cstheme="minorEastAsia"/>
          <w:color w:val="auto"/>
          <w:kern w:val="0"/>
          <w:sz w:val="22"/>
          <w:szCs w:val="22"/>
          <w:highlight w:val="none"/>
          <w:u w:val="single"/>
        </w:rPr>
        <w:t>由采购人</w:t>
      </w:r>
      <w:r>
        <w:rPr>
          <w:rFonts w:hint="eastAsia" w:asciiTheme="minorEastAsia" w:hAnsiTheme="minorEastAsia" w:eastAsiaTheme="minorEastAsia" w:cstheme="minorEastAsia"/>
          <w:color w:val="auto"/>
          <w:kern w:val="0"/>
          <w:sz w:val="22"/>
          <w:szCs w:val="22"/>
          <w:highlight w:val="none"/>
          <w:u w:val="single"/>
          <w:lang w:val="en-US" w:eastAsia="zh-CN"/>
        </w:rPr>
        <w:t>根据</w:t>
      </w:r>
      <w:r>
        <w:rPr>
          <w:rFonts w:hint="eastAsia" w:asciiTheme="minorEastAsia" w:hAnsiTheme="minorEastAsia" w:eastAsiaTheme="minorEastAsia" w:cstheme="minorEastAsia"/>
          <w:color w:val="auto"/>
          <w:sz w:val="22"/>
          <w:szCs w:val="22"/>
          <w:highlight w:val="none"/>
          <w:u w:val="single"/>
        </w:rPr>
        <w:t>评审报告</w:t>
      </w:r>
      <w:r>
        <w:rPr>
          <w:rFonts w:hint="eastAsia" w:asciiTheme="minorEastAsia" w:hAnsiTheme="minorEastAsia" w:eastAsiaTheme="minorEastAsia" w:cstheme="minorEastAsia"/>
          <w:color w:val="auto"/>
          <w:sz w:val="22"/>
          <w:szCs w:val="22"/>
          <w:highlight w:val="none"/>
          <w:u w:val="single"/>
          <w:lang w:val="en-US" w:eastAsia="zh-CN"/>
        </w:rPr>
        <w:t>确认</w:t>
      </w:r>
      <w:r>
        <w:rPr>
          <w:rFonts w:hint="eastAsia" w:asciiTheme="minorEastAsia" w:hAnsiTheme="minorEastAsia" w:eastAsiaTheme="minorEastAsia" w:cstheme="minorEastAsia"/>
          <w:color w:val="auto"/>
          <w:sz w:val="22"/>
          <w:szCs w:val="22"/>
          <w:highlight w:val="none"/>
          <w:u w:val="single"/>
        </w:rPr>
        <w:t>成交供应商。</w:t>
      </w:r>
    </w:p>
    <w:p w14:paraId="10ADF7F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27.2成交通知及成交结果公告。</w:t>
      </w:r>
      <w:r>
        <w:rPr>
          <w:rFonts w:hint="eastAsia" w:asciiTheme="minorEastAsia" w:hAnsiTheme="minorEastAsia" w:eastAsiaTheme="minorEastAsia" w:cstheme="minorEastAsia"/>
          <w:color w:val="auto"/>
          <w:kern w:val="0"/>
          <w:sz w:val="22"/>
          <w:szCs w:val="22"/>
          <w:highlight w:val="none"/>
        </w:rPr>
        <w:t>成交</w:t>
      </w:r>
      <w:r>
        <w:rPr>
          <w:rFonts w:hint="eastAsia" w:asciiTheme="minorEastAsia" w:hAnsiTheme="minorEastAsia" w:eastAsiaTheme="minorEastAsia" w:cstheme="minorEastAsia"/>
          <w:color w:val="auto"/>
          <w:sz w:val="22"/>
          <w:szCs w:val="22"/>
          <w:highlight w:val="none"/>
        </w:rPr>
        <w:t>供应商确定后2个工作日内，在省级以上财政部门指定的媒体上公</w:t>
      </w:r>
      <w:r>
        <w:rPr>
          <w:rFonts w:hint="eastAsia" w:asciiTheme="minorEastAsia" w:hAnsiTheme="minorEastAsia" w:eastAsiaTheme="minorEastAsia" w:cstheme="minorEastAsia"/>
          <w:color w:val="auto"/>
          <w:kern w:val="0"/>
          <w:sz w:val="22"/>
          <w:szCs w:val="22"/>
          <w:highlight w:val="none"/>
        </w:rPr>
        <w:t>告成交结果（成交通知及成交结果公告应使用</w:t>
      </w:r>
      <w:r>
        <w:rPr>
          <w:rFonts w:hint="eastAsia" w:asciiTheme="minorEastAsia" w:hAnsiTheme="minorEastAsia" w:eastAsiaTheme="minorEastAsia" w:cstheme="minorEastAsia"/>
          <w:color w:val="auto"/>
          <w:kern w:val="0"/>
          <w:sz w:val="22"/>
          <w:szCs w:val="22"/>
          <w:highlight w:val="none"/>
          <w:lang w:val="en-US" w:eastAsia="zh-CN"/>
        </w:rPr>
        <w:t>相应</w:t>
      </w:r>
      <w:r>
        <w:rPr>
          <w:rFonts w:hint="eastAsia" w:asciiTheme="minorEastAsia" w:hAnsiTheme="minorEastAsia" w:eastAsiaTheme="minorEastAsia" w:cstheme="minorEastAsia"/>
          <w:color w:val="auto"/>
          <w:kern w:val="0"/>
          <w:sz w:val="22"/>
          <w:szCs w:val="22"/>
          <w:highlight w:val="none"/>
        </w:rPr>
        <w:t>模板进行公告，公告内容除包含《政府采购公告和公示信息格式规范（2020年版）》要求内容外，还应包含采购人专门面向中小企业预留份额情况及成交供应商评审价格、优惠率等内容），</w:t>
      </w:r>
      <w:r>
        <w:rPr>
          <w:rFonts w:hint="eastAsia" w:asciiTheme="minorEastAsia" w:hAnsiTheme="minorEastAsia" w:eastAsiaTheme="minorEastAsia" w:cstheme="minorEastAsia"/>
          <w:color w:val="auto"/>
          <w:sz w:val="22"/>
          <w:szCs w:val="22"/>
          <w:highlight w:val="none"/>
        </w:rPr>
        <w:t>同时向成交供应商发出成交通知书，成交通知书规定签订合同的时间不得超过25日。</w:t>
      </w:r>
    </w:p>
    <w:p w14:paraId="5287560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27.3采购人或者采购代理机构发出成交通知书前，应当对成交供应商信用进行查询核实，对列入失信被执行人、重大税收违法</w:t>
      </w:r>
      <w:r>
        <w:rPr>
          <w:rFonts w:hint="eastAsia" w:asciiTheme="minorEastAsia" w:hAnsiTheme="minorEastAsia" w:eastAsiaTheme="minorEastAsia" w:cstheme="minorEastAsia"/>
          <w:color w:val="auto"/>
          <w:sz w:val="22"/>
          <w:szCs w:val="22"/>
          <w:highlight w:val="none"/>
          <w:lang w:val="en-US" w:eastAsia="zh-CN"/>
        </w:rPr>
        <w:t>失信主体</w:t>
      </w:r>
      <w:r>
        <w:rPr>
          <w:rFonts w:hint="eastAsia" w:asciiTheme="minorEastAsia" w:hAnsiTheme="minorEastAsia" w:eastAsiaTheme="minorEastAsia" w:cstheme="minorEastAsia"/>
          <w:color w:val="auto"/>
          <w:sz w:val="22"/>
          <w:szCs w:val="22"/>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681976E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8EAAE0F">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sz w:val="22"/>
          <w:szCs w:val="22"/>
          <w:highlight w:val="none"/>
        </w:rPr>
        <w:t>27.5</w:t>
      </w:r>
      <w:r>
        <w:rPr>
          <w:rFonts w:hint="eastAsia" w:asciiTheme="minorEastAsia" w:hAnsiTheme="minorEastAsia" w:eastAsiaTheme="minorEastAsia" w:cstheme="minorEastAsia"/>
          <w:color w:val="auto"/>
          <w:sz w:val="22"/>
          <w:szCs w:val="22"/>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C28CCC3">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28.履约保证金</w:t>
      </w:r>
    </w:p>
    <w:p w14:paraId="6440BEE0">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color w:val="auto"/>
          <w:sz w:val="22"/>
          <w:szCs w:val="22"/>
          <w:highlight w:val="none"/>
        </w:rPr>
        <w:t>详见“供应商须知前附表”</w:t>
      </w:r>
    </w:p>
    <w:p w14:paraId="6CABC69F">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29.签订合同</w:t>
      </w:r>
    </w:p>
    <w:p w14:paraId="36B25DCC">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Theme="minorEastAsia" w:hAnsiTheme="minorEastAsia" w:eastAsiaTheme="minorEastAsia" w:cstheme="minorEastAsia"/>
          <w:color w:val="auto"/>
          <w:kern w:val="0"/>
          <w:sz w:val="22"/>
          <w:szCs w:val="22"/>
          <w:highlight w:val="none"/>
          <w:lang w:val="zh-CN"/>
        </w:rPr>
        <w:t>如成交供应商为联合体的，由联合体成员各方法定代表人或其授权代表与采购人代表签订合同。</w:t>
      </w:r>
    </w:p>
    <w:p w14:paraId="4B38C6DF">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A125BA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8311D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29.4如签订合同并生效后，供应商无故拒绝或延期，除按照合同条款处理外，列入不良行为记录，并给予通报。</w:t>
      </w:r>
    </w:p>
    <w:p w14:paraId="58775F28">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29.5采购合同由采购人与成交供应商根据磋商文件、响应文件等内容通过政府采购电子交易平台在线签订，自动备案，在线签订须携带的材料见“供应商须知前附表”。</w:t>
      </w:r>
    </w:p>
    <w:p w14:paraId="6628846D">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30.政府采购合同公告</w:t>
      </w:r>
    </w:p>
    <w:p w14:paraId="69F8C7A0">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CEEF257">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31.询问、质疑和投诉</w:t>
      </w:r>
    </w:p>
    <w:p w14:paraId="395847F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31.1供应商对政府采购活动事项有疑问的，可以向采购人、采购代理机构提出询问，采购人或者采购代理机构应当在3个工作日内对供应商依法提出的询问作出答复。</w:t>
      </w:r>
    </w:p>
    <w:p w14:paraId="32B3B7E6">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sz w:val="22"/>
          <w:szCs w:val="22"/>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color w:val="auto"/>
          <w:sz w:val="22"/>
          <w:szCs w:val="22"/>
          <w:highlight w:val="none"/>
        </w:rPr>
        <w:t>“供应商须知前附表”。</w:t>
      </w:r>
      <w:r>
        <w:rPr>
          <w:rFonts w:hint="eastAsia" w:asciiTheme="minorEastAsia" w:hAnsiTheme="minorEastAsia" w:eastAsiaTheme="minorEastAsia" w:cstheme="minorEastAsia"/>
          <w:b/>
          <w:color w:val="auto"/>
          <w:sz w:val="22"/>
          <w:szCs w:val="22"/>
          <w:highlight w:val="none"/>
        </w:rPr>
        <w:t>具体质疑起算时间及处理方式如下：</w:t>
      </w:r>
    </w:p>
    <w:p w14:paraId="49A4A80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（1）潜在供应商依法获取采购文件后，认为采购文件使自己的权益受到损害的，应当在竞争性磋商采购文件公告期限届满之日起7个工作日内提出质疑。</w:t>
      </w:r>
      <w:r>
        <w:rPr>
          <w:rFonts w:hint="eastAsia" w:asciiTheme="minorEastAsia" w:hAnsiTheme="minorEastAsia" w:eastAsiaTheme="minorEastAsia" w:cstheme="minorEastAsia"/>
          <w:color w:val="auto"/>
          <w:sz w:val="22"/>
          <w:szCs w:val="22"/>
          <w:highlight w:val="none"/>
        </w:rPr>
        <w:t>委托代理协议无特殊约定的，</w:t>
      </w:r>
      <w:r>
        <w:rPr>
          <w:rFonts w:hint="eastAsia" w:asciiTheme="minorEastAsia" w:hAnsiTheme="minorEastAsia" w:eastAsiaTheme="minorEastAsia" w:cstheme="minorEastAsia"/>
          <w:bCs/>
          <w:color w:val="auto"/>
          <w:sz w:val="22"/>
          <w:szCs w:val="22"/>
          <w:highlight w:val="none"/>
        </w:rPr>
        <w:t>对竞争性磋商文件中采购需求（含资格要求、采购预算和评分办法）的质疑由采购人受理并负责答复；对竞争性磋商文件中的采购执行程序的质疑由采购代理机构受理并负责答复。</w:t>
      </w:r>
    </w:p>
    <w:p w14:paraId="518B8C98">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B89D8F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（3）供应商认为成交结果使自己的权益受到损害的，应当在成交结果公告期限届满之日起7个工作日内提出质疑，由采购人受理并负责答复。</w:t>
      </w:r>
    </w:p>
    <w:p w14:paraId="40F9E036">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3D3DB2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31.4供应商提出质疑应当提交质疑函和必要的证明材料，针对同一采购程序环节的质疑必须在法定质疑期内一次性提出。质疑函应当包括下列内容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sz w:val="22"/>
          <w:szCs w:val="22"/>
          <w:highlight w:val="none"/>
        </w:rPr>
        <w:t>（质疑函格式后附）</w:t>
      </w:r>
      <w:r>
        <w:rPr>
          <w:rFonts w:hint="eastAsia" w:asciiTheme="minorEastAsia" w:hAnsiTheme="minorEastAsia" w:eastAsiaTheme="minorEastAsia" w:cstheme="minorEastAsia"/>
          <w:color w:val="auto"/>
          <w:sz w:val="22"/>
          <w:szCs w:val="22"/>
          <w:highlight w:val="none"/>
        </w:rPr>
        <w:t>：</w:t>
      </w:r>
    </w:p>
    <w:p w14:paraId="10EE708F">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（1）供应商的姓名或者名称、地址、邮编、联系人及联系电话；</w:t>
      </w:r>
    </w:p>
    <w:p w14:paraId="5E0CA454">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（2）质疑项目的名称、编号；</w:t>
      </w:r>
    </w:p>
    <w:p w14:paraId="4455418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（3）具体、明确的质疑事项和与质疑事项相关的请求；</w:t>
      </w:r>
    </w:p>
    <w:p w14:paraId="7B1A4A3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（4）事实依据；</w:t>
      </w:r>
    </w:p>
    <w:p w14:paraId="30CC19FD">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（5）必要的法律依据；</w:t>
      </w:r>
    </w:p>
    <w:p w14:paraId="6AF86343">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（6）提出质疑的日期。</w:t>
      </w:r>
    </w:p>
    <w:p w14:paraId="3D9F4477">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供应商为自然人的，应当由本人签字；供应商为法人或者其他组织的，应当由法定代表人、主要负责人，或者其委托代理人签字或者盖章，并加盖公章。</w:t>
      </w:r>
    </w:p>
    <w:p w14:paraId="30157B6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31.5采购人、采购代理机构认为供应商质疑不成立，或者成立但未对成交结果构成影响的，继续开展采购活动；认为供应商质疑成立且影响或者可能影响成交结果的，按照下列情况处理：</w:t>
      </w:r>
    </w:p>
    <w:p w14:paraId="05BCCB1E">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（一）对采购文件提出的质疑，依法通过澄清或者修改可以继续开展采购活动的，澄清或者修改采购文件后继续开展采购活动；否则应当修改采购文件后重新开展采购活动。</w:t>
      </w:r>
    </w:p>
    <w:p w14:paraId="04C5BACF">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（二）对采购过程或者成交结果提出的质疑，合格供应商符合法定数量时，可以从合格的成交候选人中另行确定成交供应商的，应当依法另行确定成交供应商；否则应当重新开展采购活动。</w:t>
      </w:r>
    </w:p>
    <w:p w14:paraId="2E9C9C11">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质疑答复导致成交结果改变的，采购人或者采购代理机构应当将有关情况书面报告本级财政部门。</w:t>
      </w:r>
    </w:p>
    <w:p w14:paraId="645E88E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6DF13EF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31.7</w:t>
      </w:r>
      <w:r>
        <w:rPr>
          <w:rFonts w:hint="eastAsia" w:asciiTheme="minorEastAsia" w:hAnsiTheme="minorEastAsia" w:eastAsiaTheme="minorEastAsia" w:cstheme="minorEastAsia"/>
          <w:color w:val="auto"/>
          <w:sz w:val="22"/>
          <w:szCs w:val="22"/>
          <w:highlight w:val="none"/>
        </w:rPr>
        <w:t>供应商应明确知悉投诉可能产生的后果并承担相应的责任：</w:t>
      </w:r>
    </w:p>
    <w:p w14:paraId="7C05A314">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按照《政府采购质疑和投诉办法》（中华人民共和国财政部令第94号）第三十七条：投诉人在全国范围12个月内三次以上投诉查无实据的，由财政部门列入不良行为记录名单。</w:t>
      </w:r>
    </w:p>
    <w:p w14:paraId="32612E6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投诉人有下列行为之一的，属于虚假、恶意投诉，由财政部门列入不良行为记录名单，禁止其1至3年内参加政府采购活动：</w:t>
      </w:r>
    </w:p>
    <w:p w14:paraId="3A234F4A">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（一）捏造事实</w:t>
      </w:r>
      <w:r>
        <w:rPr>
          <w:rFonts w:hint="eastAsia" w:asciiTheme="minorEastAsia" w:hAnsiTheme="minorEastAsia" w:eastAsiaTheme="minorEastAsia" w:cstheme="minorEastAsia"/>
          <w:color w:val="auto"/>
          <w:sz w:val="22"/>
          <w:szCs w:val="22"/>
          <w:highlight w:val="none"/>
          <w:lang w:eastAsia="zh-CN"/>
        </w:rPr>
        <w:t>；</w:t>
      </w:r>
    </w:p>
    <w:p w14:paraId="0A27D74B">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（二）提供虚假材料</w:t>
      </w:r>
      <w:r>
        <w:rPr>
          <w:rFonts w:hint="eastAsia" w:asciiTheme="minorEastAsia" w:hAnsiTheme="minorEastAsia" w:eastAsiaTheme="minorEastAsia" w:cstheme="minorEastAsia"/>
          <w:color w:val="auto"/>
          <w:sz w:val="22"/>
          <w:szCs w:val="22"/>
          <w:highlight w:val="none"/>
          <w:lang w:eastAsia="zh-CN"/>
        </w:rPr>
        <w:t>；</w:t>
      </w:r>
    </w:p>
    <w:p w14:paraId="3955EB41">
      <w:pPr>
        <w:pageBreakBefore w:val="0"/>
        <w:widowControl w:val="0"/>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（三）</w:t>
      </w:r>
      <w:r>
        <w:rPr>
          <w:rFonts w:hint="eastAsia" w:asciiTheme="minorEastAsia" w:hAnsiTheme="minorEastAsia" w:eastAsiaTheme="minorEastAsia" w:cstheme="minorEastAsia"/>
          <w:color w:val="auto"/>
          <w:sz w:val="22"/>
          <w:szCs w:val="22"/>
          <w:highlight w:val="none"/>
        </w:rPr>
        <w:t>以非法手段取得证明材料。证据来源的合法性存在明显疑问，投诉人无法证明其取得方式合法的，视为以非法手段取得证明材料。</w:t>
      </w:r>
    </w:p>
    <w:p w14:paraId="596E037B">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Theme="minorEastAsia" w:hAnsiTheme="minorEastAsia" w:eastAsiaTheme="minorEastAsia" w:cstheme="minorEastAsia"/>
          <w:color w:val="auto"/>
          <w:sz w:val="22"/>
          <w:szCs w:val="22"/>
          <w:highlight w:val="none"/>
        </w:rPr>
      </w:pPr>
      <w:bookmarkStart w:id="47" w:name="_Toc8074"/>
      <w:r>
        <w:rPr>
          <w:rFonts w:hint="eastAsia" w:asciiTheme="minorEastAsia" w:hAnsiTheme="minorEastAsia" w:eastAsiaTheme="minorEastAsia" w:cstheme="minorEastAsia"/>
          <w:b/>
          <w:bCs/>
          <w:color w:val="auto"/>
          <w:sz w:val="24"/>
          <w:szCs w:val="24"/>
          <w:highlight w:val="none"/>
        </w:rPr>
        <w:t>六、验收</w:t>
      </w:r>
      <w:bookmarkEnd w:id="46"/>
      <w:bookmarkEnd w:id="47"/>
    </w:p>
    <w:p w14:paraId="7565A481">
      <w:pPr>
        <w:pageBreakBefore w:val="0"/>
        <w:widowControl w:val="0"/>
        <w:tabs>
          <w:tab w:val="left" w:pos="0"/>
        </w:tabs>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32.验收</w:t>
      </w:r>
    </w:p>
    <w:p w14:paraId="3BE892AA">
      <w:pPr>
        <w:pageBreakBefore w:val="0"/>
        <w:widowControl w:val="0"/>
        <w:tabs>
          <w:tab w:val="left" w:pos="0"/>
        </w:tabs>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799A702">
      <w:pPr>
        <w:pageBreakBefore w:val="0"/>
        <w:widowControl w:val="0"/>
        <w:tabs>
          <w:tab w:val="left" w:pos="0"/>
        </w:tabs>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32.2采购人可以邀请参加本项目的其他供应商或者第三方机构参与验收。参与验收的供应商或者第三方机构的意见作为验收书的参考资料一并存档。</w:t>
      </w:r>
    </w:p>
    <w:p w14:paraId="472C3D37">
      <w:pPr>
        <w:pageBreakBefore w:val="0"/>
        <w:widowControl w:val="0"/>
        <w:tabs>
          <w:tab w:val="left" w:pos="0"/>
        </w:tabs>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6DD688D">
      <w:pPr>
        <w:pageBreakBefore w:val="0"/>
        <w:widowControl w:val="0"/>
        <w:tabs>
          <w:tab w:val="left" w:pos="0"/>
        </w:tabs>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9A4EA73">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Theme="minorEastAsia" w:hAnsiTheme="minorEastAsia" w:eastAsiaTheme="minorEastAsia" w:cstheme="minorEastAsia"/>
          <w:color w:val="auto"/>
          <w:sz w:val="22"/>
          <w:szCs w:val="22"/>
          <w:highlight w:val="none"/>
        </w:rPr>
      </w:pPr>
      <w:bookmarkStart w:id="48" w:name="_Toc9558"/>
      <w:r>
        <w:rPr>
          <w:rFonts w:hint="eastAsia" w:asciiTheme="minorEastAsia" w:hAnsiTheme="minorEastAsia" w:eastAsiaTheme="minorEastAsia" w:cstheme="minorEastAsia"/>
          <w:b/>
          <w:bCs/>
          <w:color w:val="auto"/>
          <w:sz w:val="24"/>
          <w:szCs w:val="24"/>
          <w:highlight w:val="none"/>
        </w:rPr>
        <w:t>七、其他事项</w:t>
      </w:r>
      <w:bookmarkEnd w:id="48"/>
    </w:p>
    <w:p w14:paraId="7C993638">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33.代理服务费</w:t>
      </w:r>
    </w:p>
    <w:p w14:paraId="5FD9543F">
      <w:pPr>
        <w:pageBreakBefore w:val="0"/>
        <w:widowControl w:val="0"/>
        <w:tabs>
          <w:tab w:val="left" w:pos="2835"/>
        </w:tabs>
        <w:kinsoku/>
        <w:wordWrap/>
        <w:overflowPunct/>
        <w:topLinePunct w:val="0"/>
        <w:autoSpaceDE/>
        <w:autoSpaceDN/>
        <w:bidi w:val="0"/>
        <w:adjustRightInd/>
        <w:snapToGrid/>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代理服务收费标准详见“供应商须知前附表”。</w:t>
      </w:r>
    </w:p>
    <w:p w14:paraId="73319C04">
      <w:pPr>
        <w:pageBreakBefore w:val="0"/>
        <w:widowControl w:val="0"/>
        <w:kinsoku/>
        <w:wordWrap/>
        <w:overflowPunct/>
        <w:topLinePunct w:val="0"/>
        <w:autoSpaceDE/>
        <w:autoSpaceDN/>
        <w:bidi w:val="0"/>
        <w:adjustRightInd/>
        <w:snapToGrid/>
        <w:spacing w:line="360" w:lineRule="auto"/>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34.需要补充的其他内容</w:t>
      </w:r>
    </w:p>
    <w:p w14:paraId="55395890">
      <w:pPr>
        <w:pageBreakBefore w:val="0"/>
        <w:widowControl w:val="0"/>
        <w:kinsoku/>
        <w:wordWrap/>
        <w:overflowPunct/>
        <w:topLinePunct w:val="0"/>
        <w:autoSpaceDE/>
        <w:autoSpaceDN/>
        <w:bidi w:val="0"/>
        <w:adjustRightInd/>
        <w:snapToGrid/>
        <w:spacing w:line="360" w:lineRule="auto"/>
        <w:ind w:firstLine="440" w:firstLineChars="200"/>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34.1本磋商文件解释规则详见“供应商须知前附表”。</w:t>
      </w:r>
    </w:p>
    <w:p w14:paraId="76925220">
      <w:pPr>
        <w:pageBreakBefore w:val="0"/>
        <w:widowControl w:val="0"/>
        <w:kinsoku/>
        <w:wordWrap/>
        <w:overflowPunct/>
        <w:topLinePunct w:val="0"/>
        <w:autoSpaceDE/>
        <w:autoSpaceDN/>
        <w:bidi w:val="0"/>
        <w:adjustRightInd/>
        <w:snapToGrid/>
        <w:spacing w:line="360" w:lineRule="auto"/>
        <w:ind w:firstLine="440" w:firstLineChars="200"/>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34.2其他事项详见“供应商须知前附表”。</w:t>
      </w:r>
    </w:p>
    <w:p w14:paraId="2AC0F6F5">
      <w:pPr>
        <w:pageBreakBefore w:val="0"/>
        <w:widowControl w:val="0"/>
        <w:kinsoku/>
        <w:wordWrap/>
        <w:overflowPunct/>
        <w:topLinePunct w:val="0"/>
        <w:autoSpaceDE/>
        <w:autoSpaceDN/>
        <w:bidi w:val="0"/>
        <w:adjustRightInd/>
        <w:snapToGrid/>
        <w:spacing w:line="360" w:lineRule="auto"/>
        <w:ind w:firstLine="440" w:firstLineChars="200"/>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Theme="minorEastAsia" w:hAnsiTheme="minorEastAsia" w:eastAsiaTheme="minorEastAsia" w:cstheme="minorEastAsia"/>
          <w:color w:val="auto"/>
          <w:kern w:val="0"/>
          <w:sz w:val="22"/>
          <w:szCs w:val="22"/>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Theme="minorEastAsia" w:hAnsiTheme="minorEastAsia" w:eastAsiaTheme="minorEastAsia" w:cstheme="minorEastAsia"/>
          <w:color w:val="auto"/>
          <w:sz w:val="22"/>
          <w:szCs w:val="22"/>
          <w:highlight w:val="none"/>
        </w:rPr>
        <w:t>，享受本文件规定的中小企业扶持政策。</w:t>
      </w:r>
    </w:p>
    <w:p w14:paraId="123EBB86">
      <w:pPr>
        <w:pageBreakBefore w:val="0"/>
        <w:widowControl w:val="0"/>
        <w:kinsoku/>
        <w:wordWrap/>
        <w:overflowPunct/>
        <w:topLinePunct w:val="0"/>
        <w:autoSpaceDE/>
        <w:autoSpaceDN/>
        <w:bidi w:val="0"/>
        <w:adjustRightInd/>
        <w:snapToGrid/>
        <w:spacing w:line="360" w:lineRule="auto"/>
        <w:ind w:firstLine="440" w:firstLineChars="200"/>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以联合体形式参加政府采购活动，联合体各方均为中小企业的，联合体视同中小企业。其中，联合体各方均为小微企业的，联合体视同小微企业。</w:t>
      </w:r>
    </w:p>
    <w:p w14:paraId="10613244">
      <w:pPr>
        <w:pageBreakBefore w:val="0"/>
        <w:widowControl w:val="0"/>
        <w:kinsoku/>
        <w:wordWrap/>
        <w:overflowPunct/>
        <w:topLinePunct w:val="0"/>
        <w:autoSpaceDE/>
        <w:autoSpaceDN/>
        <w:bidi w:val="0"/>
        <w:adjustRightInd/>
        <w:snapToGrid/>
        <w:spacing w:line="360" w:lineRule="auto"/>
        <w:ind w:firstLine="440" w:firstLineChars="200"/>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依据本文件规定享受扶持政策获得政府采购合同的，小微企业不得将合同分包给大中型企业，中型企业不得将合同分包给大型企业。</w:t>
      </w:r>
    </w:p>
    <w:p w14:paraId="7E8136AF">
      <w:pPr>
        <w:spacing w:line="360" w:lineRule="auto"/>
        <w:jc w:val="center"/>
        <w:textAlignment w:val="center"/>
        <w:outlineLvl w:val="0"/>
        <w:rPr>
          <w:rFonts w:hint="eastAsia" w:ascii="宋体" w:hAnsi="宋体" w:eastAsia="宋体" w:cs="宋体"/>
          <w:b/>
          <w:bCs/>
          <w:color w:val="auto"/>
          <w:kern w:val="44"/>
          <w:sz w:val="24"/>
          <w:szCs w:val="24"/>
          <w:highlight w:val="none"/>
        </w:rPr>
      </w:pPr>
      <w:r>
        <w:rPr>
          <w:rFonts w:hint="eastAsia" w:ascii="宋体" w:hAnsi="宋体" w:eastAsia="宋体" w:cs="宋体"/>
          <w:b/>
          <w:color w:val="auto"/>
          <w:kern w:val="0"/>
          <w:sz w:val="24"/>
          <w:szCs w:val="24"/>
          <w:highlight w:val="none"/>
        </w:rPr>
        <w:br w:type="page"/>
      </w:r>
      <w:bookmarkStart w:id="49" w:name="_Toc9978"/>
      <w:r>
        <w:rPr>
          <w:rFonts w:hint="eastAsia" w:ascii="宋体" w:hAnsi="宋体" w:eastAsia="宋体" w:cs="宋体"/>
          <w:b/>
          <w:color w:val="auto"/>
          <w:kern w:val="44"/>
          <w:sz w:val="32"/>
          <w:szCs w:val="32"/>
          <w:highlight w:val="none"/>
        </w:rPr>
        <w:t>第四章  评标方法及评分标准</w:t>
      </w:r>
    </w:p>
    <w:p w14:paraId="73C3B057">
      <w:pPr>
        <w:keepNext/>
        <w:keepLines/>
        <w:spacing w:before="260" w:after="260" w:line="416" w:lineRule="auto"/>
        <w:jc w:val="center"/>
        <w:outlineLvl w:val="1"/>
        <w:rPr>
          <w:rFonts w:hint="eastAsia" w:ascii="宋体" w:hAnsi="宋体" w:eastAsia="宋体" w:cs="宋体"/>
          <w:bCs/>
          <w:color w:val="auto"/>
          <w:sz w:val="32"/>
          <w:szCs w:val="32"/>
          <w:highlight w:val="none"/>
        </w:rPr>
      </w:pPr>
      <w:bookmarkStart w:id="50" w:name="_Toc994"/>
      <w:r>
        <w:rPr>
          <w:rFonts w:hint="eastAsia" w:ascii="宋体" w:hAnsi="宋体" w:eastAsia="宋体" w:cs="宋体"/>
          <w:bCs/>
          <w:color w:val="auto"/>
          <w:sz w:val="32"/>
          <w:szCs w:val="32"/>
          <w:highlight w:val="none"/>
        </w:rPr>
        <w:t>第一节 评审程序和评审方法</w:t>
      </w:r>
      <w:bookmarkEnd w:id="50"/>
    </w:p>
    <w:p w14:paraId="35A5689C">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1.确认磋商文件</w:t>
      </w:r>
    </w:p>
    <w:p w14:paraId="06CA052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由磋商小组确认磋商文件。</w:t>
      </w:r>
    </w:p>
    <w:p w14:paraId="4D241893">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2.资格审查</w:t>
      </w:r>
    </w:p>
    <w:p w14:paraId="13425AF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2.1响应文件开启后，磋商小组依法对供应商的资格证明文件进行审查。</w:t>
      </w:r>
    </w:p>
    <w:p w14:paraId="51C5B80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注：采购人代表或者采购代理机构在资格审查结束前，对供应商进行信用查询。</w:t>
      </w:r>
    </w:p>
    <w:p w14:paraId="6C7348DD">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（1）查询渠道：“</w:t>
      </w:r>
      <w:r>
        <w:rPr>
          <w:rFonts w:hint="eastAsia" w:asciiTheme="minorEastAsia" w:hAnsiTheme="minorEastAsia" w:eastAsiaTheme="minorEastAsia" w:cstheme="minorEastAsia"/>
          <w:color w:val="auto"/>
          <w:sz w:val="22"/>
          <w:szCs w:val="22"/>
          <w:highlight w:val="none"/>
          <w:lang w:eastAsia="zh-CN"/>
        </w:rPr>
        <w:t>广西政府采购云平台</w:t>
      </w:r>
      <w:r>
        <w:rPr>
          <w:rFonts w:hint="eastAsia" w:asciiTheme="minorEastAsia" w:hAnsiTheme="minorEastAsia" w:eastAsiaTheme="minorEastAsia" w:cstheme="minorEastAsia"/>
          <w:color w:val="auto"/>
          <w:sz w:val="22"/>
          <w:szCs w:val="22"/>
          <w:highlight w:val="none"/>
        </w:rPr>
        <w:t>”平台“信用中国”网站(</w:t>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"http://www.creditchina.gov.cn"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u w:val="single"/>
        </w:rPr>
        <w:t>www.creditchina.gov.cn</w:t>
      </w:r>
      <w:r>
        <w:rPr>
          <w:rFonts w:hint="eastAsia" w:asciiTheme="minorEastAsia" w:hAnsiTheme="minorEastAsia" w:eastAsiaTheme="minorEastAsia" w:cstheme="minorEastAsia"/>
          <w:color w:val="auto"/>
          <w:sz w:val="22"/>
          <w:szCs w:val="22"/>
          <w:highlight w:val="none"/>
          <w:u w:val="single"/>
        </w:rPr>
        <w:fldChar w:fldCharType="end"/>
      </w:r>
      <w:r>
        <w:rPr>
          <w:rFonts w:hint="eastAsia" w:asciiTheme="minorEastAsia" w:hAnsiTheme="minorEastAsia" w:eastAsiaTheme="minorEastAsia" w:cstheme="minorEastAsia"/>
          <w:color w:val="auto"/>
          <w:sz w:val="22"/>
          <w:szCs w:val="22"/>
          <w:highlight w:val="none"/>
        </w:rPr>
        <w:t>)、中国政府采购网(</w:t>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"http://www.ccgp.gov.cn"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u w:val="single"/>
        </w:rPr>
        <w:t>www.ccgp.gov.cn</w:t>
      </w:r>
      <w:r>
        <w:rPr>
          <w:rFonts w:hint="eastAsia" w:asciiTheme="minorEastAsia" w:hAnsiTheme="minorEastAsia" w:eastAsiaTheme="minorEastAsia" w:cstheme="minorEastAsia"/>
          <w:color w:val="auto"/>
          <w:sz w:val="22"/>
          <w:szCs w:val="22"/>
          <w:highlight w:val="none"/>
          <w:u w:val="single"/>
        </w:rPr>
        <w:fldChar w:fldCharType="end"/>
      </w:r>
      <w:r>
        <w:rPr>
          <w:rFonts w:hint="eastAsia" w:asciiTheme="minorEastAsia" w:hAnsiTheme="minorEastAsia" w:eastAsiaTheme="minorEastAsia" w:cstheme="minorEastAsia"/>
          <w:color w:val="auto"/>
          <w:sz w:val="22"/>
          <w:szCs w:val="22"/>
          <w:highlight w:val="none"/>
        </w:rPr>
        <w:t>)链接入口。</w:t>
      </w:r>
    </w:p>
    <w:p w14:paraId="5A56903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（2）信用查询截止时点：资格审查结束前。</w:t>
      </w:r>
    </w:p>
    <w:p w14:paraId="17D5D34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查询记录和证据留存方式：在查询网站中直接打印查询记录，截图另存为电子文档作为评审资料保存。</w:t>
      </w:r>
    </w:p>
    <w:p w14:paraId="4836D98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（3）信用信息使用规则：对在“信用中国”网站(www.creditchina.gov.cn)、中国政府采购网(www.ccgp.gov.cn)被列入失信被执行人、重大税收违法</w:t>
      </w:r>
      <w:r>
        <w:rPr>
          <w:rFonts w:hint="eastAsia" w:asciiTheme="minorEastAsia" w:hAnsiTheme="minorEastAsia" w:eastAsiaTheme="minorEastAsia" w:cstheme="minorEastAsia"/>
          <w:color w:val="auto"/>
          <w:sz w:val="22"/>
          <w:szCs w:val="22"/>
          <w:highlight w:val="none"/>
          <w:lang w:val="en-US" w:eastAsia="zh-CN"/>
        </w:rPr>
        <w:t>失信主体</w:t>
      </w:r>
      <w:r>
        <w:rPr>
          <w:rFonts w:hint="eastAsia" w:asciiTheme="minorEastAsia" w:hAnsiTheme="minorEastAsia" w:eastAsiaTheme="minorEastAsia" w:cstheme="minorEastAsia"/>
          <w:color w:val="auto"/>
          <w:sz w:val="22"/>
          <w:szCs w:val="22"/>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06CA69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2.2资格审查标准为本磋商文件中载明对供应商资格要求的条件。资格审查采用合格制，凡符合磋商文件规定的供应商资格要求的响应文件均通过资格审查。</w:t>
      </w:r>
    </w:p>
    <w:p w14:paraId="649A8F5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2.3供应商有下列情形之一的，资格审查不通过，其响应文件按无效响应处理：</w:t>
      </w:r>
    </w:p>
    <w:p w14:paraId="77B2144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（1）不具备磋商文件中规定的资格要求的；</w:t>
      </w:r>
    </w:p>
    <w:p w14:paraId="6AB4538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（2）响应文件未提供任一项“供应商须知前附表”资格证明文件规定的“必须提供”的文件资料的；</w:t>
      </w:r>
    </w:p>
    <w:p w14:paraId="5A925DE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（3）响应文件提供的资格证明文件出现任一项不符合“供应商须知前附表”资格证明文件规定的“必须提供”的文件资料要求或者无效的。</w:t>
      </w:r>
    </w:p>
    <w:p w14:paraId="7269E18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2.4</w:t>
      </w:r>
      <w:r>
        <w:rPr>
          <w:rFonts w:hint="eastAsia" w:asciiTheme="minorEastAsia" w:hAnsiTheme="minorEastAsia" w:eastAsiaTheme="minorEastAsia" w:cstheme="minorEastAsia"/>
          <w:color w:val="auto"/>
          <w:sz w:val="22"/>
          <w:szCs w:val="22"/>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D78D82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通过资格审查的合格供应商不足3家的，不得进入符合性审查环节，采购人或者采购代理机构应当重新开展采购活动。</w:t>
      </w:r>
    </w:p>
    <w:p w14:paraId="305E2C39">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3.符合性审查</w:t>
      </w:r>
    </w:p>
    <w:p w14:paraId="7590D6F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3.1由磋商小组对通过资格审查的合格供应商的响应文件的响应报价、商务、技术等实质性要求进行符合性审查，以确定其是否满足磋商文件的实质性要求。</w:t>
      </w:r>
    </w:p>
    <w:p w14:paraId="3390F02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489EC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pacing w:val="-6"/>
          <w:sz w:val="22"/>
          <w:szCs w:val="22"/>
          <w:highlight w:val="none"/>
        </w:rPr>
      </w:pPr>
      <w:r>
        <w:rPr>
          <w:rFonts w:hint="eastAsia" w:asciiTheme="minorEastAsia" w:hAnsiTheme="minorEastAsia" w:eastAsiaTheme="minorEastAsia" w:cstheme="minorEastAsia"/>
          <w:color w:val="auto"/>
          <w:sz w:val="22"/>
          <w:szCs w:val="22"/>
          <w:highlight w:val="none"/>
        </w:rPr>
        <w:t>3.3磋商小组要求供应商澄清、说明或者更正响应文件应当以电子澄清函形式作出。供应商的澄清、说明或者更正应当</w:t>
      </w:r>
      <w:r>
        <w:rPr>
          <w:rFonts w:hint="eastAsia" w:asciiTheme="minorEastAsia" w:hAnsiTheme="minorEastAsia" w:eastAsiaTheme="minorEastAsia" w:cstheme="minorEastAsia"/>
          <w:color w:val="auto"/>
          <w:sz w:val="22"/>
          <w:szCs w:val="22"/>
          <w:highlight w:val="none"/>
          <w:lang w:val="en-US" w:eastAsia="zh-CN"/>
        </w:rPr>
        <w:t>以</w:t>
      </w:r>
      <w:r>
        <w:rPr>
          <w:rFonts w:hint="eastAsia" w:asciiTheme="minorEastAsia" w:hAnsiTheme="minorEastAsia" w:eastAsiaTheme="minorEastAsia" w:cstheme="minorEastAsia"/>
          <w:color w:val="auto"/>
          <w:sz w:val="22"/>
          <w:szCs w:val="22"/>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Theme="minorEastAsia" w:hAnsiTheme="minorEastAsia" w:eastAsiaTheme="minorEastAsia" w:cstheme="minorEastAsia"/>
          <w:color w:val="auto"/>
          <w:spacing w:val="-6"/>
          <w:sz w:val="22"/>
          <w:szCs w:val="22"/>
          <w:highlight w:val="none"/>
        </w:rPr>
        <w:t>。供应商为自然人的，必须由本人签字并附身份证明。</w:t>
      </w:r>
    </w:p>
    <w:p w14:paraId="18C815D6">
      <w:pPr>
        <w:keepNext w:val="0"/>
        <w:keepLines w:val="0"/>
        <w:pageBreakBefore w:val="0"/>
        <w:kinsoku/>
        <w:wordWrap/>
        <w:overflowPunct/>
        <w:topLinePunct w:val="0"/>
        <w:autoSpaceDE/>
        <w:autoSpaceDN/>
        <w:bidi w:val="0"/>
        <w:adjustRightInd/>
        <w:snapToGrid/>
        <w:spacing w:line="360" w:lineRule="auto"/>
        <w:ind w:firstLine="416"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pacing w:val="-6"/>
          <w:sz w:val="22"/>
          <w:szCs w:val="22"/>
          <w:highlight w:val="none"/>
        </w:rPr>
        <w:t>3.4</w:t>
      </w:r>
      <w:r>
        <w:rPr>
          <w:rFonts w:hint="eastAsia" w:asciiTheme="minorEastAsia" w:hAnsiTheme="minorEastAsia" w:eastAsiaTheme="minorEastAsia" w:cstheme="minorEastAsia"/>
          <w:color w:val="auto"/>
          <w:sz w:val="22"/>
          <w:szCs w:val="22"/>
          <w:highlight w:val="none"/>
        </w:rPr>
        <w:t>首次响应文件报价出现前后不一致的，按照下列规定修正：</w:t>
      </w:r>
    </w:p>
    <w:p w14:paraId="267CCC4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（1）响应文件中报价表内容与响应文件中相应内容不一致的，以报价表为准；</w:t>
      </w:r>
    </w:p>
    <w:p w14:paraId="633F305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（2）大写金额和小写金额不一致的，以大写金额为准；</w:t>
      </w:r>
    </w:p>
    <w:p w14:paraId="5437422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（3）单价金额小数点或者百分比有明显错位的，以报价表的总价为准，并修改单价；</w:t>
      </w:r>
    </w:p>
    <w:p w14:paraId="48CC63D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（4）总价金额与按单价汇总金额不一致的，以单价金额计算结果为准。</w:t>
      </w:r>
    </w:p>
    <w:p w14:paraId="4695A67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同时出现两种以上不一致的，按照以上（1）-（4）规定的顺序逐条进行修正。修正后的报价经供应商确认后产生约束力，供应商不确认的，其响应文件按无效响应处理。</w:t>
      </w:r>
    </w:p>
    <w:p w14:paraId="6C1734E1">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3.5商务技术、报价评审</w:t>
      </w:r>
    </w:p>
    <w:p w14:paraId="5B371E5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在评审时，如发现下列情形之一的，将被视为响应文件无效处理：</w:t>
      </w:r>
    </w:p>
    <w:p w14:paraId="5BC0C9C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（1）商务技术评审</w:t>
      </w:r>
    </w:p>
    <w:p w14:paraId="6B3EF75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1）响应文件未按磋商文件要求签署、盖章；</w:t>
      </w:r>
    </w:p>
    <w:p w14:paraId="5CFA5D4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2）委托代理人未能出具有效身份证明或者出具的身份证明与授权委托书中的信息不符；</w:t>
      </w:r>
    </w:p>
    <w:p w14:paraId="03D7B75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194BE64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4）商务条款中标“</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”的条款发生负偏离的或者允许负偏离的条款数超过“供应商须知前附表”规定项数的或者标明实质性的要求发生负偏离；</w:t>
      </w:r>
    </w:p>
    <w:p w14:paraId="00684C2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5）未对竞标有效期作出响应或者响应文件承诺的竞标有效期不满足磋商文件要求；</w:t>
      </w:r>
    </w:p>
    <w:p w14:paraId="25488B3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6）响应文件的实质性内容未使用中文表述、使用计量单位不符合磋商文件要求；</w:t>
      </w:r>
    </w:p>
    <w:p w14:paraId="115366F1">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7）响应文件中的文件资料因填写不齐全或者内容虚假或者出现其他情形而导致被磋商小组认定无效；</w:t>
      </w:r>
    </w:p>
    <w:p w14:paraId="38470D8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8）响应文件含有采购人不能接受的附加条件；</w:t>
      </w:r>
    </w:p>
    <w:p w14:paraId="0AEE9FE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9）属于“供应商须知正文”第7.5条情形；</w:t>
      </w:r>
    </w:p>
    <w:p w14:paraId="2FFDD44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10）技术需求允许负偏离的条款数超过“供应商须知前附表”规定项数；</w:t>
      </w:r>
    </w:p>
    <w:p w14:paraId="07080AA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11）虚假竞标，或者出现其他情形而导致被磋商小组认定无效；</w:t>
      </w:r>
    </w:p>
    <w:p w14:paraId="4869450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12）竞标技术方案不明确，磋商文件未允许但响应文件中存在一个或者一个以上备选（替代）竞标方案；</w:t>
      </w:r>
    </w:p>
    <w:p w14:paraId="3F9B2B5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13）响应文件标注的项目名称或者项目编号与竞争性磋商文件标注的项目名称或者项目编号不一致的；</w:t>
      </w:r>
    </w:p>
    <w:p w14:paraId="2B7719D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14）未响应磋商文件实质性要求；</w:t>
      </w:r>
    </w:p>
    <w:p w14:paraId="773D74B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15）法律、法规和磋商文件规定的其他无效情形。</w:t>
      </w:r>
    </w:p>
    <w:p w14:paraId="71627E2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（2）报价评审</w:t>
      </w:r>
    </w:p>
    <w:p w14:paraId="6984E32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1）响应文件未提供“供应商须知前附表”报价文件中规定的“响应报价表”；</w:t>
      </w:r>
    </w:p>
    <w:p w14:paraId="525A2D3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2）未采用人民币报价或者未按照磋商文件标明的币种报价；</w:t>
      </w:r>
    </w:p>
    <w:p w14:paraId="281BB6E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3）供应商未就所竞标</w:t>
      </w:r>
      <w:r>
        <w:rPr>
          <w:rFonts w:hint="eastAsia" w:asciiTheme="minorEastAsia" w:hAnsiTheme="minorEastAsia" w:eastAsiaTheme="minorEastAsia" w:cstheme="minorEastAsia"/>
          <w:color w:val="auto"/>
          <w:sz w:val="22"/>
          <w:szCs w:val="22"/>
          <w:highlight w:val="none"/>
          <w:lang w:val="en-US" w:eastAsia="zh-CN"/>
        </w:rPr>
        <w:t>内容</w:t>
      </w:r>
      <w:r>
        <w:rPr>
          <w:rFonts w:hint="eastAsia" w:asciiTheme="minorEastAsia" w:hAnsiTheme="minorEastAsia" w:eastAsiaTheme="minorEastAsia" w:cstheme="minorEastAsia"/>
          <w:color w:val="auto"/>
          <w:sz w:val="22"/>
          <w:szCs w:val="22"/>
          <w:highlight w:val="none"/>
        </w:rPr>
        <w:t>进行报价或者存在漏项报价；供应商未就所竞标单项内容作唯一报价；供应商未就所竞标的全部内容作唯一总价报价；供应商响应文件中存在有选择、有条件报价的（磋商文件允许有备选方案或者其他约定的除外）；</w:t>
      </w:r>
    </w:p>
    <w:p w14:paraId="0BE16D3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响应报价（包含首次报价、最后报价）超过所竞标规定的采购预算金额或者最高限价的（如本项目公布了最高限价）；响应报价（包含首次报价、最后报价）超过磋商文件分项采购预算金额或者最高限价的（如本项目公布了最高限价）；</w:t>
      </w:r>
    </w:p>
    <w:p w14:paraId="1AE7D7B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修正后的报价，供应商不确认的；或者经供应商确认修正后的响应报价（包含首次报价、最后报价）超过所竞标规定的采购预算金额或者最高限价（如本项目公布了最高限价）；或者经供应商确认修正后响应报价（包含首次报价、最后报价）超过磋商文件分项采购预算金额或者最高限价的（如本项目公布了最高限价）。</w:t>
      </w:r>
    </w:p>
    <w:p w14:paraId="2473ACD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6）响应文件响应的标的数量及单位与竞争性磋商采购文件要求实质性不一致的。</w:t>
      </w:r>
    </w:p>
    <w:p w14:paraId="3DA13AF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F0F2A4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796ED2B">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4.磋商程序</w:t>
      </w:r>
    </w:p>
    <w:p w14:paraId="6624C8F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4.1磋商小组按照“供应商须知前附表”确定的</w:t>
      </w:r>
      <w:r>
        <w:rPr>
          <w:rFonts w:hint="eastAsia" w:asciiTheme="minorEastAsia" w:hAnsiTheme="minorEastAsia" w:eastAsiaTheme="minorEastAsia" w:cstheme="minorEastAsia"/>
          <w:color w:val="auto"/>
          <w:sz w:val="22"/>
          <w:szCs w:val="22"/>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0AAC93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E69880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4.3对磋商文件作出的实质性变动是磋商文件的有效组成部分，由磋商小组及时以电子澄清函形式同时通知所有参加磋商的供应商。</w:t>
      </w:r>
    </w:p>
    <w:p w14:paraId="7B3336C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5FBC26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4.5磋商中，</w:t>
      </w:r>
      <w:r>
        <w:rPr>
          <w:rFonts w:hint="eastAsia" w:asciiTheme="minorEastAsia" w:hAnsiTheme="minorEastAsia" w:eastAsiaTheme="minorEastAsia" w:cstheme="minorEastAsia"/>
          <w:color w:val="auto"/>
          <w:spacing w:val="-6"/>
          <w:sz w:val="22"/>
          <w:szCs w:val="22"/>
          <w:highlight w:val="none"/>
        </w:rPr>
        <w:t>磋商的任何一方不得透露与磋商有关的其他供应商的技术资料、价格和其他信息。</w:t>
      </w:r>
    </w:p>
    <w:p w14:paraId="468C28D5">
      <w:pPr>
        <w:keepNext w:val="0"/>
        <w:keepLines w:val="0"/>
        <w:pageBreakBefore w:val="0"/>
        <w:widowControl/>
        <w:tabs>
          <w:tab w:val="left" w:pos="540"/>
        </w:tabs>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4.6磋商小组应对磋商过程和重要磋商内容进行记录，作为评标报告一部分，磋商小组在记录上签字确认。</w:t>
      </w:r>
      <w:r>
        <w:rPr>
          <w:rFonts w:hint="eastAsia" w:asciiTheme="minorEastAsia" w:hAnsiTheme="minorEastAsia" w:eastAsiaTheme="minorEastAsia" w:cstheme="minorEastAsia"/>
          <w:b/>
          <w:color w:val="auto"/>
          <w:sz w:val="22"/>
          <w:szCs w:val="22"/>
          <w:highlight w:val="none"/>
        </w:rPr>
        <w:t>主要内容包括：</w:t>
      </w:r>
    </w:p>
    <w:p w14:paraId="7A220231">
      <w:pPr>
        <w:keepNext w:val="0"/>
        <w:keepLines w:val="0"/>
        <w:pageBreakBefore w:val="0"/>
        <w:kinsoku/>
        <w:wordWrap/>
        <w:overflowPunct/>
        <w:topLinePunct w:val="0"/>
        <w:autoSpaceDE/>
        <w:autoSpaceDN/>
        <w:bidi w:val="0"/>
        <w:adjustRightInd/>
        <w:snapToGrid/>
        <w:spacing w:line="360" w:lineRule="auto"/>
        <w:ind w:firstLine="416" w:firstLineChars="200"/>
        <w:textAlignment w:val="auto"/>
        <w:rPr>
          <w:rFonts w:hint="eastAsia" w:asciiTheme="minorEastAsia" w:hAnsiTheme="minorEastAsia" w:eastAsiaTheme="minorEastAsia" w:cstheme="minorEastAsia"/>
          <w:color w:val="auto"/>
          <w:spacing w:val="-6"/>
          <w:sz w:val="22"/>
          <w:szCs w:val="22"/>
          <w:highlight w:val="none"/>
        </w:rPr>
      </w:pPr>
      <w:r>
        <w:rPr>
          <w:rFonts w:hint="eastAsia" w:asciiTheme="minorEastAsia" w:hAnsiTheme="minorEastAsia" w:eastAsiaTheme="minorEastAsia" w:cstheme="minorEastAsia"/>
          <w:color w:val="auto"/>
          <w:spacing w:val="-6"/>
          <w:sz w:val="22"/>
          <w:szCs w:val="22"/>
          <w:highlight w:val="none"/>
        </w:rPr>
        <w:t>（1）按照相关规定进行公示的，公示情况说明；</w:t>
      </w:r>
    </w:p>
    <w:p w14:paraId="1E32ECBB">
      <w:pPr>
        <w:keepNext w:val="0"/>
        <w:keepLines w:val="0"/>
        <w:pageBreakBefore w:val="0"/>
        <w:kinsoku/>
        <w:wordWrap/>
        <w:overflowPunct/>
        <w:topLinePunct w:val="0"/>
        <w:autoSpaceDE/>
        <w:autoSpaceDN/>
        <w:bidi w:val="0"/>
        <w:adjustRightInd/>
        <w:snapToGrid/>
        <w:spacing w:line="360" w:lineRule="auto"/>
        <w:ind w:firstLine="416" w:firstLineChars="200"/>
        <w:textAlignment w:val="auto"/>
        <w:rPr>
          <w:rFonts w:hint="eastAsia" w:asciiTheme="minorEastAsia" w:hAnsiTheme="minorEastAsia" w:eastAsiaTheme="minorEastAsia" w:cstheme="minorEastAsia"/>
          <w:color w:val="auto"/>
          <w:spacing w:val="-6"/>
          <w:sz w:val="22"/>
          <w:szCs w:val="22"/>
          <w:highlight w:val="none"/>
        </w:rPr>
      </w:pPr>
      <w:r>
        <w:rPr>
          <w:rFonts w:hint="eastAsia" w:asciiTheme="minorEastAsia" w:hAnsiTheme="minorEastAsia" w:eastAsiaTheme="minorEastAsia" w:cstheme="minorEastAsia"/>
          <w:color w:val="auto"/>
          <w:spacing w:val="-6"/>
          <w:sz w:val="22"/>
          <w:szCs w:val="22"/>
          <w:highlight w:val="none"/>
        </w:rPr>
        <w:t>（2）磋商日期和地点，磋商人员名单；</w:t>
      </w:r>
    </w:p>
    <w:p w14:paraId="5662F32A">
      <w:pPr>
        <w:keepNext w:val="0"/>
        <w:keepLines w:val="0"/>
        <w:pageBreakBefore w:val="0"/>
        <w:kinsoku/>
        <w:wordWrap/>
        <w:overflowPunct/>
        <w:topLinePunct w:val="0"/>
        <w:autoSpaceDE/>
        <w:autoSpaceDN/>
        <w:bidi w:val="0"/>
        <w:adjustRightInd/>
        <w:snapToGrid/>
        <w:spacing w:line="360" w:lineRule="auto"/>
        <w:ind w:firstLine="416" w:firstLineChars="200"/>
        <w:textAlignment w:val="auto"/>
        <w:rPr>
          <w:rFonts w:hint="eastAsia" w:asciiTheme="minorEastAsia" w:hAnsiTheme="minorEastAsia" w:eastAsiaTheme="minorEastAsia" w:cstheme="minorEastAsia"/>
          <w:color w:val="auto"/>
          <w:spacing w:val="-6"/>
          <w:sz w:val="22"/>
          <w:szCs w:val="22"/>
          <w:highlight w:val="none"/>
        </w:rPr>
      </w:pPr>
      <w:r>
        <w:rPr>
          <w:rFonts w:hint="eastAsia" w:asciiTheme="minorEastAsia" w:hAnsiTheme="minorEastAsia" w:eastAsiaTheme="minorEastAsia" w:cstheme="minorEastAsia"/>
          <w:color w:val="auto"/>
          <w:spacing w:val="-6"/>
          <w:sz w:val="22"/>
          <w:szCs w:val="22"/>
          <w:highlight w:val="none"/>
        </w:rPr>
        <w:t>（3）合同主要条款及价格商定情况。</w:t>
      </w:r>
    </w:p>
    <w:p w14:paraId="76F4E8C5">
      <w:pPr>
        <w:keepNext w:val="0"/>
        <w:keepLines w:val="0"/>
        <w:pageBreakBefore w:val="0"/>
        <w:widowControl/>
        <w:tabs>
          <w:tab w:val="left" w:pos="540"/>
        </w:tabs>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4.7磋商过程中重新提交的响应文件，供应商可以在开启前补充、修改。</w:t>
      </w:r>
    </w:p>
    <w:p w14:paraId="38081259">
      <w:pPr>
        <w:keepNext w:val="0"/>
        <w:keepLines w:val="0"/>
        <w:pageBreakBefore w:val="0"/>
        <w:tabs>
          <w:tab w:val="left" w:pos="2835"/>
        </w:tabs>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4.8对磋商过程提交的响应文件进行有效性、完整性和响应程度审查，通过审查的合格供应商不足3家的，采购人或者采购代理机构应当重新开展采购活动。</w:t>
      </w:r>
    </w:p>
    <w:p w14:paraId="383F87A1">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5.最后报价</w:t>
      </w:r>
    </w:p>
    <w:p w14:paraId="0F7A4E7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53EC7D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61422B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F6B03A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5.4已经提交响应文件的供应商，在提交最后报价之前，可以根据磋商情况退出磋商，退出磋商的供应商的响应文件按无效响应处理。</w:t>
      </w:r>
    </w:p>
    <w:p w14:paraId="3DC552A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5.5供应商未在规定时间内提交最后报价的，视同退出磋商。</w:t>
      </w:r>
    </w:p>
    <w:p w14:paraId="45E2564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5.6磋商小组收齐最后报价后统一开启，磋商小组对最后报价进行有效性、完整性和响应程度的审查。</w:t>
      </w:r>
    </w:p>
    <w:p w14:paraId="26AD0AC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5.7最终响应文件的报价出现前后不一致的，按照本章第3.4条的规定修正。</w:t>
      </w:r>
    </w:p>
    <w:p w14:paraId="01A18431">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5.8修正后的最终报价出现下列情形的，按无效响应处理：</w:t>
      </w:r>
    </w:p>
    <w:p w14:paraId="24C7704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（1）供应商不确认的（全流程电子化评标采取在线确认）；</w:t>
      </w:r>
    </w:p>
    <w:p w14:paraId="04A2351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（2）经供应商确认修正后的响应报价（包含首次报价、最后报价）超过所竞标规定的采购预算金额或者最高限价的（如本项目公布了最高限价）；</w:t>
      </w:r>
    </w:p>
    <w:p w14:paraId="51E9BDA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（3）经供应商确认修正后的响应报价（包含首次报价、最后报价）超过分项采购预算金额或者最高限价的（如本项目公布了最高限价）。</w:t>
      </w:r>
    </w:p>
    <w:p w14:paraId="7531085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5.9经供应商确认修正后的最后报价作为评审及签订合同的依据。</w:t>
      </w:r>
    </w:p>
    <w:p w14:paraId="6A5D098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5.10供应商出现最后报价按无效响应处理或者响应文件按无效处理时，磋商小组应当告知有关供应商。</w:t>
      </w:r>
    </w:p>
    <w:p w14:paraId="5293084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5.11最后报价结束后，磋商小组不得再与供应商进行任何形式的商谈。</w:t>
      </w:r>
    </w:p>
    <w:p w14:paraId="5E1F6D36">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6.比较与评价</w:t>
      </w:r>
    </w:p>
    <w:p w14:paraId="170AAA9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6.1评审方法：综合评分法。</w:t>
      </w:r>
    </w:p>
    <w:p w14:paraId="0E1BA9F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6.2经磋商确定最终采购需求和提交最后报价的供应商后，由磋商小组采用综合评分法对提交最后报价的供应商的响应文件和最后报价进行综合评分。</w:t>
      </w:r>
    </w:p>
    <w:p w14:paraId="2A48289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6.3评审时，磋商小组各成员应当独立对每个有效响应的文件进行评价、打分，然后汇总每个供应商每项评分因素的得分。</w:t>
      </w:r>
    </w:p>
    <w:p w14:paraId="26F6D96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645669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）磋商小组按照磋商文件中规定的评审标准计算各供应商的报价得分。项目评审过程中，不得去掉最后报价中的最高报价和最低报价。</w:t>
      </w:r>
    </w:p>
    <w:p w14:paraId="5EE307F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）各供应商的得分为磋商小组所有成员的有效评分的算术平均数。</w:t>
      </w:r>
    </w:p>
    <w:p w14:paraId="68B8086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6.4评审价为供应商的最后报价进行政策性扣除后的价格，评审价只是作为评审时使用。最终成交供应商的成交金额等于最后报价（如有修正，以确认修正后的最后报价为准）。</w:t>
      </w:r>
    </w:p>
    <w:p w14:paraId="4458A47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sz w:val="22"/>
          <w:szCs w:val="22"/>
          <w:highlight w:val="none"/>
        </w:rPr>
        <w:t>6.5由磋商小组根据综合评分情况，按照评审得分由高到低顺序推荐3名以上成交候选供应商，并编写评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 w:val="22"/>
          <w:szCs w:val="22"/>
          <w:highlight w:val="none"/>
        </w:rPr>
        <w:t>审报告。符合本章第4.3条情形的，可以推荐2家成交候选供应商。评审得分相同的，按照最后报价由低到高的顺序推荐。评审得分且最后报价相同的，按照技术指标优劣顺序推荐。</w:t>
      </w:r>
    </w:p>
    <w:p w14:paraId="17ECC3A1">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C42CFD">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7.评审复核</w:t>
      </w:r>
    </w:p>
    <w:p w14:paraId="4A1A545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7.1评审报告签署前，评审委员会要对评审结果进行复核，复核意见要体现在评审报告中。</w:t>
      </w:r>
    </w:p>
    <w:p w14:paraId="2C47E94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5C652A3">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8</w:t>
      </w:r>
      <w:r>
        <w:rPr>
          <w:rFonts w:hint="eastAsia" w:asciiTheme="minorEastAsia" w:hAnsiTheme="minorEastAsia" w:eastAsiaTheme="minorEastAsia" w:cstheme="minorEastAsia"/>
          <w:b/>
          <w:bCs/>
          <w:color w:val="auto"/>
          <w:sz w:val="22"/>
          <w:szCs w:val="22"/>
          <w:highlight w:val="none"/>
        </w:rPr>
        <w:t>.评审标准</w:t>
      </w:r>
    </w:p>
    <w:p w14:paraId="19846A6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color w:val="auto"/>
          <w:szCs w:val="21"/>
          <w:highlight w:val="none"/>
        </w:rPr>
      </w:pPr>
      <w:r>
        <w:rPr>
          <w:rFonts w:hint="eastAsia" w:asciiTheme="minorEastAsia" w:hAnsiTheme="minorEastAsia" w:eastAsiaTheme="minorEastAsia" w:cstheme="minorEastAsia"/>
          <w:b w:val="0"/>
          <w:bCs/>
          <w:color w:val="auto"/>
          <w:sz w:val="22"/>
          <w:szCs w:val="22"/>
          <w:highlight w:val="none"/>
          <w:lang w:val="en-US" w:eastAsia="zh-CN"/>
        </w:rPr>
        <w:t>8</w:t>
      </w:r>
      <w:r>
        <w:rPr>
          <w:rFonts w:hint="eastAsia" w:asciiTheme="minorEastAsia" w:hAnsiTheme="minorEastAsia" w:eastAsiaTheme="minorEastAsia" w:cstheme="minorEastAsia"/>
          <w:b w:val="0"/>
          <w:bCs/>
          <w:color w:val="auto"/>
          <w:sz w:val="22"/>
          <w:szCs w:val="22"/>
          <w:highlight w:val="none"/>
        </w:rPr>
        <w:t>.</w:t>
      </w:r>
      <w:r>
        <w:rPr>
          <w:rFonts w:hint="eastAsia" w:asciiTheme="minorEastAsia" w:hAnsiTheme="minorEastAsia" w:eastAsiaTheme="minorEastAsia" w:cstheme="minorEastAsia"/>
          <w:bCs/>
          <w:color w:val="auto"/>
          <w:sz w:val="22"/>
          <w:szCs w:val="22"/>
          <w:highlight w:val="none"/>
        </w:rPr>
        <w:t>1评审依据：磋商小组将以磋商响应文件为评审依据，对供应商的报价、技术、商务等方面内容按百分制打分。（计分方法按四舍五入取至百分位）</w:t>
      </w:r>
    </w:p>
    <w:bookmarkEnd w:id="49"/>
    <w:tbl>
      <w:tblPr>
        <w:tblStyle w:val="32"/>
        <w:tblpPr w:leftFromText="180" w:rightFromText="180" w:vertAnchor="text" w:horzAnchor="page" w:tblpXSpec="center" w:tblpY="439"/>
        <w:tblOverlap w:val="never"/>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130"/>
        <w:gridCol w:w="7603"/>
        <w:gridCol w:w="1152"/>
      </w:tblGrid>
      <w:tr w14:paraId="50CD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0C2DED10">
            <w:pPr>
              <w:spacing w:line="360" w:lineRule="exact"/>
              <w:jc w:val="center"/>
              <w:rPr>
                <w:rFonts w:hint="eastAsia" w:ascii="宋体" w:hAnsi="宋体" w:cs="宋体"/>
                <w:b/>
                <w:bCs/>
                <w:szCs w:val="21"/>
                <w:highlight w:val="none"/>
              </w:rPr>
            </w:pPr>
            <w:bookmarkStart w:id="51" w:name="PO_TDCUS_ITEM_SM_TABLE_1"/>
            <w:bookmarkStart w:id="52" w:name="_Toc80205935"/>
            <w:bookmarkStart w:id="53" w:name="_Toc91258508"/>
            <w:r>
              <w:rPr>
                <w:rFonts w:hint="eastAsia" w:ascii="宋体" w:hAnsi="宋体" w:cs="宋体"/>
                <w:b/>
                <w:bCs/>
                <w:szCs w:val="21"/>
                <w:highlight w:val="none"/>
              </w:rPr>
              <w:t>序号</w:t>
            </w:r>
          </w:p>
        </w:tc>
        <w:tc>
          <w:tcPr>
            <w:tcW w:w="1130" w:type="dxa"/>
            <w:noWrap/>
            <w:vAlign w:val="center"/>
          </w:tcPr>
          <w:p w14:paraId="4FBEE341">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评分类型</w:t>
            </w:r>
          </w:p>
        </w:tc>
        <w:tc>
          <w:tcPr>
            <w:tcW w:w="7603" w:type="dxa"/>
            <w:noWrap/>
            <w:vAlign w:val="center"/>
          </w:tcPr>
          <w:p w14:paraId="1BFCD887">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评分标准</w:t>
            </w:r>
          </w:p>
        </w:tc>
        <w:tc>
          <w:tcPr>
            <w:tcW w:w="1152" w:type="dxa"/>
            <w:noWrap/>
            <w:vAlign w:val="center"/>
          </w:tcPr>
          <w:p w14:paraId="06208221">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分值</w:t>
            </w:r>
          </w:p>
        </w:tc>
      </w:tr>
      <w:tr w14:paraId="3CF4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039EA778">
            <w:pPr>
              <w:spacing w:line="360" w:lineRule="exact"/>
              <w:jc w:val="center"/>
              <w:rPr>
                <w:rFonts w:hint="eastAsia" w:ascii="宋体" w:hAnsi="宋体" w:cs="宋体"/>
                <w:b/>
                <w:szCs w:val="21"/>
              </w:rPr>
            </w:pPr>
            <w:r>
              <w:rPr>
                <w:rFonts w:hint="eastAsia" w:ascii="宋体" w:hAnsi="宋体" w:cs="宋体"/>
                <w:b/>
                <w:szCs w:val="21"/>
              </w:rPr>
              <w:t>1</w:t>
            </w:r>
          </w:p>
        </w:tc>
        <w:tc>
          <w:tcPr>
            <w:tcW w:w="1130" w:type="dxa"/>
            <w:noWrap/>
            <w:vAlign w:val="center"/>
          </w:tcPr>
          <w:p w14:paraId="35A26322">
            <w:pPr>
              <w:spacing w:line="360" w:lineRule="exact"/>
              <w:jc w:val="center"/>
              <w:rPr>
                <w:rFonts w:hint="eastAsia" w:ascii="宋体" w:hAnsi="宋体" w:cs="宋体"/>
                <w:b/>
                <w:szCs w:val="21"/>
              </w:rPr>
            </w:pPr>
            <w:r>
              <w:rPr>
                <w:rFonts w:hint="eastAsia" w:ascii="宋体" w:hAnsi="宋体" w:cs="宋体"/>
                <w:b/>
                <w:szCs w:val="21"/>
              </w:rPr>
              <w:t>价格分</w:t>
            </w:r>
          </w:p>
        </w:tc>
        <w:tc>
          <w:tcPr>
            <w:tcW w:w="7603" w:type="dxa"/>
            <w:noWrap/>
            <w:vAlign w:val="center"/>
          </w:tcPr>
          <w:p w14:paraId="3EF970A5">
            <w:pPr>
              <w:spacing w:line="400" w:lineRule="exact"/>
              <w:ind w:firstLine="420" w:firstLineChars="200"/>
              <w:rPr>
                <w:rFonts w:hint="eastAsia" w:ascii="宋体" w:hAnsi="宋体" w:cs="宋体"/>
                <w:bCs/>
                <w:szCs w:val="21"/>
              </w:rPr>
            </w:pPr>
            <w:r>
              <w:rPr>
                <w:rFonts w:hint="eastAsia" w:ascii="宋体" w:hAnsi="宋体" w:cs="宋体"/>
                <w:bCs/>
                <w:szCs w:val="21"/>
              </w:rPr>
              <w:t>（1）本项目专门面向小微企业采购，不执行价格优惠政策。</w:t>
            </w:r>
          </w:p>
          <w:p w14:paraId="1CB85143">
            <w:pPr>
              <w:spacing w:line="400" w:lineRule="exact"/>
              <w:ind w:firstLine="420" w:firstLineChars="200"/>
              <w:rPr>
                <w:rFonts w:hint="eastAsia" w:ascii="宋体" w:hAnsi="宋体" w:cs="宋体"/>
                <w:szCs w:val="21"/>
              </w:rPr>
            </w:pPr>
            <w:r>
              <w:rPr>
                <w:rFonts w:hint="eastAsia" w:ascii="宋体" w:hAnsi="宋体" w:cs="宋体"/>
                <w:bCs/>
                <w:szCs w:val="21"/>
              </w:rPr>
              <w:t>（2）最终成交金额＝最终报价。</w:t>
            </w:r>
          </w:p>
          <w:p w14:paraId="69B1985E">
            <w:pPr>
              <w:spacing w:line="400" w:lineRule="exact"/>
              <w:ind w:firstLine="420" w:firstLineChars="200"/>
              <w:rPr>
                <w:rFonts w:hint="eastAsia" w:ascii="宋体" w:hAnsi="宋体" w:cs="宋体"/>
                <w:szCs w:val="21"/>
              </w:rPr>
            </w:pPr>
            <w:r>
              <w:rPr>
                <w:rFonts w:hint="eastAsia" w:ascii="宋体" w:hAnsi="宋体" w:cs="宋体"/>
                <w:szCs w:val="21"/>
              </w:rPr>
              <w:t>（3）如果评标小组认为某投标报价明显低于成本报价或明显低于其他通过符合性审查投标单位的报价，有可能影响产品质量或者不能诚信履约的，有权要求其在规定时间内提供书面说明（说明内容至少包括“进货成本、标准附件、备品备件、专用工具、包装、运输、装卸、保险、税金、货到就位以及安装、调试、培训、保修、管理成本费用、人力成本构成、税收等所有成本和利润”），必要时出具相关材料﹝提供项目成本组成明细，其中：人力成本必须根据投标人所在省（自治区、直辖市）政府部门或者人力资源社会保障部门公布的投标人所在地最低工资标准相关文件要求编制，税务成本必须提供近一年不少于3个项目或公司的年度税务缴纳凭证作为参考依据（复印件，原件现场核查）；证明其投标报价未低于成本，如不提供或评委认定其资料不能详尽合理说明其成本的，则视为低于投标单位成本价报价，评审小组有权根据《中华人民共和国反不正当竞争法》第十一条认定其属于不正当竞争，其投标报价无效。</w:t>
            </w:r>
          </w:p>
          <w:p w14:paraId="715F6C28">
            <w:pPr>
              <w:spacing w:line="400" w:lineRule="exact"/>
              <w:ind w:firstLine="420" w:firstLineChars="200"/>
              <w:rPr>
                <w:rFonts w:hint="eastAsia" w:ascii="宋体" w:hAnsi="宋体" w:cs="宋体"/>
                <w:szCs w:val="21"/>
              </w:rPr>
            </w:pPr>
            <w:r>
              <w:rPr>
                <w:rFonts w:hint="eastAsia" w:ascii="宋体" w:hAnsi="宋体" w:cs="宋体"/>
                <w:szCs w:val="21"/>
              </w:rPr>
              <w:t>（4）以进入综合评分环节的最低的评标报价为基准价，基准价报价得分为10分。</w:t>
            </w:r>
          </w:p>
          <w:p w14:paraId="61EEC22D">
            <w:pPr>
              <w:pStyle w:val="17"/>
              <w:spacing w:line="400" w:lineRule="exact"/>
              <w:ind w:firstLine="2100" w:firstLineChars="1000"/>
              <w:rPr>
                <w:rFonts w:hint="eastAsia" w:hAnsi="宋体" w:cs="宋体"/>
                <w:sz w:val="21"/>
              </w:rPr>
            </w:pPr>
            <w:r>
              <w:rPr>
                <w:rFonts w:hint="eastAsia" w:hAnsi="宋体" w:cs="宋体"/>
                <w:sz w:val="21"/>
              </w:rPr>
              <w:t>有效投标人最低投标报价金额（元）</w:t>
            </w:r>
          </w:p>
          <w:p w14:paraId="713B9AB7">
            <w:pPr>
              <w:pStyle w:val="17"/>
              <w:spacing w:line="400" w:lineRule="exact"/>
              <w:rPr>
                <w:rFonts w:hint="eastAsia" w:hAnsi="宋体" w:cs="宋体"/>
                <w:sz w:val="21"/>
              </w:rPr>
            </w:pPr>
            <w:r>
              <w:rPr>
                <w:rFonts w:hint="eastAsia" w:hAnsi="宋体" w:cs="宋体"/>
                <w:sz w:val="21"/>
              </w:rPr>
              <mc:AlternateContent>
                <mc:Choice Requires="wps">
                  <w:drawing>
                    <wp:anchor distT="0" distB="0" distL="114300" distR="114300" simplePos="0" relativeHeight="251659264" behindDoc="0" locked="0" layoutInCell="1" allowOverlap="1">
                      <wp:simplePos x="0" y="0"/>
                      <wp:positionH relativeFrom="column">
                        <wp:posOffset>1310005</wp:posOffset>
                      </wp:positionH>
                      <wp:positionV relativeFrom="paragraph">
                        <wp:posOffset>95250</wp:posOffset>
                      </wp:positionV>
                      <wp:extent cx="2096770" cy="508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2096770" cy="50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3.15pt;margin-top:7.5pt;height:0.4pt;width:165.1pt;z-index:251659264;mso-width-relative:page;mso-height-relative:page;" filled="f" stroked="t" coordsize="21600,21600" o:gfxdata="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sKSTtcAAAAJAQAADwAAAAAAAAABACAAAAAiAAAAZHJzL2Rv&#10;d25yZXYueG1sUEsBAhQAFAAAAAgAh07iQK4yn5oCAgAA7wMAAA4AAAAAAAAAAQAgAAAAJgEAAGRy&#10;cy9lMm9Eb2MueG1sUEsFBgAAAAAGAAYAWQEAAJoFAAAAAA==&#10;">
                      <v:fill on="f" focussize="0,0"/>
                      <v:stroke color="#000000" joinstyle="round"/>
                      <v:imagedata o:title=""/>
                      <o:lock v:ext="edit" aspectratio="f"/>
                    </v:shape>
                  </w:pict>
                </mc:Fallback>
              </mc:AlternateContent>
            </w:r>
            <w:r>
              <w:rPr>
                <w:rFonts w:hint="eastAsia" w:hAnsi="宋体" w:cs="宋体"/>
                <w:sz w:val="21"/>
              </w:rPr>
              <w:t>有效投标人价格分 =                                  ×10分</w:t>
            </w:r>
          </w:p>
          <w:p w14:paraId="1BBF912E">
            <w:pPr>
              <w:pStyle w:val="17"/>
              <w:spacing w:line="400" w:lineRule="exact"/>
              <w:ind w:firstLine="2310" w:firstLineChars="1100"/>
              <w:rPr>
                <w:rFonts w:hint="eastAsia" w:hAnsi="宋体" w:cs="宋体"/>
                <w:bCs/>
                <w:sz w:val="21"/>
              </w:rPr>
            </w:pPr>
            <w:r>
              <w:rPr>
                <w:rFonts w:hint="eastAsia" w:hAnsi="宋体" w:cs="宋体"/>
                <w:sz w:val="21"/>
              </w:rPr>
              <w:t xml:space="preserve">某投标人投标报价金额（元）                              </w:t>
            </w:r>
          </w:p>
        </w:tc>
        <w:tc>
          <w:tcPr>
            <w:tcW w:w="1152" w:type="dxa"/>
            <w:noWrap/>
            <w:vAlign w:val="center"/>
          </w:tcPr>
          <w:p w14:paraId="1F81A904">
            <w:pPr>
              <w:spacing w:line="360" w:lineRule="exact"/>
              <w:jc w:val="center"/>
              <w:rPr>
                <w:rFonts w:hint="eastAsia" w:ascii="宋体" w:hAnsi="宋体" w:cs="宋体"/>
                <w:b/>
                <w:szCs w:val="21"/>
              </w:rPr>
            </w:pPr>
            <w:r>
              <w:rPr>
                <w:rFonts w:hint="eastAsia" w:ascii="宋体" w:hAnsi="宋体" w:cs="宋体"/>
                <w:b/>
                <w:kern w:val="0"/>
                <w:szCs w:val="21"/>
              </w:rPr>
              <w:t>满分10分</w:t>
            </w:r>
          </w:p>
        </w:tc>
      </w:tr>
      <w:tr w14:paraId="691E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31554C35">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2</w:t>
            </w:r>
          </w:p>
        </w:tc>
        <w:tc>
          <w:tcPr>
            <w:tcW w:w="1130" w:type="dxa"/>
            <w:noWrap/>
            <w:vAlign w:val="center"/>
          </w:tcPr>
          <w:p w14:paraId="0954B6C6">
            <w:pPr>
              <w:widowControl/>
              <w:spacing w:line="400" w:lineRule="exact"/>
              <w:jc w:val="center"/>
              <w:rPr>
                <w:rFonts w:hint="eastAsia" w:ascii="宋体" w:hAnsi="宋体" w:cs="宋体"/>
                <w:b/>
                <w:bCs/>
                <w:szCs w:val="21"/>
              </w:rPr>
            </w:pPr>
            <w:r>
              <w:rPr>
                <w:rFonts w:hint="eastAsia" w:ascii="宋体" w:hAnsi="宋体" w:cs="宋体"/>
                <w:b/>
                <w:bCs/>
                <w:kern w:val="0"/>
                <w:szCs w:val="21"/>
              </w:rPr>
              <w:t>技术分</w:t>
            </w:r>
          </w:p>
        </w:tc>
        <w:tc>
          <w:tcPr>
            <w:tcW w:w="7603" w:type="dxa"/>
            <w:noWrap/>
            <w:vAlign w:val="center"/>
          </w:tcPr>
          <w:p w14:paraId="3F2D3E55">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评分标准</w:t>
            </w:r>
          </w:p>
        </w:tc>
        <w:tc>
          <w:tcPr>
            <w:tcW w:w="1152" w:type="dxa"/>
            <w:noWrap/>
            <w:vAlign w:val="center"/>
          </w:tcPr>
          <w:p w14:paraId="0F62815D">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满分</w:t>
            </w:r>
            <w:r>
              <w:rPr>
                <w:rFonts w:hint="eastAsia" w:ascii="宋体" w:hAnsi="宋体" w:cs="宋体"/>
                <w:b/>
                <w:bCs/>
                <w:kern w:val="0"/>
                <w:szCs w:val="21"/>
                <w:lang w:val="en-US" w:eastAsia="zh-CN"/>
              </w:rPr>
              <w:t>85</w:t>
            </w:r>
            <w:r>
              <w:rPr>
                <w:rFonts w:hint="eastAsia" w:ascii="宋体" w:hAnsi="宋体" w:cs="宋体"/>
                <w:b/>
                <w:bCs/>
                <w:kern w:val="0"/>
                <w:szCs w:val="21"/>
              </w:rPr>
              <w:t>分</w:t>
            </w:r>
          </w:p>
        </w:tc>
      </w:tr>
      <w:tr w14:paraId="66AC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177AFA3A">
            <w:pPr>
              <w:spacing w:line="360" w:lineRule="exact"/>
              <w:jc w:val="center"/>
              <w:rPr>
                <w:rFonts w:hint="eastAsia" w:ascii="宋体" w:hAnsi="宋体" w:cs="宋体"/>
                <w:bCs/>
                <w:szCs w:val="21"/>
              </w:rPr>
            </w:pPr>
            <w:r>
              <w:rPr>
                <w:rFonts w:hint="eastAsia" w:ascii="宋体" w:hAnsi="宋体" w:cs="宋体"/>
                <w:bCs/>
                <w:szCs w:val="21"/>
              </w:rPr>
              <w:t>2.1</w:t>
            </w:r>
          </w:p>
        </w:tc>
        <w:tc>
          <w:tcPr>
            <w:tcW w:w="1130" w:type="dxa"/>
            <w:noWrap/>
            <w:vAlign w:val="center"/>
          </w:tcPr>
          <w:p w14:paraId="0BE423CA">
            <w:pPr>
              <w:widowControl/>
              <w:spacing w:line="360" w:lineRule="auto"/>
              <w:jc w:val="center"/>
              <w:rPr>
                <w:rFonts w:hint="eastAsia" w:ascii="宋体" w:hAnsi="宋体" w:cs="宋体"/>
                <w:bCs/>
                <w:kern w:val="0"/>
                <w:szCs w:val="21"/>
              </w:rPr>
            </w:pPr>
            <w:r>
              <w:rPr>
                <w:rFonts w:hint="eastAsia" w:ascii="宋体" w:hAnsi="宋体" w:cs="宋体"/>
                <w:kern w:val="0"/>
                <w:szCs w:val="21"/>
                <w:lang w:bidi="ar"/>
              </w:rPr>
              <w:t>对项目需求、相关政策的理解分</w:t>
            </w:r>
          </w:p>
        </w:tc>
        <w:tc>
          <w:tcPr>
            <w:tcW w:w="7603" w:type="dxa"/>
            <w:noWrap/>
            <w:vAlign w:val="center"/>
          </w:tcPr>
          <w:p w14:paraId="0BF3BF77">
            <w:pPr>
              <w:pStyle w:val="82"/>
              <w:widowControl/>
              <w:spacing w:line="400" w:lineRule="exact"/>
              <w:jc w:val="left"/>
              <w:textAlignment w:val="center"/>
              <w:rPr>
                <w:rFonts w:hint="default" w:ascii="宋体" w:hAnsi="宋体" w:eastAsia="宋体" w:cs="宋体"/>
                <w:szCs w:val="21"/>
                <w:lang w:val="en-US" w:eastAsia="zh-CN"/>
              </w:rPr>
            </w:pPr>
            <w:r>
              <w:rPr>
                <w:rFonts w:hint="eastAsia" w:ascii="宋体" w:hAnsi="宋体" w:cs="宋体"/>
                <w:szCs w:val="21"/>
              </w:rPr>
              <w:t>供应商对本项目的采购需求、服务目标和交付要求的理解程度，对与项目相关政策的跟踪及了解情况，进行综合评分。</w:t>
            </w:r>
            <w:r>
              <w:rPr>
                <w:rFonts w:hint="eastAsia" w:ascii="宋体" w:hAnsi="宋体" w:cs="宋体"/>
                <w:szCs w:val="21"/>
                <w:lang w:val="en-US" w:eastAsia="zh-CN"/>
              </w:rPr>
              <w:t>未提供不得分。</w:t>
            </w:r>
          </w:p>
          <w:p w14:paraId="6129BCE2">
            <w:pPr>
              <w:pStyle w:val="82"/>
              <w:widowControl/>
              <w:spacing w:line="400" w:lineRule="exact"/>
              <w:jc w:val="left"/>
              <w:textAlignment w:val="center"/>
              <w:rPr>
                <w:rFonts w:hint="eastAsia" w:ascii="宋体" w:hAnsi="宋体" w:cs="宋体"/>
                <w:szCs w:val="21"/>
              </w:rPr>
            </w:pPr>
            <w:r>
              <w:rPr>
                <w:rFonts w:hint="eastAsia" w:ascii="宋体" w:hAnsi="宋体" w:cs="宋体"/>
                <w:szCs w:val="21"/>
              </w:rPr>
              <w:t>一档（5分）：对本项目的采购需求、服务目标和交付要求理解上有偏差，工作计划与编写方案不够完整；对相关政策认识不到位的；</w:t>
            </w:r>
          </w:p>
          <w:p w14:paraId="00CBDE5F">
            <w:pPr>
              <w:pStyle w:val="82"/>
              <w:widowControl/>
              <w:spacing w:line="400" w:lineRule="exact"/>
              <w:jc w:val="left"/>
              <w:textAlignment w:val="center"/>
              <w:rPr>
                <w:rFonts w:hint="eastAsia" w:ascii="宋体" w:hAnsi="宋体" w:cs="宋体"/>
                <w:szCs w:val="21"/>
              </w:rPr>
            </w:pPr>
            <w:r>
              <w:rPr>
                <w:rFonts w:hint="eastAsia" w:ascii="宋体" w:hAnsi="宋体" w:cs="宋体"/>
                <w:szCs w:val="21"/>
              </w:rPr>
              <w:t>二档（10分）：能够基本理解本项目的采购需求、服务目标和交付要求，且能提出完整的工作计划与编写方案；对相关政策进行了基本的学习和解读，但不够全面深刻的；</w:t>
            </w:r>
          </w:p>
          <w:p w14:paraId="0066A486">
            <w:pPr>
              <w:pStyle w:val="82"/>
              <w:widowControl/>
              <w:spacing w:line="400" w:lineRule="exact"/>
              <w:jc w:val="left"/>
              <w:textAlignment w:val="center"/>
              <w:rPr>
                <w:rFonts w:hint="eastAsia" w:ascii="宋体" w:hAnsi="宋体" w:cs="宋体"/>
                <w:szCs w:val="21"/>
              </w:rPr>
            </w:pPr>
            <w:r>
              <w:rPr>
                <w:rFonts w:hint="eastAsia" w:ascii="宋体" w:hAnsi="宋体" w:cs="宋体"/>
                <w:szCs w:val="21"/>
              </w:rPr>
              <w:t>三档（15分）：能够充分理解本项目的采购需求、服务目标和交付要求，且能提出完整的、有针对、实效性和延展性的工作计划与编写方案，对项目有建议性的方案；对相关政策进行了全面系统学习和深刻解读，对政策有全面深刻的认识。</w:t>
            </w:r>
          </w:p>
        </w:tc>
        <w:tc>
          <w:tcPr>
            <w:tcW w:w="1152" w:type="dxa"/>
            <w:noWrap/>
            <w:vAlign w:val="center"/>
          </w:tcPr>
          <w:p w14:paraId="49073B92">
            <w:pPr>
              <w:widowControl/>
              <w:spacing w:line="360" w:lineRule="auto"/>
              <w:jc w:val="center"/>
              <w:rPr>
                <w:rFonts w:hint="eastAsia" w:ascii="宋体" w:hAnsi="宋体" w:cs="宋体"/>
                <w:kern w:val="0"/>
                <w:szCs w:val="21"/>
              </w:rPr>
            </w:pPr>
            <w:r>
              <w:rPr>
                <w:rFonts w:hint="eastAsia" w:ascii="宋体" w:hAnsi="宋体" w:cs="宋体"/>
                <w:kern w:val="0"/>
                <w:szCs w:val="21"/>
              </w:rPr>
              <w:t>15分</w:t>
            </w:r>
          </w:p>
        </w:tc>
      </w:tr>
      <w:tr w14:paraId="551D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4D4B759D">
            <w:pPr>
              <w:jc w:val="center"/>
              <w:rPr>
                <w:rFonts w:hint="eastAsia" w:ascii="宋体" w:hAnsi="宋体" w:cs="宋体"/>
                <w:bCs/>
                <w:szCs w:val="21"/>
              </w:rPr>
            </w:pPr>
            <w:r>
              <w:rPr>
                <w:rFonts w:hint="eastAsia" w:ascii="宋体" w:hAnsi="宋体" w:cs="宋体"/>
                <w:bCs/>
                <w:szCs w:val="21"/>
              </w:rPr>
              <w:t>2.2</w:t>
            </w:r>
          </w:p>
        </w:tc>
        <w:tc>
          <w:tcPr>
            <w:tcW w:w="1130" w:type="dxa"/>
            <w:noWrap/>
            <w:vAlign w:val="center"/>
          </w:tcPr>
          <w:p w14:paraId="65C1EFF9">
            <w:pPr>
              <w:widowControl/>
              <w:spacing w:line="360" w:lineRule="auto"/>
              <w:jc w:val="center"/>
              <w:rPr>
                <w:rFonts w:hint="eastAsia" w:ascii="宋体" w:hAnsi="宋体" w:cs="宋体"/>
                <w:bCs/>
                <w:szCs w:val="21"/>
              </w:rPr>
            </w:pPr>
            <w:r>
              <w:rPr>
                <w:rFonts w:hint="eastAsia" w:ascii="宋体" w:hAnsi="宋体" w:eastAsia="宋体" w:cs="宋体"/>
                <w:kern w:val="0"/>
                <w:szCs w:val="21"/>
                <w:lang w:bidi="ar"/>
              </w:rPr>
              <w:t>项目服务实施方案制定分</w:t>
            </w:r>
          </w:p>
        </w:tc>
        <w:tc>
          <w:tcPr>
            <w:tcW w:w="7603" w:type="dxa"/>
            <w:noWrap/>
            <w:vAlign w:val="center"/>
          </w:tcPr>
          <w:p w14:paraId="4BD5FD5A">
            <w:pPr>
              <w:pStyle w:val="58"/>
              <w:spacing w:line="400" w:lineRule="exact"/>
              <w:ind w:firstLine="420" w:firstLineChars="200"/>
              <w:rPr>
                <w:rStyle w:val="98"/>
                <w:rFonts w:hint="default"/>
                <w:color w:val="auto"/>
                <w:lang w:bidi="ar"/>
              </w:rPr>
            </w:pPr>
            <w:r>
              <w:rPr>
                <w:rStyle w:val="98"/>
                <w:rFonts w:hint="default"/>
                <w:color w:val="auto"/>
                <w:lang w:bidi="ar"/>
              </w:rPr>
              <w:t>供应商对本项目的服务实施方案，包括前期准备、调研、项目进度计划、质量保证措施、项目实施周期等进行综合评分。未提供不得分。</w:t>
            </w:r>
          </w:p>
          <w:p w14:paraId="0E9D6182">
            <w:pPr>
              <w:pStyle w:val="58"/>
              <w:spacing w:line="400" w:lineRule="exact"/>
              <w:ind w:firstLine="420" w:firstLineChars="200"/>
              <w:rPr>
                <w:rStyle w:val="98"/>
                <w:rFonts w:hint="default"/>
                <w:color w:val="auto"/>
                <w:lang w:bidi="ar"/>
              </w:rPr>
            </w:pPr>
            <w:r>
              <w:rPr>
                <w:rStyle w:val="98"/>
                <w:rFonts w:hint="default"/>
                <w:color w:val="auto"/>
                <w:lang w:bidi="ar"/>
              </w:rPr>
              <w:t>一档（10分）：实施方案内容基本完善，内容不够详尽，进度安排无充分保障，不能很好达到项目考核标准；</w:t>
            </w:r>
          </w:p>
          <w:p w14:paraId="5DDA487B">
            <w:pPr>
              <w:pStyle w:val="58"/>
              <w:spacing w:line="400" w:lineRule="exact"/>
              <w:ind w:firstLine="420" w:firstLineChars="200"/>
              <w:rPr>
                <w:rStyle w:val="98"/>
                <w:rFonts w:hint="default"/>
                <w:color w:val="auto"/>
                <w:lang w:bidi="ar"/>
              </w:rPr>
            </w:pPr>
            <w:r>
              <w:rPr>
                <w:rStyle w:val="98"/>
                <w:rFonts w:hint="default"/>
                <w:color w:val="auto"/>
                <w:lang w:bidi="ar"/>
              </w:rPr>
              <w:t>二档（20分）：在满足一档的基础上，实施方案内容更完整，工作内容相对详尽、合理，进度安排能达到要求，项目实施周期等内容较详细；</w:t>
            </w:r>
          </w:p>
          <w:p w14:paraId="5F9143C5">
            <w:pPr>
              <w:pStyle w:val="58"/>
              <w:spacing w:line="400" w:lineRule="exact"/>
              <w:ind w:firstLine="420" w:firstLineChars="200"/>
              <w:rPr>
                <w:rFonts w:hint="eastAsia" w:ascii="宋体" w:hAnsi="宋体" w:cs="宋体"/>
                <w:sz w:val="21"/>
                <w:szCs w:val="21"/>
                <w:lang w:bidi="ar"/>
              </w:rPr>
            </w:pPr>
            <w:r>
              <w:rPr>
                <w:rStyle w:val="98"/>
                <w:rFonts w:hint="default"/>
                <w:color w:val="auto"/>
                <w:lang w:bidi="ar"/>
              </w:rPr>
              <w:t>三档（30分）：在满足二档的基础上，实施方案内容完整、整体把握很好地对应各阶段项目服务要求，工作内容详尽、清晰有条理、工作方法科学并能对项目提出很好的建议，进度安排充分，切实可行，完全满足项目要求并能充分保证项目履行，项目服务方法创新实用，项目运作机制成熟。</w:t>
            </w:r>
          </w:p>
        </w:tc>
        <w:tc>
          <w:tcPr>
            <w:tcW w:w="1152" w:type="dxa"/>
            <w:noWrap/>
            <w:vAlign w:val="center"/>
          </w:tcPr>
          <w:p w14:paraId="44844B98">
            <w:pPr>
              <w:spacing w:line="360" w:lineRule="exact"/>
              <w:jc w:val="center"/>
              <w:rPr>
                <w:rFonts w:hint="eastAsia" w:ascii="宋体" w:hAnsi="宋体" w:cs="宋体"/>
                <w:bCs/>
                <w:szCs w:val="21"/>
              </w:rPr>
            </w:pPr>
            <w:r>
              <w:rPr>
                <w:rFonts w:hint="eastAsia" w:ascii="宋体" w:hAnsi="宋体" w:cs="宋体"/>
                <w:bCs/>
                <w:szCs w:val="21"/>
              </w:rPr>
              <w:t>30分</w:t>
            </w:r>
          </w:p>
        </w:tc>
      </w:tr>
      <w:tr w14:paraId="565E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6E5BB945">
            <w:pPr>
              <w:widowControl/>
              <w:spacing w:line="360" w:lineRule="auto"/>
              <w:jc w:val="center"/>
              <w:rPr>
                <w:rFonts w:hint="eastAsia" w:ascii="宋体" w:hAnsi="宋体" w:cs="宋体"/>
                <w:kern w:val="0"/>
                <w:szCs w:val="21"/>
              </w:rPr>
            </w:pPr>
            <w:r>
              <w:rPr>
                <w:rFonts w:hint="eastAsia" w:ascii="宋体" w:hAnsi="宋体" w:cs="宋体"/>
                <w:kern w:val="0"/>
                <w:szCs w:val="21"/>
              </w:rPr>
              <w:t>2.3</w:t>
            </w:r>
          </w:p>
        </w:tc>
        <w:tc>
          <w:tcPr>
            <w:tcW w:w="1130" w:type="dxa"/>
            <w:noWrap/>
            <w:vAlign w:val="center"/>
          </w:tcPr>
          <w:p w14:paraId="51FC8D1C">
            <w:pPr>
              <w:widowControl/>
              <w:spacing w:line="360" w:lineRule="auto"/>
              <w:jc w:val="center"/>
              <w:rPr>
                <w:rFonts w:hint="eastAsia" w:ascii="宋体" w:hAnsi="宋体" w:cs="宋体"/>
                <w:bCs/>
                <w:szCs w:val="21"/>
              </w:rPr>
            </w:pPr>
            <w:r>
              <w:rPr>
                <w:rFonts w:hint="eastAsia" w:ascii="宋体" w:hAnsi="宋体" w:cs="宋体"/>
                <w:bCs/>
                <w:szCs w:val="21"/>
              </w:rPr>
              <w:t>项目拟投入</w:t>
            </w:r>
            <w:r>
              <w:rPr>
                <w:rFonts w:hint="eastAsia" w:ascii="宋体" w:hAnsi="宋体" w:cs="宋体"/>
                <w:szCs w:val="21"/>
              </w:rPr>
              <w:t>实施人员</w:t>
            </w:r>
            <w:r>
              <w:rPr>
                <w:rFonts w:hint="eastAsia" w:ascii="宋体" w:hAnsi="宋体" w:cs="宋体"/>
                <w:bCs/>
                <w:szCs w:val="21"/>
              </w:rPr>
              <w:t>配置方案分</w:t>
            </w:r>
          </w:p>
        </w:tc>
        <w:tc>
          <w:tcPr>
            <w:tcW w:w="7603" w:type="dxa"/>
            <w:noWrap/>
            <w:vAlign w:val="center"/>
          </w:tcPr>
          <w:p w14:paraId="36405CA3">
            <w:pPr>
              <w:pStyle w:val="7"/>
              <w:spacing w:line="400" w:lineRule="exact"/>
              <w:ind w:firstLineChars="200"/>
              <w:jc w:val="left"/>
              <w:rPr>
                <w:rFonts w:hint="default" w:ascii="宋体" w:hAnsi="宋体" w:eastAsia="宋体" w:cs="宋体"/>
                <w:szCs w:val="21"/>
                <w:lang w:val="en-US" w:eastAsia="zh-CN"/>
              </w:rPr>
            </w:pPr>
            <w:r>
              <w:rPr>
                <w:rFonts w:hint="eastAsia" w:ascii="宋体" w:hAnsi="宋体" w:cs="宋体"/>
                <w:szCs w:val="21"/>
                <w:lang w:val="en-US" w:eastAsia="zh-CN"/>
              </w:rPr>
              <w:t>未提供不得分。</w:t>
            </w:r>
          </w:p>
          <w:p w14:paraId="3DF13585">
            <w:pPr>
              <w:pStyle w:val="7"/>
              <w:spacing w:line="400" w:lineRule="exact"/>
              <w:ind w:firstLineChars="200"/>
              <w:jc w:val="left"/>
              <w:rPr>
                <w:rFonts w:hint="eastAsia" w:ascii="宋体" w:hAnsi="宋体" w:eastAsia="宋体" w:cs="宋体"/>
                <w:szCs w:val="21"/>
                <w:lang w:eastAsia="zh-CN"/>
              </w:rPr>
            </w:pPr>
            <w:r>
              <w:rPr>
                <w:rFonts w:hint="eastAsia" w:ascii="宋体" w:hAnsi="宋体" w:cs="宋体"/>
                <w:szCs w:val="21"/>
              </w:rPr>
              <w:t>一档(5分)</w:t>
            </w:r>
            <w:r>
              <w:rPr>
                <w:rFonts w:hint="eastAsia" w:ascii="宋体" w:hAnsi="宋体" w:cs="宋体"/>
                <w:szCs w:val="21"/>
                <w:lang w:eastAsia="zh-CN"/>
              </w:rPr>
              <w:t>：</w:t>
            </w:r>
            <w:r>
              <w:rPr>
                <w:rFonts w:hint="eastAsia" w:ascii="宋体" w:hAnsi="宋体" w:cs="宋体"/>
                <w:szCs w:val="21"/>
              </w:rPr>
              <w:t>供应商提供了人员配需方案，人员配满足服务要求，对岗位、分工、进度计划、绩效考核的描述笼统，缺乏针对性和合理性的</w:t>
            </w:r>
            <w:r>
              <w:rPr>
                <w:rFonts w:hint="eastAsia" w:ascii="宋体" w:hAnsi="宋体" w:cs="宋体"/>
                <w:szCs w:val="21"/>
                <w:lang w:eastAsia="zh-CN"/>
              </w:rPr>
              <w:t>；</w:t>
            </w:r>
          </w:p>
          <w:p w14:paraId="67AA0548">
            <w:pPr>
              <w:pStyle w:val="7"/>
              <w:spacing w:line="400" w:lineRule="exact"/>
              <w:ind w:firstLineChars="200"/>
              <w:jc w:val="left"/>
              <w:rPr>
                <w:rFonts w:hint="eastAsia" w:ascii="宋体" w:hAnsi="宋体" w:eastAsia="宋体" w:cs="宋体"/>
                <w:szCs w:val="21"/>
                <w:lang w:eastAsia="zh-CN"/>
              </w:rPr>
            </w:pPr>
            <w:r>
              <w:rPr>
                <w:rFonts w:hint="eastAsia" w:ascii="宋体" w:hAnsi="宋体" w:cs="宋体"/>
                <w:szCs w:val="21"/>
              </w:rPr>
              <w:t>二档(10分)</w:t>
            </w:r>
            <w:r>
              <w:rPr>
                <w:rFonts w:hint="eastAsia" w:ascii="宋体" w:hAnsi="宋体" w:cs="宋体"/>
                <w:szCs w:val="21"/>
                <w:lang w:eastAsia="zh-CN"/>
              </w:rPr>
              <w:t>：</w:t>
            </w:r>
            <w:r>
              <w:rPr>
                <w:rFonts w:hint="eastAsia" w:ascii="宋体" w:hAnsi="宋体" w:cs="宋体"/>
                <w:szCs w:val="21"/>
              </w:rPr>
              <w:t>供应商提供了较完善的人员配置方案，人员岗位清晰，工作内容基本明确，工作计划及工作环节衔接基本合理，并制订相应的绩效考核指标</w:t>
            </w:r>
            <w:r>
              <w:rPr>
                <w:rFonts w:hint="eastAsia" w:ascii="宋体" w:hAnsi="宋体" w:cs="宋体"/>
                <w:szCs w:val="21"/>
                <w:lang w:eastAsia="zh-CN"/>
              </w:rPr>
              <w:t>；</w:t>
            </w:r>
          </w:p>
          <w:p w14:paraId="1C212E7B">
            <w:pPr>
              <w:pStyle w:val="7"/>
              <w:spacing w:line="400" w:lineRule="exact"/>
              <w:ind w:firstLineChars="200"/>
              <w:jc w:val="left"/>
              <w:rPr>
                <w:rFonts w:hint="eastAsia" w:ascii="宋体" w:hAnsi="宋体" w:cs="宋体"/>
                <w:szCs w:val="21"/>
              </w:rPr>
            </w:pPr>
            <w:r>
              <w:rPr>
                <w:rFonts w:hint="eastAsia" w:ascii="宋体" w:hAnsi="宋体" w:cs="宋体"/>
                <w:szCs w:val="21"/>
              </w:rPr>
              <w:t>三档(15分)</w:t>
            </w:r>
            <w:r>
              <w:rPr>
                <w:rFonts w:hint="eastAsia" w:ascii="宋体" w:hAnsi="宋体" w:cs="宋体"/>
                <w:szCs w:val="21"/>
                <w:lang w:eastAsia="zh-CN"/>
              </w:rPr>
              <w:t>：</w:t>
            </w:r>
            <w:r>
              <w:rPr>
                <w:rFonts w:hint="eastAsia" w:ascii="宋体" w:hAnsi="宋体" w:cs="宋体"/>
                <w:szCs w:val="21"/>
              </w:rPr>
              <w:t>供应商提供了完善的人员配置方案，人员岗位清晰，工作内容明确，工作计划合理，工作环节衔接紧密且工作量与拟投入的设备相匹配，并制订相应的绩效考核指标，应急服务预案详细且可行性强。</w:t>
            </w:r>
          </w:p>
        </w:tc>
        <w:tc>
          <w:tcPr>
            <w:tcW w:w="1152" w:type="dxa"/>
            <w:noWrap/>
            <w:vAlign w:val="center"/>
          </w:tcPr>
          <w:p w14:paraId="0B1B4D2E">
            <w:pPr>
              <w:widowControl/>
              <w:spacing w:line="360" w:lineRule="auto"/>
              <w:jc w:val="center"/>
              <w:rPr>
                <w:rFonts w:hint="eastAsia" w:ascii="宋体" w:hAnsi="宋体" w:cs="宋体"/>
                <w:kern w:val="0"/>
                <w:szCs w:val="21"/>
              </w:rPr>
            </w:pPr>
            <w:r>
              <w:rPr>
                <w:rFonts w:hint="eastAsia" w:ascii="宋体" w:hAnsi="宋体" w:cs="宋体"/>
                <w:bCs/>
                <w:kern w:val="0"/>
                <w:szCs w:val="21"/>
              </w:rPr>
              <w:t>15分</w:t>
            </w:r>
          </w:p>
        </w:tc>
      </w:tr>
      <w:tr w14:paraId="1531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jc w:val="center"/>
        </w:trPr>
        <w:tc>
          <w:tcPr>
            <w:tcW w:w="580" w:type="dxa"/>
            <w:noWrap/>
            <w:vAlign w:val="center"/>
          </w:tcPr>
          <w:p w14:paraId="47822C78">
            <w:pPr>
              <w:spacing w:line="360" w:lineRule="exact"/>
              <w:jc w:val="center"/>
              <w:rPr>
                <w:rFonts w:hint="eastAsia" w:ascii="宋体" w:hAnsi="宋体" w:cs="宋体"/>
                <w:bCs/>
                <w:szCs w:val="21"/>
              </w:rPr>
            </w:pPr>
            <w:r>
              <w:rPr>
                <w:rFonts w:hint="eastAsia" w:ascii="宋体" w:hAnsi="宋体" w:cs="宋体"/>
                <w:bCs/>
                <w:szCs w:val="21"/>
              </w:rPr>
              <w:t>2.4</w:t>
            </w:r>
          </w:p>
        </w:tc>
        <w:tc>
          <w:tcPr>
            <w:tcW w:w="1130" w:type="dxa"/>
            <w:noWrap/>
            <w:vAlign w:val="center"/>
          </w:tcPr>
          <w:p w14:paraId="403DF959">
            <w:pPr>
              <w:spacing w:line="360" w:lineRule="exact"/>
              <w:jc w:val="center"/>
              <w:rPr>
                <w:rFonts w:hint="eastAsia" w:ascii="宋体" w:hAnsi="宋体" w:cs="宋体"/>
                <w:szCs w:val="21"/>
              </w:rPr>
            </w:pPr>
            <w:r>
              <w:rPr>
                <w:rFonts w:hint="eastAsia" w:ascii="宋体" w:hAnsi="宋体" w:cs="宋体"/>
                <w:szCs w:val="21"/>
              </w:rPr>
              <w:t>服务承诺分</w:t>
            </w:r>
          </w:p>
        </w:tc>
        <w:tc>
          <w:tcPr>
            <w:tcW w:w="7603" w:type="dxa"/>
            <w:noWrap/>
            <w:vAlign w:val="center"/>
          </w:tcPr>
          <w:p w14:paraId="2151C38E">
            <w:pPr>
              <w:pStyle w:val="7"/>
              <w:spacing w:line="400" w:lineRule="exact"/>
              <w:ind w:firstLineChars="200"/>
              <w:jc w:val="left"/>
              <w:rPr>
                <w:rFonts w:hint="eastAsia" w:ascii="宋体" w:hAnsi="宋体" w:cs="宋体"/>
                <w:szCs w:val="21"/>
              </w:rPr>
            </w:pPr>
            <w:r>
              <w:rPr>
                <w:rFonts w:hint="eastAsia" w:ascii="宋体" w:hAnsi="宋体" w:cs="宋体"/>
                <w:szCs w:val="21"/>
                <w:lang w:val="en-US" w:eastAsia="zh-CN"/>
              </w:rPr>
              <w:t>未提供不得分。</w:t>
            </w:r>
          </w:p>
          <w:p w14:paraId="57D8F8CC">
            <w:pPr>
              <w:pStyle w:val="7"/>
              <w:spacing w:line="400" w:lineRule="exact"/>
              <w:ind w:firstLineChars="200"/>
              <w:jc w:val="left"/>
              <w:rPr>
                <w:rFonts w:hint="eastAsia" w:ascii="宋体" w:hAnsi="宋体" w:cs="宋体"/>
                <w:szCs w:val="21"/>
              </w:rPr>
            </w:pPr>
            <w:r>
              <w:rPr>
                <w:rFonts w:hint="eastAsia" w:ascii="宋体" w:hAnsi="宋体" w:cs="宋体"/>
                <w:szCs w:val="21"/>
              </w:rPr>
              <w:t>一档（</w:t>
            </w:r>
            <w:r>
              <w:rPr>
                <w:rFonts w:hint="eastAsia" w:ascii="宋体" w:hAnsi="宋体" w:cs="宋体"/>
                <w:szCs w:val="21"/>
                <w:lang w:val="en-US" w:eastAsia="zh-CN"/>
              </w:rPr>
              <w:t>4</w:t>
            </w:r>
            <w:r>
              <w:rPr>
                <w:rFonts w:hint="eastAsia" w:ascii="宋体" w:hAnsi="宋体" w:cs="宋体"/>
                <w:szCs w:val="21"/>
              </w:rPr>
              <w:t>分）：承诺满足采购文件服务要求，达到相应服务内容要求标准，提供了服务质量承诺，承诺内容相对简单；</w:t>
            </w:r>
          </w:p>
          <w:p w14:paraId="1A45A30F">
            <w:pPr>
              <w:pStyle w:val="7"/>
              <w:spacing w:line="400" w:lineRule="exact"/>
              <w:ind w:firstLineChars="200"/>
              <w:jc w:val="left"/>
              <w:rPr>
                <w:rFonts w:hint="eastAsia" w:ascii="宋体" w:hAnsi="宋体" w:cs="宋体"/>
                <w:szCs w:val="21"/>
              </w:rPr>
            </w:pPr>
            <w:r>
              <w:rPr>
                <w:rFonts w:hint="eastAsia" w:ascii="宋体" w:hAnsi="宋体" w:cs="宋体"/>
                <w:szCs w:val="21"/>
              </w:rPr>
              <w:t>二档（</w:t>
            </w:r>
            <w:r>
              <w:rPr>
                <w:rFonts w:hint="eastAsia" w:ascii="宋体" w:hAnsi="宋体" w:cs="宋体"/>
                <w:szCs w:val="21"/>
                <w:lang w:val="en-US" w:eastAsia="zh-CN"/>
              </w:rPr>
              <w:t>8</w:t>
            </w:r>
            <w:r>
              <w:rPr>
                <w:rFonts w:hint="eastAsia" w:ascii="宋体" w:hAnsi="宋体" w:cs="宋体"/>
                <w:szCs w:val="21"/>
              </w:rPr>
              <w:t>分）：在满足一档要求的基础上，服务质量承诺描述详细，有完成时间、步骤、目标的实现、服务态度、廉洁承诺等方面的内容。</w:t>
            </w:r>
          </w:p>
          <w:p w14:paraId="31B5AC02">
            <w:pPr>
              <w:pStyle w:val="7"/>
              <w:spacing w:line="400" w:lineRule="exact"/>
              <w:ind w:firstLineChars="200"/>
              <w:jc w:val="left"/>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12</w:t>
            </w:r>
            <w:r>
              <w:rPr>
                <w:rFonts w:hint="eastAsia" w:ascii="宋体" w:hAnsi="宋体" w:cs="宋体"/>
                <w:szCs w:val="21"/>
              </w:rPr>
              <w:t>分）：在满足二档要求的基础上，服务质量承诺描述更具体详细，有一定的针对性，完成时间、步骤、目标的实现、服务态度、廉洁承诺等方面的内容更完善、清晰、可行性强，确保项目实施更有保障。</w:t>
            </w:r>
          </w:p>
        </w:tc>
        <w:tc>
          <w:tcPr>
            <w:tcW w:w="1152" w:type="dxa"/>
            <w:noWrap/>
            <w:vAlign w:val="center"/>
          </w:tcPr>
          <w:p w14:paraId="77FA951B">
            <w:pPr>
              <w:spacing w:line="360" w:lineRule="exact"/>
              <w:jc w:val="center"/>
              <w:rPr>
                <w:rFonts w:hint="eastAsia" w:ascii="宋体" w:hAnsi="宋体" w:cs="宋体"/>
                <w:bCs/>
                <w:szCs w:val="21"/>
              </w:rPr>
            </w:pPr>
            <w:r>
              <w:rPr>
                <w:rFonts w:hint="eastAsia" w:ascii="宋体" w:hAnsi="宋体" w:cs="宋体"/>
                <w:bCs/>
                <w:szCs w:val="21"/>
                <w:lang w:val="en-US" w:eastAsia="zh-CN"/>
              </w:rPr>
              <w:t>12</w:t>
            </w:r>
            <w:r>
              <w:rPr>
                <w:rFonts w:hint="eastAsia" w:ascii="宋体" w:hAnsi="宋体" w:cs="宋体"/>
                <w:bCs/>
                <w:kern w:val="0"/>
                <w:szCs w:val="21"/>
              </w:rPr>
              <w:t>分</w:t>
            </w:r>
          </w:p>
        </w:tc>
      </w:tr>
      <w:tr w14:paraId="3433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047EEE97">
            <w:pPr>
              <w:spacing w:line="360" w:lineRule="exact"/>
              <w:jc w:val="center"/>
              <w:rPr>
                <w:rFonts w:hint="eastAsia" w:ascii="宋体" w:hAnsi="宋体" w:cs="宋体"/>
                <w:bCs/>
                <w:szCs w:val="21"/>
              </w:rPr>
            </w:pPr>
            <w:r>
              <w:rPr>
                <w:rFonts w:hint="eastAsia" w:ascii="宋体" w:hAnsi="宋体" w:cs="宋体"/>
                <w:bCs/>
                <w:szCs w:val="21"/>
              </w:rPr>
              <w:t>2.5</w:t>
            </w:r>
          </w:p>
        </w:tc>
        <w:tc>
          <w:tcPr>
            <w:tcW w:w="1130" w:type="dxa"/>
            <w:noWrap/>
            <w:vAlign w:val="center"/>
          </w:tcPr>
          <w:p w14:paraId="7527F84F">
            <w:pPr>
              <w:spacing w:line="360" w:lineRule="exact"/>
              <w:jc w:val="center"/>
              <w:rPr>
                <w:rFonts w:hint="eastAsia" w:ascii="宋体" w:hAnsi="宋体" w:cs="宋体"/>
                <w:szCs w:val="21"/>
              </w:rPr>
            </w:pPr>
            <w:r>
              <w:rPr>
                <w:rFonts w:hint="eastAsia" w:ascii="宋体" w:hAnsi="宋体" w:cs="宋体"/>
                <w:kern w:val="0"/>
                <w:szCs w:val="21"/>
                <w:lang w:val="zh-CN"/>
              </w:rPr>
              <w:t>运营管理制度分</w:t>
            </w:r>
          </w:p>
        </w:tc>
        <w:tc>
          <w:tcPr>
            <w:tcW w:w="7603" w:type="dxa"/>
            <w:noWrap/>
            <w:vAlign w:val="center"/>
          </w:tcPr>
          <w:p w14:paraId="1EB30745">
            <w:pPr>
              <w:pStyle w:val="7"/>
              <w:spacing w:line="400" w:lineRule="exact"/>
              <w:ind w:firstLineChars="200"/>
              <w:jc w:val="left"/>
              <w:rPr>
                <w:rFonts w:hint="eastAsia" w:ascii="宋体" w:hAnsi="宋体" w:cs="宋体"/>
                <w:szCs w:val="21"/>
              </w:rPr>
            </w:pPr>
            <w:r>
              <w:rPr>
                <w:rFonts w:hint="eastAsia" w:ascii="宋体" w:hAnsi="宋体" w:cs="宋体"/>
                <w:szCs w:val="21"/>
                <w:lang w:val="en-US" w:eastAsia="zh-CN"/>
              </w:rPr>
              <w:t>未提供不得分。</w:t>
            </w:r>
          </w:p>
          <w:p w14:paraId="36A8CCBD">
            <w:pPr>
              <w:pStyle w:val="7"/>
              <w:spacing w:line="400" w:lineRule="exact"/>
              <w:ind w:firstLineChars="200"/>
              <w:jc w:val="left"/>
              <w:rPr>
                <w:rFonts w:hint="eastAsia" w:ascii="宋体" w:hAnsi="宋体" w:cs="宋体"/>
                <w:szCs w:val="21"/>
              </w:rPr>
            </w:pPr>
            <w:r>
              <w:rPr>
                <w:rFonts w:hint="eastAsia" w:ascii="宋体" w:hAnsi="宋体" w:cs="宋体"/>
                <w:szCs w:val="21"/>
              </w:rPr>
              <w:t>一档（</w:t>
            </w:r>
            <w:r>
              <w:rPr>
                <w:rFonts w:hint="eastAsia" w:ascii="宋体" w:hAnsi="宋体" w:cs="宋体"/>
                <w:szCs w:val="21"/>
                <w:lang w:val="en-US" w:eastAsia="zh-CN"/>
              </w:rPr>
              <w:t>4</w:t>
            </w:r>
            <w:r>
              <w:rPr>
                <w:rFonts w:hint="eastAsia" w:ascii="宋体" w:hAnsi="宋体" w:cs="宋体"/>
                <w:szCs w:val="21"/>
              </w:rPr>
              <w:t>分）：提供的运营管理制度不符合要求的；</w:t>
            </w:r>
          </w:p>
          <w:p w14:paraId="2DF00432">
            <w:pPr>
              <w:pStyle w:val="7"/>
              <w:spacing w:line="400" w:lineRule="exact"/>
              <w:ind w:firstLineChars="200"/>
              <w:jc w:val="left"/>
              <w:rPr>
                <w:rFonts w:hint="eastAsia" w:ascii="宋体" w:hAnsi="宋体" w:cs="宋体"/>
                <w:szCs w:val="21"/>
              </w:rPr>
            </w:pPr>
            <w:r>
              <w:rPr>
                <w:rFonts w:hint="eastAsia" w:ascii="宋体" w:hAnsi="宋体" w:cs="宋体"/>
                <w:szCs w:val="21"/>
              </w:rPr>
              <w:t>二档（</w:t>
            </w:r>
            <w:r>
              <w:rPr>
                <w:rFonts w:hint="eastAsia" w:ascii="宋体" w:hAnsi="宋体" w:cs="宋体"/>
                <w:szCs w:val="21"/>
                <w:lang w:val="en-US" w:eastAsia="zh-CN"/>
              </w:rPr>
              <w:t>8</w:t>
            </w:r>
            <w:r>
              <w:rPr>
                <w:rFonts w:hint="eastAsia" w:ascii="宋体" w:hAnsi="宋体" w:cs="宋体"/>
                <w:szCs w:val="21"/>
              </w:rPr>
              <w:t>分）：建立相关运营管理制度性文件，规章制度比较简单，项目运作机制基本可行，可操作性一般的；</w:t>
            </w:r>
          </w:p>
          <w:p w14:paraId="4B59C799">
            <w:pPr>
              <w:pStyle w:val="7"/>
              <w:spacing w:line="400" w:lineRule="exact"/>
              <w:ind w:firstLineChars="200"/>
              <w:jc w:val="left"/>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13</w:t>
            </w:r>
            <w:r>
              <w:rPr>
                <w:rFonts w:hint="eastAsia" w:ascii="宋体" w:hAnsi="宋体" w:cs="宋体"/>
                <w:szCs w:val="21"/>
              </w:rPr>
              <w:t>分)：建立相关运营管理制度性文件细致，表达充分，完全满足采购文件要求(有完全满足项目要求，并能充分保证项目履行的保障制度、措施和内部质量管理措施等，如</w:t>
            </w:r>
            <w:r>
              <w:rPr>
                <w:rStyle w:val="98"/>
                <w:rFonts w:hint="default"/>
                <w:color w:val="auto"/>
                <w:lang w:bidi="ar"/>
              </w:rPr>
              <w:t>项目服务质量内控、</w:t>
            </w:r>
            <w:r>
              <w:rPr>
                <w:rFonts w:hint="eastAsia" w:ascii="宋体" w:hAnsi="宋体" w:cs="宋体"/>
                <w:szCs w:val="21"/>
              </w:rPr>
              <w:t>绩效考核、风险管理、人力资源管理、档案管理、</w:t>
            </w:r>
            <w:r>
              <w:rPr>
                <w:rStyle w:val="98"/>
                <w:rFonts w:hint="default"/>
                <w:color w:val="auto"/>
                <w:lang w:bidi="ar"/>
              </w:rPr>
              <w:t>财务管理等运营管理制度性文件</w:t>
            </w:r>
            <w:r>
              <w:rPr>
                <w:rFonts w:hint="eastAsia" w:ascii="宋体" w:hAnsi="宋体" w:cs="宋体"/>
                <w:szCs w:val="21"/>
              </w:rPr>
              <w:t>) 。</w:t>
            </w:r>
            <w:r>
              <w:rPr>
                <w:rStyle w:val="98"/>
                <w:rFonts w:hint="default"/>
                <w:color w:val="auto"/>
                <w:lang w:bidi="ar"/>
              </w:rPr>
              <w:t>运营管理制度性文件、规章制度完善，项目运作机制成熟，可操作性强，能够保证人员稳定性。</w:t>
            </w:r>
          </w:p>
        </w:tc>
        <w:tc>
          <w:tcPr>
            <w:tcW w:w="1152" w:type="dxa"/>
            <w:noWrap/>
            <w:vAlign w:val="center"/>
          </w:tcPr>
          <w:p w14:paraId="231FB96B">
            <w:pPr>
              <w:spacing w:line="360" w:lineRule="exact"/>
              <w:jc w:val="center"/>
              <w:rPr>
                <w:rFonts w:hint="eastAsia" w:ascii="宋体" w:hAnsi="宋体" w:cs="宋体"/>
                <w:bCs/>
                <w:szCs w:val="21"/>
              </w:rPr>
            </w:pPr>
            <w:r>
              <w:rPr>
                <w:rFonts w:hint="eastAsia" w:ascii="宋体" w:hAnsi="宋体" w:cs="宋体"/>
                <w:bCs/>
                <w:szCs w:val="21"/>
                <w:lang w:val="en-US" w:eastAsia="zh-CN"/>
              </w:rPr>
              <w:t>13</w:t>
            </w:r>
            <w:r>
              <w:rPr>
                <w:rFonts w:hint="eastAsia" w:ascii="宋体" w:hAnsi="宋体" w:cs="宋体"/>
                <w:bCs/>
                <w:kern w:val="0"/>
                <w:szCs w:val="21"/>
              </w:rPr>
              <w:t>分</w:t>
            </w:r>
          </w:p>
        </w:tc>
      </w:tr>
      <w:tr w14:paraId="6504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4BF9D36E">
            <w:pPr>
              <w:widowControl/>
              <w:spacing w:line="360" w:lineRule="auto"/>
              <w:jc w:val="center"/>
              <w:rPr>
                <w:rFonts w:hint="eastAsia" w:ascii="宋体" w:hAnsi="宋体" w:cs="宋体"/>
                <w:b/>
                <w:kern w:val="0"/>
                <w:szCs w:val="21"/>
              </w:rPr>
            </w:pPr>
            <w:r>
              <w:rPr>
                <w:rFonts w:hint="eastAsia" w:ascii="宋体" w:hAnsi="宋体" w:cs="宋体"/>
                <w:b/>
                <w:kern w:val="0"/>
                <w:szCs w:val="21"/>
              </w:rPr>
              <w:t>3</w:t>
            </w:r>
          </w:p>
        </w:tc>
        <w:tc>
          <w:tcPr>
            <w:tcW w:w="1130" w:type="dxa"/>
            <w:noWrap/>
            <w:vAlign w:val="center"/>
          </w:tcPr>
          <w:p w14:paraId="6FBADA4F">
            <w:pPr>
              <w:widowControl/>
              <w:spacing w:line="360" w:lineRule="auto"/>
              <w:jc w:val="center"/>
              <w:rPr>
                <w:rFonts w:hint="eastAsia" w:ascii="宋体" w:hAnsi="宋体" w:cs="宋体"/>
                <w:b/>
                <w:kern w:val="0"/>
                <w:szCs w:val="21"/>
              </w:rPr>
            </w:pPr>
            <w:r>
              <w:rPr>
                <w:rFonts w:hint="eastAsia" w:ascii="宋体" w:hAnsi="宋体" w:cs="宋体"/>
                <w:b/>
                <w:kern w:val="0"/>
                <w:szCs w:val="21"/>
              </w:rPr>
              <w:t>业绩分</w:t>
            </w:r>
          </w:p>
        </w:tc>
        <w:tc>
          <w:tcPr>
            <w:tcW w:w="7603" w:type="dxa"/>
            <w:noWrap/>
            <w:vAlign w:val="center"/>
          </w:tcPr>
          <w:p w14:paraId="3B94FFE6">
            <w:pPr>
              <w:widowControl/>
              <w:spacing w:line="400" w:lineRule="exact"/>
              <w:jc w:val="left"/>
              <w:rPr>
                <w:rFonts w:hint="eastAsia" w:ascii="宋体" w:hAnsi="宋体" w:cs="宋体"/>
                <w:kern w:val="0"/>
                <w:szCs w:val="21"/>
              </w:rPr>
            </w:pPr>
            <w:r>
              <w:rPr>
                <w:rFonts w:hint="eastAsia" w:ascii="宋体" w:hAnsi="宋体" w:cs="宋体"/>
                <w:kern w:val="0"/>
                <w:szCs w:val="21"/>
              </w:rPr>
              <w:t>供应商自 20</w:t>
            </w:r>
            <w:r>
              <w:rPr>
                <w:rFonts w:hint="eastAsia" w:ascii="宋体" w:hAnsi="宋体" w:cs="宋体"/>
                <w:kern w:val="0"/>
                <w:szCs w:val="21"/>
                <w:lang w:val="en-US" w:eastAsia="zh-CN"/>
              </w:rPr>
              <w:t>22</w:t>
            </w:r>
            <w:r>
              <w:rPr>
                <w:rFonts w:hint="eastAsia" w:ascii="宋体" w:hAnsi="宋体" w:cs="宋体"/>
                <w:kern w:val="0"/>
                <w:szCs w:val="21"/>
              </w:rPr>
              <w:t>年</w:t>
            </w:r>
            <w:r>
              <w:rPr>
                <w:rFonts w:hint="eastAsia" w:ascii="宋体" w:hAnsi="宋体" w:cs="宋体"/>
                <w:kern w:val="0"/>
                <w:szCs w:val="21"/>
                <w:lang w:val="en-US" w:eastAsia="zh-CN"/>
              </w:rPr>
              <w:t>1</w:t>
            </w:r>
            <w:r>
              <w:rPr>
                <w:rFonts w:hint="eastAsia" w:ascii="宋体" w:hAnsi="宋体" w:cs="宋体"/>
                <w:kern w:val="0"/>
                <w:szCs w:val="21"/>
              </w:rPr>
              <w:t>月1日以来承担过类似项目的，每项得5分，满分</w:t>
            </w:r>
            <w:r>
              <w:rPr>
                <w:rFonts w:hint="eastAsia" w:ascii="宋体" w:hAnsi="宋体" w:cs="宋体"/>
                <w:kern w:val="0"/>
                <w:szCs w:val="21"/>
                <w:lang w:val="en-US" w:eastAsia="zh-CN"/>
              </w:rPr>
              <w:t>5</w:t>
            </w:r>
            <w:r>
              <w:rPr>
                <w:rFonts w:hint="eastAsia" w:ascii="宋体" w:hAnsi="宋体" w:cs="宋体"/>
                <w:kern w:val="0"/>
                <w:szCs w:val="21"/>
              </w:rPr>
              <w:t>分。（注：须在</w:t>
            </w:r>
            <w:r>
              <w:rPr>
                <w:rFonts w:hint="eastAsia" w:ascii="宋体" w:hAnsi="宋体" w:cs="宋体"/>
                <w:kern w:val="0"/>
                <w:szCs w:val="21"/>
                <w:lang w:val="en-US" w:eastAsia="zh-CN"/>
              </w:rPr>
              <w:t>响应</w:t>
            </w:r>
            <w:r>
              <w:rPr>
                <w:rFonts w:hint="eastAsia" w:ascii="宋体" w:hAnsi="宋体" w:cs="宋体"/>
                <w:kern w:val="0"/>
                <w:szCs w:val="21"/>
              </w:rPr>
              <w:t>文件中提供合同协议书或中标</w:t>
            </w:r>
            <w:r>
              <w:rPr>
                <w:rFonts w:hint="eastAsia" w:ascii="宋体" w:hAnsi="宋体" w:cs="宋体"/>
                <w:kern w:val="0"/>
                <w:szCs w:val="21"/>
                <w:lang w:eastAsia="zh-CN"/>
              </w:rPr>
              <w:t>（</w:t>
            </w:r>
            <w:r>
              <w:rPr>
                <w:rFonts w:hint="eastAsia" w:ascii="宋体" w:hAnsi="宋体" w:cs="宋体"/>
                <w:kern w:val="0"/>
                <w:szCs w:val="21"/>
                <w:lang w:val="en-US" w:eastAsia="zh-CN"/>
              </w:rPr>
              <w:t>成交</w:t>
            </w:r>
            <w:r>
              <w:rPr>
                <w:rFonts w:hint="eastAsia" w:ascii="宋体" w:hAnsi="宋体" w:cs="宋体"/>
                <w:kern w:val="0"/>
                <w:szCs w:val="21"/>
                <w:lang w:eastAsia="zh-CN"/>
              </w:rPr>
              <w:t>）</w:t>
            </w:r>
            <w:r>
              <w:rPr>
                <w:rFonts w:hint="eastAsia" w:ascii="宋体" w:hAnsi="宋体" w:cs="宋体"/>
                <w:kern w:val="0"/>
                <w:szCs w:val="21"/>
              </w:rPr>
              <w:t>通知书复印件并加盖</w:t>
            </w:r>
            <w:r>
              <w:rPr>
                <w:rFonts w:hint="eastAsia" w:ascii="宋体" w:hAnsi="宋体" w:cs="宋体"/>
                <w:kern w:val="0"/>
                <w:szCs w:val="21"/>
                <w:lang w:val="en-US" w:eastAsia="zh-CN"/>
              </w:rPr>
              <w:t>供应商</w:t>
            </w:r>
            <w:r>
              <w:rPr>
                <w:rFonts w:hint="eastAsia" w:ascii="宋体" w:hAnsi="宋体" w:cs="宋体"/>
                <w:kern w:val="0"/>
                <w:szCs w:val="21"/>
              </w:rPr>
              <w:t>公章，否则不予计分）。</w:t>
            </w:r>
          </w:p>
        </w:tc>
        <w:tc>
          <w:tcPr>
            <w:tcW w:w="1152" w:type="dxa"/>
            <w:noWrap/>
            <w:vAlign w:val="center"/>
          </w:tcPr>
          <w:p w14:paraId="1395F1E0">
            <w:pPr>
              <w:spacing w:line="360" w:lineRule="auto"/>
              <w:jc w:val="center"/>
              <w:rPr>
                <w:rFonts w:hint="eastAsia" w:ascii="宋体" w:hAnsi="宋体" w:cs="宋体"/>
                <w:kern w:val="0"/>
                <w:szCs w:val="21"/>
              </w:rPr>
            </w:pPr>
            <w:r>
              <w:rPr>
                <w:rFonts w:hint="eastAsia" w:ascii="宋体" w:hAnsi="宋体" w:cs="宋体"/>
                <w:b/>
                <w:bCs/>
                <w:kern w:val="0"/>
                <w:szCs w:val="21"/>
              </w:rPr>
              <w:t>满分</w:t>
            </w:r>
            <w:r>
              <w:rPr>
                <w:rFonts w:hint="eastAsia" w:ascii="宋体" w:hAnsi="宋体" w:cs="宋体"/>
                <w:b/>
                <w:bCs/>
                <w:kern w:val="0"/>
                <w:szCs w:val="21"/>
                <w:lang w:val="en-US" w:eastAsia="zh-CN"/>
              </w:rPr>
              <w:t>5</w:t>
            </w:r>
            <w:r>
              <w:rPr>
                <w:rFonts w:hint="eastAsia" w:ascii="宋体" w:hAnsi="宋体" w:cs="宋体"/>
                <w:b/>
                <w:bCs/>
                <w:kern w:val="0"/>
                <w:szCs w:val="21"/>
              </w:rPr>
              <w:t>分</w:t>
            </w:r>
          </w:p>
        </w:tc>
      </w:tr>
      <w:tr w14:paraId="7DE4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465" w:type="dxa"/>
            <w:gridSpan w:val="4"/>
            <w:noWrap/>
            <w:vAlign w:val="center"/>
          </w:tcPr>
          <w:p w14:paraId="17AABFBE">
            <w:pPr>
              <w:spacing w:line="360" w:lineRule="exact"/>
              <w:jc w:val="center"/>
              <w:rPr>
                <w:rFonts w:hint="eastAsia" w:hAnsi="宋体" w:cs="宋体"/>
              </w:rPr>
            </w:pPr>
            <w:r>
              <w:rPr>
                <w:rFonts w:hint="eastAsia" w:ascii="宋体" w:hAnsi="宋体" w:cs="宋体"/>
                <w:b/>
                <w:bCs/>
                <w:szCs w:val="21"/>
              </w:rPr>
              <w:t>总得分 = 1 + 2 + 3</w:t>
            </w:r>
            <w:bookmarkStart w:id="54" w:name="_Toc27975"/>
            <w:bookmarkEnd w:id="54"/>
          </w:p>
        </w:tc>
      </w:tr>
      <w:tr w14:paraId="4A88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10465" w:type="dxa"/>
            <w:gridSpan w:val="4"/>
            <w:noWrap/>
            <w:vAlign w:val="center"/>
          </w:tcPr>
          <w:p w14:paraId="399C8C9F">
            <w:pPr>
              <w:pStyle w:val="17"/>
              <w:spacing w:line="400" w:lineRule="exact"/>
              <w:jc w:val="center"/>
              <w:rPr>
                <w:rFonts w:hint="eastAsia" w:hAnsi="宋体" w:cs="宋体"/>
                <w:b/>
                <w:sz w:val="21"/>
              </w:rPr>
            </w:pPr>
            <w:r>
              <w:rPr>
                <w:rFonts w:hint="eastAsia" w:hAnsi="宋体" w:cs="宋体"/>
                <w:b/>
                <w:sz w:val="21"/>
                <w:lang w:val="en-US" w:eastAsia="zh-CN"/>
              </w:rPr>
              <w:t>成交</w:t>
            </w:r>
            <w:r>
              <w:rPr>
                <w:rFonts w:hint="eastAsia" w:hAnsi="宋体" w:cs="宋体"/>
                <w:b/>
                <w:sz w:val="21"/>
              </w:rPr>
              <w:t>候选人推荐原则</w:t>
            </w:r>
          </w:p>
          <w:p w14:paraId="1EED0ECB">
            <w:pPr>
              <w:pStyle w:val="17"/>
              <w:spacing w:line="400" w:lineRule="exact"/>
              <w:ind w:firstLine="420" w:firstLineChars="200"/>
              <w:jc w:val="left"/>
              <w:rPr>
                <w:rFonts w:hint="eastAsia" w:hAnsi="宋体" w:cs="宋体"/>
                <w:bCs/>
                <w:sz w:val="21"/>
              </w:rPr>
            </w:pPr>
            <w:r>
              <w:rPr>
                <w:rFonts w:hint="eastAsia" w:hAnsi="宋体" w:cs="宋体"/>
                <w:bCs/>
                <w:sz w:val="21"/>
              </w:rPr>
              <w:t>1、</w:t>
            </w:r>
            <w:r>
              <w:rPr>
                <w:rFonts w:hint="eastAsia" w:hAnsi="宋体" w:cs="宋体"/>
                <w:bCs/>
                <w:sz w:val="21"/>
                <w:lang w:val="en-US" w:eastAsia="zh-CN"/>
              </w:rPr>
              <w:t>评审</w:t>
            </w:r>
            <w:r>
              <w:rPr>
                <w:rFonts w:hint="eastAsia" w:hAnsi="宋体" w:cs="宋体"/>
                <w:bCs/>
                <w:sz w:val="21"/>
              </w:rPr>
              <w:t>委员会按照</w:t>
            </w:r>
            <w:r>
              <w:rPr>
                <w:rFonts w:hint="eastAsia" w:hAnsi="宋体" w:cs="宋体"/>
                <w:bCs/>
                <w:sz w:val="21"/>
                <w:lang w:val="en-US" w:eastAsia="zh-CN"/>
              </w:rPr>
              <w:t>评审</w:t>
            </w:r>
            <w:r>
              <w:rPr>
                <w:rFonts w:hint="eastAsia" w:hAnsi="宋体" w:cs="宋体"/>
                <w:bCs/>
                <w:sz w:val="21"/>
              </w:rPr>
              <w:t>总得分由高到低顺序排列（</w:t>
            </w:r>
            <w:r>
              <w:rPr>
                <w:rFonts w:hint="eastAsia" w:hAnsi="宋体" w:cs="宋体"/>
                <w:bCs/>
                <w:sz w:val="21"/>
                <w:lang w:val="en-US" w:eastAsia="zh-CN"/>
              </w:rPr>
              <w:t>供应商</w:t>
            </w:r>
            <w:r>
              <w:rPr>
                <w:rFonts w:hint="eastAsia" w:hAnsi="宋体" w:cs="宋体"/>
                <w:bCs/>
                <w:sz w:val="21"/>
              </w:rPr>
              <w:t>得分相同的，按</w:t>
            </w:r>
            <w:r>
              <w:rPr>
                <w:rFonts w:hint="eastAsia" w:hAnsi="宋体" w:cs="宋体"/>
                <w:bCs/>
                <w:sz w:val="21"/>
                <w:lang w:val="en-US" w:eastAsia="zh-CN"/>
              </w:rPr>
              <w:t>最后</w:t>
            </w:r>
            <w:r>
              <w:rPr>
                <w:rFonts w:hint="eastAsia" w:hAnsi="宋体" w:cs="宋体"/>
                <w:bCs/>
                <w:sz w:val="21"/>
              </w:rPr>
              <w:t>报价由低到高顺序排列，得分且</w:t>
            </w:r>
            <w:r>
              <w:rPr>
                <w:rFonts w:hint="eastAsia" w:hAnsi="宋体" w:cs="宋体"/>
                <w:bCs/>
                <w:sz w:val="21"/>
                <w:lang w:val="en-US" w:eastAsia="zh-CN"/>
              </w:rPr>
              <w:t>最后</w:t>
            </w:r>
            <w:r>
              <w:rPr>
                <w:rFonts w:hint="eastAsia" w:hAnsi="宋体" w:cs="宋体"/>
                <w:bCs/>
                <w:sz w:val="21"/>
              </w:rPr>
              <w:t>报价相同的，按技术指标优劣顺序排列）并推荐3名</w:t>
            </w:r>
            <w:r>
              <w:rPr>
                <w:rFonts w:hint="eastAsia" w:hAnsi="宋体" w:cs="宋体"/>
                <w:bCs/>
                <w:sz w:val="21"/>
                <w:lang w:val="en-US" w:eastAsia="zh-CN"/>
              </w:rPr>
              <w:t>成交</w:t>
            </w:r>
            <w:r>
              <w:rPr>
                <w:rFonts w:hint="eastAsia" w:hAnsi="宋体" w:cs="宋体"/>
                <w:bCs/>
                <w:sz w:val="21"/>
              </w:rPr>
              <w:t>候选人。排名第一的</w:t>
            </w:r>
            <w:r>
              <w:rPr>
                <w:rFonts w:hint="eastAsia" w:hAnsi="宋体" w:cs="宋体"/>
                <w:bCs/>
                <w:sz w:val="21"/>
                <w:lang w:val="en-US" w:eastAsia="zh-CN"/>
              </w:rPr>
              <w:t>成交</w:t>
            </w:r>
            <w:r>
              <w:rPr>
                <w:rFonts w:hint="eastAsia" w:hAnsi="宋体" w:cs="宋体"/>
                <w:bCs/>
                <w:sz w:val="21"/>
              </w:rPr>
              <w:t>候选人被确认为</w:t>
            </w:r>
            <w:r>
              <w:rPr>
                <w:rFonts w:hint="eastAsia" w:hAnsi="宋体" w:cs="宋体"/>
                <w:bCs/>
                <w:sz w:val="21"/>
                <w:lang w:val="en-US" w:eastAsia="zh-CN"/>
              </w:rPr>
              <w:t>成交</w:t>
            </w:r>
            <w:r>
              <w:rPr>
                <w:rFonts w:hint="eastAsia" w:hAnsi="宋体" w:cs="宋体"/>
                <w:bCs/>
                <w:sz w:val="21"/>
              </w:rPr>
              <w:t>人。排名第一的</w:t>
            </w:r>
            <w:r>
              <w:rPr>
                <w:rFonts w:hint="eastAsia" w:hAnsi="宋体" w:cs="宋体"/>
                <w:bCs/>
                <w:sz w:val="21"/>
                <w:lang w:val="en-US" w:eastAsia="zh-CN"/>
              </w:rPr>
              <w:t>成交</w:t>
            </w:r>
            <w:r>
              <w:rPr>
                <w:rFonts w:hint="eastAsia" w:hAnsi="宋体" w:cs="宋体"/>
                <w:bCs/>
                <w:sz w:val="21"/>
              </w:rPr>
              <w:t>人放弃</w:t>
            </w:r>
            <w:r>
              <w:rPr>
                <w:rFonts w:hint="eastAsia" w:hAnsi="宋体" w:cs="宋体"/>
                <w:bCs/>
                <w:sz w:val="21"/>
                <w:lang w:val="en-US" w:eastAsia="zh-CN"/>
              </w:rPr>
              <w:t>成交</w:t>
            </w:r>
            <w:r>
              <w:rPr>
                <w:rFonts w:hint="eastAsia" w:hAnsi="宋体" w:cs="宋体"/>
                <w:bCs/>
                <w:sz w:val="21"/>
              </w:rPr>
              <w:t>、因不可抗力提出不能履行合同，或者</w:t>
            </w:r>
            <w:r>
              <w:rPr>
                <w:rFonts w:hint="eastAsia" w:hAnsi="宋体" w:cs="宋体"/>
                <w:bCs/>
                <w:sz w:val="21"/>
                <w:lang w:val="en-US" w:eastAsia="zh-CN"/>
              </w:rPr>
              <w:t>采购</w:t>
            </w:r>
            <w:r>
              <w:rPr>
                <w:rFonts w:hint="eastAsia" w:hAnsi="宋体" w:cs="宋体"/>
                <w:bCs/>
                <w:sz w:val="21"/>
              </w:rPr>
              <w:t>文件规定应当提交履约保证金而在规定的期限内未能提交的，采购人可以确定排名第二的</w:t>
            </w:r>
            <w:r>
              <w:rPr>
                <w:rFonts w:hint="eastAsia" w:hAnsi="宋体" w:cs="宋体"/>
                <w:bCs/>
                <w:sz w:val="21"/>
                <w:lang w:val="en-US" w:eastAsia="zh-CN"/>
              </w:rPr>
              <w:t>成交</w:t>
            </w:r>
            <w:r>
              <w:rPr>
                <w:rFonts w:hint="eastAsia" w:hAnsi="宋体" w:cs="宋体"/>
                <w:bCs/>
                <w:sz w:val="21"/>
              </w:rPr>
              <w:t>候选人为</w:t>
            </w:r>
            <w:r>
              <w:rPr>
                <w:rFonts w:hint="eastAsia" w:hAnsi="宋体" w:cs="宋体"/>
                <w:bCs/>
                <w:sz w:val="21"/>
                <w:lang w:val="en-US" w:eastAsia="zh-CN"/>
              </w:rPr>
              <w:t>成交</w:t>
            </w:r>
            <w:r>
              <w:rPr>
                <w:rFonts w:hint="eastAsia" w:hAnsi="宋体" w:cs="宋体"/>
                <w:bCs/>
                <w:sz w:val="21"/>
              </w:rPr>
              <w:t>人。其余以此类推。</w:t>
            </w:r>
          </w:p>
          <w:p w14:paraId="4273188C">
            <w:pPr>
              <w:pStyle w:val="17"/>
              <w:spacing w:line="400" w:lineRule="exact"/>
              <w:ind w:firstLine="420" w:firstLineChars="200"/>
              <w:jc w:val="left"/>
              <w:rPr>
                <w:rFonts w:hint="eastAsia" w:hAnsi="宋体" w:cs="宋体"/>
                <w:bCs/>
                <w:sz w:val="21"/>
              </w:rPr>
            </w:pPr>
            <w:r>
              <w:rPr>
                <w:rFonts w:hint="eastAsia" w:hAnsi="宋体" w:cs="宋体"/>
                <w:bCs/>
                <w:sz w:val="21"/>
              </w:rPr>
              <w:t>2、</w:t>
            </w:r>
            <w:r>
              <w:rPr>
                <w:rFonts w:hint="eastAsia" w:hAnsi="宋体" w:cs="宋体"/>
                <w:bCs/>
                <w:sz w:val="21"/>
                <w:lang w:val="en-US" w:eastAsia="zh-CN"/>
              </w:rPr>
              <w:t>评审</w:t>
            </w:r>
            <w:r>
              <w:rPr>
                <w:rFonts w:hint="eastAsia" w:hAnsi="宋体" w:cs="宋体"/>
                <w:bCs/>
                <w:sz w:val="21"/>
              </w:rPr>
              <w:t>委员会认为</w:t>
            </w:r>
            <w:r>
              <w:rPr>
                <w:rFonts w:hint="eastAsia" w:hAnsi="宋体" w:cs="宋体"/>
                <w:bCs/>
                <w:sz w:val="21"/>
                <w:lang w:val="en-US" w:eastAsia="zh-CN"/>
              </w:rPr>
              <w:t>供应商</w:t>
            </w:r>
            <w:r>
              <w:rPr>
                <w:rFonts w:hint="eastAsia" w:hAnsi="宋体" w:cs="宋体"/>
                <w:bCs/>
                <w:sz w:val="21"/>
              </w:rPr>
              <w:t>的报价明显低于其他通过符合性审查</w:t>
            </w:r>
            <w:r>
              <w:rPr>
                <w:rFonts w:hint="eastAsia" w:hAnsi="宋体" w:cs="宋体"/>
                <w:bCs/>
                <w:sz w:val="21"/>
                <w:lang w:val="en-US" w:eastAsia="zh-CN"/>
              </w:rPr>
              <w:t>供应商</w:t>
            </w:r>
            <w:r>
              <w:rPr>
                <w:rFonts w:hint="eastAsia" w:hAnsi="宋体" w:cs="宋体"/>
                <w:bCs/>
                <w:sz w:val="21"/>
              </w:rPr>
              <w:t>的报价，有可能影响服务质量或者不能诚信履约的，应当要求其在评标现场合理的时间内提供书面说明，必要时提交相关证明材料；</w:t>
            </w:r>
            <w:r>
              <w:rPr>
                <w:rFonts w:hint="eastAsia" w:hAnsi="宋体" w:cs="宋体"/>
                <w:bCs/>
                <w:sz w:val="21"/>
                <w:lang w:val="en-US" w:eastAsia="zh-CN"/>
              </w:rPr>
              <w:t>供应商</w:t>
            </w:r>
            <w:r>
              <w:rPr>
                <w:rFonts w:hint="eastAsia" w:hAnsi="宋体" w:cs="宋体"/>
                <w:bCs/>
                <w:sz w:val="21"/>
              </w:rPr>
              <w:t>不能证明其报价合理的，</w:t>
            </w:r>
            <w:r>
              <w:rPr>
                <w:rFonts w:hint="eastAsia" w:hAnsi="宋体" w:cs="宋体"/>
                <w:bCs/>
                <w:sz w:val="21"/>
                <w:lang w:val="en-US" w:eastAsia="zh-CN"/>
              </w:rPr>
              <w:t>评审</w:t>
            </w:r>
            <w:r>
              <w:rPr>
                <w:rFonts w:hint="eastAsia" w:hAnsi="宋体" w:cs="宋体"/>
                <w:bCs/>
                <w:sz w:val="21"/>
              </w:rPr>
              <w:t>委员会应当将其作无效投标处理。</w:t>
            </w:r>
          </w:p>
        </w:tc>
      </w:tr>
      <w:bookmarkEnd w:id="51"/>
    </w:tbl>
    <w:p w14:paraId="517F87DB">
      <w:pPr>
        <w:spacing w:line="360" w:lineRule="auto"/>
        <w:ind w:firstLine="420" w:firstLineChars="200"/>
        <w:rPr>
          <w:rFonts w:hint="eastAsia" w:ascii="宋体" w:hAnsi="宋体" w:eastAsia="宋体" w:cs="宋体"/>
          <w:color w:val="auto"/>
          <w:highlight w:val="none"/>
        </w:rPr>
      </w:pPr>
    </w:p>
    <w:p w14:paraId="2212FC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1A538B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.终止竞争性磋商采购活动</w:t>
      </w:r>
    </w:p>
    <w:p w14:paraId="504D54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FD0A7AF">
      <w:pPr>
        <w:keepNext/>
        <w:keepLines/>
        <w:spacing w:line="360" w:lineRule="auto"/>
        <w:jc w:val="center"/>
        <w:outlineLvl w:val="1"/>
        <w:rPr>
          <w:rFonts w:hint="eastAsia" w:ascii="宋体" w:hAnsi="宋体" w:eastAsia="宋体" w:cs="宋体"/>
          <w:bCs/>
          <w:color w:val="auto"/>
          <w:sz w:val="32"/>
          <w:szCs w:val="32"/>
          <w:highlight w:val="none"/>
        </w:rPr>
      </w:pPr>
      <w:bookmarkStart w:id="55" w:name="_Toc14052"/>
      <w:r>
        <w:rPr>
          <w:rFonts w:hint="eastAsia" w:ascii="宋体" w:hAnsi="宋体" w:eastAsia="宋体" w:cs="宋体"/>
          <w:bCs/>
          <w:color w:val="auto"/>
          <w:sz w:val="32"/>
          <w:szCs w:val="32"/>
          <w:highlight w:val="none"/>
        </w:rPr>
        <w:t>第二节 评标报告</w:t>
      </w:r>
      <w:bookmarkEnd w:id="52"/>
      <w:bookmarkEnd w:id="55"/>
    </w:p>
    <w:p w14:paraId="5783D11C">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64DCF2D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ED3471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09090DB">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9055A38">
      <w:pPr>
        <w:adjustRightInd w:val="0"/>
        <w:spacing w:line="360" w:lineRule="auto"/>
        <w:ind w:firstLine="420" w:firstLineChars="200"/>
        <w:rPr>
          <w:rFonts w:hint="eastAsia" w:ascii="宋体" w:hAnsi="宋体" w:eastAsia="宋体" w:cs="宋体"/>
          <w:color w:val="auto"/>
          <w:highlight w:val="none"/>
        </w:rPr>
      </w:pPr>
    </w:p>
    <w:p w14:paraId="367C7DD1">
      <w:pPr>
        <w:keepNext/>
        <w:keepLines/>
        <w:spacing w:line="360" w:lineRule="auto"/>
        <w:jc w:val="center"/>
        <w:outlineLvl w:val="1"/>
        <w:rPr>
          <w:rFonts w:hint="eastAsia" w:ascii="宋体" w:hAnsi="宋体" w:eastAsia="宋体" w:cs="宋体"/>
          <w:bCs/>
          <w:color w:val="auto"/>
          <w:sz w:val="32"/>
          <w:szCs w:val="32"/>
          <w:highlight w:val="none"/>
        </w:rPr>
      </w:pPr>
      <w:bookmarkStart w:id="56" w:name="_Toc80205936"/>
      <w:bookmarkStart w:id="57" w:name="_Toc13089"/>
      <w:r>
        <w:rPr>
          <w:rFonts w:hint="eastAsia" w:ascii="宋体" w:hAnsi="宋体" w:eastAsia="宋体" w:cs="宋体"/>
          <w:bCs/>
          <w:color w:val="auto"/>
          <w:sz w:val="32"/>
          <w:szCs w:val="32"/>
          <w:highlight w:val="none"/>
        </w:rPr>
        <w:t>第三节 评审过程的保密与录像</w:t>
      </w:r>
      <w:bookmarkEnd w:id="56"/>
      <w:bookmarkEnd w:id="57"/>
    </w:p>
    <w:p w14:paraId="14E1766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7EA943C6">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3F0FA8F">
      <w:pPr>
        <w:adjustRightIn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32"/>
          <w:highlight w:val="none"/>
        </w:rPr>
        <w:t>2.录音录像</w:t>
      </w:r>
    </w:p>
    <w:p w14:paraId="7CDFFB89">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E11B85">
      <w:pPr>
        <w:rPr>
          <w:rFonts w:hint="eastAsia"/>
          <w:color w:val="auto"/>
          <w:highlight w:val="none"/>
        </w:rPr>
      </w:pPr>
      <w:r>
        <w:rPr>
          <w:rFonts w:hint="eastAsia" w:ascii="宋体" w:hAnsi="宋体" w:eastAsia="宋体" w:cs="宋体"/>
          <w:bCs/>
          <w:color w:val="auto"/>
          <w:kern w:val="2"/>
          <w:szCs w:val="24"/>
          <w:highlight w:val="none"/>
          <w:lang w:val="en-US" w:eastAsia="zh-CN" w:bidi="ar-SA"/>
        </w:rPr>
        <w:br w:type="page"/>
      </w:r>
      <w:bookmarkEnd w:id="53"/>
    </w:p>
    <w:p w14:paraId="6F79E01A">
      <w:pPr>
        <w:keepNext/>
        <w:keepLines/>
        <w:numPr>
          <w:ilvl w:val="0"/>
          <w:numId w:val="1"/>
        </w:numPr>
        <w:spacing w:before="340" w:after="330" w:line="578" w:lineRule="auto"/>
        <w:jc w:val="center"/>
        <w:outlineLvl w:val="0"/>
        <w:rPr>
          <w:rFonts w:hint="eastAsia" w:ascii="宋体" w:hAnsi="宋体" w:eastAsia="宋体" w:cs="宋体"/>
          <w:b/>
          <w:bCs/>
          <w:color w:val="auto"/>
          <w:kern w:val="44"/>
          <w:sz w:val="32"/>
          <w:szCs w:val="32"/>
          <w:highlight w:val="none"/>
        </w:rPr>
      </w:pPr>
      <w:bookmarkStart w:id="58" w:name="_Toc26450"/>
      <w:r>
        <w:rPr>
          <w:rFonts w:hint="eastAsia" w:ascii="宋体" w:hAnsi="宋体" w:eastAsia="宋体" w:cs="宋体"/>
          <w:b/>
          <w:bCs/>
          <w:color w:val="auto"/>
          <w:kern w:val="44"/>
          <w:sz w:val="32"/>
          <w:szCs w:val="32"/>
          <w:highlight w:val="none"/>
        </w:rPr>
        <w:t>响应文件格式</w:t>
      </w:r>
      <w:bookmarkEnd w:id="58"/>
    </w:p>
    <w:p w14:paraId="4DDEDD7E">
      <w:pPr>
        <w:keepNext/>
        <w:keepLines/>
        <w:spacing w:before="260" w:after="260" w:line="416" w:lineRule="auto"/>
        <w:jc w:val="center"/>
        <w:outlineLvl w:val="1"/>
        <w:rPr>
          <w:rFonts w:hint="eastAsia" w:ascii="宋体" w:hAnsi="宋体" w:eastAsia="宋体" w:cs="宋体"/>
          <w:bCs/>
          <w:color w:val="auto"/>
          <w:sz w:val="32"/>
          <w:szCs w:val="32"/>
          <w:highlight w:val="none"/>
        </w:rPr>
      </w:pPr>
      <w:r>
        <w:rPr>
          <w:rFonts w:hint="eastAsia" w:ascii="宋体" w:hAnsi="宋体" w:eastAsia="宋体" w:cs="宋体"/>
          <w:b/>
          <w:bCs w:val="0"/>
          <w:color w:val="auto"/>
          <w:sz w:val="32"/>
          <w:szCs w:val="32"/>
          <w:highlight w:val="none"/>
        </w:rPr>
        <w:t>响应文件封面格式</w:t>
      </w:r>
    </w:p>
    <w:p w14:paraId="08D782A5">
      <w:pPr>
        <w:shd w:val="clear" w:color="auto" w:fill="auto"/>
        <w:snapToGrid w:val="0"/>
        <w:spacing w:before="158" w:beforeLines="50" w:after="50"/>
        <w:jc w:val="right"/>
        <w:rPr>
          <w:rFonts w:hint="eastAsia" w:ascii="宋体" w:hAnsi="宋体" w:eastAsia="宋体" w:cs="宋体"/>
          <w:bCs/>
          <w:color w:val="auto"/>
          <w:sz w:val="32"/>
          <w:szCs w:val="20"/>
          <w:highlight w:val="none"/>
        </w:rPr>
      </w:pPr>
      <w:r>
        <w:rPr>
          <w:rFonts w:hint="eastAsia" w:ascii="宋体" w:hAnsi="宋体" w:eastAsia="宋体" w:cs="宋体"/>
          <w:bCs/>
          <w:color w:val="auto"/>
          <w:sz w:val="24"/>
          <w:szCs w:val="32"/>
          <w:highlight w:val="none"/>
        </w:rPr>
        <w:t>全流程电子文件</w:t>
      </w:r>
    </w:p>
    <w:p w14:paraId="39A8E5B8">
      <w:pPr>
        <w:shd w:val="clear" w:color="auto" w:fill="auto"/>
        <w:snapToGrid w:val="0"/>
        <w:spacing w:before="158" w:beforeLines="50" w:after="50"/>
        <w:rPr>
          <w:rFonts w:hint="eastAsia" w:ascii="宋体" w:hAnsi="宋体" w:eastAsia="宋体" w:cs="宋体"/>
          <w:color w:val="auto"/>
          <w:sz w:val="24"/>
          <w:szCs w:val="20"/>
          <w:highlight w:val="none"/>
        </w:rPr>
      </w:pPr>
    </w:p>
    <w:p w14:paraId="6C3F52F9">
      <w:pPr>
        <w:shd w:val="clear" w:color="auto" w:fill="auto"/>
        <w:snapToGrid w:val="0"/>
        <w:spacing w:before="158" w:beforeLines="50" w:after="50"/>
        <w:rPr>
          <w:rFonts w:hint="eastAsia" w:ascii="宋体" w:hAnsi="宋体" w:eastAsia="宋体" w:cs="宋体"/>
          <w:color w:val="auto"/>
          <w:sz w:val="24"/>
          <w:szCs w:val="20"/>
          <w:highlight w:val="none"/>
        </w:rPr>
      </w:pPr>
    </w:p>
    <w:p w14:paraId="068FAD7E">
      <w:pPr>
        <w:shd w:val="clear" w:color="auto" w:fill="auto"/>
        <w:snapToGrid w:val="0"/>
        <w:spacing w:before="158" w:beforeLines="50" w:after="50"/>
        <w:rPr>
          <w:rFonts w:hint="eastAsia" w:ascii="宋体" w:hAnsi="宋体" w:eastAsia="宋体" w:cs="宋体"/>
          <w:color w:val="auto"/>
          <w:sz w:val="24"/>
          <w:szCs w:val="20"/>
          <w:highlight w:val="none"/>
        </w:rPr>
      </w:pPr>
    </w:p>
    <w:p w14:paraId="4985E1A5">
      <w:pPr>
        <w:shd w:val="clear" w:color="auto" w:fill="auto"/>
        <w:snapToGrid w:val="0"/>
        <w:spacing w:before="158" w:beforeLines="50" w:after="50"/>
        <w:rPr>
          <w:rFonts w:hint="eastAsia" w:ascii="宋体" w:hAnsi="宋体" w:eastAsia="宋体" w:cs="宋体"/>
          <w:color w:val="auto"/>
          <w:sz w:val="24"/>
          <w:szCs w:val="20"/>
          <w:highlight w:val="none"/>
        </w:rPr>
      </w:pPr>
    </w:p>
    <w:p w14:paraId="6DF757CE">
      <w:pPr>
        <w:shd w:val="clear" w:color="auto" w:fill="auto"/>
        <w:snapToGrid w:val="0"/>
        <w:spacing w:before="158" w:beforeLines="50" w:after="50"/>
        <w:rPr>
          <w:rFonts w:hint="eastAsia" w:ascii="宋体" w:hAnsi="宋体" w:eastAsia="宋体" w:cs="宋体"/>
          <w:color w:val="auto"/>
          <w:sz w:val="24"/>
          <w:szCs w:val="20"/>
          <w:highlight w:val="none"/>
        </w:rPr>
      </w:pPr>
    </w:p>
    <w:p w14:paraId="271B9F88">
      <w:pPr>
        <w:shd w:val="clear" w:color="auto" w:fill="auto"/>
        <w:snapToGrid w:val="0"/>
        <w:spacing w:before="158"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资格证明文件\商务技术文件\报价文件</w:t>
      </w:r>
    </w:p>
    <w:p w14:paraId="322F71D7">
      <w:pPr>
        <w:snapToGrid w:val="0"/>
        <w:spacing w:before="120" w:beforeLines="50" w:after="50"/>
        <w:rPr>
          <w:rFonts w:hint="eastAsia" w:ascii="宋体" w:hAnsi="宋体" w:eastAsia="宋体" w:cs="宋体"/>
          <w:bCs/>
          <w:color w:val="auto"/>
          <w:sz w:val="24"/>
          <w:szCs w:val="20"/>
          <w:highlight w:val="none"/>
        </w:rPr>
      </w:pPr>
    </w:p>
    <w:p w14:paraId="38EE5158">
      <w:pPr>
        <w:snapToGrid w:val="0"/>
        <w:spacing w:before="120" w:beforeLines="50" w:after="50"/>
        <w:rPr>
          <w:rFonts w:hint="eastAsia" w:ascii="宋体" w:hAnsi="宋体" w:eastAsia="宋体" w:cs="宋体"/>
          <w:bCs/>
          <w:color w:val="auto"/>
          <w:sz w:val="24"/>
          <w:szCs w:val="20"/>
          <w:highlight w:val="none"/>
        </w:rPr>
      </w:pPr>
    </w:p>
    <w:p w14:paraId="70C2DA2E">
      <w:pPr>
        <w:snapToGrid w:val="0"/>
        <w:spacing w:before="120" w:beforeLines="50" w:after="50"/>
        <w:rPr>
          <w:rFonts w:hint="eastAsia" w:ascii="宋体" w:hAnsi="宋体" w:eastAsia="宋体" w:cs="宋体"/>
          <w:bCs/>
          <w:color w:val="auto"/>
          <w:sz w:val="32"/>
          <w:szCs w:val="32"/>
          <w:highlight w:val="none"/>
        </w:rPr>
      </w:pPr>
    </w:p>
    <w:p w14:paraId="54FF41A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BB69FDE">
      <w:pPr>
        <w:snapToGrid w:val="0"/>
        <w:spacing w:before="120" w:beforeLines="50" w:after="50"/>
        <w:ind w:firstLine="480" w:firstLineChars="150"/>
        <w:rPr>
          <w:rFonts w:hint="eastAsia" w:ascii="宋体" w:hAnsi="宋体" w:eastAsia="宋体" w:cs="宋体"/>
          <w:bCs/>
          <w:color w:val="auto"/>
          <w:sz w:val="32"/>
          <w:szCs w:val="32"/>
          <w:highlight w:val="none"/>
        </w:rPr>
      </w:pPr>
    </w:p>
    <w:p w14:paraId="59F45DC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6FC9EDE">
      <w:pPr>
        <w:snapToGrid w:val="0"/>
        <w:spacing w:before="120" w:beforeLines="50" w:after="50"/>
        <w:rPr>
          <w:rFonts w:hint="eastAsia" w:ascii="宋体" w:hAnsi="宋体" w:eastAsia="宋体" w:cs="宋体"/>
          <w:bCs/>
          <w:color w:val="auto"/>
          <w:sz w:val="32"/>
          <w:szCs w:val="32"/>
          <w:highlight w:val="none"/>
        </w:rPr>
      </w:pPr>
    </w:p>
    <w:p w14:paraId="2298AEC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C02DD34">
      <w:pPr>
        <w:snapToGrid w:val="0"/>
        <w:spacing w:before="120" w:beforeLines="50" w:after="50"/>
        <w:rPr>
          <w:rFonts w:hint="eastAsia" w:ascii="宋体" w:hAnsi="宋体" w:eastAsia="宋体" w:cs="宋体"/>
          <w:bCs/>
          <w:color w:val="auto"/>
          <w:sz w:val="32"/>
          <w:szCs w:val="32"/>
          <w:highlight w:val="none"/>
        </w:rPr>
      </w:pPr>
    </w:p>
    <w:p w14:paraId="49AEDE97">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9889E8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E8991A5">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69C72CF">
      <w:pPr>
        <w:rPr>
          <w:rFonts w:hint="eastAsia" w:ascii="宋体" w:hAnsi="宋体" w:eastAsia="宋体" w:cs="宋体"/>
          <w:b/>
          <w:bCs w:val="0"/>
          <w:caps w:val="0"/>
          <w:smallCaps w:val="0"/>
          <w:color w:val="auto"/>
          <w:spacing w:val="0"/>
          <w:kern w:val="2"/>
          <w:sz w:val="30"/>
          <w:szCs w:val="30"/>
          <w:highlight w:val="none"/>
          <w:lang w:val="en-US" w:eastAsia="zh-CN"/>
        </w:rPr>
      </w:pPr>
      <w:r>
        <w:rPr>
          <w:rFonts w:hint="eastAsia" w:ascii="宋体" w:hAnsi="宋体" w:eastAsia="宋体" w:cs="宋体"/>
          <w:color w:val="auto"/>
          <w:highlight w:val="none"/>
        </w:rPr>
        <w:br w:type="page"/>
      </w:r>
    </w:p>
    <w:p w14:paraId="0B274B1C">
      <w:pPr>
        <w:shd w:val="clear" w:color="auto" w:fill="auto"/>
        <w:snapToGrid w:val="0"/>
        <w:spacing w:line="360" w:lineRule="auto"/>
        <w:ind w:right="480"/>
        <w:jc w:val="center"/>
        <w:rPr>
          <w:rFonts w:hint="eastAsia" w:ascii="宋体" w:hAnsi="宋体" w:eastAsia="宋体" w:cs="宋体"/>
          <w:b/>
          <w:color w:val="auto"/>
          <w:kern w:val="2"/>
          <w:sz w:val="30"/>
          <w:szCs w:val="30"/>
          <w:highlight w:val="none"/>
          <w:lang w:eastAsia="zh-CN"/>
        </w:rPr>
      </w:pPr>
      <w:r>
        <w:rPr>
          <w:rFonts w:hint="eastAsia" w:ascii="宋体" w:hAnsi="宋体" w:cs="宋体"/>
          <w:b/>
          <w:color w:val="auto"/>
          <w:sz w:val="30"/>
          <w:szCs w:val="30"/>
          <w:highlight w:val="none"/>
          <w:lang w:eastAsia="zh-CN"/>
        </w:rPr>
        <w:t>政府采购供应商资格信用承诺函</w:t>
      </w:r>
    </w:p>
    <w:p w14:paraId="7F98A186">
      <w:pPr>
        <w:snapToGrid w:val="0"/>
        <w:spacing w:line="360" w:lineRule="auto"/>
        <w:ind w:firstLine="480" w:firstLineChars="200"/>
        <w:rPr>
          <w:rFonts w:hint="eastAsia" w:ascii="宋体" w:hAnsi="宋体" w:eastAsia="宋体" w:cs="宋体"/>
          <w:color w:val="auto"/>
          <w:sz w:val="24"/>
          <w:highlight w:val="none"/>
        </w:rPr>
      </w:pPr>
    </w:p>
    <w:p w14:paraId="38E1F59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致：</w:t>
      </w:r>
      <w:r>
        <w:rPr>
          <w:rFonts w:hint="eastAsia" w:ascii="宋体" w:hAnsi="宋体" w:cs="宋体"/>
          <w:color w:val="auto"/>
          <w:spacing w:val="6"/>
          <w:sz w:val="24"/>
          <w:highlight w:val="none"/>
          <w:u w:val="single"/>
          <w:lang w:val="en-US" w:eastAsia="zh-CN"/>
        </w:rPr>
        <w:t>柳城县民政局</w:t>
      </w:r>
      <w:r>
        <w:rPr>
          <w:rFonts w:hint="eastAsia" w:ascii="宋体" w:hAnsi="宋体" w:eastAsia="宋体" w:cs="宋体"/>
          <w:color w:val="auto"/>
          <w:spacing w:val="6"/>
          <w:sz w:val="24"/>
          <w:highlight w:val="none"/>
          <w:u w:val="single"/>
        </w:rPr>
        <w:t>、</w:t>
      </w:r>
      <w:r>
        <w:rPr>
          <w:rFonts w:hint="eastAsia" w:ascii="宋体" w:hAnsi="宋体" w:cs="宋体"/>
          <w:color w:val="auto"/>
          <w:spacing w:val="6"/>
          <w:sz w:val="24"/>
          <w:highlight w:val="none"/>
          <w:u w:val="single"/>
          <w:lang w:eastAsia="zh-CN"/>
        </w:rPr>
        <w:t>广西荣泰建筑设计有限责任公司</w:t>
      </w:r>
      <w:r>
        <w:rPr>
          <w:rFonts w:hint="eastAsia" w:ascii="宋体" w:hAnsi="宋体" w:eastAsia="宋体" w:cs="宋体"/>
          <w:color w:val="auto"/>
          <w:spacing w:val="6"/>
          <w:sz w:val="24"/>
          <w:highlight w:val="none"/>
        </w:rPr>
        <w:t>：</w:t>
      </w:r>
    </w:p>
    <w:p w14:paraId="398DEF46">
      <w:pPr>
        <w:keepNext w:val="0"/>
        <w:keepLines w:val="0"/>
        <w:pageBreakBefore w:val="0"/>
        <w:widowControl w:val="0"/>
        <w:kinsoku/>
        <w:wordWrap/>
        <w:overflowPunct/>
        <w:topLinePunct w:val="0"/>
        <w:autoSpaceDE w:val="0"/>
        <w:autoSpaceDN w:val="0"/>
        <w:bidi w:val="0"/>
        <w:adjustRightInd w:val="0"/>
        <w:snapToGrid/>
        <w:spacing w:line="360" w:lineRule="auto"/>
        <w:ind w:left="239" w:leftChars="114" w:firstLine="514" w:firstLineChars="204"/>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我方自愿参加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w:t>
      </w:r>
      <w:r>
        <w:rPr>
          <w:rFonts w:hint="eastAsia" w:ascii="宋体" w:hAnsi="宋体" w:cs="宋体"/>
          <w:color w:val="auto"/>
          <w:spacing w:val="6"/>
          <w:sz w:val="24"/>
          <w:highlight w:val="none"/>
          <w:lang w:eastAsia="zh-CN"/>
        </w:rPr>
        <w:t>项目编号：</w:t>
      </w:r>
      <w:r>
        <w:rPr>
          <w:rFonts w:hint="eastAsia" w:ascii="宋体" w:hAnsi="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rPr>
        <w:t xml:space="preserve">）的政府采购活动，并郑重承诺我方符合《中华人民共和国政府采购法》第二十二条规定的条件： </w:t>
      </w:r>
    </w:p>
    <w:p w14:paraId="52D36DFA">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（一）具有独立承担民事责任的能力； </w:t>
      </w:r>
    </w:p>
    <w:p w14:paraId="2673C84F">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（二）具有良好的商业信誉和健全的财务会计制度； </w:t>
      </w:r>
    </w:p>
    <w:p w14:paraId="2A0979D7">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（三）具有履行合同所必需的设备和专业技术能力； </w:t>
      </w:r>
    </w:p>
    <w:p w14:paraId="7D730027">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（四）有依法缴纳税收和社会保障资金的良好记录； </w:t>
      </w:r>
    </w:p>
    <w:p w14:paraId="3F8F27A1">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（五）参加政府采购活动前三年内，在经营活动中没有重大违法记录； </w:t>
      </w:r>
    </w:p>
    <w:p w14:paraId="733BD62A">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（六）法律、行政法规规定的其他条件。 </w:t>
      </w:r>
    </w:p>
    <w:p w14:paraId="2A10E116">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我方保证上述承诺事项的真实性，如有弄虚作假或其他违法违规行为，愿意承担一切法律责任，并承担因此所造成的一切损失。 </w:t>
      </w:r>
    </w:p>
    <w:p w14:paraId="2C2A982D">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b w:val="0"/>
          <w:bCs w:val="0"/>
          <w:color w:val="auto"/>
          <w:spacing w:val="6"/>
          <w:sz w:val="24"/>
          <w:highlight w:val="none"/>
        </w:rPr>
        <w:t>特此声明！</w:t>
      </w:r>
      <w:r>
        <w:rPr>
          <w:rFonts w:hint="eastAsia" w:ascii="宋体" w:hAnsi="宋体" w:eastAsia="宋体" w:cs="宋体"/>
          <w:color w:val="auto"/>
          <w:spacing w:val="6"/>
          <w:sz w:val="24"/>
          <w:highlight w:val="none"/>
        </w:rPr>
        <w:t xml:space="preserve"> </w:t>
      </w:r>
    </w:p>
    <w:p w14:paraId="627E5C4D">
      <w:pPr>
        <w:spacing w:line="300" w:lineRule="auto"/>
        <w:rPr>
          <w:rFonts w:hint="eastAsia" w:ascii="宋体" w:hAnsi="宋体" w:eastAsia="宋体" w:cs="宋体"/>
          <w:color w:val="auto"/>
          <w:szCs w:val="21"/>
          <w:highlight w:val="none"/>
        </w:rPr>
      </w:pPr>
    </w:p>
    <w:p w14:paraId="59E5A50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711300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6E3D823">
      <w:pPr>
        <w:jc w:val="center"/>
        <w:rPr>
          <w:rFonts w:hint="eastAsia" w:ascii="宋体" w:hAnsi="宋体" w:eastAsia="宋体" w:cs="宋体"/>
          <w:b/>
          <w:bCs/>
          <w:color w:val="auto"/>
          <w:sz w:val="36"/>
          <w:szCs w:val="36"/>
          <w:highlight w:val="none"/>
          <w:lang w:val="en"/>
        </w:rPr>
      </w:pPr>
    </w:p>
    <w:p w14:paraId="767872F1">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bCs w:val="0"/>
          <w:color w:val="auto"/>
          <w:sz w:val="30"/>
          <w:szCs w:val="30"/>
          <w:highlight w:val="none"/>
          <w:lang w:val="en-US" w:eastAsia="zh-CN"/>
        </w:rPr>
        <w:t>供应商</w:t>
      </w:r>
      <w:r>
        <w:rPr>
          <w:rFonts w:hint="eastAsia" w:ascii="宋体" w:hAnsi="宋体" w:eastAsia="宋体" w:cs="宋体"/>
          <w:b/>
          <w:bCs w:val="0"/>
          <w:color w:val="auto"/>
          <w:sz w:val="30"/>
          <w:szCs w:val="30"/>
          <w:highlight w:val="none"/>
          <w:lang w:val="en-US"/>
        </w:rPr>
        <w:t>直接控股</w:t>
      </w:r>
      <w:r>
        <w:rPr>
          <w:rFonts w:hint="eastAsia" w:ascii="宋体" w:hAnsi="宋体" w:eastAsia="宋体" w:cs="宋体"/>
          <w:b/>
          <w:bCs w:val="0"/>
          <w:color w:val="auto"/>
          <w:sz w:val="30"/>
          <w:szCs w:val="30"/>
          <w:highlight w:val="none"/>
          <w:lang w:val="en"/>
        </w:rPr>
        <w:t>、管理关系信息表</w:t>
      </w:r>
    </w:p>
    <w:p w14:paraId="053EF766">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1、</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直接控股股东信息表</w:t>
      </w:r>
    </w:p>
    <w:tbl>
      <w:tblPr>
        <w:tblStyle w:val="32"/>
        <w:tblW w:w="0" w:type="auto"/>
        <w:jc w:val="center"/>
        <w:shd w:val="clear" w:color="auto" w:fill="FBFBFB"/>
        <w:tblLayout w:type="fixed"/>
        <w:tblCellMar>
          <w:top w:w="0" w:type="dxa"/>
          <w:left w:w="0" w:type="dxa"/>
          <w:bottom w:w="0" w:type="dxa"/>
          <w:right w:w="0" w:type="dxa"/>
        </w:tblCellMar>
      </w:tblPr>
      <w:tblGrid>
        <w:gridCol w:w="828"/>
        <w:gridCol w:w="2269"/>
        <w:gridCol w:w="1239"/>
        <w:gridCol w:w="4256"/>
        <w:gridCol w:w="1128"/>
      </w:tblGrid>
      <w:tr w14:paraId="62D8B05F">
        <w:tblPrEx>
          <w:shd w:val="clear" w:color="auto" w:fill="FBFBFB"/>
          <w:tblCellMar>
            <w:top w:w="0" w:type="dxa"/>
            <w:left w:w="0" w:type="dxa"/>
            <w:bottom w:w="0" w:type="dxa"/>
            <w:right w:w="0" w:type="dxa"/>
          </w:tblCellMar>
        </w:tblPrEx>
        <w:trPr>
          <w:trHeight w:val="454"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B57ABC">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29E58B">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D713F9">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5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61D5FF">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1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F5B50F">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172285C">
        <w:tblPrEx>
          <w:shd w:val="clear" w:color="auto" w:fill="FBFBFB"/>
          <w:tblCellMar>
            <w:top w:w="0" w:type="dxa"/>
            <w:left w:w="0" w:type="dxa"/>
            <w:bottom w:w="0" w:type="dxa"/>
            <w:right w:w="0" w:type="dxa"/>
          </w:tblCellMar>
        </w:tblPrEx>
        <w:trPr>
          <w:trHeight w:val="45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09F2FD">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C918B7">
            <w:pPr>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743082">
            <w:pPr>
              <w:jc w:val="center"/>
              <w:rPr>
                <w:rFonts w:hint="eastAsia" w:ascii="宋体" w:hAnsi="宋体" w:eastAsia="宋体" w:cs="宋体"/>
                <w:color w:val="auto"/>
                <w:kern w:val="0"/>
                <w:sz w:val="24"/>
                <w:highlight w:val="none"/>
              </w:rPr>
            </w:pPr>
          </w:p>
        </w:tc>
        <w:tc>
          <w:tcPr>
            <w:tcW w:w="42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B13B03">
            <w:pPr>
              <w:jc w:val="center"/>
              <w:rPr>
                <w:rFonts w:hint="eastAsia" w:ascii="宋体" w:hAnsi="宋体" w:eastAsia="宋体" w:cs="宋体"/>
                <w:color w:val="auto"/>
                <w:kern w:val="0"/>
                <w:sz w:val="24"/>
                <w:highlight w:val="none"/>
              </w:rPr>
            </w:pPr>
          </w:p>
        </w:tc>
        <w:tc>
          <w:tcPr>
            <w:tcW w:w="11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55CEE7">
            <w:pPr>
              <w:jc w:val="center"/>
              <w:rPr>
                <w:rFonts w:hint="eastAsia" w:ascii="宋体" w:hAnsi="宋体" w:eastAsia="宋体" w:cs="宋体"/>
                <w:color w:val="auto"/>
                <w:kern w:val="0"/>
                <w:sz w:val="24"/>
                <w:highlight w:val="none"/>
              </w:rPr>
            </w:pPr>
          </w:p>
        </w:tc>
      </w:tr>
      <w:tr w14:paraId="0B7D3CBC">
        <w:tblPrEx>
          <w:shd w:val="clear" w:color="auto" w:fill="FBFBFB"/>
          <w:tblCellMar>
            <w:top w:w="0" w:type="dxa"/>
            <w:left w:w="0" w:type="dxa"/>
            <w:bottom w:w="0" w:type="dxa"/>
            <w:right w:w="0" w:type="dxa"/>
          </w:tblCellMar>
        </w:tblPrEx>
        <w:trPr>
          <w:trHeight w:val="45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916F2A">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7C9969">
            <w:pPr>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83F4BA">
            <w:pPr>
              <w:jc w:val="center"/>
              <w:rPr>
                <w:rFonts w:hint="eastAsia" w:ascii="宋体" w:hAnsi="宋体" w:eastAsia="宋体" w:cs="宋体"/>
                <w:color w:val="auto"/>
                <w:kern w:val="0"/>
                <w:sz w:val="24"/>
                <w:highlight w:val="none"/>
              </w:rPr>
            </w:pPr>
          </w:p>
        </w:tc>
        <w:tc>
          <w:tcPr>
            <w:tcW w:w="42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2A367A">
            <w:pPr>
              <w:jc w:val="center"/>
              <w:rPr>
                <w:rFonts w:hint="eastAsia" w:ascii="宋体" w:hAnsi="宋体" w:eastAsia="宋体" w:cs="宋体"/>
                <w:color w:val="auto"/>
                <w:kern w:val="0"/>
                <w:sz w:val="24"/>
                <w:highlight w:val="none"/>
              </w:rPr>
            </w:pPr>
          </w:p>
        </w:tc>
        <w:tc>
          <w:tcPr>
            <w:tcW w:w="11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45FD49">
            <w:pPr>
              <w:jc w:val="center"/>
              <w:rPr>
                <w:rFonts w:hint="eastAsia" w:ascii="宋体" w:hAnsi="宋体" w:eastAsia="宋体" w:cs="宋体"/>
                <w:color w:val="auto"/>
                <w:kern w:val="0"/>
                <w:sz w:val="24"/>
                <w:highlight w:val="none"/>
              </w:rPr>
            </w:pPr>
          </w:p>
        </w:tc>
      </w:tr>
      <w:tr w14:paraId="3592D636">
        <w:tblPrEx>
          <w:shd w:val="clear" w:color="auto" w:fill="FBFBFB"/>
          <w:tblCellMar>
            <w:top w:w="0" w:type="dxa"/>
            <w:left w:w="0" w:type="dxa"/>
            <w:bottom w:w="0" w:type="dxa"/>
            <w:right w:w="0" w:type="dxa"/>
          </w:tblCellMar>
        </w:tblPrEx>
        <w:trPr>
          <w:trHeight w:val="45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65D1FA">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FBB88E">
            <w:pPr>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A3488">
            <w:pPr>
              <w:jc w:val="center"/>
              <w:rPr>
                <w:rFonts w:hint="eastAsia" w:ascii="宋体" w:hAnsi="宋体" w:eastAsia="宋体" w:cs="宋体"/>
                <w:color w:val="auto"/>
                <w:kern w:val="0"/>
                <w:sz w:val="24"/>
                <w:highlight w:val="none"/>
              </w:rPr>
            </w:pPr>
          </w:p>
        </w:tc>
        <w:tc>
          <w:tcPr>
            <w:tcW w:w="425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7B7C97">
            <w:pPr>
              <w:jc w:val="center"/>
              <w:rPr>
                <w:rFonts w:hint="eastAsia" w:ascii="宋体" w:hAnsi="宋体" w:eastAsia="宋体" w:cs="宋体"/>
                <w:color w:val="auto"/>
                <w:kern w:val="0"/>
                <w:sz w:val="24"/>
                <w:highlight w:val="none"/>
              </w:rPr>
            </w:pPr>
          </w:p>
        </w:tc>
        <w:tc>
          <w:tcPr>
            <w:tcW w:w="11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88B260">
            <w:pPr>
              <w:jc w:val="center"/>
              <w:rPr>
                <w:rFonts w:hint="eastAsia" w:ascii="宋体" w:hAnsi="宋体" w:eastAsia="宋体" w:cs="宋体"/>
                <w:color w:val="auto"/>
                <w:kern w:val="0"/>
                <w:sz w:val="24"/>
                <w:highlight w:val="none"/>
              </w:rPr>
            </w:pPr>
          </w:p>
        </w:tc>
      </w:tr>
    </w:tbl>
    <w:p w14:paraId="2A6CE973">
      <w:pP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198886A">
      <w:pPr>
        <w:snapToGrid w:val="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BF02B07">
      <w:pPr>
        <w:snapToGrid w:val="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19451168">
      <w:pPr>
        <w:snapToGrid w:val="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3.供应商不存在直接控股股东的，则填“无”。</w:t>
      </w:r>
    </w:p>
    <w:p w14:paraId="2F6AA67A">
      <w:pPr>
        <w:spacing w:line="300" w:lineRule="auto"/>
        <w:rPr>
          <w:rFonts w:hint="eastAsia" w:ascii="宋体" w:hAnsi="宋体" w:eastAsia="宋体" w:cs="宋体"/>
          <w:color w:val="auto"/>
          <w:szCs w:val="21"/>
          <w:highlight w:val="none"/>
        </w:rPr>
      </w:pPr>
    </w:p>
    <w:p w14:paraId="07EB509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E2271E2">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3B2AB5C">
      <w:pPr>
        <w:snapToGrid w:val="0"/>
        <w:jc w:val="center"/>
        <w:rPr>
          <w:rFonts w:hint="eastAsia" w:ascii="宋体" w:hAnsi="宋体" w:eastAsia="宋体" w:cs="宋体"/>
          <w:b/>
          <w:color w:val="auto"/>
          <w:sz w:val="28"/>
          <w:szCs w:val="28"/>
          <w:highlight w:val="none"/>
        </w:rPr>
      </w:pPr>
    </w:p>
    <w:p w14:paraId="3157BF81">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2、</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直接管理关系信息表</w:t>
      </w:r>
    </w:p>
    <w:tbl>
      <w:tblPr>
        <w:tblStyle w:val="32"/>
        <w:tblW w:w="0" w:type="auto"/>
        <w:jc w:val="center"/>
        <w:shd w:val="clear" w:color="auto" w:fill="FBFBFB"/>
        <w:tblLayout w:type="fixed"/>
        <w:tblCellMar>
          <w:top w:w="0" w:type="dxa"/>
          <w:left w:w="0" w:type="dxa"/>
          <w:bottom w:w="0" w:type="dxa"/>
          <w:right w:w="0" w:type="dxa"/>
        </w:tblCellMar>
      </w:tblPr>
      <w:tblGrid>
        <w:gridCol w:w="1005"/>
        <w:gridCol w:w="2659"/>
        <w:gridCol w:w="3924"/>
        <w:gridCol w:w="2226"/>
      </w:tblGrid>
      <w:tr w14:paraId="7CA7BD4E">
        <w:tblPrEx>
          <w:shd w:val="clear" w:color="auto" w:fill="FBFBFB"/>
          <w:tblCellMar>
            <w:top w:w="0" w:type="dxa"/>
            <w:left w:w="0" w:type="dxa"/>
            <w:bottom w:w="0" w:type="dxa"/>
            <w:right w:w="0" w:type="dxa"/>
          </w:tblCellMar>
        </w:tblPrEx>
        <w:trPr>
          <w:trHeight w:val="454" w:hRule="atLeast"/>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F02DD2A">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A3638F">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F05640">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22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BC5C15">
            <w:pPr>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E10DC24">
        <w:tblPrEx>
          <w:tblCellMar>
            <w:top w:w="0" w:type="dxa"/>
            <w:left w:w="0" w:type="dxa"/>
            <w:bottom w:w="0" w:type="dxa"/>
            <w:right w:w="0" w:type="dxa"/>
          </w:tblCellMar>
        </w:tblPrEx>
        <w:trPr>
          <w:trHeight w:val="454"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E2F776">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5F7E6">
            <w:pPr>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089F24">
            <w:pPr>
              <w:jc w:val="center"/>
              <w:rPr>
                <w:rFonts w:hint="eastAsia" w:ascii="宋体" w:hAnsi="宋体" w:eastAsia="宋体" w:cs="宋体"/>
                <w:color w:val="auto"/>
                <w:kern w:val="0"/>
                <w:sz w:val="24"/>
                <w:highlight w:val="none"/>
              </w:rPr>
            </w:pPr>
          </w:p>
        </w:tc>
        <w:tc>
          <w:tcPr>
            <w:tcW w:w="22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77920B">
            <w:pPr>
              <w:jc w:val="center"/>
              <w:rPr>
                <w:rFonts w:hint="eastAsia" w:ascii="宋体" w:hAnsi="宋体" w:eastAsia="宋体" w:cs="宋体"/>
                <w:color w:val="auto"/>
                <w:kern w:val="0"/>
                <w:sz w:val="24"/>
                <w:highlight w:val="none"/>
              </w:rPr>
            </w:pPr>
          </w:p>
        </w:tc>
      </w:tr>
      <w:tr w14:paraId="4D6A9851">
        <w:tblPrEx>
          <w:shd w:val="clear" w:color="auto" w:fill="FBFBFB"/>
          <w:tblCellMar>
            <w:top w:w="0" w:type="dxa"/>
            <w:left w:w="0" w:type="dxa"/>
            <w:bottom w:w="0" w:type="dxa"/>
            <w:right w:w="0" w:type="dxa"/>
          </w:tblCellMar>
        </w:tblPrEx>
        <w:trPr>
          <w:trHeight w:val="454"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758730">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035B90">
            <w:pPr>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278FEA">
            <w:pPr>
              <w:jc w:val="center"/>
              <w:rPr>
                <w:rFonts w:hint="eastAsia" w:ascii="宋体" w:hAnsi="宋体" w:eastAsia="宋体" w:cs="宋体"/>
                <w:color w:val="auto"/>
                <w:kern w:val="0"/>
                <w:sz w:val="24"/>
                <w:highlight w:val="none"/>
              </w:rPr>
            </w:pPr>
          </w:p>
        </w:tc>
        <w:tc>
          <w:tcPr>
            <w:tcW w:w="22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4EA73D">
            <w:pPr>
              <w:jc w:val="center"/>
              <w:rPr>
                <w:rFonts w:hint="eastAsia" w:ascii="宋体" w:hAnsi="宋体" w:eastAsia="宋体" w:cs="宋体"/>
                <w:color w:val="auto"/>
                <w:kern w:val="0"/>
                <w:sz w:val="24"/>
                <w:highlight w:val="none"/>
              </w:rPr>
            </w:pPr>
          </w:p>
        </w:tc>
      </w:tr>
      <w:tr w14:paraId="4243023A">
        <w:tblPrEx>
          <w:shd w:val="clear" w:color="auto" w:fill="FBFBFB"/>
          <w:tblCellMar>
            <w:top w:w="0" w:type="dxa"/>
            <w:left w:w="0" w:type="dxa"/>
            <w:bottom w:w="0" w:type="dxa"/>
            <w:right w:w="0" w:type="dxa"/>
          </w:tblCellMar>
        </w:tblPrEx>
        <w:trPr>
          <w:trHeight w:val="454"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80F333">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7AA8A7">
            <w:pPr>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49A2F1">
            <w:pPr>
              <w:jc w:val="center"/>
              <w:rPr>
                <w:rFonts w:hint="eastAsia" w:ascii="宋体" w:hAnsi="宋体" w:eastAsia="宋体" w:cs="宋体"/>
                <w:color w:val="auto"/>
                <w:kern w:val="0"/>
                <w:sz w:val="24"/>
                <w:highlight w:val="none"/>
              </w:rPr>
            </w:pPr>
          </w:p>
        </w:tc>
        <w:tc>
          <w:tcPr>
            <w:tcW w:w="22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7E8ABF">
            <w:pPr>
              <w:jc w:val="center"/>
              <w:rPr>
                <w:rFonts w:hint="eastAsia" w:ascii="宋体" w:hAnsi="宋体" w:eastAsia="宋体" w:cs="宋体"/>
                <w:color w:val="auto"/>
                <w:kern w:val="0"/>
                <w:sz w:val="24"/>
                <w:highlight w:val="none"/>
              </w:rPr>
            </w:pPr>
          </w:p>
        </w:tc>
      </w:tr>
    </w:tbl>
    <w:p w14:paraId="40FDBBE4">
      <w:pP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DD0EE68">
      <w:pPr>
        <w:snapToGrid w:val="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11A490A7">
      <w:pPr>
        <w:snapToGrid w:val="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3F9ED200">
      <w:pPr>
        <w:snapToGrid w:val="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3.供应商不存在直接管理关系的，则填“无”。</w:t>
      </w:r>
    </w:p>
    <w:p w14:paraId="791A2778">
      <w:pPr>
        <w:spacing w:line="300" w:lineRule="auto"/>
        <w:rPr>
          <w:rFonts w:hint="eastAsia" w:ascii="宋体" w:hAnsi="宋体" w:eastAsia="宋体" w:cs="宋体"/>
          <w:color w:val="auto"/>
          <w:szCs w:val="21"/>
          <w:highlight w:val="none"/>
        </w:rPr>
      </w:pPr>
    </w:p>
    <w:p w14:paraId="6FDD1B9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61A1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BEC5F2F">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0810E36D">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sz w:val="30"/>
          <w:szCs w:val="30"/>
          <w:highlight w:val="none"/>
        </w:rPr>
        <w:t>中小企业声明函（服务）</w:t>
      </w:r>
    </w:p>
    <w:p w14:paraId="67377BBD">
      <w:pPr>
        <w:spacing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采购活动，服务全部由符合政策要求的中小企业承接。相关企业（含联合体中的中小企业、签订分包意向协议的中小企业）的具体情况如下：</w:t>
      </w:r>
    </w:p>
    <w:p w14:paraId="386EC741">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360" w:lineRule="auto"/>
        <w:ind w:right="142" w:firstLine="686" w:firstLineChars="28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118A6D9">
      <w:pPr>
        <w:keepNext w:val="0"/>
        <w:keepLines w:val="0"/>
        <w:pageBreakBefore w:val="0"/>
        <w:widowControl w:val="0"/>
        <w:tabs>
          <w:tab w:val="left" w:pos="1065"/>
          <w:tab w:val="left" w:pos="4262"/>
          <w:tab w:val="left" w:pos="6477"/>
        </w:tabs>
        <w:kinsoku/>
        <w:wordWrap/>
        <w:overflowPunct/>
        <w:topLinePunct w:val="0"/>
        <w:autoSpaceDE/>
        <w:autoSpaceDN/>
        <w:bidi w:val="0"/>
        <w:adjustRightInd/>
        <w:snapToGrid/>
        <w:spacing w:before="20" w:line="360" w:lineRule="auto"/>
        <w:ind w:right="84" w:firstLine="686" w:firstLineChars="28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1177825">
      <w:pPr>
        <w:keepNext w:val="0"/>
        <w:keepLines w:val="0"/>
        <w:pageBreakBefore w:val="0"/>
        <w:widowControl w:val="0"/>
        <w:tabs>
          <w:tab w:val="left" w:pos="1065"/>
          <w:tab w:val="left" w:pos="4262"/>
          <w:tab w:val="left" w:pos="6477"/>
        </w:tabs>
        <w:kinsoku/>
        <w:wordWrap/>
        <w:overflowPunct/>
        <w:topLinePunct w:val="0"/>
        <w:autoSpaceDE/>
        <w:autoSpaceDN/>
        <w:bidi w:val="0"/>
        <w:adjustRightInd/>
        <w:snapToGrid/>
        <w:spacing w:before="20" w:line="360" w:lineRule="auto"/>
        <w:ind w:right="84" w:firstLine="686" w:firstLineChars="28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p>
    <w:p w14:paraId="63E71CC3">
      <w:pPr>
        <w:spacing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1DFE06F6">
      <w:pPr>
        <w:spacing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395CF6D8">
      <w:pPr>
        <w:spacing w:line="360" w:lineRule="auto"/>
        <w:ind w:left="3960" w:right="1808"/>
        <w:contextualSpacing/>
        <w:rPr>
          <w:rFonts w:hint="eastAsia" w:ascii="宋体" w:hAnsi="宋体" w:eastAsia="宋体" w:cs="宋体"/>
          <w:color w:val="auto"/>
          <w:sz w:val="24"/>
          <w:highlight w:val="none"/>
        </w:rPr>
      </w:pPr>
    </w:p>
    <w:p w14:paraId="3C42595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9F54EF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18CB6B8">
      <w:pPr>
        <w:spacing w:line="360" w:lineRule="auto"/>
        <w:ind w:left="3960" w:right="1808"/>
        <w:contextualSpacing/>
        <w:rPr>
          <w:rFonts w:hint="eastAsia" w:ascii="宋体" w:hAnsi="宋体" w:eastAsia="宋体" w:cs="宋体"/>
          <w:color w:val="auto"/>
          <w:highlight w:val="none"/>
        </w:rPr>
      </w:pPr>
    </w:p>
    <w:p w14:paraId="6AB3454E">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41CD1DB">
      <w:pPr>
        <w:spacing w:line="528" w:lineRule="exact"/>
        <w:jc w:val="center"/>
        <w:rPr>
          <w:rFonts w:hint="eastAsia" w:ascii="宋体" w:hAnsi="宋体" w:eastAsia="宋体" w:cs="宋体"/>
          <w:color w:val="auto"/>
          <w:kern w:val="0"/>
          <w:sz w:val="24"/>
          <w:highlight w:val="none"/>
          <w:lang w:val="zh-CN"/>
        </w:rPr>
      </w:pPr>
    </w:p>
    <w:p w14:paraId="50391CC7">
      <w:pPr>
        <w:spacing w:line="360" w:lineRule="auto"/>
        <w:contextualSpacing/>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、采购标的对应的中小企业划分标准所属行业：根据《关于印发中小企业划型标准规定的通知》（工信部联企业〔2011〕300号），本次采购标的属于其他未列明行业。</w:t>
      </w:r>
    </w:p>
    <w:p w14:paraId="3C50B749">
      <w:pPr>
        <w:spacing w:line="528" w:lineRule="exact"/>
        <w:jc w:val="center"/>
        <w:rPr>
          <w:rFonts w:hint="eastAsia" w:ascii="宋体" w:hAnsi="宋体" w:eastAsia="宋体" w:cs="宋体"/>
          <w:color w:val="auto"/>
          <w:kern w:val="0"/>
          <w:sz w:val="24"/>
          <w:highlight w:val="none"/>
          <w:lang w:val="zh-CN"/>
        </w:rPr>
      </w:pPr>
    </w:p>
    <w:p w14:paraId="399F48FD">
      <w:pPr>
        <w:spacing w:line="528" w:lineRule="exact"/>
        <w:jc w:val="center"/>
        <w:rPr>
          <w:rFonts w:hint="eastAsia" w:ascii="宋体" w:hAnsi="宋体" w:eastAsia="宋体" w:cs="宋体"/>
          <w:color w:val="auto"/>
          <w:kern w:val="0"/>
          <w:sz w:val="24"/>
          <w:highlight w:val="none"/>
          <w:lang w:val="zh-CN"/>
        </w:rPr>
      </w:pPr>
    </w:p>
    <w:p w14:paraId="01838F08">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lang w:val="zh-CN"/>
        </w:rPr>
        <w:br w:type="page"/>
      </w:r>
      <w:r>
        <w:rPr>
          <w:rFonts w:hint="eastAsia" w:ascii="宋体" w:hAnsi="宋体" w:eastAsia="宋体" w:cs="宋体"/>
          <w:b/>
          <w:bCs/>
          <w:color w:val="auto"/>
          <w:sz w:val="30"/>
          <w:szCs w:val="30"/>
          <w:highlight w:val="none"/>
        </w:rPr>
        <w:t>残疾人福利性单位声明函</w:t>
      </w:r>
    </w:p>
    <w:p w14:paraId="686B1756">
      <w:pPr>
        <w:spacing w:line="520" w:lineRule="exact"/>
        <w:rPr>
          <w:rFonts w:hint="eastAsia" w:ascii="宋体" w:hAnsi="宋体" w:eastAsia="宋体" w:cs="宋体"/>
          <w:color w:val="auto"/>
          <w:sz w:val="32"/>
          <w:szCs w:val="32"/>
          <w:highlight w:val="none"/>
        </w:rPr>
      </w:pPr>
    </w:p>
    <w:p w14:paraId="591D06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00DB43D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A993564">
      <w:pPr>
        <w:spacing w:line="360" w:lineRule="auto"/>
        <w:contextualSpacing/>
        <w:rPr>
          <w:rFonts w:hint="eastAsia" w:ascii="宋体" w:hAnsi="宋体" w:eastAsia="宋体" w:cs="宋体"/>
          <w:color w:val="auto"/>
          <w:sz w:val="24"/>
          <w:highlight w:val="none"/>
        </w:rPr>
      </w:pPr>
    </w:p>
    <w:p w14:paraId="01BDEC74">
      <w:pPr>
        <w:spacing w:line="360" w:lineRule="auto"/>
        <w:contextualSpacing/>
        <w:rPr>
          <w:rFonts w:hint="eastAsia" w:ascii="宋体" w:hAnsi="宋体" w:eastAsia="宋体" w:cs="宋体"/>
          <w:color w:val="auto"/>
          <w:sz w:val="24"/>
          <w:highlight w:val="none"/>
        </w:rPr>
      </w:pPr>
    </w:p>
    <w:p w14:paraId="57FA9009">
      <w:pPr>
        <w:spacing w:line="360" w:lineRule="auto"/>
        <w:contextualSpacing/>
        <w:rPr>
          <w:rFonts w:hint="eastAsia" w:ascii="宋体" w:hAnsi="宋体" w:eastAsia="宋体" w:cs="宋体"/>
          <w:color w:val="auto"/>
          <w:sz w:val="24"/>
          <w:highlight w:val="none"/>
        </w:rPr>
      </w:pPr>
    </w:p>
    <w:p w14:paraId="0E884306">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6A39F1C">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8623B95">
      <w:pPr>
        <w:spacing w:line="360" w:lineRule="auto"/>
        <w:contextualSpacing/>
        <w:rPr>
          <w:rFonts w:hint="eastAsia" w:ascii="宋体" w:hAnsi="宋体" w:eastAsia="宋体" w:cs="宋体"/>
          <w:color w:val="auto"/>
          <w:sz w:val="24"/>
          <w:highlight w:val="none"/>
        </w:rPr>
      </w:pPr>
    </w:p>
    <w:p w14:paraId="7516BFF9">
      <w:pPr>
        <w:spacing w:line="360" w:lineRule="auto"/>
        <w:contextualSpacing/>
        <w:rPr>
          <w:rFonts w:hint="eastAsia" w:ascii="宋体" w:hAnsi="宋体" w:eastAsia="宋体" w:cs="宋体"/>
          <w:color w:val="auto"/>
          <w:sz w:val="24"/>
          <w:highlight w:val="none"/>
        </w:rPr>
      </w:pPr>
    </w:p>
    <w:p w14:paraId="467A78BB">
      <w:pPr>
        <w:spacing w:line="360" w:lineRule="auto"/>
        <w:contextualSpacing/>
        <w:rPr>
          <w:rFonts w:hint="eastAsia" w:ascii="宋体" w:hAnsi="宋体" w:eastAsia="宋体" w:cs="宋体"/>
          <w:color w:val="auto"/>
          <w:sz w:val="24"/>
          <w:highlight w:val="none"/>
        </w:rPr>
      </w:pPr>
    </w:p>
    <w:p w14:paraId="649353C6">
      <w:pPr>
        <w:keepNext w:val="0"/>
        <w:keepLines w:val="0"/>
        <w:pageBreakBefore w:val="0"/>
        <w:widowControl w:val="0"/>
        <w:kinsoku/>
        <w:wordWrap/>
        <w:overflowPunct/>
        <w:topLinePunct w:val="0"/>
        <w:autoSpaceDE w:val="0"/>
        <w:autoSpaceDN w:val="0"/>
        <w:bidi w:val="0"/>
        <w:adjustRightInd/>
        <w:snapToGrid w:val="0"/>
        <w:spacing w:line="30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ECE0068">
      <w:pPr>
        <w:pStyle w:val="12"/>
        <w:rPr>
          <w:rFonts w:hint="eastAsia" w:ascii="宋体" w:hAnsi="宋体" w:eastAsia="宋体" w:cs="宋体"/>
          <w:color w:val="auto"/>
          <w:kern w:val="0"/>
          <w:sz w:val="24"/>
          <w:highlight w:val="none"/>
          <w:lang w:val="zh-CN"/>
        </w:rPr>
      </w:pPr>
    </w:p>
    <w:p w14:paraId="3DC1BE0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5ACD8C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F7B901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66B4D8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248C65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E1459EF">
      <w:pPr>
        <w:rPr>
          <w:rFonts w:hint="eastAsia" w:ascii="宋体" w:hAnsi="宋体" w:eastAsia="宋体" w:cs="宋体"/>
          <w:color w:val="auto"/>
          <w:kern w:val="0"/>
          <w:sz w:val="24"/>
          <w:highlight w:val="none"/>
          <w:lang w:val="zh-CN"/>
        </w:rPr>
      </w:pPr>
    </w:p>
    <w:p w14:paraId="469C205B">
      <w:pPr>
        <w:rPr>
          <w:rFonts w:hint="eastAsia" w:ascii="宋体" w:hAnsi="宋体" w:eastAsia="宋体" w:cs="宋体"/>
          <w:color w:val="auto"/>
          <w:kern w:val="0"/>
          <w:sz w:val="24"/>
          <w:highlight w:val="none"/>
          <w:lang w:val="zh-CN"/>
        </w:rPr>
      </w:pPr>
    </w:p>
    <w:p w14:paraId="59A14C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B8FC61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B7163A9">
      <w:pPr>
        <w:rPr>
          <w:rFonts w:hint="eastAsia" w:ascii="宋体" w:hAnsi="宋体" w:eastAsia="宋体" w:cs="宋体"/>
          <w:b/>
          <w:bCs w:val="0"/>
          <w:caps w:val="0"/>
          <w:smallCaps w:val="0"/>
          <w:color w:val="auto"/>
          <w:spacing w:val="0"/>
          <w:kern w:val="2"/>
          <w:sz w:val="30"/>
          <w:szCs w:val="30"/>
          <w:highlight w:val="none"/>
          <w:lang w:val="en-US" w:eastAsia="zh-CN"/>
        </w:rPr>
      </w:pPr>
      <w:r>
        <w:rPr>
          <w:rFonts w:hint="eastAsia" w:ascii="宋体" w:hAnsi="宋体" w:eastAsia="宋体" w:cs="宋体"/>
          <w:b/>
          <w:bCs w:val="0"/>
          <w:caps w:val="0"/>
          <w:smallCaps w:val="0"/>
          <w:color w:val="auto"/>
          <w:spacing w:val="0"/>
          <w:kern w:val="2"/>
          <w:sz w:val="30"/>
          <w:szCs w:val="30"/>
          <w:highlight w:val="none"/>
          <w:lang w:val="en-US" w:eastAsia="zh-CN"/>
        </w:rPr>
        <w:br w:type="page"/>
      </w:r>
    </w:p>
    <w:p w14:paraId="028B0EFB">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0"/>
          <w:szCs w:val="30"/>
          <w:highlight w:val="none"/>
        </w:rPr>
        <w:t>无串通竞标行为的承诺函</w:t>
      </w:r>
    </w:p>
    <w:p w14:paraId="1D69746B">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13D927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1294E66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26FDC05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582F5AC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6BCEA3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9A7B05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1035887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0332FB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229AB6A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1D7486F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D55896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456B89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28978B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3A2252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33AEEBB9">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3A69DFE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C7B9CF0">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val="0"/>
          <w:color w:val="auto"/>
          <w:sz w:val="30"/>
          <w:szCs w:val="30"/>
          <w:highlight w:val="none"/>
        </w:rPr>
        <w:br w:type="page"/>
      </w:r>
    </w:p>
    <w:p w14:paraId="7F4A3049">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
          <w:bCs w:val="0"/>
          <w:color w:val="auto"/>
          <w:sz w:val="30"/>
          <w:szCs w:val="30"/>
          <w:highlight w:val="none"/>
        </w:rPr>
        <w:t>法定代表人证明书</w:t>
      </w:r>
    </w:p>
    <w:p w14:paraId="5897AE98">
      <w:pPr>
        <w:spacing w:line="360" w:lineRule="auto"/>
        <w:ind w:left="540"/>
        <w:contextualSpacing/>
        <w:rPr>
          <w:rFonts w:hint="eastAsia" w:ascii="宋体" w:hAnsi="宋体" w:eastAsia="宋体" w:cs="宋体"/>
          <w:color w:val="auto"/>
          <w:sz w:val="32"/>
          <w:szCs w:val="32"/>
          <w:highlight w:val="none"/>
        </w:rPr>
      </w:pPr>
    </w:p>
    <w:p w14:paraId="3872CDD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86B31F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79DFB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27DA5EC">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3FBBEF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E7D05A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53EB73A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176BA62">
      <w:pPr>
        <w:spacing w:line="360" w:lineRule="auto"/>
        <w:ind w:left="540"/>
        <w:contextualSpacing/>
        <w:rPr>
          <w:rFonts w:hint="eastAsia" w:ascii="宋体" w:hAnsi="宋体" w:eastAsia="宋体" w:cs="宋体"/>
          <w:color w:val="auto"/>
          <w:sz w:val="24"/>
          <w:highlight w:val="none"/>
        </w:rPr>
      </w:pPr>
    </w:p>
    <w:p w14:paraId="086A82A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tbl>
      <w:tblPr>
        <w:tblStyle w:val="32"/>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0904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trPr>
        <w:tc>
          <w:tcPr>
            <w:tcW w:w="9480" w:type="dxa"/>
            <w:noWrap w:val="0"/>
            <w:vAlign w:val="top"/>
          </w:tcPr>
          <w:p w14:paraId="4B5856AE">
            <w:pPr>
              <w:spacing w:line="360" w:lineRule="auto"/>
              <w:rPr>
                <w:rFonts w:hint="eastAsia" w:ascii="宋体" w:hAnsi="宋体" w:eastAsia="宋体" w:cs="宋体"/>
                <w:b/>
                <w:color w:val="auto"/>
                <w:sz w:val="24"/>
                <w:highlight w:val="none"/>
              </w:rPr>
            </w:pPr>
          </w:p>
          <w:p w14:paraId="4E5E438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7B3BDBC9">
      <w:pPr>
        <w:spacing w:line="360" w:lineRule="auto"/>
        <w:ind w:left="540"/>
        <w:contextualSpacing/>
        <w:rPr>
          <w:rFonts w:hint="eastAsia" w:ascii="宋体" w:hAnsi="宋体" w:eastAsia="宋体" w:cs="宋体"/>
          <w:color w:val="auto"/>
          <w:sz w:val="24"/>
          <w:highlight w:val="none"/>
        </w:rPr>
      </w:pPr>
    </w:p>
    <w:p w14:paraId="48B1E73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4CB52E92">
      <w:pPr>
        <w:autoSpaceDE w:val="0"/>
        <w:autoSpaceDN w:val="0"/>
        <w:spacing w:line="360" w:lineRule="auto"/>
        <w:ind w:firstLine="5280" w:firstLineChars="2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供应商名称（电子签章）：</w:t>
      </w:r>
      <w:r>
        <w:rPr>
          <w:rFonts w:hint="eastAsia" w:ascii="宋体" w:hAnsi="宋体" w:cs="宋体"/>
          <w:color w:val="auto"/>
          <w:kern w:val="0"/>
          <w:sz w:val="24"/>
          <w:highlight w:val="none"/>
          <w:u w:val="single"/>
          <w:lang w:val="en-US" w:eastAsia="zh-CN"/>
        </w:rPr>
        <w:t xml:space="preserve">         </w:t>
      </w:r>
    </w:p>
    <w:p w14:paraId="30488841">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939179">
      <w:pPr>
        <w:spacing w:line="360" w:lineRule="auto"/>
        <w:contextualSpacing/>
        <w:jc w:val="left"/>
        <w:rPr>
          <w:rFonts w:hint="eastAsia" w:ascii="宋体" w:hAnsi="宋体" w:eastAsia="宋体" w:cs="宋体"/>
          <w:color w:val="auto"/>
          <w:sz w:val="24"/>
          <w:highlight w:val="none"/>
        </w:rPr>
      </w:pPr>
    </w:p>
    <w:p w14:paraId="555E30C1">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6B23098">
      <w:pPr>
        <w:numPr>
          <w:ilvl w:val="0"/>
          <w:numId w:val="0"/>
        </w:numPr>
        <w:spacing w:line="360" w:lineRule="auto"/>
        <w:ind w:firstLine="480" w:firstLineChars="200"/>
        <w:contextualSpacing/>
        <w:jc w:val="left"/>
        <w:rPr>
          <w:rFonts w:hint="eastAsia" w:ascii="宋体" w:hAnsi="宋体" w:eastAsia="宋体" w:cs="宋体"/>
          <w:color w:val="auto"/>
          <w:sz w:val="24"/>
          <w:highlight w:val="none"/>
          <w:lang w:val="en-US" w:eastAsia="zh-CN"/>
        </w:rPr>
      </w:pPr>
    </w:p>
    <w:p w14:paraId="413B6750">
      <w:pPr>
        <w:spacing w:line="520" w:lineRule="exact"/>
        <w:jc w:val="center"/>
        <w:rPr>
          <w:rFonts w:hint="eastAsia" w:ascii="宋体" w:hAnsi="宋体" w:eastAsia="宋体" w:cs="宋体"/>
          <w:b/>
          <w:color w:val="auto"/>
          <w:kern w:val="2"/>
          <w:sz w:val="30"/>
          <w:szCs w:val="30"/>
          <w:highlight w:val="none"/>
          <w:lang w:val="en-US" w:eastAsia="zh-CN"/>
        </w:rPr>
      </w:pPr>
    </w:p>
    <w:p w14:paraId="0AB382DA">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69D78F4A">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授权委托书</w:t>
      </w:r>
    </w:p>
    <w:p w14:paraId="1A6FE563">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sz w:val="30"/>
          <w:szCs w:val="30"/>
          <w:highlight w:val="none"/>
        </w:rPr>
        <w:t>（如有委托时）</w:t>
      </w:r>
    </w:p>
    <w:p w14:paraId="501FB0C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53B270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BC7935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07940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3A710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6FDD5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7F0700B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A862E5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p>
    <w:p w14:paraId="2B652FB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委托代理人身份证号码：</w:t>
      </w:r>
      <w:r>
        <w:rPr>
          <w:rFonts w:hint="eastAsia" w:ascii="宋体" w:hAnsi="宋体" w:eastAsia="宋体" w:cs="宋体"/>
          <w:color w:val="auto"/>
          <w:sz w:val="24"/>
          <w:highlight w:val="none"/>
          <w:u w:val="single"/>
        </w:rPr>
        <w:t xml:space="preserve">                              </w:t>
      </w:r>
    </w:p>
    <w:tbl>
      <w:tblPr>
        <w:tblStyle w:val="33"/>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0"/>
      </w:tblGrid>
      <w:tr w14:paraId="44CD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9880" w:type="dxa"/>
            <w:noWrap w:val="0"/>
            <w:vAlign w:val="top"/>
          </w:tcPr>
          <w:p w14:paraId="0191173B">
            <w:pPr>
              <w:autoSpaceDE w:val="0"/>
              <w:autoSpaceDN w:val="0"/>
              <w:spacing w:line="360" w:lineRule="auto"/>
              <w:rPr>
                <w:rFonts w:hint="eastAsia" w:ascii="宋体" w:hAnsi="宋体" w:eastAsia="宋体" w:cs="宋体"/>
                <w:b/>
                <w:bCs/>
                <w:color w:val="auto"/>
                <w:sz w:val="24"/>
                <w:highlight w:val="none"/>
                <w:vertAlign w:val="baseline"/>
              </w:rPr>
            </w:pPr>
            <w:r>
              <w:rPr>
                <w:rFonts w:hint="eastAsia" w:ascii="宋体" w:hAnsi="宋体" w:eastAsia="宋体" w:cs="宋体"/>
                <w:b/>
                <w:color w:val="auto"/>
                <w:sz w:val="24"/>
                <w:highlight w:val="none"/>
              </w:rPr>
              <w:t>委托代理人有效身份证正反面复印件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96B42F">
      <w:pPr>
        <w:autoSpaceDE w:val="0"/>
        <w:autoSpaceDN w:val="0"/>
        <w:spacing w:line="360" w:lineRule="auto"/>
        <w:ind w:left="4365" w:leftChars="1850" w:hanging="480" w:hangingChars="200"/>
        <w:rPr>
          <w:rFonts w:hint="eastAsia" w:ascii="宋体" w:hAnsi="宋体" w:eastAsia="宋体" w:cs="宋体"/>
          <w:color w:val="auto"/>
          <w:sz w:val="24"/>
          <w:highlight w:val="none"/>
        </w:rPr>
      </w:pPr>
    </w:p>
    <w:p w14:paraId="6A6403E3">
      <w:pPr>
        <w:autoSpaceDE w:val="0"/>
        <w:autoSpaceDN w:val="0"/>
        <w:spacing w:line="360" w:lineRule="auto"/>
        <w:ind w:left="4365" w:leftChars="1850" w:hanging="480" w:hanging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r>
        <w:rPr>
          <w:rFonts w:hint="eastAsia" w:ascii="宋体" w:hAnsi="宋体" w:cs="宋体"/>
          <w:color w:val="auto"/>
          <w:kern w:val="0"/>
          <w:sz w:val="24"/>
          <w:highlight w:val="none"/>
          <w:u w:val="single"/>
          <w:lang w:val="en-US" w:eastAsia="zh-CN"/>
        </w:rPr>
        <w:t xml:space="preserve">              </w:t>
      </w:r>
    </w:p>
    <w:p w14:paraId="1E1C2EC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5B41CDE">
      <w:pPr>
        <w:spacing w:line="360" w:lineRule="auto"/>
        <w:rPr>
          <w:rFonts w:hint="eastAsia" w:ascii="宋体" w:hAnsi="宋体" w:eastAsia="宋体" w:cs="宋体"/>
          <w:color w:val="auto"/>
          <w:sz w:val="24"/>
          <w:highlight w:val="none"/>
        </w:rPr>
      </w:pPr>
    </w:p>
    <w:p w14:paraId="070FB1C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注：1.法定代表人必须在授权委托书上亲笔签字或盖章，委托代理人必须在授权委托书上亲笔签字，</w:t>
      </w:r>
      <w:r>
        <w:rPr>
          <w:rFonts w:hint="eastAsia" w:ascii="宋体" w:hAnsi="宋体" w:eastAsia="宋体" w:cs="宋体"/>
          <w:b/>
          <w:color w:val="auto"/>
          <w:sz w:val="22"/>
          <w:szCs w:val="22"/>
          <w:highlight w:val="none"/>
        </w:rPr>
        <w:t>否则其响应文件按无效响应处理。</w:t>
      </w:r>
    </w:p>
    <w:p w14:paraId="65FFD7F1">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120D4A9">
      <w:pPr>
        <w:spacing w:line="360" w:lineRule="auto"/>
        <w:ind w:firstLine="440" w:firstLineChars="200"/>
        <w:jc w:val="left"/>
        <w:rPr>
          <w:rFonts w:hint="eastAsia" w:ascii="宋体" w:hAnsi="宋体" w:eastAsia="宋体" w:cs="宋体"/>
          <w:color w:val="auto"/>
          <w:sz w:val="24"/>
          <w:highlight w:val="none"/>
        </w:rPr>
      </w:pPr>
      <w:r>
        <w:rPr>
          <w:rFonts w:hint="eastAsia" w:ascii="宋体" w:hAnsi="宋体" w:eastAsia="宋体" w:cs="宋体"/>
          <w:color w:val="auto"/>
          <w:sz w:val="22"/>
          <w:szCs w:val="22"/>
          <w:highlight w:val="none"/>
        </w:rPr>
        <w:t>3.法人、其他组织竞标时“我方”是指“我单位”，自然人竞标时“我方”是指“本人”。</w:t>
      </w:r>
    </w:p>
    <w:p w14:paraId="5B7EDA45">
      <w:pPr>
        <w:autoSpaceDE w:val="0"/>
        <w:autoSpaceDN w:val="0"/>
        <w:spacing w:line="360" w:lineRule="auto"/>
        <w:ind w:firstLine="6144" w:firstLineChars="2550"/>
        <w:rPr>
          <w:rFonts w:hint="eastAsia" w:ascii="宋体" w:hAnsi="宋体" w:eastAsia="宋体" w:cs="宋体"/>
          <w:b/>
          <w:bCs/>
          <w:color w:val="auto"/>
          <w:sz w:val="24"/>
          <w:highlight w:val="none"/>
        </w:rPr>
      </w:pPr>
    </w:p>
    <w:p w14:paraId="435753B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6"/>
          <w:szCs w:val="36"/>
          <w:highlight w:val="none"/>
          <w:lang w:val="en"/>
        </w:rPr>
      </w:pPr>
      <w:r>
        <w:rPr>
          <w:rFonts w:hint="eastAsia" w:ascii="宋体" w:hAnsi="宋体" w:eastAsia="宋体" w:cs="宋体"/>
          <w:b/>
          <w:bCs/>
          <w:color w:val="auto"/>
          <w:sz w:val="36"/>
          <w:szCs w:val="36"/>
          <w:highlight w:val="none"/>
          <w:lang w:val="en"/>
        </w:rPr>
        <w:br w:type="page"/>
      </w:r>
      <w:r>
        <w:rPr>
          <w:rFonts w:hint="eastAsia" w:ascii="宋体" w:hAnsi="宋体" w:eastAsia="宋体" w:cs="宋体"/>
          <w:b/>
          <w:bCs/>
          <w:color w:val="auto"/>
          <w:sz w:val="30"/>
          <w:szCs w:val="30"/>
          <w:highlight w:val="none"/>
          <w:lang w:val="en"/>
        </w:rPr>
        <w:t>商务条款偏离表</w:t>
      </w:r>
    </w:p>
    <w:p w14:paraId="0D23FB66">
      <w:pPr>
        <w:jc w:val="center"/>
        <w:rPr>
          <w:rFonts w:hint="eastAsia" w:ascii="宋体" w:hAnsi="宋体" w:eastAsia="宋体" w:cs="宋体"/>
          <w:b/>
          <w:bCs/>
          <w:color w:val="auto"/>
          <w:sz w:val="28"/>
          <w:szCs w:val="28"/>
          <w:highlight w:val="none"/>
        </w:rPr>
      </w:pPr>
    </w:p>
    <w:p w14:paraId="03B7AF6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450B05D8">
      <w:pPr>
        <w:spacing w:line="360" w:lineRule="auto"/>
        <w:contextualSpacing/>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采购</w:t>
      </w:r>
      <w:r>
        <w:rPr>
          <w:rFonts w:hint="eastAsia" w:ascii="宋体" w:hAnsi="宋体" w:cs="宋体"/>
          <w:color w:val="auto"/>
          <w:sz w:val="24"/>
          <w:highlight w:val="none"/>
          <w:lang w:eastAsia="zh-CN"/>
        </w:rPr>
        <w:t>项目编号：</w:t>
      </w:r>
      <w:r>
        <w:rPr>
          <w:rFonts w:hint="eastAsia" w:ascii="宋体" w:hAnsi="宋体" w:cs="宋体"/>
          <w:color w:val="auto"/>
          <w:sz w:val="24"/>
          <w:highlight w:val="none"/>
          <w:u w:val="single"/>
          <w:lang w:val="en-US" w:eastAsia="zh-CN"/>
        </w:rPr>
        <w:t xml:space="preserve">                 </w:t>
      </w:r>
    </w:p>
    <w:p w14:paraId="5885D37A">
      <w:pPr>
        <w:spacing w:line="360" w:lineRule="auto"/>
        <w:contextualSpacing/>
        <w:rPr>
          <w:rFonts w:hint="eastAsia" w:ascii="宋体" w:hAnsi="宋体" w:eastAsia="宋体" w:cs="宋体"/>
          <w:color w:val="auto"/>
          <w:sz w:val="24"/>
          <w:highlight w:val="none"/>
          <w:u w:val="single"/>
        </w:rPr>
      </w:pPr>
    </w:p>
    <w:tbl>
      <w:tblPr>
        <w:tblStyle w:val="3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BD64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bottom w:val="single" w:color="auto" w:sz="4" w:space="0"/>
              <w:right w:val="single" w:color="auto" w:sz="4" w:space="0"/>
            </w:tcBorders>
            <w:vAlign w:val="center"/>
          </w:tcPr>
          <w:p w14:paraId="7FAFF3C7">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611488AB">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41138046">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tcBorders>
            <w:vAlign w:val="center"/>
          </w:tcPr>
          <w:p w14:paraId="165CDF2E">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7C1AA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bottom w:val="single" w:color="auto" w:sz="4" w:space="0"/>
              <w:right w:val="single" w:color="auto" w:sz="4" w:space="0"/>
            </w:tcBorders>
            <w:vAlign w:val="center"/>
          </w:tcPr>
          <w:p w14:paraId="3632C2AA">
            <w:pPr>
              <w:spacing w:line="360" w:lineRule="auto"/>
              <w:contextualSpacing/>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一、合同签订期</w:t>
            </w:r>
          </w:p>
        </w:tc>
        <w:tc>
          <w:tcPr>
            <w:tcW w:w="2668" w:type="dxa"/>
            <w:tcBorders>
              <w:top w:val="single" w:color="auto" w:sz="4" w:space="0"/>
              <w:left w:val="single" w:color="auto" w:sz="4" w:space="0"/>
              <w:bottom w:val="single" w:color="auto" w:sz="4" w:space="0"/>
              <w:right w:val="single" w:color="auto" w:sz="4" w:space="0"/>
            </w:tcBorders>
            <w:vAlign w:val="center"/>
          </w:tcPr>
          <w:p w14:paraId="3B002061">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C49D794">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65C9B1FA">
            <w:pPr>
              <w:spacing w:line="360" w:lineRule="auto"/>
              <w:contextualSpacing/>
              <w:jc w:val="center"/>
              <w:rPr>
                <w:rFonts w:ascii="宋体" w:hAnsi="宋体" w:cs="宋体"/>
                <w:color w:val="auto"/>
                <w:sz w:val="24"/>
                <w:highlight w:val="none"/>
              </w:rPr>
            </w:pPr>
          </w:p>
        </w:tc>
      </w:tr>
      <w:tr w14:paraId="1F182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bottom w:val="single" w:color="auto" w:sz="4" w:space="0"/>
              <w:right w:val="single" w:color="auto" w:sz="4" w:space="0"/>
            </w:tcBorders>
            <w:vAlign w:val="center"/>
          </w:tcPr>
          <w:p w14:paraId="5FB9C930">
            <w:pPr>
              <w:spacing w:line="360" w:lineRule="auto"/>
              <w:contextualSpacing/>
              <w:jc w:val="left"/>
              <w:rPr>
                <w:rFonts w:ascii="宋体" w:hAnsi="宋体" w:cs="宋体"/>
                <w:color w:val="auto"/>
                <w:sz w:val="24"/>
                <w:szCs w:val="24"/>
                <w:highlight w:val="none"/>
              </w:rPr>
            </w:pPr>
            <w:r>
              <w:rPr>
                <w:rFonts w:hint="eastAsia" w:ascii="宋体" w:hAnsi="宋体" w:eastAsia="宋体" w:cs="宋体"/>
                <w:color w:val="auto"/>
                <w:sz w:val="24"/>
                <w:szCs w:val="24"/>
                <w:highlight w:val="none"/>
              </w:rPr>
              <w:t>二、服务期</w:t>
            </w:r>
          </w:p>
        </w:tc>
        <w:tc>
          <w:tcPr>
            <w:tcW w:w="2668" w:type="dxa"/>
            <w:tcBorders>
              <w:top w:val="single" w:color="auto" w:sz="4" w:space="0"/>
              <w:left w:val="single" w:color="auto" w:sz="4" w:space="0"/>
              <w:bottom w:val="single" w:color="auto" w:sz="4" w:space="0"/>
              <w:right w:val="single" w:color="auto" w:sz="4" w:space="0"/>
            </w:tcBorders>
            <w:vAlign w:val="center"/>
          </w:tcPr>
          <w:p w14:paraId="61208F13">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DBF63BC">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200B0805">
            <w:pPr>
              <w:spacing w:line="360" w:lineRule="auto"/>
              <w:ind w:left="43"/>
              <w:contextualSpacing/>
              <w:jc w:val="center"/>
              <w:rPr>
                <w:rFonts w:ascii="宋体" w:hAnsi="宋体" w:cs="宋体"/>
                <w:color w:val="auto"/>
                <w:sz w:val="24"/>
                <w:highlight w:val="none"/>
              </w:rPr>
            </w:pPr>
          </w:p>
        </w:tc>
      </w:tr>
      <w:tr w14:paraId="32D9F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bottom w:val="single" w:color="auto" w:sz="4" w:space="0"/>
              <w:right w:val="single" w:color="auto" w:sz="4" w:space="0"/>
            </w:tcBorders>
            <w:vAlign w:val="center"/>
          </w:tcPr>
          <w:p w14:paraId="493708F9">
            <w:pPr>
              <w:spacing w:line="360" w:lineRule="auto"/>
              <w:contextualSpacing/>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三、服务地点</w:t>
            </w:r>
          </w:p>
        </w:tc>
        <w:tc>
          <w:tcPr>
            <w:tcW w:w="2668" w:type="dxa"/>
            <w:tcBorders>
              <w:top w:val="single" w:color="auto" w:sz="4" w:space="0"/>
              <w:left w:val="single" w:color="auto" w:sz="4" w:space="0"/>
              <w:bottom w:val="single" w:color="auto" w:sz="4" w:space="0"/>
              <w:right w:val="single" w:color="auto" w:sz="4" w:space="0"/>
            </w:tcBorders>
            <w:vAlign w:val="center"/>
          </w:tcPr>
          <w:p w14:paraId="66D25E1B">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686A4F9">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24CC7F05">
            <w:pPr>
              <w:spacing w:line="360" w:lineRule="auto"/>
              <w:contextualSpacing/>
              <w:jc w:val="center"/>
              <w:rPr>
                <w:rFonts w:ascii="宋体" w:hAnsi="宋体" w:cs="宋体"/>
                <w:color w:val="auto"/>
                <w:sz w:val="24"/>
                <w:highlight w:val="none"/>
              </w:rPr>
            </w:pPr>
          </w:p>
        </w:tc>
      </w:tr>
      <w:tr w14:paraId="39CAB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156694CB">
            <w:pPr>
              <w:spacing w:line="360" w:lineRule="auto"/>
              <w:contextualSpacing/>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val="en-US" w:eastAsia="zh-CN"/>
              </w:rPr>
              <w:t>项目评估</w:t>
            </w:r>
          </w:p>
        </w:tc>
        <w:tc>
          <w:tcPr>
            <w:tcW w:w="2668" w:type="dxa"/>
            <w:tcBorders>
              <w:top w:val="single" w:color="auto" w:sz="4" w:space="0"/>
              <w:left w:val="single" w:color="auto" w:sz="4" w:space="0"/>
              <w:bottom w:val="single" w:color="auto" w:sz="4" w:space="0"/>
              <w:right w:val="single" w:color="auto" w:sz="4" w:space="0"/>
            </w:tcBorders>
            <w:vAlign w:val="center"/>
          </w:tcPr>
          <w:p w14:paraId="23392E28">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58575DE">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661899FB">
            <w:pPr>
              <w:spacing w:line="360" w:lineRule="auto"/>
              <w:contextualSpacing/>
              <w:jc w:val="center"/>
              <w:rPr>
                <w:rFonts w:ascii="宋体" w:hAnsi="宋体" w:cs="宋体"/>
                <w:color w:val="auto"/>
                <w:sz w:val="24"/>
                <w:highlight w:val="none"/>
              </w:rPr>
            </w:pPr>
          </w:p>
        </w:tc>
      </w:tr>
      <w:tr w14:paraId="7D181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7F18E314">
            <w:pPr>
              <w:spacing w:line="360" w:lineRule="auto"/>
              <w:contextualSpacing/>
              <w:jc w:val="left"/>
              <w:rPr>
                <w:rFonts w:ascii="宋体" w:hAnsi="宋体" w:cs="宋体"/>
                <w:color w:val="auto"/>
                <w:sz w:val="24"/>
                <w:szCs w:val="24"/>
                <w:highlight w:val="none"/>
              </w:rPr>
            </w:pPr>
            <w:r>
              <w:rPr>
                <w:rFonts w:hint="eastAsia" w:ascii="宋体" w:hAnsi="宋体" w:eastAsia="宋体" w:cs="宋体"/>
                <w:color w:val="auto"/>
                <w:sz w:val="24"/>
                <w:szCs w:val="24"/>
                <w:highlight w:val="none"/>
              </w:rPr>
              <w:t>五、售后服务要求</w:t>
            </w:r>
          </w:p>
        </w:tc>
        <w:tc>
          <w:tcPr>
            <w:tcW w:w="2668" w:type="dxa"/>
            <w:tcBorders>
              <w:top w:val="single" w:color="auto" w:sz="4" w:space="0"/>
              <w:left w:val="single" w:color="auto" w:sz="4" w:space="0"/>
              <w:bottom w:val="single" w:color="auto" w:sz="4" w:space="0"/>
              <w:right w:val="single" w:color="auto" w:sz="4" w:space="0"/>
            </w:tcBorders>
            <w:vAlign w:val="center"/>
          </w:tcPr>
          <w:p w14:paraId="31D5682F">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5D7DE74">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0FA3C726">
            <w:pPr>
              <w:spacing w:line="360" w:lineRule="auto"/>
              <w:contextualSpacing/>
              <w:jc w:val="center"/>
              <w:rPr>
                <w:rFonts w:ascii="宋体" w:hAnsi="宋体" w:cs="宋体"/>
                <w:color w:val="auto"/>
                <w:sz w:val="24"/>
                <w:highlight w:val="none"/>
              </w:rPr>
            </w:pPr>
          </w:p>
        </w:tc>
      </w:tr>
      <w:tr w14:paraId="54DBA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14A3094A">
            <w:pPr>
              <w:spacing w:line="360" w:lineRule="auto"/>
              <w:contextualSpacing/>
              <w:jc w:val="left"/>
              <w:rPr>
                <w:rFonts w:ascii="宋体" w:hAnsi="宋体" w:cs="宋体"/>
                <w:color w:val="auto"/>
                <w:sz w:val="24"/>
                <w:szCs w:val="24"/>
                <w:highlight w:val="none"/>
              </w:rPr>
            </w:pPr>
            <w:r>
              <w:rPr>
                <w:rFonts w:hint="eastAsia" w:ascii="宋体" w:hAnsi="宋体" w:eastAsia="宋体" w:cs="宋体"/>
                <w:color w:val="auto"/>
                <w:sz w:val="24"/>
                <w:szCs w:val="24"/>
                <w:highlight w:val="none"/>
              </w:rPr>
              <w:t>六、付款方式</w:t>
            </w:r>
          </w:p>
        </w:tc>
        <w:tc>
          <w:tcPr>
            <w:tcW w:w="2668" w:type="dxa"/>
            <w:tcBorders>
              <w:top w:val="single" w:color="auto" w:sz="4" w:space="0"/>
              <w:left w:val="single" w:color="auto" w:sz="4" w:space="0"/>
              <w:bottom w:val="single" w:color="auto" w:sz="4" w:space="0"/>
              <w:right w:val="single" w:color="auto" w:sz="4" w:space="0"/>
            </w:tcBorders>
            <w:vAlign w:val="center"/>
          </w:tcPr>
          <w:p w14:paraId="0CAF9CE8">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60E299B">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6D8B8069">
            <w:pPr>
              <w:spacing w:line="360" w:lineRule="auto"/>
              <w:contextualSpacing/>
              <w:jc w:val="center"/>
              <w:rPr>
                <w:rFonts w:ascii="宋体" w:hAnsi="宋体" w:cs="宋体"/>
                <w:color w:val="auto"/>
                <w:sz w:val="24"/>
                <w:highlight w:val="none"/>
              </w:rPr>
            </w:pPr>
          </w:p>
        </w:tc>
      </w:tr>
      <w:tr w14:paraId="3C11F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275B7D71">
            <w:pPr>
              <w:spacing w:line="360" w:lineRule="auto"/>
              <w:contextualSpacing/>
              <w:jc w:val="left"/>
              <w:rPr>
                <w:rFonts w:ascii="宋体" w:hAnsi="宋体" w:cs="宋体"/>
                <w:color w:val="auto"/>
                <w:sz w:val="24"/>
                <w:szCs w:val="24"/>
                <w:highlight w:val="none"/>
              </w:rPr>
            </w:pPr>
            <w:r>
              <w:rPr>
                <w:rFonts w:hint="eastAsia" w:ascii="宋体" w:hAnsi="宋体" w:eastAsia="宋体" w:cs="宋体"/>
                <w:color w:val="auto"/>
                <w:sz w:val="24"/>
                <w:szCs w:val="24"/>
                <w:highlight w:val="none"/>
              </w:rPr>
              <w:t>七、其他要求</w:t>
            </w:r>
          </w:p>
        </w:tc>
        <w:tc>
          <w:tcPr>
            <w:tcW w:w="2668" w:type="dxa"/>
            <w:tcBorders>
              <w:top w:val="single" w:color="auto" w:sz="4" w:space="0"/>
              <w:left w:val="single" w:color="auto" w:sz="4" w:space="0"/>
              <w:bottom w:val="single" w:color="auto" w:sz="4" w:space="0"/>
              <w:right w:val="single" w:color="auto" w:sz="4" w:space="0"/>
            </w:tcBorders>
            <w:vAlign w:val="center"/>
          </w:tcPr>
          <w:p w14:paraId="469245A4">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A2B853A">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537875FB">
            <w:pPr>
              <w:spacing w:line="360" w:lineRule="auto"/>
              <w:contextualSpacing/>
              <w:jc w:val="center"/>
              <w:rPr>
                <w:rFonts w:ascii="宋体" w:hAnsi="宋体" w:cs="宋体"/>
                <w:color w:val="auto"/>
                <w:sz w:val="24"/>
                <w:highlight w:val="none"/>
              </w:rPr>
            </w:pPr>
          </w:p>
        </w:tc>
      </w:tr>
    </w:tbl>
    <w:p w14:paraId="7A1212C7">
      <w:pPr>
        <w:spacing w:line="400" w:lineRule="exact"/>
        <w:contextualSpacing/>
        <w:rPr>
          <w:rFonts w:hint="eastAsia" w:ascii="宋体" w:hAnsi="宋体" w:eastAsia="宋体" w:cs="宋体"/>
          <w:color w:val="auto"/>
          <w:kern w:val="0"/>
          <w:sz w:val="24"/>
          <w:highlight w:val="none"/>
        </w:rPr>
      </w:pPr>
    </w:p>
    <w:p w14:paraId="37052325">
      <w:pPr>
        <w:spacing w:line="400" w:lineRule="exact"/>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656BEDC">
      <w:pPr>
        <w:spacing w:line="400" w:lineRule="exact"/>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1.说明：应对照磋商文件“第二章 采购需求”中的</w:t>
      </w:r>
      <w:r>
        <w:rPr>
          <w:rFonts w:hint="eastAsia" w:ascii="宋体" w:hAnsi="宋体" w:cs="宋体"/>
          <w:color w:val="auto"/>
          <w:kern w:val="0"/>
          <w:sz w:val="24"/>
          <w:highlight w:val="none"/>
          <w:lang w:eastAsia="zh-CN"/>
        </w:rPr>
        <w:t>“</w:t>
      </w:r>
      <w:r>
        <w:rPr>
          <w:rFonts w:hint="eastAsia" w:ascii="宋体" w:hAnsi="宋体" w:eastAsia="宋体" w:cs="宋体"/>
          <w:b/>
          <w:bCs/>
          <w:color w:val="auto"/>
          <w:sz w:val="24"/>
          <w:szCs w:val="32"/>
          <w:highlight w:val="none"/>
        </w:rPr>
        <w:t>▲商务条款</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逐条作出明确响应，并作出偏离说明。</w:t>
      </w:r>
    </w:p>
    <w:p w14:paraId="4C917632">
      <w:pPr>
        <w:spacing w:line="400" w:lineRule="exact"/>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688E0E2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26603051">
      <w:pPr>
        <w:spacing w:line="360" w:lineRule="auto"/>
        <w:ind w:firstLine="3840" w:firstLineChars="1600"/>
        <w:rPr>
          <w:rFonts w:hint="eastAsia" w:ascii="宋体" w:hAnsi="宋体" w:eastAsia="宋体" w:cs="宋体"/>
          <w:color w:val="auto"/>
          <w:kern w:val="0"/>
          <w:sz w:val="24"/>
          <w:highlight w:val="none"/>
        </w:rPr>
      </w:pPr>
    </w:p>
    <w:p w14:paraId="146CA18D">
      <w:pPr>
        <w:spacing w:line="360" w:lineRule="auto"/>
        <w:ind w:firstLine="3840" w:firstLineChars="1600"/>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供应商名称（电子签章）：</w:t>
      </w:r>
      <w:r>
        <w:rPr>
          <w:rFonts w:hint="eastAsia" w:ascii="宋体" w:hAnsi="宋体" w:cs="宋体"/>
          <w:color w:val="auto"/>
          <w:kern w:val="0"/>
          <w:sz w:val="24"/>
          <w:highlight w:val="none"/>
          <w:u w:val="single"/>
          <w:lang w:val="en-US" w:eastAsia="zh-CN"/>
        </w:rPr>
        <w:t xml:space="preserve">                 </w:t>
      </w:r>
    </w:p>
    <w:p w14:paraId="59166403">
      <w:pPr>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lang w:val="zh-CN"/>
        </w:rPr>
        <w:t xml:space="preserve">                                                   日期：  年  月   日</w:t>
      </w:r>
    </w:p>
    <w:p w14:paraId="392F310D">
      <w:pPr>
        <w:autoSpaceDE w:val="0"/>
        <w:autoSpaceDN w:val="0"/>
        <w:spacing w:line="360" w:lineRule="auto"/>
        <w:ind w:firstLine="6144" w:firstLineChars="2550"/>
        <w:rPr>
          <w:rFonts w:hint="eastAsia" w:ascii="宋体" w:hAnsi="宋体" w:eastAsia="宋体" w:cs="宋体"/>
          <w:b/>
          <w:bCs/>
          <w:color w:val="auto"/>
          <w:sz w:val="24"/>
          <w:highlight w:val="none"/>
        </w:rPr>
      </w:pPr>
    </w:p>
    <w:p w14:paraId="572BF9F4">
      <w:pPr>
        <w:pStyle w:val="31"/>
        <w:jc w:val="center"/>
        <w:rPr>
          <w:rFonts w:hint="eastAsia" w:ascii="宋体" w:hAnsi="宋体" w:eastAsia="宋体" w:cs="宋体"/>
          <w:b/>
          <w:bCs w:val="0"/>
          <w:caps w:val="0"/>
          <w:smallCaps w:val="0"/>
          <w:color w:val="auto"/>
          <w:spacing w:val="0"/>
          <w:kern w:val="2"/>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67DC10F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服务需求偏离表</w:t>
      </w:r>
    </w:p>
    <w:p w14:paraId="697975B9">
      <w:pPr>
        <w:spacing w:line="360" w:lineRule="auto"/>
        <w:contextualSpacing/>
        <w:rPr>
          <w:rFonts w:hint="eastAsia" w:ascii="宋体" w:hAnsi="宋体" w:eastAsia="宋体" w:cs="宋体"/>
          <w:color w:val="auto"/>
          <w:kern w:val="0"/>
          <w:sz w:val="24"/>
          <w:highlight w:val="none"/>
        </w:rPr>
      </w:pPr>
    </w:p>
    <w:tbl>
      <w:tblPr>
        <w:tblStyle w:val="32"/>
        <w:tblW w:w="931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7"/>
        <w:gridCol w:w="900"/>
        <w:gridCol w:w="2989"/>
        <w:gridCol w:w="2690"/>
        <w:gridCol w:w="1467"/>
      </w:tblGrid>
      <w:tr w14:paraId="33DCA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267" w:type="dxa"/>
            <w:tcBorders>
              <w:top w:val="single" w:color="auto" w:sz="4" w:space="0"/>
            </w:tcBorders>
            <w:vAlign w:val="center"/>
          </w:tcPr>
          <w:p w14:paraId="5D6CF1A2">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59" w:name="_Toc373333689"/>
            <w:bookmarkStart w:id="60" w:name="_Toc173066401"/>
            <w:bookmarkStart w:id="61" w:name="_Toc295404981"/>
            <w:bookmarkStart w:id="62" w:name="_Toc297193185"/>
            <w:bookmarkStart w:id="63" w:name="_Toc383699906"/>
            <w:bookmarkStart w:id="64" w:name="_Toc301781611"/>
            <w:bookmarkStart w:id="65" w:name="_Toc173211900"/>
            <w:bookmarkStart w:id="66" w:name="_Toc254970588"/>
            <w:bookmarkStart w:id="67" w:name="_Toc254970729"/>
            <w:r>
              <w:rPr>
                <w:rFonts w:hint="eastAsia" w:ascii="宋体" w:hAnsi="宋体" w:eastAsia="宋体" w:cs="宋体"/>
                <w:color w:val="auto"/>
                <w:kern w:val="2"/>
                <w:sz w:val="24"/>
                <w:szCs w:val="24"/>
                <w:highlight w:val="none"/>
              </w:rPr>
              <w:t>序号</w:t>
            </w:r>
            <w:bookmarkEnd w:id="59"/>
            <w:bookmarkEnd w:id="60"/>
            <w:bookmarkEnd w:id="61"/>
            <w:bookmarkEnd w:id="62"/>
            <w:bookmarkEnd w:id="63"/>
            <w:bookmarkEnd w:id="64"/>
            <w:bookmarkEnd w:id="65"/>
            <w:bookmarkEnd w:id="66"/>
            <w:bookmarkEnd w:id="67"/>
          </w:p>
        </w:tc>
        <w:tc>
          <w:tcPr>
            <w:tcW w:w="900" w:type="dxa"/>
            <w:tcBorders>
              <w:top w:val="single" w:color="auto" w:sz="4" w:space="0"/>
              <w:right w:val="single" w:color="auto" w:sz="4" w:space="0"/>
            </w:tcBorders>
            <w:vAlign w:val="center"/>
          </w:tcPr>
          <w:p w14:paraId="60045F49">
            <w:pPr>
              <w:pStyle w:val="14"/>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w:t>
            </w:r>
          </w:p>
        </w:tc>
        <w:tc>
          <w:tcPr>
            <w:tcW w:w="2989" w:type="dxa"/>
            <w:tcBorders>
              <w:top w:val="single" w:color="auto" w:sz="4" w:space="0"/>
              <w:left w:val="single" w:color="auto" w:sz="4" w:space="0"/>
            </w:tcBorders>
            <w:vAlign w:val="center"/>
          </w:tcPr>
          <w:p w14:paraId="0BF499FC">
            <w:pPr>
              <w:pStyle w:val="14"/>
              <w:spacing w:line="360" w:lineRule="auto"/>
              <w:ind w:firstLine="0" w:firstLineChars="0"/>
              <w:contextualSpacing/>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磋商文件</w:t>
            </w:r>
            <w:r>
              <w:rPr>
                <w:rFonts w:hint="eastAsia" w:ascii="宋体" w:hAnsi="宋体" w:eastAsia="宋体" w:cs="宋体"/>
                <w:color w:val="auto"/>
                <w:kern w:val="2"/>
                <w:sz w:val="24"/>
                <w:szCs w:val="24"/>
                <w:highlight w:val="none"/>
                <w:lang w:val="en-US" w:eastAsia="zh-CN"/>
              </w:rPr>
              <w:t>服务要求</w:t>
            </w:r>
          </w:p>
        </w:tc>
        <w:tc>
          <w:tcPr>
            <w:tcW w:w="2690" w:type="dxa"/>
            <w:tcBorders>
              <w:top w:val="single" w:color="auto" w:sz="4" w:space="0"/>
            </w:tcBorders>
            <w:vAlign w:val="center"/>
          </w:tcPr>
          <w:p w14:paraId="6B63EDC0">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68" w:name="_Toc173066403"/>
            <w:bookmarkStart w:id="69" w:name="_Toc254970731"/>
            <w:bookmarkStart w:id="70" w:name="_Toc297193187"/>
            <w:bookmarkStart w:id="71" w:name="_Toc254970590"/>
            <w:bookmarkStart w:id="72" w:name="_Toc373333691"/>
            <w:bookmarkStart w:id="73" w:name="_Toc173211902"/>
            <w:bookmarkStart w:id="74" w:name="_Toc383699908"/>
            <w:bookmarkStart w:id="75" w:name="_Toc295404983"/>
            <w:bookmarkStart w:id="76" w:name="_Toc301781613"/>
            <w:r>
              <w:rPr>
                <w:rFonts w:hint="eastAsia" w:ascii="宋体" w:hAnsi="宋体" w:eastAsia="宋体" w:cs="宋体"/>
                <w:color w:val="auto"/>
                <w:kern w:val="2"/>
                <w:sz w:val="24"/>
                <w:szCs w:val="24"/>
                <w:highlight w:val="none"/>
              </w:rPr>
              <w:t>竞标响应</w:t>
            </w:r>
            <w:bookmarkEnd w:id="68"/>
            <w:bookmarkEnd w:id="69"/>
            <w:bookmarkEnd w:id="70"/>
            <w:bookmarkEnd w:id="71"/>
            <w:bookmarkEnd w:id="72"/>
            <w:bookmarkEnd w:id="73"/>
            <w:bookmarkEnd w:id="74"/>
            <w:bookmarkEnd w:id="75"/>
            <w:bookmarkEnd w:id="76"/>
          </w:p>
        </w:tc>
        <w:tc>
          <w:tcPr>
            <w:tcW w:w="1467" w:type="dxa"/>
            <w:tcBorders>
              <w:top w:val="single" w:color="auto" w:sz="4" w:space="0"/>
            </w:tcBorders>
            <w:vAlign w:val="center"/>
          </w:tcPr>
          <w:p w14:paraId="7A94799C">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77" w:name="_Toc383699909"/>
            <w:bookmarkStart w:id="78" w:name="_Toc297193188"/>
            <w:bookmarkStart w:id="79" w:name="_Toc254970732"/>
            <w:bookmarkStart w:id="80" w:name="_Toc295404984"/>
            <w:bookmarkStart w:id="81" w:name="_Toc173211903"/>
            <w:bookmarkStart w:id="82" w:name="_Toc373333692"/>
            <w:bookmarkStart w:id="83" w:name="_Toc173066404"/>
            <w:bookmarkStart w:id="84" w:name="_Toc254970591"/>
            <w:bookmarkStart w:id="85" w:name="_Toc301781614"/>
            <w:r>
              <w:rPr>
                <w:rFonts w:hint="eastAsia" w:ascii="宋体" w:hAnsi="宋体" w:eastAsia="宋体" w:cs="宋体"/>
                <w:color w:val="auto"/>
                <w:kern w:val="2"/>
                <w:sz w:val="24"/>
                <w:szCs w:val="24"/>
                <w:highlight w:val="none"/>
              </w:rPr>
              <w:t>偏离</w:t>
            </w:r>
            <w:bookmarkEnd w:id="77"/>
            <w:bookmarkEnd w:id="78"/>
            <w:bookmarkEnd w:id="79"/>
            <w:bookmarkEnd w:id="80"/>
            <w:bookmarkEnd w:id="81"/>
            <w:bookmarkEnd w:id="82"/>
            <w:bookmarkEnd w:id="83"/>
            <w:bookmarkEnd w:id="84"/>
            <w:bookmarkEnd w:id="85"/>
            <w:bookmarkStart w:id="86" w:name="_Toc301781615"/>
            <w:bookmarkStart w:id="87" w:name="_Toc254970733"/>
            <w:bookmarkStart w:id="88" w:name="_Toc173211904"/>
            <w:bookmarkStart w:id="89" w:name="_Toc173066405"/>
            <w:bookmarkStart w:id="90" w:name="_Toc295404985"/>
            <w:bookmarkStart w:id="91" w:name="_Toc254970592"/>
            <w:bookmarkStart w:id="92" w:name="_Toc297193189"/>
            <w:bookmarkStart w:id="93" w:name="_Toc383699910"/>
            <w:bookmarkStart w:id="94" w:name="_Toc373333693"/>
            <w:r>
              <w:rPr>
                <w:rFonts w:hint="eastAsia" w:ascii="宋体" w:hAnsi="宋体" w:eastAsia="宋体" w:cs="宋体"/>
                <w:color w:val="auto"/>
                <w:kern w:val="2"/>
                <w:sz w:val="24"/>
                <w:szCs w:val="24"/>
                <w:highlight w:val="none"/>
              </w:rPr>
              <w:t>说明</w:t>
            </w:r>
            <w:bookmarkEnd w:id="86"/>
            <w:bookmarkEnd w:id="87"/>
            <w:bookmarkEnd w:id="88"/>
            <w:bookmarkEnd w:id="89"/>
            <w:bookmarkEnd w:id="90"/>
            <w:bookmarkEnd w:id="91"/>
            <w:bookmarkEnd w:id="92"/>
            <w:bookmarkEnd w:id="93"/>
            <w:bookmarkEnd w:id="94"/>
          </w:p>
        </w:tc>
      </w:tr>
      <w:tr w14:paraId="128C87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267" w:type="dxa"/>
            <w:vAlign w:val="center"/>
          </w:tcPr>
          <w:p w14:paraId="58DB5554">
            <w:pPr>
              <w:pStyle w:val="14"/>
              <w:spacing w:line="360" w:lineRule="auto"/>
              <w:ind w:firstLine="0" w:firstLineChars="0"/>
              <w:contextualSpacing/>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（一）</w:t>
            </w:r>
          </w:p>
        </w:tc>
        <w:tc>
          <w:tcPr>
            <w:tcW w:w="900" w:type="dxa"/>
            <w:tcBorders>
              <w:right w:val="single" w:color="auto" w:sz="4" w:space="0"/>
            </w:tcBorders>
            <w:vAlign w:val="center"/>
          </w:tcPr>
          <w:p w14:paraId="2D7227DF">
            <w:pPr>
              <w:pStyle w:val="14"/>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关爱访视服务</w:t>
            </w:r>
          </w:p>
        </w:tc>
        <w:tc>
          <w:tcPr>
            <w:tcW w:w="2989" w:type="dxa"/>
            <w:tcBorders>
              <w:left w:val="single" w:color="auto" w:sz="4" w:space="0"/>
            </w:tcBorders>
            <w:vAlign w:val="center"/>
          </w:tcPr>
          <w:p w14:paraId="61AC9CF4">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4E06597C">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19AC9F62">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1350BB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267" w:type="dxa"/>
            <w:vAlign w:val="center"/>
          </w:tcPr>
          <w:p w14:paraId="1B497545">
            <w:pPr>
              <w:pStyle w:val="14"/>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（二）</w:t>
            </w:r>
          </w:p>
        </w:tc>
        <w:tc>
          <w:tcPr>
            <w:tcW w:w="900" w:type="dxa"/>
            <w:tcBorders>
              <w:right w:val="single" w:color="auto" w:sz="4" w:space="0"/>
            </w:tcBorders>
            <w:vAlign w:val="center"/>
          </w:tcPr>
          <w:p w14:paraId="19CD1661">
            <w:pPr>
              <w:pStyle w:val="14"/>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关爱宣传服务</w:t>
            </w:r>
          </w:p>
        </w:tc>
        <w:tc>
          <w:tcPr>
            <w:tcW w:w="2989" w:type="dxa"/>
            <w:tcBorders>
              <w:left w:val="single" w:color="auto" w:sz="4" w:space="0"/>
            </w:tcBorders>
            <w:vAlign w:val="center"/>
          </w:tcPr>
          <w:p w14:paraId="1259C9FF">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74CAB4CD">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038F771D">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188067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267" w:type="dxa"/>
            <w:vAlign w:val="center"/>
          </w:tcPr>
          <w:p w14:paraId="0F1D3E55">
            <w:pPr>
              <w:pStyle w:val="14"/>
              <w:spacing w:line="360" w:lineRule="auto"/>
              <w:ind w:firstLine="0" w:firstLineChars="0"/>
              <w:contextualSpacing/>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（三）</w:t>
            </w:r>
          </w:p>
        </w:tc>
        <w:tc>
          <w:tcPr>
            <w:tcW w:w="900" w:type="dxa"/>
            <w:tcBorders>
              <w:right w:val="single" w:color="auto" w:sz="4" w:space="0"/>
            </w:tcBorders>
            <w:vAlign w:val="center"/>
          </w:tcPr>
          <w:p w14:paraId="1E050C02">
            <w:pPr>
              <w:pStyle w:val="14"/>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创新特色服务</w:t>
            </w:r>
          </w:p>
        </w:tc>
        <w:tc>
          <w:tcPr>
            <w:tcW w:w="2989" w:type="dxa"/>
            <w:tcBorders>
              <w:left w:val="single" w:color="auto" w:sz="4" w:space="0"/>
            </w:tcBorders>
            <w:vAlign w:val="center"/>
          </w:tcPr>
          <w:p w14:paraId="2DBC8A53">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4F93AFC2">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4C012C12">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46CD34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267" w:type="dxa"/>
            <w:vAlign w:val="center"/>
          </w:tcPr>
          <w:p w14:paraId="698D06B7">
            <w:pPr>
              <w:pStyle w:val="14"/>
              <w:spacing w:line="360" w:lineRule="auto"/>
              <w:ind w:firstLine="0" w:firstLineChars="0"/>
              <w:contextualSpacing/>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（四）</w:t>
            </w:r>
          </w:p>
        </w:tc>
        <w:tc>
          <w:tcPr>
            <w:tcW w:w="900" w:type="dxa"/>
            <w:tcBorders>
              <w:right w:val="single" w:color="auto" w:sz="4" w:space="0"/>
            </w:tcBorders>
            <w:vAlign w:val="center"/>
          </w:tcPr>
          <w:p w14:paraId="56319571">
            <w:pPr>
              <w:pStyle w:val="14"/>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其他服务</w:t>
            </w:r>
          </w:p>
        </w:tc>
        <w:tc>
          <w:tcPr>
            <w:tcW w:w="2989" w:type="dxa"/>
            <w:tcBorders>
              <w:left w:val="single" w:color="auto" w:sz="4" w:space="0"/>
            </w:tcBorders>
            <w:vAlign w:val="center"/>
          </w:tcPr>
          <w:p w14:paraId="71CD3161">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651522C8">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11FEF08C">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242191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267" w:type="dxa"/>
            <w:vAlign w:val="center"/>
          </w:tcPr>
          <w:p w14:paraId="13ED7B21">
            <w:pPr>
              <w:pStyle w:val="14"/>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w:t>
            </w:r>
          </w:p>
        </w:tc>
        <w:tc>
          <w:tcPr>
            <w:tcW w:w="900" w:type="dxa"/>
            <w:tcBorders>
              <w:right w:val="single" w:color="auto" w:sz="4" w:space="0"/>
            </w:tcBorders>
            <w:vAlign w:val="center"/>
          </w:tcPr>
          <w:p w14:paraId="02F454B4">
            <w:pPr>
              <w:pStyle w:val="14"/>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站点建设要求</w:t>
            </w:r>
          </w:p>
        </w:tc>
        <w:tc>
          <w:tcPr>
            <w:tcW w:w="2989" w:type="dxa"/>
            <w:tcBorders>
              <w:left w:val="single" w:color="auto" w:sz="4" w:space="0"/>
            </w:tcBorders>
            <w:vAlign w:val="center"/>
          </w:tcPr>
          <w:p w14:paraId="0F1C58CE">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690" w:type="dxa"/>
            <w:vAlign w:val="center"/>
          </w:tcPr>
          <w:p w14:paraId="60A725C7">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467" w:type="dxa"/>
            <w:vAlign w:val="center"/>
          </w:tcPr>
          <w:p w14:paraId="35ABA83D">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bl>
    <w:p w14:paraId="210962A5">
      <w:pPr>
        <w:spacing w:line="360" w:lineRule="auto"/>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2A318847">
      <w:pPr>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1.说明：应对照磋商文件“第二章”中</w:t>
      </w:r>
      <w:r>
        <w:rPr>
          <w:rFonts w:hint="eastAsia" w:ascii="宋体" w:hAnsi="宋体" w:cs="宋体"/>
          <w:color w:val="auto"/>
          <w:kern w:val="0"/>
          <w:szCs w:val="21"/>
          <w:highlight w:val="none"/>
          <w:lang w:val="en-US" w:eastAsia="zh-CN"/>
        </w:rPr>
        <w:t>的</w:t>
      </w:r>
      <w:r>
        <w:rPr>
          <w:rFonts w:hint="eastAsia" w:ascii="宋体" w:hAnsi="宋体" w:eastAsia="宋体" w:cs="宋体"/>
          <w:color w:val="auto"/>
          <w:kern w:val="0"/>
          <w:szCs w:val="21"/>
          <w:highlight w:val="none"/>
          <w:lang w:eastAsia="zh-CN"/>
        </w:rPr>
        <w:t>服务参数</w:t>
      </w:r>
      <w:r>
        <w:rPr>
          <w:rFonts w:hint="eastAsia" w:ascii="宋体" w:hAnsi="宋体" w:eastAsia="宋体" w:cs="宋体"/>
          <w:color w:val="auto"/>
          <w:kern w:val="0"/>
          <w:szCs w:val="21"/>
          <w:highlight w:val="none"/>
        </w:rPr>
        <w:t>条款逐条作出明确响应，并作出偏离说明。</w:t>
      </w:r>
    </w:p>
    <w:p w14:paraId="44503BA3">
      <w:pPr>
        <w:spacing w:line="400" w:lineRule="exact"/>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3F80A21">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24D9B65C">
      <w:pPr>
        <w:spacing w:line="400" w:lineRule="exact"/>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4.如技术偏离表中的竞标响应与佐证材料不一致的，以佐证材料为准。</w:t>
      </w:r>
    </w:p>
    <w:p w14:paraId="5DED5854">
      <w:pPr>
        <w:snapToGrid w:val="0"/>
        <w:spacing w:line="360" w:lineRule="auto"/>
        <w:ind w:firstLine="602" w:firstLineChars="200"/>
        <w:rPr>
          <w:rFonts w:hint="eastAsia" w:ascii="宋体" w:hAnsi="宋体" w:eastAsia="宋体" w:cs="宋体"/>
          <w:b/>
          <w:color w:val="auto"/>
          <w:sz w:val="30"/>
          <w:szCs w:val="30"/>
          <w:highlight w:val="none"/>
        </w:rPr>
      </w:pPr>
    </w:p>
    <w:p w14:paraId="39BA19D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C01A09">
      <w:pPr>
        <w:autoSpaceDE w:val="0"/>
        <w:autoSpaceDN w:val="0"/>
        <w:spacing w:line="360" w:lineRule="auto"/>
        <w:ind w:firstLine="6480" w:firstLineChars="27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A11A6B4">
      <w:pPr>
        <w:autoSpaceDE w:val="0"/>
        <w:autoSpaceDN w:val="0"/>
        <w:spacing w:line="360" w:lineRule="auto"/>
        <w:ind w:firstLine="6480" w:firstLineChars="2700"/>
        <w:rPr>
          <w:rFonts w:hint="eastAsia" w:ascii="宋体" w:hAnsi="宋体" w:eastAsia="宋体" w:cs="宋体"/>
          <w:color w:val="auto"/>
          <w:sz w:val="24"/>
          <w:highlight w:val="none"/>
        </w:rPr>
      </w:pPr>
    </w:p>
    <w:p w14:paraId="55B74BB2">
      <w:pPr>
        <w:autoSpaceDE w:val="0"/>
        <w:autoSpaceDN w:val="0"/>
        <w:spacing w:line="360" w:lineRule="auto"/>
        <w:ind w:firstLine="6480" w:firstLineChars="2700"/>
        <w:rPr>
          <w:rFonts w:hint="eastAsia" w:ascii="宋体" w:hAnsi="宋体" w:eastAsia="宋体" w:cs="宋体"/>
          <w:color w:val="auto"/>
          <w:sz w:val="24"/>
          <w:highlight w:val="none"/>
        </w:rPr>
      </w:pPr>
    </w:p>
    <w:p w14:paraId="3FF4E5FE">
      <w:pPr>
        <w:autoSpaceDE w:val="0"/>
        <w:autoSpaceDN w:val="0"/>
        <w:spacing w:line="360" w:lineRule="auto"/>
        <w:ind w:firstLine="6480" w:firstLineChars="2700"/>
        <w:rPr>
          <w:rFonts w:hint="eastAsia" w:ascii="宋体" w:hAnsi="宋体" w:eastAsia="宋体" w:cs="宋体"/>
          <w:color w:val="auto"/>
          <w:sz w:val="24"/>
          <w:highlight w:val="none"/>
          <w:lang w:val="zh-CN"/>
        </w:rPr>
      </w:pPr>
    </w:p>
    <w:p w14:paraId="3D7BC239">
      <w:pPr>
        <w:pStyle w:val="31"/>
        <w:jc w:val="both"/>
        <w:rPr>
          <w:rFonts w:hint="eastAsia" w:ascii="宋体" w:hAnsi="宋体" w:eastAsia="宋体" w:cs="宋体"/>
          <w:b/>
          <w:bCs w:val="0"/>
          <w:caps w:val="0"/>
          <w:smallCaps w:val="0"/>
          <w:color w:val="auto"/>
          <w:spacing w:val="0"/>
          <w:kern w:val="2"/>
          <w:sz w:val="30"/>
          <w:szCs w:val="30"/>
          <w:highlight w:val="none"/>
          <w:lang w:val="en-US" w:eastAsia="zh-CN"/>
        </w:rPr>
      </w:pPr>
      <w:r>
        <w:rPr>
          <w:rFonts w:hint="eastAsia" w:ascii="宋体" w:hAnsi="宋体" w:eastAsia="宋体" w:cs="宋体"/>
          <w:b/>
          <w:bCs/>
          <w:color w:val="auto"/>
          <w:sz w:val="24"/>
          <w:highlight w:val="none"/>
        </w:rPr>
        <w:br w:type="page"/>
      </w:r>
    </w:p>
    <w:p w14:paraId="15631166">
      <w:pPr>
        <w:rPr>
          <w:rFonts w:hint="eastAsia" w:ascii="宋体" w:hAnsi="宋体" w:eastAsia="宋体" w:cs="宋体"/>
          <w:b/>
          <w:bCs w:val="0"/>
          <w:caps w:val="0"/>
          <w:smallCaps w:val="0"/>
          <w:color w:val="auto"/>
          <w:spacing w:val="0"/>
          <w:kern w:val="2"/>
          <w:sz w:val="30"/>
          <w:szCs w:val="30"/>
          <w:highlight w:val="none"/>
          <w:lang w:val="en-US" w:eastAsia="zh-CN"/>
        </w:rPr>
      </w:pPr>
    </w:p>
    <w:p w14:paraId="573C2459">
      <w:pPr>
        <w:keepNext w:val="0"/>
        <w:keepLines w:val="0"/>
        <w:pageBreakBefore w:val="0"/>
        <w:widowControl/>
        <w:kinsoku/>
        <w:wordWrap/>
        <w:overflowPunct/>
        <w:topLinePunct w:val="0"/>
        <w:autoSpaceDE/>
        <w:autoSpaceDN/>
        <w:bidi w:val="0"/>
        <w:adjustRightInd/>
        <w:snapToGrid/>
        <w:spacing w:before="0" w:beforeLines="0" w:after="0" w:line="240" w:lineRule="auto"/>
        <w:ind w:left="0" w:firstLine="0" w:firstLineChars="0"/>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rPr>
        <w:t>响应函</w:t>
      </w:r>
    </w:p>
    <w:p w14:paraId="59047C02">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（采购代理机构名称）</w:t>
      </w:r>
    </w:p>
    <w:p w14:paraId="5EB3C986">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我方已仔细阅读了贵方组织的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eastAsia="zh-CN"/>
        </w:rPr>
        <w:t>项目编号：</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）的竞争性磋商采购文件的全部内容，现正式递交下述文件参加贵方组织的本次政府采购活动： </w:t>
      </w:r>
    </w:p>
    <w:p w14:paraId="3C391749">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文件电子版</w:t>
      </w:r>
      <w:r>
        <w:rPr>
          <w:rFonts w:hint="eastAsia" w:ascii="宋体" w:hAnsi="宋体" w:eastAsia="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lang w:val="en-US" w:eastAsia="zh-CN"/>
        </w:rPr>
        <w:t>壹</w:t>
      </w:r>
      <w:r>
        <w:rPr>
          <w:rFonts w:hint="eastAsia" w:ascii="宋体" w:hAnsi="宋体" w:eastAsia="宋体" w:cs="宋体"/>
          <w:color w:val="auto"/>
          <w:kern w:val="0"/>
          <w:sz w:val="24"/>
          <w:szCs w:val="24"/>
          <w:highlight w:val="none"/>
          <w:u w:val="none"/>
        </w:rPr>
        <w:t xml:space="preserve"> </w:t>
      </w:r>
      <w:r>
        <w:rPr>
          <w:rFonts w:hint="eastAsia" w:ascii="宋体" w:hAnsi="宋体" w:cs="宋体"/>
          <w:color w:val="auto"/>
          <w:kern w:val="0"/>
          <w:sz w:val="24"/>
          <w:szCs w:val="24"/>
          <w:highlight w:val="none"/>
          <w:lang w:val="en-US" w:eastAsia="zh-CN"/>
        </w:rPr>
        <w:t>套</w:t>
      </w:r>
      <w:r>
        <w:rPr>
          <w:rFonts w:hint="eastAsia" w:ascii="宋体" w:hAnsi="宋体" w:eastAsia="宋体" w:cs="宋体"/>
          <w:color w:val="auto"/>
          <w:kern w:val="0"/>
          <w:sz w:val="24"/>
          <w:szCs w:val="24"/>
          <w:highlight w:val="none"/>
        </w:rPr>
        <w:t>（包含按“第三章 供应商须知”提交的全部文件）；</w:t>
      </w:r>
    </w:p>
    <w:p w14:paraId="1F07AEE2">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据此函，签字人兹宣布：</w:t>
      </w:r>
    </w:p>
    <w:p w14:paraId="7F7620C6">
      <w:pPr>
        <w:pStyle w:val="17"/>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我方愿意以报价文件电子版</w:t>
      </w:r>
      <w:r>
        <w:rPr>
          <w:rFonts w:hint="eastAsia" w:ascii="宋体" w:hAnsi="宋体" w:eastAsia="宋体" w:cs="宋体"/>
          <w:color w:val="auto"/>
          <w:sz w:val="24"/>
          <w:szCs w:val="24"/>
          <w:highlight w:val="none"/>
          <w:lang w:val="en-US" w:eastAsia="zh-CN"/>
        </w:rPr>
        <w:t>的响应报价表中</w:t>
      </w:r>
      <w:r>
        <w:rPr>
          <w:rFonts w:hint="eastAsia" w:ascii="宋体" w:hAnsi="宋体" w:eastAsia="宋体" w:cs="宋体"/>
          <w:color w:val="auto"/>
          <w:sz w:val="24"/>
          <w:szCs w:val="24"/>
          <w:highlight w:val="none"/>
        </w:rPr>
        <w:t>的报价，</w:t>
      </w:r>
      <w:r>
        <w:rPr>
          <w:rFonts w:hint="eastAsia" w:ascii="宋体" w:hAnsi="宋体" w:eastAsia="宋体" w:cs="宋体"/>
          <w:color w:val="auto"/>
          <w:sz w:val="24"/>
          <w:szCs w:val="24"/>
          <w:highlight w:val="none"/>
          <w:lang w:val="en-US" w:eastAsia="zh-CN"/>
        </w:rPr>
        <w:t>按照我方承诺的内容</w:t>
      </w:r>
      <w:r>
        <w:rPr>
          <w:rFonts w:hint="eastAsia" w:ascii="宋体" w:hAnsi="宋体" w:eastAsia="宋体" w:cs="宋体"/>
          <w:color w:val="auto"/>
          <w:sz w:val="24"/>
          <w:szCs w:val="24"/>
          <w:highlight w:val="none"/>
        </w:rPr>
        <w:t>提供本项目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需求”中的相应的采购内容。</w:t>
      </w:r>
    </w:p>
    <w:p w14:paraId="3B812CDD">
      <w:pPr>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325B5DFF">
      <w:pPr>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3、我方在此声明，所递交的响应文件及有关资料内容完整、真实和准确。</w:t>
      </w:r>
    </w:p>
    <w:p w14:paraId="6F59B403">
      <w:pPr>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4、如本项目采购内容涉及须符合国家强制规定的，我方承诺我方本次竞标均符合国家有关强制规定。</w:t>
      </w:r>
    </w:p>
    <w:p w14:paraId="6E9DEF2A">
      <w:pPr>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5、我方承诺未被列入失信被执行人、</w:t>
      </w:r>
      <w:r>
        <w:rPr>
          <w:rFonts w:hint="eastAsia" w:ascii="宋体" w:hAnsi="宋体" w:eastAsia="宋体" w:cs="宋体"/>
          <w:color w:val="auto"/>
          <w:sz w:val="24"/>
          <w:szCs w:val="24"/>
          <w:highlight w:val="none"/>
        </w:rPr>
        <w:t>重大税收违法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kern w:val="0"/>
          <w:sz w:val="24"/>
          <w:szCs w:val="24"/>
          <w:highlight w:val="none"/>
        </w:rPr>
        <w:t>、政府采购严重违法失信行为记录名单，并已经具备《中华人民共和国政府采购法》中规定的参加政府采购活动的供应商应当具备的条件：</w:t>
      </w:r>
    </w:p>
    <w:p w14:paraId="6E105B95">
      <w:pPr>
        <w:numPr>
          <w:ilvl w:val="0"/>
          <w:numId w:val="2"/>
        </w:numPr>
        <w:tabs>
          <w:tab w:val="left" w:pos="945"/>
        </w:tabs>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具有独立承担民事责任的能力；</w:t>
      </w:r>
    </w:p>
    <w:p w14:paraId="4A340B85">
      <w:pPr>
        <w:numPr>
          <w:ilvl w:val="0"/>
          <w:numId w:val="2"/>
        </w:numPr>
        <w:tabs>
          <w:tab w:val="left" w:pos="945"/>
        </w:tabs>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具有良好的商业信誉和健全的财务会计制度；</w:t>
      </w:r>
    </w:p>
    <w:p w14:paraId="10020755">
      <w:pPr>
        <w:numPr>
          <w:ilvl w:val="0"/>
          <w:numId w:val="2"/>
        </w:numPr>
        <w:tabs>
          <w:tab w:val="left" w:pos="945"/>
        </w:tabs>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具有履行合同所必需的设备和专业技术能力；</w:t>
      </w:r>
    </w:p>
    <w:p w14:paraId="6322AF23">
      <w:pPr>
        <w:numPr>
          <w:ilvl w:val="0"/>
          <w:numId w:val="2"/>
        </w:numPr>
        <w:tabs>
          <w:tab w:val="left" w:pos="945"/>
        </w:tabs>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有依法缴纳税收和社会保障资金的良好记录；</w:t>
      </w:r>
    </w:p>
    <w:p w14:paraId="6E837543">
      <w:pPr>
        <w:numPr>
          <w:ilvl w:val="0"/>
          <w:numId w:val="2"/>
        </w:numPr>
        <w:tabs>
          <w:tab w:val="left" w:pos="945"/>
        </w:tabs>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参加政府采购活动前三年内，在经营活动中没有重大违法记录；</w:t>
      </w:r>
    </w:p>
    <w:p w14:paraId="676CAC93">
      <w:pPr>
        <w:numPr>
          <w:ilvl w:val="0"/>
          <w:numId w:val="2"/>
        </w:numPr>
        <w:tabs>
          <w:tab w:val="left" w:pos="945"/>
        </w:tabs>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法律、行政法规规定的其他条件。</w:t>
      </w:r>
    </w:p>
    <w:p w14:paraId="05EB8E89">
      <w:pPr>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4E74195">
      <w:pPr>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7、我方已详细审核竞争性磋商采购文件，我方知道必须放弃提出含糊不清或误解问题的权利。</w:t>
      </w:r>
    </w:p>
    <w:p w14:paraId="4D051DEF">
      <w:pPr>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8、我方承诺满足竞争性磋商采购文件第六章“合同文本”的条款，承担完成合同的责任和义务。</w:t>
      </w:r>
    </w:p>
    <w:p w14:paraId="01132385">
      <w:pPr>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9、我方同意应贵方要求提供与本竞标有关的任何数据或资料。若贵方需要，我方愿意提供我方作出的一切承诺的证明材料。</w:t>
      </w:r>
    </w:p>
    <w:p w14:paraId="48A49AD1">
      <w:pPr>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10、我方完全理解贵方不一定接受响应报价最低的竞标人为成交供应商的行为。</w:t>
      </w:r>
    </w:p>
    <w:p w14:paraId="084B7113">
      <w:pPr>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B628220">
      <w:pPr>
        <w:numPr>
          <w:ilvl w:val="0"/>
          <w:numId w:val="3"/>
        </w:numPr>
        <w:tabs>
          <w:tab w:val="left" w:pos="945"/>
        </w:tabs>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提供虚假材料谋取中标、成交的；</w:t>
      </w:r>
    </w:p>
    <w:p w14:paraId="53E53CCF">
      <w:pPr>
        <w:numPr>
          <w:ilvl w:val="0"/>
          <w:numId w:val="3"/>
        </w:numPr>
        <w:tabs>
          <w:tab w:val="left" w:pos="945"/>
        </w:tabs>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采取不正当手段诋毁、排挤其他供应商的；</w:t>
      </w:r>
    </w:p>
    <w:p w14:paraId="3F3DD52D">
      <w:pPr>
        <w:keepNext w:val="0"/>
        <w:keepLines w:val="0"/>
        <w:pageBreakBefore w:val="0"/>
        <w:widowControl w:val="0"/>
        <w:numPr>
          <w:ilvl w:val="0"/>
          <w:numId w:val="3"/>
        </w:numPr>
        <w:tabs>
          <w:tab w:val="left" w:pos="94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与采购人、其他供应商或者采购代理机构恶意串通的；</w:t>
      </w:r>
    </w:p>
    <w:p w14:paraId="163BCA44">
      <w:pPr>
        <w:keepNext w:val="0"/>
        <w:keepLines w:val="0"/>
        <w:pageBreakBefore w:val="0"/>
        <w:widowControl w:val="0"/>
        <w:numPr>
          <w:ilvl w:val="0"/>
          <w:numId w:val="3"/>
        </w:numPr>
        <w:tabs>
          <w:tab w:val="left" w:pos="94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向采购人、采购代理机构行贿或者提供其他不正当利益的；</w:t>
      </w:r>
    </w:p>
    <w:p w14:paraId="2B7B89E6">
      <w:pPr>
        <w:keepNext w:val="0"/>
        <w:keepLines w:val="0"/>
        <w:pageBreakBefore w:val="0"/>
        <w:widowControl w:val="0"/>
        <w:numPr>
          <w:ilvl w:val="0"/>
          <w:numId w:val="3"/>
        </w:numPr>
        <w:tabs>
          <w:tab w:val="left" w:pos="94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在采购过程中与采购人进行协商</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的；</w:t>
      </w:r>
    </w:p>
    <w:p w14:paraId="6F58CB33">
      <w:pPr>
        <w:keepNext w:val="0"/>
        <w:keepLines w:val="0"/>
        <w:pageBreakBefore w:val="0"/>
        <w:widowControl w:val="0"/>
        <w:numPr>
          <w:ilvl w:val="0"/>
          <w:numId w:val="3"/>
        </w:numPr>
        <w:tabs>
          <w:tab w:val="left" w:pos="94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拒绝有关部门监督检查或提供虚假情况的。</w:t>
      </w:r>
    </w:p>
    <w:p w14:paraId="04D0894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12.与本磋商有关的一切正式往来信函请寄：</w:t>
      </w:r>
    </w:p>
    <w:p w14:paraId="4D9CFEA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A24FFCC">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u w:val="single"/>
        </w:rPr>
        <w:t xml:space="preserve">                                      　　　　　　　　　</w:t>
      </w:r>
    </w:p>
    <w:p w14:paraId="7202427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r>
        <w:rPr>
          <w:rFonts w:hint="eastAsia" w:ascii="宋体" w:hAnsi="宋体" w:eastAsia="宋体" w:cs="宋体"/>
          <w:color w:val="auto"/>
          <w:kern w:val="0"/>
          <w:sz w:val="24"/>
          <w:szCs w:val="24"/>
          <w:highlight w:val="none"/>
          <w:u w:val="single"/>
        </w:rPr>
        <w:t>　　　　　　　　　　　　　　　　　　　　　　　　　　　　</w:t>
      </w:r>
    </w:p>
    <w:p w14:paraId="5408B63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邮政编码：</w:t>
      </w:r>
      <w:r>
        <w:rPr>
          <w:rFonts w:hint="eastAsia" w:ascii="宋体" w:hAnsi="宋体" w:eastAsia="宋体" w:cs="宋体"/>
          <w:color w:val="auto"/>
          <w:kern w:val="0"/>
          <w:sz w:val="24"/>
          <w:szCs w:val="24"/>
          <w:highlight w:val="none"/>
          <w:u w:val="single"/>
        </w:rPr>
        <w:t xml:space="preserve">                                                    </w:t>
      </w:r>
    </w:p>
    <w:p w14:paraId="554CC49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开户名称：</w:t>
      </w:r>
      <w:r>
        <w:rPr>
          <w:rFonts w:hint="eastAsia" w:ascii="宋体" w:hAnsi="宋体" w:eastAsia="宋体" w:cs="宋体"/>
          <w:color w:val="auto"/>
          <w:kern w:val="0"/>
          <w:sz w:val="24"/>
          <w:szCs w:val="24"/>
          <w:highlight w:val="none"/>
          <w:u w:val="single"/>
        </w:rPr>
        <w:t xml:space="preserve">                                                    </w:t>
      </w:r>
    </w:p>
    <w:p w14:paraId="59E39C2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开户银行：</w:t>
      </w:r>
      <w:r>
        <w:rPr>
          <w:rFonts w:hint="eastAsia" w:ascii="宋体" w:hAnsi="宋体" w:eastAsia="宋体" w:cs="宋体"/>
          <w:color w:val="auto"/>
          <w:kern w:val="0"/>
          <w:sz w:val="24"/>
          <w:szCs w:val="24"/>
          <w:highlight w:val="none"/>
          <w:u w:val="single"/>
        </w:rPr>
        <w:t xml:space="preserve">                                                    </w:t>
      </w:r>
    </w:p>
    <w:p w14:paraId="7A3A1DB5">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银行账号：</w:t>
      </w:r>
      <w:r>
        <w:rPr>
          <w:rFonts w:hint="eastAsia" w:ascii="宋体" w:hAnsi="宋体" w:eastAsia="宋体" w:cs="宋体"/>
          <w:color w:val="auto"/>
          <w:kern w:val="0"/>
          <w:sz w:val="24"/>
          <w:szCs w:val="24"/>
          <w:highlight w:val="none"/>
          <w:u w:val="single"/>
        </w:rPr>
        <w:t xml:space="preserve">                                                    </w:t>
      </w:r>
    </w:p>
    <w:p w14:paraId="180519CB">
      <w:pPr>
        <w:keepNext w:val="0"/>
        <w:keepLines w:val="0"/>
        <w:pageBreakBefore w:val="0"/>
        <w:widowControl w:val="0"/>
        <w:tabs>
          <w:tab w:val="left" w:pos="939"/>
        </w:tabs>
        <w:kinsoku/>
        <w:wordWrap/>
        <w:overflowPunct/>
        <w:topLinePunct w:val="0"/>
        <w:autoSpaceDE/>
        <w:autoSpaceDN/>
        <w:bidi w:val="0"/>
        <w:adjustRightInd/>
        <w:snapToGrid/>
        <w:spacing w:line="440" w:lineRule="exact"/>
        <w:ind w:left="141" w:leftChars="67" w:firstLine="360" w:firstLineChars="15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C716EA9">
      <w:pPr>
        <w:spacing w:line="360" w:lineRule="auto"/>
        <w:contextualSpacing/>
        <w:jc w:val="left"/>
        <w:rPr>
          <w:rFonts w:hint="eastAsia" w:ascii="宋体" w:hAnsi="宋体" w:eastAsia="宋体" w:cs="宋体"/>
          <w:color w:val="auto"/>
          <w:sz w:val="24"/>
          <w:szCs w:val="24"/>
          <w:highlight w:val="none"/>
        </w:rPr>
      </w:pPr>
    </w:p>
    <w:p w14:paraId="746AA3AF">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0D22B2FC">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773190DA">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p>
    <w:p w14:paraId="10E963B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28BA5D8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5D020369">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0" w:firstLine="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0"/>
          <w:szCs w:val="30"/>
          <w:highlight w:val="none"/>
        </w:rPr>
        <w:t>响应报价表</w:t>
      </w:r>
    </w:p>
    <w:p w14:paraId="1D11B8CF">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C4A3D19">
      <w:pPr>
        <w:snapToGrid w:val="0"/>
        <w:spacing w:before="50" w:after="50" w:line="360" w:lineRule="auto"/>
        <w:rPr>
          <w:rFonts w:hint="default" w:ascii="宋体" w:hAnsi="宋体" w:eastAsia="宋体" w:cs="宋体"/>
          <w:color w:val="auto"/>
          <w:sz w:val="24"/>
          <w:highlight w:val="none"/>
          <w:u w:val="single"/>
          <w:lang w:val="en-US"/>
        </w:rPr>
      </w:pPr>
      <w:r>
        <w:rPr>
          <w:rFonts w:hint="eastAsia" w:ascii="宋体" w:hAnsi="宋体" w:cs="宋体"/>
          <w:color w:val="auto"/>
          <w:sz w:val="24"/>
          <w:highlight w:val="none"/>
          <w:lang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p w14:paraId="52DD0719">
      <w:pPr>
        <w:snapToGrid w:val="0"/>
        <w:spacing w:before="50" w:after="50"/>
        <w:ind w:firstLine="420" w:firstLineChars="200"/>
        <w:jc w:val="left"/>
        <w:rPr>
          <w:rFonts w:hint="eastAsia" w:ascii="宋体" w:hAnsi="宋体" w:eastAsia="宋体" w:cs="宋体"/>
          <w:color w:val="auto"/>
          <w:kern w:val="0"/>
          <w:sz w:val="21"/>
          <w:szCs w:val="21"/>
          <w:highlight w:val="none"/>
          <w:lang w:val="zh-CN"/>
        </w:rPr>
      </w:pPr>
    </w:p>
    <w:tbl>
      <w:tblPr>
        <w:tblStyle w:val="32"/>
        <w:tblpPr w:leftFromText="180" w:rightFromText="180" w:vertAnchor="text" w:horzAnchor="page" w:tblpX="1404" w:tblpY="182"/>
        <w:tblOverlap w:val="never"/>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021"/>
        <w:gridCol w:w="3330"/>
        <w:gridCol w:w="2154"/>
      </w:tblGrid>
      <w:tr w14:paraId="0029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792" w:type="dxa"/>
            <w:tcBorders>
              <w:top w:val="single" w:color="auto" w:sz="4" w:space="0"/>
              <w:left w:val="single" w:color="auto" w:sz="4" w:space="0"/>
              <w:bottom w:val="single" w:color="auto" w:sz="4" w:space="0"/>
              <w:right w:val="single" w:color="auto" w:sz="4" w:space="0"/>
            </w:tcBorders>
            <w:vAlign w:val="center"/>
          </w:tcPr>
          <w:p w14:paraId="49701C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21" w:type="dxa"/>
            <w:tcBorders>
              <w:top w:val="single" w:color="auto" w:sz="4" w:space="0"/>
              <w:left w:val="single" w:color="auto" w:sz="4" w:space="0"/>
              <w:bottom w:val="single" w:color="auto" w:sz="4" w:space="0"/>
              <w:right w:val="single" w:color="auto" w:sz="4" w:space="0"/>
            </w:tcBorders>
            <w:vAlign w:val="center"/>
          </w:tcPr>
          <w:p w14:paraId="68533FBE">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标的名称</w:t>
            </w:r>
          </w:p>
        </w:tc>
        <w:tc>
          <w:tcPr>
            <w:tcW w:w="3330" w:type="dxa"/>
            <w:tcBorders>
              <w:top w:val="single" w:color="auto" w:sz="4" w:space="0"/>
              <w:left w:val="single" w:color="auto" w:sz="4" w:space="0"/>
              <w:bottom w:val="single" w:color="auto" w:sz="4" w:space="0"/>
              <w:right w:val="single" w:color="auto" w:sz="4" w:space="0"/>
            </w:tcBorders>
            <w:vAlign w:val="center"/>
          </w:tcPr>
          <w:p w14:paraId="693D54CA">
            <w:pPr>
              <w:spacing w:line="360" w:lineRule="auto"/>
              <w:jc w:val="center"/>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响应</w:t>
            </w:r>
            <w:r>
              <w:rPr>
                <w:rFonts w:hint="eastAsia" w:ascii="宋体" w:hAnsi="宋体" w:eastAsia="宋体" w:cs="宋体"/>
                <w:b/>
                <w:bCs w:val="0"/>
                <w:color w:val="auto"/>
                <w:sz w:val="24"/>
                <w:szCs w:val="24"/>
                <w:highlight w:val="none"/>
                <w:lang w:eastAsia="zh-CN"/>
              </w:rPr>
              <w:t>报价</w:t>
            </w:r>
          </w:p>
        </w:tc>
        <w:tc>
          <w:tcPr>
            <w:tcW w:w="2154" w:type="dxa"/>
            <w:tcBorders>
              <w:top w:val="single" w:color="auto" w:sz="4" w:space="0"/>
              <w:left w:val="single" w:color="auto" w:sz="4" w:space="0"/>
              <w:bottom w:val="single" w:color="auto" w:sz="4" w:space="0"/>
              <w:right w:val="single" w:color="auto" w:sz="4" w:space="0"/>
            </w:tcBorders>
            <w:vAlign w:val="center"/>
          </w:tcPr>
          <w:p w14:paraId="048A5D68">
            <w:pPr>
              <w:spacing w:line="360" w:lineRule="auto"/>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备注</w:t>
            </w:r>
          </w:p>
        </w:tc>
      </w:tr>
      <w:tr w14:paraId="3E1B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792" w:type="dxa"/>
            <w:tcBorders>
              <w:top w:val="single" w:color="auto" w:sz="4" w:space="0"/>
              <w:left w:val="single" w:color="auto" w:sz="4" w:space="0"/>
              <w:bottom w:val="single" w:color="auto" w:sz="4" w:space="0"/>
              <w:right w:val="single" w:color="auto" w:sz="4" w:space="0"/>
            </w:tcBorders>
            <w:vAlign w:val="center"/>
          </w:tcPr>
          <w:p w14:paraId="6E3527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21" w:type="dxa"/>
            <w:tcBorders>
              <w:top w:val="single" w:color="auto" w:sz="4" w:space="0"/>
              <w:left w:val="single" w:color="auto" w:sz="4" w:space="0"/>
              <w:bottom w:val="single" w:color="auto" w:sz="4" w:space="0"/>
              <w:right w:val="single" w:color="auto" w:sz="4" w:space="0"/>
            </w:tcBorders>
            <w:vAlign w:val="center"/>
          </w:tcPr>
          <w:p w14:paraId="2C2B8D3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柳城县乡镇新时代民政服务站项目</w:t>
            </w:r>
          </w:p>
        </w:tc>
        <w:tc>
          <w:tcPr>
            <w:tcW w:w="3330" w:type="dxa"/>
            <w:tcBorders>
              <w:top w:val="single" w:color="auto" w:sz="4" w:space="0"/>
              <w:left w:val="single" w:color="auto" w:sz="4" w:space="0"/>
              <w:bottom w:val="single" w:color="auto" w:sz="4" w:space="0"/>
              <w:right w:val="single" w:color="auto" w:sz="4" w:space="0"/>
            </w:tcBorders>
            <w:vAlign w:val="center"/>
          </w:tcPr>
          <w:p w14:paraId="7D93E80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val="en-US" w:eastAsia="zh-CN"/>
              </w:rPr>
              <w:t>元</w:t>
            </w:r>
          </w:p>
        </w:tc>
        <w:tc>
          <w:tcPr>
            <w:tcW w:w="2154" w:type="dxa"/>
            <w:tcBorders>
              <w:top w:val="single" w:color="auto" w:sz="4" w:space="0"/>
              <w:left w:val="single" w:color="auto" w:sz="4" w:space="0"/>
              <w:bottom w:val="single" w:color="auto" w:sz="4" w:space="0"/>
              <w:right w:val="single" w:color="auto" w:sz="4" w:space="0"/>
            </w:tcBorders>
            <w:vAlign w:val="center"/>
          </w:tcPr>
          <w:p w14:paraId="5127847A">
            <w:pPr>
              <w:spacing w:line="360" w:lineRule="auto"/>
              <w:jc w:val="center"/>
              <w:rPr>
                <w:rFonts w:hint="eastAsia" w:ascii="宋体" w:hAnsi="宋体" w:eastAsia="宋体" w:cs="宋体"/>
                <w:color w:val="auto"/>
                <w:sz w:val="24"/>
                <w:szCs w:val="24"/>
                <w:highlight w:val="none"/>
                <w:lang w:eastAsia="zh-CN"/>
              </w:rPr>
            </w:pPr>
          </w:p>
        </w:tc>
      </w:tr>
    </w:tbl>
    <w:p w14:paraId="4EA834AB">
      <w:pPr>
        <w:snapToGrid w:val="0"/>
        <w:spacing w:before="50" w:after="50"/>
        <w:ind w:firstLine="420" w:firstLineChars="200"/>
        <w:jc w:val="left"/>
        <w:rPr>
          <w:rFonts w:hint="eastAsia" w:ascii="宋体" w:hAnsi="宋体" w:eastAsia="宋体" w:cs="宋体"/>
          <w:color w:val="auto"/>
          <w:kern w:val="0"/>
          <w:sz w:val="21"/>
          <w:szCs w:val="21"/>
          <w:highlight w:val="none"/>
          <w:lang w:val="zh-CN"/>
        </w:rPr>
      </w:pPr>
    </w:p>
    <w:p w14:paraId="65D2D32C">
      <w:pPr>
        <w:snapToGrid w:val="0"/>
        <w:spacing w:before="50" w:after="50"/>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注：</w:t>
      </w:r>
    </w:p>
    <w:p w14:paraId="43706728">
      <w:pPr>
        <w:snapToGrid w:val="0"/>
        <w:spacing w:before="50" w:after="50"/>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1、供应商需按本表格式填写，不得自行更改</w:t>
      </w:r>
      <w:r>
        <w:rPr>
          <w:rFonts w:hint="eastAsia" w:ascii="宋体" w:hAnsi="宋体" w:eastAsia="宋体" w:cs="宋体"/>
          <w:b w:val="0"/>
          <w:bCs/>
          <w:color w:val="auto"/>
          <w:kern w:val="0"/>
          <w:sz w:val="21"/>
          <w:szCs w:val="21"/>
          <w:highlight w:val="none"/>
          <w:lang w:val="zh-CN"/>
        </w:rPr>
        <w:t>。</w:t>
      </w:r>
    </w:p>
    <w:p w14:paraId="7B21CE97">
      <w:pPr>
        <w:snapToGrid w:val="0"/>
        <w:ind w:firstLine="422" w:firstLineChars="200"/>
        <w:jc w:val="left"/>
        <w:rPr>
          <w:rFonts w:hint="eastAsia" w:ascii="宋体" w:hAnsi="宋体" w:eastAsia="宋体" w:cs="宋体"/>
          <w:b/>
          <w:bCs/>
          <w:color w:val="auto"/>
          <w:kern w:val="0"/>
          <w:sz w:val="21"/>
          <w:szCs w:val="21"/>
          <w:highlight w:val="none"/>
          <w:lang w:val="zh-CN"/>
        </w:rPr>
      </w:pPr>
    </w:p>
    <w:p w14:paraId="6A6F07A8">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p>
    <w:p w14:paraId="7AE0CCC7">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6EBF09E0">
      <w:pPr>
        <w:spacing w:line="360" w:lineRule="auto"/>
        <w:contextualSpacing/>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1"/>
          <w:szCs w:val="21"/>
          <w:highlight w:val="none"/>
          <w:lang w:val="zh-CN"/>
        </w:rPr>
        <w:t>日期：  年  月   日</w:t>
      </w:r>
    </w:p>
    <w:p w14:paraId="4B750C2E">
      <w:pPr>
        <w:rPr>
          <w:rFonts w:hint="eastAsia" w:ascii="宋体" w:hAnsi="宋体" w:eastAsia="宋体" w:cs="宋体"/>
          <w:color w:val="auto"/>
          <w:kern w:val="0"/>
          <w:sz w:val="24"/>
          <w:highlight w:val="none"/>
          <w:lang w:val="zh-CN"/>
        </w:rPr>
      </w:pPr>
    </w:p>
    <w:p w14:paraId="3AD85260">
      <w:pPr>
        <w:rPr>
          <w:rFonts w:hint="eastAsia" w:ascii="宋体" w:hAnsi="宋体" w:eastAsia="宋体" w:cs="宋体"/>
          <w:color w:val="auto"/>
          <w:kern w:val="0"/>
          <w:sz w:val="24"/>
          <w:highlight w:val="none"/>
          <w:lang w:val="zh-CN"/>
        </w:rPr>
      </w:pPr>
    </w:p>
    <w:p w14:paraId="308E3FFB">
      <w:pPr>
        <w:pStyle w:val="12"/>
        <w:rPr>
          <w:rFonts w:hint="eastAsia" w:ascii="宋体" w:hAnsi="宋体" w:eastAsia="宋体" w:cs="宋体"/>
          <w:color w:val="auto"/>
          <w:kern w:val="0"/>
          <w:sz w:val="24"/>
          <w:highlight w:val="none"/>
          <w:lang w:val="zh-CN"/>
        </w:rPr>
      </w:pPr>
    </w:p>
    <w:p w14:paraId="48025009">
      <w:pPr>
        <w:pStyle w:val="13"/>
        <w:rPr>
          <w:rFonts w:hint="eastAsia" w:ascii="宋体" w:hAnsi="宋体" w:eastAsia="宋体" w:cs="宋体"/>
          <w:color w:val="auto"/>
          <w:highlight w:val="none"/>
          <w:lang w:val="zh-CN"/>
        </w:rPr>
        <w:sectPr>
          <w:headerReference r:id="rId7" w:type="default"/>
          <w:footerReference r:id="rId8" w:type="default"/>
          <w:pgSz w:w="11910" w:h="16840"/>
          <w:pgMar w:top="1440" w:right="1423" w:bottom="1440" w:left="1423" w:header="720" w:footer="720" w:gutter="0"/>
          <w:pgNumType w:fmt="decimal"/>
          <w:cols w:space="720" w:num="1"/>
          <w:rtlGutter w:val="0"/>
        </w:sectPr>
      </w:pPr>
    </w:p>
    <w:p w14:paraId="44B5E21A">
      <w:pPr>
        <w:spacing w:line="360" w:lineRule="auto"/>
        <w:contextualSpacing/>
        <w:rPr>
          <w:rFonts w:hint="eastAsia" w:ascii="宋体" w:hAnsi="宋体" w:eastAsia="宋体" w:cs="宋体"/>
          <w:color w:val="auto"/>
          <w:sz w:val="24"/>
          <w:highlight w:val="none"/>
        </w:rPr>
      </w:pPr>
    </w:p>
    <w:p w14:paraId="2A19B416">
      <w:pPr>
        <w:spacing w:line="520" w:lineRule="exact"/>
        <w:jc w:val="center"/>
        <w:rPr>
          <w:rFonts w:hint="eastAsia" w:ascii="宋体" w:hAnsi="宋体" w:eastAsia="宋体" w:cs="宋体"/>
          <w:color w:val="auto"/>
          <w:sz w:val="24"/>
          <w:highlight w:val="none"/>
        </w:rPr>
      </w:pPr>
    </w:p>
    <w:p w14:paraId="041DA314">
      <w:pPr>
        <w:spacing w:line="520" w:lineRule="exact"/>
        <w:jc w:val="center"/>
        <w:rPr>
          <w:rFonts w:hint="eastAsia" w:ascii="宋体" w:hAnsi="宋体" w:eastAsia="宋体" w:cs="宋体"/>
          <w:color w:val="auto"/>
          <w:sz w:val="24"/>
          <w:highlight w:val="none"/>
        </w:rPr>
      </w:pPr>
    </w:p>
    <w:p w14:paraId="43533CF7">
      <w:pPr>
        <w:spacing w:line="520" w:lineRule="exact"/>
        <w:jc w:val="center"/>
        <w:rPr>
          <w:rFonts w:hint="eastAsia" w:ascii="宋体" w:hAnsi="宋体" w:eastAsia="宋体" w:cs="宋体"/>
          <w:color w:val="auto"/>
          <w:sz w:val="24"/>
          <w:highlight w:val="none"/>
        </w:rPr>
      </w:pPr>
    </w:p>
    <w:p w14:paraId="2E324440">
      <w:pPr>
        <w:spacing w:line="520" w:lineRule="exact"/>
        <w:jc w:val="center"/>
        <w:rPr>
          <w:rFonts w:hint="eastAsia" w:ascii="宋体" w:hAnsi="宋体" w:eastAsia="宋体" w:cs="宋体"/>
          <w:color w:val="auto"/>
          <w:sz w:val="24"/>
          <w:highlight w:val="none"/>
        </w:rPr>
      </w:pPr>
    </w:p>
    <w:p w14:paraId="67540204">
      <w:pPr>
        <w:keepNext/>
        <w:keepLines/>
        <w:spacing w:before="340" w:after="330" w:line="578" w:lineRule="auto"/>
        <w:jc w:val="center"/>
        <w:outlineLvl w:val="0"/>
        <w:rPr>
          <w:rFonts w:hint="eastAsia" w:ascii="宋体" w:hAnsi="宋体" w:eastAsia="宋体" w:cs="宋体"/>
          <w:b/>
          <w:bCs/>
          <w:color w:val="auto"/>
          <w:kern w:val="44"/>
          <w:sz w:val="32"/>
          <w:szCs w:val="32"/>
          <w:highlight w:val="none"/>
        </w:rPr>
      </w:pPr>
    </w:p>
    <w:p w14:paraId="544B55BB">
      <w:pPr>
        <w:keepNext/>
        <w:keepLines/>
        <w:spacing w:before="340" w:after="330" w:line="578" w:lineRule="auto"/>
        <w:jc w:val="center"/>
        <w:outlineLvl w:val="0"/>
        <w:rPr>
          <w:rFonts w:hint="eastAsia" w:ascii="宋体" w:hAnsi="宋体" w:eastAsia="宋体" w:cs="宋体"/>
          <w:color w:val="auto"/>
          <w:kern w:val="44"/>
          <w:sz w:val="44"/>
          <w:szCs w:val="44"/>
          <w:highlight w:val="none"/>
        </w:rPr>
      </w:pPr>
      <w:bookmarkStart w:id="95" w:name="_Toc25338"/>
      <w:r>
        <w:rPr>
          <w:rFonts w:hint="eastAsia" w:ascii="宋体" w:hAnsi="宋体" w:eastAsia="宋体" w:cs="宋体"/>
          <w:b/>
          <w:bCs/>
          <w:color w:val="auto"/>
          <w:kern w:val="44"/>
          <w:sz w:val="32"/>
          <w:szCs w:val="32"/>
          <w:highlight w:val="none"/>
        </w:rPr>
        <w:t>第六章  合同文本</w:t>
      </w:r>
      <w:r>
        <w:rPr>
          <w:rFonts w:hint="eastAsia" w:ascii="宋体" w:hAnsi="宋体" w:eastAsia="宋体" w:cs="宋体"/>
          <w:color w:val="auto"/>
          <w:kern w:val="44"/>
          <w:sz w:val="44"/>
          <w:szCs w:val="44"/>
          <w:highlight w:val="none"/>
        </w:rPr>
        <w:br w:type="page"/>
      </w:r>
      <w:bookmarkEnd w:id="95"/>
    </w:p>
    <w:p w14:paraId="510E4109">
      <w:pPr>
        <w:tabs>
          <w:tab w:val="left" w:pos="2472"/>
        </w:tabs>
        <w:spacing w:line="460" w:lineRule="exact"/>
        <w:jc w:val="left"/>
        <w:outlineLvl w:val="9"/>
        <w:rPr>
          <w:rFonts w:hint="eastAsia" w:ascii="宋体" w:hAnsi="宋体" w:eastAsia="宋体" w:cs="宋体"/>
          <w:b/>
          <w:color w:val="auto"/>
          <w:sz w:val="21"/>
          <w:szCs w:val="11"/>
          <w:highlight w:val="none"/>
        </w:rPr>
      </w:pPr>
      <w:r>
        <w:rPr>
          <w:rFonts w:hint="eastAsia" w:ascii="宋体" w:hAnsi="宋体" w:eastAsia="宋体" w:cs="宋体"/>
          <w:b/>
          <w:color w:val="auto"/>
          <w:sz w:val="21"/>
          <w:szCs w:val="11"/>
          <w:highlight w:val="none"/>
        </w:rPr>
        <w:t>说明：</w:t>
      </w:r>
    </w:p>
    <w:p w14:paraId="6D315AB6">
      <w:pPr>
        <w:tabs>
          <w:tab w:val="left" w:pos="2472"/>
        </w:tabs>
        <w:spacing w:line="460" w:lineRule="exact"/>
        <w:jc w:val="left"/>
        <w:outlineLvl w:val="9"/>
        <w:rPr>
          <w:rFonts w:hint="eastAsia" w:ascii="宋体" w:hAnsi="宋体" w:eastAsia="宋体" w:cs="宋体"/>
          <w:b/>
          <w:color w:val="auto"/>
          <w:sz w:val="21"/>
          <w:szCs w:val="11"/>
          <w:highlight w:val="none"/>
        </w:rPr>
      </w:pPr>
      <w:r>
        <w:rPr>
          <w:rFonts w:hint="eastAsia" w:ascii="宋体" w:hAnsi="宋体" w:eastAsia="宋体" w:cs="宋体"/>
          <w:b/>
          <w:color w:val="auto"/>
          <w:sz w:val="21"/>
          <w:szCs w:val="11"/>
          <w:highlight w:val="none"/>
        </w:rPr>
        <w:t>1、以下合同书仅供签订正式合同时参考用，正式合同书应包括此参考格式</w:t>
      </w:r>
      <w:r>
        <w:rPr>
          <w:rFonts w:hint="eastAsia" w:ascii="宋体" w:hAnsi="宋体" w:eastAsia="宋体" w:cs="宋体"/>
          <w:b/>
          <w:color w:val="auto"/>
          <w:sz w:val="21"/>
          <w:szCs w:val="11"/>
          <w:highlight w:val="none"/>
          <w:lang w:val="en-US" w:eastAsia="zh-CN"/>
        </w:rPr>
        <w:t>的</w:t>
      </w:r>
      <w:r>
        <w:rPr>
          <w:rFonts w:hint="eastAsia" w:ascii="宋体" w:hAnsi="宋体" w:eastAsia="宋体" w:cs="宋体"/>
          <w:b/>
          <w:color w:val="auto"/>
          <w:sz w:val="21"/>
          <w:szCs w:val="11"/>
          <w:highlight w:val="none"/>
        </w:rPr>
        <w:t>内容。</w:t>
      </w:r>
    </w:p>
    <w:p w14:paraId="1B51B624">
      <w:pPr>
        <w:pStyle w:val="17"/>
        <w:jc w:val="left"/>
        <w:rPr>
          <w:rFonts w:hint="eastAsia" w:ascii="宋体" w:hAnsi="宋体" w:eastAsia="宋体" w:cs="宋体"/>
          <w:b/>
          <w:color w:val="auto"/>
          <w:sz w:val="52"/>
          <w:szCs w:val="52"/>
          <w:highlight w:val="none"/>
        </w:rPr>
      </w:pPr>
      <w:r>
        <w:rPr>
          <w:rFonts w:hint="eastAsia" w:ascii="宋体" w:hAnsi="宋体" w:eastAsia="宋体" w:cs="宋体"/>
          <w:b/>
          <w:color w:val="auto"/>
          <w:sz w:val="21"/>
          <w:szCs w:val="11"/>
          <w:highlight w:val="none"/>
        </w:rPr>
        <w:t>2、合同签订双方可根据项目的具体要求进行修订，但合同条款不得与</w:t>
      </w:r>
      <w:r>
        <w:rPr>
          <w:rFonts w:hint="eastAsia" w:ascii="宋体" w:hAnsi="宋体" w:eastAsia="宋体" w:cs="宋体"/>
          <w:b/>
          <w:color w:val="auto"/>
          <w:sz w:val="21"/>
          <w:szCs w:val="11"/>
          <w:highlight w:val="none"/>
          <w:lang w:val="en-US" w:eastAsia="zh-CN"/>
        </w:rPr>
        <w:t>竞争性磋商</w:t>
      </w:r>
      <w:r>
        <w:rPr>
          <w:rFonts w:hint="eastAsia" w:ascii="宋体" w:hAnsi="宋体" w:eastAsia="宋体" w:cs="宋体"/>
          <w:b/>
          <w:color w:val="auto"/>
          <w:sz w:val="21"/>
          <w:szCs w:val="11"/>
          <w:highlight w:val="none"/>
        </w:rPr>
        <w:t>文件和</w:t>
      </w:r>
      <w:r>
        <w:rPr>
          <w:rFonts w:hint="eastAsia" w:ascii="宋体" w:hAnsi="宋体" w:eastAsia="宋体" w:cs="宋体"/>
          <w:b/>
          <w:color w:val="auto"/>
          <w:sz w:val="21"/>
          <w:szCs w:val="11"/>
          <w:highlight w:val="none"/>
          <w:lang w:val="en-US" w:eastAsia="zh-CN"/>
        </w:rPr>
        <w:t>成交</w:t>
      </w:r>
      <w:r>
        <w:rPr>
          <w:rFonts w:hint="eastAsia" w:ascii="宋体" w:hAnsi="宋体" w:eastAsia="宋体" w:cs="宋体"/>
          <w:b/>
          <w:color w:val="auto"/>
          <w:sz w:val="21"/>
          <w:szCs w:val="11"/>
          <w:highlight w:val="none"/>
        </w:rPr>
        <w:t>供应商</w:t>
      </w:r>
      <w:r>
        <w:rPr>
          <w:rFonts w:hint="eastAsia" w:ascii="宋体" w:hAnsi="宋体" w:eastAsia="宋体" w:cs="宋体"/>
          <w:b/>
          <w:color w:val="auto"/>
          <w:sz w:val="21"/>
          <w:szCs w:val="11"/>
          <w:highlight w:val="none"/>
          <w:lang w:val="en-US" w:eastAsia="zh-CN"/>
        </w:rPr>
        <w:t>响应</w:t>
      </w:r>
      <w:r>
        <w:rPr>
          <w:rFonts w:hint="eastAsia" w:ascii="宋体" w:hAnsi="宋体" w:eastAsia="宋体" w:cs="宋体"/>
          <w:b/>
          <w:color w:val="auto"/>
          <w:sz w:val="21"/>
          <w:szCs w:val="11"/>
          <w:highlight w:val="none"/>
        </w:rPr>
        <w:t>文件有实质性偏离。</w:t>
      </w:r>
    </w:p>
    <w:p w14:paraId="6442AE21">
      <w:pPr>
        <w:pStyle w:val="17"/>
        <w:jc w:val="center"/>
        <w:rPr>
          <w:rFonts w:hint="eastAsia" w:ascii="宋体" w:hAnsi="宋体" w:eastAsia="宋体" w:cs="宋体"/>
          <w:b/>
          <w:color w:val="auto"/>
          <w:sz w:val="52"/>
          <w:szCs w:val="52"/>
          <w:highlight w:val="none"/>
        </w:rPr>
      </w:pPr>
    </w:p>
    <w:p w14:paraId="675FEC7B">
      <w:pPr>
        <w:pStyle w:val="17"/>
        <w:jc w:val="center"/>
        <w:rPr>
          <w:rFonts w:hint="eastAsia" w:ascii="宋体" w:hAnsi="宋体" w:eastAsia="宋体" w:cs="宋体"/>
          <w:b/>
          <w:color w:val="auto"/>
          <w:sz w:val="52"/>
          <w:szCs w:val="52"/>
          <w:highlight w:val="none"/>
        </w:rPr>
      </w:pPr>
    </w:p>
    <w:p w14:paraId="5962B971">
      <w:pPr>
        <w:pStyle w:val="17"/>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政府采购合同</w:t>
      </w:r>
    </w:p>
    <w:p w14:paraId="0255765B">
      <w:pPr>
        <w:pStyle w:val="17"/>
        <w:rPr>
          <w:rFonts w:hint="eastAsia" w:ascii="宋体" w:hAnsi="宋体" w:eastAsia="宋体" w:cs="宋体"/>
          <w:color w:val="auto"/>
          <w:highlight w:val="none"/>
        </w:rPr>
      </w:pPr>
    </w:p>
    <w:p w14:paraId="41A249B2">
      <w:pPr>
        <w:pStyle w:val="17"/>
        <w:rPr>
          <w:rFonts w:hint="eastAsia" w:ascii="宋体" w:hAnsi="宋体" w:eastAsia="宋体" w:cs="宋体"/>
          <w:color w:val="auto"/>
          <w:highlight w:val="none"/>
        </w:rPr>
      </w:pPr>
    </w:p>
    <w:p w14:paraId="2144412A">
      <w:pPr>
        <w:pStyle w:val="17"/>
        <w:rPr>
          <w:rFonts w:hint="eastAsia" w:ascii="宋体" w:hAnsi="宋体" w:eastAsia="宋体" w:cs="宋体"/>
          <w:color w:val="auto"/>
          <w:highlight w:val="none"/>
        </w:rPr>
      </w:pPr>
    </w:p>
    <w:p w14:paraId="678C1243">
      <w:pPr>
        <w:pStyle w:val="17"/>
        <w:rPr>
          <w:rFonts w:hint="eastAsia" w:ascii="宋体" w:hAnsi="宋体" w:eastAsia="宋体" w:cs="宋体"/>
          <w:color w:val="auto"/>
          <w:highlight w:val="none"/>
        </w:rPr>
      </w:pPr>
    </w:p>
    <w:p w14:paraId="15164F51">
      <w:pPr>
        <w:pStyle w:val="17"/>
        <w:rPr>
          <w:rFonts w:hint="eastAsia" w:ascii="宋体" w:hAnsi="宋体" w:eastAsia="宋体" w:cs="宋体"/>
          <w:color w:val="auto"/>
          <w:highlight w:val="none"/>
        </w:rPr>
      </w:pPr>
    </w:p>
    <w:p w14:paraId="11D12565">
      <w:pPr>
        <w:pStyle w:val="17"/>
        <w:rPr>
          <w:rFonts w:hint="eastAsia" w:ascii="宋体" w:hAnsi="宋体" w:eastAsia="宋体" w:cs="宋体"/>
          <w:color w:val="auto"/>
          <w:highlight w:val="none"/>
        </w:rPr>
      </w:pPr>
    </w:p>
    <w:p w14:paraId="79F10FF6">
      <w:pPr>
        <w:pStyle w:val="17"/>
        <w:rPr>
          <w:rFonts w:hint="eastAsia" w:ascii="宋体" w:hAnsi="宋体" w:eastAsia="宋体" w:cs="宋体"/>
          <w:color w:val="auto"/>
          <w:highlight w:val="none"/>
        </w:rPr>
      </w:pPr>
    </w:p>
    <w:p w14:paraId="43A6CEB5">
      <w:pPr>
        <w:pStyle w:val="17"/>
        <w:rPr>
          <w:rFonts w:hint="eastAsia" w:ascii="宋体" w:hAnsi="宋体" w:eastAsia="宋体" w:cs="宋体"/>
          <w:color w:val="auto"/>
          <w:highlight w:val="none"/>
        </w:rPr>
      </w:pPr>
    </w:p>
    <w:p w14:paraId="5AA09C98">
      <w:pPr>
        <w:pStyle w:val="17"/>
        <w:rPr>
          <w:rFonts w:hint="eastAsia" w:ascii="宋体" w:hAnsi="宋体" w:eastAsia="宋体" w:cs="宋体"/>
          <w:color w:val="auto"/>
          <w:highlight w:val="none"/>
        </w:rPr>
      </w:pPr>
    </w:p>
    <w:p w14:paraId="0EA56EF8">
      <w:pPr>
        <w:pStyle w:val="17"/>
        <w:rPr>
          <w:rFonts w:hint="eastAsia" w:ascii="宋体" w:hAnsi="宋体" w:eastAsia="宋体" w:cs="宋体"/>
          <w:color w:val="auto"/>
          <w:highlight w:val="none"/>
        </w:rPr>
      </w:pPr>
    </w:p>
    <w:p w14:paraId="1CD8628D">
      <w:pPr>
        <w:pStyle w:val="17"/>
        <w:rPr>
          <w:rFonts w:hint="eastAsia" w:ascii="宋体" w:hAnsi="宋体" w:eastAsia="宋体" w:cs="宋体"/>
          <w:color w:val="auto"/>
          <w:highlight w:val="none"/>
        </w:rPr>
      </w:pPr>
    </w:p>
    <w:p w14:paraId="06E3ADE9">
      <w:pPr>
        <w:pStyle w:val="17"/>
        <w:rPr>
          <w:rFonts w:hint="eastAsia" w:ascii="宋体" w:hAnsi="宋体" w:eastAsia="宋体" w:cs="宋体"/>
          <w:color w:val="auto"/>
          <w:highlight w:val="none"/>
        </w:rPr>
      </w:pPr>
    </w:p>
    <w:p w14:paraId="53E33C04">
      <w:pPr>
        <w:pStyle w:val="17"/>
        <w:rPr>
          <w:rFonts w:hint="eastAsia" w:ascii="宋体" w:hAnsi="宋体" w:eastAsia="宋体" w:cs="宋体"/>
          <w:color w:val="auto"/>
          <w:highlight w:val="none"/>
        </w:rPr>
      </w:pPr>
    </w:p>
    <w:p w14:paraId="0F0007AB">
      <w:pPr>
        <w:pStyle w:val="17"/>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合同名称：</w:t>
      </w:r>
      <w:r>
        <w:rPr>
          <w:rFonts w:hint="eastAsia" w:ascii="宋体" w:hAnsi="宋体" w:eastAsia="宋体" w:cs="宋体"/>
          <w:b/>
          <w:color w:val="auto"/>
          <w:sz w:val="32"/>
          <w:szCs w:val="32"/>
          <w:highlight w:val="none"/>
          <w:u w:val="single"/>
        </w:rPr>
        <w:t xml:space="preserve">                    </w:t>
      </w:r>
    </w:p>
    <w:p w14:paraId="399C30E4">
      <w:pPr>
        <w:pStyle w:val="17"/>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合同编号：</w:t>
      </w:r>
      <w:r>
        <w:rPr>
          <w:rFonts w:hint="eastAsia" w:ascii="宋体" w:hAnsi="宋体" w:eastAsia="宋体" w:cs="宋体"/>
          <w:b/>
          <w:color w:val="auto"/>
          <w:sz w:val="32"/>
          <w:szCs w:val="32"/>
          <w:highlight w:val="none"/>
          <w:u w:val="single"/>
        </w:rPr>
        <w:t xml:space="preserve">                    </w:t>
      </w:r>
    </w:p>
    <w:p w14:paraId="66195C0C">
      <w:pPr>
        <w:pStyle w:val="17"/>
        <w:jc w:val="center"/>
        <w:rPr>
          <w:rFonts w:hint="eastAsia" w:ascii="宋体" w:hAnsi="宋体" w:eastAsia="宋体" w:cs="宋体"/>
          <w:color w:val="auto"/>
          <w:highlight w:val="none"/>
        </w:rPr>
      </w:pPr>
    </w:p>
    <w:p w14:paraId="0DDDF5FE">
      <w:pPr>
        <w:pStyle w:val="17"/>
        <w:jc w:val="center"/>
        <w:rPr>
          <w:rFonts w:hint="eastAsia" w:ascii="宋体" w:hAnsi="宋体" w:eastAsia="宋体" w:cs="宋体"/>
          <w:color w:val="auto"/>
          <w:highlight w:val="none"/>
        </w:rPr>
      </w:pPr>
    </w:p>
    <w:p w14:paraId="7BFEDFA1">
      <w:pPr>
        <w:pStyle w:val="17"/>
        <w:jc w:val="center"/>
        <w:rPr>
          <w:rFonts w:hint="eastAsia" w:ascii="宋体" w:hAnsi="宋体" w:eastAsia="宋体" w:cs="宋体"/>
          <w:color w:val="auto"/>
          <w:highlight w:val="none"/>
        </w:rPr>
      </w:pPr>
    </w:p>
    <w:p w14:paraId="08AFCBA3">
      <w:pPr>
        <w:pStyle w:val="17"/>
        <w:spacing w:line="340" w:lineRule="exact"/>
        <w:ind w:firstLine="1590" w:firstLineChars="49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采购单位（甲方）</w:t>
      </w:r>
      <w:r>
        <w:rPr>
          <w:rFonts w:hint="eastAsia" w:ascii="宋体" w:hAnsi="宋体" w:eastAsia="宋体" w:cs="宋体"/>
          <w:b/>
          <w:color w:val="auto"/>
          <w:sz w:val="32"/>
          <w:szCs w:val="32"/>
          <w:highlight w:val="none"/>
          <w:u w:val="single"/>
        </w:rPr>
        <w:t xml:space="preserve">                    </w:t>
      </w:r>
    </w:p>
    <w:p w14:paraId="4DFF128A">
      <w:pPr>
        <w:pStyle w:val="17"/>
        <w:spacing w:line="340" w:lineRule="exact"/>
        <w:ind w:firstLine="1590" w:firstLineChars="495"/>
        <w:rPr>
          <w:rFonts w:hint="eastAsia" w:ascii="宋体" w:hAnsi="宋体" w:eastAsia="宋体" w:cs="宋体"/>
          <w:b/>
          <w:color w:val="auto"/>
          <w:sz w:val="32"/>
          <w:szCs w:val="32"/>
          <w:highlight w:val="none"/>
        </w:rPr>
      </w:pPr>
    </w:p>
    <w:p w14:paraId="65423225">
      <w:pPr>
        <w:pStyle w:val="17"/>
        <w:spacing w:line="340" w:lineRule="exact"/>
        <w:ind w:firstLine="1590" w:firstLineChars="49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 应 商（乙方）</w:t>
      </w:r>
      <w:r>
        <w:rPr>
          <w:rFonts w:hint="eastAsia" w:ascii="宋体" w:hAnsi="宋体" w:eastAsia="宋体" w:cs="宋体"/>
          <w:b/>
          <w:color w:val="auto"/>
          <w:sz w:val="32"/>
          <w:szCs w:val="32"/>
          <w:highlight w:val="none"/>
          <w:u w:val="single"/>
        </w:rPr>
        <w:t xml:space="preserve">                    </w:t>
      </w:r>
    </w:p>
    <w:p w14:paraId="3062B06C">
      <w:pPr>
        <w:pStyle w:val="17"/>
        <w:jc w:val="center"/>
        <w:rPr>
          <w:rFonts w:hint="eastAsia" w:ascii="宋体" w:hAnsi="宋体" w:eastAsia="宋体" w:cs="宋体"/>
          <w:color w:val="auto"/>
          <w:highlight w:val="none"/>
        </w:rPr>
      </w:pPr>
    </w:p>
    <w:p w14:paraId="38861BD9">
      <w:pPr>
        <w:pStyle w:val="17"/>
        <w:jc w:val="center"/>
        <w:rPr>
          <w:rFonts w:hint="eastAsia" w:ascii="宋体" w:hAnsi="宋体" w:eastAsia="宋体" w:cs="宋体"/>
          <w:color w:val="auto"/>
          <w:highlight w:val="none"/>
        </w:rPr>
      </w:pPr>
    </w:p>
    <w:p w14:paraId="4827E2F6">
      <w:pPr>
        <w:pStyle w:val="17"/>
        <w:jc w:val="center"/>
        <w:rPr>
          <w:rFonts w:hint="eastAsia" w:ascii="宋体" w:hAnsi="宋体" w:eastAsia="宋体" w:cs="宋体"/>
          <w:color w:val="auto"/>
          <w:highlight w:val="none"/>
        </w:rPr>
      </w:pPr>
    </w:p>
    <w:p w14:paraId="33558A9F">
      <w:pPr>
        <w:pStyle w:val="17"/>
        <w:jc w:val="center"/>
        <w:rPr>
          <w:rFonts w:hint="eastAsia" w:ascii="宋体" w:hAnsi="宋体" w:eastAsia="宋体" w:cs="宋体"/>
          <w:color w:val="auto"/>
          <w:highlight w:val="none"/>
        </w:rPr>
      </w:pPr>
    </w:p>
    <w:p w14:paraId="5D7C32A0">
      <w:pPr>
        <w:pStyle w:val="17"/>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签订合同地点：</w:t>
      </w:r>
      <w:r>
        <w:rPr>
          <w:rFonts w:hint="eastAsia" w:ascii="宋体" w:hAnsi="宋体" w:eastAsia="宋体" w:cs="宋体"/>
          <w:b/>
          <w:color w:val="auto"/>
          <w:sz w:val="32"/>
          <w:szCs w:val="32"/>
          <w:highlight w:val="none"/>
          <w:u w:val="single"/>
        </w:rPr>
        <w:t xml:space="preserve">                    </w:t>
      </w:r>
    </w:p>
    <w:p w14:paraId="0683684E">
      <w:pPr>
        <w:pStyle w:val="17"/>
        <w:ind w:firstLine="1590" w:firstLineChars="49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签订合同时间：</w:t>
      </w:r>
      <w:r>
        <w:rPr>
          <w:rFonts w:hint="eastAsia" w:ascii="宋体" w:hAnsi="宋体" w:eastAsia="宋体" w:cs="宋体"/>
          <w:b/>
          <w:color w:val="auto"/>
          <w:sz w:val="32"/>
          <w:szCs w:val="32"/>
          <w:highlight w:val="none"/>
          <w:u w:val="single"/>
        </w:rPr>
        <w:t xml:space="preserve">                    </w:t>
      </w:r>
    </w:p>
    <w:p w14:paraId="1C3099CD">
      <w:pPr>
        <w:pStyle w:val="17"/>
        <w:jc w:val="center"/>
        <w:rPr>
          <w:rFonts w:hint="eastAsia" w:ascii="宋体" w:hAnsi="宋体" w:eastAsia="宋体" w:cs="宋体"/>
          <w:color w:val="auto"/>
          <w:highlight w:val="none"/>
        </w:rPr>
      </w:pPr>
    </w:p>
    <w:p w14:paraId="33BE3918">
      <w:pPr>
        <w:pStyle w:val="17"/>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highlight w:val="none"/>
        </w:rPr>
        <w:br w:type="page"/>
      </w:r>
      <w:r>
        <w:rPr>
          <w:rFonts w:hint="eastAsia" w:ascii="宋体" w:hAnsi="宋体" w:eastAsia="宋体" w:cs="宋体"/>
          <w:b/>
          <w:bCs/>
          <w:color w:val="auto"/>
          <w:sz w:val="32"/>
          <w:szCs w:val="32"/>
          <w:highlight w:val="none"/>
        </w:rPr>
        <w:t>合同</w:t>
      </w:r>
      <w:r>
        <w:rPr>
          <w:rFonts w:hint="eastAsia" w:hAnsi="宋体" w:cs="宋体"/>
          <w:b/>
          <w:bCs/>
          <w:color w:val="auto"/>
          <w:sz w:val="32"/>
          <w:szCs w:val="32"/>
          <w:highlight w:val="none"/>
          <w:lang w:val="en-US" w:eastAsia="zh-CN"/>
        </w:rPr>
        <w:t>书</w:t>
      </w:r>
    </w:p>
    <w:p w14:paraId="3A04897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采购计划文号：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合同编号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250583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供应商（乙方）：</w:t>
      </w:r>
      <w:r>
        <w:rPr>
          <w:rFonts w:hint="eastAsia" w:ascii="宋体" w:hAnsi="宋体" w:eastAsia="宋体" w:cs="宋体"/>
          <w:color w:val="auto"/>
          <w:sz w:val="21"/>
          <w:szCs w:val="21"/>
          <w:highlight w:val="none"/>
          <w:u w:val="single"/>
        </w:rPr>
        <w:t xml:space="preserve">                           </w:t>
      </w:r>
    </w:p>
    <w:p w14:paraId="3CC3DC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u w:val="single"/>
        </w:rPr>
        <w:t xml:space="preserve">                                 </w:t>
      </w:r>
    </w:p>
    <w:p w14:paraId="2CE7AB3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签订时间：</w:t>
      </w:r>
      <w:r>
        <w:rPr>
          <w:rFonts w:hint="eastAsia" w:ascii="宋体" w:hAnsi="宋体" w:eastAsia="宋体" w:cs="宋体"/>
          <w:color w:val="auto"/>
          <w:sz w:val="21"/>
          <w:szCs w:val="21"/>
          <w:highlight w:val="none"/>
          <w:u w:val="single"/>
        </w:rPr>
        <w:t xml:space="preserve">           年    月    日        </w:t>
      </w:r>
    </w:p>
    <w:p w14:paraId="0072E2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41B3E0DF">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根据《中华人民共和国政府采购法》、《合同法》和相关法律、法规、政策的要求，经甲乙双方协商，在平等、自愿的基础上就服务等相关事宜达成以下合同条款：</w:t>
      </w:r>
    </w:p>
    <w:p w14:paraId="349F043F">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default" w:ascii="宋体" w:hAnsi="宋体" w:eastAsia="宋体" w:cs="宋体"/>
          <w:b/>
          <w:bCs/>
          <w:snapToGrid/>
          <w:color w:val="auto"/>
          <w:spacing w:val="3"/>
          <w:kern w:val="2"/>
          <w:sz w:val="21"/>
          <w:szCs w:val="21"/>
          <w:highlight w:val="none"/>
          <w:lang w:val="en-US" w:eastAsia="zh-CN"/>
        </w:rPr>
      </w:pPr>
      <w:r>
        <w:rPr>
          <w:rFonts w:hint="eastAsia" w:ascii="宋体" w:hAnsi="宋体" w:cs="宋体"/>
          <w:b/>
          <w:bCs/>
          <w:snapToGrid/>
          <w:color w:val="auto"/>
          <w:spacing w:val="3"/>
          <w:kern w:val="2"/>
          <w:sz w:val="21"/>
          <w:szCs w:val="21"/>
          <w:highlight w:val="none"/>
          <w:lang w:val="en-US" w:eastAsia="zh-CN"/>
        </w:rPr>
        <w:t>一</w:t>
      </w:r>
      <w:r>
        <w:rPr>
          <w:rFonts w:hint="eastAsia" w:ascii="宋体" w:hAnsi="宋体" w:eastAsia="宋体" w:cs="宋体"/>
          <w:b/>
          <w:bCs/>
          <w:snapToGrid/>
          <w:color w:val="auto"/>
          <w:spacing w:val="3"/>
          <w:kern w:val="2"/>
          <w:sz w:val="21"/>
          <w:szCs w:val="21"/>
          <w:highlight w:val="none"/>
          <w:lang w:val="en-US" w:eastAsia="zh-CN"/>
        </w:rPr>
        <w:t>、服务内容</w:t>
      </w:r>
      <w:r>
        <w:rPr>
          <w:rFonts w:hint="eastAsia" w:ascii="宋体" w:hAnsi="宋体" w:cs="宋体"/>
          <w:b/>
          <w:bCs/>
          <w:snapToGrid/>
          <w:color w:val="auto"/>
          <w:spacing w:val="3"/>
          <w:kern w:val="2"/>
          <w:sz w:val="21"/>
          <w:szCs w:val="21"/>
          <w:highlight w:val="none"/>
          <w:lang w:val="en-US" w:eastAsia="zh-CN"/>
        </w:rPr>
        <w:t>及要求</w:t>
      </w:r>
    </w:p>
    <w:p w14:paraId="69398BD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（一）关爱访视服务</w:t>
      </w:r>
    </w:p>
    <w:p w14:paraId="2B476722">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发动辖区志愿者、“银发”志愿者等开展日常探访，收集服务对象的诉求和意见建议，对访视中群众需要解决的问题，民政服务站能解决的自行解决，解决不了的向乡镇政府和县民政局反映。服务对象名单由服务供应商对接柳城县民政局各相关业务股室获取。</w:t>
      </w:r>
    </w:p>
    <w:p w14:paraId="7022D2BC">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城乡低保、低保边缘家庭和支出型困难家庭：新申请对象（包括审批通过和不通过）100%入户核查，主要核实户籍、家庭成员、家庭收入和财产等基本情况。在册对象每半年入户抽查不低于30%，每年抽查不低于60%，总数不低于10000人次。</w:t>
      </w:r>
    </w:p>
    <w:p w14:paraId="15CC7C7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分散供养特困人员：为60岁以上分散供养特困人员提供探视服务，每月至少探访服务对象1次，探访形式可多样化，了解其基本生活情况、安全风险情况、照料服务和关爱保障情况，并根据实际情况提供资源链接等服务，一年探访总数不低于9000人次。</w:t>
      </w:r>
    </w:p>
    <w:p w14:paraId="4669BB78">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3.享受困难残疾人生活补贴和重度残疾人护理补贴的对象：每半年至少探访1次，探访形式可多样化，一年探访总数不低于5600人次。</w:t>
      </w:r>
    </w:p>
    <w:p w14:paraId="3DA689CA">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4.70周岁及以上独居、空巢老人：每半年至少上门探访服务对象1次，探访形式可多样化，一年探访总数不低于4000人次。</w:t>
      </w:r>
    </w:p>
    <w:p w14:paraId="4888F99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5.居住在乡镇敬老院和农村幸福院的对象：每月至少上门探访服务对象及开展消防安全、食品安全、燃气安全、防范一氧化碳中毒、防火、防汛减灾等方面的排查1次。</w:t>
      </w:r>
    </w:p>
    <w:p w14:paraId="561628B7">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6.高龄老人（80周岁及以上）：完成高龄老人的生存认证系统初次建模，全年建模率达100%；开展高龄老人生存认证工作，每人每半年开展一次，每季度认证率不低于20%，年度总认证率达到90%以上。</w:t>
      </w:r>
    </w:p>
    <w:p w14:paraId="60D4EC0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7.孤儿、事实无人抚养儿童：每半年上门探访1次，全年总探访次数不低于200人次，主要了解儿童的监护情况、生活和学习情况（主要是就读学校和年级）、心理健康情况，了解事实无人抚养儿童父母的情况（对照事实无人抚养儿童的条件）是否有变化。</w:t>
      </w:r>
    </w:p>
    <w:p w14:paraId="30619601">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8.回归稳固的流浪乞讨人员：上门探访当年回归稳固的流浪乞讨人员，每人每年不少于1次。</w:t>
      </w:r>
    </w:p>
    <w:p w14:paraId="0EF11EB8">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9.其他对象：根据上级要求适时安排。</w:t>
      </w:r>
    </w:p>
    <w:p w14:paraId="1AFD8135">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（二）关爱宣传服务</w:t>
      </w:r>
    </w:p>
    <w:p w14:paraId="1FCA9C02">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突发应急类服务。联合社区、物业等各方力量，共同构建网络化、全方位的应急响应体系。当服务对象发生意外、突发疾病等紧急情况时，迅速、有效地应对，保障群众的生命财产安全。要求每个乡镇建立志愿服务队1支，不少于2人；公示应急电话1个，服务记录本1本。</w:t>
      </w:r>
    </w:p>
    <w:p w14:paraId="3C5A7384">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民政政策宣传服务。结合重阳节、清明节、儿童节等传统节日，开展多种形式的主题宣传活动，主要宣传党和国家的方针政策，民政及相关领域政策，老年人和儿童预防诈骗、健康养生等安全常识和法制教育，引导基层群众移风易俗、规范操办红白喜事，开展公益慈善活动等。要求印制民政政策宣传材料不少于6类，每类不少于600张，以印制样本及发放记录为准。通过公众号发文推送民政服务资讯及政策，不少于12篇；社区活动不少于12场，每次活动参与人员不少于30人。</w:t>
      </w:r>
    </w:p>
    <w:p w14:paraId="21E348D0">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（三）创新特色服务</w:t>
      </w:r>
    </w:p>
    <w:p w14:paraId="3415614B">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根据服务对象特点，结合实际选择1-2项创新服务内容进行探索。</w:t>
      </w:r>
    </w:p>
    <w:p w14:paraId="41E25EA5">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1.心理健康辅导服务。通过心理讲座、个体咨询等方式，为需要的群众提供心理健康知识普及、心理健康疏导等服务。</w:t>
      </w:r>
    </w:p>
    <w:p w14:paraId="0436DAEF">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2.矛盾纠纷调解服务。配合社区作为对象矛盾纠纷的化解，保障服务对象的切身利益，帮助协调化解邻里矛盾、婚姻家庭、劳动争议等群众矛盾纠纷，开展家庭关系辅导等。</w:t>
      </w:r>
    </w:p>
    <w:p w14:paraId="74829415">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3.法律援助服务。为群众免费提供相关法律咨询服务，接受群众提出的涉及切身利益的有关政策和法律法规咨询，帮助协调相关职能部门给予解答。</w:t>
      </w:r>
    </w:p>
    <w:p w14:paraId="0FA3C38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4.家庭赋能服务。为失能半失能老人家庭、儿童寄养家庭等提供家庭成员或照顾者的护理技能培训，如日常生活照料、基础医疗知识等。</w:t>
      </w:r>
    </w:p>
    <w:p w14:paraId="2EFE91CF">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5.其他创新特色服务。为民政服务对象及有需要困难群众链接资源，积极创新、大胆探索各类创新服务。探索搭建资源平台，为散居特困人员提供各类转介服务,如送医、助餐、助浴等。</w:t>
      </w:r>
    </w:p>
    <w:p w14:paraId="5E15F702">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（四）其他服务</w:t>
      </w:r>
    </w:p>
    <w:p w14:paraId="40FB420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链接银龄志愿服务资源。将银龄志愿服务团作为民政服务基层的有生力量，搭建银龄志愿者服务平台，吸引更多银龄志愿者参与社区服务，为民政服务对象提供帮助。对银龄志愿者进行培训和指导，提高其服务能力和水平，助力老年友好型社区建设。建立银龄志愿服务团1个，招募志愿者不少于10人，围绕“一老一小”开展志愿服务活动不少于24场。</w:t>
      </w:r>
    </w:p>
    <w:p w14:paraId="25FAA91C">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助力全国救助管理区域性中心试点工作任务。以民政服务站为平台，为流浪乞讨人员提供救助物资，引导需要救助的服务对象到救助管理机构或民政部门进行救助，推动市、县、乡、村“四级联动”机制有效运行。民政服务站中，设置有流浪乞讨救助服务点1个，服务点设有休息饮水区，并提供救助引导卡。</w:t>
      </w:r>
    </w:p>
    <w:p w14:paraId="6622F2A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3.配合做好乡镇慈善工作。指导村（社区）发展社区慈善。</w:t>
      </w:r>
    </w:p>
    <w:p w14:paraId="646A0EF0">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4.指导社会组织工作。指导乡镇依托社会组织孵化基地培育发展社会组织10个以上，指导社会组织发挥作用、开展社区服务；协助做好社会组织年检工作。</w:t>
      </w:r>
    </w:p>
    <w:p w14:paraId="6A24FDB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5.殡葬领域服务：每月完成县区、12个乡镇和2个华侨管理区移风易俗宣传一次，每次发放宣传单至少30份。清明节前需要完成12个乡镇、2个华侨管理区（139个村、社区张贴清明节倡议书和移风易俗倡议书），1个县区内指定地方张贴和悬挂横幅。</w:t>
      </w:r>
    </w:p>
    <w:p w14:paraId="5B3B4764">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6.区划地名服务：积极发动和引导群众依托“乡村著名行动”微信小程序自主采集上传寄递物流综合服务站、村邮站、农家乐、采摘园、景区、经营类型超市、商铺商店、酒店等兴趣点，提高图上地名感知度和活跃度。一年兴趣点采集量不低于1000个。</w:t>
      </w:r>
    </w:p>
    <w:p w14:paraId="554E735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（五）站点建设要求</w:t>
      </w:r>
    </w:p>
    <w:p w14:paraId="282FDA1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1.制作新时代民政服务站标识牌，并安装在显眼、易见位置。要求规范名称为“柳城县XX乡镇新时代民政服务站”，标识牌包含“中国民政”全国统一标识元素。打造5个民政服务站示范站点。</w:t>
      </w:r>
    </w:p>
    <w:p w14:paraId="438BC6E5">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2.建立新时代民政工作站工作职责、服务流程、服务项目简介等，含“柳小明”元素。</w:t>
      </w:r>
    </w:p>
    <w:p w14:paraId="4CFA1E08">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3.站点专职工作人员不少于2名，以中青年为主，中专（高中）及以上学历，男女不限，熟悉民政业务。</w:t>
      </w:r>
    </w:p>
    <w:p w14:paraId="5FA8CFEB">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b/>
          <w:bCs/>
          <w:snapToGrid/>
          <w:color w:val="auto"/>
          <w:spacing w:val="3"/>
          <w:kern w:val="2"/>
          <w:sz w:val="21"/>
          <w:szCs w:val="21"/>
          <w:highlight w:val="none"/>
          <w:lang w:val="en-US" w:eastAsia="zh-CN"/>
        </w:rPr>
        <w:t>二</w:t>
      </w:r>
      <w:r>
        <w:rPr>
          <w:rFonts w:hint="eastAsia" w:ascii="宋体" w:hAnsi="宋体" w:eastAsia="宋体" w:cs="宋体"/>
          <w:b/>
          <w:bCs/>
          <w:snapToGrid/>
          <w:color w:val="auto"/>
          <w:spacing w:val="3"/>
          <w:kern w:val="2"/>
          <w:sz w:val="21"/>
          <w:szCs w:val="21"/>
          <w:highlight w:val="none"/>
          <w:lang w:val="en-US" w:eastAsia="zh-CN"/>
        </w:rPr>
        <w:t>、服务期限</w:t>
      </w:r>
    </w:p>
    <w:p w14:paraId="78BB3D62">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本合同所述的服务期限为1年，自2025年  月  日起至2026年  月  日止。工作结束后7个工作日内，</w:t>
      </w:r>
      <w:r>
        <w:rPr>
          <w:rFonts w:hint="eastAsia" w:ascii="宋体" w:hAnsi="宋体" w:cs="宋体"/>
          <w:snapToGrid/>
          <w:color w:val="auto"/>
          <w:spacing w:val="3"/>
          <w:kern w:val="2"/>
          <w:sz w:val="21"/>
          <w:szCs w:val="21"/>
          <w:highlight w:val="none"/>
          <w:lang w:val="en-US" w:eastAsia="zh-CN"/>
        </w:rPr>
        <w:t>柳城</w:t>
      </w:r>
      <w:r>
        <w:rPr>
          <w:rFonts w:hint="eastAsia" w:ascii="宋体" w:hAnsi="宋体" w:eastAsia="宋体" w:cs="宋体"/>
          <w:snapToGrid/>
          <w:color w:val="auto"/>
          <w:spacing w:val="3"/>
          <w:kern w:val="2"/>
          <w:sz w:val="21"/>
          <w:szCs w:val="21"/>
          <w:highlight w:val="none"/>
          <w:lang w:val="en-US" w:eastAsia="zh-CN"/>
        </w:rPr>
        <w:t>县民政局将成立自评小组对项目进行评估，形成评估意见。</w:t>
      </w:r>
    </w:p>
    <w:p w14:paraId="6BD12F5F">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b/>
          <w:bCs/>
          <w:snapToGrid/>
          <w:color w:val="auto"/>
          <w:spacing w:val="3"/>
          <w:kern w:val="2"/>
          <w:sz w:val="21"/>
          <w:szCs w:val="21"/>
          <w:highlight w:val="none"/>
          <w:lang w:val="en-US" w:eastAsia="zh-CN"/>
        </w:rPr>
        <w:t>三、工作人员配置数量</w:t>
      </w:r>
    </w:p>
    <w:p w14:paraId="5E113D59">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根据采购文件要求在12个乡镇设立站点，各配置不少于2名专职人员。</w:t>
      </w:r>
    </w:p>
    <w:p w14:paraId="40A463C0">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b/>
          <w:bCs/>
          <w:snapToGrid/>
          <w:color w:val="auto"/>
          <w:spacing w:val="3"/>
          <w:kern w:val="2"/>
          <w:sz w:val="21"/>
          <w:szCs w:val="21"/>
          <w:highlight w:val="none"/>
          <w:lang w:val="en-US" w:eastAsia="zh-CN"/>
        </w:rPr>
        <w:t>四</w:t>
      </w:r>
      <w:r>
        <w:rPr>
          <w:rFonts w:hint="eastAsia" w:ascii="宋体" w:hAnsi="宋体" w:eastAsia="宋体" w:cs="宋体"/>
          <w:b/>
          <w:bCs/>
          <w:snapToGrid/>
          <w:color w:val="auto"/>
          <w:spacing w:val="3"/>
          <w:kern w:val="2"/>
          <w:sz w:val="21"/>
          <w:szCs w:val="21"/>
          <w:highlight w:val="none"/>
          <w:lang w:val="en-US" w:eastAsia="zh-CN"/>
        </w:rPr>
        <w:t>、合同金额及</w:t>
      </w:r>
      <w:r>
        <w:rPr>
          <w:rFonts w:hint="eastAsia" w:ascii="宋体" w:hAnsi="宋体" w:cs="宋体"/>
          <w:b/>
          <w:bCs/>
          <w:snapToGrid/>
          <w:color w:val="auto"/>
          <w:spacing w:val="3"/>
          <w:kern w:val="2"/>
          <w:sz w:val="21"/>
          <w:szCs w:val="21"/>
          <w:highlight w:val="none"/>
          <w:lang w:val="en-US" w:eastAsia="zh-CN"/>
        </w:rPr>
        <w:t>支付</w:t>
      </w:r>
      <w:r>
        <w:rPr>
          <w:rFonts w:hint="eastAsia" w:ascii="宋体" w:hAnsi="宋体" w:eastAsia="宋体" w:cs="宋体"/>
          <w:b/>
          <w:bCs/>
          <w:snapToGrid/>
          <w:color w:val="auto"/>
          <w:spacing w:val="3"/>
          <w:kern w:val="2"/>
          <w:sz w:val="21"/>
          <w:szCs w:val="21"/>
          <w:highlight w:val="none"/>
          <w:lang w:val="en-US" w:eastAsia="zh-CN"/>
        </w:rPr>
        <w:t>方式</w:t>
      </w:r>
    </w:p>
    <w:p w14:paraId="17C4D0F9">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（一）合同金额为人民币</w:t>
      </w:r>
      <w:r>
        <w:rPr>
          <w:rFonts w:hint="eastAsia" w:ascii="宋体" w:hAnsi="宋体" w:cs="宋体"/>
          <w:snapToGrid/>
          <w:color w:val="auto"/>
          <w:spacing w:val="3"/>
          <w:kern w:val="2"/>
          <w:sz w:val="21"/>
          <w:szCs w:val="21"/>
          <w:highlight w:val="none"/>
          <w:u w:val="single"/>
          <w:lang w:val="en-US" w:eastAsia="zh-CN"/>
        </w:rPr>
        <w:t xml:space="preserve">         </w:t>
      </w:r>
      <w:r>
        <w:rPr>
          <w:rFonts w:hint="eastAsia" w:ascii="宋体" w:hAnsi="宋体" w:eastAsia="宋体" w:cs="宋体"/>
          <w:snapToGrid/>
          <w:color w:val="auto"/>
          <w:spacing w:val="3"/>
          <w:kern w:val="2"/>
          <w:sz w:val="21"/>
          <w:szCs w:val="21"/>
          <w:highlight w:val="none"/>
          <w:lang w:val="en-US" w:eastAsia="zh-CN"/>
        </w:rPr>
        <w:t>元（大写：人民币</w:t>
      </w:r>
      <w:r>
        <w:rPr>
          <w:rFonts w:hint="eastAsia" w:ascii="宋体" w:hAnsi="宋体" w:cs="宋体"/>
          <w:strike w:val="0"/>
          <w:dstrike w:val="0"/>
          <w:snapToGrid/>
          <w:color w:val="auto"/>
          <w:spacing w:val="3"/>
          <w:kern w:val="2"/>
          <w:sz w:val="21"/>
          <w:szCs w:val="21"/>
          <w:highlight w:val="none"/>
          <w:u w:val="single"/>
          <w:lang w:val="en-US" w:eastAsia="zh-CN"/>
        </w:rPr>
        <w:t xml:space="preserve">         </w:t>
      </w:r>
      <w:r>
        <w:rPr>
          <w:rFonts w:hint="eastAsia" w:ascii="宋体" w:hAnsi="宋体" w:eastAsia="宋体" w:cs="宋体"/>
          <w:snapToGrid/>
          <w:color w:val="auto"/>
          <w:spacing w:val="3"/>
          <w:kern w:val="2"/>
          <w:sz w:val="21"/>
          <w:szCs w:val="21"/>
          <w:highlight w:val="none"/>
          <w:lang w:val="en-US" w:eastAsia="zh-CN"/>
        </w:rPr>
        <w:t>）。</w:t>
      </w:r>
    </w:p>
    <w:p w14:paraId="70585EEF">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（二）</w:t>
      </w:r>
      <w:r>
        <w:rPr>
          <w:rFonts w:hint="eastAsia" w:ascii="宋体" w:hAnsi="宋体" w:cs="宋体"/>
          <w:snapToGrid/>
          <w:color w:val="auto"/>
          <w:spacing w:val="3"/>
          <w:kern w:val="2"/>
          <w:sz w:val="21"/>
          <w:szCs w:val="21"/>
          <w:highlight w:val="none"/>
          <w:lang w:val="en-US" w:eastAsia="zh-CN"/>
        </w:rPr>
        <w:t>支付</w:t>
      </w:r>
      <w:r>
        <w:rPr>
          <w:rFonts w:hint="eastAsia" w:ascii="宋体" w:hAnsi="宋体" w:eastAsia="宋体" w:cs="宋体"/>
          <w:snapToGrid/>
          <w:color w:val="auto"/>
          <w:spacing w:val="3"/>
          <w:kern w:val="2"/>
          <w:sz w:val="21"/>
          <w:szCs w:val="21"/>
          <w:highlight w:val="none"/>
          <w:lang w:val="en-US" w:eastAsia="zh-CN"/>
        </w:rPr>
        <w:t>方式</w:t>
      </w:r>
      <w:r>
        <w:rPr>
          <w:rFonts w:hint="eastAsia" w:ascii="宋体" w:hAnsi="宋体" w:cs="宋体"/>
          <w:snapToGrid/>
          <w:color w:val="auto"/>
          <w:spacing w:val="3"/>
          <w:kern w:val="2"/>
          <w:sz w:val="21"/>
          <w:szCs w:val="21"/>
          <w:highlight w:val="none"/>
          <w:lang w:val="en-US" w:eastAsia="zh-CN"/>
        </w:rPr>
        <w:t>：</w:t>
      </w:r>
    </w:p>
    <w:p w14:paraId="4569CB8B">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本合同签订后10个工作日内，</w:t>
      </w:r>
      <w:r>
        <w:rPr>
          <w:rFonts w:hint="eastAsia" w:ascii="宋体" w:hAnsi="宋体" w:cs="宋体"/>
          <w:snapToGrid/>
          <w:color w:val="auto"/>
          <w:spacing w:val="3"/>
          <w:kern w:val="2"/>
          <w:sz w:val="21"/>
          <w:szCs w:val="21"/>
          <w:highlight w:val="none"/>
          <w:lang w:val="en-US" w:eastAsia="zh-CN"/>
        </w:rPr>
        <w:t>甲方</w:t>
      </w:r>
      <w:r>
        <w:rPr>
          <w:rFonts w:hint="eastAsia" w:ascii="宋体" w:hAnsi="宋体" w:eastAsia="宋体" w:cs="宋体"/>
          <w:snapToGrid/>
          <w:color w:val="auto"/>
          <w:spacing w:val="3"/>
          <w:kern w:val="2"/>
          <w:sz w:val="21"/>
          <w:szCs w:val="21"/>
          <w:highlight w:val="none"/>
          <w:lang w:val="en-US" w:eastAsia="zh-CN"/>
        </w:rPr>
        <w:t>支付给</w:t>
      </w:r>
      <w:r>
        <w:rPr>
          <w:rFonts w:hint="eastAsia" w:ascii="宋体" w:hAnsi="宋体" w:cs="宋体"/>
          <w:snapToGrid/>
          <w:color w:val="auto"/>
          <w:spacing w:val="3"/>
          <w:kern w:val="2"/>
          <w:sz w:val="21"/>
          <w:szCs w:val="21"/>
          <w:highlight w:val="none"/>
          <w:lang w:val="en-US" w:eastAsia="zh-CN"/>
        </w:rPr>
        <w:t>乙方</w:t>
      </w:r>
      <w:r>
        <w:rPr>
          <w:rFonts w:hint="eastAsia" w:ascii="宋体" w:hAnsi="宋体" w:eastAsia="宋体" w:cs="宋体"/>
          <w:snapToGrid/>
          <w:color w:val="auto"/>
          <w:spacing w:val="3"/>
          <w:kern w:val="2"/>
          <w:sz w:val="21"/>
          <w:szCs w:val="21"/>
          <w:highlight w:val="none"/>
          <w:lang w:val="en-US" w:eastAsia="zh-CN"/>
        </w:rPr>
        <w:t>合同总金额的25%作为项目启动款，余下的75%项目款分3次平均拨付，拨付时间分别为：2025年12月28日、2026年3月28日、2026年6月28日前拨付。若</w:t>
      </w:r>
      <w:r>
        <w:rPr>
          <w:rFonts w:hint="eastAsia" w:ascii="宋体" w:hAnsi="宋体" w:cs="宋体"/>
          <w:snapToGrid/>
          <w:color w:val="auto"/>
          <w:spacing w:val="3"/>
          <w:kern w:val="2"/>
          <w:sz w:val="21"/>
          <w:szCs w:val="21"/>
          <w:highlight w:val="none"/>
          <w:lang w:val="en-US" w:eastAsia="zh-CN"/>
        </w:rPr>
        <w:t>甲方</w:t>
      </w:r>
      <w:r>
        <w:rPr>
          <w:rFonts w:hint="eastAsia" w:ascii="宋体" w:hAnsi="宋体" w:eastAsia="宋体" w:cs="宋体"/>
          <w:snapToGrid/>
          <w:color w:val="auto"/>
          <w:spacing w:val="3"/>
          <w:kern w:val="2"/>
          <w:sz w:val="21"/>
          <w:szCs w:val="21"/>
          <w:highlight w:val="none"/>
          <w:lang w:val="en-US" w:eastAsia="zh-CN"/>
        </w:rPr>
        <w:t>遇到特殊情况不能按季拨付经费的，</w:t>
      </w:r>
      <w:r>
        <w:rPr>
          <w:rFonts w:hint="eastAsia" w:ascii="宋体" w:hAnsi="宋体" w:cs="宋体"/>
          <w:snapToGrid/>
          <w:color w:val="auto"/>
          <w:spacing w:val="3"/>
          <w:kern w:val="2"/>
          <w:sz w:val="21"/>
          <w:szCs w:val="21"/>
          <w:highlight w:val="none"/>
          <w:lang w:val="en-US" w:eastAsia="zh-CN"/>
        </w:rPr>
        <w:t>甲方</w:t>
      </w:r>
      <w:r>
        <w:rPr>
          <w:rFonts w:hint="eastAsia" w:ascii="宋体" w:hAnsi="宋体" w:eastAsia="宋体" w:cs="宋体"/>
          <w:snapToGrid/>
          <w:color w:val="auto"/>
          <w:spacing w:val="3"/>
          <w:kern w:val="2"/>
          <w:sz w:val="21"/>
          <w:szCs w:val="21"/>
          <w:highlight w:val="none"/>
          <w:lang w:val="en-US" w:eastAsia="zh-CN"/>
        </w:rPr>
        <w:t>和</w:t>
      </w:r>
      <w:r>
        <w:rPr>
          <w:rFonts w:hint="eastAsia" w:ascii="宋体" w:hAnsi="宋体" w:cs="宋体"/>
          <w:snapToGrid/>
          <w:color w:val="auto"/>
          <w:spacing w:val="3"/>
          <w:kern w:val="2"/>
          <w:sz w:val="21"/>
          <w:szCs w:val="21"/>
          <w:highlight w:val="none"/>
          <w:lang w:val="en-US" w:eastAsia="zh-CN"/>
        </w:rPr>
        <w:t>乙方</w:t>
      </w:r>
      <w:r>
        <w:rPr>
          <w:rFonts w:hint="eastAsia" w:ascii="宋体" w:hAnsi="宋体" w:eastAsia="宋体" w:cs="宋体"/>
          <w:snapToGrid/>
          <w:color w:val="auto"/>
          <w:spacing w:val="3"/>
          <w:kern w:val="2"/>
          <w:sz w:val="21"/>
          <w:szCs w:val="21"/>
          <w:highlight w:val="none"/>
          <w:lang w:val="en-US" w:eastAsia="zh-CN"/>
        </w:rPr>
        <w:t>可协商按月拨付经费，保障项目工作人员的基本工资。当工作人员存在缺岗时，按照当月实际工作天数计算工资。</w:t>
      </w:r>
    </w:p>
    <w:p w14:paraId="4C07D6FD">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三）甲方在每次付款前，乙方应向甲方提供等额的相关拨款需要的正式票据。若乙方末期评估不合格，甲方有权停止拨付经费，并要求乙方限期整改，整改合格的可继续拨付经费，整改不合格的，甲方可单方面解除合同，并在一年内不考虑与乙方进行项目合作。</w:t>
      </w:r>
    </w:p>
    <w:p w14:paraId="35E32829">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b/>
          <w:bCs/>
          <w:snapToGrid/>
          <w:color w:val="auto"/>
          <w:spacing w:val="3"/>
          <w:kern w:val="2"/>
          <w:sz w:val="21"/>
          <w:szCs w:val="21"/>
          <w:highlight w:val="none"/>
          <w:lang w:val="en-US" w:eastAsia="zh-CN"/>
        </w:rPr>
        <w:t>五、项目评估</w:t>
      </w:r>
    </w:p>
    <w:p w14:paraId="61B0A77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1.评估指标由规划与总结、管理与执行、财务运营、支持与推进、监控与验收、机构成果等组成。</w:t>
      </w:r>
    </w:p>
    <w:p w14:paraId="105CF0C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snapToGrid/>
          <w:color w:val="auto"/>
          <w:spacing w:val="3"/>
          <w:kern w:val="2"/>
          <w:sz w:val="21"/>
          <w:szCs w:val="21"/>
          <w:highlight w:val="none"/>
          <w:lang w:val="en-US" w:eastAsia="zh-CN"/>
        </w:rPr>
        <w:t>2</w:t>
      </w:r>
      <w:r>
        <w:rPr>
          <w:rFonts w:hint="eastAsia" w:ascii="宋体" w:hAnsi="宋体" w:eastAsia="宋体" w:cs="宋体"/>
          <w:snapToGrid/>
          <w:color w:val="auto"/>
          <w:spacing w:val="3"/>
          <w:kern w:val="2"/>
          <w:sz w:val="21"/>
          <w:szCs w:val="21"/>
          <w:highlight w:val="none"/>
          <w:lang w:val="en-US" w:eastAsia="zh-CN"/>
        </w:rPr>
        <w:t>.甲方对乙方的评估在项目成效和财务审计两个方面同时进行，第三方评估团队的评估资格通过政府招标途径获取。其中，项目成效评估采取定量和定性相结合的工作方法，优先使用定量方法，不能定量的部分，乙方须通过文字、照片、音像等方式进行举证说明。财务评估重点对项目的财务使用情况、预算执行情况和票据合理规范性等方面进行评估，由第三方评估机构、市民政局、甲方（购买方）推荐的审计公司负责执行。</w:t>
      </w:r>
    </w:p>
    <w:p w14:paraId="491A5ACC">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snapToGrid/>
          <w:color w:val="auto"/>
          <w:spacing w:val="3"/>
          <w:kern w:val="2"/>
          <w:sz w:val="21"/>
          <w:szCs w:val="21"/>
          <w:highlight w:val="none"/>
          <w:lang w:val="en-US" w:eastAsia="zh-CN"/>
        </w:rPr>
        <w:t>3</w:t>
      </w:r>
      <w:r>
        <w:rPr>
          <w:rFonts w:hint="eastAsia" w:ascii="宋体" w:hAnsi="宋体" w:eastAsia="宋体" w:cs="宋体"/>
          <w:snapToGrid/>
          <w:color w:val="auto"/>
          <w:spacing w:val="3"/>
          <w:kern w:val="2"/>
          <w:sz w:val="21"/>
          <w:szCs w:val="21"/>
          <w:highlight w:val="none"/>
          <w:lang w:val="en-US" w:eastAsia="zh-CN"/>
        </w:rPr>
        <w:t>.甲方对乙方的评估从过程、结果和效益、财务使用等多角度进行综合评价。过程评估重点考核乙方是否按实施方案推进工作，各项具体服务是否和项目目标一致，服务送达的组织情况是否及时有效、项目管理是否有效等。结果评估重点考察项目经费使用是否合理规范、项目执行结果是否达到预定目标，项目实施对服务对象的干预是否发生作用，项目的影响包含的非预期后果，是否能够选定适当的受益对象并对目标群体需求进行及时回应，受益群体在知识、生活、行为方式、精神面貌方面是否发生预期的改变，工作人员是否值得服务对象信赖、服务态度是否良好，工作人员是否能够尊重服务对象隐私，服务对象是否有畅通的投诉渠道，项目经验是否具有推广价值。绩效评估重点考察项目成本和效益的比较，分析项目是否产生了足够的效益，和其他服务方式相比较，是否具有较高的成本效益优势。财务评估由乙方提供所有财务报销票据和财务预算及使用报告。</w:t>
      </w:r>
    </w:p>
    <w:p w14:paraId="5016555E">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snapToGrid/>
          <w:color w:val="auto"/>
          <w:spacing w:val="3"/>
          <w:kern w:val="2"/>
          <w:sz w:val="21"/>
          <w:szCs w:val="21"/>
          <w:highlight w:val="none"/>
          <w:lang w:val="en-US" w:eastAsia="zh-CN"/>
        </w:rPr>
        <w:t>4</w:t>
      </w:r>
      <w:r>
        <w:rPr>
          <w:rFonts w:hint="eastAsia" w:ascii="宋体" w:hAnsi="宋体" w:eastAsia="宋体" w:cs="宋体"/>
          <w:snapToGrid/>
          <w:color w:val="auto"/>
          <w:spacing w:val="3"/>
          <w:kern w:val="2"/>
          <w:sz w:val="21"/>
          <w:szCs w:val="21"/>
          <w:highlight w:val="none"/>
          <w:lang w:val="en-US" w:eastAsia="zh-CN"/>
        </w:rPr>
        <w:t>.甲方对乙方的评估应注重征求各相关利益方的意见，广泛对受益群体、受益群体的知情群体、工作人员等进行访谈，从多方面科学论证乙方的工作成效。</w:t>
      </w:r>
    </w:p>
    <w:p w14:paraId="420260C2">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snapToGrid/>
          <w:color w:val="auto"/>
          <w:spacing w:val="3"/>
          <w:kern w:val="2"/>
          <w:sz w:val="21"/>
          <w:szCs w:val="21"/>
          <w:highlight w:val="none"/>
          <w:lang w:val="en-US" w:eastAsia="zh-CN"/>
        </w:rPr>
        <w:t>5</w:t>
      </w:r>
      <w:r>
        <w:rPr>
          <w:rFonts w:hint="eastAsia" w:ascii="宋体" w:hAnsi="宋体" w:eastAsia="宋体" w:cs="宋体"/>
          <w:snapToGrid/>
          <w:color w:val="auto"/>
          <w:spacing w:val="3"/>
          <w:kern w:val="2"/>
          <w:sz w:val="21"/>
          <w:szCs w:val="21"/>
          <w:highlight w:val="none"/>
          <w:lang w:val="en-US" w:eastAsia="zh-CN"/>
        </w:rPr>
        <w:t>.甲方以不定期不预告的方式派评估工作人员到现场参与或观察项目进展情况，并将有关情况作为过程评估的重要依据。</w:t>
      </w:r>
    </w:p>
    <w:p w14:paraId="3F4C265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snapToGrid/>
          <w:color w:val="auto"/>
          <w:spacing w:val="3"/>
          <w:kern w:val="2"/>
          <w:sz w:val="21"/>
          <w:szCs w:val="21"/>
          <w:highlight w:val="none"/>
          <w:lang w:val="en-US" w:eastAsia="zh-CN"/>
        </w:rPr>
        <w:t>6</w:t>
      </w:r>
      <w:r>
        <w:rPr>
          <w:rFonts w:hint="eastAsia" w:ascii="宋体" w:hAnsi="宋体" w:eastAsia="宋体" w:cs="宋体"/>
          <w:snapToGrid/>
          <w:color w:val="auto"/>
          <w:spacing w:val="3"/>
          <w:kern w:val="2"/>
          <w:sz w:val="21"/>
          <w:szCs w:val="21"/>
          <w:highlight w:val="none"/>
          <w:lang w:val="en-US" w:eastAsia="zh-CN"/>
        </w:rPr>
        <w:t>.甲方对乙方的评估包含对乙方提供服务的自我评估情况的考察，乙方要督促专职社工在服务过程中采用单一对象设计（为服务对象建立基线——提供服务——评估服务提供后的影响）等评估手法，准确记录服务过程，准确说明服务对象改变情况。</w:t>
      </w:r>
    </w:p>
    <w:p w14:paraId="4F643F98">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cs="宋体"/>
          <w:b/>
          <w:bCs/>
          <w:snapToGrid/>
          <w:color w:val="auto"/>
          <w:spacing w:val="3"/>
          <w:kern w:val="2"/>
          <w:sz w:val="21"/>
          <w:szCs w:val="21"/>
          <w:highlight w:val="none"/>
          <w:lang w:val="en-US" w:eastAsia="zh-CN"/>
        </w:rPr>
      </w:pPr>
      <w:r>
        <w:rPr>
          <w:rFonts w:hint="eastAsia" w:ascii="宋体" w:hAnsi="宋体" w:cs="宋体"/>
          <w:snapToGrid/>
          <w:color w:val="auto"/>
          <w:spacing w:val="3"/>
          <w:kern w:val="2"/>
          <w:sz w:val="21"/>
          <w:szCs w:val="21"/>
          <w:highlight w:val="none"/>
          <w:lang w:val="en-US" w:eastAsia="zh-CN"/>
        </w:rPr>
        <w:t>7</w:t>
      </w:r>
      <w:r>
        <w:rPr>
          <w:rFonts w:hint="eastAsia" w:ascii="宋体" w:hAnsi="宋体" w:eastAsia="宋体" w:cs="宋体"/>
          <w:snapToGrid/>
          <w:color w:val="auto"/>
          <w:spacing w:val="3"/>
          <w:kern w:val="2"/>
          <w:sz w:val="21"/>
          <w:szCs w:val="21"/>
          <w:highlight w:val="none"/>
          <w:lang w:val="en-US" w:eastAsia="zh-CN"/>
        </w:rPr>
        <w:t>.末期评估的基本程序是先由乙方对照甲方按本协议框架细化的评估指标体系进行自我评估，然后将自我评估结果提交给甲方，甲方收到乙方自我评估材料后，通过对评估材料的查阅和现场调查评估，将需要乙方补充举证的部分反馈给乙方，待乙方进行补充完善后，甲方做出最后的评估结论。末期评估结束后，组织召开由实施项目各方组成的项目终期评估报告会，推广宣传项目经验。</w:t>
      </w:r>
    </w:p>
    <w:p w14:paraId="262A4797">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b/>
          <w:bCs/>
          <w:snapToGrid/>
          <w:color w:val="auto"/>
          <w:spacing w:val="3"/>
          <w:kern w:val="2"/>
          <w:sz w:val="21"/>
          <w:szCs w:val="21"/>
          <w:highlight w:val="none"/>
          <w:lang w:val="en-US" w:eastAsia="zh-CN"/>
        </w:rPr>
        <w:t>六</w:t>
      </w:r>
      <w:r>
        <w:rPr>
          <w:rFonts w:hint="eastAsia" w:ascii="宋体" w:hAnsi="宋体" w:eastAsia="宋体" w:cs="宋体"/>
          <w:b/>
          <w:bCs/>
          <w:snapToGrid/>
          <w:color w:val="auto"/>
          <w:spacing w:val="3"/>
          <w:kern w:val="2"/>
          <w:sz w:val="21"/>
          <w:szCs w:val="21"/>
          <w:highlight w:val="none"/>
          <w:lang w:val="en-US" w:eastAsia="zh-CN"/>
        </w:rPr>
        <w:t>、双方的权利和义务</w:t>
      </w:r>
    </w:p>
    <w:p w14:paraId="6345E6DE">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（一）甲方的权利和义务</w:t>
      </w:r>
    </w:p>
    <w:p w14:paraId="67362A62">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1.甲方负责指导项目工作，对乙方在项目运作过程中各项工作目标的完成情况、项目经费使用及各项机制落实情况进行监管，必要时提出修改意见和建议。</w:t>
      </w:r>
    </w:p>
    <w:p w14:paraId="7D2FF280">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2.根据乙方的要求，协调有关部门，尽力解决项目运作中遇到的问题，为工作提供必要的，非物质的支持和帮助。</w:t>
      </w:r>
    </w:p>
    <w:p w14:paraId="12B20F6B">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3.按本合同的约定，按时拨付经费。</w:t>
      </w:r>
    </w:p>
    <w:p w14:paraId="1BDDB06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4.成立自评小组对项目进行评估，形成评估意见。</w:t>
      </w:r>
    </w:p>
    <w:p w14:paraId="15F9536B">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5.按照乡镇民政服务站的建设要求，协调相关部门完成服务站的场地安排。</w:t>
      </w:r>
    </w:p>
    <w:p w14:paraId="656A4D21">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（二）乙方的权利和义务</w:t>
      </w:r>
    </w:p>
    <w:p w14:paraId="020105C0">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1.根据本项目的目标要求组建服务人员队伍，服务人员应结合服务站实际进行配备，具有相应的技术和能力。</w:t>
      </w:r>
    </w:p>
    <w:p w14:paraId="071AF967">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2.结合各乡镇的实际情况以及甲方的相关要求制订各个乡镇服务站的运营服务计划书及有关具体的实施方案和相关措施，需严格按照双方拟定并同意的“具体服务量及服务指标”来完成各项工作。</w:t>
      </w:r>
    </w:p>
    <w:p w14:paraId="124B2FB0">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3.遵守国家法律法规及社会工作伦理道德，执行项目计划书，全面完成本项目的各项服务要求，为服务对象提供优质的服务。</w:t>
      </w:r>
    </w:p>
    <w:p w14:paraId="2CFC3C5D">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4.在履行合同过程中，不得将服务项目委托给第三人，应定期向甲方如实反映本项目的执行情况及成效；配合甲方组织开展的评估。</w:t>
      </w:r>
    </w:p>
    <w:p w14:paraId="760A1FAF">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5.严格按照有关规定管理使用好各项经费，专款专用，并接受甲方监督。</w:t>
      </w:r>
    </w:p>
    <w:p w14:paraId="6B06809B">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6.乙方所提供的服务人员应具备以下基本条件：</w:t>
      </w:r>
    </w:p>
    <w:p w14:paraId="7F683A08">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（1）尊重服务对象的自决权、隐私权、知情权，保护其利益，接纳服务对象；</w:t>
      </w:r>
    </w:p>
    <w:p w14:paraId="07A9628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（2）能运用专业方法和技巧，为甲方解决服务对象的实际问题，为甲方相关工作出谋划策；</w:t>
      </w:r>
    </w:p>
    <w:p w14:paraId="0AF74C54">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（3）热爱本职工作，具有社会责任感和敬业精神，遵守职业操守及甲方的管理制度。</w:t>
      </w:r>
    </w:p>
    <w:p w14:paraId="640D8C50">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7.在每个乡镇设立一个民政服务站，每个服务站将配备必需的办公场地和设施设备，包括单独的办公用房、桌椅、电脑、打印机、档案柜以及相应的文具用品等。服务站在场地配备上将会按照文件精神上墙相关的管理制度和服务流程。</w:t>
      </w:r>
    </w:p>
    <w:p w14:paraId="0237251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8.乙方提供的工作服务内容应遵守</w:t>
      </w:r>
      <w:r>
        <w:rPr>
          <w:rFonts w:hint="eastAsia" w:ascii="宋体" w:hAnsi="宋体" w:cs="宋体"/>
          <w:snapToGrid/>
          <w:color w:val="auto"/>
          <w:spacing w:val="3"/>
          <w:kern w:val="2"/>
          <w:sz w:val="21"/>
          <w:szCs w:val="21"/>
          <w:highlight w:val="none"/>
          <w:lang w:val="en-US" w:eastAsia="zh-CN"/>
        </w:rPr>
        <w:t>甲方要求</w:t>
      </w:r>
      <w:r>
        <w:rPr>
          <w:rFonts w:hint="eastAsia" w:ascii="宋体" w:hAnsi="宋体" w:eastAsia="宋体" w:cs="宋体"/>
          <w:snapToGrid/>
          <w:color w:val="auto"/>
          <w:spacing w:val="3"/>
          <w:kern w:val="2"/>
          <w:sz w:val="21"/>
          <w:szCs w:val="21"/>
          <w:highlight w:val="none"/>
          <w:lang w:val="en-US" w:eastAsia="zh-CN"/>
        </w:rPr>
        <w:t>，按期完成各项工作任务指标，切实保证工作质量。</w:t>
      </w:r>
    </w:p>
    <w:p w14:paraId="6B3E698F">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b/>
          <w:bCs/>
          <w:snapToGrid/>
          <w:color w:val="auto"/>
          <w:spacing w:val="3"/>
          <w:kern w:val="2"/>
          <w:sz w:val="21"/>
          <w:szCs w:val="21"/>
          <w:highlight w:val="none"/>
          <w:lang w:val="en-US" w:eastAsia="zh-CN"/>
        </w:rPr>
        <w:t>七</w:t>
      </w:r>
      <w:r>
        <w:rPr>
          <w:rFonts w:hint="eastAsia" w:ascii="宋体" w:hAnsi="宋体" w:eastAsia="宋体" w:cs="宋体"/>
          <w:b/>
          <w:bCs/>
          <w:snapToGrid/>
          <w:color w:val="auto"/>
          <w:spacing w:val="3"/>
          <w:kern w:val="2"/>
          <w:sz w:val="21"/>
          <w:szCs w:val="21"/>
          <w:highlight w:val="none"/>
          <w:lang w:val="en-US" w:eastAsia="zh-CN"/>
        </w:rPr>
        <w:t>、违约责任</w:t>
      </w:r>
    </w:p>
    <w:p w14:paraId="55B26E1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（一）有下列情形之一的，乙方有权临时召回服务人员或解除本协议，并要求甲方支付相当于</w:t>
      </w:r>
      <w:r>
        <w:rPr>
          <w:rFonts w:hint="eastAsia" w:ascii="宋体" w:hAnsi="宋体" w:cs="宋体"/>
          <w:snapToGrid/>
          <w:color w:val="auto"/>
          <w:spacing w:val="3"/>
          <w:kern w:val="2"/>
          <w:sz w:val="21"/>
          <w:szCs w:val="21"/>
          <w:highlight w:val="none"/>
          <w:lang w:val="en-US" w:eastAsia="zh-CN"/>
        </w:rPr>
        <w:t>合同</w:t>
      </w:r>
      <w:r>
        <w:rPr>
          <w:rFonts w:hint="eastAsia" w:ascii="宋体" w:hAnsi="宋体" w:eastAsia="宋体" w:cs="宋体"/>
          <w:snapToGrid/>
          <w:color w:val="auto"/>
          <w:spacing w:val="3"/>
          <w:kern w:val="2"/>
          <w:sz w:val="21"/>
          <w:szCs w:val="21"/>
          <w:highlight w:val="none"/>
          <w:lang w:val="en-US" w:eastAsia="zh-CN"/>
        </w:rPr>
        <w:t>金额</w:t>
      </w:r>
      <w:r>
        <w:rPr>
          <w:rFonts w:hint="eastAsia" w:ascii="宋体" w:hAnsi="宋体" w:cs="宋体"/>
          <w:snapToGrid/>
          <w:color w:val="auto"/>
          <w:spacing w:val="3"/>
          <w:kern w:val="2"/>
          <w:sz w:val="21"/>
          <w:szCs w:val="21"/>
          <w:highlight w:val="none"/>
          <w:lang w:val="en-US" w:eastAsia="zh-CN"/>
        </w:rPr>
        <w:t>5</w:t>
      </w:r>
      <w:r>
        <w:rPr>
          <w:rFonts w:hint="eastAsia" w:ascii="宋体" w:hAnsi="宋体" w:eastAsia="宋体" w:cs="宋体"/>
          <w:snapToGrid/>
          <w:color w:val="auto"/>
          <w:spacing w:val="3"/>
          <w:kern w:val="2"/>
          <w:sz w:val="21"/>
          <w:szCs w:val="21"/>
          <w:highlight w:val="none"/>
          <w:lang w:val="en-US" w:eastAsia="zh-CN"/>
        </w:rPr>
        <w:t xml:space="preserve">%的违约金： </w:t>
      </w:r>
    </w:p>
    <w:p w14:paraId="378BF050">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1.甲方未按时支付有关费用的；</w:t>
      </w:r>
    </w:p>
    <w:p w14:paraId="13B15BB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2.甲方对约定的服务内容发生变更而未取得乙方同意的；</w:t>
      </w:r>
    </w:p>
    <w:p w14:paraId="3234269F">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3.甲方对民政服务站工作人员工作要求违反国家法律、法规或损害其身心健康的；</w:t>
      </w:r>
    </w:p>
    <w:p w14:paraId="58066BFF">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4.甲方无正当理由频繁要求调换工作人员的。</w:t>
      </w:r>
    </w:p>
    <w:p w14:paraId="3387FC6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（二）有下列情形之一的，甲方有权要求乙方调换工作人员或解除本协议，并要求乙方支付相当于</w:t>
      </w:r>
      <w:r>
        <w:rPr>
          <w:rFonts w:hint="eastAsia" w:ascii="宋体" w:hAnsi="宋体" w:cs="宋体"/>
          <w:snapToGrid/>
          <w:color w:val="auto"/>
          <w:spacing w:val="3"/>
          <w:kern w:val="2"/>
          <w:sz w:val="21"/>
          <w:szCs w:val="21"/>
          <w:highlight w:val="none"/>
          <w:lang w:val="en-US" w:eastAsia="zh-CN"/>
        </w:rPr>
        <w:t>合同</w:t>
      </w:r>
      <w:r>
        <w:rPr>
          <w:rFonts w:hint="eastAsia" w:ascii="宋体" w:hAnsi="宋体" w:eastAsia="宋体" w:cs="宋体"/>
          <w:snapToGrid/>
          <w:color w:val="auto"/>
          <w:spacing w:val="3"/>
          <w:kern w:val="2"/>
          <w:sz w:val="21"/>
          <w:szCs w:val="21"/>
          <w:highlight w:val="none"/>
          <w:lang w:val="en-US" w:eastAsia="zh-CN"/>
        </w:rPr>
        <w:t>金额</w:t>
      </w:r>
      <w:r>
        <w:rPr>
          <w:rFonts w:hint="eastAsia" w:ascii="宋体" w:hAnsi="宋体" w:cs="宋体"/>
          <w:snapToGrid/>
          <w:color w:val="auto"/>
          <w:spacing w:val="3"/>
          <w:kern w:val="2"/>
          <w:sz w:val="21"/>
          <w:szCs w:val="21"/>
          <w:highlight w:val="none"/>
          <w:lang w:val="en-US" w:eastAsia="zh-CN"/>
        </w:rPr>
        <w:t>5</w:t>
      </w:r>
      <w:r>
        <w:rPr>
          <w:rFonts w:hint="eastAsia" w:ascii="宋体" w:hAnsi="宋体" w:eastAsia="宋体" w:cs="宋体"/>
          <w:snapToGrid/>
          <w:color w:val="auto"/>
          <w:spacing w:val="3"/>
          <w:kern w:val="2"/>
          <w:sz w:val="21"/>
          <w:szCs w:val="21"/>
          <w:highlight w:val="none"/>
          <w:lang w:val="en-US" w:eastAsia="zh-CN"/>
        </w:rPr>
        <w:t xml:space="preserve"> %的违约金：</w:t>
      </w:r>
    </w:p>
    <w:p w14:paraId="4E07090D">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1.乙方工作人员有违反法律、法规的行为的；</w:t>
      </w:r>
    </w:p>
    <w:p w14:paraId="0B6E5719">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2.乙方工作人员有违反道德的行为，造成一定负面影响的；</w:t>
      </w:r>
    </w:p>
    <w:p w14:paraId="0DC098A4">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3.乙方工作人员故意或重大过失给甲方造成损失的；</w:t>
      </w:r>
    </w:p>
    <w:p w14:paraId="56EC0B1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4.乙方工作人员不遵守甲方管理制度，扰乱工作秩序的；</w:t>
      </w:r>
    </w:p>
    <w:p w14:paraId="5B853CCA">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5.乙方有其他违反本协议及相关文件规定的行为的。</w:t>
      </w:r>
    </w:p>
    <w:p w14:paraId="63F36339">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b/>
          <w:bCs/>
          <w:snapToGrid/>
          <w:color w:val="auto"/>
          <w:spacing w:val="3"/>
          <w:kern w:val="2"/>
          <w:sz w:val="21"/>
          <w:szCs w:val="21"/>
          <w:highlight w:val="none"/>
          <w:lang w:val="en-US" w:eastAsia="zh-CN"/>
        </w:rPr>
        <w:t>八</w:t>
      </w:r>
      <w:r>
        <w:rPr>
          <w:rFonts w:hint="eastAsia" w:ascii="宋体" w:hAnsi="宋体" w:eastAsia="宋体" w:cs="宋体"/>
          <w:b/>
          <w:bCs/>
          <w:snapToGrid/>
          <w:color w:val="auto"/>
          <w:spacing w:val="3"/>
          <w:kern w:val="2"/>
          <w:sz w:val="21"/>
          <w:szCs w:val="21"/>
          <w:highlight w:val="none"/>
          <w:lang w:val="en-US" w:eastAsia="zh-CN"/>
        </w:rPr>
        <w:t>、其他约定</w:t>
      </w:r>
    </w:p>
    <w:p w14:paraId="44A76479">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一）本合同终止时7天内，乙方在遵守《社会工作职业道德指引》的前提下，需移交其服务期间内所掌握的与本服务有关的文件、资料，并配合甲方办理好移交手续，否则，甲方有权追究因此产生的一切法律经济责任。移交后，甲方须保证维护乙方服务对象的隐私权、名誉权，如在资料和文件使用过程中出现相关法律纠纷或负面影响，由甲方承担法律责任。</w:t>
      </w:r>
    </w:p>
    <w:p w14:paraId="736D9282">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b/>
          <w:bCs/>
          <w:snapToGrid/>
          <w:color w:val="auto"/>
          <w:spacing w:val="3"/>
          <w:kern w:val="2"/>
          <w:sz w:val="21"/>
          <w:szCs w:val="21"/>
          <w:highlight w:val="none"/>
          <w:lang w:val="en-US" w:eastAsia="zh-CN"/>
        </w:rPr>
        <w:t>九</w:t>
      </w:r>
      <w:r>
        <w:rPr>
          <w:rFonts w:hint="eastAsia" w:ascii="宋体" w:hAnsi="宋体" w:eastAsia="宋体" w:cs="宋体"/>
          <w:b/>
          <w:bCs/>
          <w:snapToGrid/>
          <w:color w:val="auto"/>
          <w:spacing w:val="3"/>
          <w:kern w:val="2"/>
          <w:sz w:val="21"/>
          <w:szCs w:val="21"/>
          <w:highlight w:val="none"/>
          <w:lang w:val="en-US" w:eastAsia="zh-CN"/>
        </w:rPr>
        <w:t>、不可抗力</w:t>
      </w:r>
    </w:p>
    <w:p w14:paraId="52A904FD">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甲乙两方任何一方由于不可抗力原因不能履行合同时，应及时向任何一方通报不能履行或不能完全履行的理由，以减轻可能给任何一方造成的损失，在取得有关机构证明后，允许延期履行、部分履行或不履行合同，并根据情况可部分或全部予以承担违约责任。</w:t>
      </w:r>
    </w:p>
    <w:p w14:paraId="29F63E18">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cs="宋体"/>
          <w:b/>
          <w:bCs/>
          <w:snapToGrid/>
          <w:color w:val="auto"/>
          <w:spacing w:val="3"/>
          <w:kern w:val="2"/>
          <w:sz w:val="21"/>
          <w:szCs w:val="21"/>
          <w:highlight w:val="none"/>
          <w:lang w:val="en-US" w:eastAsia="zh-CN"/>
        </w:rPr>
        <w:t>十、</w:t>
      </w:r>
      <w:r>
        <w:rPr>
          <w:rFonts w:hint="eastAsia" w:ascii="宋体" w:hAnsi="宋体" w:eastAsia="宋体" w:cs="宋体"/>
          <w:b/>
          <w:bCs/>
          <w:snapToGrid/>
          <w:color w:val="auto"/>
          <w:spacing w:val="3"/>
          <w:kern w:val="2"/>
          <w:sz w:val="21"/>
          <w:szCs w:val="21"/>
          <w:highlight w:val="none"/>
          <w:lang w:val="en-US" w:eastAsia="zh-CN"/>
        </w:rPr>
        <w:t>解决合同纠纷方式</w:t>
      </w:r>
    </w:p>
    <w:p w14:paraId="661D9705">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1.首先通过双方协商解决，协商解决不成，向</w:t>
      </w:r>
      <w:r>
        <w:rPr>
          <w:rFonts w:hint="eastAsia" w:ascii="宋体" w:hAnsi="宋体" w:cs="宋体"/>
          <w:snapToGrid/>
          <w:color w:val="auto"/>
          <w:spacing w:val="3"/>
          <w:kern w:val="2"/>
          <w:sz w:val="21"/>
          <w:szCs w:val="21"/>
          <w:highlight w:val="none"/>
          <w:lang w:val="en-US" w:eastAsia="zh-CN"/>
        </w:rPr>
        <w:t>甲方所在地</w:t>
      </w:r>
      <w:r>
        <w:rPr>
          <w:rFonts w:hint="eastAsia" w:ascii="宋体" w:hAnsi="宋体" w:eastAsia="宋体" w:cs="宋体"/>
          <w:snapToGrid/>
          <w:color w:val="auto"/>
          <w:spacing w:val="3"/>
          <w:kern w:val="2"/>
          <w:sz w:val="21"/>
          <w:szCs w:val="21"/>
          <w:highlight w:val="none"/>
          <w:lang w:val="en-US" w:eastAsia="zh-CN"/>
        </w:rPr>
        <w:t>人民法院提起诉讼。</w:t>
      </w:r>
    </w:p>
    <w:p w14:paraId="3C19BBA0">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双方在本合同所载地址及联系方式为甲乙双方的送达地址及联系方式，合同各项通知、包括诉讼法律文书送达至本合同所载地址后视为送达。当事人拒绝签收或是无人签收的，邮寄送达以文书退回之日视为送达之日</w:t>
      </w:r>
      <w:r>
        <w:rPr>
          <w:rFonts w:hint="eastAsia" w:ascii="宋体" w:hAnsi="宋体" w:cs="宋体"/>
          <w:snapToGrid/>
          <w:color w:val="auto"/>
          <w:spacing w:val="3"/>
          <w:kern w:val="2"/>
          <w:sz w:val="21"/>
          <w:szCs w:val="21"/>
          <w:highlight w:val="none"/>
          <w:lang w:val="en-US" w:eastAsia="zh-CN"/>
        </w:rPr>
        <w:t>；</w:t>
      </w:r>
      <w:r>
        <w:rPr>
          <w:rFonts w:hint="eastAsia" w:ascii="宋体" w:hAnsi="宋体" w:eastAsia="宋体" w:cs="宋体"/>
          <w:snapToGrid/>
          <w:color w:val="auto"/>
          <w:spacing w:val="3"/>
          <w:kern w:val="2"/>
          <w:sz w:val="21"/>
          <w:szCs w:val="21"/>
          <w:highlight w:val="none"/>
          <w:lang w:val="en-US" w:eastAsia="zh-CN"/>
        </w:rPr>
        <w:t>直接送达的，送达人当场在送达回证上记明情况之日视为送达之日。</w:t>
      </w:r>
    </w:p>
    <w:p w14:paraId="2F85EDE6">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b/>
          <w:bCs/>
          <w:snapToGrid/>
          <w:color w:val="auto"/>
          <w:spacing w:val="3"/>
          <w:kern w:val="2"/>
          <w:sz w:val="21"/>
          <w:szCs w:val="21"/>
          <w:highlight w:val="none"/>
          <w:lang w:val="en-US" w:eastAsia="zh-CN"/>
        </w:rPr>
        <w:t>十</w:t>
      </w:r>
      <w:r>
        <w:rPr>
          <w:rFonts w:hint="eastAsia" w:ascii="宋体" w:hAnsi="宋体" w:cs="宋体"/>
          <w:b/>
          <w:bCs/>
          <w:snapToGrid/>
          <w:color w:val="auto"/>
          <w:spacing w:val="3"/>
          <w:kern w:val="2"/>
          <w:sz w:val="21"/>
          <w:szCs w:val="21"/>
          <w:highlight w:val="none"/>
          <w:lang w:val="en-US" w:eastAsia="zh-CN"/>
        </w:rPr>
        <w:t>一</w:t>
      </w:r>
      <w:r>
        <w:rPr>
          <w:rFonts w:hint="eastAsia" w:ascii="宋体" w:hAnsi="宋体" w:eastAsia="宋体" w:cs="宋体"/>
          <w:b/>
          <w:bCs/>
          <w:snapToGrid/>
          <w:color w:val="auto"/>
          <w:spacing w:val="3"/>
          <w:kern w:val="2"/>
          <w:sz w:val="21"/>
          <w:szCs w:val="21"/>
          <w:highlight w:val="none"/>
          <w:lang w:val="en-US" w:eastAsia="zh-CN"/>
        </w:rPr>
        <w:t>、合同变更</w:t>
      </w:r>
    </w:p>
    <w:p w14:paraId="0903D048">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双方应严格按合同执行，任何一方均不能单方对合同内容做任何实质性变更，订立补充合同不得与原合同发生冲突。</w:t>
      </w:r>
    </w:p>
    <w:p w14:paraId="2398B757">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b/>
          <w:bCs/>
          <w:snapToGrid/>
          <w:color w:val="auto"/>
          <w:spacing w:val="3"/>
          <w:kern w:val="2"/>
          <w:sz w:val="21"/>
          <w:szCs w:val="21"/>
          <w:highlight w:val="none"/>
          <w:lang w:val="en-US" w:eastAsia="zh-CN"/>
        </w:rPr>
        <w:t>十</w:t>
      </w:r>
      <w:r>
        <w:rPr>
          <w:rFonts w:hint="eastAsia" w:ascii="宋体" w:hAnsi="宋体" w:cs="宋体"/>
          <w:b/>
          <w:bCs/>
          <w:snapToGrid/>
          <w:color w:val="auto"/>
          <w:spacing w:val="3"/>
          <w:kern w:val="2"/>
          <w:sz w:val="21"/>
          <w:szCs w:val="21"/>
          <w:highlight w:val="none"/>
          <w:lang w:val="en-US" w:eastAsia="zh-CN"/>
        </w:rPr>
        <w:t>二</w:t>
      </w:r>
      <w:r>
        <w:rPr>
          <w:rFonts w:hint="eastAsia" w:ascii="宋体" w:hAnsi="宋体" w:eastAsia="宋体" w:cs="宋体"/>
          <w:b/>
          <w:bCs/>
          <w:snapToGrid/>
          <w:color w:val="auto"/>
          <w:spacing w:val="3"/>
          <w:kern w:val="2"/>
          <w:sz w:val="21"/>
          <w:szCs w:val="21"/>
          <w:highlight w:val="none"/>
          <w:lang w:val="en-US" w:eastAsia="zh-CN"/>
        </w:rPr>
        <w:t>、合同有效性的文件</w:t>
      </w:r>
    </w:p>
    <w:p w14:paraId="4C12F453">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在合同履行的过程中，如下述文件之间有任何抵触、矛盾或歧义，应按以下顺序解释</w:t>
      </w:r>
      <w:r>
        <w:rPr>
          <w:rFonts w:hint="eastAsia" w:ascii="宋体" w:hAnsi="宋体" w:cs="宋体"/>
          <w:snapToGrid/>
          <w:color w:val="auto"/>
          <w:spacing w:val="3"/>
          <w:kern w:val="2"/>
          <w:sz w:val="21"/>
          <w:szCs w:val="21"/>
          <w:highlight w:val="none"/>
          <w:lang w:val="en-US" w:eastAsia="zh-CN"/>
        </w:rPr>
        <w:t>：</w:t>
      </w:r>
    </w:p>
    <w:p w14:paraId="4A10BB1E">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1.在采购或合同履行过程中乙方做出的承诺以及双方协商达成的变更或补充协议。</w:t>
      </w:r>
    </w:p>
    <w:p w14:paraId="04996090">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2.本合同协议书。</w:t>
      </w:r>
    </w:p>
    <w:p w14:paraId="03D9F4C1">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3.成交通知书。</w:t>
      </w:r>
    </w:p>
    <w:p w14:paraId="4A6B2819">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b/>
          <w:bCs/>
          <w:snapToGrid/>
          <w:color w:val="auto"/>
          <w:spacing w:val="3"/>
          <w:kern w:val="2"/>
          <w:sz w:val="21"/>
          <w:szCs w:val="21"/>
          <w:highlight w:val="none"/>
          <w:lang w:val="en-US" w:eastAsia="zh-CN"/>
        </w:rPr>
        <w:t>十</w:t>
      </w:r>
      <w:r>
        <w:rPr>
          <w:rFonts w:hint="eastAsia" w:ascii="宋体" w:hAnsi="宋体" w:cs="宋体"/>
          <w:b/>
          <w:bCs/>
          <w:snapToGrid/>
          <w:color w:val="auto"/>
          <w:spacing w:val="3"/>
          <w:kern w:val="2"/>
          <w:sz w:val="21"/>
          <w:szCs w:val="21"/>
          <w:highlight w:val="none"/>
          <w:lang w:val="en-US" w:eastAsia="zh-CN"/>
        </w:rPr>
        <w:t>三</w:t>
      </w:r>
      <w:r>
        <w:rPr>
          <w:rFonts w:hint="eastAsia" w:ascii="宋体" w:hAnsi="宋体" w:eastAsia="宋体" w:cs="宋体"/>
          <w:b/>
          <w:bCs/>
          <w:snapToGrid/>
          <w:color w:val="auto"/>
          <w:spacing w:val="3"/>
          <w:kern w:val="2"/>
          <w:sz w:val="21"/>
          <w:szCs w:val="21"/>
          <w:highlight w:val="none"/>
          <w:lang w:val="en-US" w:eastAsia="zh-CN"/>
        </w:rPr>
        <w:t>、合同生效</w:t>
      </w:r>
    </w:p>
    <w:p w14:paraId="3A4C3CD9">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本合同自签订之日起生效，服务期限自    年   月  日起至   年   月  日，共</w:t>
      </w:r>
      <w:r>
        <w:rPr>
          <w:rFonts w:hint="eastAsia" w:ascii="宋体" w:hAnsi="宋体" w:cs="宋体"/>
          <w:snapToGrid/>
          <w:color w:val="auto"/>
          <w:spacing w:val="3"/>
          <w:kern w:val="2"/>
          <w:sz w:val="21"/>
          <w:szCs w:val="21"/>
          <w:highlight w:val="none"/>
          <w:lang w:val="en-US" w:eastAsia="zh-CN"/>
        </w:rPr>
        <w:t>1</w:t>
      </w:r>
      <w:r>
        <w:rPr>
          <w:rFonts w:hint="eastAsia" w:ascii="宋体" w:hAnsi="宋体" w:eastAsia="宋体" w:cs="宋体"/>
          <w:snapToGrid/>
          <w:color w:val="auto"/>
          <w:spacing w:val="3"/>
          <w:kern w:val="2"/>
          <w:sz w:val="21"/>
          <w:szCs w:val="21"/>
          <w:highlight w:val="none"/>
          <w:lang w:val="en-US" w:eastAsia="zh-CN"/>
        </w:rPr>
        <w:t>年。</w:t>
      </w:r>
    </w:p>
    <w:p w14:paraId="568281F6">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b/>
          <w:bCs/>
          <w:snapToGrid/>
          <w:color w:val="auto"/>
          <w:spacing w:val="3"/>
          <w:kern w:val="2"/>
          <w:sz w:val="21"/>
          <w:szCs w:val="21"/>
          <w:highlight w:val="none"/>
          <w:lang w:val="en-US" w:eastAsia="zh-CN"/>
        </w:rPr>
        <w:t>十</w:t>
      </w:r>
      <w:r>
        <w:rPr>
          <w:rFonts w:hint="eastAsia" w:ascii="宋体" w:hAnsi="宋体" w:cs="宋体"/>
          <w:b/>
          <w:bCs/>
          <w:snapToGrid/>
          <w:color w:val="auto"/>
          <w:spacing w:val="3"/>
          <w:kern w:val="2"/>
          <w:sz w:val="21"/>
          <w:szCs w:val="21"/>
          <w:highlight w:val="none"/>
          <w:lang w:val="en-US" w:eastAsia="zh-CN"/>
        </w:rPr>
        <w:t>四</w:t>
      </w:r>
      <w:r>
        <w:rPr>
          <w:rFonts w:hint="eastAsia" w:ascii="宋体" w:hAnsi="宋体" w:eastAsia="宋体" w:cs="宋体"/>
          <w:b/>
          <w:bCs/>
          <w:snapToGrid/>
          <w:color w:val="auto"/>
          <w:spacing w:val="3"/>
          <w:kern w:val="2"/>
          <w:sz w:val="21"/>
          <w:szCs w:val="21"/>
          <w:highlight w:val="none"/>
          <w:lang w:val="en-US" w:eastAsia="zh-CN"/>
        </w:rPr>
        <w:t>、合同份数</w:t>
      </w:r>
    </w:p>
    <w:p w14:paraId="26428089">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both"/>
        <w:textAlignment w:val="auto"/>
        <w:rPr>
          <w:rFonts w:hint="eastAsia" w:ascii="宋体" w:hAnsi="宋体" w:eastAsia="宋体" w:cs="宋体"/>
          <w:snapToGrid/>
          <w:color w:val="auto"/>
          <w:spacing w:val="3"/>
          <w:kern w:val="2"/>
          <w:sz w:val="21"/>
          <w:szCs w:val="21"/>
          <w:highlight w:val="none"/>
          <w:lang w:val="en-US" w:eastAsia="zh-CN"/>
        </w:rPr>
      </w:pPr>
      <w:r>
        <w:rPr>
          <w:rFonts w:hint="eastAsia" w:ascii="宋体" w:hAnsi="宋体" w:eastAsia="宋体" w:cs="宋体"/>
          <w:snapToGrid/>
          <w:color w:val="auto"/>
          <w:spacing w:val="3"/>
          <w:kern w:val="2"/>
          <w:sz w:val="21"/>
          <w:szCs w:val="21"/>
          <w:highlight w:val="none"/>
          <w:lang w:val="en-US" w:eastAsia="zh-CN"/>
        </w:rPr>
        <w:t>本合同一式陆份，甲方执贰份，乙方执贰份，政府采购监管部门、采购代理机构各执一份。</w:t>
      </w:r>
    </w:p>
    <w:p w14:paraId="313337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6"/>
        <w:gridCol w:w="4476"/>
      </w:tblGrid>
      <w:tr w14:paraId="4B01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376" w:type="dxa"/>
            <w:tcBorders>
              <w:top w:val="single" w:color="auto" w:sz="4" w:space="0"/>
              <w:left w:val="single" w:color="auto" w:sz="4" w:space="0"/>
              <w:bottom w:val="single" w:color="auto" w:sz="4" w:space="0"/>
              <w:right w:val="single" w:color="auto" w:sz="4" w:space="0"/>
            </w:tcBorders>
            <w:noWrap w:val="0"/>
            <w:vAlign w:val="center"/>
          </w:tcPr>
          <w:p w14:paraId="5D5E62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67F553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7E5EB6E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53E59E1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4755852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631279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6A68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376" w:type="dxa"/>
            <w:tcBorders>
              <w:top w:val="single" w:color="auto" w:sz="4" w:space="0"/>
              <w:left w:val="single" w:color="auto" w:sz="4" w:space="0"/>
              <w:bottom w:val="single" w:color="auto" w:sz="4" w:space="0"/>
              <w:right w:val="single" w:color="auto" w:sz="4" w:space="0"/>
            </w:tcBorders>
            <w:noWrap w:val="0"/>
            <w:vAlign w:val="center"/>
          </w:tcPr>
          <w:p w14:paraId="2F98F1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76B719D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0DAF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4376" w:type="dxa"/>
            <w:tcBorders>
              <w:top w:val="single" w:color="auto" w:sz="4" w:space="0"/>
              <w:left w:val="single" w:color="auto" w:sz="4" w:space="0"/>
              <w:bottom w:val="single" w:color="auto" w:sz="4" w:space="0"/>
              <w:right w:val="single" w:color="auto" w:sz="4" w:space="0"/>
            </w:tcBorders>
            <w:noWrap w:val="0"/>
            <w:vAlign w:val="center"/>
          </w:tcPr>
          <w:p w14:paraId="38CE816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10BB22E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法定代表人（负责人或自然人）：</w:t>
            </w:r>
          </w:p>
        </w:tc>
      </w:tr>
      <w:tr w14:paraId="7102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4376" w:type="dxa"/>
            <w:tcBorders>
              <w:top w:val="single" w:color="auto" w:sz="4" w:space="0"/>
              <w:left w:val="single" w:color="auto" w:sz="4" w:space="0"/>
              <w:bottom w:val="single" w:color="auto" w:sz="4" w:space="0"/>
              <w:right w:val="single" w:color="auto" w:sz="4" w:space="0"/>
            </w:tcBorders>
            <w:noWrap w:val="0"/>
            <w:vAlign w:val="center"/>
          </w:tcPr>
          <w:p w14:paraId="055E15D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或委托代理人：</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406511D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或委托代理人：</w:t>
            </w:r>
          </w:p>
        </w:tc>
      </w:tr>
      <w:tr w14:paraId="06E0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376" w:type="dxa"/>
            <w:tcBorders>
              <w:top w:val="single" w:color="auto" w:sz="4" w:space="0"/>
              <w:left w:val="single" w:color="auto" w:sz="4" w:space="0"/>
              <w:bottom w:val="single" w:color="auto" w:sz="4" w:space="0"/>
              <w:right w:val="single" w:color="auto" w:sz="4" w:space="0"/>
            </w:tcBorders>
            <w:noWrap w:val="0"/>
            <w:vAlign w:val="center"/>
          </w:tcPr>
          <w:p w14:paraId="3F85BE7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7C32942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r>
      <w:tr w14:paraId="721F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4376" w:type="dxa"/>
            <w:tcBorders>
              <w:top w:val="single" w:color="auto" w:sz="4" w:space="0"/>
              <w:left w:val="single" w:color="auto" w:sz="4" w:space="0"/>
              <w:bottom w:val="single" w:color="auto" w:sz="4" w:space="0"/>
              <w:right w:val="single" w:color="auto" w:sz="4" w:space="0"/>
            </w:tcBorders>
            <w:noWrap w:val="0"/>
            <w:vAlign w:val="center"/>
          </w:tcPr>
          <w:p w14:paraId="672779A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0976AA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558F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376" w:type="dxa"/>
            <w:tcBorders>
              <w:top w:val="single" w:color="auto" w:sz="4" w:space="0"/>
              <w:left w:val="single" w:color="auto" w:sz="4" w:space="0"/>
              <w:bottom w:val="single" w:color="auto" w:sz="4" w:space="0"/>
              <w:right w:val="single" w:color="auto" w:sz="4" w:space="0"/>
            </w:tcBorders>
            <w:noWrap w:val="0"/>
            <w:vAlign w:val="center"/>
          </w:tcPr>
          <w:p w14:paraId="0D41A2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30FE451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31DF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4376" w:type="dxa"/>
            <w:tcBorders>
              <w:top w:val="single" w:color="auto" w:sz="4" w:space="0"/>
              <w:left w:val="single" w:color="auto" w:sz="4" w:space="0"/>
              <w:bottom w:val="single" w:color="auto" w:sz="4" w:space="0"/>
              <w:right w:val="single" w:color="auto" w:sz="4" w:space="0"/>
            </w:tcBorders>
            <w:noWrap w:val="0"/>
            <w:vAlign w:val="center"/>
          </w:tcPr>
          <w:p w14:paraId="374C63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5E0598A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tc>
      </w:tr>
      <w:tr w14:paraId="7609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4376" w:type="dxa"/>
            <w:tcBorders>
              <w:top w:val="single" w:color="auto" w:sz="4" w:space="0"/>
              <w:left w:val="single" w:color="auto" w:sz="4" w:space="0"/>
              <w:bottom w:val="single" w:color="auto" w:sz="4" w:space="0"/>
              <w:right w:val="single" w:color="auto" w:sz="4" w:space="0"/>
            </w:tcBorders>
            <w:noWrap w:val="0"/>
            <w:vAlign w:val="center"/>
          </w:tcPr>
          <w:p w14:paraId="58FB4ED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085A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39BE01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767A12B1">
      <w:pPr>
        <w:tabs>
          <w:tab w:val="left" w:pos="3261"/>
        </w:tabs>
        <w:spacing w:line="360" w:lineRule="auto"/>
        <w:contextualSpacing/>
        <w:jc w:val="center"/>
        <w:rPr>
          <w:rFonts w:hint="eastAsia" w:ascii="宋体" w:hAnsi="宋体" w:eastAsia="宋体" w:cs="宋体"/>
          <w:b/>
          <w:color w:val="auto"/>
          <w:sz w:val="44"/>
          <w:szCs w:val="44"/>
          <w:highlight w:val="none"/>
        </w:rPr>
      </w:pPr>
    </w:p>
    <w:p w14:paraId="1090653E">
      <w:pPr>
        <w:spacing w:line="360" w:lineRule="auto"/>
        <w:jc w:val="center"/>
        <w:rPr>
          <w:rFonts w:hint="eastAsia" w:ascii="宋体" w:hAnsi="宋体" w:eastAsia="宋体" w:cs="宋体"/>
          <w:b/>
          <w:bCs/>
          <w:color w:val="auto"/>
          <w:sz w:val="44"/>
          <w:szCs w:val="44"/>
          <w:highlight w:val="none"/>
        </w:rPr>
        <w:sectPr>
          <w:headerReference r:id="rId9" w:type="default"/>
          <w:footerReference r:id="rId10" w:type="default"/>
          <w:pgSz w:w="11910" w:h="16840"/>
          <w:pgMar w:top="1134" w:right="1134" w:bottom="1134" w:left="1134" w:header="720" w:footer="720" w:gutter="0"/>
          <w:pgNumType w:fmt="decimal"/>
          <w:cols w:space="720" w:num="1"/>
          <w:rtlGutter w:val="0"/>
        </w:sectPr>
      </w:pPr>
    </w:p>
    <w:p w14:paraId="19A21CE7">
      <w:pPr>
        <w:tabs>
          <w:tab w:val="left" w:pos="3261"/>
        </w:tabs>
        <w:spacing w:line="360" w:lineRule="auto"/>
        <w:contextualSpacing/>
        <w:jc w:val="center"/>
        <w:rPr>
          <w:rFonts w:hint="eastAsia" w:ascii="宋体" w:hAnsi="宋体" w:eastAsia="宋体" w:cs="宋体"/>
          <w:b/>
          <w:color w:val="auto"/>
          <w:sz w:val="44"/>
          <w:szCs w:val="44"/>
          <w:highlight w:val="none"/>
        </w:rPr>
      </w:pPr>
    </w:p>
    <w:p w14:paraId="6393767D">
      <w:pPr>
        <w:tabs>
          <w:tab w:val="left" w:pos="3261"/>
        </w:tabs>
        <w:spacing w:line="360" w:lineRule="auto"/>
        <w:contextualSpacing/>
        <w:jc w:val="center"/>
        <w:rPr>
          <w:rFonts w:hint="eastAsia" w:ascii="宋体" w:hAnsi="宋体" w:eastAsia="宋体" w:cs="宋体"/>
          <w:b/>
          <w:color w:val="auto"/>
          <w:sz w:val="44"/>
          <w:szCs w:val="44"/>
          <w:highlight w:val="none"/>
        </w:rPr>
      </w:pPr>
    </w:p>
    <w:p w14:paraId="60D6B914">
      <w:pPr>
        <w:tabs>
          <w:tab w:val="left" w:pos="3261"/>
        </w:tabs>
        <w:spacing w:line="360" w:lineRule="auto"/>
        <w:contextualSpacing/>
        <w:jc w:val="center"/>
        <w:rPr>
          <w:rFonts w:hint="eastAsia" w:ascii="宋体" w:hAnsi="宋体" w:eastAsia="宋体" w:cs="宋体"/>
          <w:b/>
          <w:color w:val="auto"/>
          <w:sz w:val="44"/>
          <w:szCs w:val="44"/>
          <w:highlight w:val="none"/>
        </w:rPr>
      </w:pPr>
    </w:p>
    <w:p w14:paraId="612F3A30">
      <w:pPr>
        <w:tabs>
          <w:tab w:val="left" w:pos="3261"/>
        </w:tabs>
        <w:spacing w:line="360" w:lineRule="auto"/>
        <w:contextualSpacing/>
        <w:jc w:val="center"/>
        <w:rPr>
          <w:rFonts w:hint="eastAsia" w:ascii="宋体" w:hAnsi="宋体" w:eastAsia="宋体" w:cs="宋体"/>
          <w:b/>
          <w:color w:val="auto"/>
          <w:sz w:val="44"/>
          <w:szCs w:val="44"/>
          <w:highlight w:val="none"/>
        </w:rPr>
      </w:pPr>
    </w:p>
    <w:p w14:paraId="3AE34823">
      <w:pPr>
        <w:tabs>
          <w:tab w:val="left" w:pos="3261"/>
        </w:tabs>
        <w:spacing w:line="360" w:lineRule="auto"/>
        <w:contextualSpacing/>
        <w:jc w:val="center"/>
        <w:rPr>
          <w:rFonts w:hint="eastAsia" w:ascii="宋体" w:hAnsi="宋体" w:eastAsia="宋体" w:cs="宋体"/>
          <w:b/>
          <w:color w:val="auto"/>
          <w:sz w:val="44"/>
          <w:szCs w:val="44"/>
          <w:highlight w:val="none"/>
        </w:rPr>
      </w:pPr>
    </w:p>
    <w:p w14:paraId="7A113F48">
      <w:pPr>
        <w:keepNext/>
        <w:keepLines/>
        <w:spacing w:before="340" w:after="330" w:line="578" w:lineRule="auto"/>
        <w:jc w:val="center"/>
        <w:outlineLvl w:val="0"/>
        <w:rPr>
          <w:rFonts w:hint="eastAsia" w:ascii="宋体" w:hAnsi="宋体" w:eastAsia="宋体" w:cs="宋体"/>
          <w:b/>
          <w:bCs w:val="0"/>
          <w:color w:val="auto"/>
          <w:kern w:val="44"/>
          <w:sz w:val="40"/>
          <w:szCs w:val="40"/>
          <w:highlight w:val="none"/>
        </w:rPr>
        <w:sectPr>
          <w:pgSz w:w="11910" w:h="16840"/>
          <w:pgMar w:top="1134" w:right="1134" w:bottom="1134" w:left="1134" w:header="720" w:footer="720" w:gutter="0"/>
          <w:pgNumType w:fmt="decimal"/>
          <w:cols w:space="720" w:num="1"/>
          <w:rtlGutter w:val="0"/>
        </w:sectPr>
      </w:pPr>
      <w:bookmarkStart w:id="96" w:name="_Toc3113"/>
      <w:r>
        <w:rPr>
          <w:rFonts w:hint="eastAsia" w:ascii="宋体" w:hAnsi="宋体" w:eastAsia="宋体" w:cs="宋体"/>
          <w:b/>
          <w:bCs w:val="0"/>
          <w:color w:val="auto"/>
          <w:kern w:val="44"/>
          <w:sz w:val="40"/>
          <w:szCs w:val="40"/>
          <w:highlight w:val="none"/>
        </w:rPr>
        <w:t>第七章 质疑、投诉材料格式</w:t>
      </w:r>
      <w:bookmarkEnd w:id="96"/>
    </w:p>
    <w:p w14:paraId="64B70BD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3EF848FC">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一、质疑供应商基本信息：</w:t>
      </w:r>
    </w:p>
    <w:p w14:paraId="77932E83">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质疑供应商：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CB2007B">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02AA6F3">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D3449E7">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p>
    <w:p w14:paraId="3F5C32A7">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B55A505">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49A476BE">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二、质疑项目基本情况：</w:t>
      </w:r>
    </w:p>
    <w:p w14:paraId="560816CC">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553E2510">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593D2318">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20C6DEEC">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w:t>
      </w:r>
    </w:p>
    <w:p w14:paraId="646672C2">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   采购文件获取日期：</w:t>
      </w:r>
      <w:r>
        <w:rPr>
          <w:rFonts w:hint="eastAsia" w:ascii="宋体" w:hAnsi="宋体" w:eastAsia="宋体" w:cs="宋体"/>
          <w:bCs/>
          <w:color w:val="auto"/>
          <w:kern w:val="0"/>
          <w:sz w:val="24"/>
          <w:highlight w:val="none"/>
          <w:u w:val="single"/>
        </w:rPr>
        <w:t xml:space="preserve">                                   </w:t>
      </w:r>
    </w:p>
    <w:p w14:paraId="4463D0FE">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□采购过程   </w:t>
      </w:r>
    </w:p>
    <w:p w14:paraId="49347CC4">
      <w:pPr>
        <w:spacing w:line="360" w:lineRule="auto"/>
        <w:ind w:left="25" w:leftChars="12" w:firstLine="352" w:firstLineChars="147"/>
        <w:contextualSpacing/>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□成交结果   </w:t>
      </w:r>
    </w:p>
    <w:p w14:paraId="44772121">
      <w:pPr>
        <w:spacing w:line="360" w:lineRule="auto"/>
        <w:ind w:left="25" w:leftChars="12" w:firstLine="472" w:firstLineChars="196"/>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三、质疑事项具体内容</w:t>
      </w:r>
    </w:p>
    <w:p w14:paraId="166684BD">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质疑事项1：</w:t>
      </w:r>
      <w:r>
        <w:rPr>
          <w:rFonts w:hint="eastAsia" w:ascii="宋体" w:hAnsi="宋体" w:eastAsia="宋体" w:cs="宋体"/>
          <w:bCs/>
          <w:color w:val="auto"/>
          <w:kern w:val="0"/>
          <w:sz w:val="24"/>
          <w:highlight w:val="none"/>
          <w:u w:val="single"/>
        </w:rPr>
        <w:t xml:space="preserve">                                                                    </w:t>
      </w:r>
    </w:p>
    <w:p w14:paraId="2E41BAE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事实依据：</w:t>
      </w:r>
      <w:r>
        <w:rPr>
          <w:rFonts w:hint="eastAsia" w:ascii="宋体" w:hAnsi="宋体" w:eastAsia="宋体" w:cs="宋体"/>
          <w:bCs/>
          <w:color w:val="auto"/>
          <w:kern w:val="0"/>
          <w:sz w:val="24"/>
          <w:highlight w:val="none"/>
          <w:u w:val="single"/>
        </w:rPr>
        <w:t xml:space="preserve">                                                                      </w:t>
      </w:r>
    </w:p>
    <w:p w14:paraId="4B25F28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法律依据：</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2887ACE2">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质疑事项2</w:t>
      </w:r>
    </w:p>
    <w:p w14:paraId="4B30A54F">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5178ED2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四、与质疑事项相关的质疑请求：</w:t>
      </w:r>
    </w:p>
    <w:p w14:paraId="1D0C46E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37B5DA04">
      <w:pPr>
        <w:spacing w:line="360" w:lineRule="auto"/>
        <w:ind w:left="25" w:leftChars="12" w:firstLine="352" w:firstLineChars="147"/>
        <w:contextualSpacing/>
        <w:rPr>
          <w:rFonts w:hint="eastAsia" w:ascii="宋体" w:hAnsi="宋体" w:eastAsia="宋体" w:cs="宋体"/>
          <w:color w:val="auto"/>
          <w:kern w:val="0"/>
          <w:sz w:val="24"/>
          <w:highlight w:val="none"/>
        </w:rPr>
      </w:pPr>
    </w:p>
    <w:p w14:paraId="409F653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17DAE9F9">
      <w:pPr>
        <w:spacing w:line="360" w:lineRule="auto"/>
        <w:ind w:left="25" w:leftChars="12" w:firstLine="352" w:firstLineChars="147"/>
        <w:contextualSpacing/>
        <w:rPr>
          <w:rFonts w:hint="eastAsia" w:ascii="宋体" w:hAnsi="宋体" w:eastAsia="宋体" w:cs="宋体"/>
          <w:color w:val="auto"/>
          <w:kern w:val="0"/>
          <w:sz w:val="24"/>
          <w:highlight w:val="none"/>
        </w:rPr>
      </w:pPr>
    </w:p>
    <w:p w14:paraId="11ADBB5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5210DAB6">
      <w:pPr>
        <w:spacing w:line="360" w:lineRule="auto"/>
        <w:contextualSpacing/>
        <w:rPr>
          <w:rFonts w:hint="eastAsia" w:ascii="宋体" w:hAnsi="宋体" w:eastAsia="宋体" w:cs="宋体"/>
          <w:b/>
          <w:color w:val="auto"/>
          <w:kern w:val="0"/>
          <w:sz w:val="24"/>
          <w:highlight w:val="none"/>
        </w:rPr>
      </w:pPr>
    </w:p>
    <w:p w14:paraId="22227CF8">
      <w:pPr>
        <w:spacing w:line="360" w:lineRule="auto"/>
        <w:contextualSpacing/>
        <w:rPr>
          <w:rFonts w:hint="eastAsia" w:ascii="宋体" w:hAnsi="宋体" w:eastAsia="宋体" w:cs="宋体"/>
          <w:b/>
          <w:color w:val="auto"/>
          <w:kern w:val="0"/>
          <w:sz w:val="24"/>
          <w:highlight w:val="none"/>
        </w:rPr>
      </w:pPr>
    </w:p>
    <w:p w14:paraId="29A86F2A">
      <w:pPr>
        <w:spacing w:line="360" w:lineRule="auto"/>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5BF29E07">
      <w:pPr>
        <w:spacing w:line="360" w:lineRule="auto"/>
        <w:ind w:left="25" w:leftChars="12" w:firstLine="354" w:firstLineChars="147"/>
        <w:contextualSpacing/>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1.供应商提出质疑时，应提交质疑函和必要的证明材料</w:t>
      </w:r>
      <w:r>
        <w:rPr>
          <w:rFonts w:hint="eastAsia" w:ascii="宋体" w:hAnsi="宋体" w:eastAsia="宋体" w:cs="宋体"/>
          <w:b/>
          <w:bCs/>
          <w:color w:val="auto"/>
          <w:kern w:val="0"/>
          <w:sz w:val="24"/>
          <w:highlight w:val="none"/>
        </w:rPr>
        <w:t>。</w:t>
      </w:r>
    </w:p>
    <w:p w14:paraId="4BBFD784">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FAED257">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3.质疑函的质疑事项应具体、明确，并有必要的事实依据和法律依据。</w:t>
      </w:r>
    </w:p>
    <w:p w14:paraId="1E1B3B3A">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4.质疑函的质疑请求应与质疑事项相关。</w:t>
      </w:r>
    </w:p>
    <w:p w14:paraId="3C2AEB08">
      <w:pPr>
        <w:spacing w:line="360" w:lineRule="auto"/>
        <w:ind w:left="25" w:leftChars="12" w:firstLine="354" w:firstLineChars="147"/>
        <w:contextualSpacing/>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5.质疑供应商为法人或者其他组织的，质疑函应由法定代表人、主要负责人，或者其授权代表签字或者盖章，并加盖公章。</w:t>
      </w:r>
    </w:p>
    <w:p w14:paraId="487C5A30">
      <w:pPr>
        <w:snapToGrid w:val="0"/>
        <w:rPr>
          <w:rFonts w:hint="eastAsia" w:ascii="宋体" w:hAnsi="宋体" w:eastAsia="宋体" w:cs="宋体"/>
          <w:b/>
          <w:color w:val="auto"/>
          <w:kern w:val="0"/>
          <w:sz w:val="24"/>
          <w:highlight w:val="none"/>
        </w:rPr>
      </w:pPr>
    </w:p>
    <w:p w14:paraId="78B1CCC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678CFEEE">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7AD4FBC5">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一、投诉相关主体基本情况：</w:t>
      </w:r>
    </w:p>
    <w:p w14:paraId="4A9BEF2B">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供应商：</w:t>
      </w:r>
      <w:r>
        <w:rPr>
          <w:rFonts w:hint="eastAsia" w:ascii="宋体" w:hAnsi="宋体" w:eastAsia="宋体" w:cs="宋体"/>
          <w:bCs/>
          <w:color w:val="auto"/>
          <w:kern w:val="0"/>
          <w:sz w:val="24"/>
          <w:highlight w:val="none"/>
          <w:u w:val="single"/>
        </w:rPr>
        <w:t xml:space="preserve">                                                                      </w:t>
      </w:r>
    </w:p>
    <w:p w14:paraId="7F307C8B">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77AD0C9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法定代表人/主要负责人：</w:t>
      </w:r>
      <w:r>
        <w:rPr>
          <w:rFonts w:hint="eastAsia" w:ascii="宋体" w:hAnsi="宋体" w:eastAsia="宋体" w:cs="宋体"/>
          <w:bCs/>
          <w:color w:val="auto"/>
          <w:kern w:val="0"/>
          <w:sz w:val="24"/>
          <w:highlight w:val="none"/>
          <w:u w:val="single"/>
        </w:rPr>
        <w:t xml:space="preserve">                                                      </w:t>
      </w:r>
    </w:p>
    <w:p w14:paraId="2CAE9E75">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6555C1C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45203F7C">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2732D234">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D30AC82">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被投诉人1：</w:t>
      </w:r>
    </w:p>
    <w:p w14:paraId="20F16C58">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4575BD54">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0A405096">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093323F8">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被投诉人2：</w:t>
      </w:r>
    </w:p>
    <w:p w14:paraId="0BA2A1E7">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04FD0B4D">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相关供应商：</w:t>
      </w:r>
      <w:r>
        <w:rPr>
          <w:rFonts w:hint="eastAsia" w:ascii="宋体" w:hAnsi="宋体" w:eastAsia="宋体" w:cs="宋体"/>
          <w:bCs/>
          <w:color w:val="auto"/>
          <w:kern w:val="0"/>
          <w:sz w:val="24"/>
          <w:highlight w:val="none"/>
          <w:u w:val="single"/>
        </w:rPr>
        <w:t xml:space="preserve">                                                                  </w:t>
      </w:r>
    </w:p>
    <w:p w14:paraId="104F70A4">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3E19C537">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78F5515B">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二、投诉项目基本情况：</w:t>
      </w:r>
    </w:p>
    <w:p w14:paraId="3F92F503">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50EBFFD4">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27F70957">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2380E8B6">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代理机构名称：</w:t>
      </w:r>
      <w:r>
        <w:rPr>
          <w:rFonts w:hint="eastAsia" w:ascii="宋体" w:hAnsi="宋体" w:eastAsia="宋体" w:cs="宋体"/>
          <w:bCs/>
          <w:color w:val="auto"/>
          <w:kern w:val="0"/>
          <w:sz w:val="24"/>
          <w:highlight w:val="none"/>
          <w:u w:val="single"/>
        </w:rPr>
        <w:t xml:space="preserve">                                                               </w:t>
      </w:r>
    </w:p>
    <w:p w14:paraId="384685DA">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招标文件公告：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59E50678">
      <w:pPr>
        <w:spacing w:line="360" w:lineRule="auto"/>
        <w:ind w:left="25" w:leftChars="12" w:firstLine="472" w:firstLineChars="197"/>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采购结果公告：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52E397B3">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三、质疑基本情况</w:t>
      </w:r>
    </w:p>
    <w:p w14:paraId="3C5F287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提出质疑，质疑事项为：</w:t>
      </w:r>
    </w:p>
    <w:p w14:paraId="5A914185">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4CD2AF33">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1DFE554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采购人/代理机构</w:t>
      </w:r>
      <w:r>
        <w:rPr>
          <w:rFonts w:hint="eastAsia" w:ascii="宋体" w:hAnsi="宋体" w:eastAsia="宋体" w:cs="宋体"/>
          <w:bCs/>
          <w:color w:val="auto"/>
          <w:kern w:val="0"/>
          <w:sz w:val="24"/>
          <w:highlight w:val="none"/>
        </w:rPr>
        <w:t>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bCs/>
          <w:color w:val="auto"/>
          <w:kern w:val="0"/>
          <w:sz w:val="24"/>
          <w:highlight w:val="none"/>
        </w:rPr>
        <w:t xml:space="preserve">就质疑事项作出了答复/没有在法定期限内作出答复。                                                                        </w:t>
      </w:r>
    </w:p>
    <w:p w14:paraId="2C71B008">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四、投诉事项具体内容</w:t>
      </w:r>
    </w:p>
    <w:p w14:paraId="533C1835">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投诉事项1：</w:t>
      </w:r>
      <w:r>
        <w:rPr>
          <w:rFonts w:hint="eastAsia" w:ascii="宋体" w:hAnsi="宋体" w:eastAsia="宋体" w:cs="宋体"/>
          <w:bCs/>
          <w:color w:val="auto"/>
          <w:kern w:val="0"/>
          <w:sz w:val="24"/>
          <w:highlight w:val="none"/>
          <w:u w:val="single"/>
        </w:rPr>
        <w:t xml:space="preserve">                                                                   </w:t>
      </w:r>
    </w:p>
    <w:p w14:paraId="49889001">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事实依据：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63A91EF9">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 xml:space="preserve">                                                                               </w:t>
      </w:r>
    </w:p>
    <w:p w14:paraId="7B679F1B">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法律依据：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3C97EE3B">
      <w:pPr>
        <w:spacing w:line="360" w:lineRule="auto"/>
        <w:ind w:left="25" w:leftChars="12" w:firstLine="352" w:firstLineChars="14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50E574FE">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 xml:space="preserve">投诉事项2  </w:t>
      </w:r>
      <w:r>
        <w:rPr>
          <w:rFonts w:hint="eastAsia" w:ascii="宋体" w:hAnsi="宋体" w:eastAsia="宋体" w:cs="宋体"/>
          <w:bCs/>
          <w:color w:val="auto"/>
          <w:kern w:val="0"/>
          <w:sz w:val="24"/>
          <w:highlight w:val="none"/>
        </w:rPr>
        <w:t xml:space="preserve">   </w:t>
      </w:r>
    </w:p>
    <w:p w14:paraId="60B06D5C">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4064F5C6">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五、与投诉事项相关的投诉请求：</w:t>
      </w:r>
    </w:p>
    <w:p w14:paraId="702130D5">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2AACAE6F">
      <w:pPr>
        <w:spacing w:line="360" w:lineRule="auto"/>
        <w:ind w:left="25" w:leftChars="12" w:firstLine="352" w:firstLineChars="147"/>
        <w:rPr>
          <w:rFonts w:hint="eastAsia" w:ascii="宋体" w:hAnsi="宋体" w:eastAsia="宋体" w:cs="宋体"/>
          <w:color w:val="auto"/>
          <w:kern w:val="0"/>
          <w:sz w:val="24"/>
          <w:highlight w:val="none"/>
        </w:rPr>
      </w:pPr>
    </w:p>
    <w:p w14:paraId="3DB713EC">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276DFF38">
      <w:pPr>
        <w:spacing w:line="360" w:lineRule="auto"/>
        <w:ind w:left="25" w:leftChars="12" w:firstLine="352" w:firstLineChars="147"/>
        <w:rPr>
          <w:rFonts w:hint="eastAsia" w:ascii="宋体" w:hAnsi="宋体" w:eastAsia="宋体" w:cs="宋体"/>
          <w:color w:val="auto"/>
          <w:kern w:val="0"/>
          <w:sz w:val="24"/>
          <w:highlight w:val="none"/>
        </w:rPr>
      </w:pPr>
    </w:p>
    <w:p w14:paraId="78CFE07D">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760B051D">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                                                                                 </w:t>
      </w:r>
    </w:p>
    <w:p w14:paraId="61639436">
      <w:pPr>
        <w:snapToGrid w:val="0"/>
        <w:spacing w:line="360" w:lineRule="auto"/>
        <w:rPr>
          <w:rFonts w:hint="eastAsia" w:ascii="宋体" w:hAnsi="宋体" w:eastAsia="宋体" w:cs="宋体"/>
          <w:b/>
          <w:color w:val="auto"/>
          <w:kern w:val="0"/>
          <w:sz w:val="24"/>
          <w:highlight w:val="none"/>
        </w:rPr>
      </w:pPr>
    </w:p>
    <w:p w14:paraId="56B128DA">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58065A4F">
      <w:pPr>
        <w:spacing w:line="360" w:lineRule="auto"/>
        <w:ind w:left="25" w:leftChars="12" w:firstLine="354" w:firstLineChars="147"/>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highlight w:val="none"/>
        </w:rPr>
        <w:t>。</w:t>
      </w:r>
    </w:p>
    <w:p w14:paraId="1A63D13F">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731828B">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3.投诉书应简要列明质疑事项，质疑函、质疑答复等作为附件材料提供。</w:t>
      </w:r>
    </w:p>
    <w:p w14:paraId="11598B1B">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4.投诉书的投诉事项应具体、明确，并有必要的事实依据和法律依据。</w:t>
      </w:r>
    </w:p>
    <w:p w14:paraId="48EB818C">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5.投诉书的投诉请求应与投诉事项相关。</w:t>
      </w:r>
    </w:p>
    <w:p w14:paraId="33AC2471">
      <w:pPr>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kern w:val="0"/>
          <w:sz w:val="24"/>
          <w:highlight w:val="none"/>
        </w:rPr>
        <w:t>6.投诉人为法人或者其他组织的，投诉书应由法定代表人、主要负责人，或者其授权代表签字或者盖章，并加盖公章。</w:t>
      </w:r>
    </w:p>
    <w:p w14:paraId="3EB7BD6E">
      <w:pPr>
        <w:bidi w:val="0"/>
        <w:jc w:val="center"/>
        <w:outlineLvl w:val="0"/>
        <w:rPr>
          <w:rFonts w:hint="eastAsia" w:ascii="宋体" w:hAnsi="宋体" w:eastAsia="宋体" w:cs="宋体"/>
          <w:b/>
          <w:bCs/>
          <w:color w:val="auto"/>
          <w:kern w:val="44"/>
          <w:sz w:val="44"/>
          <w:szCs w:val="44"/>
          <w:highlight w:val="none"/>
          <w:lang w:val="en-US" w:eastAsia="zh-CN" w:bidi="ar-SA"/>
        </w:rPr>
      </w:pPr>
      <w:bookmarkStart w:id="97" w:name="_Toc12838"/>
      <w:bookmarkStart w:id="98" w:name="_Toc32167"/>
      <w:bookmarkStart w:id="99" w:name="_Toc8819"/>
    </w:p>
    <w:p w14:paraId="3BCB3934">
      <w:pPr>
        <w:bidi w:val="0"/>
        <w:jc w:val="center"/>
        <w:outlineLvl w:val="0"/>
        <w:rPr>
          <w:rFonts w:hint="eastAsia" w:ascii="宋体" w:hAnsi="宋体" w:eastAsia="宋体" w:cs="宋体"/>
          <w:b/>
          <w:bCs/>
          <w:color w:val="auto"/>
          <w:kern w:val="44"/>
          <w:sz w:val="44"/>
          <w:szCs w:val="44"/>
          <w:highlight w:val="none"/>
          <w:lang w:val="en-US" w:eastAsia="zh-CN" w:bidi="ar-SA"/>
        </w:rPr>
      </w:pPr>
    </w:p>
    <w:p w14:paraId="1364E4A5">
      <w:pPr>
        <w:bidi w:val="0"/>
        <w:jc w:val="center"/>
        <w:outlineLvl w:val="0"/>
        <w:rPr>
          <w:rFonts w:hint="eastAsia" w:ascii="宋体" w:hAnsi="宋体" w:eastAsia="宋体" w:cs="宋体"/>
          <w:b/>
          <w:bCs/>
          <w:color w:val="auto"/>
          <w:kern w:val="44"/>
          <w:sz w:val="44"/>
          <w:szCs w:val="44"/>
          <w:highlight w:val="none"/>
          <w:lang w:val="en-US" w:eastAsia="zh-CN" w:bidi="ar-SA"/>
        </w:rPr>
      </w:pPr>
    </w:p>
    <w:p w14:paraId="56DC3596">
      <w:pPr>
        <w:bidi w:val="0"/>
        <w:jc w:val="center"/>
        <w:outlineLvl w:val="0"/>
        <w:rPr>
          <w:rFonts w:hint="eastAsia" w:ascii="宋体" w:hAnsi="宋体" w:eastAsia="宋体" w:cs="宋体"/>
          <w:b/>
          <w:bCs/>
          <w:color w:val="auto"/>
          <w:kern w:val="44"/>
          <w:sz w:val="44"/>
          <w:szCs w:val="44"/>
          <w:highlight w:val="none"/>
          <w:lang w:val="en-US" w:eastAsia="zh-CN" w:bidi="ar-SA"/>
        </w:rPr>
      </w:pPr>
    </w:p>
    <w:p w14:paraId="4B2F9F04">
      <w:pPr>
        <w:bidi w:val="0"/>
        <w:jc w:val="center"/>
        <w:outlineLvl w:val="0"/>
        <w:rPr>
          <w:rFonts w:hint="eastAsia" w:ascii="宋体" w:hAnsi="宋体" w:eastAsia="宋体" w:cs="宋体"/>
          <w:b/>
          <w:bCs/>
          <w:color w:val="auto"/>
          <w:kern w:val="44"/>
          <w:sz w:val="44"/>
          <w:szCs w:val="44"/>
          <w:highlight w:val="none"/>
          <w:lang w:val="en-US" w:eastAsia="zh-CN" w:bidi="ar-SA"/>
        </w:rPr>
      </w:pPr>
    </w:p>
    <w:p w14:paraId="3A0A259A">
      <w:pPr>
        <w:bidi w:val="0"/>
        <w:jc w:val="center"/>
        <w:outlineLvl w:val="0"/>
        <w:rPr>
          <w:rFonts w:hint="eastAsia" w:ascii="宋体" w:hAnsi="宋体" w:eastAsia="宋体" w:cs="宋体"/>
          <w:b/>
          <w:bCs/>
          <w:color w:val="auto"/>
          <w:kern w:val="44"/>
          <w:sz w:val="44"/>
          <w:szCs w:val="44"/>
          <w:highlight w:val="none"/>
          <w:lang w:val="en-US" w:eastAsia="zh-CN" w:bidi="ar-SA"/>
        </w:rPr>
      </w:pPr>
    </w:p>
    <w:p w14:paraId="209FA302">
      <w:pPr>
        <w:bidi w:val="0"/>
        <w:jc w:val="center"/>
        <w:outlineLvl w:val="0"/>
        <w:rPr>
          <w:rFonts w:hint="eastAsia" w:ascii="宋体" w:hAnsi="宋体" w:eastAsia="宋体" w:cs="宋体"/>
          <w:b/>
          <w:bCs/>
          <w:color w:val="auto"/>
          <w:kern w:val="44"/>
          <w:sz w:val="44"/>
          <w:szCs w:val="44"/>
          <w:highlight w:val="none"/>
          <w:lang w:val="en-US" w:eastAsia="zh-CN" w:bidi="ar-SA"/>
        </w:rPr>
      </w:pPr>
    </w:p>
    <w:p w14:paraId="1FA8316A">
      <w:pPr>
        <w:bidi w:val="0"/>
        <w:jc w:val="center"/>
        <w:outlineLvl w:val="0"/>
        <w:rPr>
          <w:rFonts w:hint="eastAsia" w:ascii="宋体" w:hAnsi="宋体" w:eastAsia="宋体" w:cs="宋体"/>
          <w:b/>
          <w:bCs/>
          <w:color w:val="auto"/>
          <w:kern w:val="44"/>
          <w:sz w:val="44"/>
          <w:szCs w:val="44"/>
          <w:highlight w:val="none"/>
          <w:lang w:val="en-US" w:eastAsia="zh-CN" w:bidi="ar-SA"/>
        </w:rPr>
      </w:pPr>
    </w:p>
    <w:p w14:paraId="533DF91B">
      <w:pPr>
        <w:bidi w:val="0"/>
        <w:jc w:val="center"/>
        <w:outlineLvl w:val="0"/>
        <w:rPr>
          <w:rFonts w:hint="eastAsia" w:ascii="宋体" w:hAnsi="宋体" w:eastAsia="宋体" w:cs="宋体"/>
          <w:b/>
          <w:bCs/>
          <w:color w:val="auto"/>
          <w:kern w:val="44"/>
          <w:sz w:val="44"/>
          <w:szCs w:val="44"/>
          <w:highlight w:val="none"/>
          <w:lang w:val="en-US" w:eastAsia="zh-CN" w:bidi="ar-SA"/>
        </w:rPr>
      </w:pPr>
    </w:p>
    <w:p w14:paraId="59A4B77E">
      <w:pPr>
        <w:bidi w:val="0"/>
        <w:jc w:val="center"/>
        <w:outlineLvl w:val="0"/>
        <w:rPr>
          <w:rFonts w:hint="eastAsia" w:ascii="宋体" w:hAnsi="宋体" w:eastAsia="宋体" w:cs="宋体"/>
          <w:b/>
          <w:bCs/>
          <w:color w:val="auto"/>
          <w:kern w:val="44"/>
          <w:sz w:val="44"/>
          <w:szCs w:val="44"/>
          <w:highlight w:val="none"/>
          <w:lang w:val="en-US" w:eastAsia="zh-CN" w:bidi="ar-SA"/>
        </w:rPr>
      </w:pPr>
    </w:p>
    <w:p w14:paraId="74C0BBDD">
      <w:pPr>
        <w:bidi w:val="0"/>
        <w:jc w:val="center"/>
        <w:outlineLvl w:val="0"/>
        <w:rPr>
          <w:rFonts w:hint="eastAsia" w:ascii="宋体" w:hAnsi="宋体" w:eastAsia="宋体" w:cs="宋体"/>
          <w:b/>
          <w:bCs/>
          <w:color w:val="auto"/>
          <w:kern w:val="44"/>
          <w:sz w:val="44"/>
          <w:szCs w:val="44"/>
          <w:highlight w:val="none"/>
          <w:lang w:val="en-US" w:eastAsia="zh-CN" w:bidi="ar-SA"/>
        </w:rPr>
      </w:pPr>
    </w:p>
    <w:p w14:paraId="69A69F74">
      <w:pPr>
        <w:bidi w:val="0"/>
        <w:jc w:val="center"/>
        <w:outlineLvl w:val="0"/>
        <w:rPr>
          <w:rFonts w:hint="eastAsia" w:ascii="宋体" w:hAnsi="宋体" w:eastAsia="宋体" w:cs="宋体"/>
          <w:b/>
          <w:bCs/>
          <w:color w:val="auto"/>
          <w:kern w:val="44"/>
          <w:sz w:val="44"/>
          <w:szCs w:val="44"/>
          <w:highlight w:val="none"/>
          <w:lang w:val="en-US" w:eastAsia="zh-CN" w:bidi="ar-SA"/>
        </w:rPr>
      </w:pPr>
      <w:bookmarkStart w:id="100" w:name="_Toc15064"/>
      <w:r>
        <w:rPr>
          <w:rFonts w:hint="eastAsia" w:ascii="宋体" w:hAnsi="宋体" w:eastAsia="宋体" w:cs="宋体"/>
          <w:b/>
          <w:bCs/>
          <w:color w:val="auto"/>
          <w:kern w:val="44"/>
          <w:sz w:val="44"/>
          <w:szCs w:val="44"/>
          <w:highlight w:val="none"/>
          <w:lang w:val="en-US" w:eastAsia="zh-CN" w:bidi="ar-SA"/>
        </w:rPr>
        <w:t>第八章 政府采购合同验收书范本</w:t>
      </w:r>
      <w:bookmarkEnd w:id="97"/>
      <w:bookmarkEnd w:id="98"/>
      <w:bookmarkEnd w:id="99"/>
      <w:bookmarkEnd w:id="100"/>
    </w:p>
    <w:p w14:paraId="67696E89">
      <w:pPr>
        <w:tabs>
          <w:tab w:val="left" w:pos="576"/>
        </w:tabs>
        <w:jc w:val="center"/>
        <w:outlineLvl w:val="9"/>
        <w:rPr>
          <w:rFonts w:hint="eastAsia" w:ascii="宋体" w:hAnsi="宋体" w:eastAsia="宋体" w:cs="宋体"/>
          <w:color w:val="auto"/>
          <w:kern w:val="0"/>
          <w:sz w:val="32"/>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广西壮族自治区政府采购项目合同验收书（格式）</w:t>
      </w:r>
    </w:p>
    <w:p w14:paraId="5B22ED86">
      <w:pPr>
        <w:widowControl/>
        <w:snapToGrid w:val="0"/>
        <w:spacing w:before="100" w:beforeAutospacing="1" w:after="100" w:afterAutospacing="1" w:line="320" w:lineRule="exact"/>
        <w:ind w:left="-359" w:leftChars="-171"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根据政府采购项目（</w:t>
      </w:r>
      <w:r>
        <w:rPr>
          <w:rFonts w:hint="eastAsia" w:ascii="宋体" w:hAnsi="宋体" w:eastAsia="宋体" w:cs="宋体"/>
          <w:color w:val="auto"/>
          <w:kern w:val="0"/>
          <w:sz w:val="24"/>
          <w:highlight w:val="none"/>
          <w:u w:val="single"/>
        </w:rPr>
        <w:t>采购合同编号：</w:t>
      </w:r>
      <w:r>
        <w:rPr>
          <w:rFonts w:hint="eastAsia" w:ascii="宋体" w:hAnsi="宋体" w:eastAsia="宋体" w:cs="宋体"/>
          <w:color w:val="auto"/>
          <w:kern w:val="0"/>
          <w:sz w:val="24"/>
          <w:highlight w:val="none"/>
          <w:u w:val="single"/>
        </w:rPr>
        <w:softHyphen/>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）的约定，我单位对（</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       政府采购项目中标（或成交）供应商（</w:t>
      </w:r>
      <w:r>
        <w:rPr>
          <w:rFonts w:hint="eastAsia" w:ascii="宋体" w:hAnsi="宋体" w:eastAsia="宋体" w:cs="宋体"/>
          <w:color w:val="auto"/>
          <w:kern w:val="0"/>
          <w:sz w:val="24"/>
          <w:highlight w:val="none"/>
          <w:u w:val="single"/>
        </w:rPr>
        <w:t xml:space="preserve">            公司名称              </w:t>
      </w:r>
      <w:r>
        <w:rPr>
          <w:rFonts w:hint="eastAsia" w:ascii="宋体" w:hAnsi="宋体" w:eastAsia="宋体" w:cs="宋体"/>
          <w:color w:val="auto"/>
          <w:kern w:val="0"/>
          <w:sz w:val="24"/>
          <w:highlight w:val="none"/>
        </w:rPr>
        <w:t>）       提供的货物（或工程、服务）进行了验收，验收情况如下：</w:t>
      </w:r>
    </w:p>
    <w:tbl>
      <w:tblPr>
        <w:tblStyle w:val="3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6B7166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14:paraId="6A2CC0B2">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14:paraId="44ABA30F">
            <w:pPr>
              <w:widowControl/>
              <w:snapToGrid w:val="0"/>
              <w:spacing w:before="100" w:beforeAutospacing="1" w:after="100" w:afterAutospacing="1" w:line="320" w:lineRule="exact"/>
              <w:ind w:left="-3" w:firstLine="480" w:firstLineChars="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□自行验收         □委托验收</w:t>
            </w:r>
          </w:p>
        </w:tc>
      </w:tr>
      <w:tr w14:paraId="1D1C32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55092D26">
            <w:pPr>
              <w:widowControl/>
              <w:snapToGrid w:val="0"/>
              <w:spacing w:before="100" w:beforeAutospacing="1" w:after="100" w:afterAutospacing="1" w:line="320" w:lineRule="exact"/>
              <w:ind w:firstLine="2" w:firstLineChars="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163BD536">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5F5F2576">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682FE8FB">
            <w:pPr>
              <w:widowControl/>
              <w:snapToGrid w:val="0"/>
              <w:spacing w:before="100" w:beforeAutospacing="1" w:after="100" w:afterAutospacing="1"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17EB9BBA">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金  额</w:t>
            </w:r>
          </w:p>
        </w:tc>
      </w:tr>
      <w:tr w14:paraId="51159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2245E3D4">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1BEDE2C3">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4441D9B2">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7304EFF8">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578459B4">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25C7D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54BAB54A">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30A70338">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0829D18A">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6A9EFE36">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6B9B0383">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20A4D0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54089E0E">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2AAD4B9C">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618A0891">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4CA06A78">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172B6067">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52D70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14:paraId="616FB04F">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2299820">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761038ED">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2269C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14:paraId="17F1A663">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合计大写金额：   仟    佰    拾    万    仟    佰    拾    元</w:t>
            </w:r>
          </w:p>
        </w:tc>
      </w:tr>
      <w:tr w14:paraId="7F577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52C97594">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4612D4F8">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65C3BFA0">
            <w:pPr>
              <w:snapToGrid w:val="0"/>
              <w:spacing w:before="100" w:beforeAutospacing="1" w:after="100" w:afterAutospacing="1" w:line="320" w:lineRule="exact"/>
              <w:ind w:firstLine="45" w:firstLineChars="19"/>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163CFD47">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p>
        </w:tc>
      </w:tr>
      <w:tr w14:paraId="62D6F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1429DA06">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384927A">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695150EB">
            <w:pPr>
              <w:snapToGrid w:val="0"/>
              <w:spacing w:before="100" w:beforeAutospacing="1" w:after="100" w:afterAutospacing="1" w:line="320" w:lineRule="exact"/>
              <w:ind w:left="590" w:firstLine="480" w:firstLineChars="200"/>
              <w:jc w:val="left"/>
              <w:rPr>
                <w:rFonts w:hint="eastAsia" w:ascii="宋体" w:hAnsi="宋体" w:eastAsia="宋体" w:cs="宋体"/>
                <w:color w:val="auto"/>
                <w:kern w:val="0"/>
                <w:sz w:val="24"/>
                <w:highlight w:val="none"/>
              </w:rPr>
            </w:pP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3CCE4DFF">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p>
        </w:tc>
      </w:tr>
      <w:tr w14:paraId="04F70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839ACA">
            <w:pPr>
              <w:widowControl/>
              <w:snapToGrid w:val="0"/>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CAFDC2">
            <w:pPr>
              <w:widowControl/>
              <w:snapToGrid w:val="0"/>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（应</w:t>
            </w:r>
            <w:r>
              <w:rPr>
                <w:rFonts w:hint="eastAsia" w:ascii="宋体" w:hAnsi="宋体" w:eastAsia="宋体" w:cs="宋体"/>
                <w:color w:val="auto"/>
                <w:kern w:val="0"/>
                <w:sz w:val="24"/>
                <w:highlight w:val="none"/>
              </w:rPr>
              <w:t>按采购合同、采购文件、投标响应文件及验收方案等进行验收；并核对</w:t>
            </w:r>
            <w:r>
              <w:rPr>
                <w:rFonts w:hint="eastAsia" w:ascii="宋体" w:hAnsi="宋体" w:eastAsia="宋体" w:cs="宋体"/>
                <w:color w:val="auto"/>
                <w:sz w:val="24"/>
                <w:highlight w:val="none"/>
              </w:rPr>
              <w:t>中标或者成交供应商在安装调试等方面是否违反合同约定或服务规范要求、提供的质量保证证明材料是否齐全、应有的配件及附件是否达到合同约定等</w:t>
            </w:r>
            <w:r>
              <w:rPr>
                <w:rFonts w:hint="eastAsia" w:ascii="宋体" w:hAnsi="宋体" w:eastAsia="宋体" w:cs="宋体"/>
                <w:color w:val="auto"/>
                <w:kern w:val="0"/>
                <w:sz w:val="24"/>
                <w:highlight w:val="none"/>
              </w:rPr>
              <w:t>。可附件)</w:t>
            </w:r>
          </w:p>
        </w:tc>
      </w:tr>
      <w:tr w14:paraId="12B43B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F30881">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8253B02">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验收结论性意见：</w:t>
            </w:r>
          </w:p>
          <w:p w14:paraId="4E071871">
            <w:pPr>
              <w:widowControl/>
              <w:spacing w:before="100" w:beforeAutospacing="1" w:after="100" w:afterAutospacing="1" w:line="320" w:lineRule="exact"/>
              <w:jc w:val="left"/>
              <w:rPr>
                <w:rFonts w:hint="eastAsia" w:ascii="宋体" w:hAnsi="宋体" w:eastAsia="宋体" w:cs="宋体"/>
                <w:color w:val="auto"/>
                <w:kern w:val="0"/>
                <w:sz w:val="24"/>
                <w:highlight w:val="none"/>
              </w:rPr>
            </w:pPr>
          </w:p>
        </w:tc>
      </w:tr>
      <w:tr w14:paraId="5592CF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037D27B">
            <w:pPr>
              <w:widowControl/>
              <w:spacing w:line="320" w:lineRule="exact"/>
              <w:jc w:val="left"/>
              <w:rPr>
                <w:rFonts w:hint="eastAsia" w:ascii="宋体" w:hAnsi="宋体" w:eastAsia="宋体" w:cs="宋体"/>
                <w:color w:val="auto"/>
                <w:kern w:val="0"/>
                <w:sz w:val="24"/>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5431785C">
            <w:pPr>
              <w:spacing w:before="100" w:beforeAutospacing="1" w:after="100" w:afterAutospacing="1" w:line="320" w:lineRule="exact"/>
              <w:ind w:firstLine="96" w:firstLineChars="4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有异议的意见和说明理由：</w:t>
            </w:r>
          </w:p>
          <w:p w14:paraId="7F98140F">
            <w:pPr>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签字：</w:t>
            </w:r>
          </w:p>
        </w:tc>
      </w:tr>
      <w:tr w14:paraId="716B4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5D9BDD">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验收小组成员签字：</w:t>
            </w:r>
          </w:p>
        </w:tc>
      </w:tr>
      <w:tr w14:paraId="3FB77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BF39C3">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监督人员或其他相关人员签字：</w:t>
            </w:r>
          </w:p>
          <w:p w14:paraId="207571A4">
            <w:pPr>
              <w:widowControl/>
              <w:spacing w:before="100" w:beforeAutospacing="1" w:after="100" w:afterAutospacing="1" w:line="320" w:lineRule="exact"/>
              <w:ind w:firstLine="74" w:firstLineChars="3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或受邀机构的意见（盖章）：</w:t>
            </w:r>
          </w:p>
        </w:tc>
      </w:tr>
      <w:tr w14:paraId="591C9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3C5BCECE">
            <w:pPr>
              <w:widowControl/>
              <w:spacing w:before="100" w:beforeAutospacing="1" w:after="100" w:afterAutospacing="1" w:line="320" w:lineRule="exact"/>
              <w:ind w:firstLine="74" w:firstLineChars="3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中标或者成交供应商负责人签字或盖章：</w:t>
            </w:r>
          </w:p>
          <w:p w14:paraId="00C4AF93">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4286D4F8">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采购人或受托机构的意见（盖章）：</w:t>
            </w:r>
          </w:p>
          <w:p w14:paraId="7907A208">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                 年   月   日</w:t>
            </w:r>
          </w:p>
        </w:tc>
      </w:tr>
    </w:tbl>
    <w:p w14:paraId="3A1601F1">
      <w:pPr>
        <w:snapToGrid w:val="0"/>
        <w:spacing w:before="50" w:after="165" w:afterLines="50" w:line="360" w:lineRule="auto"/>
        <w:ind w:firstLine="480" w:firstLineChars="200"/>
        <w:jc w:val="left"/>
        <w:rPr>
          <w:rFonts w:hint="eastAsia" w:ascii="宋体" w:hAnsi="宋体" w:eastAsia="宋体" w:cs="宋体"/>
          <w:color w:val="auto"/>
          <w:sz w:val="24"/>
          <w:highlight w:val="none"/>
        </w:rPr>
      </w:pPr>
    </w:p>
    <w:p w14:paraId="3554A52B">
      <w:pPr>
        <w:rPr>
          <w:rFonts w:hint="eastAsia" w:ascii="宋体" w:hAnsi="宋体" w:eastAsia="宋体" w:cs="宋体"/>
          <w:color w:val="auto"/>
          <w:highlight w:val="none"/>
        </w:rPr>
      </w:pPr>
    </w:p>
    <w:p w14:paraId="3462C71B">
      <w:pPr>
        <w:rPr>
          <w:rFonts w:hint="eastAsia" w:ascii="宋体" w:hAnsi="宋体" w:eastAsia="宋体" w:cs="宋体"/>
          <w:color w:val="auto"/>
          <w:highlight w:val="none"/>
        </w:rPr>
      </w:pPr>
    </w:p>
    <w:sectPr>
      <w:footerReference r:id="rId12" w:type="first"/>
      <w:footerReference r:id="rId11" w:type="default"/>
      <w:pgSz w:w="11910" w:h="16840"/>
      <w:pgMar w:top="1134" w:right="1134" w:bottom="1134" w:left="1134" w:header="850" w:footer="720" w:gutter="0"/>
      <w:pgNumType w:fmt="decimal"/>
      <w:cols w:space="720" w:num="1"/>
      <w:rtlGutter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42AD4E9A-C93D-4B10-AED1-352DDEDE4E6C}"/>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2" w:fontKey="{C5CFFF0B-399A-48C3-B3E8-7EEEA1C27F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911A5">
    <w:pPr>
      <w:pStyle w:val="21"/>
      <w:tabs>
        <w:tab w:val="center" w:pos="4439"/>
        <w:tab w:val="clear" w:pos="415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72757">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206E7B2E"/>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FT5rQAAAAAwEAAA8AAAAAAAAAAQAgAAAAIgAA&#10;AGRycy9kb3ducmV2LnhtbFBLAQIUABQAAAAIAIdO4kDgjSxSEAIAABMEAAAOAAAAAAAAAAEAIAAA&#10;AB8BAABkcnMvZTJvRG9jLnhtbFBLBQYAAAAABgAGAFkBAAChBQAAAAA=&#10;">
              <v:fill on="f" focussize="0,0"/>
              <v:stroke on="f"/>
              <v:imagedata o:title=""/>
              <o:lock v:ext="edit" aspectratio="f"/>
              <v:textbox inset="0mm,0mm,0mm,0mm" style="mso-fit-shape-to-text:t;">
                <w:txbxContent>
                  <w:p w14:paraId="206E7B2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CA54">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60B13">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2MXssBAACc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bdjF7LAQAAnAMAAA4AAAAAAAAAAQAgAAAAHgEAAGRycy9lMm9E&#10;b2MueG1sUEsFBgAAAAAGAAYAWQEAAFsFAAAAAA==&#10;">
              <v:fill on="f" focussize="0,0"/>
              <v:stroke on="f"/>
              <v:imagedata o:title=""/>
              <o:lock v:ext="edit" aspectratio="f"/>
              <v:textbox inset="0mm,0mm,0mm,0mm" style="mso-fit-shape-to-text:t;">
                <w:txbxContent>
                  <w:p w14:paraId="2C460B13">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4463">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B6740">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ZFp9E4QEAAMEDAAAOAAAA&#10;AAAAAAEAIAAAAB4BAABkcnMvZTJvRG9jLnhtbFBLBQYAAAAABgAGAFkBAABxBQAAAAA=&#10;">
              <v:fill on="f" focussize="0,0"/>
              <v:stroke on="f"/>
              <v:imagedata o:title=""/>
              <o:lock v:ext="edit" aspectratio="f"/>
              <v:textbox inset="0mm,0mm,0mm,0mm" style="mso-fit-shape-to-text:t;">
                <w:txbxContent>
                  <w:p w14:paraId="5D8B6740">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A066">
    <w:pPr>
      <w:pStyle w:val="2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28F9B">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9vY+24QEAAMEDAAAOAAAA&#10;AAAAAAEAIAAAAB4BAABkcnMvZTJvRG9jLnhtbFBLBQYAAAAABgAGAFkBAABxBQAAAAA=&#10;">
              <v:fill on="f" focussize="0,0"/>
              <v:stroke on="f"/>
              <v:imagedata o:title=""/>
              <o:lock v:ext="edit" aspectratio="f"/>
              <v:textbox inset="0mm,0mm,0mm,0mm" style="mso-fit-shape-to-text:t;">
                <w:txbxContent>
                  <w:p w14:paraId="71A28F9B">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71</w:t>
                    </w:r>
                    <w:r>
                      <w:rPr>
                        <w:rFonts w:hint="eastAsia"/>
                        <w:lang w:eastAsia="zh-CN"/>
                      </w:rPr>
                      <w:fldChar w:fldCharType="end"/>
                    </w:r>
                  </w:p>
                </w:txbxContent>
              </v:textbox>
            </v:shape>
          </w:pict>
        </mc:Fallback>
      </mc:AlternateContent>
    </w:r>
  </w:p>
  <w:p w14:paraId="45C47E2D">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E382">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F5E843">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dSp8sBAACcAwAADgAAAGRycy9lMm9Eb2MueG1srVNLjtswDN0X6B0E&#10;7SdygkE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ReUWG5w4Offv85//p3//iTL&#10;+fUyKdR5KDHx3mNq7D+4Hvdm8gM6E/G+CSZ9kRLBOOp7uugr+0hEerRarFYFhgTGpgvis4fnPkD8&#10;KJ0hyahowAFmXfnxM8QhdUpJ1ay7U1rnIWr7xIGYycNS70OPyYr9rh8J7Vx9Qj4dzr6iFledEv3J&#10;orRpTSYjTMZuMg4+qH2b9yjVA397iNhE7i1VGGDHwji0zG5csLQVj+856+Gn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xnUqfLAQAAnAMAAA4AAAAAAAAAAQAgAAAAHgEAAGRycy9lMm9E&#10;b2MueG1sUEsFBgAAAAAGAAYAWQEAAFsFAAAAAA==&#10;">
              <v:fill on="f" focussize="0,0"/>
              <v:stroke on="f"/>
              <v:imagedata o:title=""/>
              <o:lock v:ext="edit" aspectratio="f"/>
              <v:textbox inset="0mm,0mm,0mm,0mm" style="mso-fit-shape-to-text:t;">
                <w:txbxContent>
                  <w:p w14:paraId="4FF5E843">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7F51">
    <w:pPr>
      <w:pStyle w:val="22"/>
      <w:tabs>
        <w:tab w:val="center" w:pos="0"/>
        <w:tab w:val="clear" w:pos="4153"/>
      </w:tabs>
    </w:pPr>
    <w:r>
      <w:rPr>
        <w:rFonts w:hint="eastAsia"/>
        <w:lang w:eastAsia="zh-CN"/>
      </w:rPr>
      <w:t>柳城县乡镇新时代民政局服务站项目</w:t>
    </w:r>
    <w:r>
      <w:rPr>
        <w:rFonts w:hint="eastAsia"/>
      </w:rPr>
      <w:t>（</w:t>
    </w:r>
    <w:r>
      <w:rPr>
        <w:rFonts w:hint="eastAsia"/>
        <w:lang w:eastAsia="zh-CN"/>
      </w:rPr>
      <w:t>项目编号：LZZC2025-C3-220082-GXRT</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68ED">
    <w:pPr>
      <w:pStyle w:val="22"/>
      <w:pBdr>
        <w:bottom w:val="none" w:color="auto" w:sz="0" w:space="1"/>
      </w:pBdr>
      <w:tabs>
        <w:tab w:val="center" w:pos="0"/>
        <w:tab w:val="clear" w:pos="4153"/>
      </w:tabs>
      <w:jc w:val="center"/>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58C2">
    <w:pPr>
      <w:pStyle w:val="22"/>
      <w:tabs>
        <w:tab w:val="center" w:pos="0"/>
        <w:tab w:val="clear" w:pos="4153"/>
      </w:tabs>
    </w:pPr>
    <w:r>
      <w:rPr>
        <w:rFonts w:hint="eastAsia" w:ascii="宋体" w:hAnsi="宋体"/>
        <w:lang w:eastAsia="zh-CN"/>
      </w:rPr>
      <w:t>柳城县乡镇新时代民政服务站项目</w:t>
    </w:r>
    <w:r>
      <w:rPr>
        <w:rFonts w:hint="eastAsia" w:ascii="宋体" w:hAnsi="宋体"/>
      </w:rPr>
      <w:t>（项目编号：</w:t>
    </w:r>
    <w:r>
      <w:rPr>
        <w:rFonts w:hint="eastAsia" w:ascii="宋体" w:hAnsi="宋体"/>
        <w:lang w:eastAsia="zh-CN"/>
      </w:rPr>
      <w:t>LZZC2025-C3-220082-GXRT</w:t>
    </w:r>
    <w:r>
      <w:rPr>
        <w:rFonts w:hint="eastAsia" w:ascii="宋体" w:hAnsi="宋体"/>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908E">
    <w:pPr>
      <w:pStyle w:val="22"/>
      <w:tabs>
        <w:tab w:val="center" w:pos="0"/>
        <w:tab w:val="clear" w:pos="4153"/>
      </w:tabs>
    </w:pPr>
    <w:r>
      <w:rPr>
        <w:rFonts w:hint="eastAsia" w:ascii="宋体" w:hAnsi="宋体"/>
        <w:lang w:eastAsia="zh-CN"/>
      </w:rPr>
      <w:t>柳城县乡镇新时代民政局服务站项目</w:t>
    </w:r>
    <w:r>
      <w:rPr>
        <w:rFonts w:hint="eastAsia" w:ascii="宋体" w:hAnsi="宋体"/>
      </w:rPr>
      <w:t>（</w:t>
    </w:r>
    <w:r>
      <w:rPr>
        <w:rFonts w:hint="eastAsia" w:ascii="宋体" w:hAnsi="宋体"/>
        <w:lang w:eastAsia="zh-CN"/>
      </w:rPr>
      <w:t>项目编号：LZZC2025-C3-220082-GXRT</w:t>
    </w:r>
    <w:r>
      <w:rPr>
        <w:rFonts w:hint="eastAsia" w:ascii="宋体" w:hAnsi="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72B42"/>
    <w:multiLevelType w:val="singleLevel"/>
    <w:tmpl w:val="E4B72B42"/>
    <w:lvl w:ilvl="0" w:tentative="0">
      <w:start w:val="5"/>
      <w:numFmt w:val="chineseCounting"/>
      <w:suff w:val="space"/>
      <w:lvlText w:val="第%1章"/>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3vBBZvifBuJuZIQtOH1vQ+nQWAk=" w:salt="iN2L01AKgC5+u4HJA7+Jeg=="/>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OGZkYWE3YzIzZWUyNDFiZWViZTAzNDE4MWIxNDM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53EE"/>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1F52"/>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ADB"/>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25D"/>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E7EB6"/>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3EA5"/>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40FD"/>
    <w:rsid w:val="00EB559F"/>
    <w:rsid w:val="00EB566C"/>
    <w:rsid w:val="00EB5F3D"/>
    <w:rsid w:val="00EC0C38"/>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E30DD"/>
    <w:rsid w:val="01425E7E"/>
    <w:rsid w:val="01AF3D99"/>
    <w:rsid w:val="01CA0799"/>
    <w:rsid w:val="01EC3E90"/>
    <w:rsid w:val="020B6A0C"/>
    <w:rsid w:val="020E02AA"/>
    <w:rsid w:val="02511F9D"/>
    <w:rsid w:val="02624152"/>
    <w:rsid w:val="02D9681D"/>
    <w:rsid w:val="02FE031F"/>
    <w:rsid w:val="03123DE2"/>
    <w:rsid w:val="0350044F"/>
    <w:rsid w:val="03A314B8"/>
    <w:rsid w:val="03D82B98"/>
    <w:rsid w:val="03E60EE9"/>
    <w:rsid w:val="03EA43FF"/>
    <w:rsid w:val="03F83E8B"/>
    <w:rsid w:val="03FA6D38"/>
    <w:rsid w:val="041E2451"/>
    <w:rsid w:val="044B1342"/>
    <w:rsid w:val="04651CD8"/>
    <w:rsid w:val="04980A96"/>
    <w:rsid w:val="04B72D09"/>
    <w:rsid w:val="04BB09C2"/>
    <w:rsid w:val="04EE4BE6"/>
    <w:rsid w:val="052878D5"/>
    <w:rsid w:val="054A55F5"/>
    <w:rsid w:val="054B5371"/>
    <w:rsid w:val="05C56868"/>
    <w:rsid w:val="064642DC"/>
    <w:rsid w:val="06640499"/>
    <w:rsid w:val="06866335"/>
    <w:rsid w:val="069A3EBB"/>
    <w:rsid w:val="077E0292"/>
    <w:rsid w:val="07B72767"/>
    <w:rsid w:val="08077E72"/>
    <w:rsid w:val="08145AD8"/>
    <w:rsid w:val="084762C4"/>
    <w:rsid w:val="08882DD0"/>
    <w:rsid w:val="08B17109"/>
    <w:rsid w:val="08B60D54"/>
    <w:rsid w:val="0983157E"/>
    <w:rsid w:val="098D649E"/>
    <w:rsid w:val="09AA6BA2"/>
    <w:rsid w:val="09BA6059"/>
    <w:rsid w:val="09CC2AAC"/>
    <w:rsid w:val="09D26E76"/>
    <w:rsid w:val="09F00295"/>
    <w:rsid w:val="0A0F4BBF"/>
    <w:rsid w:val="0A121ED8"/>
    <w:rsid w:val="0A652D3E"/>
    <w:rsid w:val="0A6B75FC"/>
    <w:rsid w:val="0A76542A"/>
    <w:rsid w:val="0B326F2A"/>
    <w:rsid w:val="0B496B71"/>
    <w:rsid w:val="0B785C4C"/>
    <w:rsid w:val="0B960C20"/>
    <w:rsid w:val="0BA80E28"/>
    <w:rsid w:val="0BC1013B"/>
    <w:rsid w:val="0BC96FF0"/>
    <w:rsid w:val="0BF10997"/>
    <w:rsid w:val="0C1C1DE3"/>
    <w:rsid w:val="0C1E2888"/>
    <w:rsid w:val="0C6F5DE9"/>
    <w:rsid w:val="0C92213C"/>
    <w:rsid w:val="0C965EFB"/>
    <w:rsid w:val="0CA6706A"/>
    <w:rsid w:val="0D84032B"/>
    <w:rsid w:val="0D913B3D"/>
    <w:rsid w:val="0DBF1056"/>
    <w:rsid w:val="0DDC74AE"/>
    <w:rsid w:val="0E4E4C31"/>
    <w:rsid w:val="0E641ACC"/>
    <w:rsid w:val="0E6D53D9"/>
    <w:rsid w:val="0EE02FCE"/>
    <w:rsid w:val="0EE71996"/>
    <w:rsid w:val="0F0071CD"/>
    <w:rsid w:val="0F192123"/>
    <w:rsid w:val="0F2A74C4"/>
    <w:rsid w:val="0F872008"/>
    <w:rsid w:val="0F8B3AAF"/>
    <w:rsid w:val="0FCD5301"/>
    <w:rsid w:val="0FEE0360"/>
    <w:rsid w:val="10090303"/>
    <w:rsid w:val="1015407B"/>
    <w:rsid w:val="10973B61"/>
    <w:rsid w:val="10A27F31"/>
    <w:rsid w:val="117B0D8C"/>
    <w:rsid w:val="11927058"/>
    <w:rsid w:val="11993A94"/>
    <w:rsid w:val="119A6D6D"/>
    <w:rsid w:val="11AC7198"/>
    <w:rsid w:val="122907E8"/>
    <w:rsid w:val="12443874"/>
    <w:rsid w:val="127A0F0E"/>
    <w:rsid w:val="12854BA0"/>
    <w:rsid w:val="12AB56A1"/>
    <w:rsid w:val="12E7492B"/>
    <w:rsid w:val="12F4157F"/>
    <w:rsid w:val="12F72695"/>
    <w:rsid w:val="1319085D"/>
    <w:rsid w:val="131F61E1"/>
    <w:rsid w:val="138944F2"/>
    <w:rsid w:val="13AF4F03"/>
    <w:rsid w:val="141B2535"/>
    <w:rsid w:val="14736E66"/>
    <w:rsid w:val="147541B9"/>
    <w:rsid w:val="147F0D6F"/>
    <w:rsid w:val="147F458F"/>
    <w:rsid w:val="14BD6D92"/>
    <w:rsid w:val="14D958EC"/>
    <w:rsid w:val="151C4634"/>
    <w:rsid w:val="1534169A"/>
    <w:rsid w:val="153A4457"/>
    <w:rsid w:val="156C2EC6"/>
    <w:rsid w:val="15842905"/>
    <w:rsid w:val="15C03E03"/>
    <w:rsid w:val="15DD5B72"/>
    <w:rsid w:val="15E5351D"/>
    <w:rsid w:val="160873D2"/>
    <w:rsid w:val="162A25EB"/>
    <w:rsid w:val="164E4CC1"/>
    <w:rsid w:val="16FD2A55"/>
    <w:rsid w:val="17067C1A"/>
    <w:rsid w:val="17141E29"/>
    <w:rsid w:val="17366761"/>
    <w:rsid w:val="177C01F0"/>
    <w:rsid w:val="17CE6630"/>
    <w:rsid w:val="17D62037"/>
    <w:rsid w:val="1844012A"/>
    <w:rsid w:val="186D2112"/>
    <w:rsid w:val="19403F0C"/>
    <w:rsid w:val="196177FF"/>
    <w:rsid w:val="19A17E04"/>
    <w:rsid w:val="19A5109C"/>
    <w:rsid w:val="19B32412"/>
    <w:rsid w:val="1AB23A71"/>
    <w:rsid w:val="1AF23E6D"/>
    <w:rsid w:val="1AFF0AFE"/>
    <w:rsid w:val="1B351FAC"/>
    <w:rsid w:val="1B4F19F8"/>
    <w:rsid w:val="1B675ED9"/>
    <w:rsid w:val="1BA57132"/>
    <w:rsid w:val="1BFD52C8"/>
    <w:rsid w:val="1C18194D"/>
    <w:rsid w:val="1C192C9B"/>
    <w:rsid w:val="1C1E6EE4"/>
    <w:rsid w:val="1C226F03"/>
    <w:rsid w:val="1D2D677E"/>
    <w:rsid w:val="1D35537D"/>
    <w:rsid w:val="1D5C7CC4"/>
    <w:rsid w:val="1D6B43AB"/>
    <w:rsid w:val="1D9C075B"/>
    <w:rsid w:val="1DAF24EA"/>
    <w:rsid w:val="1DC83701"/>
    <w:rsid w:val="1DFF767F"/>
    <w:rsid w:val="1E0A7720"/>
    <w:rsid w:val="1E174CEF"/>
    <w:rsid w:val="1E6A6411"/>
    <w:rsid w:val="1E85324A"/>
    <w:rsid w:val="1E8F5E77"/>
    <w:rsid w:val="1EBD3A16"/>
    <w:rsid w:val="1ECC44FA"/>
    <w:rsid w:val="1F063325"/>
    <w:rsid w:val="1F203EA9"/>
    <w:rsid w:val="1F457880"/>
    <w:rsid w:val="1F7237CF"/>
    <w:rsid w:val="1F75092B"/>
    <w:rsid w:val="1F9445B5"/>
    <w:rsid w:val="1F9C084C"/>
    <w:rsid w:val="1FBC5DF5"/>
    <w:rsid w:val="1FD60202"/>
    <w:rsid w:val="1FF90588"/>
    <w:rsid w:val="20003F5E"/>
    <w:rsid w:val="20140D2A"/>
    <w:rsid w:val="20492BE1"/>
    <w:rsid w:val="208A1342"/>
    <w:rsid w:val="209E3A28"/>
    <w:rsid w:val="20A57BD4"/>
    <w:rsid w:val="20B6593D"/>
    <w:rsid w:val="20C3623F"/>
    <w:rsid w:val="21423675"/>
    <w:rsid w:val="21781212"/>
    <w:rsid w:val="217A2148"/>
    <w:rsid w:val="21962E15"/>
    <w:rsid w:val="21B83F86"/>
    <w:rsid w:val="21C75C1C"/>
    <w:rsid w:val="221178A8"/>
    <w:rsid w:val="221213CF"/>
    <w:rsid w:val="221C5C74"/>
    <w:rsid w:val="22327A92"/>
    <w:rsid w:val="227D77A3"/>
    <w:rsid w:val="2294314B"/>
    <w:rsid w:val="230C5B9D"/>
    <w:rsid w:val="231D53A2"/>
    <w:rsid w:val="232B2612"/>
    <w:rsid w:val="23403BE4"/>
    <w:rsid w:val="236D5383"/>
    <w:rsid w:val="23B7504C"/>
    <w:rsid w:val="2454390A"/>
    <w:rsid w:val="2455546D"/>
    <w:rsid w:val="24564E1D"/>
    <w:rsid w:val="245711E5"/>
    <w:rsid w:val="24571307"/>
    <w:rsid w:val="245A58F0"/>
    <w:rsid w:val="246A0F18"/>
    <w:rsid w:val="24B77ED6"/>
    <w:rsid w:val="25110A2A"/>
    <w:rsid w:val="25150ABC"/>
    <w:rsid w:val="25156BB8"/>
    <w:rsid w:val="25182B95"/>
    <w:rsid w:val="256C0944"/>
    <w:rsid w:val="25B108FE"/>
    <w:rsid w:val="25DB68A1"/>
    <w:rsid w:val="26061115"/>
    <w:rsid w:val="26446DE3"/>
    <w:rsid w:val="264509AD"/>
    <w:rsid w:val="267B618C"/>
    <w:rsid w:val="26812549"/>
    <w:rsid w:val="269669E7"/>
    <w:rsid w:val="269955EC"/>
    <w:rsid w:val="26D7699F"/>
    <w:rsid w:val="26E0017C"/>
    <w:rsid w:val="27334D21"/>
    <w:rsid w:val="27407542"/>
    <w:rsid w:val="274243CE"/>
    <w:rsid w:val="278C564A"/>
    <w:rsid w:val="27DC037F"/>
    <w:rsid w:val="289A78F2"/>
    <w:rsid w:val="28B02089"/>
    <w:rsid w:val="28BE70AE"/>
    <w:rsid w:val="28C6049C"/>
    <w:rsid w:val="28F12EC9"/>
    <w:rsid w:val="29AB6A4E"/>
    <w:rsid w:val="29DA269C"/>
    <w:rsid w:val="2A032BFD"/>
    <w:rsid w:val="2B1F1E19"/>
    <w:rsid w:val="2B2F4C6A"/>
    <w:rsid w:val="2B404781"/>
    <w:rsid w:val="2B647D96"/>
    <w:rsid w:val="2B774624"/>
    <w:rsid w:val="2C583E50"/>
    <w:rsid w:val="2C6A7D6E"/>
    <w:rsid w:val="2C7A72BE"/>
    <w:rsid w:val="2C82282E"/>
    <w:rsid w:val="2C9A7D75"/>
    <w:rsid w:val="2CB216AE"/>
    <w:rsid w:val="2CC17412"/>
    <w:rsid w:val="2CC81AE1"/>
    <w:rsid w:val="2D0E010F"/>
    <w:rsid w:val="2DCD7B19"/>
    <w:rsid w:val="2DF67CC1"/>
    <w:rsid w:val="2E2B72CC"/>
    <w:rsid w:val="2E6C7CF6"/>
    <w:rsid w:val="2E9976CE"/>
    <w:rsid w:val="2F340AA1"/>
    <w:rsid w:val="2F401D3C"/>
    <w:rsid w:val="2F4B45C9"/>
    <w:rsid w:val="2F5B24E1"/>
    <w:rsid w:val="2F722492"/>
    <w:rsid w:val="2FA21EAE"/>
    <w:rsid w:val="2FA95C88"/>
    <w:rsid w:val="2FB475A5"/>
    <w:rsid w:val="2FE07B7F"/>
    <w:rsid w:val="3009298E"/>
    <w:rsid w:val="3041370F"/>
    <w:rsid w:val="306F4706"/>
    <w:rsid w:val="3070356C"/>
    <w:rsid w:val="308C2216"/>
    <w:rsid w:val="3102275C"/>
    <w:rsid w:val="31046534"/>
    <w:rsid w:val="312B50A3"/>
    <w:rsid w:val="313E5C07"/>
    <w:rsid w:val="318C4BC4"/>
    <w:rsid w:val="31E51F90"/>
    <w:rsid w:val="31F2079F"/>
    <w:rsid w:val="3207424B"/>
    <w:rsid w:val="323D7737"/>
    <w:rsid w:val="32453A27"/>
    <w:rsid w:val="3263064A"/>
    <w:rsid w:val="32A43132"/>
    <w:rsid w:val="32AC0C06"/>
    <w:rsid w:val="32B119E2"/>
    <w:rsid w:val="32D372B0"/>
    <w:rsid w:val="32D9144E"/>
    <w:rsid w:val="32FB3B27"/>
    <w:rsid w:val="33096899"/>
    <w:rsid w:val="33344EF5"/>
    <w:rsid w:val="337A0A4C"/>
    <w:rsid w:val="33A04957"/>
    <w:rsid w:val="34241494"/>
    <w:rsid w:val="34452E08"/>
    <w:rsid w:val="345D4CD2"/>
    <w:rsid w:val="34AA5B2B"/>
    <w:rsid w:val="34AA710F"/>
    <w:rsid w:val="34B36265"/>
    <w:rsid w:val="34B87A7E"/>
    <w:rsid w:val="34CF1A69"/>
    <w:rsid w:val="3537750C"/>
    <w:rsid w:val="3537798C"/>
    <w:rsid w:val="35AD335B"/>
    <w:rsid w:val="35BD118C"/>
    <w:rsid w:val="35C13FC9"/>
    <w:rsid w:val="35E0728C"/>
    <w:rsid w:val="364257B6"/>
    <w:rsid w:val="36631C6B"/>
    <w:rsid w:val="366E2AEA"/>
    <w:rsid w:val="36A52284"/>
    <w:rsid w:val="37A70123"/>
    <w:rsid w:val="37EA5922"/>
    <w:rsid w:val="37F50EF6"/>
    <w:rsid w:val="38276B93"/>
    <w:rsid w:val="388F6D48"/>
    <w:rsid w:val="38AC3431"/>
    <w:rsid w:val="38AE3672"/>
    <w:rsid w:val="38E5105E"/>
    <w:rsid w:val="38E57519"/>
    <w:rsid w:val="3905700A"/>
    <w:rsid w:val="392F2E16"/>
    <w:rsid w:val="397C5741"/>
    <w:rsid w:val="398D2353"/>
    <w:rsid w:val="39BD0402"/>
    <w:rsid w:val="39E00529"/>
    <w:rsid w:val="3A0B64A7"/>
    <w:rsid w:val="3A39340F"/>
    <w:rsid w:val="3A574DDA"/>
    <w:rsid w:val="3A617697"/>
    <w:rsid w:val="3A80103E"/>
    <w:rsid w:val="3A811F6C"/>
    <w:rsid w:val="3AA73588"/>
    <w:rsid w:val="3AC84793"/>
    <w:rsid w:val="3AD3075A"/>
    <w:rsid w:val="3ADE5EC6"/>
    <w:rsid w:val="3AF74C02"/>
    <w:rsid w:val="3B262614"/>
    <w:rsid w:val="3B710987"/>
    <w:rsid w:val="3C0059A5"/>
    <w:rsid w:val="3C025D0C"/>
    <w:rsid w:val="3C134E78"/>
    <w:rsid w:val="3C5D0E77"/>
    <w:rsid w:val="3CB6184C"/>
    <w:rsid w:val="3CCC6628"/>
    <w:rsid w:val="3D0C4E0B"/>
    <w:rsid w:val="3D94624D"/>
    <w:rsid w:val="3D976036"/>
    <w:rsid w:val="3DAE7C70"/>
    <w:rsid w:val="3DBA03C3"/>
    <w:rsid w:val="3DBD494D"/>
    <w:rsid w:val="3DEC7285"/>
    <w:rsid w:val="3DF15DAF"/>
    <w:rsid w:val="3DF6345D"/>
    <w:rsid w:val="3DF77EB6"/>
    <w:rsid w:val="3E2B5515"/>
    <w:rsid w:val="3E4D4F28"/>
    <w:rsid w:val="3E500D27"/>
    <w:rsid w:val="3E7A51E9"/>
    <w:rsid w:val="3E8D1F7B"/>
    <w:rsid w:val="3E9571B9"/>
    <w:rsid w:val="3EE13701"/>
    <w:rsid w:val="3EEF0540"/>
    <w:rsid w:val="3F0A7128"/>
    <w:rsid w:val="3F1A4BB3"/>
    <w:rsid w:val="3F580527"/>
    <w:rsid w:val="40192BA6"/>
    <w:rsid w:val="40321273"/>
    <w:rsid w:val="403C5199"/>
    <w:rsid w:val="40727F0B"/>
    <w:rsid w:val="411F38FE"/>
    <w:rsid w:val="412B15D8"/>
    <w:rsid w:val="415A4C65"/>
    <w:rsid w:val="41635215"/>
    <w:rsid w:val="41766EA9"/>
    <w:rsid w:val="41EE06C6"/>
    <w:rsid w:val="42550A18"/>
    <w:rsid w:val="429D496A"/>
    <w:rsid w:val="42A963D4"/>
    <w:rsid w:val="42F473A1"/>
    <w:rsid w:val="43AC182F"/>
    <w:rsid w:val="43B9736F"/>
    <w:rsid w:val="43CF0940"/>
    <w:rsid w:val="43D47D05"/>
    <w:rsid w:val="43E17D70"/>
    <w:rsid w:val="43FD7920"/>
    <w:rsid w:val="441E62C0"/>
    <w:rsid w:val="444620F1"/>
    <w:rsid w:val="44556671"/>
    <w:rsid w:val="44627A06"/>
    <w:rsid w:val="44705C7F"/>
    <w:rsid w:val="44CE29A6"/>
    <w:rsid w:val="45325D14"/>
    <w:rsid w:val="455A06DD"/>
    <w:rsid w:val="4574179F"/>
    <w:rsid w:val="45811C7C"/>
    <w:rsid w:val="458F7C24"/>
    <w:rsid w:val="45906116"/>
    <w:rsid w:val="46004DE1"/>
    <w:rsid w:val="468B3EFB"/>
    <w:rsid w:val="470A6193"/>
    <w:rsid w:val="47385210"/>
    <w:rsid w:val="47613CD5"/>
    <w:rsid w:val="4783216D"/>
    <w:rsid w:val="47890416"/>
    <w:rsid w:val="47967477"/>
    <w:rsid w:val="47DC4F5C"/>
    <w:rsid w:val="48B40671"/>
    <w:rsid w:val="48E21116"/>
    <w:rsid w:val="49180694"/>
    <w:rsid w:val="492928A1"/>
    <w:rsid w:val="493A685C"/>
    <w:rsid w:val="493E581B"/>
    <w:rsid w:val="49506EA2"/>
    <w:rsid w:val="499A379E"/>
    <w:rsid w:val="499B5738"/>
    <w:rsid w:val="499F244D"/>
    <w:rsid w:val="49F3372F"/>
    <w:rsid w:val="4A221E38"/>
    <w:rsid w:val="4A3F31F8"/>
    <w:rsid w:val="4A40184C"/>
    <w:rsid w:val="4A585020"/>
    <w:rsid w:val="4A930494"/>
    <w:rsid w:val="4A956924"/>
    <w:rsid w:val="4A973F3F"/>
    <w:rsid w:val="4ABD7744"/>
    <w:rsid w:val="4ACF1226"/>
    <w:rsid w:val="4AF96BC7"/>
    <w:rsid w:val="4B5A416B"/>
    <w:rsid w:val="4B862A85"/>
    <w:rsid w:val="4BC82F36"/>
    <w:rsid w:val="4C3035DB"/>
    <w:rsid w:val="4C325706"/>
    <w:rsid w:val="4C40066C"/>
    <w:rsid w:val="4CA02CF2"/>
    <w:rsid w:val="4CEF36E2"/>
    <w:rsid w:val="4CEF4DC5"/>
    <w:rsid w:val="4D55429F"/>
    <w:rsid w:val="4D8C1650"/>
    <w:rsid w:val="4DEC26D8"/>
    <w:rsid w:val="4E0D2791"/>
    <w:rsid w:val="4E257655"/>
    <w:rsid w:val="4E2F2C3B"/>
    <w:rsid w:val="4E8E7871"/>
    <w:rsid w:val="4EAC1FAA"/>
    <w:rsid w:val="4EAF077C"/>
    <w:rsid w:val="4EC64474"/>
    <w:rsid w:val="4F3629AB"/>
    <w:rsid w:val="4F372380"/>
    <w:rsid w:val="4F372FFB"/>
    <w:rsid w:val="4F4421E2"/>
    <w:rsid w:val="4F5320EB"/>
    <w:rsid w:val="4F6C798B"/>
    <w:rsid w:val="500030A6"/>
    <w:rsid w:val="5025116D"/>
    <w:rsid w:val="508D4F4B"/>
    <w:rsid w:val="51511837"/>
    <w:rsid w:val="51D11D27"/>
    <w:rsid w:val="51FF77F8"/>
    <w:rsid w:val="52173BDE"/>
    <w:rsid w:val="52395ECD"/>
    <w:rsid w:val="52431936"/>
    <w:rsid w:val="52C10D75"/>
    <w:rsid w:val="52E23374"/>
    <w:rsid w:val="53081779"/>
    <w:rsid w:val="531D7AE8"/>
    <w:rsid w:val="532C7BB6"/>
    <w:rsid w:val="533F163E"/>
    <w:rsid w:val="53A3360A"/>
    <w:rsid w:val="53B316E5"/>
    <w:rsid w:val="53C27FF8"/>
    <w:rsid w:val="53EC32AF"/>
    <w:rsid w:val="543071D9"/>
    <w:rsid w:val="543665CF"/>
    <w:rsid w:val="543E7ADC"/>
    <w:rsid w:val="549E1A80"/>
    <w:rsid w:val="54BF6FE2"/>
    <w:rsid w:val="54C658F4"/>
    <w:rsid w:val="55005C33"/>
    <w:rsid w:val="550C4BD7"/>
    <w:rsid w:val="55172147"/>
    <w:rsid w:val="554C1D56"/>
    <w:rsid w:val="55572986"/>
    <w:rsid w:val="555E1333"/>
    <w:rsid w:val="55A979FD"/>
    <w:rsid w:val="55C062DD"/>
    <w:rsid w:val="563B6A02"/>
    <w:rsid w:val="565340FA"/>
    <w:rsid w:val="568B48DA"/>
    <w:rsid w:val="56C40C5C"/>
    <w:rsid w:val="5723343E"/>
    <w:rsid w:val="572823EA"/>
    <w:rsid w:val="573D7EAB"/>
    <w:rsid w:val="576C0528"/>
    <w:rsid w:val="5876212B"/>
    <w:rsid w:val="58E029EC"/>
    <w:rsid w:val="59582CD2"/>
    <w:rsid w:val="59E24AD2"/>
    <w:rsid w:val="5A2348F9"/>
    <w:rsid w:val="5A2F2CC8"/>
    <w:rsid w:val="5A9B3696"/>
    <w:rsid w:val="5AB346C0"/>
    <w:rsid w:val="5B0B44FC"/>
    <w:rsid w:val="5B556AB8"/>
    <w:rsid w:val="5B7D043B"/>
    <w:rsid w:val="5B9C33A6"/>
    <w:rsid w:val="5BA26962"/>
    <w:rsid w:val="5C10702D"/>
    <w:rsid w:val="5C152601"/>
    <w:rsid w:val="5C205D85"/>
    <w:rsid w:val="5C591F03"/>
    <w:rsid w:val="5C7E284D"/>
    <w:rsid w:val="5C8A1B2F"/>
    <w:rsid w:val="5C901728"/>
    <w:rsid w:val="5CCB5CF1"/>
    <w:rsid w:val="5D183972"/>
    <w:rsid w:val="5D8B722E"/>
    <w:rsid w:val="5D914004"/>
    <w:rsid w:val="5DED613B"/>
    <w:rsid w:val="5DEF5B8D"/>
    <w:rsid w:val="5DF55B8C"/>
    <w:rsid w:val="5DFE5C52"/>
    <w:rsid w:val="5E3F195D"/>
    <w:rsid w:val="5E613B0E"/>
    <w:rsid w:val="5E802B0B"/>
    <w:rsid w:val="5EB42026"/>
    <w:rsid w:val="5EB87D13"/>
    <w:rsid w:val="5EEE216B"/>
    <w:rsid w:val="5F561B72"/>
    <w:rsid w:val="5F6B37BB"/>
    <w:rsid w:val="5F8605F5"/>
    <w:rsid w:val="5FF7119A"/>
    <w:rsid w:val="6008727E"/>
    <w:rsid w:val="600B26C3"/>
    <w:rsid w:val="606007BB"/>
    <w:rsid w:val="607246D5"/>
    <w:rsid w:val="60AC7F66"/>
    <w:rsid w:val="61113EEE"/>
    <w:rsid w:val="616B7AA3"/>
    <w:rsid w:val="61BF10D9"/>
    <w:rsid w:val="61DA3D4C"/>
    <w:rsid w:val="61F0599D"/>
    <w:rsid w:val="62160916"/>
    <w:rsid w:val="622413A9"/>
    <w:rsid w:val="622F0AD0"/>
    <w:rsid w:val="62361E5F"/>
    <w:rsid w:val="62774F17"/>
    <w:rsid w:val="62AC22DC"/>
    <w:rsid w:val="62F12229"/>
    <w:rsid w:val="637833E8"/>
    <w:rsid w:val="639037F0"/>
    <w:rsid w:val="63D4115E"/>
    <w:rsid w:val="64CD7548"/>
    <w:rsid w:val="64E45EF7"/>
    <w:rsid w:val="64F102BF"/>
    <w:rsid w:val="64FF464D"/>
    <w:rsid w:val="651644C7"/>
    <w:rsid w:val="651E6BDA"/>
    <w:rsid w:val="65426D6C"/>
    <w:rsid w:val="656B62C3"/>
    <w:rsid w:val="6596486A"/>
    <w:rsid w:val="65E12667"/>
    <w:rsid w:val="65EC42DE"/>
    <w:rsid w:val="662912B4"/>
    <w:rsid w:val="663F32AC"/>
    <w:rsid w:val="664F7993"/>
    <w:rsid w:val="6691014E"/>
    <w:rsid w:val="669762C2"/>
    <w:rsid w:val="66C87CCE"/>
    <w:rsid w:val="66ED2D08"/>
    <w:rsid w:val="6714680B"/>
    <w:rsid w:val="672317E1"/>
    <w:rsid w:val="673D77EB"/>
    <w:rsid w:val="67584625"/>
    <w:rsid w:val="6760172C"/>
    <w:rsid w:val="677435B2"/>
    <w:rsid w:val="677456CA"/>
    <w:rsid w:val="679114C1"/>
    <w:rsid w:val="67EF75F1"/>
    <w:rsid w:val="67F24A7A"/>
    <w:rsid w:val="68134D5F"/>
    <w:rsid w:val="68365042"/>
    <w:rsid w:val="687234C5"/>
    <w:rsid w:val="687C54A8"/>
    <w:rsid w:val="69124F16"/>
    <w:rsid w:val="691A347C"/>
    <w:rsid w:val="69427A59"/>
    <w:rsid w:val="694A5205"/>
    <w:rsid w:val="69815A80"/>
    <w:rsid w:val="698F449D"/>
    <w:rsid w:val="69907037"/>
    <w:rsid w:val="69C42446"/>
    <w:rsid w:val="69CD5C14"/>
    <w:rsid w:val="69CF0D33"/>
    <w:rsid w:val="69F34AD9"/>
    <w:rsid w:val="6A1C5DDE"/>
    <w:rsid w:val="6A283FCE"/>
    <w:rsid w:val="6A384778"/>
    <w:rsid w:val="6A4E3ABD"/>
    <w:rsid w:val="6A8B4A13"/>
    <w:rsid w:val="6AD2649C"/>
    <w:rsid w:val="6B11594B"/>
    <w:rsid w:val="6B376C47"/>
    <w:rsid w:val="6B600F02"/>
    <w:rsid w:val="6B731183"/>
    <w:rsid w:val="6B9946B3"/>
    <w:rsid w:val="6BD9335E"/>
    <w:rsid w:val="6C07661A"/>
    <w:rsid w:val="6C335D5C"/>
    <w:rsid w:val="6C3A7223"/>
    <w:rsid w:val="6C516795"/>
    <w:rsid w:val="6C662189"/>
    <w:rsid w:val="6C7007C7"/>
    <w:rsid w:val="6C9107E3"/>
    <w:rsid w:val="6CAD0F6F"/>
    <w:rsid w:val="6CDE7428"/>
    <w:rsid w:val="6CEB12F7"/>
    <w:rsid w:val="6D483E21"/>
    <w:rsid w:val="6D634E8E"/>
    <w:rsid w:val="6D7B106D"/>
    <w:rsid w:val="6D8560A4"/>
    <w:rsid w:val="6DAE2350"/>
    <w:rsid w:val="6DE76850"/>
    <w:rsid w:val="6E034799"/>
    <w:rsid w:val="6E1640F9"/>
    <w:rsid w:val="6E296D1B"/>
    <w:rsid w:val="6E34121C"/>
    <w:rsid w:val="6E423939"/>
    <w:rsid w:val="6E8B52E0"/>
    <w:rsid w:val="6EBC7B8F"/>
    <w:rsid w:val="6F2862D1"/>
    <w:rsid w:val="6F6759C1"/>
    <w:rsid w:val="6F925F92"/>
    <w:rsid w:val="6FB20BD4"/>
    <w:rsid w:val="6FB45D17"/>
    <w:rsid w:val="6FB650F7"/>
    <w:rsid w:val="6FBA59BE"/>
    <w:rsid w:val="70296B3E"/>
    <w:rsid w:val="704C0E05"/>
    <w:rsid w:val="70611204"/>
    <w:rsid w:val="70C1323B"/>
    <w:rsid w:val="70C25205"/>
    <w:rsid w:val="70E91FE8"/>
    <w:rsid w:val="71015309"/>
    <w:rsid w:val="71241A1C"/>
    <w:rsid w:val="71324139"/>
    <w:rsid w:val="714A491E"/>
    <w:rsid w:val="714E1C11"/>
    <w:rsid w:val="719A3A8C"/>
    <w:rsid w:val="71B132B0"/>
    <w:rsid w:val="71CD79BE"/>
    <w:rsid w:val="71F15DA2"/>
    <w:rsid w:val="7251239D"/>
    <w:rsid w:val="725A21C1"/>
    <w:rsid w:val="72623BBD"/>
    <w:rsid w:val="73346EA4"/>
    <w:rsid w:val="733D0B73"/>
    <w:rsid w:val="73445350"/>
    <w:rsid w:val="735465E8"/>
    <w:rsid w:val="738329DB"/>
    <w:rsid w:val="73D51657"/>
    <w:rsid w:val="74130252"/>
    <w:rsid w:val="74240B0A"/>
    <w:rsid w:val="74D50BC0"/>
    <w:rsid w:val="74EB6AD9"/>
    <w:rsid w:val="74FA2C30"/>
    <w:rsid w:val="754D5C4B"/>
    <w:rsid w:val="755E374E"/>
    <w:rsid w:val="765608C9"/>
    <w:rsid w:val="76593F16"/>
    <w:rsid w:val="76C240A7"/>
    <w:rsid w:val="76F04B13"/>
    <w:rsid w:val="76FD0D45"/>
    <w:rsid w:val="770C71DA"/>
    <w:rsid w:val="775246B7"/>
    <w:rsid w:val="77AA5BFA"/>
    <w:rsid w:val="78061696"/>
    <w:rsid w:val="781E69D1"/>
    <w:rsid w:val="78281DF2"/>
    <w:rsid w:val="78482F79"/>
    <w:rsid w:val="78A23952"/>
    <w:rsid w:val="78A730F6"/>
    <w:rsid w:val="78B7340B"/>
    <w:rsid w:val="78B867DD"/>
    <w:rsid w:val="79706276"/>
    <w:rsid w:val="797E44D4"/>
    <w:rsid w:val="7A0F55DA"/>
    <w:rsid w:val="7A263B6B"/>
    <w:rsid w:val="7A7C4677"/>
    <w:rsid w:val="7AA41B4F"/>
    <w:rsid w:val="7ACA3634"/>
    <w:rsid w:val="7AE75F94"/>
    <w:rsid w:val="7AF46346"/>
    <w:rsid w:val="7AF83CFD"/>
    <w:rsid w:val="7B0F54EB"/>
    <w:rsid w:val="7B0F5EBF"/>
    <w:rsid w:val="7B130FB9"/>
    <w:rsid w:val="7B697FFC"/>
    <w:rsid w:val="7B75534E"/>
    <w:rsid w:val="7BB06386"/>
    <w:rsid w:val="7BCB6C3C"/>
    <w:rsid w:val="7BD1454E"/>
    <w:rsid w:val="7BDA78A7"/>
    <w:rsid w:val="7BEB5610"/>
    <w:rsid w:val="7BEE3352"/>
    <w:rsid w:val="7BF64EDE"/>
    <w:rsid w:val="7C377D3A"/>
    <w:rsid w:val="7C3C5E6C"/>
    <w:rsid w:val="7C400C1E"/>
    <w:rsid w:val="7C635251"/>
    <w:rsid w:val="7C8C559B"/>
    <w:rsid w:val="7C947A56"/>
    <w:rsid w:val="7C9A2D33"/>
    <w:rsid w:val="7CB5616E"/>
    <w:rsid w:val="7CF361D0"/>
    <w:rsid w:val="7DB67EA0"/>
    <w:rsid w:val="7DBB1012"/>
    <w:rsid w:val="7DD11708"/>
    <w:rsid w:val="7DD411EF"/>
    <w:rsid w:val="7E21356B"/>
    <w:rsid w:val="7E4255B9"/>
    <w:rsid w:val="7E427099"/>
    <w:rsid w:val="7E722019"/>
    <w:rsid w:val="7E991353"/>
    <w:rsid w:val="7EBD579E"/>
    <w:rsid w:val="7EC167BD"/>
    <w:rsid w:val="7EED5B43"/>
    <w:rsid w:val="7F272D9E"/>
    <w:rsid w:val="7F5B485B"/>
    <w:rsid w:val="7F7E1E38"/>
    <w:rsid w:val="7F935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2"/>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7"/>
    <w:qFormat/>
    <w:uiPriority w:val="9"/>
    <w:pPr>
      <w:keepNext/>
      <w:keepLines/>
      <w:spacing w:before="280" w:after="290" w:line="376" w:lineRule="auto"/>
      <w:outlineLvl w:val="4"/>
    </w:pPr>
    <w:rPr>
      <w:b/>
      <w:bCs/>
      <w:sz w:val="28"/>
      <w:szCs w:val="28"/>
    </w:rPr>
  </w:style>
  <w:style w:type="paragraph" w:styleId="8">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9"/>
    <w:qFormat/>
    <w:uiPriority w:val="0"/>
    <w:pPr>
      <w:jc w:val="left"/>
    </w:pPr>
  </w:style>
  <w:style w:type="paragraph" w:styleId="11">
    <w:name w:val="Body Text 3"/>
    <w:basedOn w:val="1"/>
    <w:link w:val="50"/>
    <w:unhideWhenUsed/>
    <w:qFormat/>
    <w:uiPriority w:val="99"/>
    <w:pPr>
      <w:spacing w:after="120"/>
    </w:pPr>
    <w:rPr>
      <w:sz w:val="16"/>
      <w:szCs w:val="16"/>
    </w:rPr>
  </w:style>
  <w:style w:type="paragraph" w:styleId="12">
    <w:name w:val="Body Text"/>
    <w:basedOn w:val="1"/>
    <w:next w:val="13"/>
    <w:link w:val="51"/>
    <w:unhideWhenUsed/>
    <w:qFormat/>
    <w:uiPriority w:val="0"/>
    <w:pPr>
      <w:spacing w:after="120"/>
    </w:pPr>
  </w:style>
  <w:style w:type="paragraph" w:styleId="13">
    <w:name w:val="toc 2"/>
    <w:basedOn w:val="1"/>
    <w:next w:val="1"/>
    <w:unhideWhenUsed/>
    <w:qFormat/>
    <w:uiPriority w:val="39"/>
    <w:pPr>
      <w:tabs>
        <w:tab w:val="right" w:leader="dot" w:pos="8296"/>
      </w:tabs>
      <w:ind w:left="420" w:leftChars="200"/>
    </w:pPr>
  </w:style>
  <w:style w:type="paragraph" w:styleId="14">
    <w:name w:val="Body Text Indent"/>
    <w:basedOn w:val="1"/>
    <w:link w:val="44"/>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link w:val="52"/>
    <w:qFormat/>
    <w:uiPriority w:val="0"/>
    <w:rPr>
      <w:rFonts w:ascii="宋体" w:hAnsi="Courier New"/>
      <w:kern w:val="0"/>
      <w:sz w:val="20"/>
      <w:szCs w:val="21"/>
    </w:rPr>
  </w:style>
  <w:style w:type="paragraph" w:styleId="18">
    <w:name w:val="Date"/>
    <w:basedOn w:val="1"/>
    <w:next w:val="1"/>
    <w:link w:val="53"/>
    <w:unhideWhenUsed/>
    <w:qFormat/>
    <w:uiPriority w:val="99"/>
    <w:pPr>
      <w:ind w:left="100" w:leftChars="2500"/>
    </w:pPr>
  </w:style>
  <w:style w:type="paragraph" w:styleId="19">
    <w:name w:val="Body Text Indent 2"/>
    <w:basedOn w:val="1"/>
    <w:qFormat/>
    <w:uiPriority w:val="0"/>
    <w:pPr>
      <w:spacing w:after="120" w:afterLines="0" w:line="480" w:lineRule="auto"/>
      <w:ind w:left="420" w:leftChars="200"/>
    </w:pPr>
  </w:style>
  <w:style w:type="paragraph" w:styleId="20">
    <w:name w:val="Balloon Text"/>
    <w:basedOn w:val="1"/>
    <w:link w:val="54"/>
    <w:semiHidden/>
    <w:qFormat/>
    <w:uiPriority w:val="0"/>
    <w:rPr>
      <w:sz w:val="18"/>
      <w:szCs w:val="18"/>
    </w:rPr>
  </w:style>
  <w:style w:type="paragraph" w:styleId="21">
    <w:name w:val="footer"/>
    <w:basedOn w:val="1"/>
    <w:next w:val="1"/>
    <w:link w:val="55"/>
    <w:unhideWhenUsed/>
    <w:qFormat/>
    <w:uiPriority w:val="99"/>
    <w:pPr>
      <w:tabs>
        <w:tab w:val="center" w:pos="4153"/>
        <w:tab w:val="right" w:pos="8306"/>
      </w:tabs>
      <w:snapToGrid w:val="0"/>
      <w:jc w:val="left"/>
    </w:pPr>
    <w:rPr>
      <w:kern w:val="0"/>
      <w:sz w:val="18"/>
      <w:szCs w:val="18"/>
    </w:rPr>
  </w:style>
  <w:style w:type="paragraph" w:styleId="22">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Subtitle"/>
    <w:basedOn w:val="1"/>
    <w:next w:val="1"/>
    <w:qFormat/>
    <w:uiPriority w:val="0"/>
    <w:pPr>
      <w:spacing w:before="240" w:after="60" w:line="312" w:lineRule="auto"/>
      <w:jc w:val="center"/>
      <w:outlineLvl w:val="1"/>
    </w:pPr>
    <w:rPr>
      <w:rFonts w:ascii="Cambria" w:hAnsi="Cambria" w:cs="Cambria"/>
      <w:b/>
      <w:bCs/>
      <w:kern w:val="28"/>
      <w:sz w:val="32"/>
      <w:szCs w:val="32"/>
    </w:rPr>
  </w:style>
  <w:style w:type="paragraph" w:styleId="25">
    <w:name w:val="List"/>
    <w:basedOn w:val="1"/>
    <w:unhideWhenUsed/>
    <w:qFormat/>
    <w:uiPriority w:val="99"/>
    <w:pPr>
      <w:ind w:left="200" w:hanging="200" w:hangingChars="200"/>
      <w:contextualSpacing/>
    </w:pPr>
  </w:style>
  <w:style w:type="paragraph" w:styleId="2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9">
    <w:name w:val="annotation subject"/>
    <w:basedOn w:val="10"/>
    <w:next w:val="10"/>
    <w:link w:val="57"/>
    <w:qFormat/>
    <w:uiPriority w:val="99"/>
    <w:rPr>
      <w:b/>
      <w:bCs/>
    </w:rPr>
  </w:style>
  <w:style w:type="paragraph" w:styleId="30">
    <w:name w:val="Body Text First Indent"/>
    <w:basedOn w:val="12"/>
    <w:qFormat/>
    <w:uiPriority w:val="0"/>
    <w:pPr>
      <w:ind w:firstLine="420" w:firstLineChars="100"/>
    </w:pPr>
  </w:style>
  <w:style w:type="paragraph" w:styleId="31">
    <w:name w:val="Body Text First Indent 2"/>
    <w:basedOn w:val="14"/>
    <w:qFormat/>
    <w:uiPriority w:val="0"/>
    <w:pPr>
      <w:ind w:firstLine="420" w:firstLineChars="200"/>
    </w:pPr>
    <w:rPr>
      <w:rFonts w:eastAsia="仿宋"/>
      <w:sz w:val="28"/>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unhideWhenUsed/>
    <w:qFormat/>
    <w:uiPriority w:val="99"/>
    <w:rPr>
      <w:vertAlign w:val="superscript"/>
    </w:rPr>
  </w:style>
  <w:style w:type="character" w:styleId="36">
    <w:name w:val="page number"/>
    <w:basedOn w:val="34"/>
    <w:qFormat/>
    <w:uiPriority w:val="0"/>
  </w:style>
  <w:style w:type="character" w:styleId="37">
    <w:name w:val="FollowedHyperlink"/>
    <w:unhideWhenUsed/>
    <w:qFormat/>
    <w:uiPriority w:val="99"/>
    <w:rPr>
      <w:color w:val="800080"/>
      <w:u w:val="single"/>
    </w:rPr>
  </w:style>
  <w:style w:type="character" w:styleId="38">
    <w:name w:val="Hyperlink"/>
    <w:unhideWhenUsed/>
    <w:qFormat/>
    <w:uiPriority w:val="99"/>
    <w:rPr>
      <w:color w:val="0000FF"/>
      <w:u w:val="single"/>
    </w:rPr>
  </w:style>
  <w:style w:type="character" w:styleId="39">
    <w:name w:val="annotation reference"/>
    <w:qFormat/>
    <w:uiPriority w:val="0"/>
    <w:rPr>
      <w:sz w:val="21"/>
      <w:szCs w:val="21"/>
    </w:rPr>
  </w:style>
  <w:style w:type="character" w:styleId="40">
    <w:name w:val="HTML Sample"/>
    <w:qFormat/>
    <w:uiPriority w:val="0"/>
    <w:rPr>
      <w:rFonts w:ascii="Courier New" w:hAnsi="Courier New"/>
    </w:rPr>
  </w:style>
  <w:style w:type="character" w:customStyle="1" w:styleId="41">
    <w:name w:val="标题 2 Char"/>
    <w:qFormat/>
    <w:uiPriority w:val="9"/>
    <w:rPr>
      <w:rFonts w:ascii="Cambria" w:hAnsi="Cambria" w:eastAsia="宋体" w:cs="Times New Roman"/>
      <w:b/>
      <w:bCs/>
      <w:kern w:val="2"/>
      <w:sz w:val="32"/>
      <w:szCs w:val="32"/>
    </w:rPr>
  </w:style>
  <w:style w:type="character" w:customStyle="1" w:styleId="42">
    <w:name w:val="标题 3 Char"/>
    <w:link w:val="4"/>
    <w:qFormat/>
    <w:uiPriority w:val="9"/>
    <w:rPr>
      <w:b/>
      <w:bCs/>
      <w:kern w:val="2"/>
      <w:sz w:val="32"/>
      <w:szCs w:val="32"/>
    </w:rPr>
  </w:style>
  <w:style w:type="paragraph" w:customStyle="1" w:styleId="43">
    <w:name w:val="Body Text First Indent1"/>
    <w:basedOn w:val="12"/>
    <w:next w:val="1"/>
    <w:qFormat/>
    <w:uiPriority w:val="0"/>
    <w:pPr>
      <w:spacing w:after="120" w:afterLines="0"/>
      <w:ind w:firstLine="420" w:firstLineChars="100"/>
    </w:pPr>
    <w:rPr>
      <w:sz w:val="21"/>
    </w:rPr>
  </w:style>
  <w:style w:type="character" w:customStyle="1" w:styleId="44">
    <w:name w:val="正文文本缩进 Char"/>
    <w:link w:val="14"/>
    <w:qFormat/>
    <w:uiPriority w:val="0"/>
    <w:rPr>
      <w:rFonts w:ascii="仿宋_GB2312" w:hAnsi="Times New Roman" w:eastAsia="仿宋_GB2312" w:cs="Times New Roman"/>
      <w:sz w:val="32"/>
      <w:szCs w:val="20"/>
    </w:rPr>
  </w:style>
  <w:style w:type="character" w:customStyle="1" w:styleId="45">
    <w:name w:val="标题 1 Char"/>
    <w:link w:val="2"/>
    <w:qFormat/>
    <w:uiPriority w:val="9"/>
    <w:rPr>
      <w:b/>
      <w:bCs/>
      <w:kern w:val="44"/>
      <w:sz w:val="44"/>
      <w:szCs w:val="44"/>
    </w:rPr>
  </w:style>
  <w:style w:type="character" w:customStyle="1" w:styleId="46">
    <w:name w:val="标题 2 Char1"/>
    <w:link w:val="3"/>
    <w:qFormat/>
    <w:uiPriority w:val="9"/>
    <w:rPr>
      <w:rFonts w:ascii="Cambria" w:hAnsi="Cambria" w:eastAsia="宋体" w:cs="Times New Roman"/>
      <w:b/>
      <w:bCs/>
      <w:kern w:val="2"/>
      <w:sz w:val="32"/>
      <w:szCs w:val="32"/>
    </w:rPr>
  </w:style>
  <w:style w:type="character" w:customStyle="1" w:styleId="47">
    <w:name w:val="标题 5 Char"/>
    <w:link w:val="6"/>
    <w:qFormat/>
    <w:uiPriority w:val="9"/>
    <w:rPr>
      <w:rFonts w:ascii="Times New Roman" w:hAnsi="Times New Roman"/>
      <w:b/>
      <w:bCs/>
      <w:kern w:val="2"/>
      <w:sz w:val="28"/>
      <w:szCs w:val="28"/>
    </w:rPr>
  </w:style>
  <w:style w:type="character" w:customStyle="1" w:styleId="48">
    <w:name w:val="标题 8 Char1"/>
    <w:link w:val="8"/>
    <w:qFormat/>
    <w:uiPriority w:val="9"/>
    <w:rPr>
      <w:rFonts w:ascii="等线 Light" w:hAnsi="等线 Light" w:eastAsia="等线 Light" w:cs="Times New Roman"/>
      <w:kern w:val="2"/>
      <w:sz w:val="24"/>
      <w:szCs w:val="24"/>
    </w:rPr>
  </w:style>
  <w:style w:type="character" w:customStyle="1" w:styleId="49">
    <w:name w:val="批注文字 Char1"/>
    <w:link w:val="10"/>
    <w:qFormat/>
    <w:uiPriority w:val="0"/>
    <w:rPr>
      <w:rFonts w:ascii="Times New Roman" w:hAnsi="Times New Roman"/>
      <w:kern w:val="2"/>
      <w:sz w:val="21"/>
      <w:szCs w:val="24"/>
    </w:rPr>
  </w:style>
  <w:style w:type="character" w:customStyle="1" w:styleId="50">
    <w:name w:val="正文文本 3 Char"/>
    <w:link w:val="11"/>
    <w:qFormat/>
    <w:uiPriority w:val="99"/>
    <w:rPr>
      <w:kern w:val="2"/>
      <w:sz w:val="16"/>
      <w:szCs w:val="16"/>
    </w:rPr>
  </w:style>
  <w:style w:type="character" w:customStyle="1" w:styleId="51">
    <w:name w:val="正文文本 Char1"/>
    <w:link w:val="12"/>
    <w:qFormat/>
    <w:uiPriority w:val="0"/>
    <w:rPr>
      <w:rFonts w:ascii="Times New Roman" w:hAnsi="Times New Roman"/>
      <w:kern w:val="2"/>
      <w:sz w:val="21"/>
      <w:szCs w:val="24"/>
    </w:rPr>
  </w:style>
  <w:style w:type="character" w:customStyle="1" w:styleId="52">
    <w:name w:val="纯文本 Char1"/>
    <w:link w:val="17"/>
    <w:qFormat/>
    <w:uiPriority w:val="0"/>
    <w:rPr>
      <w:rFonts w:ascii="宋体" w:hAnsi="Courier New" w:eastAsia="宋体" w:cs="Courier New"/>
      <w:szCs w:val="21"/>
    </w:rPr>
  </w:style>
  <w:style w:type="character" w:customStyle="1" w:styleId="53">
    <w:name w:val="日期 Char"/>
    <w:link w:val="18"/>
    <w:qFormat/>
    <w:uiPriority w:val="99"/>
    <w:rPr>
      <w:rFonts w:ascii="Times New Roman" w:hAnsi="Times New Roman"/>
      <w:kern w:val="2"/>
      <w:sz w:val="21"/>
      <w:szCs w:val="24"/>
    </w:rPr>
  </w:style>
  <w:style w:type="character" w:customStyle="1" w:styleId="54">
    <w:name w:val="批注框文本 Char"/>
    <w:link w:val="20"/>
    <w:semiHidden/>
    <w:qFormat/>
    <w:uiPriority w:val="0"/>
    <w:rPr>
      <w:kern w:val="2"/>
      <w:sz w:val="18"/>
      <w:szCs w:val="18"/>
    </w:rPr>
  </w:style>
  <w:style w:type="character" w:customStyle="1" w:styleId="55">
    <w:name w:val="页脚 Char"/>
    <w:link w:val="21"/>
    <w:qFormat/>
    <w:uiPriority w:val="99"/>
    <w:rPr>
      <w:sz w:val="18"/>
      <w:szCs w:val="18"/>
    </w:rPr>
  </w:style>
  <w:style w:type="character" w:customStyle="1" w:styleId="56">
    <w:name w:val="页眉 Char"/>
    <w:link w:val="22"/>
    <w:qFormat/>
    <w:uiPriority w:val="99"/>
    <w:rPr>
      <w:sz w:val="18"/>
      <w:szCs w:val="18"/>
    </w:rPr>
  </w:style>
  <w:style w:type="character" w:customStyle="1" w:styleId="57">
    <w:name w:val="批注主题 Char"/>
    <w:link w:val="29"/>
    <w:qFormat/>
    <w:uiPriority w:val="99"/>
    <w:rPr>
      <w:rFonts w:ascii="Times New Roman" w:hAnsi="Times New Roman"/>
      <w:b/>
      <w:bCs/>
      <w:kern w:val="2"/>
      <w:sz w:val="21"/>
      <w:szCs w:val="24"/>
    </w:rPr>
  </w:style>
  <w:style w:type="paragraph" w:customStyle="1" w:styleId="58">
    <w:name w:val="表格文字"/>
    <w:basedOn w:val="14"/>
    <w:next w:val="12"/>
    <w:qFormat/>
    <w:uiPriority w:val="0"/>
    <w:pPr>
      <w:adjustRightInd w:val="0"/>
      <w:spacing w:line="420" w:lineRule="atLeast"/>
      <w:jc w:val="left"/>
      <w:textAlignment w:val="baseline"/>
    </w:pPr>
    <w:rPr>
      <w:kern w:val="0"/>
    </w:rPr>
  </w:style>
  <w:style w:type="character" w:customStyle="1" w:styleId="59">
    <w:name w:val="批注文字 Char"/>
    <w:qFormat/>
    <w:uiPriority w:val="0"/>
    <w:rPr>
      <w:rFonts w:ascii="Times New Roman" w:hAnsi="Times New Roman"/>
      <w:kern w:val="2"/>
      <w:sz w:val="21"/>
      <w:szCs w:val="24"/>
    </w:rPr>
  </w:style>
  <w:style w:type="character" w:customStyle="1" w:styleId="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未处理的提及"/>
    <w:unhideWhenUsed/>
    <w:qFormat/>
    <w:uiPriority w:val="99"/>
    <w:rPr>
      <w:color w:val="605E5C"/>
      <w:shd w:val="clear" w:color="auto" w:fill="E1DFDD"/>
    </w:rPr>
  </w:style>
  <w:style w:type="character" w:customStyle="1" w:styleId="62">
    <w:name w:val="标题 8 Char"/>
    <w:qFormat/>
    <w:uiPriority w:val="0"/>
    <w:rPr>
      <w:rFonts w:ascii="Arial" w:hAnsi="Arial" w:eastAsia="黑体"/>
      <w:kern w:val="2"/>
      <w:sz w:val="24"/>
      <w:szCs w:val="24"/>
    </w:rPr>
  </w:style>
  <w:style w:type="character" w:customStyle="1" w:styleId="63">
    <w:name w:val="apple-style-span"/>
    <w:qFormat/>
    <w:uiPriority w:val="0"/>
  </w:style>
  <w:style w:type="character" w:customStyle="1" w:styleId="64">
    <w:name w:val="textcontents"/>
    <w:qFormat/>
    <w:uiPriority w:val="0"/>
  </w:style>
  <w:style w:type="character" w:customStyle="1" w:styleId="65">
    <w:name w:val="批注文字 字符"/>
    <w:qFormat/>
    <w:uiPriority w:val="0"/>
    <w:rPr>
      <w:rFonts w:ascii="Times New Roman" w:hAnsi="Times New Roman"/>
      <w:kern w:val="2"/>
      <w:sz w:val="21"/>
      <w:szCs w:val="24"/>
    </w:rPr>
  </w:style>
  <w:style w:type="character" w:customStyle="1" w:styleId="66">
    <w:name w:val="纯文本 字符1"/>
    <w:qFormat/>
    <w:uiPriority w:val="0"/>
    <w:rPr>
      <w:rFonts w:ascii="宋体" w:hAnsi="Courier New"/>
    </w:rPr>
  </w:style>
  <w:style w:type="character" w:customStyle="1" w:styleId="67">
    <w:name w:val="正文文本 字符"/>
    <w:qFormat/>
    <w:uiPriority w:val="0"/>
    <w:rPr>
      <w:rFonts w:ascii="Times New Roman" w:hAnsi="Times New Roman"/>
      <w:kern w:val="2"/>
      <w:sz w:val="21"/>
      <w:szCs w:val="24"/>
    </w:rPr>
  </w:style>
  <w:style w:type="character" w:customStyle="1" w:styleId="68">
    <w:name w:val="标题 1 字符1"/>
    <w:qFormat/>
    <w:uiPriority w:val="0"/>
    <w:rPr>
      <w:b/>
      <w:bCs/>
      <w:kern w:val="44"/>
      <w:sz w:val="44"/>
      <w:szCs w:val="44"/>
    </w:rPr>
  </w:style>
  <w:style w:type="character" w:customStyle="1" w:styleId="69">
    <w:name w:val="正文2 Char Char"/>
    <w:link w:val="70"/>
    <w:qFormat/>
    <w:uiPriority w:val="0"/>
    <w:rPr>
      <w:sz w:val="24"/>
    </w:rPr>
  </w:style>
  <w:style w:type="paragraph" w:customStyle="1" w:styleId="70">
    <w:name w:val="正文2"/>
    <w:basedOn w:val="1"/>
    <w:link w:val="69"/>
    <w:qFormat/>
    <w:uiPriority w:val="0"/>
    <w:pPr>
      <w:adjustRightInd w:val="0"/>
      <w:spacing w:before="156" w:line="360" w:lineRule="auto"/>
      <w:ind w:firstLine="510" w:firstLineChars="200"/>
    </w:pPr>
    <w:rPr>
      <w:kern w:val="0"/>
      <w:sz w:val="24"/>
      <w:szCs w:val="20"/>
    </w:rPr>
  </w:style>
  <w:style w:type="character" w:customStyle="1" w:styleId="71">
    <w:name w:val="纯文本 Char"/>
    <w:qFormat/>
    <w:uiPriority w:val="99"/>
    <w:rPr>
      <w:rFonts w:ascii="宋体" w:hAnsi="Courier New" w:eastAsia="宋体" w:cs="Courier New"/>
      <w:szCs w:val="21"/>
    </w:rPr>
  </w:style>
  <w:style w:type="character" w:customStyle="1" w:styleId="72">
    <w:name w:val="纯文本 字符2"/>
    <w:qFormat/>
    <w:uiPriority w:val="0"/>
    <w:rPr>
      <w:rFonts w:ascii="宋体" w:hAnsi="Courier New" w:eastAsia="宋体" w:cs="Courier New"/>
      <w:szCs w:val="21"/>
    </w:rPr>
  </w:style>
  <w:style w:type="character" w:customStyle="1" w:styleId="73">
    <w:name w:val="纯文本 字符"/>
    <w:qFormat/>
    <w:uiPriority w:val="0"/>
    <w:rPr>
      <w:rFonts w:ascii="宋体" w:hAnsi="Courier New" w:eastAsia="宋体" w:cs="Courier New"/>
      <w:szCs w:val="21"/>
    </w:rPr>
  </w:style>
  <w:style w:type="character" w:customStyle="1" w:styleId="74">
    <w:name w:val="正文文本 Char"/>
    <w:qFormat/>
    <w:uiPriority w:val="0"/>
    <w:rPr>
      <w:rFonts w:ascii="Times New Roman" w:hAnsi="Times New Roman"/>
      <w:kern w:val="2"/>
      <w:sz w:val="21"/>
      <w:szCs w:val="24"/>
    </w:rPr>
  </w:style>
  <w:style w:type="character" w:customStyle="1" w:styleId="75">
    <w:name w:val="批注文字 字符1"/>
    <w:qFormat/>
    <w:uiPriority w:val="0"/>
    <w:rPr>
      <w:rFonts w:ascii="Times New Roman" w:hAnsi="Times New Roman"/>
      <w:kern w:val="2"/>
      <w:sz w:val="21"/>
      <w:szCs w:val="24"/>
    </w:rPr>
  </w:style>
  <w:style w:type="paragraph" w:customStyle="1" w:styleId="7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7">
    <w:name w:val="Char Char Char Char"/>
    <w:basedOn w:val="1"/>
    <w:qFormat/>
    <w:uiPriority w:val="0"/>
    <w:pPr>
      <w:widowControl/>
      <w:spacing w:after="160" w:line="240" w:lineRule="exact"/>
      <w:jc w:val="left"/>
    </w:p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默认段落字体 Para Char Char Char Char Char Char Char Char Char1 Char Char Char Char"/>
    <w:basedOn w:val="1"/>
    <w:qFormat/>
    <w:uiPriority w:val="0"/>
    <w:rPr>
      <w:rFonts w:ascii="Tahoma" w:hAnsi="Tahoma"/>
      <w:sz w:val="24"/>
      <w:szCs w:val="20"/>
    </w:rPr>
  </w:style>
  <w:style w:type="paragraph" w:customStyle="1" w:styleId="80">
    <w:name w:val="Table Paragraph"/>
    <w:basedOn w:val="1"/>
    <w:qFormat/>
    <w:uiPriority w:val="1"/>
    <w:pPr>
      <w:jc w:val="left"/>
    </w:pPr>
    <w:rPr>
      <w:rFonts w:ascii="Calibri" w:hAnsi="Calibri"/>
      <w:kern w:val="0"/>
      <w:sz w:val="22"/>
      <w:szCs w:val="22"/>
      <w:lang w:eastAsia="en-US"/>
    </w:rPr>
  </w:style>
  <w:style w:type="paragraph" w:customStyle="1" w:styleId="81">
    <w:name w:val="正文1"/>
    <w:basedOn w:val="1"/>
    <w:qFormat/>
    <w:uiPriority w:val="0"/>
    <w:pPr>
      <w:adjustRightInd w:val="0"/>
      <w:spacing w:line="318" w:lineRule="atLeast"/>
      <w:ind w:left="369" w:firstLine="369"/>
      <w:textAlignment w:val="baseline"/>
    </w:pPr>
    <w:rPr>
      <w:szCs w:val="20"/>
    </w:rPr>
  </w:style>
  <w:style w:type="paragraph" w:styleId="82">
    <w:name w:val="List Paragraph"/>
    <w:basedOn w:val="1"/>
    <w:qFormat/>
    <w:uiPriority w:val="34"/>
    <w:pPr>
      <w:ind w:firstLine="420" w:firstLineChars="200"/>
    </w:pPr>
  </w:style>
  <w:style w:type="paragraph" w:customStyle="1" w:styleId="83">
    <w:name w:val="_Style 80"/>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84">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5">
    <w:name w:val="NormalCharacter"/>
    <w:qFormat/>
    <w:uiPriority w:val="0"/>
  </w:style>
  <w:style w:type="character" w:customStyle="1" w:styleId="86">
    <w:name w:val="普通文字 Char Char1"/>
    <w:qFormat/>
    <w:uiPriority w:val="0"/>
    <w:rPr>
      <w:rFonts w:ascii="宋体" w:hAnsi="Courier New" w:eastAsia="宋体"/>
      <w:kern w:val="2"/>
      <w:sz w:val="21"/>
      <w:lang w:val="en-US" w:eastAsia="zh-CN" w:bidi="ar-SA"/>
    </w:rPr>
  </w:style>
  <w:style w:type="paragraph" w:styleId="8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8">
    <w:name w:val="Table Text"/>
    <w:basedOn w:val="1"/>
    <w:semiHidden/>
    <w:qFormat/>
    <w:uiPriority w:val="0"/>
    <w:rPr>
      <w:rFonts w:ascii="宋体" w:hAnsi="宋体" w:eastAsia="宋体" w:cs="宋体"/>
      <w:sz w:val="19"/>
      <w:szCs w:val="19"/>
      <w:lang w:val="en-US" w:eastAsia="en-US" w:bidi="ar-SA"/>
    </w:rPr>
  </w:style>
  <w:style w:type="paragraph" w:customStyle="1" w:styleId="89">
    <w:name w:val="Default"/>
    <w:basedOn w:val="2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0">
    <w:name w:val="List Paragraph2"/>
    <w:basedOn w:val="1"/>
    <w:qFormat/>
    <w:uiPriority w:val="99"/>
    <w:pPr>
      <w:ind w:firstLine="420" w:firstLineChars="200"/>
    </w:pPr>
    <w:rPr>
      <w:rFonts w:ascii="Times New Roman" w:hAnsi="Times New Roman"/>
      <w:szCs w:val="20"/>
    </w:rPr>
  </w:style>
  <w:style w:type="paragraph" w:customStyle="1" w:styleId="91">
    <w:name w:val="table of figures"/>
    <w:basedOn w:val="1"/>
    <w:next w:val="1"/>
    <w:qFormat/>
    <w:uiPriority w:val="0"/>
    <w:pPr>
      <w:ind w:left="200" w:leftChars="200" w:hanging="200" w:hangingChars="200"/>
    </w:pPr>
  </w:style>
  <w:style w:type="paragraph" w:customStyle="1" w:styleId="92">
    <w:name w:val="p15"/>
    <w:basedOn w:val="1"/>
    <w:qFormat/>
    <w:uiPriority w:val="0"/>
    <w:pPr>
      <w:widowControl/>
    </w:pPr>
    <w:rPr>
      <w:rFonts w:ascii="宋体" w:hAnsi="宋体" w:cs="宋体"/>
      <w:kern w:val="0"/>
      <w:szCs w:val="21"/>
    </w:rPr>
  </w:style>
  <w:style w:type="paragraph" w:customStyle="1" w:styleId="93">
    <w:name w:val="p0"/>
    <w:basedOn w:val="1"/>
    <w:qFormat/>
    <w:uiPriority w:val="0"/>
    <w:pPr>
      <w:widowControl/>
    </w:pPr>
    <w:rPr>
      <w:rFonts w:cs="Calibri"/>
      <w:kern w:val="0"/>
      <w:szCs w:val="21"/>
    </w:rPr>
  </w:style>
  <w:style w:type="paragraph" w:customStyle="1" w:styleId="94">
    <w:name w:val="Plain Text"/>
    <w:basedOn w:val="1"/>
    <w:next w:val="5"/>
    <w:qFormat/>
    <w:uiPriority w:val="0"/>
    <w:rPr>
      <w:rFonts w:hint="eastAsia" w:ascii="宋体" w:hAnsi="Courier New" w:eastAsia="宋体" w:cs="Times New Roman"/>
      <w:kern w:val="0"/>
      <w:sz w:val="20"/>
      <w:szCs w:val="21"/>
    </w:rPr>
  </w:style>
  <w:style w:type="paragraph" w:customStyle="1" w:styleId="95">
    <w:name w:val="列出段落1"/>
    <w:basedOn w:val="1"/>
    <w:qFormat/>
    <w:uiPriority w:val="34"/>
    <w:pPr>
      <w:ind w:firstLine="420" w:firstLineChars="200"/>
    </w:pPr>
  </w:style>
  <w:style w:type="paragraph" w:customStyle="1" w:styleId="9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7">
    <w:name w:val="正文A"/>
    <w:basedOn w:val="1"/>
    <w:qFormat/>
    <w:uiPriority w:val="0"/>
    <w:pPr>
      <w:ind w:left="210" w:leftChars="100" w:right="100" w:rightChars="100"/>
    </w:pPr>
    <w:rPr>
      <w:rFonts w:ascii="微软雅黑" w:hAnsi="微软雅黑" w:eastAsia="微软雅黑"/>
      <w:sz w:val="24"/>
    </w:rPr>
  </w:style>
  <w:style w:type="character" w:customStyle="1" w:styleId="98">
    <w:name w:val="font51"/>
    <w:qFormat/>
    <w:uiPriority w:val="0"/>
    <w:rPr>
      <w:rFonts w:hint="eastAsia" w:ascii="宋体" w:hAnsi="宋体" w:eastAsia="宋体" w:cs="宋体"/>
      <w:color w:val="000000"/>
      <w:sz w:val="21"/>
      <w:szCs w:val="21"/>
      <w:u w:val="none"/>
    </w:rPr>
  </w:style>
  <w:style w:type="paragraph" w:customStyle="1" w:styleId="99">
    <w:name w:val="Body text|2"/>
    <w:basedOn w:val="1"/>
    <w:qFormat/>
    <w:uiPriority w:val="0"/>
    <w:pPr>
      <w:spacing w:after="300"/>
      <w:ind w:firstLine="220"/>
      <w:jc w:val="left"/>
    </w:pPr>
    <w:rPr>
      <w:rFonts w:ascii="宋体" w:hAnsi="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64</Pages>
  <Words>280</Words>
  <Characters>321</Characters>
  <Lines>2300</Lines>
  <Paragraphs>2168</Paragraphs>
  <TotalTime>0</TotalTime>
  <ScaleCrop>false</ScaleCrop>
  <LinksUpToDate>false</LinksUpToDate>
  <CharactersWithSpaces>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代理机构</cp:lastModifiedBy>
  <cp:lastPrinted>2024-06-05T08:30:00Z</cp:lastPrinted>
  <dcterms:modified xsi:type="dcterms:W3CDTF">2025-09-23T08:20:30Z</dcterms:modified>
  <dc:title>竞争性谈判文件规范</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59327E408E7A41C885B9CEF29E8D81FE_13</vt:lpwstr>
  </property>
  <property fmtid="{D5CDD505-2E9C-101B-9397-08002B2CF9AE}" pid="4" name="KSOTemplateDocerSaveRecord">
    <vt:lpwstr>eyJoZGlkIjoiNjdhOGZkYWE3YzIzZWUyNDFiZWViZTAzNDE4MWIxNDMiLCJ1c2VySWQiOiIxNzExMjU2NTg1In0=</vt:lpwstr>
  </property>
</Properties>
</file>