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97EB2">
      <w:pPr>
        <w:pStyle w:val="2"/>
        <w:spacing w:line="480" w:lineRule="exact"/>
        <w:jc w:val="center"/>
        <w:rPr>
          <w:sz w:val="30"/>
          <w:szCs w:val="30"/>
        </w:rPr>
      </w:pPr>
      <w:bookmarkStart w:id="0" w:name="_Toc495387428"/>
      <w:bookmarkStart w:id="1" w:name="_Toc254970631"/>
      <w:bookmarkStart w:id="2" w:name="_Toc254970490"/>
      <w:r>
        <w:rPr>
          <w:rFonts w:hint="eastAsia"/>
        </w:rPr>
        <w:t>采购需求</w:t>
      </w:r>
      <w:bookmarkEnd w:id="0"/>
    </w:p>
    <w:bookmarkEnd w:id="1"/>
    <w:bookmarkEnd w:id="2"/>
    <w:p w14:paraId="6A6DAA5E">
      <w:pPr>
        <w:spacing w:line="360" w:lineRule="auto"/>
        <w:rPr>
          <w:rFonts w:hAnsi="宋体"/>
          <w:color w:val="000000"/>
          <w:sz w:val="21"/>
          <w:highlight w:val="none"/>
        </w:rPr>
      </w:pPr>
      <w:r>
        <w:rPr>
          <w:rFonts w:hint="eastAsia" w:hAnsi="宋体"/>
          <w:color w:val="000000"/>
          <w:sz w:val="21"/>
          <w:highlight w:val="none"/>
        </w:rPr>
        <w:t>说明：</w:t>
      </w:r>
    </w:p>
    <w:p w14:paraId="128D81A6">
      <w:pPr>
        <w:spacing w:line="360" w:lineRule="auto"/>
        <w:ind w:firstLine="420" w:firstLineChars="200"/>
        <w:jc w:val="both"/>
        <w:rPr>
          <w:rFonts w:hAnsi="宋体"/>
          <w:color w:val="000000"/>
          <w:sz w:val="21"/>
          <w:highlight w:val="none"/>
        </w:rPr>
      </w:pPr>
      <w:r>
        <w:rPr>
          <w:rFonts w:hint="eastAsia" w:hAnsi="宋体"/>
          <w:color w:val="000000"/>
          <w:sz w:val="21"/>
          <w:highlight w:val="none"/>
        </w:rPr>
        <w:t>1.本招标文件所称中小企业必须符合《政府采购促进中小企业发展管理办法》第二条规定。</w:t>
      </w:r>
      <w:r>
        <w:rPr>
          <w:rFonts w:hAnsi="宋体"/>
          <w:color w:val="000000"/>
          <w:sz w:val="21"/>
          <w:highlight w:val="none"/>
        </w:rPr>
        <w:t>按照《财政部、司法部关于政府采购支持监狱企业发展有关问题的通知》（财库〔2014〕68号）之规定，监狱企业视同小型、微型企业。</w:t>
      </w:r>
      <w:r>
        <w:rPr>
          <w:rFonts w:hint="eastAsia" w:hAnsi="宋体"/>
          <w:bCs/>
          <w:color w:val="000000"/>
          <w:sz w:val="21"/>
          <w:highlight w:val="none"/>
        </w:rPr>
        <w:t>按照《财政部 民政部 中国残疾人联合会关于促进残疾人就业政府采购政策的通知》（财库〔2017〕141号）之规定，残疾人福利性单位视同小型、微型企业。</w:t>
      </w:r>
    </w:p>
    <w:p w14:paraId="3A25F55C">
      <w:pPr>
        <w:spacing w:line="360" w:lineRule="auto"/>
        <w:ind w:firstLine="422" w:firstLineChars="200"/>
        <w:jc w:val="both"/>
        <w:rPr>
          <w:rFonts w:hAnsi="宋体"/>
          <w:b/>
          <w:color w:val="000000"/>
          <w:sz w:val="21"/>
          <w:highlight w:val="none"/>
        </w:rPr>
      </w:pPr>
      <w:r>
        <w:rPr>
          <w:rFonts w:hint="eastAsia" w:hAnsi="宋体"/>
          <w:b/>
          <w:color w:val="000000"/>
          <w:sz w:val="21"/>
          <w:highlight w:val="none"/>
        </w:rPr>
        <w:t>2.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电子公章</w:t>
      </w:r>
      <w:r>
        <w:rPr>
          <w:rFonts w:hAnsi="宋体"/>
          <w:b/>
          <w:color w:val="000000"/>
          <w:sz w:val="21"/>
          <w:highlight w:val="none"/>
        </w:rPr>
        <w:t>]</w:t>
      </w:r>
      <w:r>
        <w:rPr>
          <w:rFonts w:hint="eastAsia" w:hAnsi="宋体"/>
          <w:b/>
          <w:color w:val="000000"/>
          <w:sz w:val="21"/>
          <w:highlight w:val="none"/>
        </w:rPr>
        <w:t>，否则相应投标无效。</w:t>
      </w:r>
    </w:p>
    <w:p w14:paraId="3636E14D">
      <w:pPr>
        <w:spacing w:line="360" w:lineRule="auto"/>
        <w:ind w:firstLine="420" w:firstLineChars="200"/>
        <w:jc w:val="both"/>
        <w:rPr>
          <w:rFonts w:hAnsi="宋体"/>
          <w:b/>
          <w:color w:val="000000"/>
          <w:sz w:val="21"/>
          <w:highlight w:val="none"/>
        </w:rPr>
      </w:pPr>
      <w:r>
        <w:rPr>
          <w:rFonts w:hint="eastAsia" w:hAnsi="宋体"/>
          <w:color w:val="000000"/>
          <w:sz w:val="21"/>
          <w:highlight w:val="none"/>
        </w:rPr>
        <w:t>3.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w:t>
      </w:r>
      <w:r>
        <w:rPr>
          <w:rFonts w:hint="eastAsia" w:hAnsi="宋体"/>
          <w:b/>
          <w:color w:val="000000"/>
          <w:sz w:val="21"/>
          <w:highlight w:val="none"/>
        </w:rPr>
        <w:t>并在投标文件中提供由中国网信网（htt://www. cac.gov. cn/index.htm）最新发布的《网络关键设备和网络安全专用产品安全认证和安全检测结果》截图证明材料（查询方式:网站首页→网信政务→网络产品和服务安全认证和安全检测结果发布），不在《网络关键设备和网络安全专用产品家全认证和安全检测结果》中或不在有效期内或未提供有效的《计算机信息系统安全专用产品销售许可证》的，投标无效。</w:t>
      </w:r>
      <w:r>
        <w:rPr>
          <w:rFonts w:hint="eastAsia" w:hAnsi="宋体"/>
          <w:color w:val="000000"/>
          <w:sz w:val="21"/>
          <w:highlight w:val="none"/>
        </w:rPr>
        <w:t>如属于《网络关键设备和网络安全专用产品目录》中“二、网络安全专用产品”内“产品类别”中的所描述的产品，但不属于所列“产品描述”情形的，应提供相应的说明及证明材料。</w:t>
      </w:r>
    </w:p>
    <w:p w14:paraId="605C8505">
      <w:pPr>
        <w:spacing w:line="360" w:lineRule="auto"/>
        <w:ind w:firstLine="422" w:firstLineChars="200"/>
        <w:jc w:val="both"/>
        <w:rPr>
          <w:rFonts w:hint="eastAsia" w:hAnsi="宋体"/>
          <w:color w:val="000000"/>
          <w:sz w:val="21"/>
          <w:highlight w:val="none"/>
        </w:rPr>
      </w:pPr>
      <w:r>
        <w:rPr>
          <w:rFonts w:hAnsi="宋体"/>
          <w:b/>
          <w:color w:val="000000"/>
          <w:sz w:val="21"/>
          <w:highlight w:val="none"/>
        </w:rPr>
        <w:t>4.本项目不接受进口产品（即通过中国海关报关验放进入中国境内且产自关境外的产品）参与投标，如有此类产品参与投标的做投标无效处理。</w:t>
      </w:r>
    </w:p>
    <w:p w14:paraId="189DC927">
      <w:pPr>
        <w:spacing w:line="360" w:lineRule="auto"/>
        <w:ind w:firstLine="420" w:firstLineChars="200"/>
        <w:jc w:val="both"/>
        <w:rPr>
          <w:rFonts w:hint="eastAsia" w:hAnsi="宋体"/>
          <w:color w:val="000000"/>
          <w:sz w:val="21"/>
          <w:highlight w:val="none"/>
        </w:rPr>
      </w:pPr>
      <w:r>
        <w:rPr>
          <w:rFonts w:hAnsi="宋体"/>
          <w:color w:val="000000"/>
          <w:sz w:val="21"/>
          <w:highlight w:val="none"/>
        </w:rPr>
        <w:t>5</w:t>
      </w:r>
      <w:r>
        <w:rPr>
          <w:rFonts w:hint="eastAsia" w:hAnsi="宋体"/>
          <w:color w:val="000000"/>
          <w:sz w:val="21"/>
          <w:highlight w:val="none"/>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问题提出异议。</w:t>
      </w:r>
    </w:p>
    <w:p w14:paraId="7F663FC6">
      <w:pPr>
        <w:spacing w:line="360" w:lineRule="auto"/>
        <w:ind w:firstLine="420" w:firstLineChars="200"/>
        <w:jc w:val="both"/>
        <w:rPr>
          <w:rFonts w:hint="eastAsia" w:hAnsi="宋体"/>
          <w:color w:val="000000"/>
          <w:sz w:val="21"/>
          <w:highlight w:val="none"/>
        </w:rPr>
      </w:pPr>
      <w:r>
        <w:rPr>
          <w:rFonts w:hAnsi="宋体"/>
          <w:color w:val="000000"/>
          <w:sz w:val="21"/>
          <w:highlight w:val="none"/>
        </w:rPr>
        <w:t>6</w:t>
      </w:r>
      <w:r>
        <w:rPr>
          <w:rFonts w:hint="eastAsia" w:hAnsi="宋体"/>
          <w:color w:val="000000"/>
          <w:sz w:val="21"/>
          <w:highlight w:val="none"/>
        </w:rPr>
        <w:t>.招标文件中所要求提供的证明材料，如为英文文本的请同时提供中文译本。</w:t>
      </w:r>
    </w:p>
    <w:p w14:paraId="2CA009F8">
      <w:pPr>
        <w:spacing w:line="360" w:lineRule="auto"/>
        <w:ind w:firstLine="420" w:firstLineChars="200"/>
        <w:jc w:val="both"/>
        <w:rPr>
          <w:rFonts w:hint="eastAsia" w:hAnsi="宋体"/>
          <w:color w:val="000000"/>
          <w:sz w:val="21"/>
          <w:highlight w:val="none"/>
        </w:rPr>
      </w:pPr>
      <w:r>
        <w:rPr>
          <w:rFonts w:hAnsi="宋体"/>
          <w:color w:val="000000"/>
          <w:sz w:val="21"/>
          <w:highlight w:val="none"/>
        </w:rPr>
        <w:t>7</w:t>
      </w:r>
      <w:r>
        <w:rPr>
          <w:rFonts w:hint="eastAsia" w:hAnsi="宋体"/>
          <w:color w:val="000000"/>
          <w:sz w:val="21"/>
          <w:highlight w:val="none"/>
        </w:rPr>
        <w:t>.采购需求具有国家或其他强制性标准、规范等要求的，投标文件中必须提供相关强制性认证资料，否则投标无效。</w:t>
      </w:r>
    </w:p>
    <w:p w14:paraId="3D5B8C52">
      <w:pPr>
        <w:spacing w:line="360" w:lineRule="auto"/>
        <w:ind w:firstLine="420" w:firstLineChars="200"/>
        <w:jc w:val="both"/>
        <w:rPr>
          <w:rFonts w:hint="eastAsia" w:hAnsi="宋体"/>
          <w:color w:val="000000"/>
          <w:sz w:val="21"/>
          <w:highlight w:val="none"/>
        </w:rPr>
      </w:pPr>
      <w:r>
        <w:rPr>
          <w:rFonts w:hAnsi="宋体"/>
          <w:color w:val="000000"/>
          <w:sz w:val="21"/>
          <w:highlight w:val="none"/>
        </w:rPr>
        <w:t>9</w:t>
      </w:r>
      <w:r>
        <w:rPr>
          <w:rFonts w:hint="eastAsia" w:hAnsi="宋体"/>
          <w:color w:val="000000"/>
          <w:sz w:val="21"/>
          <w:highlight w:val="none"/>
        </w:rPr>
        <w:t>.本采购需求中技术要求所使用的标准按最新的国家或行业标准执行。</w:t>
      </w:r>
    </w:p>
    <w:p w14:paraId="0EAF90E3">
      <w:pPr>
        <w:spacing w:line="360" w:lineRule="auto"/>
        <w:ind w:firstLine="422" w:firstLineChars="200"/>
        <w:jc w:val="both"/>
        <w:rPr>
          <w:rFonts w:hint="eastAsia" w:hAnsi="宋体" w:cs="宋体"/>
          <w:b/>
          <w:bCs/>
          <w:color w:val="000000"/>
          <w:kern w:val="0"/>
          <w:sz w:val="21"/>
          <w:highlight w:val="none"/>
        </w:rPr>
      </w:pPr>
      <w:r>
        <w:rPr>
          <w:rFonts w:hint="eastAsia" w:hAnsi="宋体" w:cs="宋体"/>
          <w:b/>
          <w:bCs/>
          <w:color w:val="000000"/>
          <w:kern w:val="0"/>
          <w:sz w:val="21"/>
          <w:highlight w:val="none"/>
        </w:rPr>
        <w:t>1</w:t>
      </w:r>
      <w:r>
        <w:rPr>
          <w:rFonts w:hAnsi="宋体" w:cs="宋体"/>
          <w:b/>
          <w:bCs/>
          <w:color w:val="000000"/>
          <w:kern w:val="0"/>
          <w:sz w:val="21"/>
          <w:highlight w:val="none"/>
        </w:rPr>
        <w:t>0.</w:t>
      </w:r>
      <w:r>
        <w:rPr>
          <w:rFonts w:hint="eastAsia" w:hAnsi="宋体"/>
          <w:b/>
          <w:color w:val="000000"/>
          <w:sz w:val="21"/>
          <w:highlight w:val="none"/>
        </w:rPr>
        <w:t>本项目标注“△”号的技术参数为重要技术参数，如标注“△”号的技术参数低于招标文件要求，即为负偏离，作为加重扣分处理。</w:t>
      </w:r>
    </w:p>
    <w:tbl>
      <w:tblPr>
        <w:tblStyle w:val="9"/>
        <w:tblW w:w="98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834"/>
        <w:gridCol w:w="865"/>
        <w:gridCol w:w="6864"/>
        <w:gridCol w:w="744"/>
      </w:tblGrid>
      <w:tr w14:paraId="79F8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7FB2579C">
            <w:pPr>
              <w:spacing w:line="360" w:lineRule="auto"/>
              <w:jc w:val="center"/>
              <w:rPr>
                <w:rFonts w:hint="eastAsia" w:hAnsi="宋体" w:cs="宋体"/>
                <w:b/>
                <w:color w:val="000000"/>
                <w:sz w:val="21"/>
                <w:highlight w:val="none"/>
              </w:rPr>
            </w:pPr>
            <w:r>
              <w:rPr>
                <w:rFonts w:hint="eastAsia" w:hAnsi="宋体" w:cs="宋体"/>
                <w:b/>
                <w:color w:val="000000"/>
                <w:sz w:val="21"/>
                <w:highlight w:val="none"/>
              </w:rPr>
              <w:t>序号</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2F66D480">
            <w:pPr>
              <w:spacing w:line="360" w:lineRule="auto"/>
              <w:jc w:val="center"/>
              <w:rPr>
                <w:rFonts w:hint="eastAsia" w:hAnsi="宋体" w:cs="宋体"/>
                <w:b/>
                <w:color w:val="000000"/>
                <w:sz w:val="21"/>
                <w:highlight w:val="none"/>
              </w:rPr>
            </w:pPr>
            <w:r>
              <w:rPr>
                <w:rFonts w:hint="eastAsia" w:hAnsi="宋体" w:cs="宋体"/>
                <w:b/>
                <w:color w:val="000000"/>
                <w:sz w:val="21"/>
                <w:highlight w:val="none"/>
              </w:rPr>
              <w:t>标的名称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D3504A0">
            <w:pPr>
              <w:spacing w:line="360" w:lineRule="auto"/>
              <w:jc w:val="center"/>
              <w:rPr>
                <w:rFonts w:hint="eastAsia" w:hAnsi="宋体" w:cs="宋体"/>
                <w:b/>
                <w:color w:val="000000"/>
                <w:sz w:val="21"/>
                <w:highlight w:val="none"/>
              </w:rPr>
            </w:pPr>
            <w:r>
              <w:rPr>
                <w:rFonts w:hint="eastAsia" w:hAnsi="宋体" w:cs="宋体"/>
                <w:b/>
                <w:color w:val="000000"/>
                <w:sz w:val="21"/>
                <w:highlight w:val="none"/>
              </w:rPr>
              <w:t>数量及单位</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5AFD26AC">
            <w:pPr>
              <w:spacing w:line="360" w:lineRule="auto"/>
              <w:jc w:val="center"/>
              <w:rPr>
                <w:rFonts w:hint="eastAsia" w:hAnsi="宋体" w:cs="宋体"/>
                <w:b/>
                <w:bCs/>
                <w:color w:val="000000"/>
                <w:sz w:val="21"/>
                <w:highlight w:val="none"/>
              </w:rPr>
            </w:pPr>
            <w:r>
              <w:rPr>
                <w:rFonts w:hint="eastAsia" w:hAnsi="宋体" w:cs="宋体"/>
                <w:b/>
                <w:color w:val="000000"/>
                <w:sz w:val="21"/>
                <w:highlight w:val="none"/>
              </w:rPr>
              <w:t>技术参数</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EF0B87B">
            <w:pPr>
              <w:spacing w:line="360" w:lineRule="auto"/>
              <w:jc w:val="center"/>
              <w:rPr>
                <w:rFonts w:hint="eastAsia" w:hAnsi="宋体" w:cs="宋体"/>
                <w:b/>
                <w:bCs/>
                <w:color w:val="000000"/>
                <w:sz w:val="21"/>
                <w:highlight w:val="none"/>
              </w:rPr>
            </w:pPr>
            <w:r>
              <w:rPr>
                <w:rFonts w:hint="eastAsia" w:hAnsi="宋体" w:cs="宋体"/>
                <w:b/>
                <w:bCs/>
                <w:color w:val="000000"/>
                <w:sz w:val="21"/>
                <w:highlight w:val="none"/>
              </w:rPr>
              <w:t>所属行业</w:t>
            </w:r>
          </w:p>
        </w:tc>
      </w:tr>
      <w:tr w14:paraId="0F5CE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A982D5C">
            <w:pPr>
              <w:snapToGrid w:val="0"/>
              <w:spacing w:before="120" w:beforeLines="50" w:line="360" w:lineRule="auto"/>
              <w:ind w:firstLine="6" w:firstLineChars="3"/>
              <w:jc w:val="center"/>
              <w:rPr>
                <w:rFonts w:hint="eastAsia" w:hAnsi="宋体" w:cs="宋体"/>
                <w:bCs/>
                <w:color w:val="000000"/>
                <w:sz w:val="21"/>
                <w:highlight w:val="none"/>
              </w:rPr>
            </w:pPr>
            <w:r>
              <w:rPr>
                <w:rFonts w:hint="eastAsia" w:hAnsi="宋体" w:cs="宋体"/>
                <w:bCs/>
                <w:color w:val="000000"/>
                <w:sz w:val="21"/>
                <w:highlight w:val="none"/>
              </w:rPr>
              <w:t>1</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9417D1E">
            <w:pPr>
              <w:widowControl/>
              <w:spacing w:line="360" w:lineRule="auto"/>
              <w:jc w:val="center"/>
              <w:rPr>
                <w:rFonts w:hint="eastAsia" w:hAnsi="宋体" w:cs="宋体"/>
                <w:color w:val="000000"/>
                <w:kern w:val="0"/>
                <w:sz w:val="21"/>
                <w:highlight w:val="none"/>
              </w:rPr>
            </w:pPr>
            <w:r>
              <w:rPr>
                <w:rFonts w:hint="eastAsia" w:hAnsi="宋体" w:cs="宋体"/>
                <w:color w:val="000000"/>
                <w:kern w:val="0"/>
                <w:sz w:val="21"/>
                <w:highlight w:val="none"/>
              </w:rPr>
              <w:t>数字动画全流程制作实训软件</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85B30DB">
            <w:pPr>
              <w:widowControl/>
              <w:spacing w:line="360" w:lineRule="auto"/>
              <w:jc w:val="center"/>
              <w:rPr>
                <w:rFonts w:hint="eastAsia" w:hAnsi="宋体" w:cs="宋体"/>
                <w:color w:val="000000"/>
                <w:kern w:val="0"/>
                <w:sz w:val="21"/>
                <w:highlight w:val="none"/>
              </w:rPr>
            </w:pPr>
            <w:r>
              <w:rPr>
                <w:rFonts w:hint="eastAsia" w:hAnsi="宋体" w:cs="宋体"/>
                <w:color w:val="000000"/>
                <w:kern w:val="0"/>
                <w:sz w:val="21"/>
                <w:highlight w:val="none"/>
              </w:rPr>
              <w:t>1套</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73B3E84D">
            <w:pPr>
              <w:widowControl/>
              <w:spacing w:line="360" w:lineRule="auto"/>
              <w:ind w:firstLine="422" w:firstLineChars="200"/>
              <w:jc w:val="both"/>
              <w:rPr>
                <w:rFonts w:hAnsi="宋体"/>
                <w:b/>
                <w:color w:val="000000"/>
                <w:sz w:val="21"/>
                <w:highlight w:val="none"/>
              </w:rPr>
            </w:pPr>
            <w:r>
              <w:rPr>
                <w:rFonts w:hint="eastAsia" w:hAnsi="宋体"/>
                <w:b/>
                <w:color w:val="000000"/>
                <w:sz w:val="21"/>
                <w:highlight w:val="none"/>
              </w:rPr>
              <w:t>（一）平台架构及环境部署要求</w:t>
            </w:r>
          </w:p>
          <w:p w14:paraId="7F7302F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1.要求平台基于Java开发，主要软件功能可以在国产服务器上运行，包括但不限于x86、ARM等主流国产CPU架构。</w:t>
            </w:r>
          </w:p>
          <w:p w14:paraId="7157044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2.采用 B/S 架构，服务器端支持Linux和Windows操作系统，支持国产Linux系统；客户端浏览器无需安装任何客户端及插件，支持火狐、Edge、Chrome主流浏览器，支持奇安信等国产浏览器。</w:t>
            </w:r>
          </w:p>
          <w:p w14:paraId="27DD8E3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3.采用本地服务器部署方式。</w:t>
            </w:r>
          </w:p>
          <w:p w14:paraId="0665E97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4.可支持不少于80人同时实训，且不出现卡顿、掉线、加载不出、无法登录等现象。</w:t>
            </w:r>
          </w:p>
          <w:p w14:paraId="239AFE49">
            <w:pPr>
              <w:widowControl/>
              <w:spacing w:line="360" w:lineRule="auto"/>
              <w:ind w:firstLine="422" w:firstLineChars="200"/>
              <w:jc w:val="both"/>
              <w:rPr>
                <w:rFonts w:hAnsi="宋体"/>
                <w:b/>
                <w:color w:val="000000"/>
                <w:sz w:val="21"/>
                <w:highlight w:val="none"/>
              </w:rPr>
            </w:pPr>
            <w:r>
              <w:rPr>
                <w:rFonts w:hint="eastAsia" w:hAnsi="宋体"/>
                <w:b/>
                <w:color w:val="000000"/>
                <w:sz w:val="21"/>
                <w:highlight w:val="none"/>
              </w:rPr>
              <w:t>（二）平台四大功能模块具备的功能</w:t>
            </w:r>
          </w:p>
          <w:p w14:paraId="2F39BF0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1.实习实训模块</w:t>
            </w:r>
          </w:p>
          <w:p w14:paraId="073D2F7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1.1实训岗位预设与管理</w:t>
            </w:r>
          </w:p>
          <w:p w14:paraId="1E438D7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1)预设的岗位类型：剧本、角色设定、分镜、模型、材质、灯光、Layout、配音、特效、渲染合成。</w:t>
            </w:r>
          </w:p>
          <w:p w14:paraId="01C3D96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2)根据需要增加预设或自定义岗位配置。</w:t>
            </w:r>
          </w:p>
          <w:p w14:paraId="616B598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△1.2虚拟机模板预设及管理</w:t>
            </w:r>
            <w:r>
              <w:rPr>
                <w:rFonts w:hint="eastAsia" w:hAnsi="宋体"/>
                <w:b/>
                <w:color w:val="000000"/>
                <w:sz w:val="21"/>
                <w:highlight w:val="none"/>
              </w:rPr>
              <w:t>（投标人须在投标文件中提供“虚拟机模板预设及管理”原型图和技术说明并加盖投标人电子公章，否则视为负偏离）。</w:t>
            </w:r>
          </w:p>
          <w:p w14:paraId="0D0A4E4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依据动漫制作实训岗位需求预设适合虚拟机模板（配置内存资源、存储资源、软件资源、运算资源），预设模板至少包含的类型：3D建模模板、云渲染特效模板、视频剪辑模板，实训导师可基于虚拟机模板创建实训虚拟机。</w:t>
            </w:r>
          </w:p>
          <w:p w14:paraId="62EE769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1.3实训素材管理</w:t>
            </w:r>
          </w:p>
          <w:p w14:paraId="610EC69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支持多种素材内容格式，格式包括：Word文档、PPT、图片、项目工程文件、视频、gif。</w:t>
            </w:r>
          </w:p>
          <w:p w14:paraId="6B41D58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1.4实训案例模板预设与管理</w:t>
            </w:r>
          </w:p>
          <w:p w14:paraId="2112F18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要求平台内置不少于5个基于真实项目的实训案例，案例内容应选取已在国家级媒体平台或具有广泛影响力的媒体渠道公开发行的动漫影视作品。实训案例素材内容包括动画制作相关环节的样例工程文件，成片视频。</w:t>
            </w:r>
          </w:p>
          <w:p w14:paraId="53E4DD9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预设信息包含：名称、训练模式，支持实训任务的拆分；可为任务分配相关的实训素材。</w:t>
            </w:r>
          </w:p>
          <w:p w14:paraId="7A09EB3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1.5分角色（教师、学生、巡视员、管理员）授权功能：</w:t>
            </w:r>
          </w:p>
          <w:p w14:paraId="3661B42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1）教师角色支持以下功能：</w:t>
            </w:r>
          </w:p>
          <w:p w14:paraId="17588E6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a.实训组班、实训分组。</w:t>
            </w:r>
          </w:p>
          <w:p w14:paraId="472E0EF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b.创建和管理实训项目，包括项目评价、查看项目成果、挑选作品进行展示。</w:t>
            </w:r>
          </w:p>
          <w:p w14:paraId="6E6833E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2）学生角色支持以下功能：</w:t>
            </w:r>
          </w:p>
          <w:p w14:paraId="6B99C85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a.参加实训：包括查看实训任务、同组人员，获取实训资源，提交实训成果。</w:t>
            </w:r>
          </w:p>
          <w:p w14:paraId="58EC1F7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b.个人学习数据：查看评分评价，记录实训日志，查看技能画像。</w:t>
            </w:r>
          </w:p>
          <w:p w14:paraId="406500D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3）巡视员角色支持以下功能：</w:t>
            </w:r>
          </w:p>
          <w:p w14:paraId="119B66A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a.巡查项目：可查看本学校所有的实训项目。</w:t>
            </w:r>
          </w:p>
          <w:p w14:paraId="4349FD1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b.成果巡查：可查看实训成果。</w:t>
            </w:r>
          </w:p>
          <w:p w14:paraId="14C57E2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4）管理员角色支持以下功能：</w:t>
            </w:r>
          </w:p>
          <w:p w14:paraId="4DD39AD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a.教务数据管理。</w:t>
            </w:r>
          </w:p>
          <w:p w14:paraId="032E494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b.系统管理。</w:t>
            </w:r>
          </w:p>
          <w:p w14:paraId="7140112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1.6实训评估功能：</w:t>
            </w:r>
          </w:p>
          <w:p w14:paraId="427298B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1)试题管理、评估策略、试卷库管理。</w:t>
            </w:r>
          </w:p>
          <w:p w14:paraId="5934D51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2)评测功能：专项能力测评、岗位能力测评、职业素养测评，支持生成技能画像。</w:t>
            </w:r>
          </w:p>
          <w:p w14:paraId="43B5BB2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△1.7虚拟展厅功能</w:t>
            </w:r>
            <w:r>
              <w:rPr>
                <w:rFonts w:hint="eastAsia" w:hAnsi="宋体"/>
                <w:b/>
                <w:color w:val="000000"/>
                <w:sz w:val="21"/>
                <w:highlight w:val="none"/>
              </w:rPr>
              <w:t>（投标人须在投标文件中提供“虚拟展厅功能”原型图和技术说明并加盖投标人电子公章，否则视为负偏离）。</w:t>
            </w:r>
          </w:p>
          <w:p w14:paraId="4CDCF48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通过云渲染应用全方位多角度展示实训作品，实训作品类型包括：3D模型、视频、图片格式，虚拟展厅支持浏览器访问。</w:t>
            </w:r>
          </w:p>
          <w:p w14:paraId="730F192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1.8数据归档功能：支持将学生个人及班级的课程学习成果及资料进行统计和归档，将相关数据导出。</w:t>
            </w:r>
          </w:p>
          <w:p w14:paraId="0B719C4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2.技术服务模块</w:t>
            </w:r>
          </w:p>
          <w:p w14:paraId="31AE149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2.1企业管理：支持合作企业入驻、审核和授权。</w:t>
            </w:r>
          </w:p>
          <w:p w14:paraId="412618B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2.2支持企业发布项目，对项目的全流程管理，支持为任务承接人分配云主机，通过云主机完成任务。</w:t>
            </w:r>
          </w:p>
          <w:p w14:paraId="02B11CF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2.3支持用户承接项目，提交项目报告。</w:t>
            </w:r>
          </w:p>
          <w:p w14:paraId="7145D81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2.4支持调查问卷功能，支持多题型定制。</w:t>
            </w:r>
          </w:p>
          <w:p w14:paraId="362B928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3.社会培训模块</w:t>
            </w:r>
          </w:p>
          <w:p w14:paraId="40F4699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3.1学员管理：导入学员和管理学员信息。</w:t>
            </w:r>
          </w:p>
          <w:p w14:paraId="53D69A5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3.2班级管理：班级组建、设置班级学员、设置班级负责人、按班级进行学习数据统计。</w:t>
            </w:r>
          </w:p>
          <w:p w14:paraId="1E54C5E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3.3教师管理：导入和管理教师信息。</w:t>
            </w:r>
          </w:p>
          <w:p w14:paraId="59CC37F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3.4证书管理：管理证书分类、证书样式、颁发机构、发放数量、发放记录信息。</w:t>
            </w:r>
          </w:p>
          <w:p w14:paraId="7296EB9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3.5课程管理：支持分级课程目录，支持视频、文本、PDF、试题、试卷等多种课件资源。</w:t>
            </w:r>
          </w:p>
          <w:p w14:paraId="08BB29F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3.6考试管理：支持试题管理、试卷管理、考试管理、成绩管理。</w:t>
            </w:r>
          </w:p>
          <w:p w14:paraId="575C441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4.产业创新模块：</w:t>
            </w:r>
          </w:p>
          <w:p w14:paraId="7DC9564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4.1人才供需：</w:t>
            </w:r>
          </w:p>
          <w:p w14:paraId="62B111E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4.1.1支持数据采集，可设置采集分类、岗位关键词，通过选择不同的采集方式（网络抓取或批量导入）收集岗位数据。</w:t>
            </w:r>
          </w:p>
          <w:p w14:paraId="35423CD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4.1.2支持数据处理，可查看和管理数据源，对数据进行归集，并进行岗位聚类分析，自动生成岗位聚类分析图及岗位招聘高频词分析图。</w:t>
            </w:r>
          </w:p>
          <w:p w14:paraId="3C7417F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4.1.3支持预设专业数据、课程数据、课程能力数据、技能标签数据，并支持标签与岗位群的映射。</w:t>
            </w:r>
          </w:p>
          <w:p w14:paraId="743766E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4.1.4支持按学校专业进行人才供需分析，以大屏展示，预设的基础展示内容包括专业群、岗位群、人才需求数、专业培养能力要求、职业能力要求等。</w:t>
            </w:r>
          </w:p>
          <w:p w14:paraId="7559A44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△4.1.5支持生成人才需求报告</w:t>
            </w:r>
            <w:r>
              <w:rPr>
                <w:rFonts w:hint="eastAsia" w:hAnsi="宋体"/>
                <w:b/>
                <w:color w:val="000000"/>
                <w:sz w:val="21"/>
                <w:highlight w:val="none"/>
              </w:rPr>
              <w:t>（投标人须在投标文件中提供“支持生成人才需求报告”原型图和技术说明并加盖投标人电子公章，否则视为负偏离）</w:t>
            </w:r>
            <w:r>
              <w:rPr>
                <w:rFonts w:hint="eastAsia" w:hAnsi="宋体"/>
                <w:color w:val="000000"/>
                <w:sz w:val="21"/>
                <w:highlight w:val="none"/>
              </w:rPr>
              <w:t>。</w:t>
            </w:r>
          </w:p>
          <w:p w14:paraId="53D81A6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报告至少包括核心数据、岗位分布，以及区域、薪资分布、学历、行业分析、企业性质等分析模块，报告可导出为PDF格式。</w:t>
            </w:r>
          </w:p>
          <w:p w14:paraId="4081649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△4.1.6支持生成人才培养方案报告</w:t>
            </w:r>
            <w:r>
              <w:rPr>
                <w:rFonts w:hint="eastAsia" w:hAnsi="宋体"/>
                <w:b/>
                <w:color w:val="000000"/>
                <w:sz w:val="21"/>
                <w:highlight w:val="none"/>
              </w:rPr>
              <w:t>（投标人须在投标文件中提供“支持生成人才培养方案报告”原型图和技术说明并加盖投标人电子公章，否则视为负偏离）</w:t>
            </w:r>
            <w:r>
              <w:rPr>
                <w:rFonts w:hint="eastAsia" w:hAnsi="宋体"/>
                <w:color w:val="000000"/>
                <w:sz w:val="21"/>
                <w:highlight w:val="none"/>
              </w:rPr>
              <w:t>。</w:t>
            </w:r>
          </w:p>
          <w:p w14:paraId="2E81EFD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方案至少包括专业名称、招生对象、学制与学历、职业面向、培养目标与培养规格、毕业要求，报告可导出为PDF格式。</w:t>
            </w:r>
          </w:p>
          <w:p w14:paraId="5458BBF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4.2行业智库：</w:t>
            </w:r>
          </w:p>
          <w:p w14:paraId="7BD008C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1)政策法规库：维护和展示行业相关的政策法规。</w:t>
            </w:r>
          </w:p>
          <w:p w14:paraId="736652E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2)行业资讯库：维护和展示行业相关的资讯。</w:t>
            </w:r>
          </w:p>
          <w:p w14:paraId="1C8F5FC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3)企业库：维护和展示行业共同体相关的企业信息。</w:t>
            </w:r>
          </w:p>
          <w:p w14:paraId="1D8A085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4)行业发展分析报告：维护和展示行业发展分析报告。</w:t>
            </w:r>
          </w:p>
          <w:p w14:paraId="268D62C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4.3产业图谱：</w:t>
            </w:r>
          </w:p>
          <w:p w14:paraId="4995687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1)热点分析：收集和分析产业中的热门话题、技术和市场趋势，为教育者和学习者提供实时的产业动态。</w:t>
            </w:r>
          </w:p>
          <w:p w14:paraId="0CF73B7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2)趋势分析：基于历史数据和当前市场状况，展示产业的未来发展趋势。</w:t>
            </w:r>
          </w:p>
          <w:p w14:paraId="3AD541C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3)可视化产业图谱：通过图表、图像可视化手段，展示产业分布、产业概况、产业现状等信息。</w:t>
            </w:r>
          </w:p>
          <w:p w14:paraId="6973D09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4.4组织协同：</w:t>
            </w:r>
          </w:p>
          <w:p w14:paraId="58CE8DB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1)产业会议：发放会议通知，展示会议资讯。</w:t>
            </w:r>
          </w:p>
          <w:p w14:paraId="2BF3165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2)专家支持：设置“专家访谈”和“高峰论坛”栏目。</w:t>
            </w:r>
          </w:p>
          <w:p w14:paraId="7CA4AD78">
            <w:pPr>
              <w:widowControl/>
              <w:spacing w:line="360" w:lineRule="auto"/>
              <w:ind w:firstLine="420" w:firstLineChars="200"/>
              <w:jc w:val="both"/>
              <w:rPr>
                <w:rFonts w:hint="eastAsia" w:hAnsi="宋体" w:cs="宋体"/>
                <w:color w:val="000000"/>
                <w:kern w:val="0"/>
                <w:sz w:val="21"/>
                <w:highlight w:val="none"/>
              </w:rPr>
            </w:pPr>
            <w:r>
              <w:rPr>
                <w:rFonts w:hint="eastAsia" w:hAnsi="宋体"/>
                <w:color w:val="000000"/>
                <w:sz w:val="21"/>
                <w:highlight w:val="none"/>
              </w:rPr>
              <w:t>3)数据共享：可展示行业共同的教学科研成果。</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B242E11">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软件和信息技术服务业</w:t>
            </w:r>
          </w:p>
        </w:tc>
      </w:tr>
      <w:tr w14:paraId="716FB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36C865AF">
            <w:pPr>
              <w:snapToGrid w:val="0"/>
              <w:spacing w:before="120" w:beforeLines="50" w:line="360" w:lineRule="auto"/>
              <w:ind w:firstLine="6" w:firstLineChars="3"/>
              <w:jc w:val="center"/>
              <w:rPr>
                <w:rFonts w:hint="eastAsia" w:hAnsi="宋体" w:cs="宋体"/>
                <w:bCs/>
                <w:color w:val="000000"/>
                <w:sz w:val="21"/>
                <w:highlight w:val="none"/>
              </w:rPr>
            </w:pPr>
            <w:r>
              <w:rPr>
                <w:rFonts w:hint="eastAsia" w:hAnsi="宋体" w:cs="宋体"/>
                <w:bCs/>
                <w:color w:val="000000"/>
                <w:sz w:val="21"/>
                <w:highlight w:val="none"/>
              </w:rPr>
              <w:t>2</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2C8D646C">
            <w:pPr>
              <w:widowControl/>
              <w:spacing w:line="360" w:lineRule="auto"/>
              <w:jc w:val="center"/>
              <w:rPr>
                <w:rFonts w:hint="eastAsia" w:hAnsi="宋体" w:cs="宋体"/>
                <w:color w:val="000000"/>
                <w:kern w:val="0"/>
                <w:sz w:val="21"/>
                <w:highlight w:val="none"/>
              </w:rPr>
            </w:pPr>
            <w:r>
              <w:rPr>
                <w:rFonts w:hint="eastAsia" w:hAnsi="宋体" w:cs="宋体"/>
                <w:color w:val="000000"/>
                <w:kern w:val="0"/>
                <w:sz w:val="21"/>
                <w:highlight w:val="none"/>
              </w:rPr>
              <w:t>实训项目资源包</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BC2AA4D">
            <w:pPr>
              <w:widowControl/>
              <w:spacing w:line="360" w:lineRule="auto"/>
              <w:jc w:val="center"/>
              <w:rPr>
                <w:rFonts w:hint="eastAsia" w:hAnsi="宋体" w:cs="宋体"/>
                <w:color w:val="000000"/>
                <w:kern w:val="0"/>
                <w:sz w:val="21"/>
                <w:highlight w:val="none"/>
              </w:rPr>
            </w:pPr>
            <w:r>
              <w:rPr>
                <w:rFonts w:hint="eastAsia" w:hAnsi="宋体" w:cs="宋体"/>
                <w:color w:val="000000"/>
                <w:kern w:val="0"/>
                <w:sz w:val="21"/>
                <w:highlight w:val="none"/>
              </w:rPr>
              <w:t>1套</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0C9A225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（一）总体要求：课程资源基于全国有影响力电视台播出的真实动画片开发，教育及行业专家参与录制的视频课程及配套资源。所使用的资源素材须合法取得</w:t>
            </w:r>
            <w:r>
              <w:rPr>
                <w:rFonts w:hint="eastAsia" w:hAnsi="宋体"/>
                <w:b/>
                <w:color w:val="000000"/>
                <w:sz w:val="21"/>
                <w:highlight w:val="none"/>
              </w:rPr>
              <w:t>（投标人须在投标文件中提供承诺函</w:t>
            </w:r>
            <w:r>
              <w:rPr>
                <w:rFonts w:hint="eastAsia"/>
                <w:b/>
                <w:color w:val="000000"/>
                <w:sz w:val="21"/>
                <w:highlight w:val="none"/>
              </w:rPr>
              <w:t>并加盖投标人电子公章，否则视为</w:t>
            </w:r>
            <w:r>
              <w:rPr>
                <w:rFonts w:hint="eastAsia" w:hAnsi="宋体"/>
                <w:b/>
                <w:color w:val="000000"/>
                <w:sz w:val="21"/>
                <w:highlight w:val="none"/>
              </w:rPr>
              <w:t>负偏离）</w:t>
            </w:r>
            <w:r>
              <w:rPr>
                <w:rFonts w:hint="eastAsia" w:hAnsi="宋体"/>
                <w:color w:val="000000"/>
                <w:sz w:val="21"/>
                <w:highlight w:val="none"/>
              </w:rPr>
              <w:t>。</w:t>
            </w:r>
          </w:p>
          <w:p w14:paraId="03F35A6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w:t>
            </w:r>
            <w:r>
              <w:rPr>
                <w:rFonts w:hAnsi="宋体"/>
                <w:color w:val="000000"/>
                <w:sz w:val="21"/>
                <w:highlight w:val="none"/>
              </w:rPr>
              <w:t>1.</w:t>
            </w:r>
            <w:r>
              <w:rPr>
                <w:rFonts w:hint="eastAsia" w:hAnsi="宋体"/>
                <w:color w:val="000000"/>
                <w:sz w:val="21"/>
                <w:highlight w:val="none"/>
              </w:rPr>
              <w:t>资源类型要求：资源类型至少应包括：幻灯片、实训手册、演示视频、实训素材。内容覆盖动画制作流程的每个阶段。</w:t>
            </w:r>
            <w:r>
              <w:rPr>
                <w:rFonts w:hint="eastAsia" w:hAnsi="宋体"/>
                <w:b/>
                <w:color w:val="000000"/>
                <w:sz w:val="21"/>
                <w:highlight w:val="none"/>
              </w:rPr>
              <w:t>（</w:t>
            </w:r>
            <w:r>
              <w:rPr>
                <w:rFonts w:hint="eastAsia"/>
                <w:b/>
                <w:color w:val="000000"/>
                <w:sz w:val="21"/>
                <w:highlight w:val="none"/>
              </w:rPr>
              <w:t>投标人须在投标文件中体现</w:t>
            </w:r>
            <w:r>
              <w:rPr>
                <w:rFonts w:hint="eastAsia" w:hAnsi="宋体"/>
                <w:b/>
                <w:color w:val="000000"/>
                <w:sz w:val="21"/>
                <w:highlight w:val="none"/>
              </w:rPr>
              <w:t>资源类型（包括幻灯片、实训手册、演示视频、实训素材）证明材料</w:t>
            </w:r>
            <w:r>
              <w:rPr>
                <w:rFonts w:hint="eastAsia"/>
                <w:b/>
                <w:color w:val="000000"/>
                <w:sz w:val="21"/>
                <w:highlight w:val="none"/>
              </w:rPr>
              <w:t>并加盖投标人电子公章，否则视为</w:t>
            </w:r>
            <w:r>
              <w:rPr>
                <w:rFonts w:hint="eastAsia" w:hAnsi="宋体"/>
                <w:b/>
                <w:color w:val="000000"/>
                <w:sz w:val="21"/>
                <w:highlight w:val="none"/>
              </w:rPr>
              <w:t>负偏离）</w:t>
            </w:r>
          </w:p>
          <w:p w14:paraId="54C6014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w:t>
            </w:r>
            <w:r>
              <w:rPr>
                <w:rFonts w:hAnsi="宋体"/>
                <w:color w:val="000000"/>
                <w:sz w:val="21"/>
                <w:highlight w:val="none"/>
              </w:rPr>
              <w:t>2.</w:t>
            </w:r>
            <w:r>
              <w:rPr>
                <w:rFonts w:hint="eastAsia" w:hAnsi="宋体"/>
                <w:color w:val="000000"/>
                <w:sz w:val="21"/>
                <w:highlight w:val="none"/>
              </w:rPr>
              <w:t>案例内容标准：案例内容应选取已公开发行的全国有影响力的动漫影视作品（例如：《新大头儿子和小头爸爸》、《小鲤鱼历险记》、《熊猫和和历险记》等），体现工业级的制作流程和行业标准。</w:t>
            </w:r>
            <w:r>
              <w:rPr>
                <w:rFonts w:hint="eastAsia" w:hAnsi="宋体"/>
                <w:b/>
                <w:color w:val="000000"/>
                <w:sz w:val="21"/>
                <w:highlight w:val="none"/>
              </w:rPr>
              <w:t>（投标人须在投标文件中体现已公开发行的全国有影响力的动漫影视作品（例如：《新大头儿子和小头爸爸》、《小鲤鱼历险记》、《熊猫和和历险记》等）案例证明材料并加盖投标人电子公章，否则视为负偏离）</w:t>
            </w:r>
          </w:p>
          <w:p w14:paraId="7B8274E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w:t>
            </w:r>
            <w:r>
              <w:rPr>
                <w:rFonts w:hAnsi="宋体"/>
                <w:color w:val="000000"/>
                <w:sz w:val="21"/>
                <w:highlight w:val="none"/>
              </w:rPr>
              <w:t>3.</w:t>
            </w:r>
            <w:r>
              <w:rPr>
                <w:rFonts w:hint="eastAsia" w:hAnsi="宋体"/>
                <w:color w:val="000000"/>
                <w:sz w:val="21"/>
                <w:highlight w:val="none"/>
              </w:rPr>
              <w:t>资源格式及技术要求：资源格式包含：文字、表格、图片、视频及项目工程文件，资源包的总容量不小于100GB。</w:t>
            </w:r>
            <w:r>
              <w:rPr>
                <w:rFonts w:hint="eastAsia" w:hAnsi="宋体"/>
                <w:b/>
                <w:color w:val="000000"/>
                <w:sz w:val="21"/>
                <w:highlight w:val="none"/>
              </w:rPr>
              <w:t>（</w:t>
            </w:r>
            <w:r>
              <w:rPr>
                <w:rFonts w:hint="eastAsia"/>
                <w:b/>
                <w:color w:val="000000"/>
                <w:sz w:val="21"/>
                <w:highlight w:val="none"/>
              </w:rPr>
              <w:t>投标人须在投标文件中体现</w:t>
            </w:r>
            <w:r>
              <w:rPr>
                <w:rFonts w:hint="eastAsia" w:hAnsi="宋体"/>
                <w:b/>
                <w:color w:val="000000"/>
                <w:sz w:val="21"/>
                <w:highlight w:val="none"/>
              </w:rPr>
              <w:t>资源格式（包含文字、表格、图片、视频及项目工程文件）且提供截图显示资源包的总容量不小于100GB证明材料</w:t>
            </w:r>
            <w:r>
              <w:rPr>
                <w:rFonts w:hint="eastAsia"/>
                <w:b/>
                <w:color w:val="000000"/>
                <w:sz w:val="21"/>
                <w:highlight w:val="none"/>
              </w:rPr>
              <w:t>并加盖投标人电子公章，否则视为</w:t>
            </w:r>
            <w:r>
              <w:rPr>
                <w:rFonts w:hint="eastAsia" w:hAnsi="宋体"/>
                <w:b/>
                <w:color w:val="000000"/>
                <w:sz w:val="21"/>
                <w:highlight w:val="none"/>
              </w:rPr>
              <w:t>负偏离）</w:t>
            </w:r>
          </w:p>
          <w:p w14:paraId="42EEF77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（二）具体要求：</w:t>
            </w:r>
          </w:p>
          <w:p w14:paraId="6F2BED9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w:t>
            </w:r>
            <w:r>
              <w:rPr>
                <w:rFonts w:hAnsi="宋体"/>
                <w:color w:val="000000"/>
                <w:sz w:val="21"/>
                <w:highlight w:val="none"/>
              </w:rPr>
              <w:t>.</w:t>
            </w:r>
            <w:r>
              <w:rPr>
                <w:rFonts w:hint="eastAsia" w:hAnsi="宋体"/>
                <w:color w:val="000000"/>
                <w:sz w:val="21"/>
                <w:highlight w:val="none"/>
              </w:rPr>
              <w:t>《行业认知与动漫项目管理、造型与场景道具设计》课程资源包：</w:t>
            </w:r>
          </w:p>
          <w:p w14:paraId="5C8AB869">
            <w:pPr>
              <w:widowControl/>
              <w:spacing w:line="360" w:lineRule="auto"/>
              <w:ind w:firstLine="420" w:firstLineChars="200"/>
              <w:jc w:val="both"/>
              <w:rPr>
                <w:rFonts w:hAnsi="宋体"/>
                <w:color w:val="000000"/>
                <w:sz w:val="21"/>
                <w:highlight w:val="none"/>
              </w:rPr>
            </w:pPr>
            <w:r>
              <w:rPr>
                <w:rFonts w:hAnsi="宋体"/>
                <w:color w:val="000000"/>
                <w:sz w:val="21"/>
                <w:highlight w:val="none"/>
              </w:rPr>
              <w:t>1.1</w:t>
            </w:r>
            <w:r>
              <w:rPr>
                <w:rFonts w:hint="eastAsia" w:hAnsi="宋体"/>
                <w:color w:val="000000"/>
                <w:sz w:val="21"/>
                <w:highlight w:val="none"/>
              </w:rPr>
              <w:t>《行业认知与动漫项目管理》课程概述：</w:t>
            </w:r>
          </w:p>
          <w:p w14:paraId="2151AF5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课程紧密结合实际动漫典型项目案例，涵盖项目规划、进度控制、资源分配、会议组织、成果移交等项目管理要点。通过课堂教学、实际案例分析和团队实践，学生将学会如何制定详细的项目计划，高效监控进度，合理分配资源，协同合作，实现动漫制作项目。培养学生在动漫制作领域的项目管理技能的领导力、沟通协调和风险管理能力。</w:t>
            </w:r>
          </w:p>
          <w:p w14:paraId="37306553">
            <w:pPr>
              <w:widowControl/>
              <w:spacing w:line="360" w:lineRule="auto"/>
              <w:ind w:firstLine="420" w:firstLineChars="200"/>
              <w:jc w:val="both"/>
              <w:rPr>
                <w:rFonts w:hAnsi="宋体"/>
                <w:color w:val="000000"/>
                <w:sz w:val="21"/>
                <w:highlight w:val="none"/>
              </w:rPr>
            </w:pPr>
            <w:r>
              <w:rPr>
                <w:rFonts w:hAnsi="宋体"/>
                <w:color w:val="000000"/>
                <w:sz w:val="21"/>
                <w:highlight w:val="none"/>
              </w:rPr>
              <w:t>1.2</w:t>
            </w:r>
            <w:r>
              <w:rPr>
                <w:rFonts w:hint="eastAsia" w:hAnsi="宋体"/>
                <w:color w:val="000000"/>
                <w:sz w:val="21"/>
                <w:highlight w:val="none"/>
              </w:rPr>
              <w:t>《造型与场景道具设计》课程概述：</w:t>
            </w:r>
          </w:p>
          <w:p w14:paraId="16E5592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课程以全国性有影响力电视台已播出或正在播出动画片中的人物造型设计、场景设计、道具设计为载体，旨在培养学生掌握题材分析、构图表现、视觉引导、气氛营造等能力，使学生能够从实际目标出发，完成角色转面、动作、换装、表情等角色设计和场景气氛、方位、道具等场景道具的设计。</w:t>
            </w:r>
          </w:p>
          <w:p w14:paraId="29BA0168">
            <w:pPr>
              <w:widowControl/>
              <w:spacing w:line="360" w:lineRule="auto"/>
              <w:ind w:firstLine="420" w:firstLineChars="200"/>
              <w:jc w:val="both"/>
              <w:rPr>
                <w:rFonts w:hAnsi="宋体"/>
                <w:color w:val="000000"/>
                <w:sz w:val="21"/>
                <w:highlight w:val="none"/>
              </w:rPr>
            </w:pPr>
            <w:r>
              <w:rPr>
                <w:rFonts w:hAnsi="宋体"/>
                <w:color w:val="000000"/>
                <w:sz w:val="21"/>
                <w:highlight w:val="none"/>
              </w:rPr>
              <w:t>1.3</w:t>
            </w:r>
            <w:r>
              <w:rPr>
                <w:rFonts w:hint="eastAsia" w:hAnsi="宋体"/>
                <w:color w:val="000000"/>
                <w:sz w:val="21"/>
                <w:highlight w:val="none"/>
              </w:rPr>
              <w:t>课程资源包参数：</w:t>
            </w:r>
          </w:p>
          <w:p w14:paraId="365DAFA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1）课程标准1套。</w:t>
            </w:r>
          </w:p>
          <w:p w14:paraId="212EF42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2）教学型任务工单1套。</w:t>
            </w:r>
          </w:p>
          <w:p w14:paraId="350AB1E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3）课程配套多元考核评估方案1套。</w:t>
            </w:r>
          </w:p>
          <w:p w14:paraId="20CA3DF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4）学习评价单1套。</w:t>
            </w:r>
          </w:p>
          <w:p w14:paraId="5FB4C72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5）项目实践样例成果1套（项目实战部分）。样例成果包含视频、图片、工程文件等类型，与课程教学内容紧密契合，数量不少于64个；其中视频要求尺寸不小于1080p，帧率不小于25帧，图片分辨率1-2K。</w:t>
            </w:r>
          </w:p>
          <w:p w14:paraId="5B5ED39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6）视频课件不少于64个。</w:t>
            </w:r>
          </w:p>
          <w:p w14:paraId="57C1F21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视频要求逻辑严密、视觉效果好，单个视频时长不少于20分钟。</w:t>
            </w:r>
          </w:p>
          <w:p w14:paraId="2604BB4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视频画面为高清，像素1920x1080分辨率。</w:t>
            </w:r>
          </w:p>
          <w:p w14:paraId="78990C6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帧频：25.00fps、音频流：MP3、采样率48KHz；音频码流率128Kbps（恒定）、信噪比不低于48db；双声道，并做混音处理，配音为AI语音方式、视频配套字幕。</w:t>
            </w:r>
          </w:p>
          <w:p w14:paraId="3F680C7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7）教师教学PPT不少于64个。PPT要求图文并茂、版式清晰。</w:t>
            </w:r>
          </w:p>
          <w:p w14:paraId="3EE4B10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8）配套章节测试题库1套、配套测试试卷1套。</w:t>
            </w:r>
          </w:p>
          <w:p w14:paraId="65A355F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9）配套项目实战工程文件、素材文件1套（项目实战部分）：</w:t>
            </w:r>
          </w:p>
          <w:p w14:paraId="762CC27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项目资产来源全国性有影响力电视台已播或正在播出动画片。项目资产包含视频、图片、工程文件等类型，与课程教学内容紧密契合，数量不少于64个；其中视频要求尺寸不小于1080p，帧率不小于25帧，图片分辨率1-2K。</w:t>
            </w:r>
          </w:p>
          <w:p w14:paraId="00ED647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10）实训手册1套。</w:t>
            </w:r>
          </w:p>
          <w:p w14:paraId="79A6E39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w:t>
            </w:r>
            <w:r>
              <w:rPr>
                <w:rFonts w:hAnsi="宋体"/>
                <w:color w:val="000000"/>
                <w:sz w:val="21"/>
                <w:highlight w:val="none"/>
              </w:rPr>
              <w:t>.</w:t>
            </w:r>
            <w:r>
              <w:rPr>
                <w:rFonts w:hint="eastAsia" w:hAnsi="宋体"/>
                <w:color w:val="000000"/>
                <w:sz w:val="21"/>
                <w:highlight w:val="none"/>
              </w:rPr>
              <w:t>《模型资产制作》课程资源包：</w:t>
            </w:r>
          </w:p>
          <w:p w14:paraId="324A8DC5">
            <w:pPr>
              <w:widowControl/>
              <w:spacing w:line="360" w:lineRule="auto"/>
              <w:ind w:firstLine="420" w:firstLineChars="200"/>
              <w:jc w:val="both"/>
              <w:rPr>
                <w:rFonts w:hAnsi="宋体"/>
                <w:color w:val="000000"/>
                <w:sz w:val="21"/>
                <w:highlight w:val="none"/>
              </w:rPr>
            </w:pPr>
            <w:r>
              <w:rPr>
                <w:rFonts w:hAnsi="宋体"/>
                <w:color w:val="000000"/>
                <w:sz w:val="21"/>
                <w:highlight w:val="none"/>
              </w:rPr>
              <w:t>2.1</w:t>
            </w:r>
            <w:r>
              <w:rPr>
                <w:rFonts w:hint="eastAsia" w:hAnsi="宋体"/>
                <w:color w:val="000000"/>
                <w:sz w:val="21"/>
                <w:highlight w:val="none"/>
              </w:rPr>
              <w:t>《模型资产制作》课程概述：</w:t>
            </w:r>
          </w:p>
          <w:p w14:paraId="2124862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以全国性有影响力电视台已播出或正在播出动画片中的人物、场景、道具模型制作为载体，旨在培养学生掌握Maya、3Ds MAX等软件中曲线、多边形建模方法、以及挤压工具、倒角命令和多边形工具的使用，水、玻璃、金属、布料、皮革等材质特征与表现方法，以及UVlayout或者Unfold3D等展UV的方法；完成道具模型、场景模型、角色模型的制作。</w:t>
            </w:r>
          </w:p>
          <w:p w14:paraId="795F1CF6">
            <w:pPr>
              <w:widowControl/>
              <w:spacing w:line="360" w:lineRule="auto"/>
              <w:ind w:firstLine="420" w:firstLineChars="200"/>
              <w:jc w:val="both"/>
              <w:rPr>
                <w:rFonts w:hAnsi="宋体"/>
                <w:color w:val="000000"/>
                <w:sz w:val="21"/>
                <w:highlight w:val="none"/>
              </w:rPr>
            </w:pPr>
            <w:r>
              <w:rPr>
                <w:rFonts w:hAnsi="宋体"/>
                <w:color w:val="000000"/>
                <w:sz w:val="21"/>
                <w:highlight w:val="none"/>
              </w:rPr>
              <w:t>2.2</w:t>
            </w:r>
            <w:r>
              <w:rPr>
                <w:rFonts w:hint="eastAsia" w:hAnsi="宋体"/>
                <w:color w:val="000000"/>
                <w:sz w:val="21"/>
                <w:highlight w:val="none"/>
              </w:rPr>
              <w:t>课程资源包参数：</w:t>
            </w:r>
          </w:p>
          <w:p w14:paraId="03A349A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1）课程标准1套。</w:t>
            </w:r>
          </w:p>
          <w:p w14:paraId="06EB476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2）教学型任务工单1套。</w:t>
            </w:r>
          </w:p>
          <w:p w14:paraId="5950E62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3）课程配套多元考核评估方案1套。</w:t>
            </w:r>
          </w:p>
          <w:p w14:paraId="7875951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4）学习评价单1套。</w:t>
            </w:r>
          </w:p>
          <w:p w14:paraId="3D0A7D8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5）项目实践样例成果1套（项目实战部分）。样例成果包含图片、工程文件等类型，与课程教学内容紧密契合；与课程教学内容紧密契合，数量不少于64个；其中图片分辨率1-2K。</w:t>
            </w:r>
          </w:p>
          <w:p w14:paraId="3A5862D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6）视频课件≥64个。</w:t>
            </w:r>
          </w:p>
          <w:p w14:paraId="5411CAF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视频要求逻辑严密、视觉效果好，单个视频时长不少于20分钟。</w:t>
            </w:r>
          </w:p>
          <w:p w14:paraId="3FC9395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视频画面为高清，像素1920x1080 分辨率。</w:t>
            </w:r>
          </w:p>
          <w:p w14:paraId="01FCE0B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帧频：25.00fps、音频流：MP3、采样率48KHz；音频码流率128Kbps（恒定）、信噪比不低于48db；双声道，并做混音处理，配音为AI语音方式、视频配套字幕。</w:t>
            </w:r>
          </w:p>
          <w:p w14:paraId="15BE638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7）教师教学PPT不少于64个。PPT要求图文并茂、版式清晰。</w:t>
            </w:r>
          </w:p>
          <w:p w14:paraId="3A8572E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8）配套章节测试题库1套、配套测试试卷1套。</w:t>
            </w:r>
          </w:p>
          <w:p w14:paraId="73A2EAC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9）配套项目实战工程文件、素材文件1套（项目实战部分）；</w:t>
            </w:r>
          </w:p>
          <w:p w14:paraId="2B647925">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项目资产来源全国性有影响力电视台已播或正在播出动画片。项目资产包含图片、工程文件等类型，与课程教学内容紧密契合；数量不少于64个；其中图片分辨率1-2K。</w:t>
            </w:r>
          </w:p>
          <w:p w14:paraId="6F47DDD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10）实训手册1套。</w:t>
            </w:r>
          </w:p>
          <w:p w14:paraId="782E207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w:t>
            </w:r>
            <w:r>
              <w:rPr>
                <w:rFonts w:hAnsi="宋体"/>
                <w:color w:val="000000"/>
                <w:sz w:val="21"/>
                <w:highlight w:val="none"/>
              </w:rPr>
              <w:t>.</w:t>
            </w:r>
            <w:r>
              <w:rPr>
                <w:rFonts w:hint="eastAsia" w:hAnsi="宋体"/>
                <w:color w:val="000000"/>
                <w:sz w:val="21"/>
                <w:highlight w:val="none"/>
              </w:rPr>
              <w:t>《三维动画制作》课程资源包：</w:t>
            </w:r>
          </w:p>
          <w:p w14:paraId="65B867B6">
            <w:pPr>
              <w:widowControl/>
              <w:spacing w:line="360" w:lineRule="auto"/>
              <w:ind w:firstLine="420" w:firstLineChars="200"/>
              <w:jc w:val="both"/>
              <w:rPr>
                <w:rFonts w:hAnsi="宋体"/>
                <w:color w:val="000000"/>
                <w:sz w:val="21"/>
                <w:highlight w:val="none"/>
              </w:rPr>
            </w:pPr>
            <w:r>
              <w:rPr>
                <w:rFonts w:hAnsi="宋体"/>
                <w:color w:val="000000"/>
                <w:sz w:val="21"/>
                <w:highlight w:val="none"/>
              </w:rPr>
              <w:t>3.1</w:t>
            </w:r>
            <w:r>
              <w:rPr>
                <w:rFonts w:hint="eastAsia" w:hAnsi="宋体"/>
                <w:color w:val="000000"/>
                <w:sz w:val="21"/>
                <w:highlight w:val="none"/>
              </w:rPr>
              <w:t>《三维动画制作》课程概述：</w:t>
            </w:r>
          </w:p>
          <w:p w14:paraId="09081C8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以全国性有影响力电视台已播出或正在播出动画片中的人物、道具动画制作为载体，培养学生掌握三维软件Maya、3DMax的绑定、权重调节、生成控制器、添加动作、设置关键帧的操作；能够快速实现两足角色走、跑、跳、飞、扑动画，日常说话、吃饭、吹泡泡等各类基础动作表情动画的制作；推拉摇移摄像机镜头动画制作以及飞鸟游鱼等生物运动动画制作；保证角色、道具动画符合运动规律、契合背景故事设定，自然流畅。</w:t>
            </w:r>
          </w:p>
          <w:p w14:paraId="230A7798">
            <w:pPr>
              <w:widowControl/>
              <w:spacing w:line="360" w:lineRule="auto"/>
              <w:ind w:firstLine="420" w:firstLineChars="200"/>
              <w:jc w:val="both"/>
              <w:rPr>
                <w:rFonts w:hAnsi="宋体"/>
                <w:color w:val="000000"/>
                <w:sz w:val="21"/>
                <w:highlight w:val="none"/>
              </w:rPr>
            </w:pPr>
            <w:r>
              <w:rPr>
                <w:rFonts w:hAnsi="宋体"/>
                <w:color w:val="000000"/>
                <w:sz w:val="21"/>
                <w:highlight w:val="none"/>
              </w:rPr>
              <w:t>3.2</w:t>
            </w:r>
            <w:r>
              <w:rPr>
                <w:rFonts w:hint="eastAsia" w:hAnsi="宋体"/>
                <w:color w:val="000000"/>
                <w:sz w:val="21"/>
                <w:highlight w:val="none"/>
              </w:rPr>
              <w:t>课程资源包参数：</w:t>
            </w:r>
          </w:p>
          <w:p w14:paraId="6C2FD9F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1）课程标准1套。</w:t>
            </w:r>
          </w:p>
          <w:p w14:paraId="2254E82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2）教学型任务工单1套。</w:t>
            </w:r>
          </w:p>
          <w:p w14:paraId="3E2558E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3）课程配套多元考核评估方案1套。</w:t>
            </w:r>
          </w:p>
          <w:p w14:paraId="02FC25B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4）学习评价单1套。</w:t>
            </w:r>
          </w:p>
          <w:p w14:paraId="27E3481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5）项目实践样例成果1套（项目实战部分）。样例成果包含视频、图片、工程文件等类型，与课程教学内容紧密契合，数量不少于64个；其中视频要求尺寸不小于1080p，帧率不小于25帧，图片分辨率1-2K。</w:t>
            </w:r>
          </w:p>
          <w:p w14:paraId="40D017B0">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6）视频课件不少于64个。</w:t>
            </w:r>
          </w:p>
          <w:p w14:paraId="486DCE0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视频要求逻辑严密、视觉效果好，单个视频时长不少于20分钟。</w:t>
            </w:r>
          </w:p>
          <w:p w14:paraId="12EA7A4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视频画面为高清，像素1920x1080分辨率。</w:t>
            </w:r>
          </w:p>
          <w:p w14:paraId="780598D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帧频：25.00fps、音频流：MP3、采样率48KHz；音频码流率128Kbps（恒定）、信噪比不低于48db；双声道，并做混音处理，配音为AI语音方式、视频配套字幕。</w:t>
            </w:r>
          </w:p>
          <w:p w14:paraId="745A64F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7）教师教学PPT不少于64个。PPT要求图文并茂、版式清晰。</w:t>
            </w:r>
          </w:p>
          <w:p w14:paraId="00E950D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8）配套章节测试题库1套、配套测试试卷1套。</w:t>
            </w:r>
          </w:p>
          <w:p w14:paraId="415DA53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9）配套项目实战工程文件、素材文件1套（项目实战部分）；</w:t>
            </w:r>
          </w:p>
          <w:p w14:paraId="534FDE3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项目资产来源全国性有影响力电视台已播或正在播出动画片。项目资产包含视频、图片、工程文件等类型，与课程教学内容紧密契合，数量不少于64个；其中视频要求尺寸不小于1080p，帧率不小于25帧，图片分辨率1-2K。</w:t>
            </w:r>
          </w:p>
          <w:p w14:paraId="6FEA9C2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10）实训手册1套。</w:t>
            </w:r>
          </w:p>
          <w:p w14:paraId="3DE6A7EC">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w:t>
            </w:r>
            <w:r>
              <w:rPr>
                <w:rFonts w:hAnsi="宋体"/>
                <w:color w:val="000000"/>
                <w:sz w:val="21"/>
                <w:highlight w:val="none"/>
              </w:rPr>
              <w:t>.</w:t>
            </w:r>
            <w:r>
              <w:rPr>
                <w:rFonts w:hint="eastAsia" w:hAnsi="宋体"/>
                <w:color w:val="000000"/>
                <w:sz w:val="21"/>
                <w:highlight w:val="none"/>
              </w:rPr>
              <w:t>《动漫三维灯光渲染、特效合作制作》课程资源包：</w:t>
            </w:r>
          </w:p>
          <w:p w14:paraId="010C12F6">
            <w:pPr>
              <w:widowControl/>
              <w:spacing w:line="360" w:lineRule="auto"/>
              <w:ind w:firstLine="420" w:firstLineChars="200"/>
              <w:jc w:val="both"/>
              <w:rPr>
                <w:rFonts w:hAnsi="宋体"/>
                <w:color w:val="000000"/>
                <w:sz w:val="21"/>
                <w:highlight w:val="none"/>
              </w:rPr>
            </w:pPr>
            <w:r>
              <w:rPr>
                <w:rFonts w:hAnsi="宋体"/>
                <w:color w:val="000000"/>
                <w:sz w:val="21"/>
                <w:highlight w:val="none"/>
              </w:rPr>
              <w:t>4.1</w:t>
            </w:r>
            <w:r>
              <w:rPr>
                <w:rFonts w:hint="eastAsia" w:hAnsi="宋体"/>
                <w:color w:val="000000"/>
                <w:sz w:val="21"/>
                <w:highlight w:val="none"/>
              </w:rPr>
              <w:t>《三维灯光渲染》课程概述：</w:t>
            </w:r>
          </w:p>
          <w:p w14:paraId="4A6049E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以全国性有影响力电视台已播出或正在播出动画片中的灯光、特效制作为载体，旨在培养学生掌握Maya、Arnold、Redshift等三维软件渲染器进行灯光渲染，能够基于良好的艺术审美能力，充分模拟现实光照环境，符合真实世界的光线和材质的物理规律。</w:t>
            </w:r>
          </w:p>
          <w:p w14:paraId="71F33E67">
            <w:pPr>
              <w:widowControl/>
              <w:spacing w:line="360" w:lineRule="auto"/>
              <w:ind w:firstLine="420" w:firstLineChars="200"/>
              <w:jc w:val="both"/>
              <w:rPr>
                <w:rFonts w:hAnsi="宋体"/>
                <w:color w:val="000000"/>
                <w:sz w:val="21"/>
                <w:highlight w:val="none"/>
              </w:rPr>
            </w:pPr>
            <w:r>
              <w:rPr>
                <w:rFonts w:hAnsi="宋体"/>
                <w:color w:val="000000"/>
                <w:sz w:val="21"/>
                <w:highlight w:val="none"/>
              </w:rPr>
              <w:t>4.2</w:t>
            </w:r>
            <w:r>
              <w:rPr>
                <w:rFonts w:hint="eastAsia" w:hAnsi="宋体"/>
                <w:color w:val="000000"/>
                <w:sz w:val="21"/>
                <w:highlight w:val="none"/>
              </w:rPr>
              <w:t>《特效合成制作》课程概述：</w:t>
            </w:r>
          </w:p>
          <w:p w14:paraId="29EE0342">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以全国性有影响力电视台已或正在播出动画片中的光线特效、雷电特效、火焰特效、烟雾特效、流体特效、破碎特效、爆炸特效为载体，旨在培养学生掌握Maya特效制作，能够确保所制作的各类场面特效的色彩、特效规模大小、亮度、饱和度、透明度等契合动画主题与风格，各特效元素主次分明，特效生命周期（预备、爆发和消失）符合真实世界物理规律，自然流畅，有震撼力。</w:t>
            </w:r>
          </w:p>
          <w:p w14:paraId="6B6B6C46">
            <w:pPr>
              <w:widowControl/>
              <w:spacing w:line="360" w:lineRule="auto"/>
              <w:ind w:firstLine="420" w:firstLineChars="200"/>
              <w:jc w:val="both"/>
              <w:rPr>
                <w:rFonts w:hAnsi="宋体"/>
                <w:color w:val="000000"/>
                <w:sz w:val="21"/>
                <w:highlight w:val="none"/>
              </w:rPr>
            </w:pPr>
            <w:r>
              <w:rPr>
                <w:rFonts w:hAnsi="宋体"/>
                <w:color w:val="000000"/>
                <w:sz w:val="21"/>
                <w:highlight w:val="none"/>
              </w:rPr>
              <w:t>4.3</w:t>
            </w:r>
            <w:r>
              <w:rPr>
                <w:rFonts w:hint="eastAsia" w:hAnsi="宋体"/>
                <w:color w:val="000000"/>
                <w:sz w:val="21"/>
                <w:highlight w:val="none"/>
              </w:rPr>
              <w:t>课程资源包参数：</w:t>
            </w:r>
          </w:p>
          <w:p w14:paraId="5BC401A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1）课程标准1套。</w:t>
            </w:r>
          </w:p>
          <w:p w14:paraId="5E79E2B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2）教学型任务工单1套。</w:t>
            </w:r>
          </w:p>
          <w:p w14:paraId="398B10A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3）课程配套多元考核评估方案1套。</w:t>
            </w:r>
          </w:p>
          <w:p w14:paraId="0BC2FFF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4）学习评价单1套。</w:t>
            </w:r>
          </w:p>
          <w:p w14:paraId="7313D15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5）项目实践样例成果1套（项目实战部分）。样例成果包含视频、图片、工程文件等类型，与课程教学内容紧密契合，数量不少于64个；其中视频要求尺寸不小于1080p，帧率不小于25帧，图片分辨率1-2K。</w:t>
            </w:r>
          </w:p>
          <w:p w14:paraId="7E749BE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6）视频课件不少于64个。</w:t>
            </w:r>
          </w:p>
          <w:p w14:paraId="4345532F">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视频要求逻辑严密、视觉效果好，单个视频时长不少于20分钟。</w:t>
            </w:r>
          </w:p>
          <w:p w14:paraId="7E0E559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视频画面为高清，像素1920x1080分辨率。</w:t>
            </w:r>
          </w:p>
          <w:p w14:paraId="743380D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帧频：25.00fps、音频流：MP3、采样率48KHz；音频码流率128Kbps（恒定）、信噪比不低于48db；双声道，并做混音处理，配音为AI语音方式、视频配套字幕。</w:t>
            </w:r>
          </w:p>
          <w:p w14:paraId="47D75E0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7）教师教学PPT不少于64个。PPT要求图文并茂、版式清晰。</w:t>
            </w:r>
          </w:p>
          <w:p w14:paraId="1645A508">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8）配套章节测试题库1套、配套测试试卷1套。</w:t>
            </w:r>
          </w:p>
          <w:p w14:paraId="41411417">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9）配套项目实战工程文件、素材文件1套（项目实战部分）；项目资产来源全国性有影响力电视台已播或正在播出动画片。项目资产包含视频、图片、工程文件等类型，与课程教学内容紧密契合，数量不少于64个；其中视频要求尺寸不小于1080p，帧率不小于25帧，图片分辨率1-2K。</w:t>
            </w:r>
          </w:p>
          <w:p w14:paraId="1C3ACCBA">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10）实训手册1套。</w:t>
            </w:r>
          </w:p>
          <w:p w14:paraId="4C5A7A0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w:t>
            </w:r>
            <w:r>
              <w:rPr>
                <w:rFonts w:hAnsi="宋体"/>
                <w:color w:val="000000"/>
                <w:sz w:val="21"/>
                <w:highlight w:val="none"/>
              </w:rPr>
              <w:t>.</w:t>
            </w:r>
            <w:r>
              <w:rPr>
                <w:rFonts w:hint="eastAsia" w:hAnsi="宋体"/>
                <w:color w:val="000000"/>
                <w:sz w:val="21"/>
                <w:highlight w:val="none"/>
              </w:rPr>
              <w:t>《AI影视动漫创作教程》课程资源包：</w:t>
            </w:r>
          </w:p>
          <w:p w14:paraId="53084FBE">
            <w:pPr>
              <w:widowControl/>
              <w:spacing w:line="360" w:lineRule="auto"/>
              <w:ind w:firstLine="420" w:firstLineChars="200"/>
              <w:jc w:val="both"/>
              <w:rPr>
                <w:rFonts w:hAnsi="宋体"/>
                <w:color w:val="000000"/>
                <w:sz w:val="21"/>
                <w:highlight w:val="none"/>
              </w:rPr>
            </w:pPr>
            <w:r>
              <w:rPr>
                <w:rFonts w:hAnsi="宋体"/>
                <w:color w:val="000000"/>
                <w:sz w:val="21"/>
                <w:highlight w:val="none"/>
              </w:rPr>
              <w:t>5.1</w:t>
            </w:r>
            <w:r>
              <w:rPr>
                <w:rFonts w:hint="eastAsia" w:hAnsi="宋体"/>
                <w:color w:val="000000"/>
                <w:sz w:val="21"/>
                <w:highlight w:val="none"/>
              </w:rPr>
              <w:t>《AI影视动漫创作教程》课程概述：</w:t>
            </w:r>
          </w:p>
          <w:p w14:paraId="29755061">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旨在培养学生深入理解包括神经网络、机器学习等 AIGC 的基本概念、原理和技术，掌握相关的理论知识，能够熟练使用各类AIGC工具进行实际应用开发和创新。提升学生在人工智能时代的数字化素养和实践能力，为未来在相关领域的学习、研究和工作打下坚实的基础。</w:t>
            </w:r>
          </w:p>
          <w:p w14:paraId="47675AF7">
            <w:pPr>
              <w:widowControl/>
              <w:spacing w:line="360" w:lineRule="auto"/>
              <w:ind w:firstLine="420" w:firstLineChars="200"/>
              <w:jc w:val="both"/>
              <w:rPr>
                <w:rFonts w:hAnsi="宋体"/>
                <w:color w:val="000000"/>
                <w:sz w:val="21"/>
                <w:highlight w:val="none"/>
              </w:rPr>
            </w:pPr>
            <w:r>
              <w:rPr>
                <w:rFonts w:hAnsi="宋体"/>
                <w:color w:val="000000"/>
                <w:sz w:val="21"/>
                <w:highlight w:val="none"/>
              </w:rPr>
              <w:t>5.2</w:t>
            </w:r>
            <w:r>
              <w:rPr>
                <w:rFonts w:hint="eastAsia" w:hAnsi="宋体"/>
                <w:color w:val="000000"/>
                <w:sz w:val="21"/>
                <w:highlight w:val="none"/>
              </w:rPr>
              <w:t>课程资源包参数：</w:t>
            </w:r>
          </w:p>
          <w:p w14:paraId="6FA3904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1）课程标准1套。</w:t>
            </w:r>
          </w:p>
          <w:p w14:paraId="419F8656">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2）教学型任务工单1套。</w:t>
            </w:r>
          </w:p>
          <w:p w14:paraId="0C85F96D">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3）课程配套多元考核评估方案1套。</w:t>
            </w:r>
          </w:p>
          <w:p w14:paraId="7CC762FB">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4）学习评价单1套。</w:t>
            </w:r>
          </w:p>
          <w:p w14:paraId="3DF32254">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5）视频课件不少于48个。</w:t>
            </w:r>
          </w:p>
          <w:p w14:paraId="762B5643">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视频课件逻辑严密、视觉效果好，单个视频时长5-20分钟。</w:t>
            </w:r>
          </w:p>
          <w:p w14:paraId="0DD51BE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视频画面为高清像素1920x1080分辨率，帧频：25.00fps、音频流：MP3、采样率48KHz；音频码流率128Kbps（恒定）、信噪比不低于48db；双声道，并做混音处理，视频配套字幕。</w:t>
            </w:r>
          </w:p>
          <w:p w14:paraId="4E246F09">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6）教师教学PPT不少于48个。PPT图文并茂，版式清晰。</w:t>
            </w:r>
          </w:p>
          <w:p w14:paraId="2EEB104E">
            <w:pPr>
              <w:widowControl/>
              <w:spacing w:line="360" w:lineRule="auto"/>
              <w:ind w:firstLine="420" w:firstLineChars="200"/>
              <w:jc w:val="both"/>
              <w:rPr>
                <w:rFonts w:hAnsi="宋体"/>
                <w:color w:val="000000"/>
                <w:sz w:val="21"/>
                <w:highlight w:val="none"/>
              </w:rPr>
            </w:pPr>
            <w:r>
              <w:rPr>
                <w:rFonts w:hint="eastAsia" w:hAnsi="宋体"/>
                <w:color w:val="000000"/>
                <w:sz w:val="21"/>
                <w:highlight w:val="none"/>
              </w:rPr>
              <w:t>7）配套章节测试题库1套，配套测试试卷1套。</w:t>
            </w:r>
          </w:p>
          <w:p w14:paraId="43D5ACE0">
            <w:pPr>
              <w:pStyle w:val="18"/>
              <w:tabs>
                <w:tab w:val="clear" w:pos="4153"/>
                <w:tab w:val="clear" w:pos="8306"/>
              </w:tabs>
              <w:spacing w:line="360" w:lineRule="auto"/>
              <w:ind w:firstLine="420" w:firstLineChars="200"/>
              <w:jc w:val="both"/>
              <w:rPr>
                <w:rFonts w:hint="eastAsia" w:hAnsi="宋体" w:cs="宋体"/>
                <w:color w:val="000000"/>
                <w:kern w:val="0"/>
                <w:sz w:val="21"/>
                <w:szCs w:val="21"/>
                <w:highlight w:val="none"/>
              </w:rPr>
            </w:pPr>
            <w:r>
              <w:rPr>
                <w:rFonts w:hint="eastAsia" w:hAnsi="宋体"/>
                <w:color w:val="000000"/>
                <w:sz w:val="21"/>
                <w:szCs w:val="21"/>
                <w:highlight w:val="none"/>
              </w:rPr>
              <w:t>8）配套实训手册1套。</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7C1D0EA">
            <w:pPr>
              <w:spacing w:line="360" w:lineRule="auto"/>
              <w:jc w:val="center"/>
              <w:rPr>
                <w:rFonts w:hint="eastAsia" w:hAnsi="宋体" w:cs="宋体"/>
                <w:color w:val="000000"/>
                <w:sz w:val="21"/>
                <w:highlight w:val="none"/>
              </w:rPr>
            </w:pPr>
            <w:r>
              <w:rPr>
                <w:rFonts w:hint="eastAsia" w:hAnsi="宋体" w:cs="宋体"/>
                <w:bCs/>
                <w:color w:val="000000"/>
                <w:sz w:val="21"/>
                <w:highlight w:val="none"/>
              </w:rPr>
              <w:t>软件和信息技术服务业</w:t>
            </w:r>
          </w:p>
        </w:tc>
      </w:tr>
      <w:tr w14:paraId="3370D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874" w:type="dxa"/>
            <w:gridSpan w:val="5"/>
            <w:tcBorders>
              <w:top w:val="single" w:color="auto" w:sz="4" w:space="0"/>
              <w:left w:val="single" w:color="auto" w:sz="4" w:space="0"/>
              <w:bottom w:val="single" w:color="auto" w:sz="4" w:space="0"/>
              <w:right w:val="single" w:color="auto" w:sz="4" w:space="0"/>
            </w:tcBorders>
            <w:noWrap w:val="0"/>
            <w:vAlign w:val="top"/>
          </w:tcPr>
          <w:p w14:paraId="58C15895">
            <w:pPr>
              <w:spacing w:before="120" w:beforeLines="50" w:line="360" w:lineRule="auto"/>
              <w:jc w:val="both"/>
              <w:rPr>
                <w:rFonts w:hint="eastAsia" w:hAnsi="宋体" w:cs="宋体"/>
                <w:b/>
                <w:color w:val="000000"/>
                <w:sz w:val="21"/>
                <w:highlight w:val="none"/>
              </w:rPr>
            </w:pPr>
            <w:r>
              <w:rPr>
                <w:rFonts w:hint="eastAsia" w:hAnsi="宋体" w:cs="宋体"/>
                <w:b/>
                <w:color w:val="000000"/>
                <w:sz w:val="21"/>
                <w:highlight w:val="none"/>
              </w:rPr>
              <w:t>一、商务条款</w:t>
            </w:r>
          </w:p>
        </w:tc>
      </w:tr>
      <w:tr w14:paraId="6F8B0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180366B3">
            <w:pPr>
              <w:widowControl/>
              <w:spacing w:before="48" w:beforeLines="20" w:line="440" w:lineRule="exact"/>
              <w:jc w:val="center"/>
              <w:rPr>
                <w:rFonts w:hint="eastAsia" w:hAnsi="宋体" w:cs="宋体"/>
                <w:b/>
                <w:color w:val="000000"/>
                <w:sz w:val="21"/>
                <w:highlight w:val="none"/>
              </w:rPr>
            </w:pPr>
            <w:r>
              <w:rPr>
                <w:rFonts w:hint="eastAsia" w:hAnsi="宋体" w:cs="宋体"/>
                <w:b/>
                <w:color w:val="000000"/>
                <w:sz w:val="21"/>
                <w:highlight w:val="none"/>
              </w:rPr>
              <w:t>基本要求</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37883BD7">
            <w:pPr>
              <w:pStyle w:val="19"/>
              <w:spacing w:line="440" w:lineRule="exact"/>
              <w:ind w:firstLine="420"/>
              <w:jc w:val="both"/>
              <w:rPr>
                <w:rFonts w:hint="eastAsia" w:hAnsi="宋体" w:cs="宋体"/>
                <w:color w:val="000000"/>
                <w:sz w:val="21"/>
                <w:highlight w:val="none"/>
              </w:rPr>
            </w:pPr>
            <w:r>
              <w:rPr>
                <w:rFonts w:hint="eastAsia" w:hAnsi="宋体" w:cs="宋体"/>
                <w:color w:val="000000"/>
                <w:sz w:val="21"/>
                <w:highlight w:val="none"/>
              </w:rPr>
              <w:t>1.项目所提供的全部货物（含硬件、软件及服务）必须完全满足采购文件所述要求（除允许偏离项），如中标供应商在投标文件中有承诺正偏离的应按其正偏离内容执行。若产品在运输过程中损坏或擦伤须无偿调换相同产品。</w:t>
            </w:r>
          </w:p>
          <w:p w14:paraId="57E6F1FA">
            <w:pPr>
              <w:pStyle w:val="19"/>
              <w:spacing w:line="440" w:lineRule="exact"/>
              <w:ind w:firstLine="420"/>
              <w:jc w:val="both"/>
              <w:rPr>
                <w:rFonts w:hint="eastAsia" w:hAnsi="宋体" w:cs="宋体"/>
                <w:color w:val="000000"/>
                <w:sz w:val="21"/>
                <w:highlight w:val="none"/>
              </w:rPr>
            </w:pPr>
            <w:r>
              <w:rPr>
                <w:rFonts w:hAnsi="宋体" w:cs="宋体"/>
                <w:color w:val="000000"/>
                <w:sz w:val="21"/>
                <w:highlight w:val="none"/>
              </w:rPr>
              <w:t>2</w:t>
            </w:r>
            <w:r>
              <w:rPr>
                <w:rFonts w:hint="eastAsia" w:hAnsi="宋体" w:cs="宋体"/>
                <w:color w:val="000000"/>
                <w:sz w:val="21"/>
                <w:highlight w:val="none"/>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3723528F">
            <w:pPr>
              <w:pStyle w:val="19"/>
              <w:spacing w:line="440" w:lineRule="exact"/>
              <w:ind w:firstLine="420"/>
              <w:jc w:val="both"/>
              <w:rPr>
                <w:rFonts w:hint="eastAsia" w:hAnsi="宋体" w:cs="宋体"/>
                <w:color w:val="000000"/>
                <w:sz w:val="21"/>
                <w:highlight w:val="none"/>
              </w:rPr>
            </w:pPr>
            <w:r>
              <w:rPr>
                <w:rFonts w:hAnsi="宋体" w:cs="宋体"/>
                <w:color w:val="000000"/>
                <w:sz w:val="21"/>
                <w:highlight w:val="none"/>
              </w:rPr>
              <w:t>3</w:t>
            </w:r>
            <w:r>
              <w:rPr>
                <w:rFonts w:hint="eastAsia" w:hAnsi="宋体" w:cs="宋体"/>
                <w:color w:val="000000"/>
                <w:sz w:val="21"/>
                <w:highlight w:val="none"/>
              </w:rPr>
              <w:t>.如中标供应商交付的软件需要对接学校身份认证统一系统，对接费用由中标供应商承担。</w:t>
            </w:r>
          </w:p>
          <w:p w14:paraId="338DAB76">
            <w:pPr>
              <w:pStyle w:val="19"/>
              <w:spacing w:line="440" w:lineRule="exact"/>
              <w:ind w:firstLine="420"/>
              <w:jc w:val="both"/>
              <w:rPr>
                <w:rFonts w:hint="eastAsia" w:hAnsi="宋体" w:cs="宋体"/>
                <w:color w:val="000000"/>
                <w:sz w:val="21"/>
                <w:highlight w:val="none"/>
              </w:rPr>
            </w:pPr>
            <w:r>
              <w:rPr>
                <w:rFonts w:hAnsi="宋体" w:cs="宋体"/>
                <w:color w:val="000000"/>
                <w:sz w:val="21"/>
                <w:highlight w:val="none"/>
              </w:rPr>
              <w:t>4</w:t>
            </w:r>
            <w:r>
              <w:rPr>
                <w:rFonts w:hint="eastAsia" w:hAnsi="宋体" w:cs="宋体"/>
                <w:color w:val="000000"/>
                <w:sz w:val="21"/>
                <w:highlight w:val="none"/>
              </w:rPr>
              <w:t>.中标供应商售后服务中维护使用的备品备件及易损件须为原厂全新配件，未经采购人同意不得使用非原厂配件。且进行维护的人员须为中标供应商认可的有资质专业技术人员。</w:t>
            </w:r>
          </w:p>
          <w:p w14:paraId="54A81432">
            <w:pPr>
              <w:pStyle w:val="19"/>
              <w:spacing w:line="440" w:lineRule="exact"/>
              <w:ind w:firstLine="420"/>
              <w:jc w:val="both"/>
              <w:rPr>
                <w:rFonts w:hAnsi="宋体" w:cs="宋体"/>
                <w:color w:val="000000"/>
                <w:sz w:val="21"/>
                <w:highlight w:val="none"/>
              </w:rPr>
            </w:pPr>
            <w:r>
              <w:rPr>
                <w:rFonts w:hAnsi="宋体" w:cs="宋体"/>
                <w:color w:val="000000"/>
                <w:sz w:val="21"/>
                <w:highlight w:val="none"/>
              </w:rPr>
              <w:t>5</w:t>
            </w:r>
            <w:r>
              <w:rPr>
                <w:rFonts w:hint="eastAsia" w:hAnsi="宋体" w:cs="宋体"/>
                <w:color w:val="000000"/>
                <w:sz w:val="21"/>
                <w:highlight w:val="none"/>
              </w:rPr>
              <w:t>.本项目所含软件（如有）必须为符合采购人适用范围的正版软件（非试用版），且在本项目合同约定的质保期过后，供应商需确保该软件其功能仍与交付验收时一致不受限制（如合同另有约定的按合同约定），质保期过后如需对软件进行升级或售后服务双方再行协商。</w:t>
            </w:r>
          </w:p>
          <w:p w14:paraId="7FB5CBE3">
            <w:pPr>
              <w:pStyle w:val="19"/>
              <w:spacing w:line="440" w:lineRule="exact"/>
              <w:ind w:firstLine="420"/>
              <w:rPr>
                <w:rFonts w:hint="eastAsia" w:hAnsi="宋体" w:cs="宋体"/>
                <w:color w:val="000000"/>
                <w:sz w:val="21"/>
                <w:highlight w:val="none"/>
              </w:rPr>
            </w:pPr>
            <w:r>
              <w:rPr>
                <w:rFonts w:hAnsi="宋体" w:cs="宋体"/>
                <w:bCs/>
                <w:color w:val="000000"/>
                <w:sz w:val="21"/>
                <w:highlight w:val="none"/>
              </w:rPr>
              <w:t>6</w:t>
            </w:r>
            <w:r>
              <w:rPr>
                <w:rFonts w:hint="eastAsia" w:hAnsi="宋体" w:cs="宋体"/>
                <w:bCs/>
                <w:color w:val="000000"/>
                <w:sz w:val="21"/>
                <w:highlight w:val="none"/>
              </w:rPr>
              <w:t>.供应商</w:t>
            </w:r>
            <w:r>
              <w:rPr>
                <w:rFonts w:hint="eastAsia" w:hAnsi="宋体"/>
                <w:bCs/>
                <w:color w:val="000000"/>
                <w:spacing w:val="8"/>
                <w:sz w:val="21"/>
                <w:highlight w:val="none"/>
              </w:rPr>
              <w:t>所提供的项目</w:t>
            </w:r>
            <w:r>
              <w:rPr>
                <w:rFonts w:hint="eastAsia" w:ascii="Times New Roman" w:hAnsi="宋体"/>
                <w:color w:val="000000"/>
                <w:kern w:val="0"/>
                <w:sz w:val="21"/>
                <w:szCs w:val="24"/>
                <w:highlight w:val="none"/>
              </w:rPr>
              <w:t>实施方案、售后服务方案及承诺、质保期承诺</w:t>
            </w:r>
            <w:r>
              <w:rPr>
                <w:rFonts w:hint="eastAsia" w:hAnsi="宋体"/>
                <w:bCs/>
                <w:color w:val="000000"/>
                <w:spacing w:val="8"/>
                <w:sz w:val="21"/>
                <w:highlight w:val="none"/>
              </w:rPr>
              <w:t>将写进合同，作为验收内容之一，请供应商根据实际情况承诺。并在合同实施阶段严格按照所承诺的内容执行。供应商应认真对待承诺内容，确保其真实性和可操作性，否则将承担相应的法律责任和违约后果</w:t>
            </w:r>
            <w:r>
              <w:rPr>
                <w:rFonts w:hint="eastAsia" w:ascii="Times New Roman" w:hAnsi="宋体"/>
                <w:color w:val="000000"/>
                <w:kern w:val="0"/>
                <w:sz w:val="21"/>
                <w:szCs w:val="24"/>
                <w:highlight w:val="none"/>
              </w:rPr>
              <w:t>。</w:t>
            </w:r>
          </w:p>
        </w:tc>
      </w:tr>
      <w:tr w14:paraId="59CFD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65C43C31">
            <w:pPr>
              <w:snapToGrid w:val="0"/>
              <w:spacing w:before="120" w:beforeLines="50"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质保期</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2F6F8E80">
            <w:pPr>
              <w:snapToGrid w:val="0"/>
              <w:spacing w:before="120" w:beforeLines="50" w:line="360" w:lineRule="auto"/>
              <w:ind w:firstLine="420" w:firstLineChars="200"/>
              <w:rPr>
                <w:rFonts w:hint="eastAsia" w:hAnsi="宋体" w:cs="宋体"/>
                <w:color w:val="000000"/>
                <w:kern w:val="0"/>
                <w:sz w:val="21"/>
                <w:highlight w:val="none"/>
              </w:rPr>
            </w:pPr>
            <w:r>
              <w:rPr>
                <w:rFonts w:hint="eastAsia" w:hAnsi="宋体" w:cs="宋体"/>
                <w:color w:val="000000"/>
                <w:sz w:val="21"/>
                <w:highlight w:val="none"/>
              </w:rPr>
              <w:t>按国家有关产品“三包”规定执行“三包”，自验收合格之日起质保期不少于三年，软件三年内同版本同型号同模块免费升级（验收合格之日起计）。质保期</w:t>
            </w:r>
            <w:r>
              <w:rPr>
                <w:rFonts w:hint="eastAsia" w:hAnsi="宋体"/>
                <w:color w:val="000000"/>
                <w:sz w:val="21"/>
                <w:highlight w:val="none"/>
              </w:rPr>
              <w:t>过后</w:t>
            </w:r>
            <w:r>
              <w:rPr>
                <w:rFonts w:hint="eastAsia" w:hAnsi="宋体" w:cs="宋体"/>
                <w:color w:val="000000"/>
                <w:sz w:val="21"/>
                <w:highlight w:val="none"/>
              </w:rPr>
              <w:t>继续提供修复和升级服务，且修复时只收取所需修复部件的成本费，升级给予最优惠价格。质保期过后，采购人可选择是否对产品进行升级，如选择不升级，不能影响原产品的使用。</w:t>
            </w:r>
          </w:p>
        </w:tc>
      </w:tr>
      <w:tr w14:paraId="7A44C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3A605818">
            <w:pPr>
              <w:widowControl/>
              <w:spacing w:before="48" w:beforeLines="20" w:line="440" w:lineRule="exact"/>
              <w:jc w:val="center"/>
              <w:rPr>
                <w:rFonts w:hint="eastAsia" w:hAnsi="宋体" w:cs="宋体"/>
                <w:b/>
                <w:bCs/>
                <w:color w:val="000000"/>
                <w:sz w:val="21"/>
                <w:highlight w:val="none"/>
              </w:rPr>
            </w:pPr>
            <w:r>
              <w:rPr>
                <w:rFonts w:hint="eastAsia" w:hAnsi="宋体" w:cs="宋体"/>
                <w:b/>
                <w:bCs/>
                <w:color w:val="000000"/>
                <w:sz w:val="21"/>
                <w:highlight w:val="none"/>
              </w:rPr>
              <w:t>售后服务及其它要求</w:t>
            </w:r>
          </w:p>
        </w:tc>
        <w:tc>
          <w:tcPr>
            <w:tcW w:w="7608" w:type="dxa"/>
            <w:gridSpan w:val="2"/>
            <w:tcBorders>
              <w:top w:val="single" w:color="auto" w:sz="4" w:space="0"/>
              <w:left w:val="single" w:color="auto" w:sz="4" w:space="0"/>
              <w:bottom w:val="single" w:color="auto" w:sz="4" w:space="0"/>
              <w:right w:val="single" w:color="auto" w:sz="4" w:space="0"/>
            </w:tcBorders>
            <w:noWrap w:val="0"/>
            <w:vAlign w:val="center"/>
          </w:tcPr>
          <w:p w14:paraId="7D8E87E9">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1.负责</w:t>
            </w:r>
            <w:r>
              <w:rPr>
                <w:rFonts w:hint="eastAsia" w:hAnsi="宋体" w:cs="宋体"/>
                <w:color w:val="000000"/>
                <w:kern w:val="0"/>
                <w:sz w:val="21"/>
                <w:highlight w:val="none"/>
              </w:rPr>
              <w:t>送货上门、调试直至产品验收合格。</w:t>
            </w:r>
          </w:p>
          <w:p w14:paraId="0C858DE9">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2.中标供应商</w:t>
            </w:r>
            <w:r>
              <w:rPr>
                <w:rFonts w:hint="eastAsia" w:hAnsi="宋体" w:cs="宋体"/>
                <w:color w:val="000000"/>
                <w:kern w:val="0"/>
                <w:sz w:val="21"/>
                <w:highlight w:val="none"/>
              </w:rPr>
              <w:t>必须根据本项目的采购需求情况进行有针对性的应用和操作培训。对于所有培训，</w:t>
            </w:r>
            <w:r>
              <w:rPr>
                <w:rFonts w:hint="eastAsia" w:hAnsi="宋体" w:cs="宋体"/>
                <w:color w:val="000000"/>
                <w:sz w:val="21"/>
                <w:highlight w:val="none"/>
              </w:rPr>
              <w:t>中标供应商</w:t>
            </w:r>
            <w:r>
              <w:rPr>
                <w:rFonts w:hint="eastAsia" w:hAnsi="宋体" w:cs="宋体"/>
                <w:color w:val="000000"/>
                <w:kern w:val="0"/>
                <w:sz w:val="21"/>
                <w:highlight w:val="none"/>
              </w:rPr>
              <w:t>必须提供详细的培训计划和培训材料。所有培训涉及的费用均由</w:t>
            </w:r>
            <w:r>
              <w:rPr>
                <w:rFonts w:hint="eastAsia" w:hAnsi="宋体" w:cs="宋体"/>
                <w:color w:val="000000"/>
                <w:sz w:val="21"/>
                <w:highlight w:val="none"/>
              </w:rPr>
              <w:t>中标</w:t>
            </w:r>
            <w:r>
              <w:rPr>
                <w:rFonts w:hint="eastAsia" w:hAnsi="宋体" w:cs="宋体"/>
                <w:color w:val="000000"/>
                <w:kern w:val="0"/>
                <w:sz w:val="21"/>
                <w:highlight w:val="none"/>
              </w:rPr>
              <w:t>供应商承担。</w:t>
            </w:r>
          </w:p>
          <w:p w14:paraId="03F65E4E">
            <w:pPr>
              <w:widowControl/>
              <w:spacing w:line="440" w:lineRule="exact"/>
              <w:ind w:firstLine="420" w:firstLineChars="200"/>
              <w:rPr>
                <w:rFonts w:hAnsi="宋体" w:cs="宋体"/>
                <w:color w:val="000000"/>
                <w:kern w:val="0"/>
                <w:sz w:val="21"/>
                <w:highlight w:val="none"/>
              </w:rPr>
            </w:pPr>
            <w:r>
              <w:rPr>
                <w:rFonts w:hint="eastAsia" w:hAnsi="宋体" w:cs="宋体"/>
                <w:color w:val="000000"/>
                <w:sz w:val="21"/>
                <w:highlight w:val="none"/>
              </w:rPr>
              <w:t>3.</w:t>
            </w:r>
            <w:r>
              <w:rPr>
                <w:rFonts w:hint="eastAsia" w:hAnsi="宋体" w:cs="宋体"/>
                <w:color w:val="000000"/>
                <w:kern w:val="0"/>
                <w:sz w:val="21"/>
                <w:highlight w:val="none"/>
              </w:rPr>
              <w:t>在使用过程中发生质量问题或故障，接通知后12小时内作出有效回应，24小时内到达现场处理，一般故障处理时限不超过12小时修复，如果故障在检修48小时后仍无法排除，</w:t>
            </w:r>
            <w:r>
              <w:rPr>
                <w:rFonts w:hint="eastAsia" w:hAnsi="宋体" w:cs="宋体"/>
                <w:color w:val="000000"/>
                <w:sz w:val="21"/>
                <w:highlight w:val="none"/>
              </w:rPr>
              <w:t>中标</w:t>
            </w:r>
            <w:r>
              <w:rPr>
                <w:rFonts w:hint="eastAsia" w:hAnsi="宋体" w:cs="宋体"/>
                <w:color w:val="000000"/>
                <w:kern w:val="0"/>
                <w:sz w:val="21"/>
                <w:highlight w:val="none"/>
              </w:rPr>
              <w:t>供应商应在48小时内提供功能不低于故障产品档次的备用产品供采购人使用，直至故障产品修复。</w:t>
            </w:r>
          </w:p>
          <w:p w14:paraId="42E4286A">
            <w:pPr>
              <w:widowControl/>
              <w:spacing w:line="440" w:lineRule="exact"/>
              <w:ind w:firstLine="420" w:firstLineChars="200"/>
              <w:rPr>
                <w:rFonts w:hint="eastAsia" w:hAnsi="宋体" w:cs="宋体"/>
                <w:color w:val="000000"/>
                <w:sz w:val="21"/>
                <w:highlight w:val="none"/>
              </w:rPr>
            </w:pPr>
            <w:r>
              <w:rPr>
                <w:rFonts w:hint="eastAsia" w:hAnsi="宋体" w:cs="宋体"/>
                <w:color w:val="000000"/>
                <w:sz w:val="21"/>
                <w:highlight w:val="none"/>
              </w:rPr>
              <w:t>4.中标供应商提供全部产品必须是具备厂家合法销售渠道的全新、未经使用的原厂合格正品，所有产品必须完全满足采购文件所述及响应文件性能配置要求，若产品在运输过程中损坏或擦伤须负责调换相同产品。</w:t>
            </w:r>
          </w:p>
          <w:p w14:paraId="690162E7">
            <w:pPr>
              <w:widowControl/>
              <w:spacing w:line="440" w:lineRule="exact"/>
              <w:ind w:firstLine="420" w:firstLineChars="200"/>
              <w:rPr>
                <w:rFonts w:hint="eastAsia" w:hAnsi="宋体" w:cs="宋体"/>
                <w:color w:val="000000"/>
                <w:sz w:val="21"/>
                <w:highlight w:val="none"/>
              </w:rPr>
            </w:pPr>
            <w:r>
              <w:rPr>
                <w:rFonts w:hint="eastAsia" w:hAnsi="宋体" w:cs="宋体"/>
                <w:color w:val="000000"/>
                <w:sz w:val="21"/>
                <w:highlight w:val="none"/>
              </w:rPr>
              <w:t>5.中标供应商应保证所提供的货物或其任何一部分（包括软件）均为正版，适用于法人或其他组织（包括但不限于政府机关、公司、企事业单位、其他组织等），不会侵犯任何第三方的专利权、商标权等著作权，如在使用过程中出现的一切经济和法律责任均由中标供应商负责，并负责赔偿给使用方造成的一切损失。</w:t>
            </w:r>
          </w:p>
          <w:p w14:paraId="0D160512">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6.保</w:t>
            </w:r>
            <w:r>
              <w:rPr>
                <w:rFonts w:hint="eastAsia" w:hAnsi="宋体" w:cs="宋体"/>
                <w:color w:val="000000"/>
                <w:kern w:val="0"/>
                <w:sz w:val="21"/>
                <w:highlight w:val="none"/>
              </w:rPr>
              <w:t>修期内非用户原因引起的质量事故</w:t>
            </w:r>
            <w:r>
              <w:rPr>
                <w:rFonts w:hint="eastAsia" w:hAnsi="宋体" w:cs="宋体"/>
                <w:color w:val="000000"/>
                <w:sz w:val="21"/>
                <w:highlight w:val="none"/>
              </w:rPr>
              <w:t>中标</w:t>
            </w:r>
            <w:r>
              <w:rPr>
                <w:rFonts w:hint="eastAsia" w:hAnsi="宋体" w:cs="宋体"/>
                <w:color w:val="000000"/>
                <w:kern w:val="0"/>
                <w:sz w:val="21"/>
                <w:highlight w:val="none"/>
              </w:rPr>
              <w:t>供应商应负全部责任。</w:t>
            </w:r>
          </w:p>
          <w:p w14:paraId="408FF946">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7.产品修复</w:t>
            </w:r>
            <w:r>
              <w:rPr>
                <w:rFonts w:hint="eastAsia" w:hAnsi="宋体" w:cs="宋体"/>
                <w:color w:val="000000"/>
                <w:kern w:val="0"/>
                <w:sz w:val="21"/>
                <w:highlight w:val="none"/>
              </w:rPr>
              <w:t>或更换后其保修期相应顺延。</w:t>
            </w:r>
          </w:p>
          <w:p w14:paraId="374BEA0C">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8.</w:t>
            </w:r>
            <w:r>
              <w:rPr>
                <w:rFonts w:hint="eastAsia" w:hAnsi="宋体" w:cs="宋体"/>
                <w:color w:val="000000"/>
                <w:kern w:val="0"/>
                <w:sz w:val="21"/>
                <w:highlight w:val="none"/>
              </w:rPr>
              <w:t>所有非故意性损坏以及在要求质量标准范围内的正常使用造成的损坏均要负责</w:t>
            </w:r>
            <w:r>
              <w:rPr>
                <w:rFonts w:hint="eastAsia" w:hAnsi="宋体" w:cs="宋体"/>
                <w:color w:val="000000"/>
                <w:sz w:val="21"/>
                <w:highlight w:val="none"/>
              </w:rPr>
              <w:t>修复</w:t>
            </w:r>
            <w:r>
              <w:rPr>
                <w:rFonts w:hint="eastAsia" w:hAnsi="宋体" w:cs="宋体"/>
                <w:color w:val="000000"/>
                <w:kern w:val="0"/>
                <w:sz w:val="21"/>
                <w:highlight w:val="none"/>
              </w:rPr>
              <w:t>。</w:t>
            </w:r>
          </w:p>
          <w:p w14:paraId="3E83B9EC">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9.</w:t>
            </w:r>
            <w:r>
              <w:rPr>
                <w:rFonts w:hint="eastAsia" w:hAnsi="宋体" w:cs="宋体"/>
                <w:color w:val="000000"/>
                <w:kern w:val="0"/>
                <w:sz w:val="21"/>
                <w:highlight w:val="none"/>
              </w:rPr>
              <w:t>对因采购人工作人员的不正当使用所造成的损坏不归</w:t>
            </w:r>
            <w:r>
              <w:rPr>
                <w:rFonts w:hint="eastAsia" w:hAnsi="宋体" w:cs="宋体"/>
                <w:color w:val="000000"/>
                <w:sz w:val="21"/>
                <w:highlight w:val="none"/>
              </w:rPr>
              <w:t>中标</w:t>
            </w:r>
            <w:r>
              <w:rPr>
                <w:rFonts w:hint="eastAsia" w:hAnsi="宋体" w:cs="宋体"/>
                <w:color w:val="000000"/>
                <w:kern w:val="0"/>
                <w:sz w:val="21"/>
                <w:highlight w:val="none"/>
              </w:rPr>
              <w:t>供应商负责保修，但</w:t>
            </w:r>
            <w:r>
              <w:rPr>
                <w:rFonts w:hint="eastAsia" w:hAnsi="宋体" w:cs="宋体"/>
                <w:color w:val="000000"/>
                <w:sz w:val="21"/>
                <w:highlight w:val="none"/>
              </w:rPr>
              <w:t>中标</w:t>
            </w:r>
            <w:r>
              <w:rPr>
                <w:rFonts w:hint="eastAsia" w:hAnsi="宋体" w:cs="宋体"/>
                <w:color w:val="000000"/>
                <w:kern w:val="0"/>
                <w:sz w:val="21"/>
                <w:highlight w:val="none"/>
              </w:rPr>
              <w:t>供应商也要积极帮助采购人修复，并保证提供优惠价格的配件和服务。</w:t>
            </w:r>
          </w:p>
          <w:p w14:paraId="2C4881D5">
            <w:pPr>
              <w:widowControl/>
              <w:spacing w:line="440" w:lineRule="exact"/>
              <w:ind w:firstLine="420" w:firstLineChars="200"/>
              <w:rPr>
                <w:rFonts w:hint="eastAsia" w:hAnsi="宋体" w:cs="宋体"/>
                <w:color w:val="000000"/>
                <w:kern w:val="0"/>
                <w:sz w:val="21"/>
                <w:highlight w:val="none"/>
              </w:rPr>
            </w:pPr>
            <w:r>
              <w:rPr>
                <w:rFonts w:hint="eastAsia" w:hAnsi="宋体" w:cs="宋体"/>
                <w:color w:val="000000"/>
                <w:sz w:val="21"/>
                <w:highlight w:val="none"/>
              </w:rPr>
              <w:t>10.</w:t>
            </w:r>
            <w:r>
              <w:rPr>
                <w:rFonts w:hint="eastAsia" w:hAnsi="宋体" w:cs="宋体"/>
                <w:color w:val="000000"/>
                <w:kern w:val="0"/>
                <w:sz w:val="21"/>
                <w:highlight w:val="none"/>
              </w:rPr>
              <w:t>确保国产化电脑和服务器的适配性，完成国产化适配性升级之后，负责更新和配合安装迁移。</w:t>
            </w:r>
          </w:p>
        </w:tc>
      </w:tr>
      <w:tr w14:paraId="650AB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460FEA8E">
            <w:pPr>
              <w:widowControl/>
              <w:spacing w:before="48" w:beforeLines="20" w:line="440" w:lineRule="exact"/>
              <w:jc w:val="center"/>
              <w:rPr>
                <w:rFonts w:hint="eastAsia" w:hAnsi="宋体" w:cs="宋体"/>
                <w:b/>
                <w:color w:val="000000"/>
                <w:kern w:val="0"/>
                <w:sz w:val="21"/>
                <w:highlight w:val="none"/>
              </w:rPr>
            </w:pPr>
            <w:r>
              <w:rPr>
                <w:rFonts w:hint="eastAsia" w:hAnsi="宋体" w:cs="宋体"/>
                <w:b/>
                <w:color w:val="000000"/>
                <w:kern w:val="0"/>
                <w:sz w:val="21"/>
                <w:highlight w:val="none"/>
              </w:rPr>
              <w:t>报价</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728A815E">
            <w:pPr>
              <w:pStyle w:val="19"/>
              <w:spacing w:line="440" w:lineRule="exact"/>
              <w:ind w:firstLine="420"/>
              <w:jc w:val="both"/>
              <w:rPr>
                <w:rFonts w:hint="eastAsia" w:hAnsi="宋体" w:cs="宋体"/>
                <w:color w:val="000000"/>
                <w:sz w:val="21"/>
                <w:highlight w:val="none"/>
              </w:rPr>
            </w:pPr>
            <w:r>
              <w:rPr>
                <w:rFonts w:hint="eastAsia" w:hAnsi="宋体" w:cs="宋体"/>
                <w:color w:val="000000"/>
                <w:sz w:val="21"/>
                <w:highlight w:val="none"/>
              </w:rPr>
              <w:t>投标文件按采购文件“第六章 投标文件格式”的“报价表”进行报价，报价包含系统软硬件费用、产品安装、调试实施、培训费用、产品升级费用等费用，以及明示所有责任、义务和一切风险。</w:t>
            </w:r>
          </w:p>
        </w:tc>
      </w:tr>
      <w:tr w14:paraId="565E1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03D49862">
            <w:pPr>
              <w:widowControl/>
              <w:spacing w:before="48" w:beforeLines="20" w:line="440" w:lineRule="exact"/>
              <w:jc w:val="center"/>
              <w:rPr>
                <w:rFonts w:hint="eastAsia" w:hAnsi="宋体" w:cs="宋体"/>
                <w:b/>
                <w:color w:val="000000"/>
                <w:kern w:val="0"/>
                <w:sz w:val="21"/>
                <w:highlight w:val="none"/>
              </w:rPr>
            </w:pPr>
            <w:r>
              <w:rPr>
                <w:rFonts w:hint="eastAsia" w:hAnsi="宋体" w:cs="宋体"/>
                <w:b/>
                <w:color w:val="000000"/>
                <w:kern w:val="0"/>
                <w:sz w:val="21"/>
                <w:highlight w:val="none"/>
              </w:rPr>
              <w:t>交付期限</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56D7D2ED">
            <w:pPr>
              <w:pStyle w:val="19"/>
              <w:spacing w:line="440" w:lineRule="exact"/>
              <w:ind w:firstLine="420"/>
              <w:jc w:val="both"/>
              <w:rPr>
                <w:rFonts w:hint="eastAsia" w:hAnsi="宋体" w:cs="宋体"/>
                <w:color w:val="000000"/>
                <w:kern w:val="0"/>
                <w:sz w:val="21"/>
                <w:highlight w:val="none"/>
              </w:rPr>
            </w:pPr>
            <w:r>
              <w:rPr>
                <w:rFonts w:hint="eastAsia" w:hAnsi="宋体" w:cs="宋体"/>
                <w:color w:val="000000"/>
                <w:sz w:val="21"/>
                <w:highlight w:val="none"/>
              </w:rPr>
              <w:t>自合同签订生效之日起3个月内安装调试完毕交付使用。</w:t>
            </w:r>
          </w:p>
        </w:tc>
      </w:tr>
      <w:tr w14:paraId="1E8EF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79E51857">
            <w:pPr>
              <w:widowControl/>
              <w:spacing w:before="48" w:beforeLines="20" w:line="440" w:lineRule="exact"/>
              <w:jc w:val="center"/>
              <w:rPr>
                <w:rFonts w:hint="eastAsia" w:hAnsi="宋体" w:cs="宋体"/>
                <w:b/>
                <w:color w:val="000000"/>
                <w:kern w:val="0"/>
                <w:sz w:val="21"/>
                <w:highlight w:val="none"/>
              </w:rPr>
            </w:pPr>
            <w:r>
              <w:rPr>
                <w:rFonts w:hint="eastAsia" w:hAnsi="宋体" w:cs="宋体"/>
                <w:b/>
                <w:color w:val="000000"/>
                <w:kern w:val="0"/>
                <w:sz w:val="21"/>
                <w:highlight w:val="none"/>
              </w:rPr>
              <w:t>交付地点</w:t>
            </w:r>
          </w:p>
        </w:tc>
        <w:tc>
          <w:tcPr>
            <w:tcW w:w="7608" w:type="dxa"/>
            <w:gridSpan w:val="2"/>
            <w:tcBorders>
              <w:top w:val="single" w:color="auto" w:sz="4" w:space="0"/>
              <w:left w:val="single" w:color="auto" w:sz="4" w:space="0"/>
              <w:bottom w:val="single" w:color="auto" w:sz="4" w:space="0"/>
              <w:right w:val="single" w:color="auto" w:sz="4" w:space="0"/>
            </w:tcBorders>
            <w:noWrap w:val="0"/>
            <w:vAlign w:val="center"/>
          </w:tcPr>
          <w:p w14:paraId="248C082B">
            <w:pPr>
              <w:widowControl/>
              <w:spacing w:before="48" w:beforeLines="20" w:line="440" w:lineRule="exact"/>
              <w:ind w:firstLine="420"/>
              <w:jc w:val="both"/>
              <w:rPr>
                <w:rFonts w:hint="eastAsia" w:hAnsi="宋体" w:cs="宋体"/>
                <w:color w:val="000000"/>
                <w:kern w:val="0"/>
                <w:sz w:val="21"/>
                <w:highlight w:val="none"/>
              </w:rPr>
            </w:pPr>
            <w:r>
              <w:rPr>
                <w:rFonts w:hint="eastAsia" w:hAnsi="宋体" w:cs="宋体"/>
                <w:color w:val="000000"/>
                <w:sz w:val="21"/>
                <w:highlight w:val="none"/>
              </w:rPr>
              <w:t>柳州市采购人指定地点。</w:t>
            </w:r>
          </w:p>
        </w:tc>
      </w:tr>
      <w:tr w14:paraId="1CC7C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776850C8">
            <w:pPr>
              <w:widowControl/>
              <w:spacing w:before="48" w:beforeLines="20" w:line="440" w:lineRule="exact"/>
              <w:jc w:val="center"/>
              <w:rPr>
                <w:rFonts w:hint="eastAsia" w:hAnsi="宋体" w:cs="宋体"/>
                <w:b/>
                <w:color w:val="000000"/>
                <w:kern w:val="0"/>
                <w:sz w:val="21"/>
                <w:highlight w:val="none"/>
              </w:rPr>
            </w:pPr>
            <w:r>
              <w:rPr>
                <w:rFonts w:hint="eastAsia" w:hAnsi="宋体" w:cs="宋体"/>
                <w:b/>
                <w:color w:val="000000"/>
                <w:kern w:val="0"/>
                <w:sz w:val="21"/>
                <w:highlight w:val="none"/>
              </w:rPr>
              <w:t>签订合同日期</w:t>
            </w:r>
          </w:p>
        </w:tc>
        <w:tc>
          <w:tcPr>
            <w:tcW w:w="7608" w:type="dxa"/>
            <w:gridSpan w:val="2"/>
            <w:tcBorders>
              <w:top w:val="single" w:color="auto" w:sz="4" w:space="0"/>
              <w:left w:val="single" w:color="auto" w:sz="4" w:space="0"/>
              <w:bottom w:val="single" w:color="auto" w:sz="4" w:space="0"/>
              <w:right w:val="single" w:color="auto" w:sz="4" w:space="0"/>
            </w:tcBorders>
            <w:noWrap w:val="0"/>
            <w:vAlign w:val="center"/>
          </w:tcPr>
          <w:p w14:paraId="197DFC88">
            <w:pPr>
              <w:widowControl/>
              <w:spacing w:before="48" w:beforeLines="20" w:line="440" w:lineRule="exact"/>
              <w:ind w:firstLine="420"/>
              <w:jc w:val="both"/>
              <w:rPr>
                <w:rFonts w:hint="eastAsia" w:hAnsi="宋体" w:cs="宋体"/>
                <w:color w:val="000000"/>
                <w:kern w:val="0"/>
                <w:sz w:val="21"/>
                <w:highlight w:val="none"/>
              </w:rPr>
            </w:pPr>
            <w:r>
              <w:rPr>
                <w:rFonts w:hint="eastAsia" w:hAnsi="宋体" w:cs="宋体"/>
                <w:color w:val="000000"/>
                <w:kern w:val="0"/>
                <w:sz w:val="21"/>
                <w:highlight w:val="none"/>
              </w:rPr>
              <w:t>自</w:t>
            </w:r>
            <w:r>
              <w:rPr>
                <w:rFonts w:hint="eastAsia" w:hAnsi="宋体" w:cs="宋体"/>
                <w:color w:val="000000"/>
                <w:sz w:val="21"/>
                <w:highlight w:val="none"/>
              </w:rPr>
              <w:t>中标</w:t>
            </w:r>
            <w:r>
              <w:rPr>
                <w:rFonts w:hint="eastAsia" w:hAnsi="宋体" w:cs="宋体"/>
                <w:color w:val="000000"/>
                <w:kern w:val="0"/>
                <w:sz w:val="21"/>
                <w:highlight w:val="none"/>
              </w:rPr>
              <w:t>通知书发出之日起25日内。</w:t>
            </w:r>
          </w:p>
        </w:tc>
      </w:tr>
      <w:tr w14:paraId="6521E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36E235E0">
            <w:pPr>
              <w:widowControl/>
              <w:spacing w:before="48" w:beforeLines="20" w:line="440" w:lineRule="exact"/>
              <w:jc w:val="center"/>
              <w:rPr>
                <w:rFonts w:hint="eastAsia" w:hAnsi="宋体" w:cs="宋体"/>
                <w:b/>
                <w:color w:val="000000"/>
                <w:kern w:val="0"/>
                <w:sz w:val="21"/>
                <w:highlight w:val="none"/>
              </w:rPr>
            </w:pPr>
            <w:r>
              <w:rPr>
                <w:rFonts w:hint="eastAsia" w:hAnsi="宋体" w:cs="宋体"/>
                <w:b/>
                <w:color w:val="000000"/>
                <w:kern w:val="0"/>
                <w:sz w:val="21"/>
                <w:highlight w:val="none"/>
              </w:rPr>
              <w:t>付款方式</w:t>
            </w:r>
          </w:p>
        </w:tc>
        <w:tc>
          <w:tcPr>
            <w:tcW w:w="7608" w:type="dxa"/>
            <w:gridSpan w:val="2"/>
            <w:tcBorders>
              <w:top w:val="single" w:color="auto" w:sz="4" w:space="0"/>
              <w:left w:val="single" w:color="auto" w:sz="4" w:space="0"/>
              <w:bottom w:val="single" w:color="auto" w:sz="4" w:space="0"/>
              <w:right w:val="single" w:color="auto" w:sz="4" w:space="0"/>
            </w:tcBorders>
            <w:noWrap w:val="0"/>
            <w:vAlign w:val="center"/>
          </w:tcPr>
          <w:p w14:paraId="74DED4E4">
            <w:pPr>
              <w:widowControl/>
              <w:spacing w:before="48" w:beforeLines="20" w:line="440" w:lineRule="exact"/>
              <w:ind w:firstLine="420"/>
              <w:jc w:val="both"/>
              <w:rPr>
                <w:color w:val="000000"/>
                <w:sz w:val="21"/>
                <w:highlight w:val="none"/>
              </w:rPr>
            </w:pPr>
            <w:r>
              <w:rPr>
                <w:rFonts w:hint="eastAsia"/>
                <w:color w:val="000000"/>
                <w:sz w:val="21"/>
                <w:highlight w:val="none"/>
              </w:rPr>
              <w:t>合同中所有货物到齐经采购人签收后，中标供应商开具合同价款的全额增值税专用发票给采购人，否则采购人不予支付货款，采购人收到合法有效发票后10个工作日内支付合同金额的50%；全部货物安装调试完毕验收合格交付采购人后10个工作日内支付至合同金额的100%。</w:t>
            </w:r>
          </w:p>
          <w:p w14:paraId="73AD94CF">
            <w:pPr>
              <w:widowControl/>
              <w:spacing w:before="48" w:beforeLines="20" w:line="440" w:lineRule="exact"/>
              <w:ind w:firstLine="420"/>
              <w:jc w:val="both"/>
              <w:rPr>
                <w:rFonts w:hint="eastAsia" w:hAnsi="宋体" w:cs="宋体"/>
                <w:color w:val="000000"/>
                <w:kern w:val="0"/>
                <w:sz w:val="21"/>
                <w:highlight w:val="none"/>
              </w:rPr>
            </w:pPr>
            <w:r>
              <w:rPr>
                <w:rFonts w:hint="eastAsia" w:hAnsi="宋体" w:cs="宋体"/>
                <w:color w:val="000000"/>
                <w:kern w:val="0"/>
                <w:sz w:val="21"/>
                <w:highlight w:val="none"/>
              </w:rPr>
              <w:t>注：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tc>
      </w:tr>
      <w:tr w14:paraId="617F9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00AE0FB9">
            <w:pPr>
              <w:snapToGrid w:val="0"/>
              <w:spacing w:before="120" w:beforeLines="50" w:line="360" w:lineRule="auto"/>
              <w:ind w:firstLine="6" w:firstLineChars="3"/>
              <w:jc w:val="center"/>
              <w:rPr>
                <w:rFonts w:hint="eastAsia" w:hAnsi="宋体" w:cs="宋体"/>
                <w:b/>
                <w:bCs/>
                <w:color w:val="000000"/>
                <w:sz w:val="21"/>
                <w:highlight w:val="none"/>
              </w:rPr>
            </w:pPr>
            <w:r>
              <w:rPr>
                <w:rFonts w:hint="eastAsia" w:hAnsi="宋体" w:cs="宋体"/>
                <w:b/>
                <w:color w:val="000000"/>
                <w:sz w:val="21"/>
                <w:highlight w:val="none"/>
              </w:rPr>
              <w:t>采购标的验收标准及要求</w:t>
            </w:r>
          </w:p>
        </w:tc>
        <w:tc>
          <w:tcPr>
            <w:tcW w:w="7608" w:type="dxa"/>
            <w:gridSpan w:val="2"/>
            <w:tcBorders>
              <w:top w:val="single" w:color="auto" w:sz="4" w:space="0"/>
              <w:left w:val="single" w:color="auto" w:sz="4" w:space="0"/>
              <w:bottom w:val="single" w:color="auto" w:sz="4" w:space="0"/>
              <w:right w:val="single" w:color="auto" w:sz="4" w:space="0"/>
            </w:tcBorders>
            <w:noWrap w:val="0"/>
            <w:vAlign w:val="center"/>
          </w:tcPr>
          <w:p w14:paraId="27BD3E1C">
            <w:pPr>
              <w:snapToGrid w:val="0"/>
              <w:spacing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1.交付验收标准依次序对照适用标准为：①符合中华人民共和国国家安全质量标准、环保标准或行业标准；②符合采购文件和投标文件承诺中采购人认可的合理最佳配置、参数及各项要求；③货物符合国家官方合格标准。</w:t>
            </w:r>
          </w:p>
          <w:p w14:paraId="080FF834">
            <w:pPr>
              <w:snapToGrid w:val="0"/>
              <w:spacing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2.中标供应商须确保货物为原制造商制造的全新产品，无侵权行为、无任何缺陷隐患，在中国境内可依常规安全合法使用。</w:t>
            </w:r>
          </w:p>
          <w:p w14:paraId="7304E793">
            <w:pPr>
              <w:snapToGrid w:val="0"/>
              <w:spacing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3.供货时中标供应商应将关键货物的用户手册、保修手册、有关单证资料及配备件等交付给采购人，使用操作及安全须知等重要资料应附有中文说明。</w:t>
            </w:r>
          </w:p>
          <w:p w14:paraId="1F6C4015">
            <w:pPr>
              <w:snapToGrid w:val="0"/>
              <w:spacing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03020D3">
            <w:pPr>
              <w:snapToGrid w:val="0"/>
              <w:spacing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5.中标应商必须依照采购文件的要求和投标文件的承诺，将产品、系统安装并调试至正常运行的最佳状态，并完成采购人的人员培训方可申请采购人正式验收。</w:t>
            </w:r>
          </w:p>
          <w:p w14:paraId="18DB63DB">
            <w:pPr>
              <w:spacing w:line="360" w:lineRule="auto"/>
              <w:ind w:firstLine="422" w:firstLineChars="200"/>
              <w:jc w:val="both"/>
              <w:rPr>
                <w:rFonts w:hint="eastAsia" w:hAnsi="宋体" w:cs="宋体"/>
                <w:b/>
                <w:color w:val="000000"/>
                <w:kern w:val="0"/>
                <w:sz w:val="21"/>
                <w:highlight w:val="none"/>
              </w:rPr>
            </w:pPr>
            <w:r>
              <w:rPr>
                <w:rFonts w:hint="eastAsia" w:hAnsi="宋体" w:cs="宋体"/>
                <w:b/>
                <w:color w:val="000000"/>
                <w:kern w:val="0"/>
                <w:sz w:val="21"/>
                <w:highlight w:val="none"/>
              </w:rPr>
              <w:t>6.采购人有权委托第三方进行履约验收，履约验收费用（含运行耗材、验收专家费等全部费用）由中标供应商支付。供应商在投标报价时自行考虑。</w:t>
            </w:r>
          </w:p>
        </w:tc>
      </w:tr>
      <w:tr w14:paraId="1B25E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51ABD31A">
            <w:pPr>
              <w:snapToGrid w:val="0"/>
              <w:spacing w:before="120" w:beforeLines="50"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包装方式</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479C5844">
            <w:pPr>
              <w:snapToGrid w:val="0"/>
              <w:spacing w:before="120" w:beforeLines="50" w:line="360" w:lineRule="auto"/>
              <w:ind w:firstLine="420" w:firstLineChars="200"/>
              <w:rPr>
                <w:rFonts w:hint="eastAsia" w:hAnsi="宋体" w:cs="宋体"/>
                <w:color w:val="000000"/>
                <w:kern w:val="0"/>
                <w:sz w:val="21"/>
                <w:highlight w:val="none"/>
              </w:rPr>
            </w:pPr>
            <w:r>
              <w:rPr>
                <w:rFonts w:hint="eastAsia" w:hAnsi="宋体" w:cs="宋体"/>
                <w:color w:val="000000"/>
                <w:kern w:val="0"/>
                <w:sz w:val="21"/>
                <w:highlight w:val="none"/>
              </w:rPr>
              <w:t>按产品出厂时的包装。</w:t>
            </w:r>
          </w:p>
        </w:tc>
      </w:tr>
      <w:tr w14:paraId="175D9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619757C6">
            <w:pPr>
              <w:snapToGrid w:val="0"/>
              <w:spacing w:before="120" w:beforeLines="50"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运输方式</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5F267B29">
            <w:pPr>
              <w:snapToGrid w:val="0"/>
              <w:spacing w:before="120" w:beforeLines="50" w:line="360" w:lineRule="auto"/>
              <w:ind w:firstLine="420" w:firstLineChars="200"/>
              <w:rPr>
                <w:rFonts w:hint="eastAsia" w:hAnsi="宋体" w:cs="宋体"/>
                <w:color w:val="000000"/>
                <w:kern w:val="0"/>
                <w:sz w:val="21"/>
                <w:highlight w:val="none"/>
              </w:rPr>
            </w:pPr>
            <w:r>
              <w:rPr>
                <w:rFonts w:hint="eastAsia" w:hAnsi="宋体" w:cs="宋体"/>
                <w:color w:val="000000"/>
                <w:kern w:val="0"/>
                <w:sz w:val="21"/>
                <w:highlight w:val="none"/>
              </w:rPr>
              <w:t>不限。</w:t>
            </w:r>
          </w:p>
        </w:tc>
      </w:tr>
      <w:tr w14:paraId="23064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74" w:type="dxa"/>
            <w:gridSpan w:val="5"/>
            <w:tcBorders>
              <w:top w:val="single" w:color="auto" w:sz="4" w:space="0"/>
              <w:left w:val="single" w:color="auto" w:sz="4" w:space="0"/>
              <w:bottom w:val="single" w:color="auto" w:sz="4" w:space="0"/>
              <w:right w:val="single" w:color="auto" w:sz="4" w:space="0"/>
            </w:tcBorders>
            <w:noWrap w:val="0"/>
            <w:vAlign w:val="center"/>
          </w:tcPr>
          <w:p w14:paraId="00419E50">
            <w:pPr>
              <w:snapToGrid w:val="0"/>
              <w:spacing w:before="120" w:beforeLines="50" w:line="360" w:lineRule="auto"/>
              <w:rPr>
                <w:rFonts w:hint="eastAsia" w:hAnsi="宋体" w:cs="宋体"/>
                <w:color w:val="000000"/>
                <w:kern w:val="0"/>
                <w:sz w:val="21"/>
                <w:highlight w:val="none"/>
              </w:rPr>
            </w:pPr>
            <w:r>
              <w:rPr>
                <w:rFonts w:hint="eastAsia" w:hAnsi="宋体" w:cs="宋体"/>
                <w:b/>
                <w:bCs/>
                <w:color w:val="000000"/>
                <w:sz w:val="21"/>
                <w:highlight w:val="none"/>
              </w:rPr>
              <w:t>二、</w:t>
            </w:r>
            <w:r>
              <w:rPr>
                <w:rFonts w:hint="eastAsia" w:hAnsi="宋体" w:cs="宋体"/>
                <w:b/>
                <w:color w:val="000000"/>
                <w:sz w:val="21"/>
                <w:highlight w:val="none"/>
              </w:rPr>
              <w:t>项目的特殊要求及说明</w:t>
            </w:r>
          </w:p>
        </w:tc>
      </w:tr>
      <w:tr w14:paraId="2CA43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012CAB2E">
            <w:pPr>
              <w:spacing w:line="360" w:lineRule="auto"/>
              <w:jc w:val="center"/>
              <w:rPr>
                <w:rFonts w:hint="eastAsia" w:hAnsi="宋体"/>
                <w:b/>
                <w:color w:val="000000"/>
                <w:sz w:val="21"/>
                <w:highlight w:val="none"/>
              </w:rPr>
            </w:pPr>
            <w:r>
              <w:rPr>
                <w:rFonts w:hint="eastAsia" w:hAnsi="宋体"/>
                <w:b/>
                <w:color w:val="000000"/>
                <w:sz w:val="21"/>
                <w:highlight w:val="none"/>
              </w:rPr>
              <w:t>核心产品</w:t>
            </w:r>
          </w:p>
        </w:tc>
        <w:tc>
          <w:tcPr>
            <w:tcW w:w="7608" w:type="dxa"/>
            <w:gridSpan w:val="2"/>
            <w:tcBorders>
              <w:top w:val="single" w:color="auto" w:sz="4" w:space="0"/>
              <w:left w:val="single" w:color="auto" w:sz="4" w:space="0"/>
              <w:bottom w:val="single" w:color="auto" w:sz="4" w:space="0"/>
              <w:right w:val="single" w:color="auto" w:sz="4" w:space="0"/>
            </w:tcBorders>
            <w:noWrap w:val="0"/>
            <w:vAlign w:val="top"/>
          </w:tcPr>
          <w:p w14:paraId="2044C60E">
            <w:pPr>
              <w:pStyle w:val="5"/>
              <w:spacing w:line="400" w:lineRule="exact"/>
              <w:ind w:firstLine="422" w:firstLineChars="200"/>
              <w:rPr>
                <w:rFonts w:hint="eastAsia" w:hAnsi="宋体"/>
                <w:color w:val="000000"/>
                <w:sz w:val="21"/>
                <w:highlight w:val="none"/>
              </w:rPr>
            </w:pPr>
            <w:r>
              <w:rPr>
                <w:rFonts w:hint="eastAsia" w:hAnsi="宋体"/>
                <w:b/>
                <w:bCs/>
                <w:color w:val="000000"/>
                <w:kern w:val="2"/>
                <w:sz w:val="21"/>
                <w:highlight w:val="none"/>
              </w:rPr>
              <w:t>本项目序号</w:t>
            </w:r>
            <w:r>
              <w:rPr>
                <w:rFonts w:hAnsi="宋体"/>
                <w:b/>
                <w:bCs/>
                <w:color w:val="000000"/>
                <w:kern w:val="2"/>
                <w:sz w:val="21"/>
                <w:highlight w:val="none"/>
              </w:rPr>
              <w:t>1</w:t>
            </w:r>
            <w:r>
              <w:rPr>
                <w:rFonts w:hint="eastAsia" w:hAnsi="宋体" w:cs="宋体"/>
                <w:b/>
                <w:color w:val="000000"/>
                <w:sz w:val="21"/>
                <w:highlight w:val="none"/>
              </w:rPr>
              <w:t>“数字动画全流程制作实训软件”</w:t>
            </w:r>
            <w:r>
              <w:rPr>
                <w:rFonts w:hint="eastAsia" w:hAnsi="宋体"/>
                <w:b/>
                <w:bCs/>
                <w:color w:val="000000"/>
                <w:kern w:val="2"/>
                <w:sz w:val="21"/>
                <w:highlight w:val="none"/>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w:t>
            </w:r>
          </w:p>
        </w:tc>
      </w:tr>
    </w:tbl>
    <w:p w14:paraId="109D8262">
      <w:bookmarkStart w:id="3" w:name="_GoBack"/>
      <w:bookmarkEnd w:id="3"/>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438267"/>
      <w:docPartObj>
        <w:docPartGallery w:val="autotext"/>
      </w:docPartObj>
    </w:sdtPr>
    <w:sdtContent>
      <w:p w14:paraId="237D50DC">
        <w:pPr>
          <w:pStyle w:val="7"/>
          <w:jc w:val="center"/>
        </w:pPr>
        <w:r>
          <w:fldChar w:fldCharType="begin"/>
        </w:r>
        <w:r>
          <w:instrText xml:space="preserve">PAGE   \* MERGEFORMAT</w:instrText>
        </w:r>
        <w:r>
          <w:fldChar w:fldCharType="separate"/>
        </w:r>
        <w:r>
          <w:rPr>
            <w:lang w:val="zh-CN"/>
          </w:rPr>
          <w:t>10</w:t>
        </w:r>
        <w:r>
          <w:fldChar w:fldCharType="end"/>
        </w:r>
      </w:p>
    </w:sdtContent>
  </w:sdt>
  <w:p w14:paraId="3434E3D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89"/>
    <w:rsid w:val="000B6540"/>
    <w:rsid w:val="001437BD"/>
    <w:rsid w:val="00143C42"/>
    <w:rsid w:val="00374B63"/>
    <w:rsid w:val="003F71F2"/>
    <w:rsid w:val="006B6A89"/>
    <w:rsid w:val="008A43F5"/>
    <w:rsid w:val="0097677D"/>
    <w:rsid w:val="009B0DAA"/>
    <w:rsid w:val="00BD2EDA"/>
    <w:rsid w:val="00D84219"/>
    <w:rsid w:val="0BA45E27"/>
    <w:rsid w:val="17A24D09"/>
    <w:rsid w:val="3115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4"/>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Body Text"/>
    <w:basedOn w:val="1"/>
    <w:next w:val="1"/>
    <w:qFormat/>
    <w:uiPriority w:val="99"/>
    <w:pPr>
      <w:spacing w:line="380" w:lineRule="exact"/>
    </w:pPr>
    <w:rPr>
      <w:kern w:val="0"/>
    </w:rPr>
  </w:style>
  <w:style w:type="paragraph" w:styleId="6">
    <w:name w:val="Plain Text"/>
    <w:basedOn w:val="1"/>
    <w:link w:val="16"/>
    <w:qFormat/>
    <w:uiPriority w:val="99"/>
    <w:rPr>
      <w:kern w:val="0"/>
      <w:sz w:val="20"/>
    </w:rPr>
  </w:style>
  <w:style w:type="paragraph" w:styleId="7">
    <w:name w:val="footer"/>
    <w:basedOn w:val="1"/>
    <w:link w:val="13"/>
    <w:unhideWhenUsed/>
    <w:qFormat/>
    <w:uiPriority w:val="99"/>
    <w:pPr>
      <w:tabs>
        <w:tab w:val="center" w:pos="4153"/>
        <w:tab w:val="right" w:pos="8306"/>
      </w:tabs>
      <w:snapToGrid w:val="0"/>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标题 2 Char"/>
    <w:basedOn w:val="10"/>
    <w:link w:val="2"/>
    <w:qFormat/>
    <w:uiPriority w:val="0"/>
    <w:rPr>
      <w:rFonts w:ascii="Arial" w:hAnsi="Arial" w:eastAsia="黑体" w:cs="Times New Roman"/>
      <w:b/>
      <w:bCs/>
      <w:kern w:val="0"/>
      <w:sz w:val="32"/>
      <w:szCs w:val="32"/>
    </w:rPr>
  </w:style>
  <w:style w:type="character" w:customStyle="1" w:styleId="15">
    <w:name w:val="纯文本 Char"/>
    <w:basedOn w:val="10"/>
    <w:semiHidden/>
    <w:qFormat/>
    <w:uiPriority w:val="99"/>
    <w:rPr>
      <w:rFonts w:ascii="宋体" w:hAnsi="Courier New" w:eastAsia="宋体" w:cs="Courier New"/>
      <w:szCs w:val="21"/>
    </w:rPr>
  </w:style>
  <w:style w:type="character" w:customStyle="1" w:styleId="16">
    <w:name w:val="纯文本 Char1"/>
    <w:link w:val="6"/>
    <w:qFormat/>
    <w:uiPriority w:val="99"/>
    <w:rPr>
      <w:rFonts w:ascii="宋体" w:hAnsi="Times New Roman" w:eastAsia="宋体" w:cs="Times New Roman"/>
      <w:kern w:val="0"/>
      <w:sz w:val="20"/>
      <w:szCs w:val="21"/>
    </w:rPr>
  </w:style>
  <w:style w:type="character" w:customStyle="1" w:styleId="17">
    <w:name w:val="标题 3 Char"/>
    <w:basedOn w:val="10"/>
    <w:link w:val="3"/>
    <w:semiHidden/>
    <w:qFormat/>
    <w:uiPriority w:val="9"/>
    <w:rPr>
      <w:rFonts w:ascii="宋体" w:hAnsi="Times New Roman" w:eastAsia="宋体" w:cs="Times New Roman"/>
      <w:b/>
      <w:bCs/>
      <w:sz w:val="32"/>
      <w:szCs w:val="32"/>
    </w:rPr>
  </w:style>
  <w:style w:type="paragraph" w:customStyle="1" w:styleId="18">
    <w:name w:val="页脚1"/>
    <w:basedOn w:val="1"/>
    <w:qFormat/>
    <w:uiPriority w:val="0"/>
    <w:pPr>
      <w:tabs>
        <w:tab w:val="center" w:pos="4153"/>
        <w:tab w:val="right" w:pos="8306"/>
      </w:tabs>
      <w:snapToGrid w:val="0"/>
      <w:jc w:val="left"/>
    </w:pPr>
    <w:rPr>
      <w:sz w:val="18"/>
      <w:szCs w:val="18"/>
    </w:rPr>
  </w:style>
  <w:style w:type="paragraph" w:styleId="1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pany>
  <Pages>14</Pages>
  <Words>22050</Words>
  <Characters>23529</Characters>
  <Lines>49</Lines>
  <Paragraphs>13</Paragraphs>
  <TotalTime>0</TotalTime>
  <ScaleCrop>false</ScaleCrop>
  <LinksUpToDate>false</LinksUpToDate>
  <CharactersWithSpaces>23535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2022-07-21T00:29:00Z</dcterms:created>
  <dc:creator>admin</dc:creator>
  <cp:lastModifiedBy>五星好市民</cp:lastModifiedBy>
  <dcterms:modified xsi:type="dcterms:W3CDTF">2025-10-27T08:22:58Z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eyJoZGlkIjoiODA3ZDhmODk2NDRkYjI4ZDhlNmZkZDJiZmIzMjViOTYiLCJ1c2VySWQiOiIxNTk2NDc0MTE2In0=</vt:lpwstr>
  </property>
  <property fmtid="{D5CDD505-2E9C-101B-9397-08002B2CF9AE}" pid="3" name="KSOProductBuildVer">
    <vt:lpwstr>2052-12.1.0.23125</vt:lpwstr>
  </property>
  <property fmtid="{D5CDD505-2E9C-101B-9397-08002B2CF9AE}" pid="4" name="ICV">
    <vt:lpwstr>044238CF775949CB87117FCB3415A622_12</vt:lpwstr>
  </property>
</Properties>
</file>