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14409">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011AD2CD">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0EA80519">
      <w:pPr>
        <w:spacing w:beforeLines="50" w:line="360" w:lineRule="auto"/>
        <w:jc w:val="center"/>
        <w:rPr>
          <w:rFonts w:ascii="宋体"/>
          <w:color w:val="auto"/>
          <w:sz w:val="36"/>
          <w:szCs w:val="36"/>
          <w:highlight w:val="none"/>
        </w:rPr>
      </w:pPr>
    </w:p>
    <w:p w14:paraId="31A9CE89">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7CE534C0">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5EE7ADD7">
      <w:pPr>
        <w:spacing w:before="156" w:beforeLines="50" w:line="360" w:lineRule="auto"/>
        <w:jc w:val="center"/>
        <w:rPr>
          <w:rFonts w:hint="eastAsia" w:ascii="宋体" w:hAnsi="宋体" w:eastAsia="宋体" w:cs="宋体"/>
          <w:color w:val="auto"/>
          <w:sz w:val="36"/>
          <w:szCs w:val="36"/>
          <w:highlight w:val="none"/>
        </w:rPr>
      </w:pPr>
    </w:p>
    <w:p w14:paraId="7E5E9B66">
      <w:pPr>
        <w:spacing w:line="360" w:lineRule="auto"/>
        <w:jc w:val="both"/>
        <w:rPr>
          <w:rFonts w:hint="eastAsia" w:ascii="宋体" w:hAnsi="宋体" w:eastAsia="宋体" w:cs="宋体"/>
          <w:b/>
          <w:color w:val="auto"/>
          <w:sz w:val="32"/>
          <w:szCs w:val="32"/>
          <w:highlight w:val="none"/>
        </w:rPr>
      </w:pPr>
    </w:p>
    <w:p w14:paraId="0A31B1EE">
      <w:pPr>
        <w:pStyle w:val="23"/>
        <w:rPr>
          <w:rFonts w:hint="eastAsia"/>
          <w:color w:val="auto"/>
          <w:highlight w:val="none"/>
        </w:rPr>
      </w:pPr>
    </w:p>
    <w:p w14:paraId="4446B31B">
      <w:pPr>
        <w:spacing w:line="360" w:lineRule="auto"/>
        <w:ind w:firstLine="643" w:firstLineChars="200"/>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项目名称：隆安县城厢镇宝塔村花杨屯三产安置项目土地平整</w:t>
      </w:r>
    </w:p>
    <w:p w14:paraId="63C78A22">
      <w:pPr>
        <w:spacing w:line="360" w:lineRule="auto"/>
        <w:ind w:firstLine="643" w:firstLineChars="200"/>
        <w:jc w:val="left"/>
        <w:rPr>
          <w:rFonts w:hint="eastAsia" w:ascii="仿宋" w:hAnsi="仿宋" w:eastAsia="仿宋" w:cs="仿宋"/>
          <w:b/>
          <w:color w:val="FF0000"/>
          <w:sz w:val="32"/>
          <w:szCs w:val="32"/>
          <w:highlight w:val="none"/>
          <w:lang w:eastAsia="zh-CN"/>
        </w:rPr>
      </w:pPr>
      <w:r>
        <w:rPr>
          <w:rFonts w:hint="eastAsia" w:ascii="仿宋" w:hAnsi="仿宋" w:eastAsia="仿宋" w:cs="仿宋"/>
          <w:b/>
          <w:color w:val="auto"/>
          <w:sz w:val="32"/>
          <w:szCs w:val="32"/>
          <w:highlight w:val="none"/>
          <w:lang w:eastAsia="zh-CN"/>
        </w:rPr>
        <w:t xml:space="preserve">项目编号：NNZC2025-C2-230075-XMZX   </w:t>
      </w:r>
      <w:r>
        <w:rPr>
          <w:rFonts w:hint="eastAsia" w:ascii="仿宋" w:hAnsi="仿宋" w:eastAsia="仿宋" w:cs="仿宋"/>
          <w:b/>
          <w:color w:val="FF0000"/>
          <w:sz w:val="32"/>
          <w:szCs w:val="32"/>
          <w:highlight w:val="none"/>
          <w:lang w:eastAsia="zh-CN"/>
        </w:rPr>
        <w:t xml:space="preserve"> </w:t>
      </w:r>
    </w:p>
    <w:p w14:paraId="45B60152">
      <w:pPr>
        <w:spacing w:line="360" w:lineRule="auto"/>
        <w:ind w:firstLine="643" w:firstLineChars="200"/>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项目所属区划：南宁市</w:t>
      </w:r>
      <w:r>
        <w:rPr>
          <w:rFonts w:hint="eastAsia" w:ascii="仿宋" w:hAnsi="仿宋" w:eastAsia="仿宋" w:cs="仿宋"/>
          <w:b/>
          <w:color w:val="auto"/>
          <w:sz w:val="32"/>
          <w:szCs w:val="32"/>
          <w:highlight w:val="none"/>
          <w:lang w:val="en-US" w:eastAsia="zh-CN"/>
        </w:rPr>
        <w:t>隆安县</w:t>
      </w:r>
    </w:p>
    <w:p w14:paraId="5570E4A9">
      <w:pPr>
        <w:spacing w:line="360" w:lineRule="auto"/>
        <w:ind w:firstLine="643" w:firstLineChars="200"/>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隆安县房屋和征地拆迁中心</w:t>
      </w:r>
    </w:p>
    <w:p w14:paraId="43750EDE">
      <w:pPr>
        <w:spacing w:line="360" w:lineRule="auto"/>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 xml:space="preserve">广西星木工程咨询有限公司 </w:t>
      </w:r>
      <w:r>
        <w:rPr>
          <w:rFonts w:hint="eastAsia" w:ascii="仿宋" w:hAnsi="仿宋" w:eastAsia="仿宋" w:cs="仿宋"/>
          <w:b/>
          <w:color w:val="auto"/>
          <w:sz w:val="32"/>
          <w:szCs w:val="32"/>
          <w:highlight w:val="none"/>
        </w:rPr>
        <w:t xml:space="preserve"> </w:t>
      </w:r>
    </w:p>
    <w:p w14:paraId="25A2C87B">
      <w:pPr>
        <w:outlineLvl w:val="9"/>
        <w:rPr>
          <w:rFonts w:hint="eastAsia"/>
          <w:color w:val="auto"/>
          <w:highlight w:val="none"/>
          <w:lang w:val="en-US" w:eastAsia="zh-CN"/>
        </w:rPr>
      </w:pPr>
    </w:p>
    <w:p w14:paraId="7B67E5E1">
      <w:pPr>
        <w:outlineLvl w:val="9"/>
        <w:rPr>
          <w:rFonts w:hint="eastAsia"/>
          <w:color w:val="auto"/>
          <w:highlight w:val="none"/>
          <w:lang w:val="en-US" w:eastAsia="zh-CN"/>
        </w:rPr>
      </w:pPr>
    </w:p>
    <w:p w14:paraId="47A6C27D">
      <w:pPr>
        <w:spacing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08</w:t>
      </w:r>
      <w:r>
        <w:rPr>
          <w:rFonts w:hint="eastAsia" w:ascii="仿宋" w:hAnsi="仿宋" w:eastAsia="仿宋" w:cs="仿宋"/>
          <w:b/>
          <w:color w:val="auto"/>
          <w:sz w:val="32"/>
          <w:szCs w:val="32"/>
          <w:highlight w:val="none"/>
          <w:lang w:eastAsia="zh-CN"/>
        </w:rPr>
        <w:t>月</w:t>
      </w:r>
      <w:r>
        <w:rPr>
          <w:rFonts w:hint="eastAsia" w:ascii="仿宋" w:hAnsi="仿宋" w:eastAsia="仿宋" w:cs="仿宋"/>
          <w:b/>
          <w:color w:val="auto"/>
          <w:sz w:val="32"/>
          <w:szCs w:val="32"/>
          <w:highlight w:val="none"/>
          <w:lang w:val="en-US" w:eastAsia="zh-CN"/>
        </w:rPr>
        <w:t xml:space="preserve">14日 </w:t>
      </w:r>
    </w:p>
    <w:p w14:paraId="0068F7D0">
      <w:pPr>
        <w:pStyle w:val="23"/>
        <w:rPr>
          <w:rFonts w:hint="eastAsia" w:ascii="仿宋" w:hAnsi="仿宋" w:eastAsia="仿宋" w:cs="仿宋"/>
          <w:b/>
          <w:color w:val="auto"/>
          <w:sz w:val="32"/>
          <w:szCs w:val="32"/>
          <w:highlight w:val="none"/>
          <w:lang w:val="en-US" w:eastAsia="zh-CN"/>
        </w:rPr>
      </w:pPr>
    </w:p>
    <w:p w14:paraId="5B893789">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6DD70B83">
      <w:pPr>
        <w:spacing w:line="360" w:lineRule="auto"/>
        <w:jc w:val="center"/>
        <w:outlineLvl w:val="9"/>
        <w:rPr>
          <w:rFonts w:hint="eastAsia" w:ascii="宋体" w:hAnsi="宋体" w:eastAsia="宋体" w:cs="宋体"/>
          <w:b w:val="0"/>
          <w:color w:val="auto"/>
          <w:sz w:val="44"/>
          <w:szCs w:val="44"/>
          <w:highlight w:val="none"/>
        </w:rPr>
      </w:pPr>
      <w:bookmarkStart w:id="0" w:name="_Toc22635"/>
      <w:bookmarkStart w:id="1" w:name="_Toc15289"/>
      <w:bookmarkStart w:id="2" w:name="_Toc21342"/>
      <w:r>
        <w:rPr>
          <w:rFonts w:hint="eastAsia" w:ascii="宋体" w:hAnsi="宋体" w:eastAsia="宋体" w:cs="宋体"/>
          <w:b/>
          <w:bCs/>
          <w:color w:val="auto"/>
          <w:sz w:val="36"/>
          <w:szCs w:val="36"/>
          <w:highlight w:val="none"/>
        </w:rPr>
        <w:t>目   录</w:t>
      </w:r>
      <w:bookmarkEnd w:id="0"/>
      <w:bookmarkEnd w:id="1"/>
      <w:bookmarkEnd w:id="2"/>
    </w:p>
    <w:p w14:paraId="5589C65F">
      <w:pPr>
        <w:pStyle w:val="21"/>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p>
    <w:p w14:paraId="3988255A">
      <w:pPr>
        <w:pStyle w:val="21"/>
        <w:tabs>
          <w:tab w:val="right" w:leader="dot" w:pos="9746"/>
        </w:tabs>
        <w:spacing w:line="720" w:lineRule="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1BD915">
      <w:pPr>
        <w:pStyle w:val="21"/>
        <w:tabs>
          <w:tab w:val="right" w:leader="dot" w:pos="9746"/>
        </w:tabs>
        <w:spacing w:line="360" w:lineRule="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第二章 </w:t>
      </w:r>
      <w:r>
        <w:rPr>
          <w:rFonts w:hint="eastAsia" w:ascii="宋体" w:hAnsi="宋体" w:eastAsia="宋体" w:cs="宋体"/>
          <w:bCs/>
          <w:color w:val="auto"/>
          <w:sz w:val="28"/>
          <w:szCs w:val="28"/>
          <w:highlight w:val="none"/>
          <w:lang w:val="en-US" w:eastAsia="zh-CN"/>
        </w:rPr>
        <w:t xml:space="preserve">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_Toc15775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E40C083">
      <w:pPr>
        <w:pStyle w:val="21"/>
        <w:tabs>
          <w:tab w:val="right" w:leader="dot" w:pos="9746"/>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4493F2D6">
      <w:pPr>
        <w:pStyle w:val="21"/>
        <w:tabs>
          <w:tab w:val="right" w:leader="dot" w:pos="9746"/>
        </w:tabs>
        <w:spacing w:line="360" w:lineRule="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_Toc14829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29</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2635068">
      <w:pPr>
        <w:pStyle w:val="21"/>
        <w:tabs>
          <w:tab w:val="right" w:leader="dot" w:pos="9746"/>
        </w:tabs>
        <w:spacing w:line="360" w:lineRule="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第五章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_Toc8541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4B6FE8">
      <w:pPr>
        <w:pStyle w:val="21"/>
        <w:tabs>
          <w:tab w:val="right" w:leader="dot" w:pos="9746"/>
        </w:tabs>
        <w:spacing w:line="360" w:lineRule="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72</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B6ED78">
      <w:pPr>
        <w:pStyle w:val="21"/>
        <w:tabs>
          <w:tab w:val="right" w:leader="dot" w:pos="9746"/>
        </w:tabs>
        <w:spacing w:line="360" w:lineRule="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工程量清单（另册）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_Toc13697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73</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F203267">
      <w:pPr>
        <w:pStyle w:val="21"/>
        <w:tabs>
          <w:tab w:val="right" w:leader="dot" w:pos="9746"/>
        </w:tabs>
        <w:spacing w:line="360" w:lineRule="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 xml:space="preserve">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图纸（另册）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38CC42">
      <w:pPr>
        <w:pStyle w:val="21"/>
        <w:tabs>
          <w:tab w:val="right" w:leader="dot" w:pos="9746"/>
        </w:tabs>
        <w:spacing w:line="360" w:lineRule="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_Toc11110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 xml:space="preserve">章 </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质疑、投诉材料格式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_Toc11110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FC0F0A3">
      <w:pPr>
        <w:pStyle w:val="21"/>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68024C85">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1F7F6162">
      <w:pPr>
        <w:pStyle w:val="2"/>
        <w:tabs>
          <w:tab w:val="center" w:pos="4935"/>
          <w:tab w:val="left" w:pos="8490"/>
        </w:tabs>
        <w:spacing w:line="360" w:lineRule="auto"/>
        <w:jc w:val="center"/>
        <w:rPr>
          <w:rFonts w:hint="eastAsia" w:ascii="宋体" w:hAnsi="宋体" w:eastAsia="宋体" w:cs="宋体"/>
          <w:color w:val="auto"/>
          <w:highlight w:val="none"/>
          <w:lang w:eastAsia="zh-CN"/>
        </w:rPr>
      </w:pPr>
      <w:bookmarkStart w:id="3" w:name="_Toc23020"/>
      <w:bookmarkStart w:id="4" w:name="_Toc21181"/>
      <w:bookmarkStart w:id="5" w:name="_Toc2884"/>
      <w:r>
        <w:rPr>
          <w:rFonts w:hint="eastAsia" w:ascii="宋体" w:hAnsi="宋体" w:eastAsia="宋体" w:cs="宋体"/>
          <w:color w:val="auto"/>
          <w:highlight w:val="none"/>
        </w:rPr>
        <w:t>第一章 竞争性磋商公告</w:t>
      </w:r>
      <w:bookmarkEnd w:id="3"/>
      <w:bookmarkEnd w:id="4"/>
      <w:bookmarkEnd w:id="5"/>
      <w:bookmarkStart w:id="6" w:name="_Toc35393629"/>
      <w:bookmarkStart w:id="7" w:name="_Toc44229878"/>
      <w:bookmarkStart w:id="8" w:name="_Toc35393798"/>
      <w:bookmarkStart w:id="9" w:name="_Toc28359012"/>
      <w:bookmarkStart w:id="10" w:name="_Toc28359089"/>
      <w:bookmarkStart w:id="11" w:name="_Toc35393623"/>
      <w:bookmarkStart w:id="12" w:name="_Toc28359004"/>
      <w:bookmarkStart w:id="13" w:name="_Toc28359081"/>
      <w:bookmarkStart w:id="14" w:name="_Toc35393792"/>
    </w:p>
    <w:p w14:paraId="37F0BBD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49A5633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隆安县城厢镇宝塔村花杨屯三产安置项目土地平整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项目的潜在供应商应在广西政府采购云平台（https://www.gcy.zfcg.gxzf.gov.cn/）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10时30分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0332E8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6"/>
      <w:bookmarkEnd w:id="7"/>
      <w:bookmarkEnd w:id="8"/>
      <w:bookmarkEnd w:id="9"/>
      <w:bookmarkEnd w:id="10"/>
    </w:p>
    <w:p w14:paraId="59390379">
      <w:pPr>
        <w:keepNext w:val="0"/>
        <w:keepLines w:val="0"/>
        <w:pageBreakBefore w:val="0"/>
        <w:kinsoku/>
        <w:wordWrap/>
        <w:overflowPunct/>
        <w:topLinePunct w:val="0"/>
        <w:autoSpaceDE/>
        <w:autoSpaceDN/>
        <w:bidi w:val="0"/>
        <w:adjustRightInd/>
        <w:spacing w:line="440" w:lineRule="exact"/>
        <w:ind w:firstLine="404" w:firstLineChars="200"/>
        <w:textAlignment w:val="auto"/>
        <w:rPr>
          <w:rFonts w:hint="eastAsia" w:ascii="宋体" w:hAnsi="宋体" w:cs="宋体"/>
          <w:color w:val="auto"/>
          <w:spacing w:val="-4"/>
          <w:szCs w:val="21"/>
          <w:highlight w:val="none"/>
          <w:lang w:val="en-US" w:eastAsia="zh-CN"/>
        </w:rPr>
      </w:pPr>
      <w:r>
        <w:rPr>
          <w:rFonts w:hint="eastAsia" w:ascii="宋体" w:hAnsi="宋体" w:cs="宋体"/>
          <w:color w:val="auto"/>
          <w:spacing w:val="-4"/>
          <w:szCs w:val="21"/>
          <w:highlight w:val="none"/>
          <w:lang w:eastAsia="zh-CN"/>
        </w:rPr>
        <w:t xml:space="preserve">1.项目编号： </w:t>
      </w:r>
      <w:r>
        <w:rPr>
          <w:rFonts w:hint="eastAsia" w:ascii="宋体" w:hAnsi="宋体" w:cs="宋体"/>
          <w:color w:val="auto"/>
          <w:spacing w:val="-4"/>
          <w:szCs w:val="21"/>
          <w:highlight w:val="none"/>
          <w:lang w:eastAsia="zh-CN"/>
        </w:rPr>
        <w:fldChar w:fldCharType="begin"/>
      </w:r>
      <w:r>
        <w:rPr>
          <w:rFonts w:hint="eastAsia" w:ascii="宋体" w:hAnsi="宋体" w:cs="宋体"/>
          <w:color w:val="auto"/>
          <w:spacing w:val="-4"/>
          <w:szCs w:val="21"/>
          <w:highlight w:val="none"/>
          <w:lang w:eastAsia="zh-CN"/>
        </w:rPr>
        <w:instrText xml:space="preserve"> HYPERLINK "https://www.gcy.zfcg.gxzf.gov.cn/gaea/api/project/flow/redirect?projectId=7220257144991383584&amp;newUrl=https://www.gcy.zfcg.gxzf.gov.cn/micro-app-back-index/blank?_flow_type_=agency&amp;_flow_projectId_=7220257144991383584&amp;_jump_page_type_=project_procurement_management_flow&amp;_app_=zcy.procurement&amp;oldUrl=https://www.gcy.zfcg.gxzf.gov.cn/project-center/_procurement_/project-result-detail/7220257144991383584&amp;utm=web-project-center-front.42c12ca3.0.0.ddb7a07070f611f0b7c601b53c35033f" \t "https://www.gcy.zfcg.gxzf.gov.cn/project-center/_procurement_/self-project/_blank" </w:instrText>
      </w:r>
      <w:r>
        <w:rPr>
          <w:rFonts w:hint="eastAsia" w:ascii="宋体" w:hAnsi="宋体" w:cs="宋体"/>
          <w:color w:val="auto"/>
          <w:spacing w:val="-4"/>
          <w:szCs w:val="21"/>
          <w:highlight w:val="none"/>
          <w:lang w:eastAsia="zh-CN"/>
        </w:rPr>
        <w:fldChar w:fldCharType="separate"/>
      </w:r>
      <w:r>
        <w:rPr>
          <w:rFonts w:hint="eastAsia" w:ascii="宋体" w:hAnsi="宋体" w:cs="宋体"/>
          <w:color w:val="auto"/>
          <w:spacing w:val="-4"/>
          <w:szCs w:val="21"/>
          <w:highlight w:val="none"/>
          <w:lang w:eastAsia="zh-CN"/>
        </w:rPr>
        <w:t>NNZC2025-C2-230075-XMZX</w:t>
      </w:r>
      <w:r>
        <w:rPr>
          <w:rFonts w:hint="eastAsia" w:ascii="宋体" w:hAnsi="宋体" w:cs="宋体"/>
          <w:color w:val="auto"/>
          <w:spacing w:val="-4"/>
          <w:szCs w:val="21"/>
          <w:highlight w:val="none"/>
          <w:lang w:eastAsia="zh-CN"/>
        </w:rPr>
        <w:fldChar w:fldCharType="end"/>
      </w:r>
      <w:r>
        <w:rPr>
          <w:rFonts w:hint="eastAsia" w:ascii="宋体" w:hAnsi="宋体" w:cs="宋体"/>
          <w:color w:val="auto"/>
          <w:spacing w:val="-4"/>
          <w:szCs w:val="21"/>
          <w:highlight w:val="none"/>
          <w:lang w:eastAsia="zh-CN"/>
        </w:rPr>
        <w:t xml:space="preserve">   </w:t>
      </w:r>
    </w:p>
    <w:p w14:paraId="11029B0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隆安县城厢镇宝塔村花杨屯三产安置项目土地平整</w:t>
      </w:r>
    </w:p>
    <w:p w14:paraId="70FC2C8E">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14:paraId="2CFFD6E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1046659.67元</w:t>
      </w:r>
    </w:p>
    <w:p w14:paraId="576B83C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1046659.67元</w:t>
      </w:r>
    </w:p>
    <w:p w14:paraId="418F404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隆安县城厢镇宝塔村花杨屯三产安置项目土地平整</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具体内容详见施工图及工程量清单所包含的内容</w:t>
      </w:r>
      <w:r>
        <w:rPr>
          <w:rFonts w:hint="eastAsia" w:ascii="宋体" w:hAnsi="宋体" w:eastAsia="宋体" w:cs="宋体"/>
          <w:color w:val="auto"/>
          <w:szCs w:val="21"/>
          <w:highlight w:val="none"/>
        </w:rPr>
        <w:t>。</w:t>
      </w:r>
    </w:p>
    <w:p w14:paraId="617AB63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工期</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365</w:t>
      </w:r>
      <w:r>
        <w:rPr>
          <w:rFonts w:hint="eastAsia" w:ascii="宋体" w:hAnsi="宋体" w:cs="宋体"/>
          <w:color w:val="auto"/>
          <w:szCs w:val="21"/>
          <w:highlight w:val="none"/>
          <w:lang w:eastAsia="zh-CN"/>
        </w:rPr>
        <w:t>日历天</w:t>
      </w:r>
      <w:r>
        <w:rPr>
          <w:rFonts w:hint="eastAsia" w:ascii="宋体" w:hAnsi="宋体" w:eastAsia="宋体" w:cs="宋体"/>
          <w:color w:val="auto"/>
          <w:szCs w:val="21"/>
          <w:highlight w:val="none"/>
        </w:rPr>
        <w:t>。</w:t>
      </w:r>
    </w:p>
    <w:p w14:paraId="14D098A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080D878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5" w:name="_Toc44229879"/>
      <w:bookmarkStart w:id="16" w:name="_Toc28359013"/>
      <w:bookmarkStart w:id="17" w:name="_Toc35393799"/>
      <w:bookmarkStart w:id="18" w:name="_Toc28359090"/>
      <w:bookmarkStart w:id="19" w:name="_Toc35393630"/>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14:paraId="76ACA7B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158128C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b/>
          <w:bCs/>
          <w:color w:val="auto"/>
          <w:spacing w:val="0"/>
          <w:w w:val="100"/>
          <w:position w:val="0"/>
          <w:sz w:val="21"/>
          <w:szCs w:val="21"/>
          <w:highlight w:val="none"/>
          <w:lang w:eastAsia="zh-CN"/>
        </w:rPr>
        <w:t>专门面向</w:t>
      </w:r>
      <w:r>
        <w:rPr>
          <w:rFonts w:hint="eastAsia" w:ascii="宋体" w:hAnsi="宋体" w:cs="宋体"/>
          <w:b/>
          <w:bCs/>
          <w:color w:val="auto"/>
          <w:spacing w:val="0"/>
          <w:w w:val="100"/>
          <w:position w:val="0"/>
          <w:sz w:val="21"/>
          <w:szCs w:val="21"/>
          <w:highlight w:val="none"/>
          <w:lang w:val="en-US" w:eastAsia="zh-CN"/>
        </w:rPr>
        <w:t>小微</w:t>
      </w:r>
      <w:r>
        <w:rPr>
          <w:rFonts w:hint="eastAsia" w:ascii="宋体" w:hAnsi="宋体" w:eastAsia="宋体" w:cs="宋体"/>
          <w:b/>
          <w:bCs/>
          <w:color w:val="auto"/>
          <w:spacing w:val="0"/>
          <w:w w:val="100"/>
          <w:position w:val="0"/>
          <w:sz w:val="21"/>
          <w:szCs w:val="21"/>
          <w:highlight w:val="none"/>
          <w:lang w:eastAsia="zh-CN"/>
        </w:rPr>
        <w:t>企业采购的项目（供应商应为</w:t>
      </w:r>
      <w:r>
        <w:rPr>
          <w:rFonts w:hint="eastAsia" w:ascii="宋体" w:hAnsi="宋体" w:cs="宋体"/>
          <w:b/>
          <w:bCs/>
          <w:color w:val="auto"/>
          <w:spacing w:val="0"/>
          <w:w w:val="100"/>
          <w:position w:val="0"/>
          <w:sz w:val="21"/>
          <w:szCs w:val="21"/>
          <w:highlight w:val="none"/>
          <w:lang w:val="en-US" w:eastAsia="zh-CN"/>
        </w:rPr>
        <w:t>小微</w:t>
      </w:r>
      <w:r>
        <w:rPr>
          <w:rFonts w:hint="eastAsia" w:ascii="宋体" w:hAnsi="宋体" w:eastAsia="宋体" w:cs="宋体"/>
          <w:b/>
          <w:bCs/>
          <w:color w:val="auto"/>
          <w:spacing w:val="0"/>
          <w:w w:val="100"/>
          <w:position w:val="0"/>
          <w:sz w:val="21"/>
          <w:szCs w:val="21"/>
          <w:highlight w:val="none"/>
          <w:lang w:eastAsia="zh-CN"/>
        </w:rPr>
        <w:t>企业或监狱企业或残疾人福利性单位）</w:t>
      </w:r>
    </w:p>
    <w:p w14:paraId="4824FBF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6257EAF4">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具备市政公用工程施工总承包叁级（含以上级）资质；具有省级及以上建设行政主管部门颁发的安全生产许可证；在人员、设备、资金等方面具备相应的施工能力；</w:t>
      </w:r>
    </w:p>
    <w:p w14:paraId="7B63E63E">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供应商拟派项目经理具备市政公用工程专业贰级以上(含贰级)注册建造师资格，并具备有效的省级或省级以上建设行政主管部门颁发的安全生产考核合格证书（B类）。本项目不接受有在建、已中标未开工或已列为本项目或其他项目中标候选人第一名的建造师作为项目经理。</w:t>
      </w:r>
    </w:p>
    <w:p w14:paraId="6E6F74AD">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）拟派专职安全员须具备有效的安全生产考核合格证书（C 类），人数不少于1人。</w:t>
      </w:r>
    </w:p>
    <w:p w14:paraId="2D248AE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7601FD87">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49E6D5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5E210D7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1"/>
      <w:bookmarkEnd w:id="12"/>
      <w:bookmarkEnd w:id="13"/>
      <w:bookmarkEnd w:id="14"/>
    </w:p>
    <w:p w14:paraId="1FE52E7E">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0" w:name="_Toc35393624"/>
      <w:bookmarkStart w:id="21" w:name="_Toc28359005"/>
      <w:bookmarkStart w:id="22" w:name="_Toc35393793"/>
      <w:bookmarkStart w:id="23" w:name="_Toc28359082"/>
      <w:r>
        <w:rPr>
          <w:rFonts w:hint="eastAsia" w:ascii="宋体" w:hAnsi="宋体" w:eastAsia="宋体" w:cs="宋体"/>
          <w:color w:val="auto"/>
          <w:szCs w:val="21"/>
          <w:highlight w:val="none"/>
        </w:rPr>
        <w:t>时间：自公告发布之日起。</w:t>
      </w:r>
    </w:p>
    <w:p w14:paraId="5ECDBC8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39DB1107">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1A0C3C0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0"/>
      <w:bookmarkEnd w:id="21"/>
      <w:bookmarkEnd w:id="22"/>
      <w:bookmarkEnd w:id="23"/>
      <w:r>
        <w:rPr>
          <w:rFonts w:hint="eastAsia" w:ascii="宋体" w:hAnsi="宋体" w:eastAsia="宋体" w:cs="宋体"/>
          <w:b/>
          <w:bCs/>
          <w:color w:val="auto"/>
          <w:sz w:val="24"/>
          <w:highlight w:val="none"/>
        </w:rPr>
        <w:t>响应文件提交</w:t>
      </w:r>
    </w:p>
    <w:p w14:paraId="7417227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10时30分</w:t>
      </w:r>
      <w:r>
        <w:rPr>
          <w:rFonts w:hint="eastAsia" w:ascii="宋体" w:hAnsi="宋体" w:eastAsia="宋体" w:cs="宋体"/>
          <w:color w:val="auto"/>
          <w:szCs w:val="21"/>
          <w:highlight w:val="none"/>
        </w:rPr>
        <w:t>。</w:t>
      </w:r>
    </w:p>
    <w:p w14:paraId="6711AF3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01962D00">
      <w:pPr>
        <w:widowControl/>
        <w:spacing w:line="360" w:lineRule="auto"/>
        <w:ind w:firstLine="420" w:firstLineChars="200"/>
        <w:jc w:val="left"/>
        <w:rPr>
          <w:rFonts w:hint="eastAsia" w:ascii="宋体" w:hAnsi="宋体"/>
          <w:b/>
          <w:bCs/>
          <w:color w:val="auto"/>
          <w:szCs w:val="21"/>
        </w:rPr>
      </w:pPr>
      <w:r>
        <w:rPr>
          <w:rFonts w:hint="eastAsia" w:ascii="宋体" w:hAnsi="宋体"/>
          <w:color w:val="auto"/>
          <w:szCs w:val="21"/>
        </w:rPr>
        <w:t>（1）</w:t>
      </w:r>
      <w:r>
        <w:rPr>
          <w:rFonts w:hint="eastAsia" w:ascii="宋体" w:hAnsi="宋体"/>
          <w:color w:val="auto"/>
          <w:szCs w:val="21"/>
          <w:highlight w:val="none"/>
        </w:rPr>
        <w:t>响应文件</w:t>
      </w:r>
      <w:r>
        <w:rPr>
          <w:rFonts w:hint="eastAsia" w:ascii="宋体" w:hAnsi="宋体"/>
          <w:color w:val="auto"/>
          <w:szCs w:val="21"/>
        </w:rPr>
        <w:t>提交方式：本项目为南宁市全流程电子化项目，通过广西政府采购云平台（ https://www.gcy.zfcg.gxzf.gov.cn/）实行在线电子投标，供应商应先安装“新版客户端”【请自行前往广西政府采购网（访问地址http://www.ccgp-guangxi.gov.cn/）—办事服务—下载专区】，并按照本项目招标文件和广西政府采购云平台的要求编制、加密后在投标截止时间前通过网络上传至广西政府采购云平台，</w:t>
      </w:r>
      <w:r>
        <w:rPr>
          <w:rFonts w:hint="eastAsia" w:ascii="宋体" w:hAnsi="宋体"/>
          <w:b/>
          <w:color w:val="auto"/>
          <w:szCs w:val="21"/>
        </w:rPr>
        <w:t>供应商在</w:t>
      </w:r>
      <w:r>
        <w:rPr>
          <w:rFonts w:hint="eastAsia" w:ascii="宋体" w:hAnsi="宋体"/>
          <w:b/>
          <w:bCs/>
          <w:color w:val="auto"/>
          <w:szCs w:val="21"/>
        </w:rPr>
        <w:t>广西政府采购云平台提交电子版响应文件时，请填写参加远程开标活动经办人联系方式</w:t>
      </w:r>
      <w:r>
        <w:rPr>
          <w:rFonts w:hint="eastAsia" w:ascii="宋体" w:hAnsi="宋体" w:eastAsia="宋体" w:cs="Times New Roman"/>
          <w:b/>
          <w:bCs/>
          <w:color w:val="auto"/>
          <w:szCs w:val="21"/>
        </w:rPr>
        <w:t>）。  </w:t>
      </w:r>
    </w:p>
    <w:p w14:paraId="42155DF7">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（2）未进行网上注册并办理数字证书（CA认证）的供应商将无法参与本项目政府采购活动，潜在供应商应当在投标截止时间前，完成电子交易平台上的CA数字证书办理及</w:t>
      </w:r>
      <w:r>
        <w:rPr>
          <w:rFonts w:hint="eastAsia" w:ascii="宋体" w:hAnsi="宋体"/>
          <w:color w:val="auto"/>
          <w:szCs w:val="21"/>
          <w:highlight w:val="none"/>
        </w:rPr>
        <w:t>响应文件</w:t>
      </w:r>
      <w:r>
        <w:rPr>
          <w:rFonts w:hint="eastAsia" w:ascii="宋体" w:hAnsi="宋体"/>
          <w:color w:val="auto"/>
          <w:szCs w:val="21"/>
        </w:rPr>
        <w:t>的提交。完成CA数字证书办理预计7日左右，</w:t>
      </w:r>
      <w:r>
        <w:rPr>
          <w:rFonts w:hint="eastAsia" w:ascii="宋体" w:hAnsi="宋体"/>
          <w:bCs/>
          <w:color w:val="auto"/>
          <w:szCs w:val="21"/>
          <w:lang w:val="en-US" w:eastAsia="zh-CN"/>
        </w:rPr>
        <w:t>供应商</w:t>
      </w:r>
      <w:r>
        <w:rPr>
          <w:rFonts w:hint="eastAsia" w:ascii="宋体" w:hAnsi="宋体" w:cs="宋体"/>
          <w:color w:val="auto"/>
          <w:szCs w:val="21"/>
        </w:rPr>
        <w:t>只需办理其中一家CA数字证书及签章，</w:t>
      </w:r>
      <w:r>
        <w:rPr>
          <w:rFonts w:hint="eastAsia" w:ascii="宋体" w:hAnsi="宋体"/>
          <w:color w:val="auto"/>
          <w:szCs w:val="21"/>
        </w:rPr>
        <w:t>建议各</w:t>
      </w:r>
      <w:r>
        <w:rPr>
          <w:rFonts w:hint="eastAsia" w:ascii="宋体" w:hAnsi="宋体"/>
          <w:bCs/>
          <w:color w:val="auto"/>
          <w:szCs w:val="21"/>
          <w:lang w:val="en-US" w:eastAsia="zh-CN"/>
        </w:rPr>
        <w:t>供应商</w:t>
      </w:r>
      <w:r>
        <w:rPr>
          <w:rFonts w:hint="eastAsia" w:ascii="宋体" w:hAnsi="宋体"/>
          <w:color w:val="auto"/>
          <w:szCs w:val="21"/>
        </w:rPr>
        <w:t>抓紧时间办理。</w:t>
      </w:r>
    </w:p>
    <w:p w14:paraId="44617B40">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（3）为确保网上操作合法、有效和安全，请投标供应商确保在电子投标过程中能够对相关数据电文进行加密和使用电子签章，妥善保管CA数字证书并使用有效的CA数字证书参与整个招标活动。</w:t>
      </w:r>
    </w:p>
    <w:p w14:paraId="2E8C1467">
      <w:pPr>
        <w:spacing w:line="360" w:lineRule="auto"/>
        <w:ind w:firstLine="420" w:firstLineChars="200"/>
        <w:rPr>
          <w:rFonts w:hint="eastAsia" w:ascii="宋体" w:hAnsi="宋体"/>
          <w:bCs/>
          <w:color w:val="auto"/>
          <w:szCs w:val="21"/>
        </w:rPr>
      </w:pPr>
      <w:r>
        <w:rPr>
          <w:rFonts w:hint="eastAsia" w:ascii="宋体" w:hAnsi="宋体"/>
          <w:bCs/>
          <w:color w:val="auto"/>
          <w:szCs w:val="21"/>
        </w:rPr>
        <w:t>注：</w:t>
      </w:r>
      <w:r>
        <w:rPr>
          <w:rFonts w:hint="eastAsia" w:ascii="宋体" w:hAnsi="宋体"/>
          <w:bCs/>
          <w:color w:val="auto"/>
          <w:szCs w:val="21"/>
          <w:lang w:val="en-US" w:eastAsia="zh-CN"/>
        </w:rPr>
        <w:t>供应商</w:t>
      </w:r>
      <w:r>
        <w:rPr>
          <w:rFonts w:hint="eastAsia" w:ascii="宋体" w:hAnsi="宋体"/>
          <w:bCs/>
          <w:color w:val="auto"/>
          <w:szCs w:val="21"/>
        </w:rPr>
        <w:t>应当在投标截止时间前完成电子</w:t>
      </w:r>
      <w:r>
        <w:rPr>
          <w:rFonts w:hint="eastAsia" w:ascii="宋体" w:hAnsi="宋体"/>
          <w:color w:val="auto"/>
          <w:szCs w:val="21"/>
          <w:highlight w:val="none"/>
        </w:rPr>
        <w:t>响应文件</w:t>
      </w:r>
      <w:r>
        <w:rPr>
          <w:rFonts w:hint="eastAsia" w:ascii="宋体" w:hAnsi="宋体"/>
          <w:bCs/>
          <w:color w:val="auto"/>
          <w:szCs w:val="21"/>
        </w:rPr>
        <w:t>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21C9C54">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（4）开标地点：本次</w:t>
      </w:r>
      <w:r>
        <w:rPr>
          <w:rFonts w:hint="eastAsia" w:ascii="宋体" w:hAnsi="宋体"/>
          <w:color w:val="auto"/>
          <w:szCs w:val="21"/>
          <w:lang w:val="en-US" w:eastAsia="zh-CN"/>
        </w:rPr>
        <w:t>采购</w:t>
      </w:r>
      <w:r>
        <w:rPr>
          <w:rFonts w:hint="eastAsia" w:ascii="宋体" w:hAnsi="宋体"/>
          <w:color w:val="auto"/>
          <w:szCs w:val="21"/>
        </w:rPr>
        <w:t>在广西政府采购云平台电子开标大厅开标。</w:t>
      </w:r>
    </w:p>
    <w:p w14:paraId="57773FDA">
      <w:pPr>
        <w:snapToGrid w:val="0"/>
        <w:spacing w:line="360" w:lineRule="auto"/>
        <w:ind w:firstLine="420" w:firstLineChars="200"/>
        <w:rPr>
          <w:rFonts w:hint="eastAsia" w:ascii="宋体" w:hAnsi="宋体" w:cs="宋体"/>
          <w:color w:val="auto"/>
          <w:kern w:val="0"/>
          <w:szCs w:val="21"/>
        </w:rPr>
      </w:pPr>
      <w:r>
        <w:rPr>
          <w:rStyle w:val="44"/>
          <w:rFonts w:hint="eastAsia"/>
          <w:color w:val="auto"/>
          <w:sz w:val="21"/>
          <w:szCs w:val="21"/>
        </w:rPr>
        <w:t>（5）因未注册入库</w:t>
      </w:r>
      <w:r>
        <w:rPr>
          <w:rStyle w:val="44"/>
          <w:rFonts w:hint="eastAsia" w:ascii="宋体" w:hAnsi="宋体" w:eastAsia="宋体" w:cs="宋体"/>
          <w:color w:val="auto"/>
          <w:sz w:val="21"/>
          <w:szCs w:val="21"/>
        </w:rPr>
        <w:t>、未办理CA数字证书、CA证书故障、操作不当等原因造成无法参与或磋商失败等后果由供应商自行承担。</w:t>
      </w:r>
    </w:p>
    <w:p w14:paraId="0FD70C92">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6</w:t>
      </w:r>
      <w:r>
        <w:rPr>
          <w:rFonts w:hint="eastAsia" w:ascii="宋体" w:hAnsi="宋体" w:cs="宋体"/>
          <w:color w:val="auto"/>
          <w:kern w:val="0"/>
          <w:szCs w:val="21"/>
        </w:rPr>
        <w:t>）CA证书在线解密：供应商投标时，需携带制作投标文件时用来加密的有效数字证书（CA认证）登录</w:t>
      </w:r>
      <w:r>
        <w:rPr>
          <w:rFonts w:hint="eastAsia" w:ascii="宋体" w:hAnsi="宋体"/>
          <w:color w:val="auto"/>
          <w:szCs w:val="21"/>
        </w:rPr>
        <w:t>广西政府采购云平台</w:t>
      </w:r>
      <w:r>
        <w:rPr>
          <w:rFonts w:hint="eastAsia" w:ascii="宋体" w:hAnsi="宋体" w:cs="宋体"/>
          <w:color w:val="auto"/>
          <w:kern w:val="0"/>
          <w:szCs w:val="21"/>
        </w:rPr>
        <w:t>电子开标大厅现场按规定时间对加密的投标文件进行解密，未能按要求进行解密的，由此产生的后果由</w:t>
      </w:r>
      <w:r>
        <w:rPr>
          <w:rFonts w:hint="eastAsia" w:ascii="宋体" w:hAnsi="宋体"/>
          <w:bCs/>
          <w:color w:val="auto"/>
          <w:szCs w:val="21"/>
          <w:lang w:val="en-US" w:eastAsia="zh-CN"/>
        </w:rPr>
        <w:t>供应商</w:t>
      </w:r>
      <w:r>
        <w:rPr>
          <w:rFonts w:hint="eastAsia" w:ascii="宋体" w:hAnsi="宋体" w:cs="宋体"/>
          <w:color w:val="auto"/>
          <w:kern w:val="0"/>
          <w:szCs w:val="21"/>
        </w:rPr>
        <w:t>自行承担。</w:t>
      </w:r>
    </w:p>
    <w:p w14:paraId="7738E67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61B0603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10时30分</w:t>
      </w:r>
    </w:p>
    <w:p w14:paraId="3E08F3F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s="宋体"/>
          <w:color w:val="auto"/>
          <w:szCs w:val="21"/>
          <w:highlight w:val="none"/>
          <w:u w:val="single"/>
          <w:lang w:val="en-US" w:eastAsia="zh-CN"/>
        </w:rPr>
        <w:t>广西</w:t>
      </w:r>
      <w:r>
        <w:rPr>
          <w:rFonts w:hint="eastAsia" w:ascii="宋体" w:hAnsi="宋体" w:eastAsia="宋体" w:cs="宋体"/>
          <w:color w:val="auto"/>
          <w:szCs w:val="21"/>
          <w:highlight w:val="none"/>
          <w:u w:val="single"/>
        </w:rPr>
        <w:t>政府采购云平台开标大厅</w:t>
      </w:r>
    </w:p>
    <w:p w14:paraId="0B3EA3A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4" w:name="_Toc35393625"/>
      <w:bookmarkStart w:id="25" w:name="_Toc28359084"/>
      <w:bookmarkStart w:id="26" w:name="_Toc35393794"/>
      <w:bookmarkStart w:id="27" w:name="_Toc28359007"/>
      <w:r>
        <w:rPr>
          <w:rFonts w:hint="eastAsia" w:ascii="宋体" w:hAnsi="宋体" w:eastAsia="宋体" w:cs="宋体"/>
          <w:b/>
          <w:bCs/>
          <w:color w:val="auto"/>
          <w:sz w:val="24"/>
          <w:highlight w:val="none"/>
        </w:rPr>
        <w:t>六、公告期限</w:t>
      </w:r>
      <w:bookmarkEnd w:id="24"/>
      <w:bookmarkEnd w:id="25"/>
      <w:bookmarkEnd w:id="26"/>
      <w:bookmarkEnd w:id="27"/>
    </w:p>
    <w:p w14:paraId="023FA3B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CAEBF04">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8" w:name="_Toc35393626"/>
      <w:bookmarkStart w:id="29" w:name="_Toc35393795"/>
      <w:r>
        <w:rPr>
          <w:rFonts w:hint="eastAsia" w:ascii="宋体" w:hAnsi="宋体" w:eastAsia="宋体" w:cs="宋体"/>
          <w:b/>
          <w:bCs/>
          <w:color w:val="auto"/>
          <w:sz w:val="24"/>
          <w:highlight w:val="none"/>
        </w:rPr>
        <w:t>七、其他补充事宜</w:t>
      </w:r>
      <w:bookmarkEnd w:id="28"/>
      <w:bookmarkEnd w:id="29"/>
    </w:p>
    <w:p w14:paraId="5E43572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3A92EA2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w:t>
      </w:r>
    </w:p>
    <w:p w14:paraId="33BCD3A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http://www.ccgp-guangxi.gov.cn/site/detail?parentId=66601&amp;articleId=o/QkAVvkOyvdttFkyEK+5w==</w:t>
      </w:r>
    </w:p>
    <w:p w14:paraId="2CCB77B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0" w:name="_Hlk37429585"/>
      <w:r>
        <w:rPr>
          <w:rFonts w:hint="eastAsia" w:ascii="宋体" w:hAnsi="宋体" w:eastAsia="宋体" w:cs="宋体"/>
          <w:color w:val="auto"/>
          <w:kern w:val="0"/>
          <w:szCs w:val="21"/>
          <w:highlight w:val="none"/>
        </w:rPr>
        <w:t>3.</w:t>
      </w:r>
      <w:bookmarkStart w:id="31" w:name="_Hlk37429595"/>
      <w:r>
        <w:rPr>
          <w:rFonts w:hint="eastAsia" w:ascii="宋体" w:hAnsi="宋体" w:eastAsia="宋体" w:cs="宋体"/>
          <w:color w:val="auto"/>
          <w:kern w:val="0"/>
          <w:szCs w:val="21"/>
          <w:highlight w:val="none"/>
        </w:rPr>
        <w:t>网上查询地址</w:t>
      </w:r>
    </w:p>
    <w:bookmarkEnd w:id="30"/>
    <w:bookmarkEnd w:id="31"/>
    <w:p w14:paraId="4BEEE57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eastAsia="宋体" w:cs="宋体"/>
          <w:color w:val="auto"/>
          <w:kern w:val="0"/>
          <w:szCs w:val="21"/>
          <w:highlight w:val="none"/>
          <w:lang w:eastAsia="zh-CN"/>
        </w:rPr>
      </w:pPr>
      <w:bookmarkStart w:id="32"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p>
    <w:p w14:paraId="2217471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2"/>
    <w:p w14:paraId="12C315E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74754F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5528BCD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16822D5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2F0225E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0628077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7F727DD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7D1983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6.若对项目采购电子交易系统操作有疑问，可登录“政采云”平台（https://www.zcygov.cn/），点击右侧咨询小采，获取采小蜜智能服务管家帮助，或拨打政采云服务热线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3835714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3F5B994C">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3" w:name="_Toc15775"/>
      <w:bookmarkStart w:id="34" w:name="_Toc20817"/>
      <w:bookmarkStart w:id="35" w:name="_Toc24059"/>
      <w:r>
        <w:rPr>
          <w:rFonts w:hint="eastAsia" w:ascii="宋体" w:hAnsi="宋体" w:eastAsia="宋体" w:cs="宋体"/>
          <w:color w:val="auto"/>
          <w:szCs w:val="21"/>
          <w:highlight w:val="none"/>
        </w:rPr>
        <w:t>1.采购人信息</w:t>
      </w:r>
    </w:p>
    <w:p w14:paraId="1DDFF20E">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隆安县房屋和征地拆迁中心</w:t>
      </w:r>
    </w:p>
    <w:p w14:paraId="18324BEF">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val="en-US" w:eastAsia="zh-CN"/>
        </w:rPr>
        <w:t>隆安县</w:t>
      </w:r>
      <w:r>
        <w:rPr>
          <w:rFonts w:hint="eastAsia" w:ascii="宋体" w:hAnsi="宋体" w:cs="宋体"/>
          <w:color w:val="auto"/>
          <w:szCs w:val="21"/>
          <w:highlight w:val="none"/>
          <w:lang w:eastAsia="zh-CN"/>
        </w:rPr>
        <w:t>城厢镇蝶城路456号</w:t>
      </w:r>
    </w:p>
    <w:p w14:paraId="2B95A703">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庞工</w:t>
      </w:r>
    </w:p>
    <w:p w14:paraId="0CC059AE">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0771-6520986</w:t>
      </w:r>
    </w:p>
    <w:p w14:paraId="70D38AA1">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24119CE2">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广西星木工程咨询有限公司</w:t>
      </w:r>
    </w:p>
    <w:p w14:paraId="17BD623B">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南宁市青秀区佛子岭路18号德利国际·东盟文化广场B1栋十五层1508、1509号办公室</w:t>
      </w:r>
    </w:p>
    <w:p w14:paraId="3888F93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韦工</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0771-3132669</w:t>
      </w:r>
    </w:p>
    <w:p w14:paraId="726A3E4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4669C036">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韦工</w:t>
      </w:r>
    </w:p>
    <w:p w14:paraId="1ABC8942">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0771-3132669</w:t>
      </w:r>
    </w:p>
    <w:p w14:paraId="705FBA1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71D9016B">
      <w:pPr>
        <w:pStyle w:val="9"/>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403A6780">
      <w:pPr>
        <w:pStyle w:val="9"/>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2C46F983">
      <w:pPr>
        <w:pStyle w:val="9"/>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14:paraId="241DE6E9">
      <w:pPr>
        <w:pStyle w:val="9"/>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6B209BF7">
      <w:pPr>
        <w:pStyle w:val="9"/>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4898A952">
      <w:pPr>
        <w:pStyle w:val="9"/>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广西星木工程咨询有限公司</w:t>
      </w:r>
    </w:p>
    <w:p w14:paraId="54203A85">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964"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08月14日</w:t>
      </w:r>
    </w:p>
    <w:p w14:paraId="261DA8CB">
      <w:pPr>
        <w:pStyle w:val="2"/>
        <w:spacing w:line="36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3"/>
      <w:bookmarkEnd w:id="34"/>
      <w:bookmarkEnd w:id="35"/>
    </w:p>
    <w:p w14:paraId="6E1F5EA4">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1E21F1E1">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4845514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4E7B9720">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26CCA1E8">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4C5ABB8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 如投标人投标产品存在侵犯他人的知识产权或者专利成果行为的，应承担相应法律责任。</w:t>
      </w:r>
    </w:p>
    <w:p w14:paraId="17318A52">
      <w:pPr>
        <w:outlineLvl w:val="9"/>
        <w:rPr>
          <w:rFonts w:hint="eastAsia" w:ascii="宋体" w:hAnsi="宋体"/>
          <w:color w:val="auto"/>
          <w:highlight w:val="none"/>
          <w:lang w:val="en-US" w:eastAsia="zh-CN"/>
        </w:rPr>
      </w:pPr>
    </w:p>
    <w:p w14:paraId="77B4C7C9">
      <w:pPr>
        <w:outlineLvl w:val="9"/>
        <w:rPr>
          <w:rFonts w:hint="eastAsia"/>
          <w:lang w:val="en-US" w:eastAsia="zh-CN"/>
        </w:rPr>
      </w:pPr>
    </w:p>
    <w:p w14:paraId="5298DD8C">
      <w:pPr>
        <w:outlineLvl w:val="9"/>
        <w:rPr>
          <w:rFonts w:hint="eastAsia"/>
          <w:lang w:val="en-US" w:eastAsia="zh-CN"/>
        </w:rPr>
      </w:pPr>
    </w:p>
    <w:p w14:paraId="1CC47F59">
      <w:pPr>
        <w:outlineLvl w:val="9"/>
        <w:rPr>
          <w:rFonts w:hint="default"/>
          <w:lang w:val="en-US" w:eastAsia="zh-CN"/>
        </w:rPr>
      </w:pPr>
    </w:p>
    <w:p w14:paraId="29BBB94F">
      <w:pPr>
        <w:outlineLvl w:val="9"/>
        <w:rPr>
          <w:rFonts w:hint="eastAsia" w:ascii="宋体" w:hAnsi="宋体"/>
          <w:color w:val="auto"/>
          <w:highlight w:val="none"/>
          <w:lang w:val="en-US" w:eastAsia="zh-CN"/>
        </w:rPr>
      </w:pPr>
    </w:p>
    <w:p w14:paraId="1FBCE407">
      <w:pPr>
        <w:outlineLvl w:val="9"/>
        <w:rPr>
          <w:rFonts w:hint="default"/>
          <w:lang w:val="en-US" w:eastAsia="zh-CN"/>
        </w:rPr>
      </w:pPr>
    </w:p>
    <w:p w14:paraId="276A1ECE">
      <w:pPr>
        <w:outlineLvl w:val="9"/>
        <w:rPr>
          <w:rFonts w:hint="eastAsia"/>
          <w:lang w:val="en-US" w:eastAsia="zh-CN"/>
        </w:rPr>
      </w:pPr>
    </w:p>
    <w:p w14:paraId="1B45611A">
      <w:pPr>
        <w:outlineLvl w:val="9"/>
        <w:rPr>
          <w:rFonts w:hint="eastAsia" w:ascii="宋体" w:hAnsi="宋体"/>
          <w:color w:val="auto"/>
          <w:highlight w:val="none"/>
        </w:rPr>
      </w:pPr>
    </w:p>
    <w:p w14:paraId="5202BBD7">
      <w:pPr>
        <w:outlineLvl w:val="9"/>
        <w:rPr>
          <w:rFonts w:hint="eastAsia" w:ascii="宋体" w:hAnsi="宋体"/>
          <w:color w:val="auto"/>
          <w:highlight w:val="none"/>
        </w:rPr>
      </w:pPr>
    </w:p>
    <w:p w14:paraId="0F95F4AC">
      <w:pPr>
        <w:outlineLvl w:val="9"/>
        <w:rPr>
          <w:rFonts w:hint="eastAsia" w:ascii="宋体" w:hAnsi="宋体"/>
          <w:color w:val="auto"/>
          <w:highlight w:val="none"/>
        </w:rPr>
      </w:pPr>
    </w:p>
    <w:p w14:paraId="02240FA2">
      <w:pPr>
        <w:outlineLvl w:val="9"/>
        <w:rPr>
          <w:rFonts w:hint="eastAsia" w:ascii="宋体" w:hAnsi="宋体"/>
          <w:color w:val="auto"/>
          <w:highlight w:val="none"/>
        </w:rPr>
      </w:pPr>
    </w:p>
    <w:p w14:paraId="7B761D7E">
      <w:pPr>
        <w:outlineLvl w:val="9"/>
        <w:rPr>
          <w:rFonts w:hint="eastAsia" w:ascii="宋体" w:hAnsi="宋体"/>
          <w:color w:val="auto"/>
          <w:highlight w:val="none"/>
        </w:rPr>
      </w:pPr>
    </w:p>
    <w:p w14:paraId="0C0828EB">
      <w:pPr>
        <w:outlineLvl w:val="9"/>
        <w:rPr>
          <w:rFonts w:hint="eastAsia" w:ascii="宋体" w:hAnsi="宋体"/>
          <w:color w:val="auto"/>
          <w:highlight w:val="none"/>
        </w:rPr>
      </w:pPr>
    </w:p>
    <w:p w14:paraId="7397E653">
      <w:pPr>
        <w:outlineLvl w:val="9"/>
        <w:rPr>
          <w:rFonts w:hint="eastAsia" w:ascii="宋体" w:hAnsi="宋体"/>
          <w:color w:val="auto"/>
          <w:highlight w:val="none"/>
        </w:rPr>
      </w:pPr>
    </w:p>
    <w:p w14:paraId="0FD2196C">
      <w:pPr>
        <w:outlineLvl w:val="9"/>
        <w:rPr>
          <w:rFonts w:hint="eastAsia" w:ascii="宋体" w:hAnsi="宋体"/>
          <w:color w:val="auto"/>
          <w:highlight w:val="none"/>
        </w:rPr>
      </w:pPr>
    </w:p>
    <w:p w14:paraId="151C617C">
      <w:pPr>
        <w:outlineLvl w:val="9"/>
        <w:rPr>
          <w:rFonts w:hint="eastAsia" w:ascii="宋体" w:hAnsi="宋体"/>
          <w:color w:val="auto"/>
          <w:highlight w:val="none"/>
        </w:rPr>
      </w:pPr>
    </w:p>
    <w:p w14:paraId="3797C845">
      <w:pPr>
        <w:outlineLvl w:val="9"/>
        <w:rPr>
          <w:rFonts w:hint="eastAsia" w:ascii="宋体" w:hAnsi="宋体"/>
          <w:color w:val="auto"/>
          <w:highlight w:val="none"/>
        </w:rPr>
      </w:pPr>
    </w:p>
    <w:p w14:paraId="2D8B84E7">
      <w:pPr>
        <w:outlineLvl w:val="9"/>
        <w:rPr>
          <w:rFonts w:hint="eastAsia" w:ascii="宋体" w:hAnsi="宋体"/>
          <w:color w:val="auto"/>
          <w:highlight w:val="none"/>
        </w:rPr>
      </w:pPr>
    </w:p>
    <w:p w14:paraId="227AEFFC">
      <w:pPr>
        <w:outlineLvl w:val="9"/>
        <w:rPr>
          <w:rFonts w:hint="eastAsia" w:ascii="宋体" w:hAnsi="宋体"/>
          <w:color w:val="auto"/>
          <w:highlight w:val="none"/>
        </w:rPr>
      </w:pPr>
    </w:p>
    <w:p w14:paraId="7CBCF038">
      <w:pPr>
        <w:outlineLvl w:val="9"/>
        <w:rPr>
          <w:rFonts w:hint="eastAsia"/>
          <w:color w:val="auto"/>
          <w:highlight w:val="none"/>
        </w:rPr>
      </w:pPr>
    </w:p>
    <w:p w14:paraId="2B4A4DB3">
      <w:pPr>
        <w:outlineLvl w:val="9"/>
        <w:rPr>
          <w:rFonts w:hint="eastAsia" w:ascii="宋体" w:hAnsi="宋体"/>
          <w:color w:val="auto"/>
          <w:highlight w:val="none"/>
        </w:rPr>
      </w:pPr>
    </w:p>
    <w:tbl>
      <w:tblPr>
        <w:tblStyle w:val="24"/>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502"/>
        <w:gridCol w:w="563"/>
        <w:gridCol w:w="539"/>
        <w:gridCol w:w="3527"/>
        <w:gridCol w:w="1418"/>
        <w:gridCol w:w="1384"/>
      </w:tblGrid>
      <w:tr w14:paraId="61B4B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7DDC8EDC">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bookmarkStart w:id="618" w:name="_GoBack"/>
            <w:bookmarkEnd w:id="618"/>
          </w:p>
        </w:tc>
      </w:tr>
      <w:tr w14:paraId="629D7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5CEDF0A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D7B02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FDF1BC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01CA982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37D559B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7EE19F2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D595F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最高限价</w:t>
            </w:r>
            <w:r>
              <w:rPr>
                <w:rFonts w:hint="eastAsia" w:ascii="宋体" w:hAnsi="宋体" w:eastAsia="宋体" w:cs="宋体"/>
                <w:color w:val="auto"/>
                <w:szCs w:val="21"/>
                <w:highlight w:val="none"/>
              </w:rPr>
              <w:t>（元）</w:t>
            </w:r>
          </w:p>
          <w:p w14:paraId="787FB84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265C9C8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olor w:val="auto"/>
                <w:sz w:val="18"/>
                <w:szCs w:val="18"/>
                <w:highlight w:val="none"/>
              </w:rPr>
              <w:t>中小企业划分标准所属行业名称（行业名称及划分见本章附件2）</w:t>
            </w:r>
          </w:p>
        </w:tc>
      </w:tr>
      <w:tr w14:paraId="1932E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6" w:hRule="atLeast"/>
          <w:jc w:val="center"/>
        </w:trPr>
        <w:tc>
          <w:tcPr>
            <w:tcW w:w="545" w:type="dxa"/>
            <w:vMerge w:val="continue"/>
            <w:tcBorders>
              <w:left w:val="single" w:color="auto" w:sz="4" w:space="0"/>
              <w:right w:val="single" w:color="auto" w:sz="4" w:space="0"/>
            </w:tcBorders>
            <w:noWrap w:val="0"/>
            <w:vAlign w:val="top"/>
          </w:tcPr>
          <w:p w14:paraId="6F3A4B2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0D9C77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378A406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隆安县城厢镇宝塔村花杨屯三产安置项目土地平整 </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5CBAA8E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539" w:type="dxa"/>
            <w:tcBorders>
              <w:top w:val="single" w:color="auto" w:sz="4" w:space="0"/>
              <w:left w:val="single" w:color="auto" w:sz="4" w:space="0"/>
              <w:bottom w:val="single" w:color="auto" w:sz="4" w:space="0"/>
              <w:right w:val="single" w:color="auto" w:sz="4" w:space="0"/>
            </w:tcBorders>
            <w:noWrap w:val="0"/>
            <w:vAlign w:val="center"/>
          </w:tcPr>
          <w:p w14:paraId="0AC1121F">
            <w:pPr>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1DC42B7D">
            <w:pPr>
              <w:spacing w:line="4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1.建设地点：隆安县城厢镇宝塔村</w:t>
            </w:r>
            <w:r>
              <w:rPr>
                <w:rFonts w:hint="eastAsia" w:ascii="宋体" w:hAnsi="宋体" w:cs="宋体"/>
                <w:color w:val="auto"/>
                <w:szCs w:val="21"/>
                <w:highlight w:val="none"/>
                <w:lang w:eastAsia="zh-CN"/>
              </w:rPr>
              <w:t>。</w:t>
            </w:r>
          </w:p>
          <w:p w14:paraId="66890C60">
            <w:pPr>
              <w:spacing w:line="48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建设内容</w:t>
            </w:r>
            <w:r>
              <w:rPr>
                <w:rFonts w:hint="eastAsia" w:ascii="宋体" w:hAnsi="宋体" w:eastAsia="宋体" w:cs="宋体"/>
                <w:color w:val="auto"/>
                <w:szCs w:val="21"/>
                <w:highlight w:val="none"/>
              </w:rPr>
              <w:t>：</w:t>
            </w:r>
            <w:r>
              <w:rPr>
                <w:rFonts w:hint="eastAsia"/>
                <w:color w:val="auto"/>
                <w:highlight w:val="none"/>
              </w:rPr>
              <w:t>具体详见施工图及工程量清单所包含的所有内容</w:t>
            </w:r>
            <w:r>
              <w:rPr>
                <w:rFonts w:hint="eastAsia"/>
                <w:color w:val="auto"/>
                <w:highlight w:val="none"/>
                <w:lang w:eastAsia="zh-CN"/>
              </w:rPr>
              <w:t>。</w:t>
            </w:r>
          </w:p>
          <w:p w14:paraId="2403BC42">
            <w:pPr>
              <w:spacing w:line="48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、本工程采用的技术规范</w:t>
            </w:r>
          </w:p>
          <w:p w14:paraId="669067CE">
            <w:pPr>
              <w:spacing w:line="48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本工程执行国家现行的施工及验收规范、验评标准及强制性标准条文、以及施工图纸载明的其他有关规范标准。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7F02F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1046659.67</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432FFF0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2000B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CE5573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792B7DEF">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一、合同签订期：自成交通知书发出之日起25日内</w:t>
            </w:r>
            <w:r>
              <w:rPr>
                <w:rFonts w:hint="eastAsia" w:ascii="宋体" w:hAnsi="宋体" w:cs="Times New Roman"/>
                <w:color w:val="auto"/>
                <w:szCs w:val="21"/>
                <w:highlight w:val="none"/>
                <w:lang w:val="en-US" w:eastAsia="zh-CN"/>
              </w:rPr>
              <w:t>。</w:t>
            </w:r>
          </w:p>
          <w:p w14:paraId="7C1BAE0C">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rPr>
              <w:t>合同履行期限</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工期</w:t>
            </w:r>
            <w:r>
              <w:rPr>
                <w:rFonts w:hint="eastAsia" w:ascii="宋体" w:hAnsi="宋体" w:eastAsia="宋体" w:cs="宋体"/>
                <w:color w:val="auto"/>
                <w:szCs w:val="21"/>
                <w:lang w:eastAsia="zh-CN"/>
              </w:rPr>
              <w:t>）</w:t>
            </w:r>
            <w:r>
              <w:rPr>
                <w:rFonts w:hint="eastAsia" w:ascii="宋体" w:hAnsi="宋体" w:eastAsia="宋体" w:cs="宋体"/>
                <w:color w:val="auto"/>
                <w:kern w:val="0"/>
                <w:szCs w:val="21"/>
              </w:rPr>
              <w:t>：365日历天</w:t>
            </w:r>
            <w:r>
              <w:rPr>
                <w:rFonts w:hint="eastAsia" w:ascii="宋体" w:hAnsi="宋体" w:eastAsia="宋体" w:cs="宋体"/>
                <w:color w:val="auto"/>
                <w:szCs w:val="21"/>
                <w:highlight w:val="none"/>
              </w:rPr>
              <w:t>。</w:t>
            </w:r>
          </w:p>
          <w:p w14:paraId="34BF0E73">
            <w:pPr>
              <w:spacing w:line="360" w:lineRule="auto"/>
              <w:rPr>
                <w:rFonts w:hint="eastAsia" w:ascii="宋体" w:hAnsi="宋体"/>
                <w:color w:val="auto"/>
                <w:szCs w:val="21"/>
              </w:rPr>
            </w:pPr>
            <w:r>
              <w:rPr>
                <w:rFonts w:hint="eastAsia" w:ascii="宋体" w:hAnsi="宋体"/>
                <w:color w:val="auto"/>
                <w:szCs w:val="21"/>
                <w:lang w:eastAsia="zh-CN"/>
              </w:rPr>
              <w:t>三</w:t>
            </w:r>
            <w:r>
              <w:rPr>
                <w:rFonts w:hint="eastAsia" w:ascii="宋体" w:hAnsi="宋体"/>
                <w:color w:val="auto"/>
                <w:szCs w:val="21"/>
              </w:rPr>
              <w:t>、开工时间：具体以采购人（监理）开工令为准。</w:t>
            </w:r>
          </w:p>
          <w:p w14:paraId="19392A65">
            <w:pPr>
              <w:spacing w:line="360" w:lineRule="auto"/>
              <w:rPr>
                <w:rFonts w:hint="eastAsia" w:ascii="宋体" w:hAnsi="宋体"/>
                <w:color w:val="auto"/>
                <w:szCs w:val="21"/>
              </w:rPr>
            </w:pPr>
            <w:r>
              <w:rPr>
                <w:rFonts w:hint="eastAsia" w:ascii="宋体" w:hAnsi="宋体"/>
                <w:color w:val="auto"/>
                <w:szCs w:val="21"/>
                <w:lang w:eastAsia="zh-CN"/>
              </w:rPr>
              <w:t>四</w:t>
            </w:r>
            <w:r>
              <w:rPr>
                <w:rFonts w:hint="eastAsia" w:ascii="宋体" w:hAnsi="宋体"/>
                <w:color w:val="auto"/>
                <w:szCs w:val="21"/>
              </w:rPr>
              <w:t>、工程质量要求：</w:t>
            </w:r>
            <w:r>
              <w:rPr>
                <w:rFonts w:hint="eastAsia" w:ascii="宋体" w:hAnsi="宋体"/>
                <w:color w:val="auto"/>
                <w:szCs w:val="21"/>
                <w:highlight w:val="none"/>
              </w:rPr>
              <w:t>达到国家施工验收规范</w:t>
            </w:r>
            <w:r>
              <w:rPr>
                <w:rFonts w:hint="eastAsia" w:ascii="宋体" w:hAnsi="宋体"/>
                <w:b/>
                <w:bCs/>
                <w:color w:val="auto"/>
                <w:szCs w:val="21"/>
                <w:highlight w:val="none"/>
              </w:rPr>
              <w:t>合格</w:t>
            </w:r>
            <w:r>
              <w:rPr>
                <w:rFonts w:hint="eastAsia" w:ascii="宋体" w:hAnsi="宋体"/>
                <w:color w:val="auto"/>
                <w:szCs w:val="21"/>
                <w:highlight w:val="none"/>
              </w:rPr>
              <w:t>标准</w:t>
            </w:r>
            <w:r>
              <w:rPr>
                <w:rFonts w:hint="eastAsia" w:ascii="宋体" w:hAnsi="宋体"/>
                <w:color w:val="auto"/>
                <w:szCs w:val="21"/>
              </w:rPr>
              <w:t>。</w:t>
            </w:r>
          </w:p>
          <w:p w14:paraId="724B0B64">
            <w:pPr>
              <w:spacing w:line="360" w:lineRule="auto"/>
              <w:rPr>
                <w:rFonts w:hint="eastAsia" w:ascii="宋体" w:hAnsi="宋体"/>
                <w:color w:val="auto"/>
              </w:rPr>
            </w:pPr>
            <w:r>
              <w:rPr>
                <w:rFonts w:hint="eastAsia" w:ascii="宋体" w:hAnsi="宋体" w:eastAsia="宋体" w:cs="Times New Roman"/>
                <w:color w:val="auto"/>
                <w:szCs w:val="21"/>
                <w:highlight w:val="none"/>
              </w:rPr>
              <w:t>▲</w:t>
            </w:r>
            <w:r>
              <w:rPr>
                <w:rFonts w:hint="eastAsia" w:ascii="宋体" w:hAnsi="宋体"/>
                <w:color w:val="auto"/>
                <w:lang w:eastAsia="zh-CN"/>
              </w:rPr>
              <w:t>五</w:t>
            </w:r>
            <w:r>
              <w:rPr>
                <w:rFonts w:hint="eastAsia" w:ascii="宋体" w:hAnsi="宋体"/>
                <w:color w:val="auto"/>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rPr>
              <w:t>：</w:t>
            </w:r>
          </w:p>
          <w:p w14:paraId="65C8A4B0">
            <w:pPr>
              <w:spacing w:line="360" w:lineRule="auto"/>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szCs w:val="21"/>
                <w:highlight w:val="none"/>
              </w:rPr>
              <w:t>工程质量保修期要求：</w:t>
            </w:r>
            <w:r>
              <w:rPr>
                <w:rFonts w:hint="eastAsia" w:ascii="宋体" w:hAnsi="宋体" w:cs="宋体"/>
                <w:bCs/>
                <w:color w:val="auto"/>
                <w:szCs w:val="21"/>
                <w:highlight w:val="none"/>
              </w:rPr>
              <w:t>自实际交工日期起</w:t>
            </w:r>
            <w:r>
              <w:rPr>
                <w:rFonts w:hint="eastAsia" w:ascii="宋体" w:hAnsi="宋体" w:cs="宋体"/>
                <w:bCs/>
                <w:color w:val="auto"/>
                <w:szCs w:val="21"/>
                <w:highlight w:val="none"/>
                <w:lang w:val="en-US" w:eastAsia="zh-CN"/>
              </w:rPr>
              <w:t>12个月</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4936E3E3">
            <w:pPr>
              <w:spacing w:line="360" w:lineRule="auto"/>
              <w:rPr>
                <w:rFonts w:hint="eastAsia" w:ascii="宋体" w:hAnsi="宋体"/>
                <w:color w:val="auto"/>
                <w:highlight w:val="none"/>
              </w:rPr>
            </w:pPr>
            <w:r>
              <w:rPr>
                <w:rFonts w:hint="eastAsia" w:ascii="宋体" w:hAnsi="宋体"/>
                <w:color w:val="auto"/>
                <w:highlight w:val="none"/>
              </w:rPr>
              <w:t>（2）响应时间：接到采购人处理问题通知后4小时内到达采购人指定现场，8小时内提出解决方案。在工程质量保修期期限内发生质量问题，必须在收到质保通知后的3个日历天内整改完毕。</w:t>
            </w:r>
          </w:p>
          <w:p w14:paraId="060B5DA4">
            <w:pPr>
              <w:spacing w:line="360" w:lineRule="auto"/>
              <w:rPr>
                <w:rFonts w:hint="eastAsia" w:ascii="宋体" w:hAnsi="宋体"/>
                <w:color w:val="auto"/>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14:paraId="26803544">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本项目无预付款。工程款按已完成工程量的50%、80%二个阶段支付进度款。工程完工验收达到质量要求，结算经业主及合同约定的财政或审计部门（如有）审定后，工程款支付至结算总价的97%。发包人按工程价款结算总额的3%预留工程质量保证金，待工程缺陷责任期满后返还。承包人每一次在申请付款时必须提供相关付款材料和开具项目所在地正式的发票（含税）给发包人，否则，发包人有权暂停付款。</w:t>
            </w:r>
          </w:p>
          <w:p w14:paraId="50D91F22">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color w:val="auto"/>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67D761E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报价不得高于最高限价，否则竞标无效；本项目采用二次报价方式，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14:paraId="1C2C4E8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738E803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5D85D6D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2618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544AC3C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67013F2F">
            <w:pPr>
              <w:keepNext w:val="0"/>
              <w:keepLines w:val="0"/>
              <w:pageBreakBefore w:val="0"/>
              <w:numPr>
                <w:ilvl w:val="0"/>
                <w:numId w:val="2"/>
              </w:numPr>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kern w:val="0"/>
                <w:position w:val="0"/>
                <w:sz w:val="21"/>
                <w:szCs w:val="21"/>
                <w:highlight w:val="none"/>
                <w:lang w:val="en-US" w:eastAsia="zh-CN" w:bidi="ar-SA"/>
              </w:rPr>
            </w:pPr>
            <w:r>
              <w:rPr>
                <w:rFonts w:hint="eastAsia" w:ascii="宋体" w:hAnsi="宋体"/>
                <w:color w:val="auto"/>
                <w:szCs w:val="21"/>
                <w:highlight w:val="none"/>
              </w:rPr>
              <w:t>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w:t>
            </w:r>
          </w:p>
          <w:p w14:paraId="22F56AAF">
            <w:pPr>
              <w:keepNext w:val="0"/>
              <w:keepLines w:val="0"/>
              <w:pageBreakBefore w:val="0"/>
              <w:numPr>
                <w:ilvl w:val="0"/>
                <w:numId w:val="0"/>
              </w:numPr>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eastAsia="宋体" w:cs="宋体"/>
                <w:color w:val="auto"/>
                <w:spacing w:val="0"/>
                <w:w w:val="100"/>
                <w:kern w:val="0"/>
                <w:position w:val="0"/>
                <w:sz w:val="21"/>
                <w:szCs w:val="21"/>
                <w:highlight w:val="none"/>
                <w:lang w:val="en-US" w:eastAsia="zh-CN" w:bidi="ar-SA"/>
              </w:rPr>
              <w:t>获取方式：网上下载。潜在供应商可自行在广西政府采购云平台（</w:t>
            </w:r>
            <w:r>
              <w:rPr>
                <w:rFonts w:hint="eastAsia" w:ascii="宋体" w:hAnsi="宋体"/>
                <w:color w:val="auto"/>
                <w:szCs w:val="21"/>
              </w:rPr>
              <w:t>https://www.gcy.zfcg.gxzf.gov.cn</w:t>
            </w:r>
            <w:r>
              <w:rPr>
                <w:rFonts w:hint="eastAsia" w:ascii="宋体" w:hAnsi="宋体" w:eastAsia="宋体" w:cs="宋体"/>
                <w:color w:val="auto"/>
                <w:spacing w:val="0"/>
                <w:w w:val="100"/>
                <w:kern w:val="0"/>
                <w:position w:val="0"/>
                <w:sz w:val="21"/>
                <w:szCs w:val="21"/>
                <w:highlight w:val="none"/>
                <w:lang w:val="en-US" w:eastAsia="zh-CN" w:bidi="ar-SA"/>
              </w:rPr>
              <w:t>）下载采购文件（操作路径：登录广西政府采购云平台-项目采购-获取采购文件-找到本项目-点击申请获取）</w:t>
            </w:r>
          </w:p>
          <w:p w14:paraId="730D27E2">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二、现场踏勘：</w:t>
            </w:r>
            <w:r>
              <w:rPr>
                <w:rFonts w:hint="eastAsia" w:ascii="Tahoma" w:hAnsi="Tahoma" w:eastAsia="宋体" w:cs="Times New Roman"/>
                <w:b w:val="0"/>
                <w:bCs w:val="0"/>
                <w:color w:val="auto"/>
                <w:kern w:val="2"/>
                <w:sz w:val="21"/>
                <w:szCs w:val="21"/>
                <w:highlight w:val="none"/>
                <w:lang w:val="en-US" w:eastAsia="zh-CN"/>
              </w:rPr>
              <w:t>不组织。</w:t>
            </w:r>
          </w:p>
        </w:tc>
      </w:tr>
    </w:tbl>
    <w:p w14:paraId="47BDF5BB">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4E9E17F3">
      <w:pPr>
        <w:spacing w:line="428" w:lineRule="exact"/>
        <w:rPr>
          <w:rFonts w:ascii="Arial Unicode MS" w:hAnsi="Arial Unicode MS" w:eastAsia="Times New Roman" w:cs="Arial Unicode MS"/>
          <w:color w:val="auto"/>
          <w:sz w:val="17"/>
          <w:szCs w:val="17"/>
          <w:highlight w:val="none"/>
        </w:rPr>
      </w:pPr>
      <w:bookmarkStart w:id="36" w:name="_Toc30087"/>
      <w:bookmarkStart w:id="37" w:name="_Toc23956"/>
      <w:bookmarkStart w:id="38" w:name="_Toc17962"/>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5C113857">
      <w:pPr>
        <w:spacing w:line="528" w:lineRule="exact"/>
        <w:ind w:left="1871"/>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26F63C5B">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3BEA4A86">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55269486">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2724AA58">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041F5A18">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B841CF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0B34A06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2272AF1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22570E5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BC1918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0890A5B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3F44CB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A2B861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89375C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49F0F56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FF99E8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632EB6A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1B3200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F19E09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F1AF49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2FA12BE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1118C7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08CC1AE">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E87A07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100FD6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654FBF5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4568083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190484F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7456ED0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C54D04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834C35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9CA97B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AA5EE4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1730DF5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08B0C51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A948AC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7F1025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719977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869DFF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3C66639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7781FC0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180BE1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EA44CC1">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53AF76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27A5E51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345C168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569CDF61">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8F9CF9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75A76B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A2CCBB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6E4E0FD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14:paraId="0B693BD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3D2C1AE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2773FE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5398812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5EB9323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E3785B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48B668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4CC2FCB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A3E9DA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4DF2264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2F59B27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771CF31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C91F20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1C7E1B7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F2A252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148812F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3C8AB05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1B7AEC3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D3C31E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6EDCFB12">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9551C5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14AFF8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6282FAD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399248D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47DD85C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572ACAF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1D9A33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48ADFA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B81841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DFBB3C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3F12BA3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66AFE09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22B7E5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D1FA57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CF78FB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7765DA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37AA116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17F2811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4342E5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6186187">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A3F489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364EE1B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2FE5A07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35B4282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3B2EF0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E26B0A4">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F71437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FF05D0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78D4B6D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607D8613">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1D087C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77CB69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E68692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2E0C6FD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0843D03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458E5A6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5BEC44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3B5AA7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A3F514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0023B63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0AB3EAB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2F5BC61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44EFA4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0CF2C83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68178A6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157065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EC70E7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464D93E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991A6D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37CE9F8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0A78F97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7A9CC20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2E0DFE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6E80FEA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2D2AFE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671883C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678A904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32CA579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60C4CA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6599FCFA">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1B66D2D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94754F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0BE4BF6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17B83B6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06AA44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70DC8F2C">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110DF1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07A80E4">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C3190C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4F74702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14:paraId="4C573FD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3CCDE57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6C5893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0647D2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CE96D9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1D92C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0978EBE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57CCF49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5FB461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0DE9951">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BD3D544">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7819D5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12D0CE3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21859F1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B1860C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18D28F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300943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11EB866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AB4CF2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48C0202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68B29F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EBABA92">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C4C000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3E13518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5D8BFB6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72654BA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86BDE5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412B8B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CDA18EE">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A2419F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473B384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6E1355B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61466D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E7C908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69BEC30">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0753F1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260C975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1D14491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3E45CB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A1E1285">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A045A7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EE4789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14:paraId="1C35A87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1041BDE5">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09CB36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387A2E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473D51D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46DDB42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B0E907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4F8FFBE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0486A7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958A470">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7DEF1B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5745912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91B441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23D0ECF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97196E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4FB4751">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12A7EC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29001C2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72B36D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708674A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AA309B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9324A27">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561F6C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49B4429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B534F6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3567B907">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3E44AF5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0ED6D20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3C814EE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11745D7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33FAB6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1D404A68">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7E6C68E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79C7188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6F2FF29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6455411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5887A7F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244A641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CBA038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44B7E66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3407E08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5044E03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09AF06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2598A7AB">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0E36F3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CA2640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627529F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7D78C9B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609F05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4A21FFD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18DC91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14CA4D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54C740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318697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B0FB22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1ADDC90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6FED16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942F60F">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7200B1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07757F1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18CE8D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7D3EA61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7A2233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25022A2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692780C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7DB66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857AD0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190E51E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0E4D7E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42D5D46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6B3CEB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63BA81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C4CF6D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18C3CE0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056C96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39BCAAE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3E33BF0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D87E75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DA2E58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7B571E2C">
      <w:pPr>
        <w:pStyle w:val="11"/>
        <w:spacing w:line="360" w:lineRule="auto"/>
        <w:rPr>
          <w:rFonts w:hint="eastAsia" w:ascii="宋体" w:hAnsi="Courier New" w:eastAsia="宋体" w:cs="Times New Roman"/>
          <w:color w:val="auto"/>
          <w:kern w:val="0"/>
          <w:sz w:val="20"/>
          <w:szCs w:val="21"/>
          <w:highlight w:val="none"/>
          <w:lang w:val="en-US" w:eastAsia="zh-CN" w:bidi="ar-SA"/>
        </w:rPr>
      </w:pPr>
      <w:r>
        <w:rPr>
          <w:rFonts w:hint="eastAsia" w:ascii="宋体" w:hAnsi="Courier New" w:eastAsia="宋体" w:cs="Times New Roman"/>
          <w:color w:val="auto"/>
          <w:kern w:val="0"/>
          <w:sz w:val="20"/>
          <w:szCs w:val="21"/>
          <w:highlight w:val="none"/>
          <w:lang w:val="en-US" w:eastAsia="zh-CN" w:bidi="ar-SA"/>
        </w:rPr>
        <w:t>注：1.节能产品认证应依据相关国家标准的最新版本，依据国家标准中二级能效（水效）指标。</w:t>
      </w:r>
    </w:p>
    <w:p w14:paraId="1438F8DD">
      <w:pPr>
        <w:pStyle w:val="15"/>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5F167B81">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51CFB49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1DBC82C">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16DE8E7A">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6E6120B">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7CC08692">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098901A0">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50257E7">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32CACE3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28EC7A2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68291E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53AC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50B00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6441F7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51FC6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71B3A2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ED5DAA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12AFAB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35F6E4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0BE50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6AD00D4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1AD20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DF59F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AB832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82975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1A2ED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041A7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14:paraId="47E327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EEE59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3DAE6CC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BF87A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6BB247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4583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594D9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14:paraId="3C7B7D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4A89E1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9A0FE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66A4F2">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D0BB1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9734F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70F7B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14:paraId="5D52CD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15CA9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4432F4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EB5ECD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78BD5A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999F4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7ED14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14:paraId="47841E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73046B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73A85B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5D5E40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01718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A6BA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6520C9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14:paraId="0F956F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56842B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4185CF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73221F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5A56B4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872ED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99067E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14:paraId="20ACB7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2E0F16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409E8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16987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5797EA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E55D9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79F69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02E4683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241B9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1B26C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E44458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756F57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69E90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8CFEEF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30DEC2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B4727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377F74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8CBBA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81BBB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DBCB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BC8C9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14:paraId="3DA1B9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A762C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2E5052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988E0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0EFADB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AF5A1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BC9ED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14:paraId="408F94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3024FA6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0A2E6D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9C5E3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4AC82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8BEB82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5FA6A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14:paraId="0EE088E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1B942C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8859DF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A2CBA5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237816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A200E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C11C7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4C02CF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48471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370852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8DFEB88">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B95B1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ED5FE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EC4A6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14:paraId="313AF0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9056F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023BF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AF1AC4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4B2B89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83F777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7C3A07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C511C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4232EF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61D806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C2E5DAF">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DFB2E2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F23DA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C9844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60E31E8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4831C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19E58B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5F8D42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375527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BC5A9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E6C11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2D8641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7C300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8780E9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A3144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85FDA9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E54F1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13B48E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60DDD7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C4383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3EA0AF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888C74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2590ACF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1FBA3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DDC82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14:paraId="285C5E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61C34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2D8024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CA1DDF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CE498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08179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03D4E9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14:paraId="073C3E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0F17D9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2B98C2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88CC6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25F6BF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DC32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D85BE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403FC3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E59FC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EE1774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DCB437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782FC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76685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2A579B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14:paraId="04D5CD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779448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103D35B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CEDDE4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3BE702B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9A57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D5E07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14:paraId="538EAA5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1FA61C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14D224A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8DBCA5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16952B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8229B9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FF21F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14:paraId="32A586F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6AC2DF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3F85E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53489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76A88E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F45EF1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47922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5F6CCDF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6143C8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2130DF4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9150D5">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711B3F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C934C7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375E1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14:paraId="67DE9D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4EB2B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0E47D1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5132D44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2D738B9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9F98F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2C5B0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1F3C23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6B05F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031602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F652232">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7FDF0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2D9CB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D6B15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14:paraId="1C4440C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74809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D47166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023C8A8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4DDA65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E845D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223028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38017AB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7F102D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349B769C">
      <w:pPr>
        <w:spacing w:line="560" w:lineRule="exact"/>
        <w:rPr>
          <w:rFonts w:hint="eastAsia" w:ascii="仿宋" w:hAnsi="仿宋" w:eastAsia="仿宋" w:cs="仿宋"/>
          <w:color w:val="auto"/>
          <w:kern w:val="0"/>
          <w:sz w:val="20"/>
          <w:szCs w:val="21"/>
          <w:highlight w:val="none"/>
        </w:rPr>
        <w:sectPr>
          <w:footerReference r:id="rId11" w:type="default"/>
          <w:pgSz w:w="11906" w:h="16838"/>
          <w:pgMar w:top="1134" w:right="1134" w:bottom="1134" w:left="1134" w:header="720" w:footer="720" w:gutter="0"/>
          <w:pgNumType w:fmt="decimal"/>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B0D4A60">
      <w:pPr>
        <w:pStyle w:val="2"/>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第三章 供应商须知</w:t>
      </w:r>
      <w:bookmarkEnd w:id="36"/>
      <w:bookmarkEnd w:id="37"/>
      <w:bookmarkEnd w:id="38"/>
    </w:p>
    <w:p w14:paraId="4F7C9815">
      <w:pPr>
        <w:pStyle w:val="3"/>
        <w:spacing w:line="360" w:lineRule="auto"/>
        <w:jc w:val="center"/>
        <w:rPr>
          <w:rFonts w:hint="eastAsia" w:ascii="宋体" w:hAnsi="宋体" w:eastAsia="宋体" w:cs="宋体"/>
          <w:b w:val="0"/>
          <w:color w:val="auto"/>
          <w:highlight w:val="none"/>
        </w:rPr>
      </w:pPr>
      <w:bookmarkStart w:id="39" w:name="_Toc23940"/>
      <w:bookmarkStart w:id="40" w:name="_Toc24946"/>
      <w:bookmarkStart w:id="41" w:name="_Toc28335"/>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9"/>
      <w:bookmarkEnd w:id="40"/>
      <w:bookmarkEnd w:id="41"/>
    </w:p>
    <w:tbl>
      <w:tblPr>
        <w:tblStyle w:val="24"/>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2380"/>
        <w:gridCol w:w="6862"/>
      </w:tblGrid>
      <w:tr w14:paraId="1EC59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67" w:type="dxa"/>
            <w:noWrap w:val="0"/>
            <w:vAlign w:val="center"/>
          </w:tcPr>
          <w:p w14:paraId="5D2BE9B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0" w:type="dxa"/>
            <w:noWrap w:val="0"/>
            <w:vAlign w:val="center"/>
          </w:tcPr>
          <w:p w14:paraId="7718EC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62" w:type="dxa"/>
            <w:noWrap w:val="0"/>
            <w:vAlign w:val="center"/>
          </w:tcPr>
          <w:p w14:paraId="1D8A29A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0CF00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51F6B3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0" w:type="dxa"/>
            <w:noWrap w:val="0"/>
            <w:vAlign w:val="center"/>
          </w:tcPr>
          <w:p w14:paraId="25B329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62" w:type="dxa"/>
            <w:noWrap w:val="0"/>
            <w:vAlign w:val="center"/>
          </w:tcPr>
          <w:p w14:paraId="2B0CD64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D0DE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4BC9EA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0" w:type="dxa"/>
            <w:noWrap w:val="0"/>
            <w:vAlign w:val="center"/>
          </w:tcPr>
          <w:p w14:paraId="280E36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62" w:type="dxa"/>
            <w:noWrap w:val="0"/>
            <w:vAlign w:val="center"/>
          </w:tcPr>
          <w:p w14:paraId="73478857">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0AAE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2D62A6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380" w:type="dxa"/>
            <w:noWrap w:val="0"/>
            <w:vAlign w:val="center"/>
          </w:tcPr>
          <w:p w14:paraId="5A1335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62" w:type="dxa"/>
            <w:noWrap w:val="0"/>
            <w:vAlign w:val="center"/>
          </w:tcPr>
          <w:p w14:paraId="15773D1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7BC2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2997A3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0" w:type="dxa"/>
            <w:noWrap w:val="0"/>
            <w:vAlign w:val="center"/>
          </w:tcPr>
          <w:p w14:paraId="2AFA72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62" w:type="dxa"/>
            <w:noWrap w:val="0"/>
            <w:vAlign w:val="center"/>
          </w:tcPr>
          <w:p w14:paraId="49FF82AF">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0A204365">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D277ACD">
            <w:pPr>
              <w:pStyle w:val="9"/>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2BDEF88B">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14416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6A8286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380" w:type="dxa"/>
            <w:noWrap w:val="0"/>
            <w:vAlign w:val="center"/>
          </w:tcPr>
          <w:p w14:paraId="52D0CA9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862" w:type="dxa"/>
            <w:noWrap w:val="0"/>
            <w:vAlign w:val="center"/>
          </w:tcPr>
          <w:p w14:paraId="218A8BA3">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503864D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02</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期间连续</w:t>
            </w:r>
            <w:r>
              <w:rPr>
                <w:rFonts w:hint="eastAsia" w:ascii="宋体" w:hAnsi="宋体" w:eastAsia="宋体" w:cs="宋体"/>
                <w:color w:val="auto"/>
                <w:szCs w:val="21"/>
                <w:highlight w:val="none"/>
                <w:u w:val="single"/>
                <w:lang w:val="en-US" w:eastAsia="zh-CN"/>
              </w:rPr>
              <w:t xml:space="preserve"> 3</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个月的</w:t>
            </w:r>
            <w:r>
              <w:rPr>
                <w:rFonts w:hint="eastAsia" w:ascii="宋体" w:hAnsi="宋体" w:eastAsia="宋体" w:cs="宋体"/>
                <w:color w:val="auto"/>
                <w:szCs w:val="21"/>
                <w:highlight w:val="none"/>
              </w:rPr>
              <w:t>依法缴纳税收的凭据复印件；依法免税的供应商，必须提供相应文件证明其依法免税。供应商成立不满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4866D30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02</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期间连续</w:t>
            </w:r>
            <w:r>
              <w:rPr>
                <w:rFonts w:hint="eastAsia" w:ascii="宋体" w:hAnsi="宋体" w:eastAsia="宋体" w:cs="宋体"/>
                <w:color w:val="auto"/>
                <w:szCs w:val="21"/>
                <w:highlight w:val="none"/>
                <w:u w:val="single"/>
                <w:lang w:val="en-US" w:eastAsia="zh-CN"/>
              </w:rPr>
              <w:t xml:space="preserve"> 3</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个月的</w:t>
            </w:r>
            <w:r>
              <w:rPr>
                <w:rFonts w:hint="eastAsia" w:ascii="宋体" w:hAnsi="宋体" w:eastAsia="宋体" w:cs="宋体"/>
                <w:color w:val="auto"/>
                <w:szCs w:val="21"/>
                <w:highlight w:val="none"/>
              </w:rPr>
              <w:t>依法缴纳社会保障资金的缴费凭证复印件；依法不需要缴纳社会保障资金的供应商，必须提供相应文件证明不需要缴纳社会保障资金。供应商成立不满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0095B5B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.供应商财务状况报告：[</w:t>
            </w:r>
            <w:r>
              <w:rPr>
                <w:rFonts w:hint="eastAsia" w:ascii="宋体" w:hAnsi="宋体" w:eastAsia="宋体" w:cs="宋体"/>
                <w:color w:val="auto"/>
                <w:szCs w:val="21"/>
                <w:u w:val="single"/>
                <w:lang w:val="en-US" w:eastAsia="zh-CN"/>
              </w:rPr>
              <w:t>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3715AD8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供应商直接控股、管理关系信息表</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F2F4DC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D05740D">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olor w:val="auto"/>
                <w:szCs w:val="21"/>
                <w:highlight w:val="none"/>
                <w:lang w:eastAsia="zh-CN"/>
              </w:rPr>
              <w:t>中小</w:t>
            </w:r>
            <w:r>
              <w:rPr>
                <w:rFonts w:hint="eastAsia" w:ascii="宋体" w:hAnsi="宋体"/>
                <w:color w:val="auto"/>
                <w:szCs w:val="21"/>
                <w:highlight w:val="none"/>
              </w:rPr>
              <w:t>企业声明函</w:t>
            </w:r>
            <w:r>
              <w:rPr>
                <w:rFonts w:hint="eastAsia" w:ascii="宋体" w:hAnsi="宋体" w:eastAsia="宋体" w:cs="宋体"/>
                <w:color w:val="auto"/>
                <w:szCs w:val="21"/>
                <w:highlight w:val="none"/>
                <w:lang w:eastAsia="zh-CN"/>
              </w:rPr>
              <w:t>（格式后附）</w:t>
            </w:r>
            <w:r>
              <w:rPr>
                <w:rFonts w:hint="eastAsia" w:ascii="宋体" w:hAnsi="宋体"/>
                <w:color w:val="auto"/>
                <w:szCs w:val="21"/>
                <w:highlight w:val="none"/>
              </w:rPr>
              <w:t>或残疾人福利性单位声明函</w:t>
            </w:r>
            <w:r>
              <w:rPr>
                <w:rFonts w:hint="eastAsia" w:ascii="宋体" w:hAnsi="宋体" w:eastAsia="宋体" w:cs="宋体"/>
                <w:color w:val="auto"/>
                <w:szCs w:val="21"/>
                <w:highlight w:val="none"/>
                <w:lang w:eastAsia="zh-CN"/>
              </w:rPr>
              <w:t>（格式后附）</w:t>
            </w:r>
            <w:r>
              <w:rPr>
                <w:rFonts w:hint="eastAsia" w:ascii="宋体" w:hAnsi="宋体"/>
                <w:color w:val="auto"/>
                <w:szCs w:val="21"/>
                <w:highlight w:val="none"/>
              </w:rPr>
              <w:t>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eastAsia="宋体" w:cs="宋体"/>
                <w:b/>
                <w:bCs/>
                <w:color w:val="auto"/>
                <w:szCs w:val="21"/>
                <w:highlight w:val="none"/>
              </w:rPr>
              <w:t>专门面向</w:t>
            </w:r>
            <w:r>
              <w:rPr>
                <w:rFonts w:hint="eastAsia" w:ascii="宋体" w:hAnsi="宋体" w:cs="宋体"/>
                <w:b/>
                <w:bCs/>
                <w:color w:val="auto"/>
                <w:spacing w:val="0"/>
                <w:w w:val="100"/>
                <w:position w:val="0"/>
                <w:sz w:val="21"/>
                <w:szCs w:val="21"/>
                <w:highlight w:val="none"/>
                <w:lang w:val="en-US" w:eastAsia="zh-CN"/>
              </w:rPr>
              <w:t>小微</w:t>
            </w:r>
            <w:r>
              <w:rPr>
                <w:rFonts w:hint="eastAsia" w:ascii="宋体" w:hAnsi="宋体" w:eastAsia="宋体" w:cs="宋体"/>
                <w:b/>
                <w:bCs/>
                <w:color w:val="auto"/>
                <w:szCs w:val="21"/>
                <w:highlight w:val="none"/>
              </w:rPr>
              <w:t>企业</w:t>
            </w:r>
            <w:r>
              <w:rPr>
                <w:rFonts w:hint="eastAsia" w:ascii="宋体" w:hAnsi="宋体" w:eastAsia="宋体" w:cs="宋体"/>
                <w:b/>
                <w:bCs/>
                <w:color w:val="auto"/>
                <w:szCs w:val="21"/>
                <w:highlight w:val="none"/>
                <w:lang w:eastAsia="zh-CN"/>
              </w:rPr>
              <w:t>采购</w:t>
            </w:r>
            <w:r>
              <w:rPr>
                <w:rFonts w:hint="eastAsia" w:ascii="宋体" w:hAnsi="宋体" w:eastAsia="宋体" w:cs="宋体"/>
                <w:b/>
                <w:bCs/>
                <w:color w:val="auto"/>
                <w:szCs w:val="21"/>
                <w:highlight w:val="none"/>
              </w:rPr>
              <w:t>的项目</w:t>
            </w:r>
            <w:r>
              <w:rPr>
                <w:rFonts w:hint="eastAsia" w:ascii="宋体" w:hAnsi="宋体" w:eastAsia="宋体" w:cs="宋体"/>
                <w:b/>
                <w:bCs/>
                <w:color w:val="auto"/>
                <w:szCs w:val="21"/>
                <w:highlight w:val="none"/>
                <w:lang w:val="en-US" w:eastAsia="zh-CN"/>
              </w:rPr>
              <w:t>则</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7F0491FF">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具备市政公用工程施工总承包叁级（含以上级）资质；具有省级及以上建设行政主管部门颁发的安全生产许可证；在人员、设备、资金等方面具备相应的施工能力</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供应商拟派项目经理</w:t>
            </w:r>
            <w:r>
              <w:rPr>
                <w:rFonts w:hint="eastAsia" w:ascii="宋体" w:hAnsi="宋体" w:cs="宋体"/>
                <w:color w:val="auto"/>
                <w:highlight w:val="none"/>
                <w:lang w:eastAsia="zh-CN"/>
              </w:rPr>
              <w:t>具备市政公用工程专业贰级以上(含贰级)注册建造师资格，并具备有效的省级或省级以上建设行政主管部门颁发的安全生产考核合格证书（B类）</w:t>
            </w:r>
            <w:r>
              <w:rPr>
                <w:rFonts w:hint="eastAsia" w:ascii="宋体" w:hAnsi="宋体" w:eastAsia="宋体" w:cs="宋体"/>
                <w:color w:val="auto"/>
                <w:highlight w:val="none"/>
              </w:rPr>
              <w:t>。本项目不接受有在建、已中标未开工或已列为本项目或其他项目中标候选人第一名的建造师作为项目经理</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）拟派专职安全员须具备有效的安全生产考核合格证书（C 类），人数不少于1人。</w:t>
            </w:r>
          </w:p>
          <w:p w14:paraId="7AB715A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27A11AB0">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p>
          <w:p w14:paraId="6C8B2D0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AA11AD0">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77190BCE">
            <w:pPr>
              <w:pStyle w:val="9"/>
              <w:spacing w:line="360" w:lineRule="auto"/>
              <w:ind w:firstLine="422" w:firstLineChars="200"/>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2.</w:t>
            </w:r>
            <w:r>
              <w:rPr>
                <w:rFonts w:hint="eastAsia" w:ascii="宋体" w:hAnsi="宋体" w:eastAsia="宋体" w:cs="宋体"/>
                <w:b/>
                <w:color w:val="auto"/>
                <w:szCs w:val="21"/>
                <w:highlight w:val="none"/>
                <w:lang w:val="en-US" w:eastAsia="zh-CN"/>
              </w:rPr>
              <w:t>联合体竞标时，第1-5项资格证明文件联合体各方均必须分别提供，联合体各方分别盖章和签字，否则响应文件按无效响应处理。</w:t>
            </w:r>
          </w:p>
        </w:tc>
      </w:tr>
      <w:tr w14:paraId="610A0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767" w:type="dxa"/>
            <w:vMerge w:val="restart"/>
            <w:noWrap w:val="0"/>
            <w:vAlign w:val="center"/>
          </w:tcPr>
          <w:p w14:paraId="4A8970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380" w:type="dxa"/>
            <w:noWrap w:val="0"/>
            <w:vAlign w:val="center"/>
          </w:tcPr>
          <w:p w14:paraId="21410506">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62" w:type="dxa"/>
            <w:noWrap w:val="0"/>
            <w:vAlign w:val="center"/>
          </w:tcPr>
          <w:p w14:paraId="4BA60B0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029491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02BDFE9">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49080D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4B49B8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553030FD">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.建设工程项目管理承诺书；</w:t>
            </w:r>
            <w:r>
              <w:rPr>
                <w:rFonts w:hint="eastAsia" w:ascii="宋体" w:hAnsi="宋体" w:eastAsia="宋体" w:cs="宋体"/>
                <w:b/>
                <w:color w:val="auto"/>
                <w:szCs w:val="21"/>
                <w:highlight w:val="none"/>
              </w:rPr>
              <w:t>（必须提供，否则响应文件按无效响应处理）</w:t>
            </w:r>
          </w:p>
          <w:p w14:paraId="426BEC36">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bookmarkStart w:id="42" w:name="_Hlk106537541"/>
            <w:r>
              <w:rPr>
                <w:rFonts w:hint="eastAsia" w:ascii="宋体" w:hAnsi="宋体" w:eastAsia="宋体" w:cs="宋体"/>
                <w:color w:val="auto"/>
                <w:szCs w:val="21"/>
                <w:highlight w:val="none"/>
              </w:rPr>
              <w:t>类似业绩一览表（类似业绩是指：供应商自2020年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月1日以来，承接过类似</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业绩）（如有）</w:t>
            </w:r>
          </w:p>
          <w:bookmarkEnd w:id="42"/>
          <w:p w14:paraId="5C377660">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p>
          <w:p w14:paraId="31809A4C">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8201AB5">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54F2A49A">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0898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vMerge w:val="continue"/>
            <w:noWrap w:val="0"/>
            <w:vAlign w:val="center"/>
          </w:tcPr>
          <w:p w14:paraId="3DA0E99C">
            <w:pPr>
              <w:spacing w:line="360" w:lineRule="auto"/>
              <w:jc w:val="center"/>
              <w:rPr>
                <w:rFonts w:hint="eastAsia" w:ascii="宋体" w:hAnsi="宋体" w:eastAsia="宋体" w:cs="宋体"/>
                <w:color w:val="auto"/>
                <w:szCs w:val="21"/>
                <w:highlight w:val="none"/>
              </w:rPr>
            </w:pPr>
          </w:p>
        </w:tc>
        <w:tc>
          <w:tcPr>
            <w:tcW w:w="2380" w:type="dxa"/>
            <w:noWrap w:val="0"/>
            <w:vAlign w:val="center"/>
          </w:tcPr>
          <w:p w14:paraId="5ACB833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62" w:type="dxa"/>
            <w:noWrap w:val="0"/>
            <w:vAlign w:val="center"/>
          </w:tcPr>
          <w:p w14:paraId="511143E0">
            <w:pPr>
              <w:spacing w:line="360" w:lineRule="auto"/>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1.采购需求响应偏离表；</w:t>
            </w:r>
            <w:r>
              <w:rPr>
                <w:rFonts w:hint="eastAsia" w:ascii="宋体" w:hAnsi="宋体" w:cs="宋体"/>
                <w:b/>
                <w:bCs/>
                <w:color w:val="auto"/>
                <w:szCs w:val="21"/>
                <w:highlight w:val="none"/>
                <w:lang w:val="en-US" w:eastAsia="zh-CN"/>
              </w:rPr>
              <w:t>（必须提供，否则响应文件按无效响应处理）</w:t>
            </w:r>
          </w:p>
          <w:p w14:paraId="3AC41C44">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项目经理简历表；（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12351EC">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C0398F1">
            <w:pPr>
              <w:numPr>
                <w:ilvl w:val="0"/>
                <w:numId w:val="0"/>
              </w:numPr>
              <w:spacing w:line="360" w:lineRule="auto"/>
              <w:ind w:left="0" w:leftChars="0" w:firstLine="0" w:firstLine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bCs/>
                <w:color w:val="auto"/>
                <w:szCs w:val="21"/>
                <w:highlight w:val="none"/>
              </w:rPr>
              <w:t>（必须提供，否则响应文件按无效响应处理）</w:t>
            </w:r>
          </w:p>
          <w:p w14:paraId="2E7402A4">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14:paraId="627416EF">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67130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7A43FD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380" w:type="dxa"/>
            <w:noWrap w:val="0"/>
            <w:vAlign w:val="center"/>
          </w:tcPr>
          <w:p w14:paraId="177D6C4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62" w:type="dxa"/>
            <w:noWrap w:val="0"/>
            <w:vAlign w:val="center"/>
          </w:tcPr>
          <w:p w14:paraId="6F236A49">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（必须提供，否则作无效响应处理）</w:t>
            </w:r>
          </w:p>
          <w:p w14:paraId="2B835E1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color w:val="auto"/>
                <w:szCs w:val="21"/>
                <w:highlight w:val="none"/>
                <w:lang w:eastAsia="zh-CN"/>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EEDFFF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3B091D1">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p>
        </w:tc>
      </w:tr>
      <w:tr w14:paraId="285A7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573436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380" w:type="dxa"/>
            <w:noWrap w:val="0"/>
            <w:vAlign w:val="center"/>
          </w:tcPr>
          <w:p w14:paraId="2CE048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62" w:type="dxa"/>
            <w:noWrap w:val="0"/>
            <w:vAlign w:val="center"/>
          </w:tcPr>
          <w:p w14:paraId="2EE0418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2A248BC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2.响应文件电子版密封方式：电子响应文件通过平台有效CA加密后在“政采云”平台投送。（操作方式见公告附件“电子响应文件制作与投送教程”）</w:t>
            </w:r>
          </w:p>
        </w:tc>
      </w:tr>
      <w:tr w14:paraId="6ACD2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6E14A1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0" w:type="dxa"/>
            <w:noWrap w:val="0"/>
            <w:vAlign w:val="center"/>
          </w:tcPr>
          <w:p w14:paraId="7403F8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62" w:type="dxa"/>
            <w:noWrap w:val="0"/>
            <w:vAlign w:val="center"/>
          </w:tcPr>
          <w:p w14:paraId="624815B2">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响应报价必须包含满足本次竞标全部采购需求所应提供的</w:t>
            </w:r>
            <w:r>
              <w:rPr>
                <w:rFonts w:hint="eastAsia" w:ascii="宋体" w:hAnsi="宋体" w:cs="宋体"/>
                <w:color w:val="auto"/>
                <w:szCs w:val="21"/>
                <w:highlight w:val="none"/>
                <w:lang w:val="en-US" w:eastAsia="zh-CN"/>
              </w:rPr>
              <w:t>工程</w:t>
            </w:r>
            <w:r>
              <w:rPr>
                <w:rFonts w:hint="eastAsia" w:ascii="宋体" w:hAnsi="宋体" w:eastAsia="宋体" w:cs="宋体"/>
                <w:color w:val="auto"/>
                <w:szCs w:val="21"/>
                <w:highlight w:val="none"/>
              </w:rPr>
              <w:t>价格</w:t>
            </w:r>
            <w:r>
              <w:rPr>
                <w:rFonts w:hint="eastAsia" w:ascii="宋体" w:hAnsi="宋体" w:eastAsia="宋体" w:cs="宋体"/>
                <w:color w:val="auto"/>
                <w:szCs w:val="21"/>
                <w:highlight w:val="none"/>
                <w:lang w:eastAsia="zh-CN"/>
              </w:rPr>
              <w:t>、必要的保险费用和各项税金、其他：</w:t>
            </w:r>
            <w:r>
              <w:rPr>
                <w:rFonts w:hint="eastAsia" w:ascii="宋体" w:hAnsi="宋体" w:cs="宋体"/>
                <w:color w:val="auto"/>
                <w:szCs w:val="21"/>
                <w:highlight w:val="none"/>
              </w:rPr>
              <w:t>包括但不限于工程的成本、</w:t>
            </w:r>
            <w:r>
              <w:rPr>
                <w:rFonts w:hint="eastAsia" w:ascii="宋体" w:hAnsi="宋体" w:cs="宋体"/>
                <w:color w:val="auto"/>
                <w:szCs w:val="21"/>
                <w:highlight w:val="none"/>
                <w:lang w:eastAsia="zh-CN"/>
              </w:rPr>
              <w:t>材料费、</w:t>
            </w:r>
            <w:r>
              <w:rPr>
                <w:rFonts w:hint="eastAsia" w:ascii="宋体" w:hAnsi="宋体" w:cs="宋体"/>
                <w:color w:val="auto"/>
                <w:szCs w:val="21"/>
                <w:highlight w:val="none"/>
                <w:lang w:val="en-US" w:eastAsia="zh-CN"/>
              </w:rPr>
              <w:t>人工费、</w:t>
            </w:r>
            <w:r>
              <w:rPr>
                <w:rFonts w:hint="eastAsia" w:ascii="宋体" w:hAnsi="宋体" w:cs="宋体"/>
                <w:color w:val="auto"/>
                <w:szCs w:val="21"/>
                <w:highlight w:val="none"/>
              </w:rPr>
              <w:t>运输（含保险）、安装（如有）、调试、检验、技术服务、培训、税费等所有费用</w:t>
            </w:r>
            <w:r>
              <w:rPr>
                <w:rFonts w:hint="eastAsia" w:ascii="宋体" w:hAnsi="宋体" w:eastAsia="宋体" w:cs="宋体"/>
                <w:color w:val="auto"/>
                <w:szCs w:val="21"/>
                <w:highlight w:val="none"/>
                <w:lang w:eastAsia="zh-CN"/>
              </w:rPr>
              <w:t>。</w:t>
            </w:r>
          </w:p>
        </w:tc>
      </w:tr>
      <w:tr w14:paraId="4F6D4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767" w:type="dxa"/>
            <w:noWrap w:val="0"/>
            <w:vAlign w:val="center"/>
          </w:tcPr>
          <w:p w14:paraId="5C39AA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380" w:type="dxa"/>
            <w:noWrap w:val="0"/>
            <w:vAlign w:val="center"/>
          </w:tcPr>
          <w:p w14:paraId="49E288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62" w:type="dxa"/>
            <w:noWrap w:val="0"/>
            <w:vAlign w:val="center"/>
          </w:tcPr>
          <w:p w14:paraId="34C175A8">
            <w:pPr>
              <w:pStyle w:val="7"/>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3A7D3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3CB4DE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0" w:type="dxa"/>
            <w:noWrap w:val="0"/>
            <w:vAlign w:val="center"/>
          </w:tcPr>
          <w:p w14:paraId="30D5E2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62" w:type="dxa"/>
            <w:noWrap w:val="0"/>
            <w:vAlign w:val="center"/>
          </w:tcPr>
          <w:p w14:paraId="25C86B8A">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6134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67" w:type="dxa"/>
            <w:vMerge w:val="restart"/>
            <w:noWrap w:val="0"/>
            <w:vAlign w:val="center"/>
          </w:tcPr>
          <w:p w14:paraId="162BF5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0" w:type="dxa"/>
            <w:noWrap w:val="0"/>
            <w:vAlign w:val="center"/>
          </w:tcPr>
          <w:p w14:paraId="71E233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62" w:type="dxa"/>
            <w:noWrap w:val="0"/>
            <w:vAlign w:val="center"/>
          </w:tcPr>
          <w:p w14:paraId="20020D2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470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67" w:type="dxa"/>
            <w:vMerge w:val="continue"/>
            <w:noWrap w:val="0"/>
            <w:vAlign w:val="center"/>
          </w:tcPr>
          <w:p w14:paraId="063A6B3F">
            <w:pPr>
              <w:spacing w:line="360" w:lineRule="auto"/>
              <w:jc w:val="center"/>
              <w:rPr>
                <w:rFonts w:hint="eastAsia" w:ascii="宋体" w:hAnsi="宋体" w:eastAsia="宋体" w:cs="宋体"/>
                <w:color w:val="auto"/>
                <w:szCs w:val="21"/>
                <w:highlight w:val="none"/>
              </w:rPr>
            </w:pPr>
          </w:p>
        </w:tc>
        <w:tc>
          <w:tcPr>
            <w:tcW w:w="2380" w:type="dxa"/>
            <w:noWrap w:val="0"/>
            <w:vAlign w:val="center"/>
          </w:tcPr>
          <w:p w14:paraId="724810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62" w:type="dxa"/>
            <w:noWrap w:val="0"/>
            <w:vAlign w:val="center"/>
          </w:tcPr>
          <w:p w14:paraId="15168C1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6C0C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67" w:type="dxa"/>
            <w:noWrap w:val="0"/>
            <w:vAlign w:val="center"/>
          </w:tcPr>
          <w:p w14:paraId="1AD1D2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0" w:type="dxa"/>
            <w:noWrap w:val="0"/>
            <w:vAlign w:val="center"/>
          </w:tcPr>
          <w:p w14:paraId="6EEE00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62" w:type="dxa"/>
            <w:noWrap w:val="0"/>
            <w:vAlign w:val="center"/>
          </w:tcPr>
          <w:p w14:paraId="42C3603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48809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67" w:type="dxa"/>
            <w:noWrap w:val="0"/>
            <w:vAlign w:val="center"/>
          </w:tcPr>
          <w:p w14:paraId="62E89C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380" w:type="dxa"/>
            <w:noWrap w:val="0"/>
            <w:vAlign w:val="center"/>
          </w:tcPr>
          <w:p w14:paraId="6B0F8D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862" w:type="dxa"/>
            <w:noWrap w:val="0"/>
            <w:vAlign w:val="center"/>
          </w:tcPr>
          <w:p w14:paraId="7B12340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937D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67" w:type="dxa"/>
            <w:vMerge w:val="restart"/>
            <w:noWrap w:val="0"/>
            <w:vAlign w:val="center"/>
          </w:tcPr>
          <w:p w14:paraId="4EFF63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380" w:type="dxa"/>
            <w:noWrap w:val="0"/>
            <w:vAlign w:val="center"/>
          </w:tcPr>
          <w:p w14:paraId="636C3F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62" w:type="dxa"/>
            <w:noWrap w:val="0"/>
            <w:vAlign w:val="center"/>
          </w:tcPr>
          <w:p w14:paraId="4F4D06D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0543978A">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6E07C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vMerge w:val="continue"/>
            <w:noWrap w:val="0"/>
            <w:vAlign w:val="center"/>
          </w:tcPr>
          <w:p w14:paraId="4B78D32E">
            <w:pPr>
              <w:spacing w:line="360" w:lineRule="auto"/>
              <w:jc w:val="center"/>
              <w:rPr>
                <w:rFonts w:hint="eastAsia" w:ascii="宋体" w:hAnsi="宋体" w:eastAsia="宋体" w:cs="宋体"/>
                <w:color w:val="auto"/>
                <w:szCs w:val="21"/>
                <w:highlight w:val="none"/>
              </w:rPr>
            </w:pPr>
          </w:p>
        </w:tc>
        <w:tc>
          <w:tcPr>
            <w:tcW w:w="2380" w:type="dxa"/>
            <w:noWrap w:val="0"/>
            <w:vAlign w:val="center"/>
          </w:tcPr>
          <w:p w14:paraId="51DB6C8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862" w:type="dxa"/>
            <w:noWrap w:val="0"/>
            <w:vAlign w:val="center"/>
          </w:tcPr>
          <w:p w14:paraId="2314E66B">
            <w:pPr>
              <w:pStyle w:val="9"/>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4AEB3EA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608AA971">
            <w:pPr>
              <w:pStyle w:val="9"/>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0DE57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67" w:type="dxa"/>
            <w:noWrap w:val="0"/>
            <w:vAlign w:val="center"/>
          </w:tcPr>
          <w:p w14:paraId="5677FDE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380" w:type="dxa"/>
            <w:noWrap w:val="0"/>
            <w:vAlign w:val="center"/>
          </w:tcPr>
          <w:p w14:paraId="47DF348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62" w:type="dxa"/>
            <w:noWrap w:val="0"/>
            <w:vAlign w:val="center"/>
          </w:tcPr>
          <w:p w14:paraId="06492317">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本项目不收取履约保证金</w:t>
            </w:r>
          </w:p>
        </w:tc>
      </w:tr>
      <w:tr w14:paraId="2E142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767" w:type="dxa"/>
            <w:noWrap w:val="0"/>
            <w:vAlign w:val="center"/>
          </w:tcPr>
          <w:p w14:paraId="325676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380" w:type="dxa"/>
            <w:noWrap w:val="0"/>
            <w:vAlign w:val="center"/>
          </w:tcPr>
          <w:p w14:paraId="270BE5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62" w:type="dxa"/>
            <w:noWrap w:val="0"/>
            <w:vAlign w:val="center"/>
          </w:tcPr>
          <w:p w14:paraId="4C752EE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1B577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67" w:type="dxa"/>
            <w:vMerge w:val="restart"/>
            <w:noWrap w:val="0"/>
            <w:vAlign w:val="center"/>
          </w:tcPr>
          <w:p w14:paraId="197AFE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380" w:type="dxa"/>
            <w:noWrap w:val="0"/>
            <w:vAlign w:val="center"/>
          </w:tcPr>
          <w:p w14:paraId="3E145B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62" w:type="dxa"/>
            <w:noWrap w:val="0"/>
            <w:vAlign w:val="center"/>
          </w:tcPr>
          <w:p w14:paraId="58FC8EF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2E4B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vMerge w:val="continue"/>
            <w:noWrap w:val="0"/>
            <w:vAlign w:val="center"/>
          </w:tcPr>
          <w:p w14:paraId="5A00B6AB">
            <w:pPr>
              <w:spacing w:line="360" w:lineRule="auto"/>
              <w:jc w:val="center"/>
              <w:rPr>
                <w:rFonts w:hint="eastAsia" w:ascii="宋体" w:hAnsi="宋体" w:eastAsia="宋体" w:cs="宋体"/>
                <w:color w:val="auto"/>
                <w:szCs w:val="21"/>
                <w:highlight w:val="none"/>
              </w:rPr>
            </w:pPr>
          </w:p>
        </w:tc>
        <w:tc>
          <w:tcPr>
            <w:tcW w:w="2380" w:type="dxa"/>
            <w:noWrap w:val="0"/>
            <w:vAlign w:val="center"/>
          </w:tcPr>
          <w:p w14:paraId="2FA416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62" w:type="dxa"/>
            <w:noWrap w:val="0"/>
            <w:vAlign w:val="center"/>
          </w:tcPr>
          <w:p w14:paraId="3FA0A58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广西星木工程咨询有限公司</w:t>
            </w:r>
            <w:r>
              <w:rPr>
                <w:rFonts w:hint="eastAsia" w:ascii="宋体" w:hAnsi="宋体" w:eastAsia="宋体" w:cs="宋体"/>
                <w:color w:val="auto"/>
                <w:szCs w:val="21"/>
                <w:highlight w:val="none"/>
              </w:rPr>
              <w:t>；</w:t>
            </w:r>
          </w:p>
          <w:p w14:paraId="5AC315FB">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0771-3132669</w:t>
            </w:r>
          </w:p>
          <w:p w14:paraId="55E8772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南宁市青秀区佛子岭路18号德利国际·东盟文化广场B1栋十五层1508、1509号办公室</w:t>
            </w:r>
          </w:p>
          <w:p w14:paraId="11A0D60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隆安县房屋和征地拆迁中心</w:t>
            </w:r>
            <w:r>
              <w:rPr>
                <w:rFonts w:hint="eastAsia" w:ascii="宋体" w:hAnsi="宋体" w:eastAsia="宋体" w:cs="宋体"/>
                <w:color w:val="auto"/>
                <w:szCs w:val="21"/>
                <w:highlight w:val="none"/>
              </w:rPr>
              <w:t>；</w:t>
            </w:r>
          </w:p>
          <w:p w14:paraId="11860285">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0771-6520986</w:t>
            </w:r>
          </w:p>
          <w:p w14:paraId="5B6E906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val="en-US" w:eastAsia="zh-CN"/>
              </w:rPr>
              <w:t>隆安县</w:t>
            </w:r>
            <w:r>
              <w:rPr>
                <w:rFonts w:hint="eastAsia" w:ascii="宋体" w:hAnsi="宋体" w:cs="宋体"/>
                <w:color w:val="auto"/>
                <w:szCs w:val="21"/>
                <w:highlight w:val="none"/>
                <w:lang w:eastAsia="zh-CN"/>
              </w:rPr>
              <w:t xml:space="preserve">城厢镇蝶城路456号  </w:t>
            </w:r>
          </w:p>
        </w:tc>
      </w:tr>
      <w:tr w14:paraId="0741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vMerge w:val="continue"/>
            <w:noWrap w:val="0"/>
            <w:vAlign w:val="center"/>
          </w:tcPr>
          <w:p w14:paraId="0C868FBC">
            <w:pPr>
              <w:spacing w:line="360" w:lineRule="auto"/>
              <w:jc w:val="center"/>
              <w:rPr>
                <w:rFonts w:hint="eastAsia" w:ascii="宋体" w:hAnsi="宋体" w:eastAsia="宋体" w:cs="宋体"/>
                <w:color w:val="auto"/>
                <w:szCs w:val="21"/>
                <w:highlight w:val="none"/>
              </w:rPr>
            </w:pPr>
          </w:p>
        </w:tc>
        <w:tc>
          <w:tcPr>
            <w:tcW w:w="2380" w:type="dxa"/>
            <w:noWrap w:val="0"/>
            <w:vAlign w:val="center"/>
          </w:tcPr>
          <w:p w14:paraId="5D62A56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62" w:type="dxa"/>
            <w:noWrap w:val="0"/>
            <w:vAlign w:val="center"/>
          </w:tcPr>
          <w:p w14:paraId="2F4A89A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19324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73E9EE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380" w:type="dxa"/>
            <w:noWrap w:val="0"/>
            <w:vAlign w:val="center"/>
          </w:tcPr>
          <w:p w14:paraId="5BE92B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62" w:type="dxa"/>
            <w:noWrap w:val="0"/>
            <w:vAlign w:val="center"/>
          </w:tcPr>
          <w:p w14:paraId="4638075D">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0849C1A6">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10D07C7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14:paraId="0369743E">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45E551EA">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联系电话：0771-6531019 </w:t>
            </w:r>
          </w:p>
        </w:tc>
      </w:tr>
      <w:tr w14:paraId="173E0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48BB72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380" w:type="dxa"/>
            <w:noWrap w:val="0"/>
            <w:vAlign w:val="center"/>
          </w:tcPr>
          <w:p w14:paraId="32C02F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62" w:type="dxa"/>
            <w:noWrap w:val="0"/>
            <w:vAlign w:val="center"/>
          </w:tcPr>
          <w:p w14:paraId="64076525">
            <w:pPr>
              <w:pStyle w:val="15"/>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1. 是否收取采购代理费：</w:t>
            </w:r>
          </w:p>
          <w:p w14:paraId="3154B17A">
            <w:pPr>
              <w:pStyle w:val="15"/>
              <w:snapToGrid w:val="0"/>
              <w:spacing w:line="360" w:lineRule="auto"/>
              <w:rPr>
                <w:rFonts w:hAnsi="宋体" w:eastAsia="Times New Roman" w:cs="宋体"/>
                <w:color w:val="auto"/>
                <w:sz w:val="21"/>
                <w:highlight w:val="none"/>
              </w:rPr>
            </w:pPr>
            <w:r>
              <w:rPr>
                <w:rFonts w:hint="eastAsia" w:ascii="MS Mincho" w:hAnsi="MS Mincho" w:eastAsia="MS Mincho" w:cs="MS Mincho"/>
                <w:color w:val="auto"/>
                <w:sz w:val="21"/>
                <w:highlight w:val="none"/>
              </w:rPr>
              <w:t>☑</w:t>
            </w:r>
            <w:r>
              <w:rPr>
                <w:rFonts w:hAnsi="宋体" w:eastAsia="Times New Roman" w:cs="宋体"/>
                <w:color w:val="auto"/>
                <w:sz w:val="21"/>
                <w:highlight w:val="none"/>
              </w:rPr>
              <w:t>是    □ 否</w:t>
            </w:r>
          </w:p>
          <w:p w14:paraId="485066D6">
            <w:pPr>
              <w:pStyle w:val="15"/>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2.采购代理费支付方式：</w:t>
            </w:r>
          </w:p>
          <w:p w14:paraId="3F2B608B">
            <w:pPr>
              <w:pStyle w:val="15"/>
              <w:snapToGrid w:val="0"/>
              <w:spacing w:line="360" w:lineRule="auto"/>
              <w:rPr>
                <w:rFonts w:hAnsi="宋体" w:eastAsia="Times New Roman" w:cs="宋体"/>
                <w:color w:val="auto"/>
                <w:sz w:val="21"/>
                <w:highlight w:val="none"/>
              </w:rPr>
            </w:pPr>
            <w:r>
              <w:rPr>
                <w:rFonts w:hint="eastAsia" w:ascii="MS Mincho" w:hAnsi="MS Mincho" w:eastAsia="MS Mincho" w:cs="MS Mincho"/>
                <w:color w:val="auto"/>
                <w:sz w:val="21"/>
                <w:highlight w:val="none"/>
              </w:rPr>
              <w:t>☑</w:t>
            </w:r>
            <w:r>
              <w:rPr>
                <w:rFonts w:hAnsi="宋体" w:eastAsia="Times New Roman" w:cs="宋体"/>
                <w:color w:val="auto"/>
                <w:sz w:val="21"/>
                <w:highlight w:val="none"/>
              </w:rPr>
              <w:t>本项目代理服务费由</w:t>
            </w:r>
            <w:r>
              <w:rPr>
                <w:rFonts w:hAnsi="宋体" w:eastAsia="Times New Roman" w:cs="宋体"/>
                <w:color w:val="auto"/>
                <w:sz w:val="21"/>
                <w:highlight w:val="none"/>
                <w:u w:val="single"/>
              </w:rPr>
              <w:t>成交供应商</w:t>
            </w:r>
            <w:r>
              <w:rPr>
                <w:rFonts w:hAnsi="宋体" w:eastAsia="Times New Roman" w:cs="宋体"/>
                <w:color w:val="auto"/>
                <w:sz w:val="21"/>
                <w:highlight w:val="none"/>
              </w:rPr>
              <w:t>领取成交通知书前，一次性向采购代理机构支付。</w:t>
            </w:r>
          </w:p>
          <w:p w14:paraId="2B746842">
            <w:pPr>
              <w:pStyle w:val="15"/>
              <w:snapToGrid w:val="0"/>
              <w:spacing w:line="360" w:lineRule="auto"/>
              <w:rPr>
                <w:rFonts w:hAnsi="宋体" w:eastAsia="Times New Roman" w:cs="宋体"/>
                <w:color w:val="auto"/>
                <w:sz w:val="21"/>
                <w:highlight w:val="none"/>
              </w:rPr>
            </w:pPr>
            <w:r>
              <w:rPr>
                <w:rFonts w:hAnsi="宋体" w:eastAsia="Times New Roman" w:cs="宋体"/>
                <w:color w:val="auto"/>
                <w:sz w:val="21"/>
                <w:highlight w:val="none"/>
              </w:rPr>
              <w:t>□采购人支付。</w:t>
            </w:r>
          </w:p>
          <w:p w14:paraId="333007C4">
            <w:pPr>
              <w:pStyle w:val="15"/>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highlight w:val="none"/>
              </w:rPr>
              <w:t>3. 采购代理费收取标准：</w:t>
            </w:r>
            <w:r>
              <w:rPr>
                <w:rFonts w:hint="eastAsia" w:ascii="宋体" w:hAnsi="宋体" w:eastAsia="宋体" w:cs="宋体"/>
                <w:color w:val="auto"/>
                <w:sz w:val="21"/>
                <w:highlight w:val="none"/>
                <w:lang w:val="en-US" w:eastAsia="zh-CN"/>
              </w:rPr>
              <w:t>采购代理服务费以</w:t>
            </w:r>
            <w:r>
              <w:rPr>
                <w:rFonts w:hint="eastAsia" w:ascii="宋体" w:hAnsi="宋体" w:eastAsia="宋体" w:cs="宋体"/>
                <w:b/>
                <w:bCs/>
                <w:color w:val="auto"/>
                <w:sz w:val="21"/>
                <w:highlight w:val="none"/>
                <w:lang w:val="en-US" w:eastAsia="zh-CN"/>
              </w:rPr>
              <w:t>中标金额</w:t>
            </w:r>
            <w:r>
              <w:rPr>
                <w:rFonts w:hint="eastAsia" w:ascii="宋体" w:hAnsi="宋体" w:eastAsia="宋体" w:cs="宋体"/>
                <w:color w:val="auto"/>
                <w:sz w:val="21"/>
                <w:highlight w:val="none"/>
                <w:lang w:val="en-US" w:eastAsia="zh-CN"/>
              </w:rPr>
              <w:t>为计费额，参考国家发展计划委员会计价格[2002]1980号《招标代理服务收费管理暂行办法》和《国家发展改革委关于降低部分建设项目收费标准规范收费行为等有关问题的通知》（发改价格[2011]534号）文件规定的</w:t>
            </w:r>
            <w:r>
              <w:rPr>
                <w:rFonts w:hint="eastAsia" w:ascii="宋体" w:hAnsi="宋体" w:eastAsia="宋体" w:cs="宋体"/>
                <w:b/>
                <w:bCs/>
                <w:color w:val="auto"/>
                <w:sz w:val="21"/>
                <w:highlight w:val="none"/>
                <w:lang w:val="en-US" w:eastAsia="zh-CN"/>
              </w:rPr>
              <w:t>工程类</w:t>
            </w:r>
            <w:r>
              <w:rPr>
                <w:rFonts w:hint="eastAsia" w:ascii="宋体" w:hAnsi="宋体" w:eastAsia="宋体" w:cs="宋体"/>
                <w:color w:val="auto"/>
                <w:sz w:val="21"/>
                <w:highlight w:val="none"/>
                <w:lang w:val="en-US" w:eastAsia="zh-CN"/>
              </w:rPr>
              <w:t>收费标准</w:t>
            </w:r>
            <w:r>
              <w:rPr>
                <w:rFonts w:hint="eastAsia" w:hAnsi="宋体" w:cs="宋体"/>
                <w:b/>
                <w:bCs/>
                <w:color w:val="auto"/>
                <w:sz w:val="21"/>
                <w:highlight w:val="none"/>
                <w:lang w:val="en-US" w:eastAsia="zh-CN"/>
              </w:rPr>
              <w:t>下浮15%</w:t>
            </w:r>
            <w:r>
              <w:rPr>
                <w:rFonts w:hint="eastAsia" w:ascii="宋体" w:hAnsi="宋体" w:eastAsia="宋体" w:cs="宋体"/>
                <w:color w:val="auto"/>
                <w:sz w:val="21"/>
                <w:highlight w:val="none"/>
                <w:lang w:val="en-US" w:eastAsia="zh-CN"/>
              </w:rPr>
              <w:t>收取，由成交供应商领取成交通知书前，一次性向采购代理机构支付。</w:t>
            </w:r>
          </w:p>
          <w:p w14:paraId="079D4E77">
            <w:pPr>
              <w:widowControl w:val="0"/>
              <w:snapToGrid w:val="0"/>
              <w:spacing w:line="400" w:lineRule="exact"/>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4、开户名称：广西星木工程咨询有限公司</w:t>
            </w:r>
          </w:p>
          <w:p w14:paraId="1F545654">
            <w:pPr>
              <w:widowControl w:val="0"/>
              <w:snapToGrid w:val="0"/>
              <w:spacing w:line="400" w:lineRule="exact"/>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银行账号：660000019017100018</w:t>
            </w:r>
          </w:p>
          <w:p w14:paraId="4B5CBE26">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kern w:val="0"/>
                <w:sz w:val="21"/>
                <w:szCs w:val="21"/>
                <w:highlight w:val="none"/>
                <w:lang w:val="en-US" w:eastAsia="zh-CN" w:bidi="ar-SA"/>
              </w:rPr>
              <w:t xml:space="preserve">开户银行：桂林银行股份有限公司南宁桃源支行 </w:t>
            </w:r>
          </w:p>
        </w:tc>
      </w:tr>
      <w:tr w14:paraId="5D8E7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68100DB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380" w:type="dxa"/>
            <w:noWrap w:val="0"/>
            <w:vAlign w:val="center"/>
          </w:tcPr>
          <w:p w14:paraId="6391D5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62" w:type="dxa"/>
            <w:noWrap w:val="0"/>
            <w:vAlign w:val="center"/>
          </w:tcPr>
          <w:p w14:paraId="6565EBFA">
            <w:pPr>
              <w:pStyle w:val="15"/>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44E63909">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837D152">
            <w:pPr>
              <w:pStyle w:val="15"/>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7DC5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14:paraId="2830FA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380" w:type="dxa"/>
            <w:noWrap w:val="0"/>
            <w:vAlign w:val="center"/>
          </w:tcPr>
          <w:p w14:paraId="4811D4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62" w:type="dxa"/>
            <w:noWrap w:val="0"/>
            <w:vAlign w:val="center"/>
          </w:tcPr>
          <w:p w14:paraId="5BE4B598">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901C16C">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7C236BE">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7AD9BF54">
            <w:pPr>
              <w:pStyle w:val="15"/>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58318CCD">
            <w:pPr>
              <w:pStyle w:val="15"/>
              <w:snapToGrid w:val="0"/>
              <w:spacing w:line="360" w:lineRule="auto"/>
              <w:jc w:val="left"/>
              <w:rPr>
                <w:rFonts w:hint="eastAsia"/>
                <w:color w:val="auto"/>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465634F0">
      <w:pPr>
        <w:pStyle w:val="3"/>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3" w:name="_Toc28698"/>
      <w:bookmarkStart w:id="44" w:name="_Toc18606"/>
      <w:bookmarkStart w:id="45" w:name="_Toc3460"/>
      <w:r>
        <w:rPr>
          <w:rFonts w:hint="eastAsia" w:ascii="宋体" w:hAnsi="宋体" w:eastAsia="宋体" w:cs="宋体"/>
          <w:b w:val="0"/>
          <w:color w:val="auto"/>
          <w:highlight w:val="none"/>
        </w:rPr>
        <w:t>第二节 供应商须知正文</w:t>
      </w:r>
      <w:bookmarkEnd w:id="43"/>
      <w:bookmarkEnd w:id="44"/>
      <w:bookmarkEnd w:id="45"/>
    </w:p>
    <w:p w14:paraId="4B1D1DFA">
      <w:pPr>
        <w:pStyle w:val="4"/>
        <w:spacing w:before="0" w:after="0" w:line="360" w:lineRule="auto"/>
        <w:rPr>
          <w:rFonts w:hint="eastAsia" w:ascii="宋体" w:hAnsi="宋体" w:eastAsia="宋体" w:cs="宋体"/>
          <w:b/>
          <w:bCs w:val="0"/>
          <w:color w:val="auto"/>
          <w:highlight w:val="none"/>
        </w:rPr>
      </w:pPr>
      <w:bookmarkStart w:id="46" w:name="_Toc4039"/>
      <w:bookmarkStart w:id="47" w:name="_Toc6602"/>
      <w:bookmarkStart w:id="48" w:name="_Toc5632"/>
      <w:r>
        <w:rPr>
          <w:rFonts w:hint="eastAsia" w:ascii="宋体" w:hAnsi="宋体" w:eastAsia="宋体" w:cs="宋体"/>
          <w:b/>
          <w:bCs w:val="0"/>
          <w:color w:val="auto"/>
          <w:highlight w:val="none"/>
        </w:rPr>
        <w:t>一、总则</w:t>
      </w:r>
      <w:bookmarkEnd w:id="46"/>
      <w:bookmarkEnd w:id="47"/>
      <w:bookmarkEnd w:id="48"/>
    </w:p>
    <w:p w14:paraId="523B4A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73F073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D5834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2AFACF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350F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1051DD9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51D03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F4434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25D456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1E95BC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237F71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62B83C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72FDD6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39C9F8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7CB1B3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4E343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6AEC41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24F42F8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023A8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44480B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4B4200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03F989F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65E02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196DE9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1F10CA8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495C076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77346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24085B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%的扣除，用扣除后的价格参加评审。接受分包的小微企业与分包企业之间存在直接控股、管理关系的，不享受价格扣除优惠政策。</w:t>
      </w:r>
    </w:p>
    <w:p w14:paraId="4569BF38">
      <w:pPr>
        <w:spacing w:line="360" w:lineRule="auto"/>
        <w:ind w:firstLine="420" w:firstLineChars="200"/>
        <w:rPr>
          <w:rFonts w:hint="eastAsia" w:ascii="宋体" w:hAnsi="宋体" w:eastAsia="宋体" w:cs="宋体"/>
          <w:b/>
          <w:bCs/>
          <w:color w:val="auto"/>
          <w:sz w:val="24"/>
          <w:highlight w:val="none"/>
        </w:rPr>
      </w:pPr>
      <w:bookmarkStart w:id="49" w:name="_Toc254970532"/>
      <w:bookmarkStart w:id="50" w:name="_Toc254970673"/>
      <w:r>
        <w:rPr>
          <w:rFonts w:hint="eastAsia" w:ascii="宋体" w:hAnsi="宋体" w:cs="宋体"/>
          <w:bCs/>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03D651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7.特别说明</w:t>
      </w:r>
      <w:bookmarkEnd w:id="49"/>
      <w:bookmarkEnd w:id="50"/>
    </w:p>
    <w:p w14:paraId="03E5F43B">
      <w:pPr>
        <w:spacing w:line="360" w:lineRule="auto"/>
        <w:ind w:firstLine="420" w:firstLineChars="200"/>
        <w:rPr>
          <w:rFonts w:hint="eastAsia" w:ascii="宋体" w:hAnsi="宋体" w:eastAsia="宋体" w:cs="宋体"/>
          <w:color w:val="auto"/>
          <w:szCs w:val="21"/>
          <w:highlight w:val="none"/>
        </w:rPr>
      </w:pPr>
      <w:bookmarkStart w:id="51" w:name="_8.1提供相同品牌产品且通过资格审查、符合性审查的不同投标人参加同一合"/>
      <w:bookmarkEnd w:id="51"/>
      <w:r>
        <w:rPr>
          <w:rFonts w:hint="eastAsia" w:ascii="宋体" w:hAnsi="宋体" w:eastAsia="宋体" w:cs="宋体"/>
          <w:color w:val="auto"/>
          <w:szCs w:val="21"/>
          <w:highlight w:val="none"/>
        </w:rPr>
        <w:t>7.1</w:t>
      </w:r>
      <w:bookmarkStart w:id="5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2"/>
    <w:p w14:paraId="0A2510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4F607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157CF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2BC03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3E9932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616230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0DED06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E862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70452E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D783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0541CB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5DEABD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5490D2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216C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D0F59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7801F70">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22FDE9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173D63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3B0AF7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13ABC4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4A33A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0FD13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E8A6E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6860D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35EA4DA7">
      <w:pPr>
        <w:bidi w:val="0"/>
        <w:spacing w:line="360" w:lineRule="auto"/>
        <w:rPr>
          <w:rFonts w:hint="eastAsia" w:ascii="宋体" w:hAnsi="宋体" w:eastAsia="宋体" w:cs="宋体"/>
          <w:color w:val="auto"/>
          <w:highlight w:val="none"/>
        </w:rPr>
      </w:pPr>
      <w:bookmarkStart w:id="53" w:name="_Toc254970534"/>
      <w:bookmarkStart w:id="54" w:name="_Toc254970675"/>
    </w:p>
    <w:p w14:paraId="66D6EB92">
      <w:pPr>
        <w:pStyle w:val="4"/>
        <w:spacing w:before="0" w:after="0" w:line="360" w:lineRule="auto"/>
        <w:rPr>
          <w:rFonts w:hint="eastAsia" w:ascii="宋体" w:hAnsi="宋体" w:eastAsia="宋体" w:cs="宋体"/>
          <w:b/>
          <w:bCs w:val="0"/>
          <w:color w:val="auto"/>
          <w:highlight w:val="none"/>
        </w:rPr>
      </w:pPr>
      <w:bookmarkStart w:id="55" w:name="_Toc25818"/>
      <w:bookmarkStart w:id="56" w:name="_Toc22797"/>
      <w:bookmarkStart w:id="57" w:name="_Toc16003"/>
      <w:r>
        <w:rPr>
          <w:rFonts w:hint="eastAsia" w:ascii="宋体" w:hAnsi="宋体" w:eastAsia="宋体" w:cs="宋体"/>
          <w:b/>
          <w:bCs w:val="0"/>
          <w:color w:val="auto"/>
          <w:highlight w:val="none"/>
        </w:rPr>
        <w:t>二、磋商文件</w:t>
      </w:r>
      <w:bookmarkEnd w:id="53"/>
      <w:bookmarkEnd w:id="54"/>
      <w:bookmarkEnd w:id="55"/>
      <w:bookmarkEnd w:id="56"/>
      <w:bookmarkEnd w:id="57"/>
    </w:p>
    <w:p w14:paraId="505B708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7B8B057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350FE38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60E1BB5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079FB27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4954E34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28F941C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5182B514">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1FD3EF81">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1EBD47A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1A22B6D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59369C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28BDCE3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58E859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527045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7E2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76EC4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525B51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A8C4005">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12B1BF64">
      <w:pPr>
        <w:pStyle w:val="11"/>
        <w:spacing w:line="360" w:lineRule="auto"/>
        <w:rPr>
          <w:rFonts w:hint="eastAsia" w:ascii="宋体" w:hAnsi="宋体" w:eastAsia="宋体" w:cs="宋体"/>
          <w:color w:val="auto"/>
          <w:highlight w:val="none"/>
        </w:rPr>
      </w:pPr>
    </w:p>
    <w:p w14:paraId="6F1F9DED">
      <w:pPr>
        <w:pStyle w:val="4"/>
        <w:spacing w:before="0" w:after="0" w:line="360" w:lineRule="auto"/>
        <w:rPr>
          <w:rFonts w:hint="eastAsia" w:ascii="宋体" w:hAnsi="宋体" w:eastAsia="宋体" w:cs="宋体"/>
          <w:b/>
          <w:bCs w:val="0"/>
          <w:color w:val="auto"/>
          <w:highlight w:val="none"/>
        </w:rPr>
      </w:pPr>
      <w:bookmarkStart w:id="58" w:name="_Toc30454"/>
      <w:bookmarkStart w:id="59" w:name="_Toc30069"/>
      <w:bookmarkStart w:id="60" w:name="_Toc18572"/>
      <w:r>
        <w:rPr>
          <w:rFonts w:hint="eastAsia" w:ascii="宋体" w:hAnsi="宋体" w:eastAsia="宋体" w:cs="宋体"/>
          <w:b/>
          <w:bCs w:val="0"/>
          <w:color w:val="auto"/>
          <w:highlight w:val="none"/>
        </w:rPr>
        <w:t>三、响应文件的编制</w:t>
      </w:r>
      <w:bookmarkEnd w:id="58"/>
      <w:bookmarkEnd w:id="59"/>
      <w:bookmarkEnd w:id="60"/>
    </w:p>
    <w:p w14:paraId="7FBAE8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5B6804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4DA112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0D9AF7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70DCBA30">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AD8AA7F">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1647BA93">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2A7645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0E9CCBF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331F0B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8920C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006591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7874A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3C2801D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74A18C55">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AB10F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5335EF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054823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702040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41F818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47F28E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1"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2CF056B4">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61"/>
    <w:p w14:paraId="20CBF1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8B392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120F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395E24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43513B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26DF93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B1F7D9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38E919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7FB828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75298B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2"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2"/>
      <w:r>
        <w:rPr>
          <w:rFonts w:hint="eastAsia" w:ascii="宋体" w:hAnsi="宋体" w:eastAsia="宋体" w:cs="宋体"/>
          <w:color w:val="auto"/>
          <w:szCs w:val="21"/>
          <w:highlight w:val="none"/>
        </w:rPr>
        <w:t>，否则其响应文件按无效响应处理。骑缝盖公章不视为在规定位置盖章。</w:t>
      </w:r>
    </w:p>
    <w:p w14:paraId="4558EF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5F60E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0E9F667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2E3282F3">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3FDD3A60">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68B6E202">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5A20350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D15A6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65BFFA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AEE9D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0E466C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C62C0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BFF9CFC">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34F040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B7FCF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2077165">
      <w:pPr>
        <w:spacing w:line="360" w:lineRule="auto"/>
        <w:ind w:firstLine="482" w:firstLineChars="200"/>
        <w:rPr>
          <w:rFonts w:hint="eastAsia" w:ascii="宋体" w:hAnsi="宋体" w:eastAsia="宋体" w:cs="宋体"/>
          <w:b/>
          <w:bCs/>
          <w:color w:val="auto"/>
          <w:sz w:val="24"/>
          <w:highlight w:val="none"/>
        </w:rPr>
      </w:pPr>
      <w:bookmarkStart w:id="63" w:name="_Hlk45702405"/>
      <w:r>
        <w:rPr>
          <w:rFonts w:hint="eastAsia" w:ascii="宋体" w:hAnsi="宋体" w:eastAsia="宋体" w:cs="宋体"/>
          <w:b/>
          <w:bCs/>
          <w:color w:val="auto"/>
          <w:sz w:val="24"/>
          <w:highlight w:val="none"/>
        </w:rPr>
        <w:t>22. 首次响应文件的退回</w:t>
      </w:r>
    </w:p>
    <w:p w14:paraId="7428C2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36E526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540A70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3"/>
    </w:p>
    <w:p w14:paraId="1740A2A1">
      <w:pPr>
        <w:pStyle w:val="11"/>
        <w:spacing w:line="360" w:lineRule="auto"/>
        <w:rPr>
          <w:rFonts w:hint="eastAsia" w:ascii="宋体" w:hAnsi="宋体" w:eastAsia="宋体" w:cs="宋体"/>
          <w:color w:val="auto"/>
          <w:highlight w:val="none"/>
        </w:rPr>
      </w:pPr>
    </w:p>
    <w:p w14:paraId="420BB497">
      <w:pPr>
        <w:pStyle w:val="4"/>
        <w:spacing w:before="0" w:after="0" w:line="360" w:lineRule="auto"/>
        <w:rPr>
          <w:rFonts w:hint="eastAsia" w:ascii="宋体" w:hAnsi="宋体" w:eastAsia="宋体" w:cs="宋体"/>
          <w:b/>
          <w:bCs w:val="0"/>
          <w:color w:val="auto"/>
          <w:highlight w:val="none"/>
        </w:rPr>
      </w:pPr>
      <w:bookmarkStart w:id="64" w:name="_Toc25351"/>
      <w:bookmarkStart w:id="65" w:name="_Toc27120"/>
      <w:bookmarkStart w:id="66" w:name="_Toc30168"/>
      <w:r>
        <w:rPr>
          <w:rFonts w:hint="eastAsia" w:ascii="宋体" w:hAnsi="宋体" w:eastAsia="宋体" w:cs="宋体"/>
          <w:b/>
          <w:bCs w:val="0"/>
          <w:color w:val="auto"/>
          <w:highlight w:val="none"/>
        </w:rPr>
        <w:t>四、评审及磋商</w:t>
      </w:r>
      <w:bookmarkEnd w:id="64"/>
      <w:bookmarkEnd w:id="65"/>
      <w:bookmarkEnd w:id="66"/>
    </w:p>
    <w:p w14:paraId="546D94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780A2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D8D39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00E28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A12CD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6F825D10">
      <w:pPr>
        <w:pStyle w:val="15"/>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5F6EDCA2">
      <w:pPr>
        <w:pStyle w:val="15"/>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登录到“政采云”平台电子开标大厅签到并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05569A38">
      <w:pPr>
        <w:pStyle w:val="15"/>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4BA688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03914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0EEE4D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579E51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7EAE0B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B13E9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68526A2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7446CC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59143F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7E3730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C27991C">
      <w:pPr>
        <w:pStyle w:val="11"/>
        <w:spacing w:line="360" w:lineRule="auto"/>
        <w:rPr>
          <w:rFonts w:hint="eastAsia" w:ascii="宋体" w:hAnsi="宋体" w:eastAsia="宋体" w:cs="宋体"/>
          <w:color w:val="auto"/>
          <w:highlight w:val="none"/>
        </w:rPr>
      </w:pPr>
    </w:p>
    <w:p w14:paraId="0BE4C775">
      <w:pPr>
        <w:pStyle w:val="4"/>
        <w:spacing w:before="0" w:after="0" w:line="360" w:lineRule="auto"/>
        <w:rPr>
          <w:rFonts w:hint="eastAsia" w:ascii="宋体" w:hAnsi="宋体" w:eastAsia="宋体" w:cs="宋体"/>
          <w:b/>
          <w:bCs w:val="0"/>
          <w:color w:val="auto"/>
          <w:highlight w:val="none"/>
        </w:rPr>
      </w:pPr>
      <w:bookmarkStart w:id="67" w:name="_Toc24055"/>
      <w:bookmarkStart w:id="68" w:name="_Toc24541"/>
      <w:bookmarkStart w:id="69" w:name="_Toc26245"/>
      <w:r>
        <w:rPr>
          <w:rFonts w:hint="eastAsia" w:ascii="宋体" w:hAnsi="宋体" w:eastAsia="宋体" w:cs="宋体"/>
          <w:b/>
          <w:bCs w:val="0"/>
          <w:color w:val="auto"/>
          <w:highlight w:val="none"/>
        </w:rPr>
        <w:t>五、成交及合同</w:t>
      </w:r>
      <w:bookmarkEnd w:id="67"/>
      <w:bookmarkEnd w:id="68"/>
      <w:bookmarkEnd w:id="69"/>
    </w:p>
    <w:p w14:paraId="48601AD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541705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04DD27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27B844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B05C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A33A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F7B54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5B7CAFD1">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100735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6387CFC8">
      <w:pPr>
        <w:pStyle w:val="29"/>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666C92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66F12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2914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66F3747D">
      <w:pPr>
        <w:pStyle w:val="29"/>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5F724D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7DA9814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6E9A0B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0111EA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0A6D3E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23E975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7D1DCE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138F5B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200B04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E03A7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70A5E9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C10A8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32EA5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3D511B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CE860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045A861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1EFD8F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6FE508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B8443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28096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03E7D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EAF93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0" w:name="_Toc80205930"/>
    </w:p>
    <w:p w14:paraId="111D770B">
      <w:pPr>
        <w:pStyle w:val="11"/>
        <w:spacing w:line="360" w:lineRule="auto"/>
        <w:rPr>
          <w:rFonts w:hint="eastAsia" w:ascii="宋体" w:hAnsi="宋体" w:eastAsia="宋体" w:cs="宋体"/>
          <w:color w:val="auto"/>
          <w:highlight w:val="none"/>
        </w:rPr>
      </w:pPr>
    </w:p>
    <w:p w14:paraId="528FDA2A">
      <w:pPr>
        <w:pStyle w:val="4"/>
        <w:spacing w:before="0" w:after="0" w:line="360" w:lineRule="auto"/>
        <w:rPr>
          <w:rFonts w:hint="eastAsia" w:ascii="宋体" w:hAnsi="宋体" w:eastAsia="宋体" w:cs="宋体"/>
          <w:b/>
          <w:bCs w:val="0"/>
          <w:color w:val="auto"/>
          <w:highlight w:val="none"/>
        </w:rPr>
      </w:pPr>
      <w:bookmarkStart w:id="71" w:name="_Toc7926"/>
      <w:bookmarkStart w:id="72" w:name="_Toc15338"/>
      <w:bookmarkStart w:id="73" w:name="_Toc12020"/>
      <w:r>
        <w:rPr>
          <w:rFonts w:hint="eastAsia" w:ascii="宋体" w:hAnsi="宋体" w:eastAsia="宋体" w:cs="宋体"/>
          <w:b/>
          <w:bCs w:val="0"/>
          <w:color w:val="auto"/>
          <w:highlight w:val="none"/>
        </w:rPr>
        <w:t>六、验收</w:t>
      </w:r>
      <w:bookmarkEnd w:id="70"/>
      <w:bookmarkEnd w:id="71"/>
      <w:bookmarkEnd w:id="72"/>
      <w:bookmarkEnd w:id="73"/>
    </w:p>
    <w:p w14:paraId="5E119E98">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6D4EFA4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3F23BE">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D9C0877">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DD4946">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2FBEC9">
      <w:pPr>
        <w:pStyle w:val="11"/>
        <w:spacing w:line="360" w:lineRule="auto"/>
        <w:rPr>
          <w:rFonts w:hint="eastAsia" w:ascii="宋体" w:hAnsi="宋体" w:eastAsia="宋体" w:cs="宋体"/>
          <w:color w:val="auto"/>
          <w:highlight w:val="none"/>
        </w:rPr>
      </w:pPr>
    </w:p>
    <w:p w14:paraId="5F72E730">
      <w:pPr>
        <w:pStyle w:val="4"/>
        <w:spacing w:before="0" w:after="0" w:line="360" w:lineRule="auto"/>
        <w:rPr>
          <w:rFonts w:hint="eastAsia" w:ascii="宋体" w:hAnsi="宋体" w:eastAsia="宋体" w:cs="宋体"/>
          <w:b/>
          <w:bCs w:val="0"/>
          <w:color w:val="auto"/>
          <w:highlight w:val="none"/>
        </w:rPr>
      </w:pPr>
      <w:bookmarkStart w:id="74" w:name="_Toc3779"/>
      <w:bookmarkStart w:id="75" w:name="_Toc12694"/>
      <w:bookmarkStart w:id="76" w:name="_Toc14544"/>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74"/>
      <w:bookmarkEnd w:id="75"/>
      <w:bookmarkEnd w:id="76"/>
    </w:p>
    <w:p w14:paraId="01660B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6844FCD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0856A46B">
      <w:pPr>
        <w:ind w:firstLine="632" w:firstLineChars="300"/>
        <w:rPr>
          <w:rFonts w:hint="eastAsia"/>
          <w:b/>
          <w:bCs/>
          <w:color w:val="auto"/>
          <w:highlight w:val="none"/>
        </w:rPr>
      </w:pPr>
      <w:r>
        <w:rPr>
          <w:rFonts w:hint="eastAsia"/>
          <w:b/>
          <w:bCs/>
          <w:color w:val="auto"/>
          <w:highlight w:val="none"/>
        </w:rPr>
        <w:t>附件：</w:t>
      </w:r>
    </w:p>
    <w:tbl>
      <w:tblPr>
        <w:tblStyle w:val="24"/>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7"/>
        <w:gridCol w:w="1632"/>
        <w:gridCol w:w="1740"/>
        <w:gridCol w:w="1569"/>
      </w:tblGrid>
      <w:tr w14:paraId="1F5C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3497" w:type="dxa"/>
            <w:tcBorders>
              <w:tl2br w:val="single" w:color="auto" w:sz="4" w:space="0"/>
            </w:tcBorders>
            <w:noWrap w:val="0"/>
            <w:vAlign w:val="top"/>
          </w:tcPr>
          <w:p w14:paraId="5F5E23DD">
            <w:pPr>
              <w:tabs>
                <w:tab w:val="left" w:pos="2835"/>
              </w:tabs>
              <w:spacing w:line="360" w:lineRule="auto"/>
              <w:ind w:firstLine="420" w:firstLineChars="200"/>
              <w:rPr>
                <w:rFonts w:hint="eastAsia" w:ascii="宋体" w:hAnsi="宋体" w:eastAsia="宋体" w:cs="宋体"/>
                <w:color w:val="auto"/>
                <w:szCs w:val="21"/>
                <w:highlight w:val="none"/>
              </w:rPr>
            </w:pPr>
          </w:p>
          <w:p w14:paraId="1C6BACF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4DA59E4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32" w:type="dxa"/>
            <w:noWrap w:val="0"/>
            <w:vAlign w:val="center"/>
          </w:tcPr>
          <w:p w14:paraId="2713FA6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40" w:type="dxa"/>
            <w:noWrap w:val="0"/>
            <w:vAlign w:val="center"/>
          </w:tcPr>
          <w:p w14:paraId="7373D20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69" w:type="dxa"/>
            <w:noWrap w:val="0"/>
            <w:vAlign w:val="center"/>
          </w:tcPr>
          <w:p w14:paraId="14B7D0A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5C46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7" w:type="dxa"/>
            <w:noWrap w:val="0"/>
            <w:vAlign w:val="top"/>
          </w:tcPr>
          <w:p w14:paraId="35F2E4E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32" w:type="dxa"/>
            <w:noWrap w:val="0"/>
            <w:vAlign w:val="top"/>
          </w:tcPr>
          <w:p w14:paraId="303EE5C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40" w:type="dxa"/>
            <w:noWrap w:val="0"/>
            <w:vAlign w:val="top"/>
          </w:tcPr>
          <w:p w14:paraId="5E97B3D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69" w:type="dxa"/>
            <w:noWrap w:val="0"/>
            <w:vAlign w:val="top"/>
          </w:tcPr>
          <w:p w14:paraId="71A4DCD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6DC2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7" w:type="dxa"/>
            <w:noWrap w:val="0"/>
            <w:vAlign w:val="top"/>
          </w:tcPr>
          <w:p w14:paraId="6D4E041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32" w:type="dxa"/>
            <w:noWrap w:val="0"/>
            <w:vAlign w:val="top"/>
          </w:tcPr>
          <w:p w14:paraId="0837B1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40" w:type="dxa"/>
            <w:noWrap w:val="0"/>
            <w:vAlign w:val="top"/>
          </w:tcPr>
          <w:p w14:paraId="5138F74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69" w:type="dxa"/>
            <w:noWrap w:val="0"/>
            <w:vAlign w:val="top"/>
          </w:tcPr>
          <w:p w14:paraId="455BA98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1972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7" w:type="dxa"/>
            <w:noWrap w:val="0"/>
            <w:vAlign w:val="top"/>
          </w:tcPr>
          <w:p w14:paraId="6220417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32" w:type="dxa"/>
            <w:noWrap w:val="0"/>
            <w:vAlign w:val="top"/>
          </w:tcPr>
          <w:p w14:paraId="5B86F00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40" w:type="dxa"/>
            <w:noWrap w:val="0"/>
            <w:vAlign w:val="top"/>
          </w:tcPr>
          <w:p w14:paraId="43E931B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69" w:type="dxa"/>
            <w:noWrap w:val="0"/>
            <w:vAlign w:val="top"/>
          </w:tcPr>
          <w:p w14:paraId="0FF04C1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1C51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7" w:type="dxa"/>
            <w:noWrap w:val="0"/>
            <w:vAlign w:val="top"/>
          </w:tcPr>
          <w:p w14:paraId="4506F8C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32" w:type="dxa"/>
            <w:noWrap w:val="0"/>
            <w:vAlign w:val="top"/>
          </w:tcPr>
          <w:p w14:paraId="6B55B12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40" w:type="dxa"/>
            <w:noWrap w:val="0"/>
            <w:vAlign w:val="top"/>
          </w:tcPr>
          <w:p w14:paraId="5A9DD5A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69" w:type="dxa"/>
            <w:noWrap w:val="0"/>
            <w:vAlign w:val="top"/>
          </w:tcPr>
          <w:p w14:paraId="35A66FC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481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7" w:type="dxa"/>
            <w:noWrap w:val="0"/>
            <w:vAlign w:val="top"/>
          </w:tcPr>
          <w:p w14:paraId="0B84EA6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32" w:type="dxa"/>
            <w:noWrap w:val="0"/>
            <w:vAlign w:val="top"/>
          </w:tcPr>
          <w:p w14:paraId="6B7CAF9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40" w:type="dxa"/>
            <w:noWrap w:val="0"/>
            <w:vAlign w:val="top"/>
          </w:tcPr>
          <w:p w14:paraId="45BE3C4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69" w:type="dxa"/>
            <w:noWrap w:val="0"/>
            <w:vAlign w:val="top"/>
          </w:tcPr>
          <w:p w14:paraId="10B0C26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4BA1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7" w:type="dxa"/>
            <w:noWrap w:val="0"/>
            <w:vAlign w:val="top"/>
          </w:tcPr>
          <w:p w14:paraId="1BF1EDA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32" w:type="dxa"/>
            <w:noWrap w:val="0"/>
            <w:vAlign w:val="top"/>
          </w:tcPr>
          <w:p w14:paraId="55B3AF2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40" w:type="dxa"/>
            <w:noWrap w:val="0"/>
            <w:vAlign w:val="top"/>
          </w:tcPr>
          <w:p w14:paraId="1FC2544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69" w:type="dxa"/>
            <w:noWrap w:val="0"/>
            <w:vAlign w:val="top"/>
          </w:tcPr>
          <w:p w14:paraId="508E148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11B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7" w:type="dxa"/>
            <w:noWrap w:val="0"/>
            <w:vAlign w:val="top"/>
          </w:tcPr>
          <w:p w14:paraId="0E11A6E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32" w:type="dxa"/>
            <w:noWrap w:val="0"/>
            <w:vAlign w:val="top"/>
          </w:tcPr>
          <w:p w14:paraId="7E7E39A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40" w:type="dxa"/>
            <w:noWrap w:val="0"/>
            <w:vAlign w:val="top"/>
          </w:tcPr>
          <w:p w14:paraId="2DFD5D9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69" w:type="dxa"/>
            <w:noWrap w:val="0"/>
            <w:vAlign w:val="top"/>
          </w:tcPr>
          <w:p w14:paraId="744B6E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51D7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7" w:type="dxa"/>
            <w:noWrap w:val="0"/>
            <w:vAlign w:val="top"/>
          </w:tcPr>
          <w:p w14:paraId="09496E5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32" w:type="dxa"/>
            <w:noWrap w:val="0"/>
            <w:vAlign w:val="top"/>
          </w:tcPr>
          <w:p w14:paraId="478B98C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40" w:type="dxa"/>
            <w:noWrap w:val="0"/>
            <w:vAlign w:val="top"/>
          </w:tcPr>
          <w:p w14:paraId="33898E8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69" w:type="dxa"/>
            <w:noWrap w:val="0"/>
            <w:vAlign w:val="top"/>
          </w:tcPr>
          <w:p w14:paraId="5B6DAFE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C5B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97" w:type="dxa"/>
            <w:noWrap w:val="0"/>
            <w:vAlign w:val="top"/>
          </w:tcPr>
          <w:p w14:paraId="52126A4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32" w:type="dxa"/>
            <w:noWrap w:val="0"/>
            <w:vAlign w:val="top"/>
          </w:tcPr>
          <w:p w14:paraId="29B8EC1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40" w:type="dxa"/>
            <w:noWrap w:val="0"/>
            <w:vAlign w:val="top"/>
          </w:tcPr>
          <w:p w14:paraId="51BE07C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69" w:type="dxa"/>
            <w:noWrap w:val="0"/>
            <w:vAlign w:val="top"/>
          </w:tcPr>
          <w:p w14:paraId="45D3F55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7B2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497" w:type="dxa"/>
            <w:noWrap w:val="0"/>
            <w:vAlign w:val="top"/>
          </w:tcPr>
          <w:p w14:paraId="1FFB055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32" w:type="dxa"/>
            <w:noWrap w:val="0"/>
            <w:vAlign w:val="top"/>
          </w:tcPr>
          <w:p w14:paraId="4FA5C65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40" w:type="dxa"/>
            <w:noWrap w:val="0"/>
            <w:vAlign w:val="top"/>
          </w:tcPr>
          <w:p w14:paraId="5421D31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69" w:type="dxa"/>
            <w:noWrap w:val="0"/>
            <w:vAlign w:val="top"/>
          </w:tcPr>
          <w:p w14:paraId="75B8CAC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0380DDF1">
      <w:pPr>
        <w:spacing w:line="360" w:lineRule="auto"/>
        <w:ind w:firstLine="482" w:firstLineChars="200"/>
        <w:rPr>
          <w:rFonts w:hint="eastAsia" w:ascii="宋体" w:hAnsi="宋体" w:eastAsia="宋体" w:cs="宋体"/>
          <w:b/>
          <w:bCs/>
          <w:color w:val="auto"/>
          <w:sz w:val="24"/>
          <w:highlight w:val="none"/>
        </w:rPr>
      </w:pPr>
    </w:p>
    <w:p w14:paraId="1D44F64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3BB8C406">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3434FFD5">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299F1274">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6EAE6279">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0A7E8D2C">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403C253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476308E8">
      <w:pPr>
        <w:pStyle w:val="15"/>
        <w:spacing w:line="360" w:lineRule="auto"/>
        <w:ind w:firstLine="420" w:firstLineChars="200"/>
        <w:textAlignment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为优化政府采购营商环境，缓解供应商资金难题，南宁市政府采购试行政府采购信用融资制度，</w:t>
      </w:r>
      <w:r>
        <w:rPr>
          <w:rFonts w:hint="eastAsia" w:hAnsi="宋体" w:cs="宋体"/>
          <w:color w:val="auto"/>
          <w:sz w:val="21"/>
          <w:highlight w:val="none"/>
          <w:lang w:val="en-US" w:eastAsia="zh-CN"/>
        </w:rPr>
        <w:t>成交</w:t>
      </w:r>
      <w:r>
        <w:rPr>
          <w:rFonts w:hint="eastAsia" w:ascii="宋体" w:hAnsi="宋体" w:eastAsia="宋体" w:cs="宋体"/>
          <w:color w:val="auto"/>
          <w:sz w:val="21"/>
          <w:highlight w:val="none"/>
        </w:rPr>
        <w:t>供应商如有融资需求，可凭政府采购合同通过以下方式申请政府采购信用融资贷款:</w:t>
      </w:r>
    </w:p>
    <w:p w14:paraId="50E332E3">
      <w:pPr>
        <w:pStyle w:val="15"/>
        <w:numPr>
          <w:ilvl w:val="0"/>
          <w:numId w:val="3"/>
        </w:numPr>
        <w:spacing w:line="360" w:lineRule="auto"/>
        <w:ind w:firstLine="420" w:firstLineChars="200"/>
        <w:textAlignment w:val="center"/>
        <w:rPr>
          <w:rFonts w:hint="eastAsia" w:ascii="宋体" w:hAnsi="宋体" w:eastAsia="宋体" w:cs="Times New Roman"/>
          <w:color w:val="auto"/>
          <w:kern w:val="0"/>
          <w:sz w:val="21"/>
          <w:szCs w:val="21"/>
          <w:highlight w:val="none"/>
          <w:lang w:val="en-US" w:eastAsia="zh-CN" w:bidi="ar-SA"/>
        </w:rPr>
      </w:pPr>
      <w:r>
        <w:rPr>
          <w:rFonts w:hint="eastAsia" w:hAnsi="宋体" w:cs="宋体"/>
          <w:color w:val="auto"/>
          <w:sz w:val="21"/>
          <w:highlight w:val="none"/>
          <w:lang w:val="en-US" w:eastAsia="zh-CN"/>
        </w:rPr>
        <w:t>线下渠道：</w:t>
      </w:r>
      <w:r>
        <w:rPr>
          <w:rFonts w:hint="eastAsia" w:ascii="宋体" w:hAnsi="宋体" w:eastAsia="宋体" w:cs="Times New Roman"/>
          <w:color w:val="auto"/>
          <w:kern w:val="0"/>
          <w:sz w:val="21"/>
          <w:szCs w:val="21"/>
          <w:highlight w:val="none"/>
          <w:lang w:val="en-US" w:eastAsia="zh-CN" w:bidi="ar-SA"/>
        </w:rPr>
        <w:t>在“南宁市公共资源交易中心”官网（网址：</w:t>
      </w:r>
      <w:r>
        <w:rPr>
          <w:rFonts w:hint="eastAsia" w:ascii="宋体" w:hAnsi="宋体" w:eastAsia="宋体" w:cs="Times New Roman"/>
          <w:color w:val="auto"/>
          <w:kern w:val="0"/>
          <w:sz w:val="21"/>
          <w:szCs w:val="21"/>
          <w:highlight w:val="none"/>
          <w:lang w:val="en-US" w:eastAsia="zh-CN" w:bidi="ar-SA"/>
        </w:rPr>
        <w:fldChar w:fldCharType="begin"/>
      </w:r>
      <w:r>
        <w:rPr>
          <w:rFonts w:hint="eastAsia" w:ascii="宋体" w:hAnsi="宋体" w:eastAsia="宋体" w:cs="Times New Roman"/>
          <w:color w:val="auto"/>
          <w:kern w:val="0"/>
          <w:sz w:val="21"/>
          <w:szCs w:val="21"/>
          <w:highlight w:val="none"/>
          <w:lang w:val="en-US" w:eastAsia="zh-CN" w:bidi="ar-SA"/>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Times New Roman"/>
          <w:color w:val="auto"/>
          <w:kern w:val="0"/>
          <w:sz w:val="21"/>
          <w:szCs w:val="21"/>
          <w:highlight w:val="none"/>
          <w:lang w:val="en-US" w:eastAsia="zh-CN" w:bidi="ar-SA"/>
        </w:rPr>
        <w:fldChar w:fldCharType="separate"/>
      </w:r>
      <w:r>
        <w:rPr>
          <w:rStyle w:val="28"/>
          <w:rFonts w:hint="eastAsia" w:ascii="宋体" w:hAnsi="宋体" w:eastAsia="宋体" w:cs="Times New Roman"/>
          <w:color w:val="auto"/>
          <w:kern w:val="0"/>
          <w:sz w:val="21"/>
          <w:szCs w:val="21"/>
          <w:highlight w:val="none"/>
          <w:lang w:val="en-US" w:eastAsia="zh-CN" w:bidi="ar-SA"/>
        </w:rPr>
        <w:t>http://www.nnggzy.org.cn）“交易信息-政府采购-政府采购信用融资”中融资银行和南宁市企业融资服务中心专栏信息申请政府采购信用融资。</w:t>
      </w:r>
      <w:r>
        <w:rPr>
          <w:rFonts w:hint="eastAsia" w:ascii="宋体" w:hAnsi="宋体" w:eastAsia="宋体" w:cs="Times New Roman"/>
          <w:color w:val="auto"/>
          <w:kern w:val="0"/>
          <w:sz w:val="21"/>
          <w:szCs w:val="21"/>
          <w:highlight w:val="none"/>
          <w:lang w:val="en-US" w:eastAsia="zh-CN" w:bidi="ar-SA"/>
        </w:rPr>
        <w:fldChar w:fldCharType="end"/>
      </w:r>
    </w:p>
    <w:p w14:paraId="2568D706">
      <w:pPr>
        <w:pStyle w:val="15"/>
        <w:numPr>
          <w:ilvl w:val="0"/>
          <w:numId w:val="3"/>
        </w:numPr>
        <w:wordWrap w:val="0"/>
        <w:spacing w:line="360" w:lineRule="auto"/>
        <w:ind w:firstLine="420" w:firstLineChars="200"/>
        <w:textAlignment w:val="center"/>
        <w:rPr>
          <w:rFonts w:hint="eastAsia" w:ascii="宋体" w:hAnsi="宋体" w:eastAsia="宋体" w:cs="宋体"/>
          <w:color w:val="auto"/>
          <w:highlight w:val="none"/>
        </w:rPr>
      </w:pPr>
      <w:r>
        <w:rPr>
          <w:rFonts w:hint="eastAsia" w:ascii="宋体" w:hAnsi="宋体" w:eastAsia="宋体" w:cs="Times New Roman"/>
          <w:color w:val="auto"/>
          <w:kern w:val="0"/>
          <w:sz w:val="21"/>
          <w:szCs w:val="21"/>
          <w:highlight w:val="none"/>
          <w:lang w:val="en-US" w:eastAsia="zh-CN" w:bidi="ar-SA"/>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6AAE38A7">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19FF45EA">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6B600799">
      <w:pPr>
        <w:pStyle w:val="15"/>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2026810C">
      <w:pPr>
        <w:pStyle w:val="15"/>
        <w:numPr>
          <w:ilvl w:val="0"/>
          <w:numId w:val="0"/>
        </w:numPr>
        <w:spacing w:line="360" w:lineRule="auto"/>
        <w:ind w:firstLine="0" w:firstLineChars="0"/>
        <w:textAlignment w:val="center"/>
        <w:rPr>
          <w:rFonts w:hint="eastAsia" w:ascii="宋体" w:hAnsi="宋体" w:eastAsia="宋体" w:cs="宋体"/>
          <w:color w:val="auto"/>
          <w:highlight w:val="none"/>
        </w:rPr>
      </w:pPr>
    </w:p>
    <w:p w14:paraId="50751CB3">
      <w:pPr>
        <w:pStyle w:val="2"/>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2FFC943">
      <w:pPr>
        <w:pStyle w:val="2"/>
        <w:spacing w:line="360" w:lineRule="auto"/>
        <w:jc w:val="center"/>
        <w:rPr>
          <w:rFonts w:hint="eastAsia" w:ascii="宋体" w:hAnsi="宋体" w:eastAsia="宋体" w:cs="宋体"/>
          <w:b/>
          <w:bCs/>
          <w:color w:val="auto"/>
          <w:highlight w:val="none"/>
        </w:rPr>
      </w:pPr>
      <w:bookmarkStart w:id="77" w:name="_Toc22508"/>
      <w:bookmarkStart w:id="78" w:name="_Toc16334"/>
      <w:bookmarkStart w:id="79" w:name="_Toc14829"/>
      <w:r>
        <w:rPr>
          <w:rFonts w:hint="eastAsia" w:ascii="宋体" w:hAnsi="宋体" w:eastAsia="宋体" w:cs="宋体"/>
          <w:b/>
          <w:bCs/>
          <w:color w:val="auto"/>
          <w:highlight w:val="none"/>
        </w:rPr>
        <w:t>第四章 评审程序、评审方法和评审标准</w:t>
      </w:r>
      <w:bookmarkEnd w:id="77"/>
      <w:bookmarkEnd w:id="78"/>
      <w:bookmarkEnd w:id="79"/>
    </w:p>
    <w:p w14:paraId="1E4DF6E6">
      <w:pPr>
        <w:pStyle w:val="3"/>
        <w:spacing w:line="360" w:lineRule="auto"/>
        <w:jc w:val="center"/>
        <w:rPr>
          <w:rFonts w:hint="eastAsia" w:ascii="宋体" w:hAnsi="宋体" w:eastAsia="宋体" w:cs="宋体"/>
          <w:b w:val="0"/>
          <w:color w:val="auto"/>
          <w:highlight w:val="none"/>
        </w:rPr>
      </w:pPr>
      <w:bookmarkStart w:id="80" w:name="_Toc23306"/>
      <w:bookmarkStart w:id="81" w:name="_Toc2012"/>
      <w:bookmarkStart w:id="82" w:name="_Toc8295"/>
      <w:r>
        <w:rPr>
          <w:rFonts w:hint="eastAsia" w:ascii="宋体" w:hAnsi="宋体" w:eastAsia="宋体" w:cs="宋体"/>
          <w:b w:val="0"/>
          <w:color w:val="auto"/>
          <w:highlight w:val="none"/>
        </w:rPr>
        <w:t>第一节 评审程序和评审方法</w:t>
      </w:r>
      <w:bookmarkEnd w:id="80"/>
      <w:bookmarkEnd w:id="81"/>
      <w:bookmarkEnd w:id="82"/>
    </w:p>
    <w:p w14:paraId="49A79C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541C4B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1E30B5B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61A345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18F6EB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1FAEF0E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8"/>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8"/>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3856C90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BD9CFE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04D44F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CD93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24A8D5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5FB0862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A68FE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76C09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266B21E5">
      <w:pPr>
        <w:spacing w:line="360" w:lineRule="auto"/>
        <w:ind w:firstLine="420" w:firstLineChars="200"/>
        <w:rPr>
          <w:rFonts w:hint="eastAsia" w:ascii="宋体" w:hAnsi="宋体" w:eastAsia="宋体" w:cs="宋体"/>
          <w:color w:val="auto"/>
          <w:szCs w:val="21"/>
          <w:highlight w:val="none"/>
        </w:rPr>
      </w:pPr>
      <w:bookmarkStart w:id="8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3"/>
    </w:p>
    <w:p w14:paraId="00EA1F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658A8D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35D5F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C7CDA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0138F7">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71E82986">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97BFF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00965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CEB2A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3C856B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096E14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849E6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01B9F1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3D5D7B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10CF67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7CF52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59720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A989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458EF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153B56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1CDDD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554CBE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8A42C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7EFFCF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服务参数</w:t>
      </w:r>
      <w:r>
        <w:rPr>
          <w:rFonts w:hint="eastAsia" w:ascii="宋体" w:hAnsi="宋体" w:eastAsia="宋体" w:cs="宋体"/>
          <w:color w:val="auto"/>
          <w:szCs w:val="21"/>
          <w:highlight w:val="none"/>
        </w:rPr>
        <w:t>允许负偏离的条款数超过“供应商须知前附表”规定项数；</w:t>
      </w:r>
    </w:p>
    <w:p w14:paraId="669681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C638E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AF761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44CDCC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5DDAA6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5596DD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93C59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响应文件未提供“供应商须知前附表”报价文件中规定的“响应报价表”；</w:t>
      </w:r>
    </w:p>
    <w:p w14:paraId="6DBDFA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729D88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B8587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9CA47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CEACE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53F6E7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0430A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DF0F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FBF2B5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CBA2F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CA817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2C601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66D80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FAEF3D4">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7E499073">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1B59FDD2">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70173A7D">
      <w:pPr>
        <w:pStyle w:val="29"/>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183087F9">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9AA58F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E02B5E9">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36BD5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8D04B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34933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AB087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1AFC80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79FD18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1199F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3E1720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5CEF39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2E529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01E2CA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ED38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70D552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69347F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1539F39">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20CAB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0F94E6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5F73C6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1353A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48B5A5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6CD859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B1EBE4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ABB29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888CBD">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0F9512A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6657E0CA">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5803D3A">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73D8069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p w14:paraId="06717948">
      <w:pPr>
        <w:spacing w:line="360" w:lineRule="auto"/>
        <w:ind w:firstLine="420" w:firstLineChars="200"/>
        <w:rPr>
          <w:rFonts w:hint="eastAsia" w:ascii="宋体" w:hAnsi="宋体" w:eastAsia="宋体" w:cs="Times New Roman"/>
          <w:color w:val="auto"/>
          <w:szCs w:val="21"/>
          <w:highlight w:val="none"/>
        </w:rPr>
      </w:pPr>
    </w:p>
    <w:p w14:paraId="2CBA49FD">
      <w:pPr>
        <w:spacing w:line="360" w:lineRule="auto"/>
        <w:ind w:firstLine="420" w:firstLineChars="200"/>
        <w:rPr>
          <w:rFonts w:hint="eastAsia" w:ascii="宋体" w:hAnsi="宋体" w:eastAsia="宋体" w:cs="Times New Roman"/>
          <w:color w:val="auto"/>
          <w:szCs w:val="21"/>
          <w:highlight w:val="none"/>
        </w:rPr>
      </w:pPr>
    </w:p>
    <w:p w14:paraId="126863C6">
      <w:pPr>
        <w:spacing w:line="360" w:lineRule="auto"/>
        <w:ind w:firstLine="420" w:firstLineChars="200"/>
        <w:rPr>
          <w:rFonts w:hint="eastAsia" w:ascii="宋体" w:hAnsi="宋体" w:eastAsia="宋体" w:cs="Times New Roman"/>
          <w:color w:val="auto"/>
          <w:szCs w:val="21"/>
          <w:highlight w:val="none"/>
        </w:rPr>
      </w:pPr>
    </w:p>
    <w:p w14:paraId="7B8371A2">
      <w:pPr>
        <w:spacing w:line="360" w:lineRule="auto"/>
        <w:ind w:firstLine="420" w:firstLineChars="200"/>
        <w:rPr>
          <w:rFonts w:hint="eastAsia" w:ascii="宋体" w:hAnsi="宋体" w:eastAsia="宋体" w:cs="Times New Roman"/>
          <w:color w:val="auto"/>
          <w:szCs w:val="21"/>
          <w:highlight w:val="none"/>
        </w:rPr>
      </w:pPr>
    </w:p>
    <w:tbl>
      <w:tblPr>
        <w:tblStyle w:val="24"/>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205"/>
        <w:gridCol w:w="1414"/>
        <w:gridCol w:w="6205"/>
      </w:tblGrid>
      <w:tr w14:paraId="01D3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09" w:type="dxa"/>
            <w:tcBorders>
              <w:right w:val="single" w:color="auto" w:sz="4" w:space="0"/>
            </w:tcBorders>
            <w:noWrap w:val="0"/>
            <w:vAlign w:val="center"/>
          </w:tcPr>
          <w:p w14:paraId="14CBDC62">
            <w:pPr>
              <w:widowControl/>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C4F43F8">
            <w:pPr>
              <w:widowControl/>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7619" w:type="dxa"/>
            <w:gridSpan w:val="2"/>
            <w:tcBorders>
              <w:left w:val="single" w:color="auto" w:sz="4" w:space="0"/>
            </w:tcBorders>
            <w:noWrap w:val="0"/>
            <w:vAlign w:val="center"/>
          </w:tcPr>
          <w:p w14:paraId="6C6FBCCD">
            <w:pPr>
              <w:widowControl/>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评审因素具体内容</w:t>
            </w:r>
          </w:p>
        </w:tc>
      </w:tr>
      <w:tr w14:paraId="13C6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9" w:type="dxa"/>
            <w:tcBorders>
              <w:right w:val="single" w:color="auto" w:sz="4" w:space="0"/>
            </w:tcBorders>
            <w:noWrap w:val="0"/>
            <w:vAlign w:val="center"/>
          </w:tcPr>
          <w:p w14:paraId="6C8B8C97">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8ECF333">
            <w:pPr>
              <w:spacing w:line="400" w:lineRule="exact"/>
              <w:rPr>
                <w:rFonts w:hint="eastAsia" w:ascii="宋体" w:hAnsi="宋体" w:eastAsia="宋体" w:cs="微软雅黑"/>
                <w:color w:val="auto"/>
                <w:sz w:val="21"/>
                <w:szCs w:val="21"/>
              </w:rPr>
            </w:pPr>
            <w:r>
              <w:rPr>
                <w:rFonts w:hint="eastAsia" w:ascii="宋体" w:hAnsi="宋体" w:eastAsia="宋体" w:cs="微软雅黑"/>
                <w:color w:val="auto"/>
                <w:sz w:val="21"/>
                <w:szCs w:val="21"/>
              </w:rPr>
              <w:t>价格分</w:t>
            </w:r>
          </w:p>
          <w:p w14:paraId="604179D7">
            <w:pPr>
              <w:spacing w:line="400" w:lineRule="exact"/>
              <w:rPr>
                <w:rFonts w:hint="eastAsia" w:ascii="宋体" w:hAnsi="宋体" w:eastAsia="宋体" w:cs="微软雅黑"/>
                <w:color w:val="auto"/>
                <w:sz w:val="21"/>
                <w:szCs w:val="21"/>
              </w:rPr>
            </w:pPr>
            <w:r>
              <w:rPr>
                <w:rFonts w:hint="eastAsia" w:ascii="宋体" w:hAnsi="宋体" w:eastAsia="宋体" w:cs="微软雅黑"/>
                <w:color w:val="auto"/>
                <w:sz w:val="21"/>
                <w:szCs w:val="21"/>
              </w:rPr>
              <w:t>（</w:t>
            </w:r>
            <w:r>
              <w:rPr>
                <w:rFonts w:hint="eastAsia" w:ascii="宋体" w:hAnsi="宋体" w:eastAsia="宋体" w:cs="微软雅黑"/>
                <w:color w:val="auto"/>
                <w:sz w:val="21"/>
                <w:szCs w:val="21"/>
                <w:lang w:val="en-US" w:eastAsia="zh-CN"/>
              </w:rPr>
              <w:t>15</w:t>
            </w:r>
            <w:r>
              <w:rPr>
                <w:rFonts w:hint="eastAsia" w:ascii="宋体" w:hAnsi="宋体" w:eastAsia="宋体" w:cs="微软雅黑"/>
                <w:color w:val="auto"/>
                <w:sz w:val="21"/>
                <w:szCs w:val="21"/>
              </w:rPr>
              <w:t>分）</w:t>
            </w:r>
          </w:p>
        </w:tc>
        <w:tc>
          <w:tcPr>
            <w:tcW w:w="7619" w:type="dxa"/>
            <w:gridSpan w:val="2"/>
            <w:tcBorders>
              <w:left w:val="single" w:color="auto" w:sz="4" w:space="0"/>
            </w:tcBorders>
            <w:noWrap w:val="0"/>
            <w:vAlign w:val="top"/>
          </w:tcPr>
          <w:p w14:paraId="4788AEFD">
            <w:pPr>
              <w:spacing w:line="400" w:lineRule="exact"/>
              <w:rPr>
                <w:rFonts w:hint="eastAsia" w:ascii="宋体" w:hAnsi="宋体" w:eastAsia="宋体" w:cs="微软雅黑"/>
                <w:color w:val="auto"/>
                <w:sz w:val="21"/>
                <w:szCs w:val="21"/>
              </w:rPr>
            </w:pPr>
            <w:r>
              <w:rPr>
                <w:rFonts w:hint="eastAsia" w:ascii="宋体" w:hAnsi="宋体" w:eastAsia="宋体" w:cs="微软雅黑"/>
                <w:color w:val="auto"/>
                <w:sz w:val="21"/>
                <w:szCs w:val="21"/>
                <w:lang w:eastAsia="zh-CN"/>
              </w:rPr>
              <w:t>（</w:t>
            </w:r>
            <w:r>
              <w:rPr>
                <w:rFonts w:hint="eastAsia" w:ascii="宋体" w:hAnsi="宋体" w:cs="微软雅黑"/>
                <w:color w:val="auto"/>
                <w:sz w:val="21"/>
                <w:szCs w:val="21"/>
                <w:lang w:val="en-US" w:eastAsia="zh-CN"/>
              </w:rPr>
              <w:t>1</w:t>
            </w:r>
            <w:r>
              <w:rPr>
                <w:rFonts w:hint="eastAsia" w:ascii="宋体" w:hAnsi="宋体" w:eastAsia="宋体" w:cs="微软雅黑"/>
                <w:color w:val="auto"/>
                <w:sz w:val="21"/>
                <w:szCs w:val="21"/>
                <w:lang w:val="en-US" w:eastAsia="zh-CN"/>
              </w:rPr>
              <w:t>）</w:t>
            </w:r>
            <w:r>
              <w:rPr>
                <w:rFonts w:hint="eastAsia" w:ascii="宋体" w:hAnsi="宋体" w:eastAsia="宋体" w:cs="微软雅黑"/>
                <w:color w:val="auto"/>
                <w:sz w:val="21"/>
                <w:szCs w:val="21"/>
              </w:rPr>
              <w:t>政府采购政策性扣除计算方法</w:t>
            </w:r>
          </w:p>
          <w:p w14:paraId="625C9192">
            <w:pPr>
              <w:spacing w:line="400" w:lineRule="exact"/>
              <w:ind w:firstLine="420" w:firstLineChars="200"/>
              <w:rPr>
                <w:rFonts w:hint="eastAsia" w:ascii="宋体" w:hAnsi="宋体" w:eastAsia="宋体" w:cs="微软雅黑"/>
                <w:color w:val="auto"/>
                <w:sz w:val="21"/>
                <w:szCs w:val="21"/>
              </w:rPr>
            </w:pPr>
            <w:r>
              <w:rPr>
                <w:rFonts w:hint="eastAsia" w:ascii="宋体" w:hAnsi="宋体" w:eastAsia="宋体" w:cs="微软雅黑"/>
                <w:color w:val="auto"/>
                <w:sz w:val="21"/>
                <w:szCs w:val="21"/>
              </w:rPr>
              <w:t>按照《政府采购促进中小企业发展管理办法》(财库[2020]46号)及《广西壮族自治区财政厅关于进一步发挥政府采购政策功能促进企业发展的通知》(桂财采 (2022) 30 号)，</w:t>
            </w:r>
            <w:r>
              <w:rPr>
                <w:rFonts w:hint="eastAsia" w:ascii="宋体" w:hAnsi="宋体" w:eastAsia="宋体" w:cs="微软雅黑"/>
                <w:b/>
                <w:bCs/>
                <w:color w:val="auto"/>
                <w:sz w:val="21"/>
                <w:szCs w:val="21"/>
              </w:rPr>
              <w:t>本项目专门面向小微企业采购</w:t>
            </w:r>
            <w:r>
              <w:rPr>
                <w:rFonts w:hint="eastAsia" w:ascii="宋体" w:hAnsi="宋体" w:eastAsia="宋体" w:cs="微软雅黑"/>
                <w:color w:val="auto"/>
                <w:sz w:val="21"/>
                <w:szCs w:val="21"/>
              </w:rPr>
              <w:t>，不再执行价格评审优惠的扶持政策</w:t>
            </w:r>
            <w:r>
              <w:rPr>
                <w:rFonts w:hint="eastAsia" w:ascii="宋体" w:hAnsi="宋体" w:eastAsia="宋体" w:cs="微软雅黑"/>
                <w:color w:val="auto"/>
                <w:sz w:val="21"/>
                <w:szCs w:val="21"/>
                <w:lang w:eastAsia="zh-CN"/>
              </w:rPr>
              <w:t>；</w:t>
            </w:r>
            <w:r>
              <w:rPr>
                <w:rFonts w:hint="eastAsia" w:ascii="宋体" w:hAnsi="宋体" w:eastAsia="宋体" w:cs="微软雅黑"/>
                <w:color w:val="auto"/>
                <w:sz w:val="21"/>
                <w:szCs w:val="21"/>
              </w:rPr>
              <w:t>监狱企业或残疾人福利性单位视同小型、微型企业。</w:t>
            </w:r>
          </w:p>
          <w:p w14:paraId="7EBCD087">
            <w:pPr>
              <w:spacing w:line="400" w:lineRule="exact"/>
              <w:rPr>
                <w:rFonts w:hint="eastAsia" w:ascii="宋体" w:hAnsi="宋体" w:eastAsia="宋体" w:cs="微软雅黑"/>
                <w:color w:val="auto"/>
                <w:sz w:val="21"/>
                <w:szCs w:val="21"/>
              </w:rPr>
            </w:pPr>
            <w:r>
              <w:rPr>
                <w:rFonts w:hint="eastAsia" w:ascii="宋体" w:hAnsi="宋体" w:eastAsia="宋体" w:cs="微软雅黑"/>
                <w:color w:val="auto"/>
                <w:sz w:val="21"/>
                <w:szCs w:val="21"/>
              </w:rPr>
              <w:t>（</w:t>
            </w:r>
            <w:r>
              <w:rPr>
                <w:rFonts w:hint="eastAsia" w:ascii="宋体" w:hAnsi="宋体" w:cs="微软雅黑"/>
                <w:color w:val="auto"/>
                <w:sz w:val="21"/>
                <w:szCs w:val="21"/>
                <w:lang w:val="en-US" w:eastAsia="zh-CN"/>
              </w:rPr>
              <w:t>2</w:t>
            </w:r>
            <w:r>
              <w:rPr>
                <w:rFonts w:hint="eastAsia" w:ascii="宋体" w:hAnsi="宋体" w:eastAsia="宋体" w:cs="微软雅黑"/>
                <w:color w:val="auto"/>
                <w:sz w:val="21"/>
                <w:szCs w:val="21"/>
              </w:rPr>
              <w:t>）评审报价为供应商的最后报价(如有修正，以确认修正后的最后报价为准)。</w:t>
            </w:r>
          </w:p>
          <w:p w14:paraId="06195D3F">
            <w:pPr>
              <w:spacing w:line="400" w:lineRule="exact"/>
              <w:rPr>
                <w:rFonts w:hint="eastAsia" w:ascii="宋体" w:hAnsi="宋体" w:eastAsia="宋体" w:cs="微软雅黑"/>
                <w:color w:val="auto"/>
                <w:sz w:val="21"/>
                <w:szCs w:val="21"/>
              </w:rPr>
            </w:pPr>
            <w:r>
              <w:rPr>
                <w:rFonts w:hint="eastAsia" w:ascii="宋体" w:hAnsi="宋体" w:eastAsia="宋体" w:cs="微软雅黑"/>
                <w:color w:val="auto"/>
                <w:sz w:val="21"/>
                <w:szCs w:val="21"/>
              </w:rPr>
              <w:t>（3）满足采购文件要求且评标报价最低的评标报价为评标基准价，其价格分为满分。</w:t>
            </w:r>
          </w:p>
          <w:p w14:paraId="44782528">
            <w:pPr>
              <w:spacing w:line="400" w:lineRule="exact"/>
              <w:rPr>
                <w:rFonts w:hint="eastAsia" w:ascii="宋体" w:hAnsi="宋体" w:eastAsia="宋体" w:cs="微软雅黑"/>
                <w:color w:val="auto"/>
                <w:sz w:val="21"/>
                <w:szCs w:val="21"/>
              </w:rPr>
            </w:pPr>
            <w:r>
              <w:rPr>
                <w:rFonts w:hint="eastAsia" w:ascii="宋体" w:hAnsi="宋体" w:eastAsia="宋体" w:cs="微软雅黑"/>
                <w:color w:val="auto"/>
                <w:sz w:val="21"/>
                <w:szCs w:val="21"/>
              </w:rPr>
              <w:t>（</w:t>
            </w:r>
            <w:r>
              <w:rPr>
                <w:rFonts w:hint="eastAsia" w:ascii="宋体" w:hAnsi="宋体" w:eastAsia="宋体" w:cs="微软雅黑"/>
                <w:color w:val="auto"/>
                <w:sz w:val="21"/>
                <w:szCs w:val="21"/>
                <w:lang w:val="en-US" w:eastAsia="zh-CN"/>
              </w:rPr>
              <w:t>4</w:t>
            </w:r>
            <w:r>
              <w:rPr>
                <w:rFonts w:hint="eastAsia" w:ascii="宋体" w:hAnsi="宋体" w:eastAsia="宋体" w:cs="微软雅黑"/>
                <w:color w:val="auto"/>
                <w:sz w:val="21"/>
                <w:szCs w:val="21"/>
              </w:rPr>
              <w:t xml:space="preserve">）价格分计算公式：        </w:t>
            </w:r>
          </w:p>
          <w:p w14:paraId="164F3D0F">
            <w:pPr>
              <w:spacing w:line="400" w:lineRule="exact"/>
              <w:ind w:firstLine="420" w:firstLineChars="200"/>
              <w:rPr>
                <w:rFonts w:hint="eastAsia" w:ascii="宋体" w:hAnsi="宋体" w:eastAsia="宋体" w:cs="微软雅黑"/>
                <w:color w:val="auto"/>
                <w:sz w:val="21"/>
                <w:szCs w:val="21"/>
              </w:rPr>
            </w:pPr>
            <w:r>
              <w:rPr>
                <w:rFonts w:hint="eastAsia" w:ascii="宋体" w:hAnsi="宋体" w:eastAsia="宋体" w:cs="微软雅黑"/>
                <w:color w:val="auto"/>
                <w:sz w:val="21"/>
                <w:szCs w:val="21"/>
              </w:rPr>
              <w:t>供应商报价得分 =（磋商基准价/评审价）×</w:t>
            </w:r>
            <w:r>
              <w:rPr>
                <w:rFonts w:hint="eastAsia" w:ascii="宋体" w:hAnsi="宋体" w:eastAsia="宋体" w:cs="微软雅黑"/>
                <w:color w:val="auto"/>
                <w:sz w:val="21"/>
                <w:szCs w:val="21"/>
                <w:lang w:val="en-US" w:eastAsia="zh-CN"/>
              </w:rPr>
              <w:t>15</w:t>
            </w:r>
            <w:r>
              <w:rPr>
                <w:rFonts w:hint="eastAsia" w:ascii="宋体" w:hAnsi="宋体" w:eastAsia="宋体" w:cs="微软雅黑"/>
                <w:color w:val="auto"/>
                <w:sz w:val="21"/>
                <w:szCs w:val="21"/>
              </w:rPr>
              <w:t>分</w:t>
            </w:r>
          </w:p>
          <w:p w14:paraId="4CFA43FB">
            <w:pPr>
              <w:spacing w:line="400" w:lineRule="exact"/>
              <w:ind w:firstLine="420" w:firstLineChars="200"/>
              <w:rPr>
                <w:rFonts w:hint="eastAsia" w:ascii="宋体" w:hAnsi="宋体" w:eastAsia="宋体" w:cs="微软雅黑"/>
                <w:color w:val="auto"/>
                <w:sz w:val="21"/>
                <w:szCs w:val="21"/>
              </w:rPr>
            </w:pPr>
            <w:r>
              <w:rPr>
                <w:rFonts w:hint="eastAsia" w:ascii="宋体" w:hAnsi="宋体" w:eastAsia="宋体" w:cs="微软雅黑"/>
                <w:color w:val="auto"/>
                <w:sz w:val="21"/>
                <w:szCs w:val="21"/>
              </w:rPr>
              <w:t>注:评标委员会认为某</w:t>
            </w:r>
            <w:r>
              <w:rPr>
                <w:rFonts w:hint="eastAsia" w:ascii="宋体" w:hAnsi="宋体" w:eastAsia="宋体" w:cs="微软雅黑"/>
                <w:color w:val="auto"/>
                <w:sz w:val="21"/>
                <w:szCs w:val="21"/>
                <w:lang w:eastAsia="zh-CN"/>
              </w:rPr>
              <w:t>供应商</w:t>
            </w:r>
            <w:r>
              <w:rPr>
                <w:rFonts w:hint="eastAsia" w:ascii="宋体" w:hAnsi="宋体" w:eastAsia="宋体" w:cs="微软雅黑"/>
                <w:color w:val="auto"/>
                <w:sz w:val="21"/>
                <w:szCs w:val="21"/>
              </w:rPr>
              <w:t>的报价明显低于其他通过符合性审查</w:t>
            </w:r>
            <w:r>
              <w:rPr>
                <w:rFonts w:hint="eastAsia" w:ascii="宋体" w:hAnsi="宋体" w:eastAsia="宋体" w:cs="微软雅黑"/>
                <w:color w:val="auto"/>
                <w:sz w:val="21"/>
                <w:szCs w:val="21"/>
                <w:lang w:eastAsia="zh-CN"/>
              </w:rPr>
              <w:t>供应商</w:t>
            </w:r>
            <w:r>
              <w:rPr>
                <w:rFonts w:hint="eastAsia" w:ascii="宋体" w:hAnsi="宋体" w:eastAsia="宋体" w:cs="微软雅黑"/>
                <w:color w:val="auto"/>
                <w:sz w:val="21"/>
                <w:szCs w:val="21"/>
              </w:rPr>
              <w:t>的报价,有可能影响服务或</w:t>
            </w:r>
            <w:r>
              <w:rPr>
                <w:rFonts w:hint="eastAsia" w:ascii="宋体" w:hAnsi="宋体" w:eastAsia="宋体" w:cs="微软雅黑"/>
                <w:color w:val="auto"/>
                <w:sz w:val="21"/>
                <w:szCs w:val="21"/>
                <w:lang w:val="en-US" w:eastAsia="zh-CN"/>
              </w:rPr>
              <w:t>工程</w:t>
            </w:r>
            <w:r>
              <w:rPr>
                <w:rFonts w:hint="eastAsia" w:ascii="宋体" w:hAnsi="宋体" w:eastAsia="宋体" w:cs="微软雅黑"/>
                <w:color w:val="auto"/>
                <w:sz w:val="21"/>
                <w:szCs w:val="21"/>
              </w:rPr>
              <w:t>质量或不能诚信履约的，应当要求其在合理的时间内提供书面说明，必要时提交相关证明材料</w:t>
            </w:r>
            <w:r>
              <w:rPr>
                <w:rFonts w:hint="eastAsia" w:ascii="宋体" w:hAnsi="宋体" w:cs="微软雅黑"/>
                <w:color w:val="auto"/>
                <w:sz w:val="21"/>
                <w:szCs w:val="21"/>
                <w:lang w:eastAsia="zh-CN"/>
              </w:rPr>
              <w:t>；</w:t>
            </w:r>
            <w:r>
              <w:rPr>
                <w:rFonts w:hint="eastAsia" w:ascii="宋体" w:hAnsi="宋体" w:eastAsia="宋体" w:cs="微软雅黑"/>
                <w:color w:val="auto"/>
                <w:sz w:val="21"/>
                <w:szCs w:val="21"/>
                <w:lang w:eastAsia="zh-CN"/>
              </w:rPr>
              <w:t>供应商</w:t>
            </w:r>
            <w:r>
              <w:rPr>
                <w:rFonts w:hint="eastAsia" w:ascii="宋体" w:hAnsi="宋体" w:eastAsia="宋体" w:cs="微软雅黑"/>
                <w:color w:val="auto"/>
                <w:sz w:val="21"/>
                <w:szCs w:val="21"/>
              </w:rPr>
              <w:t>不能证明其报价合理性的，评标委员会有权将其作为无效响应文件处理。</w:t>
            </w:r>
          </w:p>
        </w:tc>
      </w:tr>
      <w:tr w14:paraId="1295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9" w:type="dxa"/>
            <w:vMerge w:val="restart"/>
            <w:tcBorders>
              <w:right w:val="single" w:color="auto" w:sz="4" w:space="0"/>
            </w:tcBorders>
            <w:noWrap w:val="0"/>
            <w:vAlign w:val="center"/>
          </w:tcPr>
          <w:p w14:paraId="35CCC49D">
            <w:pPr>
              <w:spacing w:line="400" w:lineRule="exact"/>
              <w:jc w:val="center"/>
              <w:rPr>
                <w:rFonts w:hint="eastAsia" w:ascii="宋体" w:hAnsi="宋体" w:eastAsia="宋体" w:cs="宋体"/>
                <w:color w:val="auto"/>
                <w:sz w:val="21"/>
                <w:szCs w:val="21"/>
                <w:lang w:val="ru-RU"/>
              </w:rPr>
            </w:pPr>
            <w:r>
              <w:rPr>
                <w:rFonts w:hint="eastAsia" w:ascii="宋体" w:hAnsi="宋体" w:eastAsia="宋体" w:cs="宋体"/>
                <w:color w:val="auto"/>
                <w:sz w:val="21"/>
                <w:szCs w:val="21"/>
              </w:rPr>
              <w:t>2、</w:t>
            </w:r>
            <w:r>
              <w:rPr>
                <w:rFonts w:hint="eastAsia" w:ascii="宋体" w:hAnsi="宋体" w:eastAsia="宋体" w:cs="宋体"/>
                <w:color w:val="auto"/>
                <w:sz w:val="21"/>
                <w:szCs w:val="21"/>
                <w:lang w:val="ru-RU"/>
              </w:rPr>
              <w:t>技术部分（</w:t>
            </w:r>
            <w:r>
              <w:rPr>
                <w:rFonts w:hint="eastAsia" w:ascii="宋体" w:hAnsi="宋体" w:eastAsia="宋体" w:cs="宋体"/>
                <w:color w:val="auto"/>
                <w:spacing w:val="2"/>
                <w:sz w:val="21"/>
                <w:szCs w:val="21"/>
                <w:lang w:val="ru-RU"/>
              </w:rPr>
              <w:t>满分</w:t>
            </w:r>
            <w:r>
              <w:rPr>
                <w:rFonts w:hint="eastAsia" w:ascii="宋体" w:hAnsi="宋体" w:cs="宋体"/>
                <w:color w:val="auto"/>
                <w:spacing w:val="1"/>
                <w:sz w:val="21"/>
                <w:szCs w:val="21"/>
                <w:lang w:val="en-US" w:eastAsia="zh-CN"/>
              </w:rPr>
              <w:t>75</w:t>
            </w:r>
            <w:r>
              <w:rPr>
                <w:rFonts w:hint="eastAsia" w:ascii="宋体" w:hAnsi="宋体" w:eastAsia="宋体" w:cs="宋体"/>
                <w:color w:val="auto"/>
                <w:sz w:val="21"/>
                <w:szCs w:val="21"/>
                <w:lang w:val="ru-RU"/>
              </w:rPr>
              <w:t>分）</w:t>
            </w:r>
          </w:p>
        </w:tc>
        <w:tc>
          <w:tcPr>
            <w:tcW w:w="1205" w:type="dxa"/>
            <w:vMerge w:val="restart"/>
            <w:tcBorders>
              <w:top w:val="single" w:color="auto" w:sz="4" w:space="0"/>
              <w:left w:val="single" w:color="auto" w:sz="4" w:space="0"/>
              <w:right w:val="single" w:color="auto" w:sz="4" w:space="0"/>
            </w:tcBorders>
            <w:noWrap w:val="0"/>
            <w:vAlign w:val="center"/>
          </w:tcPr>
          <w:p w14:paraId="03BA37F3">
            <w:pPr>
              <w:spacing w:line="400" w:lineRule="exact"/>
              <w:rPr>
                <w:rFonts w:hint="eastAsia" w:ascii="宋体" w:hAnsi="宋体" w:eastAsia="宋体" w:cs="宋体"/>
                <w:color w:val="auto"/>
                <w:sz w:val="21"/>
                <w:szCs w:val="21"/>
                <w:lang w:val="ru-RU"/>
              </w:rPr>
            </w:pPr>
            <w:r>
              <w:rPr>
                <w:rFonts w:hint="eastAsia" w:ascii="宋体" w:hAnsi="宋体" w:eastAsia="宋体" w:cs="宋体"/>
                <w:color w:val="auto"/>
                <w:spacing w:val="1"/>
                <w:sz w:val="21"/>
                <w:szCs w:val="21"/>
                <w:lang w:val="ru-RU"/>
              </w:rPr>
              <w:t>项目管理机构</w:t>
            </w:r>
            <w:r>
              <w:rPr>
                <w:rFonts w:hint="eastAsia" w:ascii="宋体" w:hAnsi="宋体" w:eastAsia="宋体" w:cs="宋体"/>
                <w:color w:val="auto"/>
                <w:spacing w:val="2"/>
                <w:sz w:val="21"/>
                <w:szCs w:val="21"/>
                <w:lang w:val="ru-RU"/>
              </w:rPr>
              <w:t>（满分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ru-RU"/>
              </w:rPr>
              <w:t>分）</w:t>
            </w:r>
          </w:p>
          <w:p w14:paraId="51B0EDD6">
            <w:pPr>
              <w:spacing w:line="400" w:lineRule="exact"/>
              <w:rPr>
                <w:rFonts w:hint="eastAsia" w:ascii="宋体" w:hAnsi="宋体" w:eastAsia="宋体" w:cs="宋体"/>
                <w:color w:val="auto"/>
                <w:sz w:val="21"/>
                <w:szCs w:val="21"/>
                <w:lang w:val="ru-RU"/>
              </w:rPr>
            </w:pPr>
          </w:p>
        </w:tc>
        <w:tc>
          <w:tcPr>
            <w:tcW w:w="1414" w:type="dxa"/>
            <w:tcBorders>
              <w:left w:val="single" w:color="auto" w:sz="4" w:space="0"/>
            </w:tcBorders>
            <w:noWrap w:val="0"/>
            <w:vAlign w:val="center"/>
          </w:tcPr>
          <w:p w14:paraId="318503F4">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项目经理任职资格（</w:t>
            </w:r>
            <w:r>
              <w:rPr>
                <w:rFonts w:hint="eastAsia" w:ascii="宋体" w:hAnsi="宋体" w:eastAsia="宋体" w:cs="宋体"/>
                <w:color w:val="auto"/>
                <w:spacing w:val="2"/>
                <w:sz w:val="21"/>
                <w:szCs w:val="21"/>
              </w:rPr>
              <w:t>满分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205" w:type="dxa"/>
            <w:noWrap w:val="0"/>
            <w:vAlign w:val="center"/>
          </w:tcPr>
          <w:p w14:paraId="6C6ABE74">
            <w:pPr>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拟派任项目经理</w:t>
            </w:r>
            <w:r>
              <w:rPr>
                <w:rFonts w:hint="eastAsia" w:ascii="宋体" w:hAnsi="宋体" w:eastAsia="宋体" w:cs="宋体"/>
                <w:bCs/>
                <w:color w:val="auto"/>
                <w:sz w:val="21"/>
                <w:szCs w:val="21"/>
                <w:lang w:eastAsia="zh-CN"/>
              </w:rPr>
              <w:t>市政公用工程</w:t>
            </w:r>
            <w:r>
              <w:rPr>
                <w:rFonts w:hint="eastAsia" w:ascii="宋体" w:hAnsi="宋体" w:eastAsia="宋体" w:cs="宋体"/>
                <w:bCs/>
                <w:color w:val="auto"/>
                <w:sz w:val="21"/>
                <w:szCs w:val="21"/>
              </w:rPr>
              <w:t>专业贰级以上（含贰级）注册建造师执业资格且具有中级及以上工程师职称，并具备有效的安全生产考核合格证书（B类）的得</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p w14:paraId="225BA9BD">
            <w:pPr>
              <w:spacing w:line="40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注：</w:t>
            </w:r>
            <w:r>
              <w:rPr>
                <w:rFonts w:hint="eastAsia" w:ascii="宋体" w:hAnsi="宋体" w:cs="宋体"/>
                <w:bCs/>
                <w:color w:val="auto"/>
                <w:sz w:val="21"/>
                <w:szCs w:val="21"/>
                <w:lang w:val="en-US" w:eastAsia="zh-CN"/>
              </w:rPr>
              <w:t>项目经理</w:t>
            </w:r>
            <w:r>
              <w:rPr>
                <w:rFonts w:hint="eastAsia" w:ascii="宋体" w:hAnsi="宋体" w:eastAsia="宋体" w:cs="宋体"/>
                <w:bCs/>
                <w:color w:val="auto"/>
                <w:sz w:val="21"/>
                <w:szCs w:val="21"/>
              </w:rPr>
              <w:t>提供相关证书及[202</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02</w:t>
            </w:r>
            <w:r>
              <w:rPr>
                <w:rFonts w:hint="eastAsia" w:ascii="宋体" w:hAnsi="宋体" w:eastAsia="宋体" w:cs="宋体"/>
                <w:bCs/>
                <w:color w:val="auto"/>
                <w:sz w:val="21"/>
                <w:szCs w:val="21"/>
              </w:rPr>
              <w:t>月至202</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07</w:t>
            </w:r>
            <w:r>
              <w:rPr>
                <w:rFonts w:hint="eastAsia" w:ascii="宋体" w:hAnsi="宋体" w:eastAsia="宋体" w:cs="宋体"/>
                <w:bCs/>
                <w:color w:val="auto"/>
                <w:sz w:val="21"/>
                <w:szCs w:val="21"/>
              </w:rPr>
              <w:t>月]内</w:t>
            </w:r>
            <w:r>
              <w:rPr>
                <w:rFonts w:hint="eastAsia" w:ascii="宋体" w:hAnsi="宋体" w:cs="宋体"/>
                <w:bCs/>
                <w:color w:val="auto"/>
                <w:sz w:val="21"/>
                <w:szCs w:val="21"/>
                <w:lang w:val="en-US" w:eastAsia="zh-CN"/>
              </w:rPr>
              <w:t>连续三个月</w:t>
            </w:r>
            <w:r>
              <w:rPr>
                <w:rFonts w:hint="eastAsia" w:ascii="宋体" w:hAnsi="宋体" w:eastAsia="宋体" w:cs="宋体"/>
                <w:bCs/>
                <w:color w:val="auto"/>
                <w:sz w:val="21"/>
                <w:szCs w:val="21"/>
              </w:rPr>
              <w:t>供应商为其依法缴纳社保的证明材料</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否则不得分。）</w:t>
            </w:r>
          </w:p>
        </w:tc>
      </w:tr>
      <w:tr w14:paraId="34FD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Merge w:val="continue"/>
            <w:tcBorders>
              <w:right w:val="single" w:color="auto" w:sz="4" w:space="0"/>
            </w:tcBorders>
            <w:noWrap w:val="0"/>
            <w:vAlign w:val="center"/>
          </w:tcPr>
          <w:p w14:paraId="5375E691">
            <w:pPr>
              <w:spacing w:line="400" w:lineRule="exact"/>
              <w:jc w:val="center"/>
              <w:rPr>
                <w:rFonts w:hint="eastAsia" w:ascii="宋体" w:hAnsi="宋体" w:eastAsia="宋体" w:cs="宋体"/>
                <w:color w:val="auto"/>
                <w:sz w:val="21"/>
                <w:szCs w:val="21"/>
                <w:lang w:val="ru-RU"/>
              </w:rPr>
            </w:pPr>
          </w:p>
        </w:tc>
        <w:tc>
          <w:tcPr>
            <w:tcW w:w="1205" w:type="dxa"/>
            <w:vMerge w:val="continue"/>
            <w:tcBorders>
              <w:left w:val="single" w:color="auto" w:sz="4" w:space="0"/>
              <w:right w:val="single" w:color="auto" w:sz="4" w:space="0"/>
            </w:tcBorders>
            <w:noWrap w:val="0"/>
            <w:vAlign w:val="center"/>
          </w:tcPr>
          <w:p w14:paraId="6B782282">
            <w:pPr>
              <w:spacing w:line="400" w:lineRule="exact"/>
              <w:rPr>
                <w:rFonts w:hint="eastAsia" w:ascii="宋体" w:hAnsi="宋体" w:eastAsia="宋体" w:cs="宋体"/>
                <w:color w:val="auto"/>
                <w:sz w:val="21"/>
                <w:szCs w:val="21"/>
              </w:rPr>
            </w:pPr>
          </w:p>
        </w:tc>
        <w:tc>
          <w:tcPr>
            <w:tcW w:w="1414" w:type="dxa"/>
            <w:tcBorders>
              <w:left w:val="single" w:color="auto" w:sz="4" w:space="0"/>
            </w:tcBorders>
            <w:noWrap w:val="0"/>
            <w:vAlign w:val="center"/>
          </w:tcPr>
          <w:p w14:paraId="2D4C178E">
            <w:pPr>
              <w:spacing w:line="400" w:lineRule="exact"/>
              <w:rPr>
                <w:rFonts w:hint="eastAsia" w:ascii="宋体" w:hAnsi="宋体" w:eastAsia="宋体" w:cs="宋体"/>
                <w:color w:val="auto"/>
                <w:spacing w:val="-21"/>
                <w:sz w:val="21"/>
                <w:szCs w:val="21"/>
                <w:lang w:val="ru-RU"/>
              </w:rPr>
            </w:pPr>
            <w:r>
              <w:rPr>
                <w:rFonts w:hint="eastAsia" w:ascii="宋体" w:hAnsi="宋体" w:eastAsia="宋体" w:cs="宋体"/>
                <w:color w:val="auto"/>
                <w:sz w:val="21"/>
                <w:szCs w:val="21"/>
                <w:lang w:val="ru-RU"/>
              </w:rPr>
              <w:t>其他主要</w:t>
            </w:r>
            <w:r>
              <w:rPr>
                <w:rFonts w:hint="eastAsia" w:ascii="宋体" w:hAnsi="宋体" w:eastAsia="宋体" w:cs="宋体"/>
                <w:color w:val="auto"/>
                <w:spacing w:val="-21"/>
                <w:sz w:val="21"/>
                <w:szCs w:val="21"/>
                <w:lang w:val="ru-RU"/>
              </w:rPr>
              <w:t>人员</w:t>
            </w:r>
          </w:p>
          <w:p w14:paraId="09659A9E">
            <w:pPr>
              <w:spacing w:line="400" w:lineRule="exact"/>
              <w:rPr>
                <w:rFonts w:hint="eastAsia" w:ascii="宋体" w:hAnsi="宋体" w:eastAsia="宋体" w:cs="宋体"/>
                <w:color w:val="auto"/>
                <w:sz w:val="21"/>
                <w:szCs w:val="21"/>
                <w:lang w:val="ru-RU"/>
              </w:rPr>
            </w:pPr>
            <w:r>
              <w:rPr>
                <w:rFonts w:hint="eastAsia" w:ascii="宋体" w:hAnsi="宋体" w:eastAsia="宋体" w:cs="宋体"/>
                <w:color w:val="auto"/>
                <w:spacing w:val="-21"/>
                <w:sz w:val="21"/>
                <w:szCs w:val="21"/>
                <w:lang w:val="ru-RU"/>
              </w:rPr>
              <w:t>（</w:t>
            </w:r>
            <w:r>
              <w:rPr>
                <w:rFonts w:hint="eastAsia" w:ascii="宋体" w:hAnsi="宋体" w:eastAsia="宋体" w:cs="宋体"/>
                <w:color w:val="auto"/>
                <w:spacing w:val="2"/>
                <w:sz w:val="21"/>
                <w:szCs w:val="21"/>
                <w:lang w:val="ru-RU"/>
              </w:rPr>
              <w:t>满分</w:t>
            </w:r>
            <w:r>
              <w:rPr>
                <w:rFonts w:hint="eastAsia" w:ascii="宋体" w:hAnsi="宋体" w:eastAsia="宋体" w:cs="宋体"/>
                <w:color w:val="auto"/>
                <w:sz w:val="21"/>
                <w:szCs w:val="21"/>
                <w:lang w:val="en-US" w:eastAsia="zh-CN"/>
              </w:rPr>
              <w:t>5</w:t>
            </w:r>
            <w:r>
              <w:rPr>
                <w:rFonts w:hint="eastAsia" w:ascii="宋体" w:hAnsi="宋体" w:eastAsia="宋体" w:cs="宋体"/>
                <w:color w:val="auto"/>
                <w:spacing w:val="1"/>
                <w:sz w:val="21"/>
                <w:szCs w:val="21"/>
                <w:lang w:val="ru-RU"/>
              </w:rPr>
              <w:t>分）</w:t>
            </w:r>
          </w:p>
        </w:tc>
        <w:tc>
          <w:tcPr>
            <w:tcW w:w="6205" w:type="dxa"/>
            <w:noWrap w:val="0"/>
            <w:vAlign w:val="center"/>
          </w:tcPr>
          <w:p w14:paraId="3DC9804E">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rPr>
              <w:t>拟投入本项目的技术负责人具有工程类中级及以上技术职称的得2分；</w:t>
            </w:r>
            <w:r>
              <w:rPr>
                <w:rFonts w:hint="eastAsia" w:cs="宋体"/>
                <w:b w:val="0"/>
                <w:bCs w:val="0"/>
                <w:color w:val="auto"/>
                <w:highlight w:val="none"/>
                <w:lang w:val="en-US" w:eastAsia="zh-CN"/>
              </w:rPr>
              <w:t>其他配备人员：</w:t>
            </w:r>
            <w:r>
              <w:rPr>
                <w:rFonts w:hint="eastAsia" w:ascii="宋体" w:hAnsi="宋体" w:eastAsia="宋体" w:cs="Courier New"/>
                <w:bCs/>
                <w:color w:val="auto"/>
                <w:kern w:val="2"/>
                <w:sz w:val="21"/>
                <w:szCs w:val="21"/>
                <w:highlight w:val="none"/>
              </w:rPr>
              <w:t>施工员、质量员、材料员</w:t>
            </w:r>
            <w:r>
              <w:rPr>
                <w:rFonts w:hint="eastAsia" w:ascii="宋体" w:hAnsi="宋体" w:cs="Courier New"/>
                <w:bCs/>
                <w:color w:val="auto"/>
                <w:kern w:val="2"/>
                <w:sz w:val="21"/>
                <w:szCs w:val="21"/>
                <w:highlight w:val="none"/>
                <w:lang w:val="en-US" w:eastAsia="zh-CN"/>
              </w:rPr>
              <w:t>均</w:t>
            </w:r>
            <w:r>
              <w:rPr>
                <w:rFonts w:hint="eastAsia" w:ascii="宋体" w:hAnsi="宋体" w:eastAsia="宋体" w:cs="Courier New"/>
                <w:bCs/>
                <w:color w:val="auto"/>
                <w:kern w:val="2"/>
                <w:sz w:val="21"/>
                <w:szCs w:val="21"/>
                <w:highlight w:val="none"/>
              </w:rPr>
              <w:t>具有相应岗位资格证书</w:t>
            </w:r>
            <w:r>
              <w:rPr>
                <w:rFonts w:hint="eastAsia" w:ascii="宋体" w:hAnsi="宋体" w:cs="Courier New"/>
                <w:bCs/>
                <w:color w:val="auto"/>
                <w:kern w:val="2"/>
                <w:sz w:val="21"/>
                <w:szCs w:val="21"/>
                <w:highlight w:val="none"/>
                <w:lang w:val="en-US" w:eastAsia="zh-CN"/>
              </w:rPr>
              <w:t>得3分</w:t>
            </w:r>
            <w:r>
              <w:rPr>
                <w:rFonts w:hint="eastAsia" w:ascii="宋体" w:hAnsi="宋体" w:cs="宋体"/>
                <w:color w:val="auto"/>
                <w:highlight w:val="none"/>
              </w:rPr>
              <w:t>；本项满分</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eastAsia="宋体" w:cs="Courier New"/>
                <w:bCs/>
                <w:color w:val="auto"/>
                <w:kern w:val="2"/>
                <w:sz w:val="21"/>
                <w:szCs w:val="21"/>
                <w:highlight w:val="none"/>
              </w:rPr>
              <w:t>。</w:t>
            </w:r>
          </w:p>
          <w:p w14:paraId="286D53B9">
            <w:pPr>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注：</w:t>
            </w:r>
            <w:r>
              <w:rPr>
                <w:rFonts w:hint="eastAsia" w:ascii="宋体" w:hAnsi="宋体" w:cs="宋体"/>
                <w:bCs/>
                <w:color w:val="auto"/>
                <w:sz w:val="21"/>
                <w:szCs w:val="21"/>
                <w:lang w:val="en-US" w:eastAsia="zh-CN"/>
              </w:rPr>
              <w:t>其他主要人员</w:t>
            </w:r>
            <w:r>
              <w:rPr>
                <w:rFonts w:hint="eastAsia" w:ascii="宋体" w:hAnsi="宋体" w:eastAsia="宋体" w:cs="宋体"/>
                <w:bCs/>
                <w:color w:val="auto"/>
                <w:sz w:val="21"/>
                <w:szCs w:val="21"/>
              </w:rPr>
              <w:t>提供相关证书及[202</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02</w:t>
            </w:r>
            <w:r>
              <w:rPr>
                <w:rFonts w:hint="eastAsia" w:ascii="宋体" w:hAnsi="宋体" w:eastAsia="宋体" w:cs="宋体"/>
                <w:bCs/>
                <w:color w:val="auto"/>
                <w:sz w:val="21"/>
                <w:szCs w:val="21"/>
              </w:rPr>
              <w:t>月至202</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07</w:t>
            </w:r>
            <w:r>
              <w:rPr>
                <w:rFonts w:hint="eastAsia" w:ascii="宋体" w:hAnsi="宋体" w:eastAsia="宋体" w:cs="宋体"/>
                <w:bCs/>
                <w:color w:val="auto"/>
                <w:sz w:val="21"/>
                <w:szCs w:val="21"/>
              </w:rPr>
              <w:t>月]内</w:t>
            </w:r>
            <w:r>
              <w:rPr>
                <w:rFonts w:hint="eastAsia" w:ascii="宋体" w:hAnsi="宋体" w:cs="宋体"/>
                <w:bCs/>
                <w:color w:val="auto"/>
                <w:sz w:val="21"/>
                <w:szCs w:val="21"/>
                <w:lang w:val="en-US" w:eastAsia="zh-CN"/>
              </w:rPr>
              <w:t>连续三个月</w:t>
            </w:r>
            <w:r>
              <w:rPr>
                <w:rFonts w:hint="eastAsia" w:ascii="宋体" w:hAnsi="宋体" w:eastAsia="宋体" w:cs="宋体"/>
                <w:bCs/>
                <w:color w:val="auto"/>
                <w:sz w:val="21"/>
                <w:szCs w:val="21"/>
              </w:rPr>
              <w:t>供应商为其依法缴纳社保的证明材料</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否则不得分。）</w:t>
            </w:r>
          </w:p>
        </w:tc>
      </w:tr>
      <w:tr w14:paraId="209A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09" w:type="dxa"/>
            <w:vMerge w:val="continue"/>
            <w:tcBorders>
              <w:right w:val="single" w:color="auto" w:sz="4" w:space="0"/>
            </w:tcBorders>
            <w:noWrap w:val="0"/>
            <w:vAlign w:val="center"/>
          </w:tcPr>
          <w:p w14:paraId="379DBDE5">
            <w:pPr>
              <w:spacing w:line="400" w:lineRule="exact"/>
              <w:jc w:val="center"/>
              <w:rPr>
                <w:rFonts w:hint="eastAsia" w:ascii="宋体" w:hAnsi="宋体" w:eastAsia="宋体" w:cs="宋体"/>
                <w:color w:val="FF0000"/>
                <w:sz w:val="21"/>
                <w:szCs w:val="21"/>
              </w:rPr>
            </w:pPr>
          </w:p>
        </w:tc>
        <w:tc>
          <w:tcPr>
            <w:tcW w:w="1205" w:type="dxa"/>
            <w:vMerge w:val="restart"/>
            <w:tcBorders>
              <w:left w:val="single" w:color="auto" w:sz="4" w:space="0"/>
            </w:tcBorders>
            <w:noWrap w:val="0"/>
            <w:vAlign w:val="center"/>
          </w:tcPr>
          <w:p w14:paraId="075C5E1A">
            <w:pPr>
              <w:spacing w:line="400" w:lineRule="exact"/>
              <w:rPr>
                <w:rFonts w:hint="eastAsia" w:ascii="宋体" w:hAnsi="宋体" w:eastAsia="宋体" w:cs="宋体"/>
                <w:color w:val="auto"/>
                <w:sz w:val="21"/>
                <w:szCs w:val="21"/>
                <w:lang w:val="ru-RU"/>
              </w:rPr>
            </w:pPr>
            <w:r>
              <w:rPr>
                <w:rFonts w:hint="eastAsia" w:ascii="宋体" w:hAnsi="宋体" w:eastAsia="宋体" w:cs="宋体"/>
                <w:color w:val="auto"/>
                <w:spacing w:val="1"/>
                <w:sz w:val="21"/>
                <w:szCs w:val="21"/>
                <w:lang w:val="ru-RU"/>
              </w:rPr>
              <w:t>施工组织设计</w:t>
            </w:r>
            <w:r>
              <w:rPr>
                <w:rFonts w:hint="eastAsia" w:ascii="宋体" w:hAnsi="宋体" w:eastAsia="宋体" w:cs="宋体"/>
                <w:color w:val="auto"/>
                <w:sz w:val="21"/>
                <w:szCs w:val="21"/>
                <w:lang w:val="ru-RU"/>
              </w:rPr>
              <w:t>（</w:t>
            </w:r>
            <w:r>
              <w:rPr>
                <w:rFonts w:hint="eastAsia" w:ascii="宋体" w:hAnsi="宋体" w:eastAsia="宋体" w:cs="宋体"/>
                <w:color w:val="auto"/>
                <w:spacing w:val="2"/>
                <w:sz w:val="21"/>
                <w:szCs w:val="21"/>
                <w:lang w:val="ru-RU"/>
              </w:rPr>
              <w:t>满分</w:t>
            </w:r>
            <w:r>
              <w:rPr>
                <w:rFonts w:hint="eastAsia" w:ascii="宋体" w:hAnsi="宋体" w:cs="宋体"/>
                <w:color w:val="auto"/>
                <w:spacing w:val="-1"/>
                <w:sz w:val="21"/>
                <w:szCs w:val="21"/>
                <w:lang w:val="en-US" w:eastAsia="zh-CN"/>
              </w:rPr>
              <w:t>65</w:t>
            </w:r>
            <w:r>
              <w:rPr>
                <w:rFonts w:hint="eastAsia" w:ascii="宋体" w:hAnsi="宋体" w:eastAsia="宋体" w:cs="宋体"/>
                <w:color w:val="auto"/>
                <w:spacing w:val="-1"/>
                <w:sz w:val="21"/>
                <w:szCs w:val="21"/>
                <w:lang w:val="ru-RU"/>
              </w:rPr>
              <w:t>分</w:t>
            </w:r>
            <w:r>
              <w:rPr>
                <w:rFonts w:hint="eastAsia" w:ascii="宋体" w:hAnsi="宋体" w:eastAsia="宋体" w:cs="宋体"/>
                <w:color w:val="auto"/>
                <w:sz w:val="21"/>
                <w:szCs w:val="21"/>
                <w:lang w:val="ru-RU"/>
              </w:rPr>
              <w:t xml:space="preserve"> ）</w:t>
            </w:r>
          </w:p>
          <w:p w14:paraId="56E62867">
            <w:pPr>
              <w:spacing w:line="400" w:lineRule="exact"/>
              <w:rPr>
                <w:rFonts w:hint="eastAsia" w:ascii="宋体" w:hAnsi="宋体" w:eastAsia="宋体" w:cs="宋体"/>
                <w:color w:val="FF0000"/>
                <w:sz w:val="21"/>
                <w:szCs w:val="21"/>
              </w:rPr>
            </w:pPr>
          </w:p>
        </w:tc>
        <w:tc>
          <w:tcPr>
            <w:tcW w:w="1414" w:type="dxa"/>
            <w:noWrap w:val="0"/>
            <w:vAlign w:val="center"/>
          </w:tcPr>
          <w:p w14:paraId="7C3C4775">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主要施工方法（满分</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6362AD8D">
            <w:pPr>
              <w:spacing w:line="400" w:lineRule="exact"/>
              <w:rPr>
                <w:rFonts w:hint="eastAsia" w:ascii="宋体" w:hAnsi="宋体" w:eastAsia="宋体" w:cs="宋体"/>
                <w:color w:val="auto"/>
                <w:sz w:val="21"/>
                <w:szCs w:val="21"/>
              </w:rPr>
            </w:pPr>
          </w:p>
        </w:tc>
        <w:tc>
          <w:tcPr>
            <w:tcW w:w="6205" w:type="dxa"/>
            <w:noWrap w:val="0"/>
            <w:vAlign w:val="center"/>
          </w:tcPr>
          <w:p w14:paraId="08675FDF">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分）各主要分部施工方法符合项目实际，有详尽的施工技术方案，工艺先进、方法科学合理、可行，能指导具体施工并确保安全。</w:t>
            </w:r>
          </w:p>
          <w:p w14:paraId="49874376">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7.5</w:t>
            </w:r>
            <w:r>
              <w:rPr>
                <w:rFonts w:hint="eastAsia" w:ascii="宋体" w:hAnsi="宋体" w:eastAsia="宋体" w:cs="宋体"/>
                <w:color w:val="auto"/>
                <w:sz w:val="21"/>
                <w:szCs w:val="21"/>
              </w:rPr>
              <w:t>分）各主要分部施工方法符合项目实际，有详尽的施工技术方案，工艺一般、方法可行，能指导具体施工并确保安全。</w:t>
            </w:r>
          </w:p>
          <w:p w14:paraId="1991F27F">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分）各主要分部施工方法符合项目实际，有施工技术方案，工艺一般、方法可行，能指导施工并确保安全。</w:t>
            </w:r>
          </w:p>
          <w:p w14:paraId="5C90D83B">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分）各主要分部施工方法不符合项目实际，有施工技术方案，工艺一般，不能指导具体施工并确保安全。</w:t>
            </w:r>
          </w:p>
        </w:tc>
      </w:tr>
      <w:tr w14:paraId="70AC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9" w:type="dxa"/>
            <w:vMerge w:val="continue"/>
            <w:tcBorders>
              <w:right w:val="single" w:color="auto" w:sz="4" w:space="0"/>
            </w:tcBorders>
            <w:noWrap w:val="0"/>
            <w:vAlign w:val="center"/>
          </w:tcPr>
          <w:p w14:paraId="50E49FBE">
            <w:pPr>
              <w:spacing w:line="400" w:lineRule="exact"/>
              <w:jc w:val="center"/>
              <w:rPr>
                <w:rFonts w:hint="eastAsia" w:ascii="宋体" w:hAnsi="宋体" w:eastAsia="宋体" w:cs="宋体"/>
                <w:color w:val="FF0000"/>
                <w:sz w:val="21"/>
                <w:szCs w:val="21"/>
              </w:rPr>
            </w:pPr>
          </w:p>
        </w:tc>
        <w:tc>
          <w:tcPr>
            <w:tcW w:w="1205" w:type="dxa"/>
            <w:vMerge w:val="continue"/>
            <w:tcBorders>
              <w:left w:val="single" w:color="auto" w:sz="4" w:space="0"/>
            </w:tcBorders>
            <w:noWrap w:val="0"/>
            <w:vAlign w:val="center"/>
          </w:tcPr>
          <w:p w14:paraId="46E2F549">
            <w:pPr>
              <w:spacing w:line="400" w:lineRule="exact"/>
              <w:rPr>
                <w:rFonts w:hint="eastAsia" w:ascii="宋体" w:hAnsi="宋体" w:eastAsia="宋体" w:cs="宋体"/>
                <w:color w:val="FF0000"/>
                <w:sz w:val="21"/>
                <w:szCs w:val="21"/>
              </w:rPr>
            </w:pPr>
          </w:p>
        </w:tc>
        <w:tc>
          <w:tcPr>
            <w:tcW w:w="1414" w:type="dxa"/>
            <w:noWrap w:val="0"/>
            <w:vAlign w:val="center"/>
          </w:tcPr>
          <w:p w14:paraId="26607218">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拟投入的主要物资计划（满分</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6205" w:type="dxa"/>
            <w:noWrap w:val="0"/>
            <w:vAlign w:val="center"/>
          </w:tcPr>
          <w:p w14:paraId="0DDE67FA">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分）投入的施工材料有详细的组织计划且计划周密，数量、选型配置、进场时间安排合理，满足施工需要。</w:t>
            </w:r>
          </w:p>
          <w:p w14:paraId="3128B524">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7.5</w:t>
            </w:r>
            <w:r>
              <w:rPr>
                <w:rFonts w:hint="eastAsia" w:ascii="宋体" w:hAnsi="宋体" w:eastAsia="宋体" w:cs="宋体"/>
                <w:color w:val="auto"/>
                <w:sz w:val="21"/>
                <w:szCs w:val="21"/>
              </w:rPr>
              <w:t>分）投入的施工材料有详细的组织计划但计划一般，数量、选型配置、进场时间安排合理，满足施工需要。</w:t>
            </w:r>
          </w:p>
          <w:p w14:paraId="6FCB9008">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分）投入的施工材料有组织计划但计划一般，数量、选型配置、进场时间安排合理，基本满足施工需要。</w:t>
            </w:r>
          </w:p>
          <w:p w14:paraId="2F5A6E0F">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分）投入的施工材料无组织计划，数量、选型配置、进场时间安排不合理，不满足施工需要。</w:t>
            </w:r>
          </w:p>
        </w:tc>
      </w:tr>
      <w:tr w14:paraId="56E0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09" w:type="dxa"/>
            <w:vMerge w:val="continue"/>
            <w:tcBorders>
              <w:right w:val="single" w:color="auto" w:sz="4" w:space="0"/>
            </w:tcBorders>
            <w:noWrap w:val="0"/>
            <w:vAlign w:val="center"/>
          </w:tcPr>
          <w:p w14:paraId="1E6F7144">
            <w:pPr>
              <w:spacing w:line="400" w:lineRule="exact"/>
              <w:jc w:val="center"/>
              <w:rPr>
                <w:rFonts w:hint="eastAsia" w:ascii="宋体" w:hAnsi="宋体" w:eastAsia="宋体" w:cs="宋体"/>
                <w:color w:val="FF0000"/>
                <w:sz w:val="21"/>
                <w:szCs w:val="21"/>
              </w:rPr>
            </w:pPr>
          </w:p>
        </w:tc>
        <w:tc>
          <w:tcPr>
            <w:tcW w:w="1205" w:type="dxa"/>
            <w:vMerge w:val="continue"/>
            <w:tcBorders>
              <w:left w:val="single" w:color="auto" w:sz="4" w:space="0"/>
            </w:tcBorders>
            <w:noWrap w:val="0"/>
            <w:vAlign w:val="center"/>
          </w:tcPr>
          <w:p w14:paraId="3810F710">
            <w:pPr>
              <w:spacing w:line="400" w:lineRule="exact"/>
              <w:rPr>
                <w:rFonts w:hint="eastAsia" w:ascii="宋体" w:hAnsi="宋体" w:eastAsia="宋体" w:cs="宋体"/>
                <w:color w:val="FF0000"/>
                <w:sz w:val="21"/>
                <w:szCs w:val="21"/>
              </w:rPr>
            </w:pPr>
          </w:p>
        </w:tc>
        <w:tc>
          <w:tcPr>
            <w:tcW w:w="1414" w:type="dxa"/>
            <w:noWrap w:val="0"/>
            <w:vAlign w:val="center"/>
          </w:tcPr>
          <w:p w14:paraId="1C063651">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拟投入的主要施工机械、设备计划（满分</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p w14:paraId="4726F320">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p>
        </w:tc>
        <w:tc>
          <w:tcPr>
            <w:tcW w:w="6205" w:type="dxa"/>
            <w:noWrap w:val="0"/>
            <w:vAlign w:val="center"/>
          </w:tcPr>
          <w:p w14:paraId="6CFC57E3">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分）投入的施工机械、设备、机具有详细的组织计划且计划周密，设备数量、选型配置、进场时间安排合理，满足施工需要。</w:t>
            </w:r>
          </w:p>
          <w:p w14:paraId="67C8077D">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分）投入的施工机械、设备、机具有详细的组织计划但计划一般，设备数量、选型配置、进场时间安排合理，满足施工需要。</w:t>
            </w:r>
          </w:p>
          <w:p w14:paraId="66FCDC2A">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分）投入的施工机械、设备、机具有组织计划但计划一般，设备数量、选型配置、进场时间安排合理，基本满足施工需要。</w:t>
            </w:r>
          </w:p>
          <w:p w14:paraId="6724B693">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分）投入的施工机械、设备、机具无组织计划，设备数量、选型配置、进场时间安排不合理，不满足施工需要。</w:t>
            </w:r>
          </w:p>
        </w:tc>
      </w:tr>
      <w:tr w14:paraId="1312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09" w:type="dxa"/>
            <w:vMerge w:val="continue"/>
            <w:tcBorders>
              <w:right w:val="single" w:color="auto" w:sz="4" w:space="0"/>
            </w:tcBorders>
            <w:noWrap w:val="0"/>
            <w:vAlign w:val="center"/>
          </w:tcPr>
          <w:p w14:paraId="559FC8AB">
            <w:pPr>
              <w:spacing w:line="400" w:lineRule="exact"/>
              <w:jc w:val="center"/>
              <w:rPr>
                <w:rFonts w:hint="eastAsia" w:ascii="宋体" w:hAnsi="宋体" w:eastAsia="宋体" w:cs="宋体"/>
                <w:color w:val="FF0000"/>
                <w:sz w:val="21"/>
                <w:szCs w:val="21"/>
              </w:rPr>
            </w:pPr>
          </w:p>
        </w:tc>
        <w:tc>
          <w:tcPr>
            <w:tcW w:w="1205" w:type="dxa"/>
            <w:vMerge w:val="continue"/>
            <w:tcBorders>
              <w:left w:val="single" w:color="auto" w:sz="4" w:space="0"/>
            </w:tcBorders>
            <w:noWrap w:val="0"/>
            <w:vAlign w:val="center"/>
          </w:tcPr>
          <w:p w14:paraId="5D284770">
            <w:pPr>
              <w:spacing w:line="400" w:lineRule="exact"/>
              <w:rPr>
                <w:rFonts w:hint="eastAsia" w:ascii="宋体" w:hAnsi="宋体" w:eastAsia="宋体" w:cs="宋体"/>
                <w:color w:val="FF0000"/>
                <w:sz w:val="21"/>
                <w:szCs w:val="21"/>
              </w:rPr>
            </w:pPr>
          </w:p>
        </w:tc>
        <w:tc>
          <w:tcPr>
            <w:tcW w:w="1414" w:type="dxa"/>
            <w:noWrap w:val="0"/>
            <w:vAlign w:val="center"/>
          </w:tcPr>
          <w:p w14:paraId="36468982">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劳动力安排计划（满分</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6205" w:type="dxa"/>
            <w:noWrap w:val="0"/>
            <w:vAlign w:val="center"/>
          </w:tcPr>
          <w:p w14:paraId="5D8AB655">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分）各主要施工工序有详细周密的劳动力安排计划，有各工种劳动力安排计划，劳动力投入合理，满足施工需要。</w:t>
            </w:r>
          </w:p>
          <w:p w14:paraId="6D5B55C1">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分）各主要施工工序有劳动力安排计划，有各工种劳动力安排计划，劳动力投入合理，满足施工需要。</w:t>
            </w:r>
          </w:p>
          <w:p w14:paraId="51CEB10C">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分）各主要施工工序只有劳动力安排计划，无各工种劳动力安排计划，劳动力投入合理，基本满足施工需要。</w:t>
            </w:r>
          </w:p>
          <w:p w14:paraId="382AEFE7">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分）各主要施工工序无劳动力安排计划，劳动力投入不合理，不满足施工需要。</w:t>
            </w:r>
          </w:p>
        </w:tc>
      </w:tr>
      <w:tr w14:paraId="434C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09" w:type="dxa"/>
            <w:vMerge w:val="continue"/>
            <w:tcBorders>
              <w:right w:val="single" w:color="auto" w:sz="4" w:space="0"/>
            </w:tcBorders>
            <w:noWrap w:val="0"/>
            <w:vAlign w:val="center"/>
          </w:tcPr>
          <w:p w14:paraId="4A5252B3">
            <w:pPr>
              <w:spacing w:line="400" w:lineRule="exact"/>
              <w:jc w:val="center"/>
              <w:rPr>
                <w:rFonts w:hint="eastAsia" w:ascii="宋体" w:hAnsi="宋体" w:eastAsia="宋体" w:cs="宋体"/>
                <w:color w:val="FF0000"/>
                <w:sz w:val="21"/>
                <w:szCs w:val="21"/>
              </w:rPr>
            </w:pPr>
          </w:p>
        </w:tc>
        <w:tc>
          <w:tcPr>
            <w:tcW w:w="1205" w:type="dxa"/>
            <w:vMerge w:val="continue"/>
            <w:tcBorders>
              <w:left w:val="single" w:color="auto" w:sz="4" w:space="0"/>
            </w:tcBorders>
            <w:noWrap w:val="0"/>
            <w:vAlign w:val="center"/>
          </w:tcPr>
          <w:p w14:paraId="79D09FB8">
            <w:pPr>
              <w:spacing w:line="400" w:lineRule="exact"/>
              <w:rPr>
                <w:rFonts w:hint="eastAsia" w:ascii="宋体" w:hAnsi="宋体" w:eastAsia="宋体" w:cs="宋体"/>
                <w:color w:val="FF0000"/>
                <w:sz w:val="21"/>
                <w:szCs w:val="21"/>
              </w:rPr>
            </w:pPr>
          </w:p>
        </w:tc>
        <w:tc>
          <w:tcPr>
            <w:tcW w:w="1414" w:type="dxa"/>
            <w:noWrap w:val="0"/>
            <w:vAlign w:val="center"/>
          </w:tcPr>
          <w:p w14:paraId="6EA753ED">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确保工程质量的技术组织措施（满分</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p w14:paraId="7D165D64">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p>
        </w:tc>
        <w:tc>
          <w:tcPr>
            <w:tcW w:w="6205" w:type="dxa"/>
            <w:noWrap w:val="0"/>
            <w:vAlign w:val="center"/>
          </w:tcPr>
          <w:p w14:paraId="3FC86B10">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分）有专门的质量技术管理班子和制度，且人员配备合理，制度健全。主要工序有质量技术保证措施和手段，自控体系完整，能有效保证技术质量，达到承诺的质量标准。</w:t>
            </w:r>
          </w:p>
          <w:p w14:paraId="443A5273">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分）有质量技术管理班子和制度，且人员配备合理，制度健全。主要工序有质量技术保证措施和手段，自控体系完整，能有效保证技术质量，达到承诺的质量标准。</w:t>
            </w:r>
          </w:p>
          <w:p w14:paraId="00BDAA0F">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分）有质量技术管理班子和制度。主要工序有质量技术保证措施和手段，自控体系一般，基本能保证技术质量，达到承诺的质量标准。</w:t>
            </w:r>
          </w:p>
          <w:p w14:paraId="08BEA699">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分）有质量技术管理班子和制度。主要工序无质量技术保证措施和手段，自控体系一般，不能有效保证技术质量。</w:t>
            </w:r>
          </w:p>
        </w:tc>
      </w:tr>
      <w:tr w14:paraId="09CC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9" w:type="dxa"/>
            <w:vMerge w:val="continue"/>
            <w:tcBorders>
              <w:right w:val="single" w:color="auto" w:sz="4" w:space="0"/>
            </w:tcBorders>
            <w:noWrap w:val="0"/>
            <w:vAlign w:val="center"/>
          </w:tcPr>
          <w:p w14:paraId="1A84C859">
            <w:pPr>
              <w:spacing w:line="400" w:lineRule="exact"/>
              <w:jc w:val="center"/>
              <w:rPr>
                <w:rFonts w:hint="eastAsia" w:ascii="宋体" w:hAnsi="宋体" w:eastAsia="宋体" w:cs="宋体"/>
                <w:color w:val="FF0000"/>
                <w:sz w:val="21"/>
                <w:szCs w:val="21"/>
              </w:rPr>
            </w:pPr>
          </w:p>
        </w:tc>
        <w:tc>
          <w:tcPr>
            <w:tcW w:w="1205" w:type="dxa"/>
            <w:vMerge w:val="continue"/>
            <w:tcBorders>
              <w:left w:val="single" w:color="auto" w:sz="4" w:space="0"/>
            </w:tcBorders>
            <w:noWrap w:val="0"/>
            <w:vAlign w:val="center"/>
          </w:tcPr>
          <w:p w14:paraId="05535F06">
            <w:pPr>
              <w:spacing w:line="400" w:lineRule="exact"/>
              <w:rPr>
                <w:rFonts w:hint="eastAsia" w:ascii="宋体" w:hAnsi="宋体" w:eastAsia="宋体" w:cs="宋体"/>
                <w:color w:val="FF0000"/>
                <w:sz w:val="21"/>
                <w:szCs w:val="21"/>
              </w:rPr>
            </w:pPr>
          </w:p>
        </w:tc>
        <w:tc>
          <w:tcPr>
            <w:tcW w:w="1414" w:type="dxa"/>
            <w:noWrap w:val="0"/>
            <w:vAlign w:val="center"/>
          </w:tcPr>
          <w:p w14:paraId="3329FA87">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确保安全生产的技术组织措施（满分</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p w14:paraId="7748EA00">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p>
        </w:tc>
        <w:tc>
          <w:tcPr>
            <w:tcW w:w="6205" w:type="dxa"/>
            <w:noWrap w:val="0"/>
            <w:vAlign w:val="center"/>
          </w:tcPr>
          <w:p w14:paraId="35D7AED4">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分）有专门的安全管理人员和制度，且人员配备合理，制度健全，各道工序安全技术措施针对性强，符合实际且满足有关安全技术标准要求。现场防火、应急救援、社会治安安全措施得力。</w:t>
            </w:r>
          </w:p>
          <w:p w14:paraId="78CD0C99">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分）有安全管理人员和制度，且人员配备合理，制度健全，各道工序安全技术措施有针对性，符合实际且满足有关安全技术标准要求。现场防火、应急救援、社会治安安全措施满足施工需求。</w:t>
            </w:r>
          </w:p>
          <w:p w14:paraId="3BBD5BB9">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分）有安全管理人员和制度，人员配备一般，制度健全一般，各道工序安全技术措施针对性一般，基本满足有关安全技术标准要求。现场防火、应急救援、社会治安安全措施基本满足施工需求。</w:t>
            </w:r>
          </w:p>
          <w:p w14:paraId="054A8835">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分）有安全管理人员和制度，各道工序安全技术措施无针对性，满足有关安全技术标准要求。现场防火、应急救援、社会治安安全措施差。</w:t>
            </w:r>
          </w:p>
        </w:tc>
      </w:tr>
      <w:tr w14:paraId="3508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09" w:type="dxa"/>
            <w:vMerge w:val="continue"/>
            <w:tcBorders>
              <w:right w:val="single" w:color="auto" w:sz="4" w:space="0"/>
            </w:tcBorders>
            <w:noWrap w:val="0"/>
            <w:vAlign w:val="center"/>
          </w:tcPr>
          <w:p w14:paraId="28998EB7">
            <w:pPr>
              <w:spacing w:line="400" w:lineRule="exact"/>
              <w:jc w:val="center"/>
              <w:rPr>
                <w:rFonts w:hint="eastAsia" w:ascii="宋体" w:hAnsi="宋体" w:eastAsia="宋体" w:cs="宋体"/>
                <w:color w:val="FF0000"/>
                <w:sz w:val="21"/>
                <w:szCs w:val="21"/>
              </w:rPr>
            </w:pPr>
          </w:p>
        </w:tc>
        <w:tc>
          <w:tcPr>
            <w:tcW w:w="1205" w:type="dxa"/>
            <w:vMerge w:val="continue"/>
            <w:tcBorders>
              <w:left w:val="single" w:color="auto" w:sz="4" w:space="0"/>
            </w:tcBorders>
            <w:noWrap w:val="0"/>
            <w:vAlign w:val="center"/>
          </w:tcPr>
          <w:p w14:paraId="678AD1E1">
            <w:pPr>
              <w:spacing w:line="400" w:lineRule="exact"/>
              <w:rPr>
                <w:rFonts w:hint="eastAsia" w:ascii="宋体" w:hAnsi="宋体" w:eastAsia="宋体" w:cs="宋体"/>
                <w:color w:val="FF0000"/>
                <w:sz w:val="21"/>
                <w:szCs w:val="21"/>
              </w:rPr>
            </w:pPr>
          </w:p>
        </w:tc>
        <w:tc>
          <w:tcPr>
            <w:tcW w:w="1414" w:type="dxa"/>
            <w:noWrap w:val="0"/>
            <w:vAlign w:val="center"/>
          </w:tcPr>
          <w:p w14:paraId="6A8629CB">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工程施工的重点和难点（满分</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6205" w:type="dxa"/>
            <w:noWrap w:val="0"/>
            <w:vAlign w:val="center"/>
          </w:tcPr>
          <w:p w14:paraId="04EFFF09">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分）针对本工程的特点，详细阐述了本工程的重点和难点，解决重点和难点问题的方法合理、可行。</w:t>
            </w:r>
          </w:p>
          <w:p w14:paraId="70846BA0">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分）针对本工程的特点，阐述了本工程的重点和难点，解决重点和难点问题的方法合理。</w:t>
            </w:r>
          </w:p>
          <w:p w14:paraId="3731F63D">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分）简单阐述了本工程的重点和难点，解决重点和难点问题的方法一般。</w:t>
            </w:r>
          </w:p>
          <w:p w14:paraId="2B94355E">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分）未阐述本工程的重点和难点，无解决及保证措施重点和难点问题的方法。</w:t>
            </w:r>
          </w:p>
        </w:tc>
      </w:tr>
      <w:tr w14:paraId="0745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909" w:type="dxa"/>
            <w:vMerge w:val="continue"/>
            <w:tcBorders>
              <w:right w:val="single" w:color="auto" w:sz="4" w:space="0"/>
            </w:tcBorders>
            <w:noWrap w:val="0"/>
            <w:vAlign w:val="center"/>
          </w:tcPr>
          <w:p w14:paraId="4B324DB7">
            <w:pPr>
              <w:spacing w:line="400" w:lineRule="exact"/>
              <w:jc w:val="center"/>
              <w:rPr>
                <w:rFonts w:hint="eastAsia" w:ascii="宋体" w:hAnsi="宋体" w:eastAsia="宋体" w:cs="宋体"/>
                <w:color w:val="FF0000"/>
                <w:sz w:val="21"/>
                <w:szCs w:val="21"/>
              </w:rPr>
            </w:pPr>
          </w:p>
        </w:tc>
        <w:tc>
          <w:tcPr>
            <w:tcW w:w="1205" w:type="dxa"/>
            <w:vMerge w:val="continue"/>
            <w:tcBorders>
              <w:left w:val="single" w:color="auto" w:sz="4" w:space="0"/>
            </w:tcBorders>
            <w:noWrap w:val="0"/>
            <w:vAlign w:val="center"/>
          </w:tcPr>
          <w:p w14:paraId="54108B41">
            <w:pPr>
              <w:spacing w:line="400" w:lineRule="exact"/>
              <w:rPr>
                <w:rFonts w:hint="eastAsia" w:ascii="宋体" w:hAnsi="宋体" w:eastAsia="宋体" w:cs="宋体"/>
                <w:color w:val="FF0000"/>
                <w:sz w:val="21"/>
                <w:szCs w:val="21"/>
              </w:rPr>
            </w:pPr>
          </w:p>
        </w:tc>
        <w:tc>
          <w:tcPr>
            <w:tcW w:w="1414" w:type="dxa"/>
            <w:noWrap w:val="0"/>
            <w:vAlign w:val="center"/>
          </w:tcPr>
          <w:p w14:paraId="6971410F">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施工总平面布置图（满分5分）</w:t>
            </w:r>
          </w:p>
        </w:tc>
        <w:tc>
          <w:tcPr>
            <w:tcW w:w="6205" w:type="dxa"/>
            <w:noWrap w:val="0"/>
            <w:vAlign w:val="center"/>
          </w:tcPr>
          <w:p w14:paraId="51749941">
            <w:pPr>
              <w:keepNext w:val="0"/>
              <w:keepLines w:val="0"/>
              <w:pageBreakBefore w:val="0"/>
              <w:widowControl w:val="0"/>
              <w:kinsoku/>
              <w:wordWrap/>
              <w:overflowPunct/>
              <w:topLinePunct w:val="0"/>
              <w:autoSpaceDE w:val="0"/>
              <w:autoSpaceDN w:val="0"/>
              <w:bidi w:val="0"/>
              <w:adjustRightInd/>
              <w:snapToGrid/>
              <w:spacing w:line="380" w:lineRule="exact"/>
              <w:ind w:left="12" w:leftChars="0" w:hanging="12" w:hangingChars="6"/>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四档（5 分）有施工总平面布置图，安排科学合理，符合本项目施工实际要求。</w:t>
            </w:r>
          </w:p>
          <w:p w14:paraId="41B29EA2">
            <w:pPr>
              <w:keepNext w:val="0"/>
              <w:keepLines w:val="0"/>
              <w:pageBreakBefore w:val="0"/>
              <w:widowControl w:val="0"/>
              <w:kinsoku/>
              <w:wordWrap/>
              <w:overflowPunct/>
              <w:topLinePunct w:val="0"/>
              <w:autoSpaceDE w:val="0"/>
              <w:autoSpaceDN w:val="0"/>
              <w:bidi w:val="0"/>
              <w:adjustRightInd/>
              <w:snapToGrid/>
              <w:spacing w:line="380" w:lineRule="exact"/>
              <w:ind w:left="12" w:leftChars="0" w:hanging="12" w:hangingChars="6"/>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三档（3 分）有施工总平面布置图，安排一般，符合本项目施工实际要求。</w:t>
            </w:r>
          </w:p>
          <w:p w14:paraId="71CEFC82">
            <w:pPr>
              <w:keepNext w:val="0"/>
              <w:keepLines w:val="0"/>
              <w:pageBreakBefore w:val="0"/>
              <w:widowControl w:val="0"/>
              <w:kinsoku/>
              <w:wordWrap/>
              <w:overflowPunct/>
              <w:topLinePunct w:val="0"/>
              <w:autoSpaceDE w:val="0"/>
              <w:autoSpaceDN w:val="0"/>
              <w:bidi w:val="0"/>
              <w:adjustRightInd/>
              <w:snapToGrid/>
              <w:spacing w:line="380" w:lineRule="exact"/>
              <w:ind w:left="12" w:leftChars="0" w:hanging="12" w:hangingChars="6"/>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二档（2 分）有施工总平面布置图，基本符合本项目施工实际要求。</w:t>
            </w:r>
          </w:p>
          <w:p w14:paraId="03655D2A">
            <w:pPr>
              <w:keepNext w:val="0"/>
              <w:keepLines w:val="0"/>
              <w:pageBreakBefore w:val="0"/>
              <w:widowControl w:val="0"/>
              <w:kinsoku/>
              <w:wordWrap/>
              <w:overflowPunct/>
              <w:topLinePunct w:val="0"/>
              <w:autoSpaceDE w:val="0"/>
              <w:autoSpaceDN w:val="0"/>
              <w:bidi w:val="0"/>
              <w:adjustRightInd/>
              <w:snapToGrid/>
              <w:spacing w:line="380" w:lineRule="exact"/>
              <w:ind w:left="12" w:leftChars="0" w:hanging="12" w:hangingChars="6"/>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一档（1 分）有施工总平面布置图，但不符合本项目施工实际要求。</w:t>
            </w:r>
          </w:p>
        </w:tc>
      </w:tr>
      <w:tr w14:paraId="1332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9" w:type="dxa"/>
            <w:tcBorders>
              <w:right w:val="single" w:color="auto" w:sz="4" w:space="0"/>
            </w:tcBorders>
            <w:noWrap w:val="0"/>
            <w:vAlign w:val="center"/>
          </w:tcPr>
          <w:p w14:paraId="4C85768A">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619" w:type="dxa"/>
            <w:gridSpan w:val="2"/>
            <w:tcBorders>
              <w:left w:val="single" w:color="auto" w:sz="4" w:space="0"/>
            </w:tcBorders>
            <w:noWrap w:val="0"/>
            <w:vAlign w:val="center"/>
          </w:tcPr>
          <w:p w14:paraId="4A6D6315">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业绩分（</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6205" w:type="dxa"/>
            <w:noWrap w:val="0"/>
            <w:vAlign w:val="center"/>
          </w:tcPr>
          <w:p w14:paraId="4FF17F04">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年1月1日至</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截止时间止</w:t>
            </w:r>
            <w:r>
              <w:rPr>
                <w:rFonts w:hint="eastAsia" w:ascii="宋体" w:hAnsi="宋体" w:cs="宋体"/>
                <w:color w:val="auto"/>
                <w:sz w:val="21"/>
                <w:szCs w:val="21"/>
                <w:lang w:val="en-US" w:eastAsia="zh-CN"/>
              </w:rPr>
              <w:t>承接过</w:t>
            </w:r>
            <w:r>
              <w:rPr>
                <w:rFonts w:hint="eastAsia" w:ascii="宋体" w:hAnsi="宋体" w:eastAsia="宋体" w:cs="宋体"/>
                <w:color w:val="auto"/>
                <w:sz w:val="21"/>
                <w:szCs w:val="21"/>
                <w:lang w:val="en-US" w:eastAsia="zh-CN"/>
              </w:rPr>
              <w:t>相关市政</w:t>
            </w:r>
            <w:r>
              <w:rPr>
                <w:rFonts w:hint="eastAsia" w:ascii="宋体" w:hAnsi="宋体" w:eastAsia="宋体" w:cs="宋体"/>
                <w:color w:val="auto"/>
                <w:sz w:val="21"/>
                <w:szCs w:val="21"/>
              </w:rPr>
              <w:t>工程项目的，每提供1个有效业绩得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分，最高得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分。必须提供相关证明材料</w:t>
            </w:r>
            <w:r>
              <w:rPr>
                <w:rFonts w:hint="eastAsia" w:ascii="宋体" w:hAnsi="宋体" w:cs="宋体"/>
                <w:color w:val="auto"/>
                <w:sz w:val="21"/>
                <w:szCs w:val="21"/>
                <w:lang w:val="en-US" w:eastAsia="zh-CN"/>
              </w:rPr>
              <w:t>否则不得分</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eastAsia="宋体" w:cs="宋体"/>
                <w:color w:val="auto"/>
                <w:sz w:val="21"/>
                <w:szCs w:val="21"/>
              </w:rPr>
              <w:t>证明材料：</w:t>
            </w:r>
            <w:r>
              <w:rPr>
                <w:rFonts w:hint="eastAsia" w:ascii="宋体" w:hAnsi="宋体" w:eastAsia="宋体" w:cs="宋体"/>
                <w:color w:val="auto"/>
                <w:sz w:val="21"/>
                <w:szCs w:val="21"/>
                <w:lang w:val="en-US" w:eastAsia="zh-CN"/>
              </w:rPr>
              <w:t>中标（成交）通知书或</w:t>
            </w:r>
            <w:r>
              <w:rPr>
                <w:rFonts w:hint="eastAsia" w:ascii="宋体" w:hAnsi="宋体" w:eastAsia="宋体" w:cs="宋体"/>
                <w:color w:val="auto"/>
                <w:sz w:val="21"/>
                <w:szCs w:val="21"/>
              </w:rPr>
              <w:t>工程合同协议书。</w:t>
            </w:r>
            <w:r>
              <w:rPr>
                <w:rFonts w:hint="eastAsia" w:ascii="宋体" w:hAnsi="宋体" w:cs="宋体"/>
                <w:color w:val="auto"/>
                <w:sz w:val="21"/>
                <w:szCs w:val="21"/>
                <w:lang w:eastAsia="zh-CN"/>
              </w:rPr>
              <w:t>）</w:t>
            </w:r>
          </w:p>
        </w:tc>
      </w:tr>
      <w:tr w14:paraId="465E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33" w:type="dxa"/>
            <w:gridSpan w:val="4"/>
            <w:noWrap w:val="0"/>
            <w:vAlign w:val="top"/>
          </w:tcPr>
          <w:p w14:paraId="244AFF04">
            <w:pPr>
              <w:widowControl/>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b/>
                <w:bCs w:val="0"/>
                <w:color w:val="auto"/>
                <w:sz w:val="21"/>
                <w:szCs w:val="21"/>
              </w:rPr>
              <w:t>总得分＝1＋2</w:t>
            </w:r>
            <w:r>
              <w:rPr>
                <w:rFonts w:hint="eastAsia" w:ascii="宋体" w:hAnsi="宋体" w:eastAsia="宋体" w:cs="宋体"/>
                <w:b/>
                <w:bCs w:val="0"/>
                <w:color w:val="auto"/>
                <w:sz w:val="21"/>
                <w:szCs w:val="21"/>
                <w:lang w:val="en-US" w:eastAsia="zh-CN"/>
              </w:rPr>
              <w:t>+3</w:t>
            </w:r>
          </w:p>
        </w:tc>
      </w:tr>
    </w:tbl>
    <w:p w14:paraId="082F644A">
      <w:pPr>
        <w:spacing w:line="360" w:lineRule="auto"/>
        <w:rPr>
          <w:rFonts w:hint="eastAsia" w:ascii="宋体" w:hAnsi="宋体" w:eastAsia="宋体" w:cs="宋体"/>
          <w:color w:val="auto"/>
          <w:highlight w:val="none"/>
        </w:rPr>
      </w:pPr>
    </w:p>
    <w:p w14:paraId="02E2386C">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7D064E39">
      <w:pPr>
        <w:spacing w:line="360" w:lineRule="auto"/>
        <w:ind w:firstLine="420" w:firstLineChars="200"/>
        <w:rPr>
          <w:rFonts w:hint="eastAsia" w:ascii="宋体" w:hAnsi="宋体" w:eastAsia="宋体" w:cs="宋体"/>
          <w:color w:val="auto"/>
          <w:highlight w:val="none"/>
        </w:rPr>
      </w:pPr>
      <w:bookmarkStart w:id="8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15F04D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F2A0493">
      <w:pPr>
        <w:pStyle w:val="3"/>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53CDABE">
      <w:pPr>
        <w:pStyle w:val="3"/>
        <w:spacing w:before="0" w:after="0" w:line="360" w:lineRule="auto"/>
        <w:ind w:firstLine="640" w:firstLineChars="200"/>
        <w:jc w:val="center"/>
        <w:rPr>
          <w:rFonts w:hint="eastAsia" w:ascii="宋体" w:hAnsi="宋体" w:eastAsia="宋体" w:cs="宋体"/>
          <w:b w:val="0"/>
          <w:color w:val="auto"/>
          <w:highlight w:val="none"/>
          <w:lang w:eastAsia="zh-CN"/>
        </w:rPr>
      </w:pPr>
      <w:bookmarkStart w:id="85" w:name="_Toc498"/>
      <w:bookmarkStart w:id="86" w:name="_Toc22098"/>
      <w:bookmarkStart w:id="87" w:name="_Toc640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4"/>
      <w:bookmarkEnd w:id="85"/>
      <w:bookmarkEnd w:id="86"/>
      <w:bookmarkEnd w:id="87"/>
    </w:p>
    <w:p w14:paraId="7066B6E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22615A84">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59AE6AE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7DA37C3">
      <w:pPr>
        <w:pStyle w:val="29"/>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4D64C9E">
      <w:pPr>
        <w:pStyle w:val="3"/>
        <w:spacing w:before="0" w:after="0" w:line="360" w:lineRule="auto"/>
        <w:ind w:firstLine="640" w:firstLineChars="200"/>
        <w:jc w:val="center"/>
        <w:rPr>
          <w:rFonts w:hint="eastAsia" w:ascii="宋体" w:hAnsi="宋体" w:eastAsia="宋体" w:cs="宋体"/>
          <w:b w:val="0"/>
          <w:color w:val="auto"/>
          <w:highlight w:val="none"/>
        </w:rPr>
      </w:pPr>
      <w:bookmarkStart w:id="88" w:name="_Toc9233"/>
      <w:bookmarkStart w:id="89" w:name="_Toc80205936"/>
      <w:bookmarkStart w:id="90" w:name="_Toc3713"/>
      <w:bookmarkStart w:id="91" w:name="_Toc384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8"/>
      <w:bookmarkEnd w:id="89"/>
      <w:bookmarkEnd w:id="90"/>
      <w:bookmarkEnd w:id="91"/>
    </w:p>
    <w:p w14:paraId="7F788E4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142CD12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BB6281A">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0064F5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286C704D">
      <w:pPr>
        <w:spacing w:line="360" w:lineRule="auto"/>
        <w:ind w:firstLine="420" w:firstLineChars="200"/>
        <w:rPr>
          <w:rFonts w:hint="eastAsia" w:ascii="宋体" w:hAnsi="宋体" w:eastAsia="宋体" w:cs="宋体"/>
          <w:color w:val="auto"/>
          <w:highlight w:val="none"/>
        </w:rPr>
      </w:pPr>
    </w:p>
    <w:p w14:paraId="75E22506">
      <w:pPr>
        <w:spacing w:line="360" w:lineRule="auto"/>
        <w:ind w:firstLine="420" w:firstLineChars="200"/>
        <w:rPr>
          <w:rFonts w:hint="eastAsia" w:ascii="宋体" w:hAnsi="宋体" w:eastAsia="宋体" w:cs="宋体"/>
          <w:color w:val="auto"/>
          <w:highlight w:val="none"/>
        </w:rPr>
      </w:pPr>
    </w:p>
    <w:p w14:paraId="7AB73182">
      <w:pPr>
        <w:spacing w:line="360" w:lineRule="auto"/>
        <w:rPr>
          <w:rFonts w:hint="eastAsia" w:ascii="宋体" w:hAnsi="宋体" w:eastAsia="宋体" w:cs="宋体"/>
          <w:color w:val="auto"/>
          <w:highlight w:val="none"/>
        </w:rPr>
      </w:pPr>
    </w:p>
    <w:p w14:paraId="087D686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144058D">
      <w:pPr>
        <w:pStyle w:val="11"/>
        <w:spacing w:line="360" w:lineRule="auto"/>
        <w:rPr>
          <w:rFonts w:hint="eastAsia" w:ascii="宋体" w:hAnsi="宋体" w:eastAsia="宋体" w:cs="宋体"/>
          <w:color w:val="auto"/>
          <w:highlight w:val="none"/>
        </w:rPr>
      </w:pPr>
    </w:p>
    <w:p w14:paraId="2E98E81C">
      <w:pPr>
        <w:pStyle w:val="11"/>
        <w:spacing w:line="360" w:lineRule="auto"/>
        <w:rPr>
          <w:rFonts w:hint="eastAsia" w:ascii="宋体" w:hAnsi="宋体" w:eastAsia="宋体" w:cs="宋体"/>
          <w:color w:val="auto"/>
          <w:highlight w:val="none"/>
        </w:rPr>
      </w:pPr>
    </w:p>
    <w:p w14:paraId="59AABFCB">
      <w:pPr>
        <w:pStyle w:val="11"/>
        <w:spacing w:line="360" w:lineRule="auto"/>
        <w:rPr>
          <w:rFonts w:hint="eastAsia" w:ascii="宋体" w:hAnsi="宋体" w:eastAsia="宋体" w:cs="宋体"/>
          <w:color w:val="auto"/>
          <w:highlight w:val="none"/>
        </w:rPr>
      </w:pPr>
    </w:p>
    <w:p w14:paraId="1625F424">
      <w:pPr>
        <w:pStyle w:val="11"/>
        <w:spacing w:line="360" w:lineRule="auto"/>
        <w:rPr>
          <w:rFonts w:hint="eastAsia" w:ascii="宋体" w:hAnsi="宋体" w:eastAsia="宋体" w:cs="宋体"/>
          <w:color w:val="auto"/>
          <w:highlight w:val="none"/>
        </w:rPr>
      </w:pPr>
    </w:p>
    <w:p w14:paraId="26274C08">
      <w:pPr>
        <w:pStyle w:val="11"/>
        <w:spacing w:line="360" w:lineRule="auto"/>
        <w:rPr>
          <w:rFonts w:hint="eastAsia" w:ascii="宋体" w:hAnsi="宋体" w:eastAsia="宋体" w:cs="宋体"/>
          <w:color w:val="auto"/>
          <w:highlight w:val="none"/>
        </w:rPr>
      </w:pPr>
    </w:p>
    <w:p w14:paraId="3AA2CA85">
      <w:pPr>
        <w:pStyle w:val="11"/>
        <w:spacing w:line="360" w:lineRule="auto"/>
        <w:rPr>
          <w:rFonts w:hint="eastAsia" w:ascii="宋体" w:hAnsi="宋体" w:eastAsia="宋体" w:cs="宋体"/>
          <w:color w:val="auto"/>
          <w:highlight w:val="none"/>
        </w:rPr>
      </w:pPr>
    </w:p>
    <w:p w14:paraId="13802D90">
      <w:pPr>
        <w:pStyle w:val="11"/>
        <w:spacing w:line="360" w:lineRule="auto"/>
        <w:rPr>
          <w:rFonts w:hint="eastAsia" w:ascii="宋体" w:hAnsi="宋体" w:eastAsia="宋体" w:cs="宋体"/>
          <w:color w:val="auto"/>
          <w:highlight w:val="none"/>
        </w:rPr>
      </w:pPr>
    </w:p>
    <w:p w14:paraId="054392DD">
      <w:pPr>
        <w:pStyle w:val="11"/>
        <w:spacing w:line="360" w:lineRule="auto"/>
        <w:rPr>
          <w:rFonts w:hint="eastAsia" w:ascii="宋体" w:hAnsi="宋体" w:eastAsia="宋体" w:cs="宋体"/>
          <w:color w:val="auto"/>
          <w:highlight w:val="none"/>
        </w:rPr>
      </w:pPr>
    </w:p>
    <w:p w14:paraId="7149EC2A">
      <w:pPr>
        <w:pStyle w:val="11"/>
        <w:spacing w:line="360" w:lineRule="auto"/>
        <w:rPr>
          <w:rFonts w:hint="eastAsia" w:ascii="宋体" w:hAnsi="宋体" w:eastAsia="宋体" w:cs="宋体"/>
          <w:color w:val="auto"/>
          <w:highlight w:val="none"/>
        </w:rPr>
      </w:pPr>
    </w:p>
    <w:p w14:paraId="63864860">
      <w:pPr>
        <w:pStyle w:val="2"/>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92" w:name="_Toc16991"/>
      <w:bookmarkStart w:id="93" w:name="_Toc8541"/>
      <w:bookmarkStart w:id="94" w:name="_Toc29932"/>
      <w:r>
        <w:rPr>
          <w:rFonts w:hint="eastAsia" w:ascii="宋体" w:hAnsi="宋体" w:eastAsia="宋体" w:cs="宋体"/>
          <w:b/>
          <w:bCs/>
          <w:color w:val="auto"/>
          <w:highlight w:val="none"/>
        </w:rPr>
        <w:t>第五章 响应文件格式</w:t>
      </w:r>
      <w:bookmarkEnd w:id="92"/>
      <w:bookmarkEnd w:id="93"/>
      <w:bookmarkEnd w:id="94"/>
    </w:p>
    <w:p w14:paraId="6E0CC32F">
      <w:pPr>
        <w:pStyle w:val="3"/>
        <w:spacing w:line="360" w:lineRule="auto"/>
        <w:jc w:val="center"/>
        <w:rPr>
          <w:rFonts w:hint="eastAsia" w:ascii="宋体" w:hAnsi="宋体" w:eastAsia="宋体" w:cs="宋体"/>
          <w:b w:val="0"/>
          <w:color w:val="auto"/>
          <w:highlight w:val="none"/>
          <w:lang w:val="en-US" w:eastAsia="zh-CN"/>
        </w:rPr>
      </w:pPr>
      <w:bookmarkStart w:id="95" w:name="_Toc16580"/>
      <w:bookmarkStart w:id="96" w:name="_Toc3747"/>
      <w:bookmarkStart w:id="97" w:name="_Toc80205938"/>
      <w:bookmarkStart w:id="98" w:name="_Toc26547"/>
      <w:r>
        <w:rPr>
          <w:rFonts w:hint="eastAsia" w:ascii="宋体" w:hAnsi="宋体" w:eastAsia="宋体" w:cs="宋体"/>
          <w:b w:val="0"/>
          <w:color w:val="auto"/>
          <w:highlight w:val="none"/>
          <w:lang w:val="en-US" w:eastAsia="zh-CN"/>
        </w:rPr>
        <w:t>第一节 封面格式</w:t>
      </w:r>
      <w:bookmarkEnd w:id="95"/>
      <w:bookmarkEnd w:id="96"/>
      <w:bookmarkEnd w:id="97"/>
      <w:bookmarkEnd w:id="98"/>
    </w:p>
    <w:p w14:paraId="10CBD9CE">
      <w:pPr>
        <w:snapToGrid w:val="0"/>
        <w:spacing w:before="120" w:beforeLines="50" w:after="50" w:line="360" w:lineRule="auto"/>
        <w:rPr>
          <w:rFonts w:hint="eastAsia" w:ascii="宋体" w:hAnsi="宋体" w:eastAsia="宋体" w:cs="宋体"/>
          <w:color w:val="auto"/>
          <w:sz w:val="24"/>
          <w:szCs w:val="20"/>
          <w:highlight w:val="none"/>
        </w:rPr>
      </w:pPr>
    </w:p>
    <w:p w14:paraId="5E1CF748">
      <w:pPr>
        <w:snapToGrid w:val="0"/>
        <w:spacing w:before="120" w:beforeLines="50" w:after="50" w:line="360" w:lineRule="auto"/>
        <w:jc w:val="center"/>
        <w:rPr>
          <w:rFonts w:hint="eastAsia" w:ascii="宋体" w:hAnsi="宋体" w:eastAsia="宋体" w:cs="宋体"/>
          <w:bCs/>
          <w:color w:val="auto"/>
          <w:sz w:val="24"/>
          <w:szCs w:val="20"/>
          <w:highlight w:val="none"/>
        </w:rPr>
      </w:pPr>
    </w:p>
    <w:p w14:paraId="06A9B3B6">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7C3E5B66">
      <w:pPr>
        <w:snapToGrid w:val="0"/>
        <w:spacing w:before="120" w:beforeLines="50" w:after="50" w:line="360" w:lineRule="auto"/>
        <w:rPr>
          <w:rFonts w:hint="eastAsia" w:ascii="宋体" w:hAnsi="宋体" w:eastAsia="宋体" w:cs="宋体"/>
          <w:bCs/>
          <w:color w:val="auto"/>
          <w:sz w:val="24"/>
          <w:szCs w:val="20"/>
          <w:highlight w:val="none"/>
        </w:rPr>
      </w:pPr>
    </w:p>
    <w:p w14:paraId="7425DB93">
      <w:pPr>
        <w:snapToGrid w:val="0"/>
        <w:spacing w:before="120" w:beforeLines="50" w:after="50" w:line="360" w:lineRule="auto"/>
        <w:rPr>
          <w:rFonts w:hint="eastAsia" w:ascii="宋体" w:hAnsi="宋体" w:eastAsia="宋体" w:cs="宋体"/>
          <w:bCs/>
          <w:color w:val="auto"/>
          <w:sz w:val="32"/>
          <w:szCs w:val="32"/>
          <w:highlight w:val="none"/>
        </w:rPr>
      </w:pPr>
    </w:p>
    <w:p w14:paraId="628D3A8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隆安县城厢镇宝塔村花杨屯三产安置项目土地平整</w:t>
      </w:r>
    </w:p>
    <w:p w14:paraId="6306DB37">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0C737E6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https://www.gcy.zfcg.gxzf.gov.cn/gaea/api/project/flow/redirect?projectId=7220257144991383584&amp;newUrl=https://www.gcy.zfcg.gxzf.gov.cn/micro-app-back-index/blank?_flow_type_=agency&amp;_flow_projectId_=7220257144991383584&amp;_jump_page_type_=project_procurement_management_flow&amp;_app_=zcy.procurement&amp;oldUrl=https://www.gcy.zfcg.gxzf.gov.cn/project-center/_procurement_/project-result-detail/7220257144991383584&amp;utm=web-project-center-front.42c12ca3.0.0.ddb7a07070f611f0b7c601b53c35033f" \t "https://www.gcy.zfcg.gxzf.gov.cn/project-center/_procurement_/self-project/_blank"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rPr>
        <w:t>NNZC2025-C2-230075-XMZX</w:t>
      </w:r>
      <w:r>
        <w:rPr>
          <w:rFonts w:hint="eastAsia" w:ascii="宋体" w:hAnsi="宋体" w:eastAsia="宋体" w:cs="宋体"/>
          <w:bCs/>
          <w:color w:val="auto"/>
          <w:sz w:val="32"/>
          <w:szCs w:val="32"/>
          <w:highlight w:val="none"/>
        </w:rPr>
        <w:fldChar w:fldCharType="end"/>
      </w:r>
      <w:r>
        <w:rPr>
          <w:rFonts w:hint="eastAsia" w:ascii="宋体" w:hAnsi="宋体" w:cs="宋体"/>
          <w:bCs/>
          <w:color w:val="auto"/>
          <w:sz w:val="32"/>
          <w:szCs w:val="32"/>
          <w:highlight w:val="none"/>
          <w:lang w:eastAsia="zh-CN"/>
        </w:rPr>
        <w:t xml:space="preserve">     </w:t>
      </w:r>
    </w:p>
    <w:p w14:paraId="28F9D999">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11304DFF">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3B2767D">
      <w:pPr>
        <w:snapToGrid w:val="0"/>
        <w:spacing w:before="120" w:beforeLines="50" w:after="50" w:line="360" w:lineRule="auto"/>
        <w:rPr>
          <w:rFonts w:hint="eastAsia" w:ascii="宋体" w:hAnsi="宋体" w:eastAsia="宋体" w:cs="宋体"/>
          <w:bCs/>
          <w:color w:val="auto"/>
          <w:sz w:val="32"/>
          <w:szCs w:val="32"/>
          <w:highlight w:val="none"/>
        </w:rPr>
      </w:pPr>
    </w:p>
    <w:p w14:paraId="5BDC1C6B">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BAECD53">
      <w:pPr>
        <w:snapToGrid w:val="0"/>
        <w:spacing w:before="120" w:beforeLines="50" w:after="50" w:line="360" w:lineRule="auto"/>
        <w:rPr>
          <w:rFonts w:hint="eastAsia" w:ascii="宋体" w:hAnsi="宋体" w:eastAsia="宋体" w:cs="宋体"/>
          <w:bCs/>
          <w:color w:val="auto"/>
          <w:sz w:val="32"/>
          <w:szCs w:val="32"/>
          <w:highlight w:val="none"/>
        </w:rPr>
      </w:pPr>
    </w:p>
    <w:p w14:paraId="7874BBC7">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336C1496">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3A5F3CC6">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258B683B">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AC6C2E1">
      <w:pPr>
        <w:pStyle w:val="3"/>
        <w:spacing w:line="360" w:lineRule="auto"/>
        <w:jc w:val="center"/>
        <w:rPr>
          <w:rFonts w:hint="eastAsia" w:ascii="宋体" w:hAnsi="宋体" w:eastAsia="宋体" w:cs="宋体"/>
          <w:bCs w:val="0"/>
          <w:color w:val="auto"/>
          <w:highlight w:val="none"/>
        </w:rPr>
      </w:pPr>
      <w:bookmarkStart w:id="99" w:name="_Toc25717"/>
      <w:bookmarkStart w:id="100" w:name="_Toc21695"/>
      <w:bookmarkStart w:id="101" w:name="_Toc80205939"/>
      <w:bookmarkStart w:id="102" w:name="_Toc1270"/>
      <w:r>
        <w:rPr>
          <w:rFonts w:hint="eastAsia" w:ascii="宋体" w:hAnsi="宋体" w:eastAsia="宋体" w:cs="宋体"/>
          <w:bCs w:val="0"/>
          <w:color w:val="auto"/>
          <w:highlight w:val="none"/>
        </w:rPr>
        <w:t>第二节 资格证明文件格式</w:t>
      </w:r>
      <w:bookmarkEnd w:id="99"/>
      <w:bookmarkEnd w:id="100"/>
      <w:bookmarkEnd w:id="101"/>
      <w:bookmarkEnd w:id="102"/>
    </w:p>
    <w:p w14:paraId="60275F2F">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48E4047">
      <w:pPr>
        <w:snapToGrid w:val="0"/>
        <w:spacing w:before="120" w:beforeLines="50" w:after="50" w:line="360" w:lineRule="auto"/>
        <w:rPr>
          <w:rFonts w:hint="eastAsia" w:ascii="宋体" w:hAnsi="宋体" w:eastAsia="宋体" w:cs="宋体"/>
          <w:color w:val="auto"/>
          <w:sz w:val="24"/>
          <w:szCs w:val="20"/>
          <w:highlight w:val="none"/>
        </w:rPr>
      </w:pPr>
    </w:p>
    <w:p w14:paraId="6141A59D">
      <w:pPr>
        <w:snapToGrid w:val="0"/>
        <w:spacing w:before="120" w:beforeLines="50" w:after="50" w:line="360" w:lineRule="auto"/>
        <w:rPr>
          <w:rFonts w:hint="eastAsia" w:ascii="宋体" w:hAnsi="宋体" w:eastAsia="宋体" w:cs="宋体"/>
          <w:color w:val="auto"/>
          <w:sz w:val="24"/>
          <w:szCs w:val="20"/>
          <w:highlight w:val="none"/>
        </w:rPr>
      </w:pPr>
    </w:p>
    <w:p w14:paraId="082D53F9">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28F5D3F9">
      <w:pPr>
        <w:snapToGrid w:val="0"/>
        <w:spacing w:before="120" w:beforeLines="50" w:after="50" w:line="360" w:lineRule="auto"/>
        <w:rPr>
          <w:rFonts w:hint="eastAsia" w:ascii="宋体" w:hAnsi="宋体" w:eastAsia="宋体" w:cs="宋体"/>
          <w:bCs/>
          <w:color w:val="auto"/>
          <w:sz w:val="24"/>
          <w:szCs w:val="20"/>
          <w:highlight w:val="none"/>
        </w:rPr>
      </w:pPr>
    </w:p>
    <w:p w14:paraId="183EC1F3">
      <w:pPr>
        <w:snapToGrid w:val="0"/>
        <w:spacing w:before="120" w:beforeLines="50" w:after="50" w:line="360" w:lineRule="auto"/>
        <w:rPr>
          <w:rFonts w:hint="eastAsia" w:ascii="宋体" w:hAnsi="宋体" w:eastAsia="宋体" w:cs="宋体"/>
          <w:bCs/>
          <w:color w:val="auto"/>
          <w:sz w:val="24"/>
          <w:szCs w:val="20"/>
          <w:highlight w:val="none"/>
        </w:rPr>
      </w:pPr>
    </w:p>
    <w:p w14:paraId="37CB12FC">
      <w:pPr>
        <w:snapToGrid w:val="0"/>
        <w:spacing w:before="120" w:beforeLines="50" w:after="50" w:line="360" w:lineRule="auto"/>
        <w:rPr>
          <w:rFonts w:hint="eastAsia" w:ascii="宋体" w:hAnsi="宋体" w:eastAsia="宋体" w:cs="宋体"/>
          <w:bCs/>
          <w:color w:val="auto"/>
          <w:sz w:val="24"/>
          <w:szCs w:val="20"/>
          <w:highlight w:val="none"/>
        </w:rPr>
      </w:pPr>
    </w:p>
    <w:p w14:paraId="3C9310FF">
      <w:pPr>
        <w:snapToGrid w:val="0"/>
        <w:spacing w:before="120" w:beforeLines="50" w:after="50" w:line="360" w:lineRule="auto"/>
        <w:rPr>
          <w:rFonts w:hint="eastAsia" w:ascii="宋体" w:hAnsi="宋体" w:eastAsia="宋体" w:cs="宋体"/>
          <w:bCs/>
          <w:color w:val="auto"/>
          <w:sz w:val="24"/>
          <w:szCs w:val="20"/>
          <w:highlight w:val="none"/>
        </w:rPr>
      </w:pPr>
    </w:p>
    <w:p w14:paraId="6248F995">
      <w:pPr>
        <w:snapToGrid w:val="0"/>
        <w:spacing w:before="120" w:beforeLines="50" w:after="50" w:line="360" w:lineRule="auto"/>
        <w:rPr>
          <w:rFonts w:hint="eastAsia" w:ascii="宋体" w:hAnsi="宋体" w:eastAsia="宋体" w:cs="宋体"/>
          <w:bCs/>
          <w:color w:val="auto"/>
          <w:sz w:val="24"/>
          <w:szCs w:val="20"/>
          <w:highlight w:val="none"/>
        </w:rPr>
      </w:pPr>
    </w:p>
    <w:p w14:paraId="57CBE5C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隆安县城厢镇宝塔村花杨屯三产安置项目土地平整</w:t>
      </w:r>
    </w:p>
    <w:p w14:paraId="7C1D1A2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849A7CF">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https://www.gcy.zfcg.gxzf.gov.cn/gaea/api/project/flow/redirect?projectId=7220257144991383584&amp;newUrl=https://www.gcy.zfcg.gxzf.gov.cn/micro-app-back-index/blank?_flow_type_=agency&amp;_flow_projectId_=7220257144991383584&amp;_jump_page_type_=project_procurement_management_flow&amp;_app_=zcy.procurement&amp;oldUrl=https://www.gcy.zfcg.gxzf.gov.cn/project-center/_procurement_/project-result-detail/7220257144991383584&amp;utm=web-project-center-front.42c12ca3.0.0.ddb7a07070f611f0b7c601b53c35033f" \t "https://www.gcy.zfcg.gxzf.gov.cn/project-center/_procurement_/self-project/_blank"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rPr>
        <w:t>NNZC2025-C2-230075-XMZX</w:t>
      </w:r>
      <w:r>
        <w:rPr>
          <w:rFonts w:hint="eastAsia" w:ascii="宋体" w:hAnsi="宋体" w:eastAsia="宋体" w:cs="宋体"/>
          <w:bCs/>
          <w:color w:val="auto"/>
          <w:sz w:val="32"/>
          <w:szCs w:val="32"/>
          <w:highlight w:val="none"/>
        </w:rPr>
        <w:fldChar w:fldCharType="end"/>
      </w:r>
      <w:r>
        <w:rPr>
          <w:rFonts w:hint="eastAsia" w:ascii="宋体" w:hAnsi="宋体" w:cs="宋体"/>
          <w:bCs/>
          <w:color w:val="auto"/>
          <w:sz w:val="32"/>
          <w:szCs w:val="32"/>
          <w:highlight w:val="none"/>
          <w:lang w:eastAsia="zh-CN"/>
        </w:rPr>
        <w:t xml:space="preserve">     </w:t>
      </w:r>
    </w:p>
    <w:p w14:paraId="1732CEB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DF0040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1AE08D2">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5063DB7C">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C08C496">
      <w:pPr>
        <w:pStyle w:val="8"/>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0D99F281">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29B2467">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1CBC4616">
      <w:pPr>
        <w:snapToGrid w:val="0"/>
        <w:spacing w:line="360" w:lineRule="auto"/>
        <w:rPr>
          <w:rFonts w:hint="eastAsia" w:ascii="宋体" w:hAnsi="宋体" w:eastAsia="宋体" w:cs="宋体"/>
          <w:color w:val="auto"/>
          <w:kern w:val="0"/>
          <w:sz w:val="24"/>
          <w:highlight w:val="none"/>
        </w:rPr>
      </w:pPr>
    </w:p>
    <w:p w14:paraId="5BAD97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2607C87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6DAC98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4BFD1BC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0A1BC65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650876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2D131000">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olor w:val="auto"/>
          <w:sz w:val="24"/>
          <w:szCs w:val="24"/>
          <w:highlight w:val="none"/>
          <w:lang w:eastAsia="zh-CN"/>
        </w:rPr>
        <w:t>中小</w:t>
      </w:r>
      <w:r>
        <w:rPr>
          <w:rFonts w:hint="eastAsia" w:ascii="宋体" w:hAnsi="宋体"/>
          <w:color w:val="auto"/>
          <w:sz w:val="24"/>
          <w:szCs w:val="24"/>
          <w:highlight w:val="none"/>
        </w:rPr>
        <w:t>企业声明函或残疾人福利性单位声明函或供应商属于监狱企业的证明材料</w:t>
      </w:r>
      <w:r>
        <w:rPr>
          <w:rFonts w:hint="eastAsia" w:ascii="宋体" w:hAnsi="宋体" w:cs="宋体"/>
          <w:color w:val="auto"/>
          <w:sz w:val="24"/>
          <w:szCs w:val="24"/>
          <w:highlight w:val="none"/>
        </w:rPr>
        <w:t>；</w:t>
      </w:r>
      <w:r>
        <w:rPr>
          <w:rFonts w:hint="eastAsia" w:ascii="宋体" w:hAnsi="宋体" w:eastAsia="宋体" w:cs="宋体"/>
          <w:b/>
          <w:bCs/>
          <w:color w:val="auto"/>
          <w:szCs w:val="21"/>
          <w:highlight w:val="none"/>
        </w:rPr>
        <w:t>（专门面向</w:t>
      </w:r>
      <w:r>
        <w:rPr>
          <w:rFonts w:hint="eastAsia" w:ascii="宋体" w:hAnsi="宋体" w:eastAsia="宋体" w:cs="宋体"/>
          <w:b/>
          <w:bCs/>
          <w:color w:val="auto"/>
          <w:szCs w:val="21"/>
          <w:highlight w:val="none"/>
          <w:lang w:val="en-US" w:eastAsia="zh-CN"/>
        </w:rPr>
        <w:t>小微</w:t>
      </w:r>
      <w:r>
        <w:rPr>
          <w:rFonts w:hint="eastAsia" w:ascii="宋体" w:hAnsi="宋体" w:eastAsia="宋体" w:cs="宋体"/>
          <w:b/>
          <w:bCs/>
          <w:color w:val="auto"/>
          <w:szCs w:val="21"/>
          <w:highlight w:val="none"/>
        </w:rPr>
        <w:t>企业采购的项目</w:t>
      </w:r>
      <w:r>
        <w:rPr>
          <w:rFonts w:hint="eastAsia" w:ascii="宋体" w:hAnsi="宋体" w:eastAsia="宋体" w:cs="宋体"/>
          <w:b/>
          <w:bCs/>
          <w:color w:val="auto"/>
          <w:szCs w:val="21"/>
          <w:highlight w:val="none"/>
          <w:lang w:val="en-US" w:eastAsia="zh-CN"/>
        </w:rPr>
        <w:t>则</w:t>
      </w:r>
      <w:r>
        <w:rPr>
          <w:rFonts w:hint="eastAsia" w:ascii="宋体" w:hAnsi="宋体"/>
          <w:b/>
          <w:color w:val="auto"/>
          <w:szCs w:val="21"/>
          <w:highlight w:val="none"/>
        </w:rPr>
        <w:t>必须提供</w:t>
      </w:r>
      <w:r>
        <w:rPr>
          <w:rFonts w:hint="eastAsia" w:ascii="宋体" w:hAnsi="宋体"/>
          <w:b/>
          <w:color w:val="auto"/>
          <w:szCs w:val="21"/>
          <w:highlight w:val="none"/>
          <w:lang w:eastAsia="zh-CN"/>
        </w:rPr>
        <w:t>）</w:t>
      </w:r>
      <w:r>
        <w:rPr>
          <w:rFonts w:hint="eastAsia" w:ascii="宋体" w:hAnsi="宋体" w:eastAsia="宋体" w:cs="宋体"/>
          <w:color w:val="auto"/>
          <w:kern w:val="0"/>
          <w:sz w:val="24"/>
          <w:highlight w:val="none"/>
        </w:rPr>
        <w:t>………………………………………………（页码）</w:t>
      </w:r>
    </w:p>
    <w:p w14:paraId="6C9134C7">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、符合特定资格条件的有关证明材料</w:t>
      </w:r>
      <w:r>
        <w:rPr>
          <w:rFonts w:hint="eastAsia" w:ascii="宋体" w:hAnsi="宋体" w:eastAsia="宋体" w:cs="宋体"/>
          <w:color w:val="auto"/>
          <w:kern w:val="0"/>
          <w:sz w:val="24"/>
          <w:highlight w:val="none"/>
        </w:rPr>
        <w:t>………………（页码）</w:t>
      </w:r>
    </w:p>
    <w:p w14:paraId="1DFA128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6DABB9F7">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14:paraId="08496E3D">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691FD2F">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19235DB">
      <w:pPr>
        <w:spacing w:line="360" w:lineRule="auto"/>
        <w:rPr>
          <w:rFonts w:hint="eastAsia" w:ascii="宋体" w:hAnsi="宋体" w:eastAsia="宋体" w:cs="宋体"/>
          <w:color w:val="auto"/>
          <w:szCs w:val="21"/>
          <w:highlight w:val="none"/>
        </w:rPr>
      </w:pPr>
    </w:p>
    <w:p w14:paraId="5CA9BBA8">
      <w:pPr>
        <w:spacing w:line="360" w:lineRule="auto"/>
        <w:rPr>
          <w:rFonts w:hint="eastAsia" w:ascii="宋体" w:hAnsi="宋体" w:eastAsia="宋体" w:cs="宋体"/>
          <w:color w:val="auto"/>
          <w:szCs w:val="21"/>
          <w:highlight w:val="none"/>
        </w:rPr>
      </w:pPr>
    </w:p>
    <w:p w14:paraId="1FAEDF5A">
      <w:pPr>
        <w:spacing w:line="360" w:lineRule="auto"/>
        <w:rPr>
          <w:rFonts w:hint="eastAsia" w:ascii="宋体" w:hAnsi="宋体" w:eastAsia="宋体" w:cs="宋体"/>
          <w:color w:val="auto"/>
          <w:szCs w:val="21"/>
          <w:highlight w:val="none"/>
        </w:rPr>
      </w:pPr>
    </w:p>
    <w:p w14:paraId="2730F6B4">
      <w:pPr>
        <w:spacing w:line="360" w:lineRule="auto"/>
        <w:rPr>
          <w:rFonts w:hint="eastAsia" w:ascii="宋体" w:hAnsi="宋体" w:eastAsia="宋体" w:cs="宋体"/>
          <w:color w:val="auto"/>
          <w:szCs w:val="21"/>
          <w:highlight w:val="none"/>
        </w:rPr>
      </w:pPr>
    </w:p>
    <w:p w14:paraId="190A952A">
      <w:pPr>
        <w:spacing w:line="360" w:lineRule="auto"/>
        <w:rPr>
          <w:rFonts w:hint="eastAsia" w:ascii="宋体" w:hAnsi="宋体" w:eastAsia="宋体" w:cs="宋体"/>
          <w:color w:val="auto"/>
          <w:szCs w:val="21"/>
          <w:highlight w:val="none"/>
        </w:rPr>
      </w:pPr>
    </w:p>
    <w:p w14:paraId="5814C277">
      <w:pPr>
        <w:spacing w:line="360" w:lineRule="auto"/>
        <w:rPr>
          <w:rFonts w:hint="eastAsia" w:ascii="宋体" w:hAnsi="宋体" w:eastAsia="宋体" w:cs="宋体"/>
          <w:color w:val="auto"/>
          <w:szCs w:val="21"/>
          <w:highlight w:val="none"/>
        </w:rPr>
      </w:pPr>
    </w:p>
    <w:p w14:paraId="36032CD2">
      <w:pPr>
        <w:spacing w:line="360" w:lineRule="auto"/>
        <w:rPr>
          <w:rFonts w:hint="eastAsia" w:ascii="宋体" w:hAnsi="宋体" w:eastAsia="宋体" w:cs="宋体"/>
          <w:color w:val="auto"/>
          <w:szCs w:val="21"/>
          <w:highlight w:val="none"/>
        </w:rPr>
      </w:pPr>
    </w:p>
    <w:p w14:paraId="6F23CBA4">
      <w:pPr>
        <w:spacing w:line="360" w:lineRule="auto"/>
        <w:rPr>
          <w:rFonts w:hint="eastAsia" w:ascii="宋体" w:hAnsi="宋体" w:eastAsia="宋体" w:cs="宋体"/>
          <w:color w:val="auto"/>
          <w:szCs w:val="21"/>
          <w:highlight w:val="none"/>
        </w:rPr>
      </w:pPr>
    </w:p>
    <w:p w14:paraId="7990DD73">
      <w:pPr>
        <w:spacing w:line="360" w:lineRule="auto"/>
        <w:rPr>
          <w:rFonts w:hint="eastAsia" w:ascii="宋体" w:hAnsi="宋体" w:eastAsia="宋体" w:cs="宋体"/>
          <w:color w:val="auto"/>
          <w:szCs w:val="21"/>
          <w:highlight w:val="none"/>
        </w:rPr>
      </w:pPr>
    </w:p>
    <w:p w14:paraId="187F8332">
      <w:pPr>
        <w:pStyle w:val="15"/>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6C33A95E">
      <w:pPr>
        <w:pStyle w:val="15"/>
        <w:spacing w:line="360" w:lineRule="auto"/>
        <w:ind w:firstLine="602" w:firstLineChars="200"/>
        <w:rPr>
          <w:rFonts w:hint="eastAsia" w:ascii="宋体" w:hAnsi="宋体" w:eastAsia="宋体" w:cs="宋体"/>
          <w:b/>
          <w:color w:val="auto"/>
          <w:sz w:val="30"/>
          <w:szCs w:val="30"/>
          <w:highlight w:val="none"/>
        </w:rPr>
      </w:pPr>
    </w:p>
    <w:p w14:paraId="048EF866">
      <w:pPr>
        <w:rPr>
          <w:rFonts w:hint="eastAsia"/>
        </w:rPr>
      </w:pPr>
    </w:p>
    <w:p w14:paraId="42AE97B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AD946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FAEE8A2">
      <w:pPr>
        <w:snapToGrid w:val="0"/>
        <w:spacing w:before="120" w:beforeLines="50" w:after="50" w:line="360" w:lineRule="auto"/>
        <w:rPr>
          <w:rFonts w:hint="eastAsia" w:ascii="宋体" w:hAnsi="宋体" w:eastAsia="宋体" w:cs="宋体"/>
          <w:color w:val="auto"/>
          <w:sz w:val="24"/>
          <w:szCs w:val="20"/>
          <w:highlight w:val="none"/>
        </w:rPr>
      </w:pPr>
    </w:p>
    <w:p w14:paraId="61EBC551">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6826E956">
      <w:pPr>
        <w:rPr>
          <w:rFonts w:hint="eastAsia"/>
        </w:rPr>
      </w:pPr>
    </w:p>
    <w:p w14:paraId="229C82E5">
      <w:pPr>
        <w:spacing w:line="360" w:lineRule="auto"/>
        <w:rPr>
          <w:rFonts w:hint="eastAsia" w:ascii="宋体" w:hAnsi="宋体" w:eastAsia="宋体" w:cs="宋体"/>
          <w:color w:val="auto"/>
          <w:szCs w:val="21"/>
          <w:highlight w:val="none"/>
        </w:rPr>
      </w:pPr>
    </w:p>
    <w:p w14:paraId="4B0AA82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31D532C">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F85E281">
      <w:pPr>
        <w:spacing w:line="360" w:lineRule="auto"/>
        <w:rPr>
          <w:rFonts w:hint="eastAsia" w:ascii="宋体" w:hAnsi="宋体" w:eastAsia="宋体" w:cs="宋体"/>
          <w:color w:val="auto"/>
          <w:szCs w:val="21"/>
          <w:highlight w:val="none"/>
        </w:rPr>
      </w:pPr>
    </w:p>
    <w:p w14:paraId="168B3DCC">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38AC9C27">
      <w:pPr>
        <w:spacing w:line="360" w:lineRule="auto"/>
        <w:rPr>
          <w:rFonts w:hint="eastAsia" w:ascii="宋体" w:hAnsi="宋体" w:eastAsia="宋体" w:cs="宋体"/>
          <w:color w:val="auto"/>
          <w:szCs w:val="21"/>
          <w:highlight w:val="none"/>
        </w:rPr>
      </w:pPr>
    </w:p>
    <w:p w14:paraId="48FC426D">
      <w:pPr>
        <w:spacing w:line="360" w:lineRule="auto"/>
        <w:rPr>
          <w:rFonts w:hint="eastAsia" w:ascii="宋体" w:hAnsi="宋体" w:eastAsia="宋体" w:cs="宋体"/>
          <w:color w:val="auto"/>
          <w:szCs w:val="21"/>
          <w:highlight w:val="none"/>
        </w:rPr>
      </w:pPr>
    </w:p>
    <w:p w14:paraId="08BA759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2754AA">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87756B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EF29191">
      <w:pPr>
        <w:snapToGrid w:val="0"/>
        <w:spacing w:before="120" w:beforeLines="50" w:after="50" w:line="360" w:lineRule="auto"/>
        <w:jc w:val="center"/>
        <w:rPr>
          <w:rFonts w:hint="eastAsia" w:ascii="宋体" w:hAnsi="宋体" w:eastAsia="宋体" w:cs="宋体"/>
          <w:b/>
          <w:color w:val="auto"/>
          <w:sz w:val="24"/>
          <w:highlight w:val="none"/>
        </w:rPr>
      </w:pPr>
    </w:p>
    <w:p w14:paraId="103AAE95">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FAABA40">
      <w:pPr>
        <w:spacing w:line="360" w:lineRule="auto"/>
        <w:ind w:firstLine="596" w:firstLineChars="198"/>
        <w:contextualSpacing/>
        <w:rPr>
          <w:rFonts w:hint="eastAsia" w:ascii="宋体" w:hAnsi="宋体" w:eastAsia="宋体" w:cs="宋体"/>
          <w:b/>
          <w:color w:val="auto"/>
          <w:sz w:val="24"/>
          <w:highlight w:val="none"/>
        </w:rPr>
      </w:pPr>
      <w:r>
        <w:rPr>
          <w:rFonts w:hint="eastAsia" w:ascii="宋体" w:hAnsi="宋体" w:eastAsia="宋体" w:cs="宋体"/>
          <w:b/>
          <w:color w:val="auto"/>
          <w:kern w:val="0"/>
          <w:sz w:val="30"/>
          <w:szCs w:val="30"/>
          <w:highlight w:val="none"/>
        </w:rPr>
        <w:t>四、供应商直接控股股东信息</w:t>
      </w:r>
    </w:p>
    <w:tbl>
      <w:tblPr>
        <w:tblStyle w:val="24"/>
        <w:tblW w:w="10037" w:type="dxa"/>
        <w:jc w:val="center"/>
        <w:shd w:val="clear" w:color="auto" w:fill="FBFBFB"/>
        <w:tblLayout w:type="fixed"/>
        <w:tblCellMar>
          <w:top w:w="0" w:type="dxa"/>
          <w:left w:w="0" w:type="dxa"/>
          <w:bottom w:w="0" w:type="dxa"/>
          <w:right w:w="0" w:type="dxa"/>
        </w:tblCellMar>
      </w:tblPr>
      <w:tblGrid>
        <w:gridCol w:w="870"/>
        <w:gridCol w:w="2627"/>
        <w:gridCol w:w="1439"/>
        <w:gridCol w:w="4241"/>
        <w:gridCol w:w="860"/>
      </w:tblGrid>
      <w:tr w14:paraId="158D713E">
        <w:tblPrEx>
          <w:tblCellMar>
            <w:top w:w="0" w:type="dxa"/>
            <w:left w:w="0" w:type="dxa"/>
            <w:bottom w:w="0" w:type="dxa"/>
            <w:right w:w="0" w:type="dxa"/>
          </w:tblCellMar>
        </w:tblPrEx>
        <w:trPr>
          <w:trHeight w:val="714" w:hRule="atLeast"/>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8DC80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BF723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4DF3F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B43F1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56B88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1AD5A07">
        <w:tblPrEx>
          <w:tblCellMar>
            <w:top w:w="0" w:type="dxa"/>
            <w:left w:w="0" w:type="dxa"/>
            <w:bottom w:w="0" w:type="dxa"/>
            <w:right w:w="0" w:type="dxa"/>
          </w:tblCellMar>
        </w:tblPrEx>
        <w:trPr>
          <w:trHeight w:val="71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68B39">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F327FA">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0559AD">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9AB96D">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FC5510">
            <w:pPr>
              <w:widowControl/>
              <w:spacing w:line="360" w:lineRule="auto"/>
              <w:contextualSpacing/>
              <w:jc w:val="center"/>
              <w:rPr>
                <w:rFonts w:hint="eastAsia" w:ascii="宋体" w:hAnsi="宋体" w:eastAsia="宋体" w:cs="宋体"/>
                <w:color w:val="auto"/>
                <w:kern w:val="0"/>
                <w:sz w:val="24"/>
                <w:highlight w:val="none"/>
              </w:rPr>
            </w:pPr>
          </w:p>
        </w:tc>
      </w:tr>
      <w:tr w14:paraId="142CD819">
        <w:tblPrEx>
          <w:tblCellMar>
            <w:top w:w="0" w:type="dxa"/>
            <w:left w:w="0" w:type="dxa"/>
            <w:bottom w:w="0" w:type="dxa"/>
            <w:right w:w="0" w:type="dxa"/>
          </w:tblCellMar>
        </w:tblPrEx>
        <w:trPr>
          <w:trHeight w:val="71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DDFFA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732E4">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7DF04A">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1FF25C">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C5BB3E">
            <w:pPr>
              <w:widowControl/>
              <w:spacing w:line="360" w:lineRule="auto"/>
              <w:contextualSpacing/>
              <w:jc w:val="center"/>
              <w:rPr>
                <w:rFonts w:hint="eastAsia" w:ascii="宋体" w:hAnsi="宋体" w:eastAsia="宋体" w:cs="宋体"/>
                <w:color w:val="auto"/>
                <w:kern w:val="0"/>
                <w:sz w:val="24"/>
                <w:highlight w:val="none"/>
              </w:rPr>
            </w:pPr>
          </w:p>
        </w:tc>
      </w:tr>
      <w:tr w14:paraId="3CC47DF7">
        <w:tblPrEx>
          <w:tblCellMar>
            <w:top w:w="0" w:type="dxa"/>
            <w:left w:w="0" w:type="dxa"/>
            <w:bottom w:w="0" w:type="dxa"/>
            <w:right w:w="0" w:type="dxa"/>
          </w:tblCellMar>
        </w:tblPrEx>
        <w:trPr>
          <w:trHeight w:val="71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DC38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FEE84E">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38FC92">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17DA2">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767E9E">
            <w:pPr>
              <w:widowControl/>
              <w:spacing w:line="360" w:lineRule="auto"/>
              <w:contextualSpacing/>
              <w:jc w:val="center"/>
              <w:rPr>
                <w:rFonts w:hint="eastAsia" w:ascii="宋体" w:hAnsi="宋体" w:eastAsia="宋体" w:cs="宋体"/>
                <w:color w:val="auto"/>
                <w:kern w:val="0"/>
                <w:sz w:val="24"/>
                <w:highlight w:val="none"/>
              </w:rPr>
            </w:pPr>
          </w:p>
        </w:tc>
      </w:tr>
      <w:tr w14:paraId="54595978">
        <w:tblPrEx>
          <w:tblCellMar>
            <w:top w:w="0" w:type="dxa"/>
            <w:left w:w="0" w:type="dxa"/>
            <w:bottom w:w="0" w:type="dxa"/>
            <w:right w:w="0" w:type="dxa"/>
          </w:tblCellMar>
        </w:tblPrEx>
        <w:trPr>
          <w:trHeight w:val="723"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D7CE7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6096EF">
            <w:pPr>
              <w:widowControl/>
              <w:spacing w:line="360" w:lineRule="auto"/>
              <w:contextualSpacing/>
              <w:jc w:val="center"/>
              <w:rPr>
                <w:rFonts w:hint="eastAsia" w:ascii="宋体" w:hAnsi="宋体" w:eastAsia="宋体" w:cs="宋体"/>
                <w:color w:val="auto"/>
                <w:kern w:val="0"/>
                <w:sz w:val="24"/>
                <w:highlight w:val="none"/>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D4A106">
            <w:pPr>
              <w:widowControl/>
              <w:spacing w:line="360" w:lineRule="auto"/>
              <w:contextualSpacing/>
              <w:jc w:val="center"/>
              <w:rPr>
                <w:rFonts w:hint="eastAsia" w:ascii="宋体" w:hAnsi="宋体" w:eastAsia="宋体" w:cs="宋体"/>
                <w:color w:val="auto"/>
                <w:kern w:val="0"/>
                <w:sz w:val="24"/>
                <w:highlight w:val="none"/>
              </w:rPr>
            </w:pPr>
          </w:p>
        </w:tc>
        <w:tc>
          <w:tcPr>
            <w:tcW w:w="42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11C4BA">
            <w:pPr>
              <w:widowControl/>
              <w:spacing w:line="360" w:lineRule="auto"/>
              <w:contextualSpacing/>
              <w:jc w:val="center"/>
              <w:rPr>
                <w:rFonts w:hint="eastAsia" w:ascii="宋体" w:hAnsi="宋体" w:eastAsia="宋体" w:cs="宋体"/>
                <w:color w:val="auto"/>
                <w:kern w:val="0"/>
                <w:sz w:val="24"/>
                <w:highlight w:val="none"/>
              </w:rPr>
            </w:pPr>
          </w:p>
        </w:tc>
        <w:tc>
          <w:tcPr>
            <w:tcW w:w="8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DFB126">
            <w:pPr>
              <w:widowControl/>
              <w:spacing w:line="360" w:lineRule="auto"/>
              <w:contextualSpacing/>
              <w:jc w:val="center"/>
              <w:rPr>
                <w:rFonts w:hint="eastAsia" w:ascii="宋体" w:hAnsi="宋体" w:eastAsia="宋体" w:cs="宋体"/>
                <w:color w:val="auto"/>
                <w:kern w:val="0"/>
                <w:sz w:val="24"/>
                <w:highlight w:val="none"/>
              </w:rPr>
            </w:pPr>
          </w:p>
        </w:tc>
      </w:tr>
    </w:tbl>
    <w:p w14:paraId="65712F5D">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56DEB76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BED49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7A65D14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6A08EAE">
      <w:pPr>
        <w:snapToGrid w:val="0"/>
        <w:spacing w:line="360" w:lineRule="auto"/>
        <w:jc w:val="left"/>
        <w:rPr>
          <w:rFonts w:hint="eastAsia" w:ascii="宋体" w:hAnsi="宋体" w:eastAsia="宋体" w:cs="宋体"/>
          <w:color w:val="auto"/>
          <w:sz w:val="24"/>
          <w:highlight w:val="none"/>
        </w:rPr>
      </w:pPr>
    </w:p>
    <w:p w14:paraId="1DD084B6">
      <w:pPr>
        <w:snapToGrid w:val="0"/>
        <w:spacing w:line="360" w:lineRule="auto"/>
        <w:jc w:val="left"/>
        <w:rPr>
          <w:rFonts w:hint="eastAsia" w:ascii="宋体" w:hAnsi="宋体" w:eastAsia="宋体" w:cs="宋体"/>
          <w:color w:val="auto"/>
          <w:sz w:val="24"/>
          <w:highlight w:val="none"/>
        </w:rPr>
      </w:pPr>
    </w:p>
    <w:p w14:paraId="2CF6A724">
      <w:pPr>
        <w:snapToGrid w:val="0"/>
        <w:spacing w:line="360" w:lineRule="auto"/>
        <w:jc w:val="left"/>
        <w:rPr>
          <w:rFonts w:hint="eastAsia" w:ascii="宋体" w:hAnsi="宋体" w:eastAsia="宋体" w:cs="宋体"/>
          <w:color w:val="auto"/>
          <w:sz w:val="24"/>
          <w:highlight w:val="none"/>
        </w:rPr>
      </w:pPr>
    </w:p>
    <w:p w14:paraId="4548B8D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759860C">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462A52B">
      <w:pPr>
        <w:snapToGrid w:val="0"/>
        <w:spacing w:line="360" w:lineRule="auto"/>
        <w:rPr>
          <w:rFonts w:hint="eastAsia" w:ascii="宋体" w:hAnsi="宋体" w:eastAsia="宋体" w:cs="宋体"/>
          <w:b/>
          <w:color w:val="auto"/>
          <w:kern w:val="0"/>
          <w:sz w:val="30"/>
          <w:szCs w:val="30"/>
          <w:highlight w:val="none"/>
        </w:rPr>
      </w:pPr>
    </w:p>
    <w:p w14:paraId="0025159F">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05E0801">
      <w:pPr>
        <w:snapToGrid w:val="0"/>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274E9FA3">
      <w:pPr>
        <w:snapToGrid w:val="0"/>
        <w:spacing w:line="360" w:lineRule="auto"/>
        <w:jc w:val="center"/>
        <w:rPr>
          <w:rFonts w:hint="eastAsia" w:ascii="宋体" w:hAnsi="宋体" w:eastAsia="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031429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7BBC0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F4A30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A4219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E08EC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DB62FD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151A9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E3BE5E">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D48BB8">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145552">
            <w:pPr>
              <w:widowControl/>
              <w:spacing w:line="360" w:lineRule="auto"/>
              <w:contextualSpacing/>
              <w:jc w:val="center"/>
              <w:rPr>
                <w:rFonts w:hint="eastAsia" w:ascii="宋体" w:hAnsi="宋体" w:eastAsia="宋体" w:cs="宋体"/>
                <w:color w:val="auto"/>
                <w:kern w:val="0"/>
                <w:sz w:val="24"/>
                <w:highlight w:val="none"/>
              </w:rPr>
            </w:pPr>
          </w:p>
        </w:tc>
      </w:tr>
      <w:tr w14:paraId="14973C9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24D33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22B917">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1B5279">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A4F7FD">
            <w:pPr>
              <w:widowControl/>
              <w:spacing w:line="360" w:lineRule="auto"/>
              <w:contextualSpacing/>
              <w:jc w:val="center"/>
              <w:rPr>
                <w:rFonts w:hint="eastAsia" w:ascii="宋体" w:hAnsi="宋体" w:eastAsia="宋体" w:cs="宋体"/>
                <w:color w:val="auto"/>
                <w:kern w:val="0"/>
                <w:sz w:val="24"/>
                <w:highlight w:val="none"/>
              </w:rPr>
            </w:pPr>
          </w:p>
        </w:tc>
      </w:tr>
      <w:tr w14:paraId="14F349C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94D6A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733E74">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207F7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E87C56">
            <w:pPr>
              <w:widowControl/>
              <w:spacing w:line="360" w:lineRule="auto"/>
              <w:contextualSpacing/>
              <w:jc w:val="center"/>
              <w:rPr>
                <w:rFonts w:hint="eastAsia" w:ascii="宋体" w:hAnsi="宋体" w:eastAsia="宋体" w:cs="宋体"/>
                <w:color w:val="auto"/>
                <w:kern w:val="0"/>
                <w:sz w:val="24"/>
                <w:highlight w:val="none"/>
              </w:rPr>
            </w:pPr>
          </w:p>
        </w:tc>
      </w:tr>
      <w:tr w14:paraId="462DD2F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4EE74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8DF7C3">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732F9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7E7777">
            <w:pPr>
              <w:widowControl/>
              <w:spacing w:line="360" w:lineRule="auto"/>
              <w:contextualSpacing/>
              <w:jc w:val="center"/>
              <w:rPr>
                <w:rFonts w:hint="eastAsia" w:ascii="宋体" w:hAnsi="宋体" w:eastAsia="宋体" w:cs="宋体"/>
                <w:color w:val="auto"/>
                <w:kern w:val="0"/>
                <w:sz w:val="24"/>
                <w:highlight w:val="none"/>
              </w:rPr>
            </w:pPr>
          </w:p>
        </w:tc>
      </w:tr>
    </w:tbl>
    <w:p w14:paraId="642F3AB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0B90F5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CA4388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1B4C8F8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64C4685C">
      <w:pPr>
        <w:spacing w:line="360" w:lineRule="auto"/>
        <w:contextualSpacing/>
        <w:jc w:val="left"/>
        <w:rPr>
          <w:rFonts w:hint="eastAsia" w:ascii="宋体" w:hAnsi="宋体" w:eastAsia="宋体" w:cs="宋体"/>
          <w:color w:val="auto"/>
          <w:sz w:val="24"/>
          <w:highlight w:val="none"/>
        </w:rPr>
      </w:pPr>
    </w:p>
    <w:p w14:paraId="1A27B6C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54F087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2FC8B4F">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658AD09D">
      <w:pPr>
        <w:spacing w:line="360" w:lineRule="auto"/>
        <w:ind w:firstLine="560" w:firstLineChars="200"/>
        <w:jc w:val="left"/>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5AA1F59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7B76BB54">
      <w:pPr>
        <w:spacing w:line="360" w:lineRule="auto"/>
        <w:jc w:val="center"/>
        <w:rPr>
          <w:rFonts w:hint="eastAsia" w:ascii="宋体" w:hAnsi="宋体" w:eastAsia="宋体" w:cs="宋体"/>
          <w:color w:val="auto"/>
          <w:sz w:val="24"/>
          <w:szCs w:val="20"/>
          <w:highlight w:val="none"/>
        </w:rPr>
      </w:pPr>
    </w:p>
    <w:p w14:paraId="44098932">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2F5C961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7F5F0A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隆安县城厢镇宝塔村花杨屯三产安置项目土地平整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6BB7A1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098B365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16410B3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D24685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4BD62D4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3D60627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4B5FB4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03CA810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5201271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B5CB2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3370E53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0A10E3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5E479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AFD453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8F1442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D176F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4D2B52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444FEE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46E9BD0">
      <w:pPr>
        <w:pStyle w:val="15"/>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4A0D6F73">
      <w:pPr>
        <w:pStyle w:val="15"/>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FCDF89B">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26636D5C">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28975E06">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FC10EF1">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317881E3">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7ADAC510">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1F6A456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F6026F">
      <w:pPr>
        <w:autoSpaceDE w:val="0"/>
        <w:autoSpaceDN w:val="0"/>
        <w:spacing w:line="360" w:lineRule="auto"/>
        <w:ind w:firstLine="6120" w:firstLineChars="2550"/>
        <w:rPr>
          <w:rFonts w:hint="eastAsia" w:ascii="宋体" w:hAnsi="宋体" w:eastAsia="宋体" w:cs="宋体"/>
          <w:color w:val="auto"/>
          <w:kern w:val="0"/>
          <w:sz w:val="24"/>
          <w:highlight w:val="none"/>
          <w:lang w:val="en-US" w:eastAsia="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057D8EA8">
      <w:pPr>
        <w:pStyle w:val="11"/>
        <w:rPr>
          <w:rFonts w:hint="eastAsia"/>
          <w:color w:val="auto"/>
          <w:highlight w:val="none"/>
          <w:lang w:val="zh-CN"/>
        </w:rPr>
      </w:pPr>
    </w:p>
    <w:p w14:paraId="62120682">
      <w:pPr>
        <w:pStyle w:val="15"/>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hAnsi="宋体" w:cs="宋体"/>
          <w:b/>
          <w:color w:val="auto"/>
          <w:kern w:val="2"/>
          <w:sz w:val="30"/>
          <w:szCs w:val="30"/>
          <w:highlight w:val="none"/>
          <w:lang w:val="en-US" w:eastAsia="zh-CN"/>
        </w:rPr>
        <w:t>七</w:t>
      </w:r>
      <w:r>
        <w:rPr>
          <w:rFonts w:hint="eastAsia" w:ascii="宋体" w:hAnsi="宋体" w:eastAsia="宋体" w:cs="宋体"/>
          <w:b/>
          <w:color w:val="auto"/>
          <w:kern w:val="2"/>
          <w:sz w:val="30"/>
          <w:szCs w:val="30"/>
          <w:highlight w:val="none"/>
          <w:lang w:val="en-US" w:eastAsia="zh-CN"/>
        </w:rPr>
        <w:t>、中小企业声明函及残疾人福利性单位声明函</w:t>
      </w:r>
    </w:p>
    <w:p w14:paraId="48C55DB1">
      <w:pPr>
        <w:spacing w:line="360" w:lineRule="auto"/>
        <w:ind w:firstLine="2200" w:firstLineChars="500"/>
        <w:rPr>
          <w:rFonts w:hint="eastAsia" w:ascii="宋体" w:hAnsi="宋体" w:eastAsia="宋体" w:cs="宋体"/>
          <w:color w:val="auto"/>
          <w:sz w:val="44"/>
          <w:szCs w:val="44"/>
          <w:highlight w:val="none"/>
        </w:rPr>
      </w:pPr>
    </w:p>
    <w:p w14:paraId="6D65077C">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432D24C2">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eastAsia="宋体" w:cs="宋体"/>
          <w:color w:val="auto"/>
          <w:kern w:val="2"/>
          <w:sz w:val="24"/>
          <w:szCs w:val="24"/>
          <w:highlight w:val="none"/>
          <w:u w:val="single"/>
          <w:shd w:val="clear" w:color="auto" w:fill="FFFFFF"/>
          <w:lang w:val="en-US" w:eastAsia="zh-CN"/>
        </w:rPr>
        <w:t>（</w:t>
      </w:r>
      <w:r>
        <w:rPr>
          <w:rFonts w:hint="eastAsia" w:ascii="宋体" w:hAnsi="宋体" w:cs="宋体"/>
          <w:color w:val="auto"/>
          <w:kern w:val="2"/>
          <w:sz w:val="24"/>
          <w:szCs w:val="24"/>
          <w:highlight w:val="none"/>
          <w:u w:val="single"/>
          <w:shd w:val="clear" w:color="auto" w:fill="FFFFFF"/>
          <w:lang w:val="en-US" w:eastAsia="zh-CN"/>
        </w:rPr>
        <w:t>隆安县房屋和征地拆迁中心</w:t>
      </w:r>
      <w:r>
        <w:rPr>
          <w:rFonts w:hint="eastAsia" w:ascii="宋体" w:hAnsi="宋体" w:eastAsia="宋体" w:cs="宋体"/>
          <w:color w:val="auto"/>
          <w:kern w:val="2"/>
          <w:sz w:val="24"/>
          <w:szCs w:val="24"/>
          <w:highlight w:val="none"/>
          <w:u w:val="single"/>
          <w:shd w:val="clear" w:color="auto" w:fill="FFFFFF"/>
          <w:lang w:val="en-US" w:eastAsia="zh-CN"/>
        </w:rPr>
        <w:t>）</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eastAsia="宋体" w:cs="宋体"/>
          <w:color w:val="auto"/>
          <w:kern w:val="2"/>
          <w:sz w:val="24"/>
          <w:szCs w:val="24"/>
          <w:highlight w:val="none"/>
          <w:u w:val="single"/>
          <w:shd w:val="clear" w:color="auto" w:fill="FFFFFF"/>
          <w:lang w:val="en-US" w:eastAsia="zh-CN"/>
        </w:rPr>
        <w:t>（</w:t>
      </w:r>
      <w:r>
        <w:rPr>
          <w:rFonts w:hint="eastAsia" w:ascii="宋体" w:hAnsi="宋体" w:cs="宋体"/>
          <w:color w:val="auto"/>
          <w:kern w:val="2"/>
          <w:sz w:val="24"/>
          <w:szCs w:val="24"/>
          <w:highlight w:val="none"/>
          <w:u w:val="single"/>
          <w:shd w:val="clear" w:color="auto" w:fill="FFFFFF"/>
          <w:lang w:val="en-US" w:eastAsia="zh-CN"/>
        </w:rPr>
        <w:t>隆安县城厢镇宝塔村花杨屯三产安置项目土地平整</w:t>
      </w:r>
      <w:r>
        <w:rPr>
          <w:rFonts w:hint="eastAsia" w:ascii="宋体" w:hAnsi="宋体" w:eastAsia="宋体" w:cs="宋体"/>
          <w:color w:val="auto"/>
          <w:kern w:val="2"/>
          <w:sz w:val="24"/>
          <w:szCs w:val="24"/>
          <w:highlight w:val="none"/>
          <w:u w:val="single"/>
          <w:shd w:val="clear" w:color="auto" w:fill="FFFFFF"/>
          <w:lang w:val="en-US" w:eastAsia="zh-CN"/>
        </w:rPr>
        <w:t>）</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1264BAD6">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5F52FA4B">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2D11932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7FE1BB65">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2D03CCA9">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6839568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16D607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48447E3">
      <w:pPr>
        <w:pStyle w:val="15"/>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11184CB5">
      <w:pPr>
        <w:pStyle w:val="11"/>
        <w:spacing w:after="0" w:line="360" w:lineRule="auto"/>
        <w:ind w:left="3960" w:right="1808"/>
        <w:contextualSpacing/>
        <w:rPr>
          <w:rFonts w:hint="eastAsia" w:ascii="宋体" w:hAnsi="宋体" w:eastAsia="宋体" w:cs="宋体"/>
          <w:color w:val="auto"/>
          <w:highlight w:val="none"/>
        </w:rPr>
      </w:pPr>
    </w:p>
    <w:p w14:paraId="403C1B7D">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67DBA75">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53DE46D">
      <w:pPr>
        <w:spacing w:line="360" w:lineRule="auto"/>
        <w:rPr>
          <w:rFonts w:hint="eastAsia" w:ascii="宋体" w:hAnsi="宋体" w:eastAsia="宋体" w:cs="宋体"/>
          <w:color w:val="auto"/>
          <w:sz w:val="24"/>
          <w:highlight w:val="none"/>
        </w:rPr>
      </w:pPr>
    </w:p>
    <w:p w14:paraId="608FA8F5">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3DD3DDB">
      <w:pPr>
        <w:spacing w:line="360" w:lineRule="auto"/>
        <w:rPr>
          <w:rFonts w:hint="eastAsia" w:ascii="宋体" w:hAnsi="宋体" w:eastAsia="宋体" w:cs="宋体"/>
          <w:color w:val="auto"/>
          <w:sz w:val="32"/>
          <w:szCs w:val="32"/>
          <w:highlight w:val="none"/>
        </w:rPr>
      </w:pPr>
    </w:p>
    <w:p w14:paraId="08D7ED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2120876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7AC4367">
      <w:pPr>
        <w:spacing w:line="360" w:lineRule="auto"/>
        <w:contextualSpacing/>
        <w:rPr>
          <w:rFonts w:hint="eastAsia" w:ascii="宋体" w:hAnsi="宋体" w:eastAsia="宋体" w:cs="宋体"/>
          <w:color w:val="auto"/>
          <w:sz w:val="24"/>
          <w:highlight w:val="none"/>
        </w:rPr>
      </w:pPr>
    </w:p>
    <w:p w14:paraId="2C756822">
      <w:pPr>
        <w:spacing w:line="360" w:lineRule="auto"/>
        <w:contextualSpacing/>
        <w:rPr>
          <w:rFonts w:hint="eastAsia" w:ascii="宋体" w:hAnsi="宋体" w:eastAsia="宋体" w:cs="宋体"/>
          <w:color w:val="auto"/>
          <w:sz w:val="24"/>
          <w:highlight w:val="none"/>
        </w:rPr>
      </w:pPr>
    </w:p>
    <w:p w14:paraId="716BCE61">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C7768EA">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F40E1EB">
      <w:pPr>
        <w:spacing w:line="360" w:lineRule="auto"/>
        <w:contextualSpacing/>
        <w:rPr>
          <w:rFonts w:hint="eastAsia" w:ascii="宋体" w:hAnsi="宋体" w:eastAsia="宋体" w:cs="宋体"/>
          <w:color w:val="auto"/>
          <w:sz w:val="24"/>
          <w:highlight w:val="none"/>
        </w:rPr>
      </w:pPr>
    </w:p>
    <w:p w14:paraId="01A7C1DE">
      <w:pPr>
        <w:spacing w:line="360" w:lineRule="auto"/>
        <w:contextualSpacing/>
        <w:rPr>
          <w:rFonts w:hint="eastAsia" w:ascii="宋体" w:hAnsi="宋体" w:eastAsia="宋体" w:cs="宋体"/>
          <w:color w:val="auto"/>
          <w:sz w:val="24"/>
          <w:highlight w:val="none"/>
        </w:rPr>
      </w:pPr>
    </w:p>
    <w:p w14:paraId="77B92EDF">
      <w:pPr>
        <w:spacing w:line="360" w:lineRule="auto"/>
        <w:contextualSpacing/>
        <w:rPr>
          <w:rFonts w:hint="eastAsia" w:ascii="宋体" w:hAnsi="宋体" w:eastAsia="宋体" w:cs="宋体"/>
          <w:color w:val="auto"/>
          <w:sz w:val="24"/>
          <w:highlight w:val="none"/>
        </w:rPr>
      </w:pPr>
    </w:p>
    <w:p w14:paraId="28CF716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C29EDFD">
      <w:pPr>
        <w:spacing w:line="360" w:lineRule="auto"/>
        <w:jc w:val="center"/>
        <w:rPr>
          <w:rFonts w:hint="eastAsia" w:ascii="宋体" w:hAnsi="宋体" w:eastAsia="宋体" w:cs="宋体"/>
          <w:color w:val="auto"/>
          <w:sz w:val="24"/>
          <w:highlight w:val="none"/>
        </w:rPr>
      </w:pPr>
    </w:p>
    <w:p w14:paraId="6F9A07A9">
      <w:pPr>
        <w:spacing w:line="360" w:lineRule="auto"/>
        <w:jc w:val="center"/>
        <w:rPr>
          <w:rFonts w:hint="eastAsia" w:ascii="宋体" w:hAnsi="宋体" w:eastAsia="宋体" w:cs="宋体"/>
          <w:color w:val="auto"/>
          <w:sz w:val="24"/>
          <w:highlight w:val="none"/>
        </w:rPr>
      </w:pPr>
    </w:p>
    <w:p w14:paraId="4A7444AC">
      <w:pPr>
        <w:spacing w:line="360" w:lineRule="auto"/>
        <w:jc w:val="center"/>
        <w:rPr>
          <w:rFonts w:hint="eastAsia" w:ascii="宋体" w:hAnsi="宋体" w:eastAsia="宋体" w:cs="宋体"/>
          <w:color w:val="auto"/>
          <w:sz w:val="24"/>
          <w:highlight w:val="none"/>
        </w:rPr>
      </w:pPr>
    </w:p>
    <w:p w14:paraId="2931D361">
      <w:pPr>
        <w:spacing w:line="360" w:lineRule="auto"/>
        <w:jc w:val="center"/>
        <w:rPr>
          <w:rFonts w:hint="eastAsia" w:ascii="宋体" w:hAnsi="宋体" w:eastAsia="宋体" w:cs="宋体"/>
          <w:color w:val="auto"/>
          <w:sz w:val="24"/>
          <w:highlight w:val="none"/>
        </w:rPr>
      </w:pPr>
    </w:p>
    <w:p w14:paraId="43979227">
      <w:pPr>
        <w:spacing w:line="360" w:lineRule="auto"/>
        <w:jc w:val="center"/>
        <w:rPr>
          <w:rFonts w:hint="eastAsia" w:ascii="宋体" w:hAnsi="宋体" w:eastAsia="宋体" w:cs="宋体"/>
          <w:color w:val="auto"/>
          <w:sz w:val="24"/>
          <w:highlight w:val="none"/>
        </w:rPr>
      </w:pPr>
    </w:p>
    <w:p w14:paraId="33C2F33B">
      <w:pPr>
        <w:spacing w:line="360" w:lineRule="auto"/>
        <w:jc w:val="center"/>
        <w:rPr>
          <w:rFonts w:hint="eastAsia" w:ascii="宋体" w:hAnsi="宋体" w:eastAsia="宋体" w:cs="宋体"/>
          <w:color w:val="auto"/>
          <w:sz w:val="24"/>
          <w:highlight w:val="none"/>
        </w:rPr>
      </w:pPr>
    </w:p>
    <w:p w14:paraId="6D13049A">
      <w:pPr>
        <w:spacing w:line="360" w:lineRule="auto"/>
        <w:jc w:val="center"/>
        <w:rPr>
          <w:rFonts w:hint="eastAsia" w:ascii="宋体" w:hAnsi="宋体" w:eastAsia="宋体" w:cs="宋体"/>
          <w:color w:val="auto"/>
          <w:sz w:val="24"/>
          <w:highlight w:val="none"/>
        </w:rPr>
      </w:pPr>
    </w:p>
    <w:p w14:paraId="63013E25">
      <w:pPr>
        <w:spacing w:line="360" w:lineRule="auto"/>
        <w:jc w:val="center"/>
        <w:rPr>
          <w:rFonts w:hint="eastAsia" w:ascii="宋体" w:hAnsi="宋体" w:eastAsia="宋体" w:cs="宋体"/>
          <w:color w:val="auto"/>
          <w:sz w:val="24"/>
          <w:highlight w:val="none"/>
        </w:rPr>
      </w:pPr>
    </w:p>
    <w:p w14:paraId="7F645E7D">
      <w:pPr>
        <w:spacing w:line="360" w:lineRule="auto"/>
        <w:jc w:val="center"/>
        <w:rPr>
          <w:rFonts w:hint="eastAsia" w:ascii="宋体" w:hAnsi="宋体" w:eastAsia="宋体" w:cs="宋体"/>
          <w:color w:val="auto"/>
          <w:sz w:val="24"/>
          <w:highlight w:val="none"/>
        </w:rPr>
      </w:pPr>
    </w:p>
    <w:p w14:paraId="774FEF4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3975DAA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362262DE">
      <w:pPr>
        <w:pStyle w:val="8"/>
        <w:overflowPunct w:val="0"/>
        <w:spacing w:line="360" w:lineRule="auto"/>
        <w:ind w:firstLine="0"/>
        <w:jc w:val="left"/>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要求和特定</w:t>
      </w:r>
      <w:r>
        <w:rPr>
          <w:rFonts w:hint="eastAsia" w:ascii="宋体" w:hAnsi="宋体" w:eastAsia="宋体" w:cs="宋体"/>
          <w:b/>
          <w:color w:val="auto"/>
          <w:sz w:val="30"/>
          <w:szCs w:val="30"/>
          <w:highlight w:val="none"/>
        </w:rPr>
        <w:t>条件的有关证明材料</w:t>
      </w:r>
    </w:p>
    <w:p w14:paraId="4C530ADD">
      <w:pPr>
        <w:pStyle w:val="8"/>
        <w:overflowPunct w:val="0"/>
        <w:spacing w:line="360" w:lineRule="auto"/>
        <w:ind w:firstLine="560" w:firstLineChars="200"/>
        <w:jc w:val="left"/>
        <w:rPr>
          <w:rFonts w:hint="eastAsia" w:ascii="宋体" w:hAnsi="宋体" w:cs="宋体"/>
          <w:b w:val="0"/>
          <w:bCs/>
          <w:color w:val="auto"/>
          <w:sz w:val="28"/>
          <w:szCs w:val="28"/>
          <w:highlight w:val="none"/>
          <w:lang w:eastAsia="zh-CN"/>
        </w:rPr>
      </w:pPr>
      <w:r>
        <w:rPr>
          <w:rFonts w:hint="eastAsia" w:ascii="宋体" w:hAnsi="宋体" w:cs="宋体"/>
          <w:b w:val="0"/>
          <w:bCs/>
          <w:color w:val="auto"/>
          <w:sz w:val="28"/>
          <w:szCs w:val="28"/>
          <w:highlight w:val="none"/>
          <w:lang w:eastAsia="zh-CN"/>
        </w:rPr>
        <w:t>（1）具备市政公用工程施工总承包叁级（含以上级）资质；具有省级及以上建设行政主管部门颁发的安全生产许可证；在人员、设备、资金等方面具备相应的施工能力。</w:t>
      </w:r>
    </w:p>
    <w:p w14:paraId="6B76FA39">
      <w:pPr>
        <w:pStyle w:val="8"/>
        <w:overflowPunct w:val="0"/>
        <w:spacing w:line="360" w:lineRule="auto"/>
        <w:ind w:firstLine="560" w:firstLineChars="200"/>
        <w:jc w:val="left"/>
        <w:rPr>
          <w:rFonts w:hint="eastAsia" w:ascii="宋体" w:hAnsi="宋体" w:cs="宋体"/>
          <w:b w:val="0"/>
          <w:bCs/>
          <w:color w:val="auto"/>
          <w:sz w:val="28"/>
          <w:szCs w:val="28"/>
          <w:highlight w:val="none"/>
          <w:lang w:eastAsia="zh-CN"/>
        </w:rPr>
      </w:pPr>
      <w:r>
        <w:rPr>
          <w:rFonts w:hint="eastAsia" w:ascii="宋体" w:hAnsi="宋体" w:cs="宋体"/>
          <w:b w:val="0"/>
          <w:bCs/>
          <w:color w:val="auto"/>
          <w:sz w:val="28"/>
          <w:szCs w:val="28"/>
          <w:highlight w:val="none"/>
          <w:lang w:eastAsia="zh-CN"/>
        </w:rPr>
        <w:t>（2）供应商拟派项目经理具备市政公用工程专业贰级以上(含贰级)注册建造师资格，并具备有效的省级或省级以上建设行政主管部门颁发的安全生产考核合格证书（B类）。本项目不接受有在建、已中标未开工或已列为本项目或其他项目中标候选人第一名的建造师作为项目经理。</w:t>
      </w:r>
    </w:p>
    <w:p w14:paraId="3D7CF3CE">
      <w:pPr>
        <w:pStyle w:val="8"/>
        <w:overflowPunct w:val="0"/>
        <w:spacing w:line="360" w:lineRule="auto"/>
        <w:ind w:firstLine="560" w:firstLineChars="200"/>
        <w:jc w:val="left"/>
        <w:rPr>
          <w:rFonts w:hint="eastAsia" w:ascii="宋体" w:hAnsi="宋体" w:cs="宋体"/>
          <w:b w:val="0"/>
          <w:bCs/>
          <w:color w:val="auto"/>
          <w:sz w:val="28"/>
          <w:szCs w:val="28"/>
          <w:highlight w:val="none"/>
          <w:lang w:eastAsia="zh-CN"/>
        </w:rPr>
      </w:pPr>
      <w:r>
        <w:rPr>
          <w:rFonts w:hint="eastAsia" w:ascii="宋体" w:hAnsi="宋体" w:cs="宋体"/>
          <w:b w:val="0"/>
          <w:bCs/>
          <w:color w:val="auto"/>
          <w:sz w:val="28"/>
          <w:szCs w:val="28"/>
          <w:highlight w:val="none"/>
          <w:lang w:eastAsia="zh-CN"/>
        </w:rPr>
        <w:t>（</w:t>
      </w:r>
      <w:r>
        <w:rPr>
          <w:rFonts w:hint="eastAsia" w:ascii="宋体" w:hAnsi="宋体" w:cs="宋体"/>
          <w:b w:val="0"/>
          <w:bCs/>
          <w:color w:val="auto"/>
          <w:sz w:val="28"/>
          <w:szCs w:val="28"/>
          <w:highlight w:val="none"/>
          <w:lang w:val="en-US" w:eastAsia="zh-CN"/>
        </w:rPr>
        <w:t>3</w:t>
      </w:r>
      <w:r>
        <w:rPr>
          <w:rFonts w:hint="eastAsia" w:ascii="宋体" w:hAnsi="宋体" w:cs="宋体"/>
          <w:b w:val="0"/>
          <w:bCs/>
          <w:color w:val="auto"/>
          <w:sz w:val="28"/>
          <w:szCs w:val="28"/>
          <w:highlight w:val="none"/>
          <w:lang w:eastAsia="zh-CN"/>
        </w:rPr>
        <w:t>）拟派专职安全员须具备有效的安全生产考核合格证书（C 类），人数不少于1人。</w:t>
      </w:r>
    </w:p>
    <w:p w14:paraId="4E2056DC">
      <w:pPr>
        <w:pStyle w:val="8"/>
        <w:overflowPunct w:val="0"/>
        <w:spacing w:line="360" w:lineRule="auto"/>
        <w:ind w:firstLine="560" w:firstLineChars="200"/>
        <w:jc w:val="left"/>
        <w:rPr>
          <w:rFonts w:hint="eastAsia" w:ascii="宋体" w:hAnsi="宋体" w:eastAsia="宋体" w:cs="宋体"/>
          <w:b w:val="0"/>
          <w:bCs/>
          <w:color w:val="auto"/>
          <w:sz w:val="28"/>
          <w:szCs w:val="28"/>
          <w:highlight w:val="none"/>
          <w:lang w:eastAsia="zh-CN"/>
        </w:rPr>
      </w:pPr>
    </w:p>
    <w:p w14:paraId="543BF94A">
      <w:pPr>
        <w:snapToGrid w:val="0"/>
        <w:spacing w:line="360" w:lineRule="auto"/>
        <w:ind w:firstLine="602" w:firstLineChars="200"/>
        <w:rPr>
          <w:rFonts w:hint="eastAsia" w:ascii="宋体" w:hAnsi="宋体" w:eastAsia="宋体" w:cs="宋体"/>
          <w:b/>
          <w:color w:val="auto"/>
          <w:sz w:val="30"/>
          <w:szCs w:val="30"/>
          <w:highlight w:val="none"/>
        </w:rPr>
      </w:pPr>
    </w:p>
    <w:p w14:paraId="6C29341A">
      <w:pPr>
        <w:pStyle w:val="19"/>
        <w:rPr>
          <w:rFonts w:hint="eastAsia" w:ascii="宋体" w:hAnsi="宋体" w:eastAsia="宋体" w:cs="宋体"/>
          <w:b/>
          <w:color w:val="auto"/>
          <w:sz w:val="30"/>
          <w:szCs w:val="30"/>
          <w:highlight w:val="none"/>
        </w:rPr>
      </w:pPr>
    </w:p>
    <w:p w14:paraId="725E8658">
      <w:pPr>
        <w:pStyle w:val="19"/>
        <w:rPr>
          <w:rFonts w:hint="eastAsia" w:ascii="宋体" w:hAnsi="宋体" w:eastAsia="宋体" w:cs="宋体"/>
          <w:b/>
          <w:color w:val="auto"/>
          <w:sz w:val="30"/>
          <w:szCs w:val="30"/>
          <w:highlight w:val="none"/>
        </w:rPr>
      </w:pPr>
    </w:p>
    <w:p w14:paraId="68925852">
      <w:pPr>
        <w:pStyle w:val="19"/>
        <w:rPr>
          <w:rFonts w:hint="eastAsia" w:ascii="宋体" w:hAnsi="宋体" w:eastAsia="宋体" w:cs="宋体"/>
          <w:b/>
          <w:color w:val="auto"/>
          <w:sz w:val="30"/>
          <w:szCs w:val="30"/>
          <w:highlight w:val="none"/>
        </w:rPr>
      </w:pPr>
    </w:p>
    <w:p w14:paraId="0A678312">
      <w:pPr>
        <w:pStyle w:val="19"/>
        <w:rPr>
          <w:rFonts w:hint="eastAsia" w:ascii="宋体" w:hAnsi="宋体" w:eastAsia="宋体" w:cs="宋体"/>
          <w:b/>
          <w:color w:val="auto"/>
          <w:sz w:val="30"/>
          <w:szCs w:val="30"/>
          <w:highlight w:val="none"/>
        </w:rPr>
      </w:pPr>
    </w:p>
    <w:p w14:paraId="14F38AE4">
      <w:pPr>
        <w:snapToGrid w:val="0"/>
        <w:spacing w:line="360" w:lineRule="auto"/>
        <w:ind w:firstLine="602" w:firstLineChars="200"/>
        <w:rPr>
          <w:rFonts w:hint="eastAsia" w:ascii="宋体" w:hAnsi="宋体" w:eastAsia="宋体" w:cs="宋体"/>
          <w:b/>
          <w:color w:val="auto"/>
          <w:sz w:val="30"/>
          <w:szCs w:val="30"/>
          <w:highlight w:val="none"/>
        </w:rPr>
      </w:pPr>
    </w:p>
    <w:p w14:paraId="0A2853A0">
      <w:pPr>
        <w:snapToGrid w:val="0"/>
        <w:spacing w:line="360" w:lineRule="auto"/>
        <w:ind w:firstLine="602" w:firstLineChars="200"/>
        <w:rPr>
          <w:rFonts w:hint="eastAsia" w:ascii="宋体" w:hAnsi="宋体" w:eastAsia="宋体" w:cs="宋体"/>
          <w:b/>
          <w:color w:val="auto"/>
          <w:sz w:val="30"/>
          <w:szCs w:val="30"/>
          <w:highlight w:val="none"/>
        </w:rPr>
      </w:pPr>
    </w:p>
    <w:p w14:paraId="212415F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12F4D88">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283C92A">
      <w:pPr>
        <w:pStyle w:val="11"/>
        <w:rPr>
          <w:rFonts w:hint="eastAsia" w:ascii="宋体" w:hAnsi="宋体" w:eastAsia="宋体" w:cs="宋体"/>
          <w:color w:val="auto"/>
          <w:kern w:val="0"/>
          <w:sz w:val="24"/>
          <w:highlight w:val="none"/>
          <w:lang w:val="zh-CN"/>
        </w:rPr>
      </w:pPr>
    </w:p>
    <w:p w14:paraId="06E831C8">
      <w:pPr>
        <w:rPr>
          <w:rFonts w:hint="eastAsia" w:ascii="宋体" w:hAnsi="宋体" w:eastAsia="宋体" w:cs="宋体"/>
          <w:color w:val="auto"/>
          <w:kern w:val="0"/>
          <w:sz w:val="24"/>
          <w:highlight w:val="none"/>
          <w:lang w:val="zh-CN"/>
        </w:rPr>
      </w:pPr>
    </w:p>
    <w:p w14:paraId="3001A418">
      <w:pPr>
        <w:pStyle w:val="11"/>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、除磋商文件规定必须提供以外，供应商认为需要提供的其他证明材料。</w:t>
      </w:r>
    </w:p>
    <w:p w14:paraId="106739CD">
      <w:pPr>
        <w:rPr>
          <w:rFonts w:hint="eastAsia" w:ascii="宋体" w:hAnsi="宋体" w:eastAsia="宋体" w:cs="宋体"/>
          <w:color w:val="auto"/>
          <w:kern w:val="0"/>
          <w:sz w:val="24"/>
          <w:highlight w:val="none"/>
          <w:lang w:val="zh-CN"/>
        </w:rPr>
      </w:pPr>
    </w:p>
    <w:p w14:paraId="346DAC1D">
      <w:pPr>
        <w:pStyle w:val="11"/>
        <w:rPr>
          <w:rFonts w:hint="eastAsia"/>
          <w:color w:val="auto"/>
          <w:highlight w:val="none"/>
          <w:lang w:val="zh-CN"/>
        </w:rPr>
      </w:pPr>
    </w:p>
    <w:p w14:paraId="5EB505E7">
      <w:pPr>
        <w:rPr>
          <w:rFonts w:hint="eastAsia"/>
          <w:color w:val="auto"/>
          <w:highlight w:val="none"/>
          <w:lang w:val="zh-CN"/>
        </w:rPr>
      </w:pPr>
    </w:p>
    <w:p w14:paraId="5B275E1C">
      <w:pPr>
        <w:pStyle w:val="11"/>
        <w:rPr>
          <w:rFonts w:hint="eastAsia"/>
          <w:color w:val="auto"/>
          <w:highlight w:val="none"/>
          <w:lang w:val="zh-CN"/>
        </w:rPr>
      </w:pPr>
    </w:p>
    <w:p w14:paraId="1F7E2DD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FF8EF7">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6743C4">
      <w:pPr>
        <w:rPr>
          <w:rFonts w:hint="eastAsia"/>
          <w:color w:val="auto"/>
          <w:highlight w:val="none"/>
          <w:lang w:val="zh-CN"/>
        </w:rPr>
      </w:pPr>
    </w:p>
    <w:p w14:paraId="4D2DAD26">
      <w:pPr>
        <w:pStyle w:val="3"/>
        <w:spacing w:line="360" w:lineRule="auto"/>
        <w:jc w:val="center"/>
        <w:rPr>
          <w:rFonts w:hint="eastAsia" w:ascii="宋体" w:hAnsi="宋体" w:eastAsia="宋体" w:cs="宋体"/>
          <w:b w:val="0"/>
          <w:color w:val="auto"/>
          <w:highlight w:val="none"/>
        </w:rPr>
      </w:pPr>
      <w:bookmarkStart w:id="103" w:name="_Toc8220"/>
      <w:bookmarkStart w:id="104" w:name="_Toc80205940"/>
      <w:bookmarkStart w:id="105" w:name="_Toc22872"/>
      <w:bookmarkStart w:id="106" w:name="_Toc24675"/>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03"/>
      <w:bookmarkEnd w:id="104"/>
      <w:bookmarkEnd w:id="105"/>
      <w:bookmarkEnd w:id="106"/>
    </w:p>
    <w:p w14:paraId="28EC287D">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A8DDF16">
      <w:pPr>
        <w:snapToGrid w:val="0"/>
        <w:spacing w:before="120" w:beforeLines="50" w:after="50" w:line="360" w:lineRule="auto"/>
        <w:rPr>
          <w:rFonts w:hint="eastAsia" w:ascii="宋体" w:hAnsi="宋体" w:eastAsia="宋体" w:cs="宋体"/>
          <w:color w:val="auto"/>
          <w:sz w:val="24"/>
          <w:szCs w:val="20"/>
          <w:highlight w:val="none"/>
        </w:rPr>
      </w:pPr>
    </w:p>
    <w:p w14:paraId="2A0E5D8B">
      <w:pPr>
        <w:snapToGrid w:val="0"/>
        <w:spacing w:before="120" w:beforeLines="50" w:after="50" w:line="360" w:lineRule="auto"/>
        <w:rPr>
          <w:rFonts w:hint="eastAsia" w:ascii="宋体" w:hAnsi="宋体" w:eastAsia="宋体" w:cs="宋体"/>
          <w:color w:val="auto"/>
          <w:sz w:val="24"/>
          <w:szCs w:val="20"/>
          <w:highlight w:val="none"/>
        </w:rPr>
      </w:pPr>
    </w:p>
    <w:p w14:paraId="2131153D">
      <w:pPr>
        <w:snapToGrid w:val="0"/>
        <w:spacing w:before="120" w:beforeLines="50" w:after="50" w:line="360" w:lineRule="auto"/>
        <w:rPr>
          <w:rFonts w:hint="eastAsia" w:ascii="宋体" w:hAnsi="宋体" w:eastAsia="宋体" w:cs="宋体"/>
          <w:color w:val="auto"/>
          <w:sz w:val="24"/>
          <w:szCs w:val="20"/>
          <w:highlight w:val="none"/>
        </w:rPr>
      </w:pPr>
    </w:p>
    <w:p w14:paraId="7A79E333">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57117B21">
      <w:pPr>
        <w:snapToGrid w:val="0"/>
        <w:spacing w:before="120" w:beforeLines="50" w:after="50" w:line="360" w:lineRule="auto"/>
        <w:rPr>
          <w:rFonts w:hint="eastAsia" w:ascii="宋体" w:hAnsi="宋体" w:eastAsia="宋体" w:cs="宋体"/>
          <w:bCs/>
          <w:color w:val="auto"/>
          <w:sz w:val="24"/>
          <w:szCs w:val="20"/>
          <w:highlight w:val="none"/>
        </w:rPr>
      </w:pPr>
    </w:p>
    <w:p w14:paraId="57BEEC1A">
      <w:pPr>
        <w:snapToGrid w:val="0"/>
        <w:spacing w:before="120" w:beforeLines="50" w:after="50" w:line="360" w:lineRule="auto"/>
        <w:rPr>
          <w:rFonts w:hint="eastAsia" w:ascii="宋体" w:hAnsi="宋体" w:eastAsia="宋体" w:cs="宋体"/>
          <w:bCs/>
          <w:color w:val="auto"/>
          <w:sz w:val="24"/>
          <w:szCs w:val="20"/>
          <w:highlight w:val="none"/>
        </w:rPr>
      </w:pPr>
    </w:p>
    <w:p w14:paraId="5ED0FD8F">
      <w:pPr>
        <w:snapToGrid w:val="0"/>
        <w:spacing w:before="120" w:beforeLines="50" w:after="50" w:line="360" w:lineRule="auto"/>
        <w:rPr>
          <w:rFonts w:hint="eastAsia" w:ascii="宋体" w:hAnsi="宋体" w:eastAsia="宋体" w:cs="宋体"/>
          <w:bCs/>
          <w:color w:val="auto"/>
          <w:sz w:val="24"/>
          <w:szCs w:val="20"/>
          <w:highlight w:val="none"/>
        </w:rPr>
      </w:pPr>
    </w:p>
    <w:p w14:paraId="357FA606">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隆安县城厢镇宝塔村花杨屯三产安置项目土地平整</w:t>
      </w:r>
    </w:p>
    <w:p w14:paraId="326E257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F14E4D5">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rPr>
        <w:fldChar w:fldCharType="begin"/>
      </w:r>
      <w:r>
        <w:rPr>
          <w:rFonts w:hint="eastAsia" w:ascii="宋体" w:hAnsi="宋体" w:eastAsia="宋体" w:cs="宋体"/>
          <w:bCs/>
          <w:color w:val="auto"/>
          <w:sz w:val="32"/>
          <w:szCs w:val="32"/>
          <w:highlight w:val="none"/>
        </w:rPr>
        <w:instrText xml:space="preserve"> HYPERLINK "https://www.gcy.zfcg.gxzf.gov.cn/gaea/api/project/flow/redirect?projectId=7220257144991383584&amp;newUrl=https://www.gcy.zfcg.gxzf.gov.cn/micro-app-back-index/blank?_flow_type_=agency&amp;_flow_projectId_=7220257144991383584&amp;_jump_page_type_=project_procurement_management_flow&amp;_app_=zcy.procurement&amp;oldUrl=https://www.gcy.zfcg.gxzf.gov.cn/project-center/_procurement_/project-result-detail/7220257144991383584&amp;utm=web-project-center-front.42c12ca3.0.0.ddb7a07070f611f0b7c601b53c35033f" \t "https://www.gcy.zfcg.gxzf.gov.cn/project-center/_procurement_/self-project/_blank" </w:instrText>
      </w:r>
      <w:r>
        <w:rPr>
          <w:rFonts w:hint="eastAsia" w:ascii="宋体" w:hAnsi="宋体" w:eastAsia="宋体" w:cs="宋体"/>
          <w:bCs/>
          <w:color w:val="auto"/>
          <w:sz w:val="32"/>
          <w:szCs w:val="32"/>
          <w:highlight w:val="none"/>
        </w:rPr>
        <w:fldChar w:fldCharType="separate"/>
      </w:r>
      <w:r>
        <w:rPr>
          <w:rFonts w:hint="eastAsia" w:ascii="宋体" w:hAnsi="宋体" w:eastAsia="宋体" w:cs="宋体"/>
          <w:bCs/>
          <w:color w:val="auto"/>
          <w:sz w:val="32"/>
          <w:szCs w:val="32"/>
          <w:highlight w:val="none"/>
        </w:rPr>
        <w:t>NNZC2025-C2-230075-XMZX</w:t>
      </w:r>
      <w:r>
        <w:rPr>
          <w:rFonts w:hint="eastAsia" w:ascii="宋体" w:hAnsi="宋体" w:eastAsia="宋体" w:cs="宋体"/>
          <w:bCs/>
          <w:color w:val="auto"/>
          <w:sz w:val="32"/>
          <w:szCs w:val="32"/>
          <w:highlight w:val="none"/>
        </w:rPr>
        <w:fldChar w:fldCharType="end"/>
      </w:r>
      <w:r>
        <w:rPr>
          <w:rFonts w:hint="eastAsia" w:ascii="宋体" w:hAnsi="宋体" w:cs="宋体"/>
          <w:bCs/>
          <w:color w:val="auto"/>
          <w:sz w:val="32"/>
          <w:szCs w:val="32"/>
          <w:highlight w:val="none"/>
          <w:lang w:eastAsia="zh-CN"/>
        </w:rPr>
        <w:t xml:space="preserve">     </w:t>
      </w:r>
    </w:p>
    <w:p w14:paraId="5F0AA20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EE4DD9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FCF74A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486B8B7">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A086BBF">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6D6FD956">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48896FD9">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6EA71C2">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648A312">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7200482C">
      <w:pPr>
        <w:spacing w:line="360" w:lineRule="auto"/>
        <w:jc w:val="center"/>
        <w:rPr>
          <w:rFonts w:hint="eastAsia" w:ascii="宋体" w:hAnsi="宋体" w:eastAsia="宋体" w:cs="宋体"/>
          <w:b/>
          <w:color w:val="auto"/>
          <w:kern w:val="0"/>
          <w:sz w:val="28"/>
          <w:szCs w:val="28"/>
          <w:highlight w:val="none"/>
        </w:rPr>
      </w:pPr>
    </w:p>
    <w:p w14:paraId="7BF0AC86">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6BDA153E">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2C9BA574">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2EC0D86A">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D0AF3E8">
      <w:pPr>
        <w:pStyle w:val="30"/>
        <w:spacing w:line="360" w:lineRule="auto"/>
        <w:rPr>
          <w:rFonts w:hint="eastAsia" w:ascii="宋体" w:hAnsi="宋体" w:eastAsia="宋体" w:cs="宋体"/>
          <w:color w:val="auto"/>
          <w:highlight w:val="none"/>
        </w:rPr>
      </w:pPr>
      <w:bookmarkStart w:id="107" w:name="OLE_LINK6"/>
      <w:bookmarkStart w:id="108" w:name="OLE_LINK7"/>
      <w:bookmarkStart w:id="10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E350E05">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六、建设工程项目管理承诺</w:t>
      </w:r>
      <w:r>
        <w:rPr>
          <w:rFonts w:hint="eastAsia" w:ascii="宋体" w:hAnsi="宋体" w:eastAsia="宋体" w:cs="宋体"/>
          <w:color w:val="auto"/>
          <w:highlight w:val="none"/>
          <w:lang w:val="en-US" w:eastAsia="zh-CN"/>
        </w:rPr>
        <w:t>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50C1C5D">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szCs w:val="21"/>
          <w:highlight w:val="none"/>
        </w:rPr>
        <w:t>类似业绩一览表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F5317E3">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八、采购需求响应偏离表…………………………………………………（页码）</w:t>
      </w:r>
    </w:p>
    <w:p w14:paraId="328B4677">
      <w:pPr>
        <w:pStyle w:val="30"/>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九、项目经理简历表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07"/>
      <w:bookmarkEnd w:id="108"/>
    </w:p>
    <w:bookmarkEnd w:id="109"/>
    <w:p w14:paraId="19AE0FAF">
      <w:pPr>
        <w:pStyle w:val="30"/>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十、项目管理机构配备情况表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p>
    <w:p w14:paraId="4174B22C">
      <w:pPr>
        <w:pStyle w:val="30"/>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十一、施工组织设计………………………………………………………（页码）</w:t>
      </w:r>
    </w:p>
    <w:p w14:paraId="1F7A793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0F6DE376">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09BFFE25">
      <w:pPr>
        <w:spacing w:line="360" w:lineRule="auto"/>
        <w:jc w:val="center"/>
        <w:rPr>
          <w:rFonts w:hint="eastAsia" w:ascii="宋体" w:hAnsi="宋体" w:eastAsia="宋体" w:cs="宋体"/>
          <w:color w:val="auto"/>
          <w:sz w:val="44"/>
          <w:szCs w:val="44"/>
          <w:highlight w:val="none"/>
        </w:rPr>
      </w:pPr>
    </w:p>
    <w:p w14:paraId="1A1DB187">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621363A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1F1307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6816924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4955DB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2190C76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48DDAA6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50BD0B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6D17B4D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277A524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55922AB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7113A37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6384030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7D0C126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C1C881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1403413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E49A38E">
      <w:pPr>
        <w:spacing w:line="360" w:lineRule="auto"/>
        <w:ind w:firstLine="480" w:firstLineChars="200"/>
        <w:contextualSpacing/>
        <w:rPr>
          <w:rFonts w:hint="eastAsia" w:ascii="宋体" w:hAnsi="宋体" w:eastAsia="宋体" w:cs="宋体"/>
          <w:color w:val="auto"/>
          <w:sz w:val="24"/>
          <w:highlight w:val="none"/>
        </w:rPr>
      </w:pPr>
    </w:p>
    <w:p w14:paraId="003E760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4382431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49D5D4">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16D0D56B">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71253CCD">
      <w:pPr>
        <w:spacing w:line="360" w:lineRule="auto"/>
        <w:ind w:left="540"/>
        <w:contextualSpacing/>
        <w:rPr>
          <w:rFonts w:hint="eastAsia" w:ascii="宋体" w:hAnsi="宋体" w:eastAsia="宋体" w:cs="宋体"/>
          <w:color w:val="auto"/>
          <w:sz w:val="32"/>
          <w:szCs w:val="32"/>
          <w:highlight w:val="none"/>
        </w:rPr>
      </w:pPr>
    </w:p>
    <w:p w14:paraId="3A9F5A3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40725AC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B59215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6B13AE93">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31A1289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BD0963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（供应商名称）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w:t>
      </w:r>
    </w:p>
    <w:p w14:paraId="3450308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6D825E5">
      <w:pPr>
        <w:spacing w:line="360" w:lineRule="auto"/>
        <w:ind w:left="540"/>
        <w:contextualSpacing/>
        <w:rPr>
          <w:rFonts w:hint="eastAsia" w:ascii="宋体" w:hAnsi="宋体" w:eastAsia="宋体" w:cs="宋体"/>
          <w:color w:val="auto"/>
          <w:sz w:val="24"/>
          <w:highlight w:val="none"/>
        </w:rPr>
      </w:pPr>
    </w:p>
    <w:p w14:paraId="04587947">
      <w:pPr>
        <w:spacing w:line="360" w:lineRule="auto"/>
        <w:ind w:left="540"/>
        <w:contextualSpacing/>
        <w:rPr>
          <w:rFonts w:hint="eastAsia" w:ascii="宋体" w:hAnsi="宋体" w:eastAsia="宋体" w:cs="宋体"/>
          <w:color w:val="auto"/>
          <w:sz w:val="24"/>
          <w:highlight w:val="none"/>
        </w:rPr>
      </w:pPr>
    </w:p>
    <w:p w14:paraId="40067FCC">
      <w:pPr>
        <w:spacing w:line="360" w:lineRule="auto"/>
        <w:ind w:left="540"/>
        <w:contextualSpacing/>
        <w:rPr>
          <w:rFonts w:hint="eastAsia" w:ascii="宋体" w:hAnsi="宋体" w:eastAsia="宋体" w:cs="宋体"/>
          <w:color w:val="auto"/>
          <w:sz w:val="24"/>
          <w:highlight w:val="none"/>
        </w:rPr>
      </w:pPr>
    </w:p>
    <w:p w14:paraId="130DEDD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BFFFF50">
      <w:pPr>
        <w:spacing w:line="360" w:lineRule="auto"/>
        <w:ind w:left="540"/>
        <w:contextualSpacing/>
        <w:rPr>
          <w:rFonts w:hint="eastAsia" w:ascii="宋体" w:hAnsi="宋体" w:eastAsia="宋体" w:cs="宋体"/>
          <w:color w:val="auto"/>
          <w:sz w:val="24"/>
          <w:highlight w:val="none"/>
        </w:rPr>
      </w:pPr>
    </w:p>
    <w:p w14:paraId="7148980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F4C4AF3">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EB5CA15">
      <w:pPr>
        <w:spacing w:line="360" w:lineRule="auto"/>
        <w:contextualSpacing/>
        <w:jc w:val="left"/>
        <w:rPr>
          <w:rFonts w:hint="eastAsia" w:ascii="宋体" w:hAnsi="宋体" w:eastAsia="宋体" w:cs="宋体"/>
          <w:color w:val="auto"/>
          <w:sz w:val="24"/>
          <w:highlight w:val="none"/>
        </w:rPr>
      </w:pPr>
    </w:p>
    <w:p w14:paraId="1DE7320A">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17FBCFA">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4"/>
        <w:tblpPr w:leftFromText="180" w:rightFromText="180" w:vertAnchor="text" w:horzAnchor="margin" w:tblpY="1169"/>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1D11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5" w:hRule="atLeast"/>
        </w:trPr>
        <w:tc>
          <w:tcPr>
            <w:tcW w:w="9900" w:type="dxa"/>
            <w:noWrap w:val="0"/>
            <w:vAlign w:val="top"/>
          </w:tcPr>
          <w:p w14:paraId="295849E1">
            <w:pPr>
              <w:spacing w:line="360" w:lineRule="auto"/>
              <w:rPr>
                <w:rFonts w:hint="eastAsia" w:ascii="宋体" w:hAnsi="宋体" w:eastAsia="宋体" w:cs="宋体"/>
                <w:b/>
                <w:color w:val="auto"/>
                <w:sz w:val="24"/>
                <w:highlight w:val="none"/>
              </w:rPr>
            </w:pPr>
          </w:p>
          <w:p w14:paraId="38C0F30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465E5C3B">
      <w:pPr>
        <w:spacing w:line="360" w:lineRule="auto"/>
        <w:ind w:firstLine="482" w:firstLineChars="200"/>
        <w:contextualSpacing/>
        <w:jc w:val="left"/>
        <w:rPr>
          <w:rFonts w:hint="eastAsia" w:ascii="宋体" w:hAnsi="宋体" w:eastAsia="宋体" w:cs="宋体"/>
          <w:bCs/>
          <w:color w:val="auto"/>
          <w:sz w:val="44"/>
          <w:szCs w:val="44"/>
          <w:highlight w:val="none"/>
        </w:rPr>
      </w:pPr>
      <w:r>
        <w:rPr>
          <w:rFonts w:hint="eastAsia" w:ascii="宋体" w:hAnsi="宋体" w:eastAsia="宋体" w:cs="宋体"/>
          <w:b/>
          <w:color w:val="auto"/>
          <w:sz w:val="24"/>
          <w:highlight w:val="none"/>
        </w:rPr>
        <w:t>附件：</w:t>
      </w: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44215F4E">
      <w:pPr>
        <w:spacing w:line="360" w:lineRule="auto"/>
        <w:jc w:val="center"/>
        <w:rPr>
          <w:rFonts w:hint="eastAsia" w:ascii="宋体" w:hAnsi="宋体" w:eastAsia="宋体" w:cs="宋体"/>
          <w:color w:val="auto"/>
          <w:sz w:val="44"/>
          <w:szCs w:val="44"/>
          <w:highlight w:val="none"/>
        </w:rPr>
      </w:pPr>
    </w:p>
    <w:p w14:paraId="1DCD5D04">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640DE94E">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7AC857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6038F3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03352A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2D662E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17CCC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1DF48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17B27869">
      <w:pPr>
        <w:spacing w:line="360" w:lineRule="auto"/>
        <w:rPr>
          <w:rFonts w:hint="eastAsia" w:ascii="宋体" w:hAnsi="宋体" w:eastAsia="宋体" w:cs="宋体"/>
          <w:color w:val="auto"/>
          <w:sz w:val="24"/>
          <w:highlight w:val="none"/>
        </w:rPr>
      </w:pPr>
    </w:p>
    <w:p w14:paraId="3CA7B6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40BDB7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686534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1D44E826">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712A23E">
      <w:pPr>
        <w:spacing w:line="360" w:lineRule="auto"/>
        <w:rPr>
          <w:rFonts w:hint="eastAsia" w:ascii="宋体" w:hAnsi="宋体" w:eastAsia="宋体" w:cs="宋体"/>
          <w:color w:val="auto"/>
          <w:sz w:val="24"/>
          <w:highlight w:val="none"/>
        </w:rPr>
      </w:pPr>
    </w:p>
    <w:p w14:paraId="6E7EA9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A631AF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DD19633">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6C3004F6">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6634B74B">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23E1A73E">
      <w:pPr>
        <w:spacing w:line="360" w:lineRule="auto"/>
        <w:jc w:val="center"/>
        <w:rPr>
          <w:rFonts w:hint="eastAsia" w:ascii="宋体" w:hAnsi="宋体" w:eastAsia="宋体" w:cs="宋体"/>
          <w:color w:val="auto"/>
          <w:sz w:val="32"/>
          <w:szCs w:val="32"/>
          <w:highlight w:val="none"/>
        </w:rPr>
      </w:pPr>
    </w:p>
    <w:p w14:paraId="0AF2118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5A06CE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2811C8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F7614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E9FEF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E06E2BD">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2219A634">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3376B30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F5FA5EB">
      <w:pPr>
        <w:spacing w:line="360" w:lineRule="auto"/>
        <w:rPr>
          <w:rFonts w:hint="eastAsia" w:ascii="宋体" w:hAnsi="宋体" w:eastAsia="宋体" w:cs="宋体"/>
          <w:color w:val="auto"/>
          <w:sz w:val="24"/>
          <w:highlight w:val="none"/>
        </w:rPr>
      </w:pPr>
    </w:p>
    <w:p w14:paraId="651C9578">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20F91AE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13E7F1A">
      <w:pPr>
        <w:spacing w:line="360" w:lineRule="auto"/>
        <w:rPr>
          <w:rFonts w:hint="eastAsia" w:ascii="宋体" w:hAnsi="宋体" w:eastAsia="宋体" w:cs="宋体"/>
          <w:color w:val="auto"/>
          <w:sz w:val="24"/>
          <w:highlight w:val="none"/>
        </w:rPr>
      </w:pPr>
    </w:p>
    <w:p w14:paraId="795334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24CA097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41EFD20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31AF3BC">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308F2627">
      <w:pPr>
        <w:spacing w:line="360" w:lineRule="auto"/>
        <w:ind w:firstLine="602" w:firstLineChars="200"/>
        <w:jc w:val="left"/>
        <w:rPr>
          <w:rFonts w:hint="eastAsia" w:ascii="宋体" w:hAnsi="宋体" w:eastAsia="宋体" w:cs="宋体"/>
          <w:b/>
          <w:color w:val="auto"/>
          <w:sz w:val="30"/>
          <w:szCs w:val="30"/>
          <w:highlight w:val="none"/>
        </w:rPr>
      </w:pPr>
    </w:p>
    <w:p w14:paraId="3193872B">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5146B342">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NNZC2025-C2-230075-XMZX    </w:t>
      </w:r>
      <w:r>
        <w:rPr>
          <w:rFonts w:hint="eastAsia" w:ascii="宋体" w:hAnsi="宋体" w:eastAsia="宋体" w:cs="宋体"/>
          <w:color w:val="auto"/>
          <w:sz w:val="24"/>
          <w:highlight w:val="none"/>
          <w:u w:val="single"/>
        </w:rPr>
        <w:t xml:space="preserve"> </w:t>
      </w:r>
    </w:p>
    <w:p w14:paraId="146434EB">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隆安县城厢镇宝塔村花杨屯三产安置项目土地平整</w:t>
      </w:r>
      <w:r>
        <w:rPr>
          <w:rFonts w:hint="eastAsia" w:ascii="宋体" w:hAnsi="宋体" w:eastAsia="宋体" w:cs="宋体"/>
          <w:color w:val="auto"/>
          <w:sz w:val="24"/>
          <w:highlight w:val="none"/>
          <w:u w:val="single"/>
        </w:rPr>
        <w:t xml:space="preserve"> </w:t>
      </w:r>
    </w:p>
    <w:p w14:paraId="301D90A2">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EA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C595B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98A17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A96D7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37688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1C2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E3098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47E78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16067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AA9F1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F07A4A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2100EC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463EC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C1D37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EEA232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2CAAAC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36C2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9A3B4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639761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1DEE3A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6C5DD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5C6EF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6A14B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EB646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45F5B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EF9C5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3AA25C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74D1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E276A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49605A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6D5788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37BDE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E23A8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32337F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224E7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2D76F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F98231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4A17AEC">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1D790518">
      <w:pPr>
        <w:pStyle w:val="13"/>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01B8D52">
      <w:pPr>
        <w:pStyle w:val="15"/>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1.说明：应对照磋商文件“第二章 采购需求”中的商务条款逐条作出明确响应，并</w:t>
      </w:r>
      <w:r>
        <w:rPr>
          <w:rFonts w:hint="eastAsia" w:hAnsi="宋体" w:eastAsia="宋体" w:cs="宋体"/>
          <w:color w:val="auto"/>
          <w:sz w:val="21"/>
          <w:szCs w:val="21"/>
          <w:highlight w:val="none"/>
          <w:lang w:eastAsia="zh-CN"/>
        </w:rPr>
        <w:t>做出</w:t>
      </w:r>
      <w:r>
        <w:rPr>
          <w:rFonts w:hint="eastAsia" w:ascii="宋体" w:hAnsi="宋体" w:eastAsia="宋体" w:cs="宋体"/>
          <w:color w:val="auto"/>
          <w:sz w:val="21"/>
          <w:szCs w:val="21"/>
          <w:highlight w:val="none"/>
          <w:lang w:eastAsia="zh-CN"/>
        </w:rPr>
        <w:t>偏离说明。</w:t>
      </w:r>
    </w:p>
    <w:p w14:paraId="3AC8E49D">
      <w:pPr>
        <w:pStyle w:val="15"/>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1"/>
          <w:szCs w:val="21"/>
          <w:highlight w:val="none"/>
          <w:lang w:eastAsia="zh-CN"/>
        </w:rPr>
        <w:t>当响应文件的</w:t>
      </w:r>
      <w:r>
        <w:rPr>
          <w:rFonts w:hint="eastAsia" w:ascii="宋体" w:hAnsi="宋体" w:eastAsia="宋体" w:cs="宋体"/>
          <w:color w:val="auto"/>
          <w:sz w:val="21"/>
          <w:szCs w:val="21"/>
          <w:highlight w:val="none"/>
          <w:lang w:eastAsia="zh-CN"/>
        </w:rPr>
        <w:t>商务内容低于竞争性磋商文件要求时，竞标人应当如实写明“负偏离”，否则视为虚假应标</w:t>
      </w:r>
      <w:r>
        <w:rPr>
          <w:rFonts w:hint="eastAsia" w:hAnsi="宋体" w:cs="宋体"/>
          <w:color w:val="auto"/>
          <w:sz w:val="21"/>
          <w:szCs w:val="21"/>
          <w:highlight w:val="none"/>
          <w:lang w:eastAsia="zh-CN"/>
        </w:rPr>
        <w:t>。</w:t>
      </w:r>
    </w:p>
    <w:p w14:paraId="28833D76">
      <w:pPr>
        <w:pStyle w:val="15"/>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3.表格内容均需按要求填写，不得留空，否则按竞标无效处理。</w:t>
      </w:r>
    </w:p>
    <w:p w14:paraId="1ADC12BC">
      <w:pPr>
        <w:pStyle w:val="15"/>
        <w:spacing w:line="360" w:lineRule="auto"/>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1"/>
          <w:szCs w:val="21"/>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0DBF7F7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67D0249F">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ADD36A0">
      <w:pPr>
        <w:snapToGrid w:val="0"/>
        <w:spacing w:line="360" w:lineRule="auto"/>
        <w:ind w:firstLine="602" w:firstLineChars="200"/>
        <w:rPr>
          <w:rFonts w:hint="eastAsia" w:ascii="宋体" w:hAnsi="宋体" w:eastAsia="宋体" w:cs="宋体"/>
          <w:b/>
          <w:color w:val="auto"/>
          <w:sz w:val="30"/>
          <w:szCs w:val="30"/>
          <w:highlight w:val="none"/>
        </w:rPr>
      </w:pPr>
    </w:p>
    <w:p w14:paraId="25D514B6">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76F3B52D">
      <w:pPr>
        <w:snapToGrid w:val="0"/>
        <w:spacing w:line="360" w:lineRule="auto"/>
        <w:ind w:firstLine="602" w:firstLineChars="200"/>
        <w:rPr>
          <w:rFonts w:hint="eastAsia" w:ascii="宋体" w:hAnsi="宋体" w:eastAsia="宋体" w:cs="宋体"/>
          <w:b/>
          <w:color w:val="auto"/>
          <w:sz w:val="30"/>
          <w:szCs w:val="30"/>
          <w:highlight w:val="none"/>
        </w:rPr>
      </w:pPr>
    </w:p>
    <w:p w14:paraId="78631259">
      <w:pPr>
        <w:pStyle w:val="11"/>
        <w:spacing w:line="360" w:lineRule="auto"/>
        <w:rPr>
          <w:rFonts w:hint="eastAsia" w:ascii="宋体" w:hAnsi="宋体" w:eastAsia="宋体" w:cs="宋体"/>
          <w:b/>
          <w:color w:val="auto"/>
          <w:sz w:val="30"/>
          <w:szCs w:val="30"/>
          <w:highlight w:val="none"/>
        </w:rPr>
      </w:pPr>
    </w:p>
    <w:p w14:paraId="0C26745A">
      <w:pPr>
        <w:pStyle w:val="11"/>
        <w:spacing w:line="360" w:lineRule="auto"/>
        <w:rPr>
          <w:rFonts w:hint="eastAsia" w:ascii="宋体" w:hAnsi="宋体" w:eastAsia="宋体" w:cs="宋体"/>
          <w:b/>
          <w:color w:val="auto"/>
          <w:sz w:val="30"/>
          <w:szCs w:val="30"/>
          <w:highlight w:val="none"/>
        </w:rPr>
      </w:pPr>
    </w:p>
    <w:p w14:paraId="433A038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2933E58">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49C4925">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0DBE6A35">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0105487E">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18F66F0">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、建设工程项目管理承诺书</w:t>
      </w:r>
    </w:p>
    <w:p w14:paraId="2C631297">
      <w:pPr>
        <w:snapToGrid w:val="0"/>
        <w:spacing w:line="360" w:lineRule="auto"/>
        <w:ind w:firstLine="602" w:firstLineChars="200"/>
        <w:rPr>
          <w:rFonts w:hint="eastAsia" w:ascii="宋体" w:hAnsi="宋体" w:eastAsia="宋体" w:cs="宋体"/>
          <w:b/>
          <w:color w:val="auto"/>
          <w:sz w:val="30"/>
          <w:szCs w:val="30"/>
          <w:highlight w:val="none"/>
        </w:rPr>
      </w:pPr>
    </w:p>
    <w:p w14:paraId="7DB54C50">
      <w:pPr>
        <w:jc w:val="center"/>
        <w:rPr>
          <w:rFonts w:ascii="宋体" w:hAnsi="宋体" w:eastAsia="宋体" w:cs="宋体"/>
          <w:color w:val="auto"/>
          <w:sz w:val="24"/>
          <w:szCs w:val="24"/>
          <w:highlight w:val="none"/>
        </w:rPr>
      </w:pPr>
      <w:r>
        <w:rPr>
          <w:rFonts w:ascii="宋体" w:hAnsi="宋体" w:eastAsia="宋体" w:cs="宋体"/>
          <w:color w:val="auto"/>
          <w:sz w:val="32"/>
          <w:szCs w:val="32"/>
          <w:highlight w:val="none"/>
        </w:rPr>
        <w:t>建设工程项目管理承诺书</w:t>
      </w:r>
    </w:p>
    <w:p w14:paraId="2A5AD5F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p>
    <w:p w14:paraId="6F3F3B4B">
      <w:pPr>
        <w:pStyle w:val="31"/>
        <w:spacing w:line="480" w:lineRule="auto"/>
        <w:jc w:val="lef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致</w:t>
      </w:r>
      <w:r>
        <w:rPr>
          <w:rStyle w:val="26"/>
          <w:rFonts w:hint="eastAsia" w:ascii="宋体" w:hAnsi="宋体" w:eastAsia="宋体" w:cs="宋体"/>
          <w:color w:val="auto"/>
          <w:szCs w:val="21"/>
          <w:highlight w:val="none"/>
          <w:u w:val="single"/>
        </w:rPr>
        <w:t xml:space="preserve">                        </w:t>
      </w:r>
      <w:r>
        <w:rPr>
          <w:rStyle w:val="26"/>
          <w:rFonts w:hint="eastAsia" w:ascii="宋体" w:hAnsi="宋体" w:eastAsia="宋体" w:cs="宋体"/>
          <w:color w:val="auto"/>
          <w:szCs w:val="21"/>
          <w:highlight w:val="none"/>
        </w:rPr>
        <w:t>（招标人名称）：</w:t>
      </w:r>
    </w:p>
    <w:p w14:paraId="79F90136">
      <w:pPr>
        <w:pStyle w:val="31"/>
        <w:spacing w:line="520" w:lineRule="exact"/>
        <w:ind w:left="-10" w:firstLine="455" w:firstLineChars="217"/>
        <w:jc w:val="lef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作为参与</w:t>
      </w:r>
      <w:r>
        <w:rPr>
          <w:rStyle w:val="26"/>
          <w:rFonts w:hint="eastAsia" w:ascii="宋体" w:hAnsi="宋体" w:eastAsia="宋体" w:cs="宋体"/>
          <w:color w:val="auto"/>
          <w:szCs w:val="21"/>
          <w:highlight w:val="none"/>
          <w:u w:val="single"/>
        </w:rPr>
        <w:t xml:space="preserve">                  </w:t>
      </w:r>
      <w:r>
        <w:rPr>
          <w:rStyle w:val="26"/>
          <w:rFonts w:hint="eastAsia" w:ascii="宋体" w:hAnsi="宋体" w:eastAsia="宋体" w:cs="宋体"/>
          <w:color w:val="auto"/>
          <w:szCs w:val="21"/>
          <w:highlight w:val="none"/>
        </w:rPr>
        <w:t>（工程名称）项目的投标方，根据国家、自治区相关文件规定，我方在此向招标人承诺：</w:t>
      </w:r>
    </w:p>
    <w:p w14:paraId="101BEA4A">
      <w:pPr>
        <w:pStyle w:val="31"/>
        <w:spacing w:line="520" w:lineRule="exact"/>
        <w:ind w:left="-10" w:firstLine="455" w:firstLineChars="217"/>
        <w:jc w:val="lef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1、一旦中标，我方保证按照政府相关部门的规定，在中标后7个工作日内，按照《保障农民工工资支付条例》规定及广西壮族自治区有关规定开设农民工工资专用账户，并按</w:t>
      </w:r>
      <w:r>
        <w:rPr>
          <w:rStyle w:val="26"/>
          <w:rFonts w:hint="eastAsia" w:ascii="宋体" w:hAnsi="宋体" w:eastAsia="宋体" w:cs="宋体"/>
          <w:color w:val="auto"/>
          <w:szCs w:val="21"/>
          <w:highlight w:val="none"/>
          <w:u w:val="single"/>
        </w:rPr>
        <w:t>要求</w:t>
      </w:r>
      <w:r>
        <w:rPr>
          <w:rStyle w:val="26"/>
          <w:rFonts w:hint="eastAsia" w:ascii="宋体" w:hAnsi="宋体" w:eastAsia="宋体" w:cs="宋体"/>
          <w:color w:val="auto"/>
          <w:szCs w:val="21"/>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6652E43A">
      <w:pPr>
        <w:pStyle w:val="31"/>
        <w:spacing w:line="520" w:lineRule="exact"/>
        <w:ind w:left="-10" w:firstLine="455" w:firstLineChars="217"/>
        <w:jc w:val="lef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02E1FF40">
      <w:pPr>
        <w:pStyle w:val="31"/>
        <w:spacing w:line="520" w:lineRule="exact"/>
        <w:ind w:left="-2" w:leftChars="-1" w:firstLine="449" w:firstLineChars="214"/>
        <w:jc w:val="lef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1A12351">
      <w:pPr>
        <w:pStyle w:val="31"/>
        <w:spacing w:line="520" w:lineRule="exact"/>
        <w:ind w:left="-10" w:firstLine="455" w:firstLineChars="217"/>
        <w:jc w:val="lef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09C32ECF">
      <w:pPr>
        <w:pStyle w:val="31"/>
        <w:spacing w:line="520" w:lineRule="exact"/>
        <w:ind w:left="-10" w:firstLine="455" w:firstLineChars="217"/>
        <w:jc w:val="left"/>
        <w:rPr>
          <w:rStyle w:val="26"/>
          <w:rFonts w:hint="eastAsia" w:ascii="宋体" w:hAnsi="宋体" w:eastAsia="宋体" w:cs="宋体"/>
          <w:color w:val="auto"/>
          <w:szCs w:val="21"/>
          <w:highlight w:val="none"/>
        </w:rPr>
      </w:pPr>
      <w:r>
        <w:rPr>
          <w:rStyle w:val="26"/>
          <w:rFonts w:hint="eastAsia" w:ascii="宋体" w:hAnsi="宋体" w:eastAsia="宋体" w:cs="宋体"/>
          <w:color w:val="auto"/>
          <w:szCs w:val="21"/>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2167FFA">
      <w:pPr>
        <w:pStyle w:val="31"/>
        <w:spacing w:line="520" w:lineRule="exact"/>
        <w:ind w:left="-10" w:firstLine="455" w:firstLineChars="217"/>
        <w:jc w:val="left"/>
        <w:rPr>
          <w:rStyle w:val="26"/>
          <w:rFonts w:hint="eastAsia" w:ascii="宋体" w:hAnsi="宋体" w:eastAsia="宋体" w:cs="宋体"/>
          <w:color w:val="auto"/>
          <w:szCs w:val="21"/>
          <w:highlight w:val="none"/>
        </w:rPr>
      </w:pPr>
    </w:p>
    <w:p w14:paraId="60FB9A3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081C111">
      <w:pPr>
        <w:snapToGrid w:val="0"/>
        <w:spacing w:before="120" w:beforeLines="50" w:after="50" w:line="360" w:lineRule="auto"/>
        <w:ind w:firstLine="6000" w:firstLineChars="2500"/>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日期：  年  月   日</w:t>
      </w:r>
    </w:p>
    <w:p w14:paraId="2F56255D">
      <w:pPr>
        <w:tabs>
          <w:tab w:val="left" w:pos="826"/>
        </w:tabs>
        <w:snapToGrid w:val="0"/>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6C9706DF">
      <w:pPr>
        <w:pStyle w:val="11"/>
        <w:rPr>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84"/>
        <w:gridCol w:w="2601"/>
        <w:gridCol w:w="1386"/>
        <w:gridCol w:w="1837"/>
      </w:tblGrid>
      <w:tr w14:paraId="7936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3E08E70B">
            <w:pPr>
              <w:jc w:val="center"/>
              <w:rPr>
                <w:rFonts w:ascii="宋体" w:hAnsi="宋体"/>
                <w:color w:val="auto"/>
                <w:szCs w:val="21"/>
                <w:highlight w:val="none"/>
              </w:rPr>
            </w:pPr>
            <w:r>
              <w:rPr>
                <w:rFonts w:hint="eastAsia" w:ascii="宋体" w:hAnsi="宋体" w:cs="宋体"/>
                <w:color w:val="auto"/>
                <w:szCs w:val="21"/>
                <w:highlight w:val="none"/>
              </w:rPr>
              <w:t>序号</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3C313302">
            <w:pPr>
              <w:jc w:val="center"/>
              <w:rPr>
                <w:rFonts w:ascii="宋体" w:hAnsi="宋体"/>
                <w:color w:val="auto"/>
                <w:szCs w:val="21"/>
                <w:highlight w:val="none"/>
              </w:rPr>
            </w:pPr>
            <w:r>
              <w:rPr>
                <w:rFonts w:hint="eastAsia" w:ascii="宋体" w:hAnsi="宋体" w:cs="宋体"/>
                <w:color w:val="auto"/>
                <w:szCs w:val="21"/>
                <w:highlight w:val="none"/>
              </w:rPr>
              <w:t>发包人名称</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59EB2227">
            <w:pPr>
              <w:jc w:val="center"/>
              <w:rPr>
                <w:rFonts w:ascii="宋体" w:hAnsi="宋体"/>
                <w:color w:val="auto"/>
                <w:szCs w:val="21"/>
                <w:highlight w:val="none"/>
              </w:rPr>
            </w:pPr>
            <w:r>
              <w:rPr>
                <w:rFonts w:hint="eastAsia" w:ascii="宋体" w:hAnsi="宋体" w:cs="宋体"/>
                <w:color w:val="auto"/>
                <w:szCs w:val="21"/>
                <w:highlight w:val="none"/>
              </w:rPr>
              <w:t>工程名称</w:t>
            </w:r>
          </w:p>
          <w:p w14:paraId="4ED955EE">
            <w:pPr>
              <w:jc w:val="center"/>
              <w:rPr>
                <w:rFonts w:ascii="宋体" w:hAnsi="宋体"/>
                <w:color w:val="auto"/>
                <w:szCs w:val="21"/>
                <w:highlight w:val="none"/>
              </w:rPr>
            </w:pPr>
            <w:r>
              <w:rPr>
                <w:rFonts w:hint="eastAsia" w:ascii="宋体" w:hAnsi="宋体" w:cs="宋体"/>
                <w:color w:val="auto"/>
                <w:szCs w:val="21"/>
                <w:highlight w:val="none"/>
              </w:rPr>
              <w:t>及建设地点</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C64B4E0">
            <w:pPr>
              <w:jc w:val="center"/>
              <w:rPr>
                <w:rFonts w:ascii="宋体" w:hAnsi="宋体"/>
                <w:color w:val="auto"/>
                <w:szCs w:val="21"/>
                <w:highlight w:val="none"/>
              </w:rPr>
            </w:pPr>
            <w:r>
              <w:rPr>
                <w:rFonts w:hint="eastAsia" w:ascii="宋体" w:hAnsi="宋体" w:cs="宋体"/>
                <w:color w:val="auto"/>
                <w:szCs w:val="21"/>
                <w:highlight w:val="none"/>
              </w:rPr>
              <w:t>建设规模</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8BC75D7">
            <w:pPr>
              <w:jc w:val="center"/>
              <w:rPr>
                <w:rFonts w:ascii="宋体" w:hAnsi="宋体"/>
                <w:color w:val="auto"/>
                <w:szCs w:val="21"/>
                <w:highlight w:val="none"/>
              </w:rPr>
            </w:pPr>
            <w:r>
              <w:rPr>
                <w:rFonts w:hint="eastAsia" w:ascii="宋体" w:hAnsi="宋体" w:cs="宋体"/>
                <w:color w:val="auto"/>
                <w:szCs w:val="21"/>
                <w:highlight w:val="none"/>
              </w:rPr>
              <w:t>合同金额</w:t>
            </w:r>
          </w:p>
          <w:p w14:paraId="04F65F7F">
            <w:pPr>
              <w:jc w:val="center"/>
              <w:rPr>
                <w:rFonts w:ascii="宋体" w:hAnsi="宋体"/>
                <w:color w:val="auto"/>
                <w:szCs w:val="21"/>
                <w:highlight w:val="none"/>
              </w:rPr>
            </w:pPr>
            <w:r>
              <w:rPr>
                <w:rFonts w:hint="eastAsia" w:ascii="宋体" w:hAnsi="宋体" w:cs="宋体"/>
                <w:color w:val="auto"/>
                <w:szCs w:val="21"/>
                <w:highlight w:val="none"/>
              </w:rPr>
              <w:t>（万元）</w:t>
            </w:r>
          </w:p>
        </w:tc>
      </w:tr>
      <w:tr w14:paraId="6E36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1C19EB86">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7152151F">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2BBA833">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D54E36E">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0E14862">
            <w:pPr>
              <w:jc w:val="center"/>
              <w:rPr>
                <w:rFonts w:ascii="宋体" w:hAnsi="宋体"/>
                <w:color w:val="auto"/>
                <w:szCs w:val="21"/>
                <w:highlight w:val="none"/>
              </w:rPr>
            </w:pPr>
          </w:p>
        </w:tc>
      </w:tr>
      <w:tr w14:paraId="24C4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1FFA105E">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21657B64">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0B5D796F">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95C465C">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D74A8FA">
            <w:pPr>
              <w:jc w:val="center"/>
              <w:rPr>
                <w:rFonts w:ascii="宋体" w:hAnsi="宋体"/>
                <w:color w:val="auto"/>
                <w:szCs w:val="21"/>
                <w:highlight w:val="none"/>
              </w:rPr>
            </w:pPr>
          </w:p>
        </w:tc>
      </w:tr>
      <w:tr w14:paraId="2BAA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6024AFD5">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1B356DD8">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C2F21D2">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657B99F">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9FAF750">
            <w:pPr>
              <w:jc w:val="center"/>
              <w:rPr>
                <w:rFonts w:ascii="宋体" w:hAnsi="宋体"/>
                <w:color w:val="auto"/>
                <w:szCs w:val="21"/>
                <w:highlight w:val="none"/>
              </w:rPr>
            </w:pPr>
          </w:p>
        </w:tc>
      </w:tr>
      <w:tr w14:paraId="0DE1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6166B5C3">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F3616FA">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3B603AB7">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EEF7617">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8471957">
            <w:pPr>
              <w:jc w:val="center"/>
              <w:rPr>
                <w:rFonts w:ascii="宋体" w:hAnsi="宋体"/>
                <w:color w:val="auto"/>
                <w:szCs w:val="21"/>
                <w:highlight w:val="none"/>
              </w:rPr>
            </w:pPr>
          </w:p>
        </w:tc>
      </w:tr>
      <w:tr w14:paraId="7FC7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1D4B7F54">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1A057389">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066ADE3C">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DBB7FB3">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D1E7837">
            <w:pPr>
              <w:jc w:val="center"/>
              <w:rPr>
                <w:rFonts w:ascii="宋体" w:hAnsi="宋体"/>
                <w:color w:val="auto"/>
                <w:szCs w:val="21"/>
                <w:highlight w:val="none"/>
              </w:rPr>
            </w:pPr>
          </w:p>
        </w:tc>
      </w:tr>
      <w:tr w14:paraId="3B76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0DE27096">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02C7456F">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178A9286">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86DB3B5">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46892FA">
            <w:pPr>
              <w:jc w:val="center"/>
              <w:rPr>
                <w:rFonts w:ascii="宋体" w:hAnsi="宋体"/>
                <w:color w:val="auto"/>
                <w:szCs w:val="21"/>
                <w:highlight w:val="none"/>
              </w:rPr>
            </w:pPr>
          </w:p>
        </w:tc>
      </w:tr>
      <w:tr w14:paraId="1866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245B404B">
            <w:pPr>
              <w:jc w:val="center"/>
              <w:rPr>
                <w:rFonts w:ascii="宋体" w:hAnsi="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4E8501D4">
            <w:pPr>
              <w:jc w:val="center"/>
              <w:rPr>
                <w:rFonts w:ascii="宋体" w:hAnsi="宋体"/>
                <w:color w:val="auto"/>
                <w:szCs w:val="21"/>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center"/>
          </w:tcPr>
          <w:p w14:paraId="7C67201A">
            <w:pPr>
              <w:jc w:val="center"/>
              <w:rPr>
                <w:rFonts w:ascii="宋体" w:hAnsi="宋体"/>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AD32EFB">
            <w:pPr>
              <w:jc w:val="center"/>
              <w:rPr>
                <w:rFonts w:ascii="宋体"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3EA8A7D">
            <w:pPr>
              <w:jc w:val="center"/>
              <w:rPr>
                <w:rFonts w:ascii="宋体" w:hAnsi="宋体"/>
                <w:color w:val="auto"/>
                <w:szCs w:val="21"/>
                <w:highlight w:val="none"/>
              </w:rPr>
            </w:pPr>
          </w:p>
        </w:tc>
      </w:tr>
    </w:tbl>
    <w:p w14:paraId="578F1426">
      <w:pPr>
        <w:ind w:firstLine="420" w:firstLineChars="200"/>
        <w:rPr>
          <w:rFonts w:hint="eastAsia" w:ascii="宋体" w:hAnsi="宋体" w:cs="楷体_GB2312"/>
          <w:color w:val="auto"/>
          <w:szCs w:val="21"/>
          <w:highlight w:val="none"/>
        </w:rPr>
      </w:pPr>
    </w:p>
    <w:p w14:paraId="697AAEC0">
      <w:pPr>
        <w:ind w:firstLine="420" w:firstLineChars="200"/>
        <w:rPr>
          <w:rFonts w:ascii="宋体" w:hAnsi="宋体"/>
          <w:color w:val="auto"/>
          <w:szCs w:val="21"/>
          <w:highlight w:val="none"/>
        </w:rPr>
      </w:pPr>
      <w:r>
        <w:rPr>
          <w:rFonts w:hint="eastAsia" w:ascii="宋体" w:hAnsi="宋体" w:cs="楷体_GB2312"/>
          <w:color w:val="auto"/>
          <w:szCs w:val="21"/>
          <w:highlight w:val="none"/>
        </w:rPr>
        <w:t>备注：</w:t>
      </w:r>
    </w:p>
    <w:p w14:paraId="105B2485">
      <w:pPr>
        <w:ind w:firstLine="630" w:firstLineChars="300"/>
        <w:rPr>
          <w:rFonts w:ascii="宋体" w:hAnsi="宋体"/>
          <w:color w:val="auto"/>
          <w:szCs w:val="21"/>
          <w:highlight w:val="none"/>
        </w:rPr>
      </w:pPr>
      <w:bookmarkStart w:id="110" w:name="OLE_LINK26"/>
      <w:r>
        <w:rPr>
          <w:rFonts w:ascii="宋体" w:hAnsi="宋体"/>
          <w:color w:val="auto"/>
          <w:szCs w:val="21"/>
          <w:highlight w:val="none"/>
        </w:rPr>
        <w:t>1</w:t>
      </w:r>
      <w:r>
        <w:rPr>
          <w:rFonts w:hint="eastAsia" w:ascii="宋体" w:hAnsi="宋体" w:cs="楷体_GB2312"/>
          <w:color w:val="auto"/>
          <w:szCs w:val="21"/>
          <w:highlight w:val="none"/>
        </w:rPr>
        <w:t>、附以上类似工程的成交通知书（如有）或工程合同协议书。</w:t>
      </w:r>
    </w:p>
    <w:bookmarkEnd w:id="110"/>
    <w:p w14:paraId="68C0A511">
      <w:pPr>
        <w:jc w:val="center"/>
        <w:rPr>
          <w:rFonts w:ascii="宋体" w:hAnsi="宋体"/>
          <w:color w:val="auto"/>
          <w:szCs w:val="21"/>
          <w:highlight w:val="none"/>
        </w:rPr>
      </w:pPr>
    </w:p>
    <w:p w14:paraId="28F2A1AB">
      <w:pPr>
        <w:widowControl/>
        <w:tabs>
          <w:tab w:val="center" w:pos="4153"/>
          <w:tab w:val="right" w:pos="8306"/>
        </w:tabs>
        <w:snapToGrid w:val="0"/>
        <w:jc w:val="left"/>
        <w:rPr>
          <w:rFonts w:ascii="宋体" w:hAnsi="宋体"/>
          <w:color w:val="auto"/>
          <w:kern w:val="0"/>
          <w:szCs w:val="21"/>
          <w:highlight w:val="none"/>
        </w:rPr>
      </w:pPr>
    </w:p>
    <w:p w14:paraId="07A1930F">
      <w:pPr>
        <w:widowControl/>
        <w:tabs>
          <w:tab w:val="center" w:pos="4153"/>
          <w:tab w:val="right" w:pos="8306"/>
        </w:tabs>
        <w:snapToGrid w:val="0"/>
        <w:jc w:val="left"/>
        <w:rPr>
          <w:rFonts w:ascii="宋体" w:hAnsi="宋体"/>
          <w:color w:val="auto"/>
          <w:kern w:val="0"/>
          <w:szCs w:val="21"/>
          <w:highlight w:val="none"/>
        </w:rPr>
      </w:pPr>
    </w:p>
    <w:p w14:paraId="0775411B">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77D31C40">
      <w:pPr>
        <w:snapToGrid w:val="0"/>
        <w:spacing w:before="120" w:beforeLines="50" w:after="50" w:line="360" w:lineRule="auto"/>
        <w:ind w:firstLine="5880" w:firstLineChars="2800"/>
        <w:rPr>
          <w:rFonts w:hint="eastAsia" w:ascii="宋体" w:hAnsi="宋体" w:eastAsia="宋体" w:cs="宋体"/>
          <w:b/>
          <w:color w:val="auto"/>
          <w:sz w:val="30"/>
          <w:szCs w:val="30"/>
          <w:highlight w:val="none"/>
          <w:lang w:eastAsia="zh-CN"/>
        </w:rPr>
      </w:pPr>
      <w:r>
        <w:rPr>
          <w:rFonts w:hint="eastAsia" w:ascii="宋体" w:hAnsi="宋体" w:cs="仿宋_GB2312"/>
          <w:color w:val="auto"/>
          <w:kern w:val="0"/>
          <w:szCs w:val="21"/>
          <w:highlight w:val="none"/>
          <w:lang w:val="zh-CN"/>
        </w:rPr>
        <w:t>日期：  年  月   日</w:t>
      </w:r>
    </w:p>
    <w:p w14:paraId="4158CD97">
      <w:pPr>
        <w:pStyle w:val="22"/>
        <w:snapToGrid w:val="0"/>
        <w:spacing w:line="360" w:lineRule="auto"/>
        <w:ind w:left="480" w:hanging="480"/>
        <w:rPr>
          <w:rFonts w:hint="eastAsia" w:ascii="宋体" w:hAnsi="宋体" w:eastAsia="宋体" w:cs="宋体"/>
          <w:color w:val="auto"/>
          <w:sz w:val="24"/>
          <w:highlight w:val="none"/>
        </w:rPr>
      </w:pPr>
    </w:p>
    <w:p w14:paraId="49BE853C">
      <w:pPr>
        <w:pStyle w:val="22"/>
        <w:snapToGrid w:val="0"/>
        <w:spacing w:line="360" w:lineRule="auto"/>
        <w:ind w:left="480" w:hanging="480"/>
        <w:rPr>
          <w:rFonts w:hint="eastAsia" w:ascii="宋体" w:hAnsi="宋体" w:eastAsia="宋体" w:cs="宋体"/>
          <w:color w:val="auto"/>
          <w:sz w:val="24"/>
          <w:highlight w:val="none"/>
        </w:rPr>
      </w:pPr>
    </w:p>
    <w:p w14:paraId="4CFBA292">
      <w:pPr>
        <w:pStyle w:val="22"/>
        <w:snapToGrid w:val="0"/>
        <w:spacing w:line="360" w:lineRule="auto"/>
        <w:ind w:left="480" w:hanging="480"/>
        <w:rPr>
          <w:rFonts w:hint="eastAsia" w:ascii="宋体" w:hAnsi="宋体" w:eastAsia="宋体" w:cs="宋体"/>
          <w:color w:val="auto"/>
          <w:sz w:val="24"/>
          <w:highlight w:val="none"/>
        </w:rPr>
      </w:pPr>
    </w:p>
    <w:p w14:paraId="298168EB">
      <w:pPr>
        <w:pStyle w:val="22"/>
        <w:snapToGrid w:val="0"/>
        <w:spacing w:line="360" w:lineRule="auto"/>
        <w:ind w:left="480" w:hanging="480"/>
        <w:rPr>
          <w:rFonts w:hint="eastAsia" w:ascii="宋体" w:hAnsi="宋体" w:eastAsia="宋体" w:cs="宋体"/>
          <w:color w:val="auto"/>
          <w:sz w:val="24"/>
          <w:highlight w:val="none"/>
        </w:rPr>
      </w:pPr>
    </w:p>
    <w:p w14:paraId="61A6A429">
      <w:pPr>
        <w:pStyle w:val="22"/>
        <w:snapToGrid w:val="0"/>
        <w:spacing w:line="360" w:lineRule="auto"/>
        <w:ind w:left="480" w:hanging="480"/>
        <w:rPr>
          <w:rFonts w:hint="eastAsia" w:ascii="宋体" w:hAnsi="宋体" w:eastAsia="宋体" w:cs="宋体"/>
          <w:color w:val="auto"/>
          <w:sz w:val="24"/>
          <w:highlight w:val="none"/>
        </w:rPr>
      </w:pPr>
    </w:p>
    <w:p w14:paraId="0D700A4F">
      <w:pPr>
        <w:pStyle w:val="22"/>
        <w:snapToGrid w:val="0"/>
        <w:spacing w:line="360" w:lineRule="auto"/>
        <w:ind w:left="480" w:hanging="480"/>
        <w:rPr>
          <w:rFonts w:hint="eastAsia" w:ascii="宋体" w:hAnsi="宋体" w:eastAsia="宋体" w:cs="宋体"/>
          <w:color w:val="auto"/>
          <w:sz w:val="24"/>
          <w:highlight w:val="none"/>
        </w:rPr>
      </w:pPr>
    </w:p>
    <w:p w14:paraId="46D33553">
      <w:pPr>
        <w:pStyle w:val="22"/>
        <w:snapToGrid w:val="0"/>
        <w:spacing w:line="360" w:lineRule="auto"/>
        <w:ind w:left="480" w:hanging="480"/>
        <w:rPr>
          <w:rFonts w:hint="eastAsia" w:ascii="宋体" w:hAnsi="宋体" w:eastAsia="宋体" w:cs="宋体"/>
          <w:color w:val="auto"/>
          <w:sz w:val="24"/>
          <w:highlight w:val="none"/>
        </w:rPr>
      </w:pPr>
    </w:p>
    <w:p w14:paraId="6A12329E">
      <w:pPr>
        <w:pStyle w:val="22"/>
        <w:snapToGrid w:val="0"/>
        <w:spacing w:line="360" w:lineRule="auto"/>
        <w:ind w:left="480" w:hanging="480"/>
        <w:rPr>
          <w:rFonts w:hint="eastAsia" w:ascii="宋体" w:hAnsi="宋体" w:eastAsia="宋体" w:cs="宋体"/>
          <w:color w:val="auto"/>
          <w:sz w:val="24"/>
          <w:highlight w:val="none"/>
        </w:rPr>
      </w:pPr>
    </w:p>
    <w:p w14:paraId="651C89A9">
      <w:pPr>
        <w:pStyle w:val="22"/>
        <w:snapToGrid w:val="0"/>
        <w:spacing w:line="360" w:lineRule="auto"/>
        <w:ind w:left="480" w:hanging="480"/>
        <w:rPr>
          <w:rFonts w:hint="eastAsia" w:ascii="宋体" w:hAnsi="宋体" w:eastAsia="宋体" w:cs="宋体"/>
          <w:color w:val="auto"/>
          <w:sz w:val="24"/>
          <w:highlight w:val="none"/>
        </w:rPr>
      </w:pPr>
    </w:p>
    <w:p w14:paraId="5A53D0D1">
      <w:pPr>
        <w:pStyle w:val="22"/>
        <w:snapToGrid w:val="0"/>
        <w:spacing w:line="360" w:lineRule="auto"/>
        <w:ind w:left="480" w:hanging="480"/>
        <w:rPr>
          <w:rFonts w:hint="eastAsia" w:ascii="宋体" w:hAnsi="宋体" w:eastAsia="宋体" w:cs="宋体"/>
          <w:color w:val="auto"/>
          <w:sz w:val="24"/>
          <w:highlight w:val="none"/>
        </w:rPr>
      </w:pPr>
    </w:p>
    <w:p w14:paraId="5052699D">
      <w:pPr>
        <w:pStyle w:val="22"/>
        <w:snapToGrid w:val="0"/>
        <w:spacing w:line="360" w:lineRule="auto"/>
        <w:ind w:left="480" w:hanging="480"/>
        <w:rPr>
          <w:rFonts w:hint="eastAsia" w:ascii="宋体" w:hAnsi="宋体" w:eastAsia="宋体" w:cs="宋体"/>
          <w:color w:val="auto"/>
          <w:sz w:val="24"/>
          <w:highlight w:val="none"/>
        </w:rPr>
      </w:pPr>
    </w:p>
    <w:p w14:paraId="77D5C3B7">
      <w:pPr>
        <w:pStyle w:val="22"/>
        <w:snapToGrid w:val="0"/>
        <w:spacing w:line="360" w:lineRule="auto"/>
        <w:ind w:left="480" w:hanging="480"/>
        <w:rPr>
          <w:rFonts w:hint="eastAsia" w:ascii="宋体" w:hAnsi="宋体" w:eastAsia="宋体" w:cs="宋体"/>
          <w:color w:val="auto"/>
          <w:sz w:val="24"/>
          <w:highlight w:val="none"/>
        </w:rPr>
      </w:pPr>
    </w:p>
    <w:p w14:paraId="644B5121">
      <w:pPr>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八</w:t>
      </w:r>
      <w:r>
        <w:rPr>
          <w:rFonts w:hint="eastAsia" w:ascii="宋体" w:hAnsi="宋体" w:eastAsia="宋体" w:cs="宋体"/>
          <w:b/>
          <w:color w:val="auto"/>
          <w:sz w:val="30"/>
          <w:szCs w:val="30"/>
          <w:highlight w:val="none"/>
          <w:lang w:eastAsia="zh-CN"/>
        </w:rPr>
        <w:t>、采购需求响应偏离表</w:t>
      </w:r>
    </w:p>
    <w:p w14:paraId="7225ED5C">
      <w:pPr>
        <w:jc w:val="center"/>
        <w:rPr>
          <w:rFonts w:hint="eastAsia" w:ascii="宋体" w:hAnsi="宋体" w:eastAsia="宋体" w:cs="宋体"/>
          <w:b/>
          <w:color w:val="auto"/>
          <w:sz w:val="30"/>
          <w:szCs w:val="30"/>
          <w:highlight w:val="none"/>
          <w:lang w:eastAsia="zh-CN"/>
        </w:rPr>
      </w:pPr>
    </w:p>
    <w:p w14:paraId="2479BB29">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44"/>
          <w:szCs w:val="44"/>
          <w:highlight w:val="none"/>
          <w:lang w:val="en-US" w:eastAsia="zh-CN"/>
        </w:rPr>
        <w:t>采购</w:t>
      </w:r>
      <w:r>
        <w:rPr>
          <w:rFonts w:hint="eastAsia" w:ascii="宋体" w:hAnsi="宋体" w:eastAsia="宋体" w:cs="宋体"/>
          <w:b/>
          <w:bCs w:val="0"/>
          <w:color w:val="auto"/>
          <w:sz w:val="44"/>
          <w:szCs w:val="44"/>
          <w:highlight w:val="none"/>
        </w:rPr>
        <w:t>需求</w:t>
      </w:r>
      <w:r>
        <w:rPr>
          <w:rFonts w:hint="eastAsia" w:ascii="宋体" w:hAnsi="宋体" w:eastAsia="宋体" w:cs="宋体"/>
          <w:b/>
          <w:bCs w:val="0"/>
          <w:color w:val="auto"/>
          <w:sz w:val="44"/>
          <w:szCs w:val="44"/>
          <w:highlight w:val="none"/>
          <w:lang w:val="en-US" w:eastAsia="zh-CN"/>
        </w:rPr>
        <w:t>响应</w:t>
      </w:r>
      <w:r>
        <w:rPr>
          <w:rFonts w:hint="eastAsia" w:ascii="宋体" w:hAnsi="宋体" w:eastAsia="宋体" w:cs="宋体"/>
          <w:b/>
          <w:bCs w:val="0"/>
          <w:color w:val="auto"/>
          <w:sz w:val="44"/>
          <w:szCs w:val="44"/>
          <w:highlight w:val="none"/>
        </w:rPr>
        <w:t>偏离表</w:t>
      </w:r>
    </w:p>
    <w:p w14:paraId="4A08C543">
      <w:pPr>
        <w:pageBreakBefore w:val="0"/>
        <w:widowControl w:val="0"/>
        <w:kinsoku/>
        <w:overflowPunct/>
        <w:topLinePunct w:val="0"/>
        <w:bidi w:val="0"/>
        <w:spacing w:after="0" w:line="360" w:lineRule="auto"/>
        <w:contextualSpacing/>
        <w:jc w:val="both"/>
        <w:rPr>
          <w:rFonts w:hint="eastAsia" w:ascii="宋体" w:hAnsi="宋体" w:eastAsia="宋体" w:cs="宋体"/>
          <w:color w:val="auto"/>
          <w:kern w:val="2"/>
          <w:sz w:val="24"/>
          <w:szCs w:val="16"/>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分标号（此处有分标时填写具体分标号，无分标时填写“无”）：</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4"/>
          <w:szCs w:val="16"/>
          <w:highlight w:val="none"/>
          <w:u w:val="single"/>
          <w:lang w:val="en-US" w:eastAsia="zh-CN" w:bidi="ar-SA"/>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79"/>
        <w:gridCol w:w="1113"/>
        <w:gridCol w:w="1692"/>
        <w:gridCol w:w="1318"/>
        <w:gridCol w:w="763"/>
        <w:gridCol w:w="1400"/>
        <w:gridCol w:w="1225"/>
      </w:tblGrid>
      <w:tr w14:paraId="5898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619738B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15330AA3">
            <w:pPr>
              <w:pageBreakBefore w:val="0"/>
              <w:kinsoku/>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3422B6E3">
            <w:pPr>
              <w:pageBreakBefore w:val="0"/>
              <w:kinsoku/>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1F8CE31B">
            <w:pPr>
              <w:pageBreakBefore w:val="0"/>
              <w:kinsoku/>
              <w:overflowPunct/>
              <w:topLinePunct w:val="0"/>
              <w:bidi w:val="0"/>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16A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11ADB601">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0D9A0A4">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7F0A244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ascii="宋体" w:hAnsi="宋体" w:eastAsia="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34D1B5F">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55B586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59EB33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ascii="宋体" w:hAnsi="宋体" w:eastAsia="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A1781E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5A9177EE">
            <w:pPr>
              <w:pageBreakBefore w:val="0"/>
              <w:widowControl/>
              <w:kinsoku/>
              <w:overflowPunct/>
              <w:topLinePunct w:val="0"/>
              <w:bidi w:val="0"/>
              <w:spacing w:line="240" w:lineRule="auto"/>
              <w:jc w:val="left"/>
              <w:rPr>
                <w:rFonts w:hint="eastAsia" w:ascii="宋体" w:hAnsi="宋体" w:eastAsia="宋体" w:cs="宋体"/>
                <w:color w:val="auto"/>
                <w:szCs w:val="21"/>
                <w:highlight w:val="none"/>
              </w:rPr>
            </w:pPr>
          </w:p>
        </w:tc>
      </w:tr>
      <w:tr w14:paraId="7708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4ACE302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30A3AD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0ED43A5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80E747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644E5C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CC065D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832E68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519421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5986EA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CFF85C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3DE41C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DDE62E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E1FF61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95D35E8">
            <w:pPr>
              <w:pageBreakBefore w:val="0"/>
              <w:kinsoku/>
              <w:overflowPunct/>
              <w:topLinePunct w:val="0"/>
              <w:bidi w:val="0"/>
              <w:spacing w:line="360" w:lineRule="auto"/>
              <w:rPr>
                <w:rFonts w:hint="eastAsia" w:ascii="宋体" w:hAnsi="宋体" w:eastAsia="宋体" w:cs="宋体"/>
                <w:color w:val="auto"/>
                <w:szCs w:val="21"/>
                <w:highlight w:val="none"/>
              </w:rPr>
            </w:pPr>
          </w:p>
        </w:tc>
      </w:tr>
      <w:tr w14:paraId="4CFA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367F1D0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315D53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7376F57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7262AE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0EBD00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3F9D7B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685872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2842FB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E3CF70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F9D3C4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E78FC3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E2874B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958182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162372A">
            <w:pPr>
              <w:pageBreakBefore w:val="0"/>
              <w:kinsoku/>
              <w:overflowPunct/>
              <w:topLinePunct w:val="0"/>
              <w:bidi w:val="0"/>
              <w:spacing w:line="360" w:lineRule="auto"/>
              <w:rPr>
                <w:rFonts w:hint="eastAsia" w:ascii="宋体" w:hAnsi="宋体" w:eastAsia="宋体" w:cs="宋体"/>
                <w:color w:val="auto"/>
                <w:szCs w:val="21"/>
                <w:highlight w:val="none"/>
              </w:rPr>
            </w:pPr>
          </w:p>
        </w:tc>
      </w:tr>
      <w:tr w14:paraId="6ED5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0EDE0DB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1E15FD08">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DB07BB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3EFD0EA">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8BE1F1A">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5A228E53">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7FB3097">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B31356C">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7E38AC29">
      <w:pPr>
        <w:pageBreakBefore w:val="0"/>
        <w:widowControl w:val="0"/>
        <w:kinsoku/>
        <w:overflowPunct/>
        <w:topLinePunct w:val="0"/>
        <w:bidi w:val="0"/>
        <w:spacing w:after="0" w:line="360" w:lineRule="auto"/>
        <w:contextualSpacing/>
        <w:jc w:val="both"/>
        <w:rPr>
          <w:rFonts w:hint="eastAsia" w:ascii="宋体" w:hAnsi="宋体" w:eastAsia="宋体" w:cs="宋体"/>
          <w:color w:val="auto"/>
          <w:kern w:val="0"/>
          <w:sz w:val="24"/>
          <w:szCs w:val="24"/>
          <w:highlight w:val="none"/>
          <w:lang w:val="en-US" w:eastAsia="zh-CN" w:bidi="ar-SA"/>
        </w:rPr>
      </w:pPr>
    </w:p>
    <w:p w14:paraId="2589F202">
      <w:pPr>
        <w:pageBreakBefore w:val="0"/>
        <w:widowControl w:val="0"/>
        <w:kinsoku/>
        <w:overflowPunct/>
        <w:topLinePunct w:val="0"/>
        <w:bidi w:val="0"/>
        <w:spacing w:after="0" w:line="360" w:lineRule="auto"/>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w:t>
      </w:r>
    </w:p>
    <w:p w14:paraId="23B93009">
      <w:pPr>
        <w:pageBreakBefore w:val="0"/>
        <w:widowControl w:val="0"/>
        <w:kinsoku/>
        <w:overflowPunct/>
        <w:topLinePunct w:val="0"/>
        <w:bidi w:val="0"/>
        <w:spacing w:after="0" w:line="360" w:lineRule="auto"/>
        <w:ind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1.说明：应对照磋商文件“第二章”中“采购需求”的工程概况及采购范围逐条作出明确响应，并作出偏离说明。</w:t>
      </w:r>
    </w:p>
    <w:p w14:paraId="0AA9B38D">
      <w:pPr>
        <w:pStyle w:val="13"/>
        <w:pageBreakBefore w:val="0"/>
        <w:kinsoku/>
        <w:overflowPunct/>
        <w:topLinePunct w:val="0"/>
        <w:bidi w:val="0"/>
        <w:spacing w:line="36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1D85FC8C">
      <w:pPr>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558DCBD">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p>
    <w:p w14:paraId="2E64C37D">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42AA9A9">
      <w:pPr>
        <w:pageBreakBefore w:val="0"/>
        <w:kinsoku/>
        <w:overflowPunct/>
        <w:topLinePunct w:val="0"/>
        <w:autoSpaceDE w:val="0"/>
        <w:autoSpaceDN w:val="0"/>
        <w:bidi w:val="0"/>
        <w:spacing w:line="360" w:lineRule="auto"/>
        <w:ind w:firstLine="7440" w:firstLineChars="3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FB4B69B">
      <w:pPr>
        <w:pStyle w:val="22"/>
        <w:snapToGrid w:val="0"/>
        <w:spacing w:line="360" w:lineRule="auto"/>
        <w:ind w:left="480" w:hanging="480"/>
        <w:rPr>
          <w:rFonts w:hint="eastAsia" w:ascii="宋体" w:hAnsi="宋体" w:eastAsia="宋体" w:cs="宋体"/>
          <w:color w:val="auto"/>
          <w:sz w:val="24"/>
          <w:highlight w:val="none"/>
        </w:rPr>
      </w:pPr>
    </w:p>
    <w:p w14:paraId="0671C68E">
      <w:pPr>
        <w:pStyle w:val="22"/>
        <w:snapToGrid w:val="0"/>
        <w:spacing w:line="360" w:lineRule="auto"/>
        <w:ind w:left="480" w:hanging="480"/>
        <w:rPr>
          <w:rFonts w:hint="eastAsia" w:ascii="宋体" w:hAnsi="宋体" w:eastAsia="宋体" w:cs="宋体"/>
          <w:color w:val="auto"/>
          <w:sz w:val="24"/>
          <w:highlight w:val="none"/>
        </w:rPr>
      </w:pPr>
    </w:p>
    <w:p w14:paraId="25F17C4C">
      <w:pPr>
        <w:pStyle w:val="22"/>
        <w:snapToGrid w:val="0"/>
        <w:spacing w:line="360" w:lineRule="auto"/>
        <w:ind w:left="480" w:hanging="480"/>
        <w:rPr>
          <w:rFonts w:hint="eastAsia" w:ascii="宋体" w:hAnsi="宋体" w:eastAsia="宋体" w:cs="宋体"/>
          <w:color w:val="auto"/>
          <w:sz w:val="24"/>
          <w:highlight w:val="none"/>
        </w:rPr>
      </w:pPr>
    </w:p>
    <w:p w14:paraId="2AD26B9E">
      <w:pPr>
        <w:pStyle w:val="22"/>
        <w:snapToGrid w:val="0"/>
        <w:spacing w:line="360" w:lineRule="auto"/>
        <w:ind w:left="480" w:hanging="480"/>
        <w:rPr>
          <w:rFonts w:hint="eastAsia" w:ascii="宋体" w:hAnsi="宋体" w:eastAsia="宋体" w:cs="宋体"/>
          <w:color w:val="auto"/>
          <w:sz w:val="24"/>
          <w:highlight w:val="none"/>
        </w:rPr>
      </w:pPr>
    </w:p>
    <w:p w14:paraId="002182E5">
      <w:pPr>
        <w:pStyle w:val="22"/>
        <w:snapToGrid w:val="0"/>
        <w:spacing w:line="360" w:lineRule="auto"/>
        <w:ind w:left="480" w:hanging="480"/>
        <w:rPr>
          <w:rFonts w:hint="eastAsia" w:ascii="宋体" w:hAnsi="宋体" w:eastAsia="宋体" w:cs="宋体"/>
          <w:color w:val="auto"/>
          <w:sz w:val="24"/>
          <w:highlight w:val="none"/>
        </w:rPr>
      </w:pPr>
    </w:p>
    <w:p w14:paraId="25B366FE">
      <w:pPr>
        <w:jc w:val="center"/>
        <w:rPr>
          <w:rFonts w:ascii="宋体" w:hAnsi="宋体"/>
          <w:b/>
          <w:color w:val="auto"/>
          <w:sz w:val="30"/>
          <w:szCs w:val="30"/>
          <w:highlight w:val="none"/>
        </w:rPr>
      </w:pP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rPr>
        <w:t>、项目经理简历表</w:t>
      </w:r>
    </w:p>
    <w:p w14:paraId="7A43A533">
      <w:pPr>
        <w:jc w:val="center"/>
        <w:rPr>
          <w:rFonts w:ascii="宋体" w:hAnsi="宋体"/>
          <w:color w:val="auto"/>
          <w:highlight w:val="none"/>
        </w:rPr>
      </w:pPr>
    </w:p>
    <w:tbl>
      <w:tblPr>
        <w:tblStyle w:val="24"/>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72ED3EE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A5DBAF">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4FF87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1BDF6E">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81026B">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8A9163">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82A953">
            <w:pPr>
              <w:jc w:val="center"/>
              <w:rPr>
                <w:rFonts w:ascii="宋体" w:hAnsi="宋体"/>
                <w:color w:val="auto"/>
                <w:szCs w:val="21"/>
                <w:highlight w:val="none"/>
              </w:rPr>
            </w:pPr>
          </w:p>
        </w:tc>
      </w:tr>
      <w:tr w14:paraId="5ABFDB1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8C10C7">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0FE1F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C622B0">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3020C9">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1AEDDC">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E0F75D">
            <w:pPr>
              <w:jc w:val="center"/>
              <w:rPr>
                <w:rFonts w:ascii="宋体" w:hAnsi="宋体"/>
                <w:color w:val="auto"/>
                <w:szCs w:val="21"/>
                <w:highlight w:val="none"/>
              </w:rPr>
            </w:pPr>
          </w:p>
        </w:tc>
      </w:tr>
      <w:tr w14:paraId="5DBC6485">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4BC0BC">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DAD6B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85193A">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C1941F">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60994A">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FB875C">
            <w:pPr>
              <w:jc w:val="center"/>
              <w:rPr>
                <w:rFonts w:ascii="宋体" w:hAnsi="宋体"/>
                <w:color w:val="auto"/>
                <w:szCs w:val="21"/>
                <w:highlight w:val="none"/>
              </w:rPr>
            </w:pPr>
          </w:p>
        </w:tc>
      </w:tr>
      <w:tr w14:paraId="142A7DF5">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0188DC">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BCAC64">
            <w:pPr>
              <w:jc w:val="center"/>
              <w:rPr>
                <w:rFonts w:ascii="宋体" w:hAnsi="宋体"/>
                <w:color w:val="auto"/>
                <w:szCs w:val="21"/>
                <w:highlight w:val="none"/>
              </w:rPr>
            </w:pPr>
          </w:p>
        </w:tc>
      </w:tr>
      <w:tr w14:paraId="616E33A6">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8B331D">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62E54D8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86DFB5">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43D60C">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2E04B1">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ABCA39">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57AD53">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7E237B1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633C9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280A9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06025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738428">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5C8B67">
            <w:pPr>
              <w:jc w:val="center"/>
              <w:rPr>
                <w:rFonts w:ascii="宋体" w:hAnsi="宋体"/>
                <w:color w:val="auto"/>
                <w:szCs w:val="21"/>
                <w:highlight w:val="none"/>
              </w:rPr>
            </w:pPr>
          </w:p>
        </w:tc>
      </w:tr>
      <w:tr w14:paraId="7DB9DEB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6ECF0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6802A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82626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BBB8E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6B75DB">
            <w:pPr>
              <w:jc w:val="center"/>
              <w:rPr>
                <w:rFonts w:ascii="宋体" w:hAnsi="宋体"/>
                <w:color w:val="auto"/>
                <w:szCs w:val="21"/>
                <w:highlight w:val="none"/>
              </w:rPr>
            </w:pPr>
          </w:p>
        </w:tc>
      </w:tr>
      <w:tr w14:paraId="7457CF9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BE25F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839FA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92577B">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0ADED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6BDBC5">
            <w:pPr>
              <w:jc w:val="center"/>
              <w:rPr>
                <w:rFonts w:ascii="宋体" w:hAnsi="宋体"/>
                <w:color w:val="auto"/>
                <w:szCs w:val="21"/>
                <w:highlight w:val="none"/>
              </w:rPr>
            </w:pPr>
          </w:p>
        </w:tc>
      </w:tr>
      <w:tr w14:paraId="2F2BCB0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B1E91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6E221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23FCD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8FD50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D6CDB9">
            <w:pPr>
              <w:jc w:val="center"/>
              <w:rPr>
                <w:rFonts w:ascii="宋体" w:hAnsi="宋体"/>
                <w:color w:val="auto"/>
                <w:szCs w:val="21"/>
                <w:highlight w:val="none"/>
              </w:rPr>
            </w:pPr>
          </w:p>
        </w:tc>
      </w:tr>
      <w:tr w14:paraId="2B6E959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E485A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66238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67523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D6D94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81E875">
            <w:pPr>
              <w:jc w:val="center"/>
              <w:rPr>
                <w:rFonts w:ascii="宋体" w:hAnsi="宋体"/>
                <w:color w:val="auto"/>
                <w:szCs w:val="21"/>
                <w:highlight w:val="none"/>
              </w:rPr>
            </w:pPr>
          </w:p>
        </w:tc>
      </w:tr>
      <w:tr w14:paraId="221F618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D8989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CAE89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B19FC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5E500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E6AD12">
            <w:pPr>
              <w:jc w:val="center"/>
              <w:rPr>
                <w:rFonts w:ascii="宋体" w:hAnsi="宋体"/>
                <w:color w:val="auto"/>
                <w:szCs w:val="21"/>
                <w:highlight w:val="none"/>
              </w:rPr>
            </w:pPr>
          </w:p>
        </w:tc>
      </w:tr>
      <w:tr w14:paraId="6559BA33">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67DAC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4C487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626F4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D821D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593908">
            <w:pPr>
              <w:jc w:val="center"/>
              <w:rPr>
                <w:rFonts w:ascii="宋体" w:hAnsi="宋体"/>
                <w:color w:val="auto"/>
                <w:szCs w:val="21"/>
                <w:highlight w:val="none"/>
              </w:rPr>
            </w:pPr>
          </w:p>
        </w:tc>
      </w:tr>
      <w:tr w14:paraId="172A1CA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FAE32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86821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6A13A2">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E5559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C3E8B0">
            <w:pPr>
              <w:jc w:val="center"/>
              <w:rPr>
                <w:rFonts w:ascii="宋体" w:hAnsi="宋体"/>
                <w:color w:val="auto"/>
                <w:szCs w:val="21"/>
                <w:highlight w:val="none"/>
              </w:rPr>
            </w:pPr>
          </w:p>
        </w:tc>
      </w:tr>
      <w:tr w14:paraId="7F44A15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D2BC9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B789E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6D266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0D83A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886533">
            <w:pPr>
              <w:jc w:val="center"/>
              <w:rPr>
                <w:rFonts w:ascii="宋体" w:hAnsi="宋体"/>
                <w:color w:val="auto"/>
                <w:szCs w:val="21"/>
                <w:highlight w:val="none"/>
              </w:rPr>
            </w:pPr>
          </w:p>
        </w:tc>
      </w:tr>
      <w:tr w14:paraId="7D008B8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5A8A1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41C63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F11A3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6C029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698627">
            <w:pPr>
              <w:jc w:val="center"/>
              <w:rPr>
                <w:rFonts w:ascii="宋体" w:hAnsi="宋体"/>
                <w:color w:val="auto"/>
                <w:szCs w:val="21"/>
                <w:highlight w:val="none"/>
              </w:rPr>
            </w:pPr>
          </w:p>
        </w:tc>
      </w:tr>
      <w:tr w14:paraId="3A1692CF">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86DAD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629D1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67745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CF64E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C65B30">
            <w:pPr>
              <w:jc w:val="center"/>
              <w:rPr>
                <w:rFonts w:ascii="宋体" w:hAnsi="宋体"/>
                <w:color w:val="auto"/>
                <w:szCs w:val="21"/>
                <w:highlight w:val="none"/>
              </w:rPr>
            </w:pPr>
          </w:p>
        </w:tc>
      </w:tr>
      <w:tr w14:paraId="7E41075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F7D25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C9EE6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2B4F2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03661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AF0786">
            <w:pPr>
              <w:jc w:val="center"/>
              <w:rPr>
                <w:rFonts w:ascii="宋体" w:hAnsi="宋体"/>
                <w:color w:val="auto"/>
                <w:szCs w:val="21"/>
                <w:highlight w:val="none"/>
              </w:rPr>
            </w:pPr>
          </w:p>
        </w:tc>
      </w:tr>
    </w:tbl>
    <w:p w14:paraId="1416565E">
      <w:pPr>
        <w:rPr>
          <w:rFonts w:ascii="宋体" w:hAnsi="宋体"/>
          <w:color w:val="auto"/>
          <w:szCs w:val="21"/>
          <w:highlight w:val="none"/>
        </w:rPr>
      </w:pPr>
    </w:p>
    <w:p w14:paraId="59E4E132">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w:t>
      </w:r>
    </w:p>
    <w:p w14:paraId="299128F3">
      <w:pPr>
        <w:rPr>
          <w:rFonts w:ascii="宋体" w:hAnsi="宋体"/>
          <w:b/>
          <w:color w:val="auto"/>
          <w:szCs w:val="21"/>
          <w:highlight w:val="none"/>
        </w:rPr>
      </w:pPr>
    </w:p>
    <w:p w14:paraId="5D2951D7">
      <w:pPr>
        <w:rPr>
          <w:rFonts w:ascii="宋体" w:hAnsi="宋体"/>
          <w:b/>
          <w:color w:val="auto"/>
          <w:szCs w:val="21"/>
          <w:highlight w:val="none"/>
        </w:rPr>
      </w:pPr>
    </w:p>
    <w:p w14:paraId="1BE05FE0">
      <w:pPr>
        <w:rPr>
          <w:rFonts w:ascii="宋体" w:hAnsi="宋体"/>
          <w:b/>
          <w:color w:val="auto"/>
          <w:szCs w:val="21"/>
          <w:highlight w:val="none"/>
        </w:rPr>
      </w:pPr>
    </w:p>
    <w:p w14:paraId="17DBAB21">
      <w:pPr>
        <w:rPr>
          <w:rFonts w:ascii="宋体" w:hAnsi="宋体"/>
          <w:b/>
          <w:color w:val="auto"/>
          <w:szCs w:val="21"/>
          <w:highlight w:val="none"/>
        </w:rPr>
      </w:pPr>
    </w:p>
    <w:p w14:paraId="7E5FB255">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25EF5F42">
      <w:pPr>
        <w:pStyle w:val="22"/>
        <w:snapToGrid w:val="0"/>
        <w:spacing w:line="360" w:lineRule="auto"/>
        <w:ind w:left="409" w:leftChars="195" w:firstLine="5460" w:firstLineChars="2600"/>
        <w:rPr>
          <w:rFonts w:hint="eastAsia" w:ascii="宋体" w:hAnsi="宋体" w:eastAsia="宋体" w:cs="宋体"/>
          <w:color w:val="auto"/>
          <w:sz w:val="24"/>
          <w:highlight w:val="none"/>
        </w:rPr>
      </w:pPr>
      <w:r>
        <w:rPr>
          <w:rFonts w:hint="eastAsia" w:ascii="宋体" w:hAnsi="宋体" w:cs="仿宋_GB2312"/>
          <w:color w:val="auto"/>
          <w:kern w:val="0"/>
          <w:szCs w:val="21"/>
          <w:highlight w:val="none"/>
          <w:lang w:val="zh-CN"/>
        </w:rPr>
        <w:t>日期：  年  月   日</w:t>
      </w:r>
    </w:p>
    <w:p w14:paraId="11E57CC3">
      <w:pPr>
        <w:pStyle w:val="22"/>
        <w:snapToGrid w:val="0"/>
        <w:spacing w:line="360" w:lineRule="auto"/>
        <w:ind w:left="480" w:hanging="480"/>
        <w:rPr>
          <w:rFonts w:hint="eastAsia" w:ascii="宋体" w:hAnsi="宋体" w:eastAsia="宋体" w:cs="宋体"/>
          <w:color w:val="auto"/>
          <w:sz w:val="24"/>
          <w:highlight w:val="none"/>
        </w:rPr>
      </w:pPr>
    </w:p>
    <w:p w14:paraId="0AC30FE5">
      <w:pPr>
        <w:pStyle w:val="22"/>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1367979">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11" w:name="_Toc2647"/>
      <w:r>
        <w:rPr>
          <w:rFonts w:hint="eastAsia" w:ascii="宋体" w:hAnsi="宋体" w:cs="宋体"/>
          <w:b/>
          <w:color w:val="auto"/>
          <w:sz w:val="28"/>
          <w:szCs w:val="28"/>
          <w:highlight w:val="none"/>
          <w:lang w:val="en-US" w:eastAsia="zh-CN"/>
        </w:rPr>
        <w:t>十</w:t>
      </w:r>
      <w:r>
        <w:rPr>
          <w:rFonts w:hint="eastAsia" w:ascii="宋体" w:hAnsi="宋体" w:cs="宋体"/>
          <w:b/>
          <w:color w:val="auto"/>
          <w:sz w:val="28"/>
          <w:szCs w:val="28"/>
          <w:highlight w:val="none"/>
        </w:rPr>
        <w:t>、项目管理机构配备情况表</w:t>
      </w:r>
      <w:bookmarkEnd w:id="111"/>
    </w:p>
    <w:p w14:paraId="3D3C381C">
      <w:pPr>
        <w:widowControl/>
        <w:rPr>
          <w:rFonts w:hint="eastAsia" w:ascii="宋体" w:hAnsi="宋体" w:cs="宋体"/>
          <w:color w:val="auto"/>
          <w:szCs w:val="21"/>
          <w:highlight w:val="none"/>
          <w:u w:val="single"/>
        </w:rPr>
      </w:pPr>
      <w:bookmarkStart w:id="112" w:name="_Toc251052185"/>
    </w:p>
    <w:p w14:paraId="07098FEF">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bookmarkEnd w:id="112"/>
      <w:r>
        <w:rPr>
          <w:rFonts w:hint="eastAsia" w:ascii="宋体" w:hAnsi="宋体" w:cs="宋体"/>
          <w:color w:val="auto"/>
          <w:szCs w:val="21"/>
          <w:highlight w:val="none"/>
          <w:u w:val="single"/>
          <w:lang w:eastAsia="zh-CN"/>
        </w:rPr>
        <w:t>：隆安县城厢镇宝塔村花杨屯三产安置项目土地平整</w:t>
      </w:r>
    </w:p>
    <w:p w14:paraId="4AE5F698">
      <w:pPr>
        <w:widowControl/>
        <w:ind w:firstLine="210" w:firstLineChars="100"/>
        <w:rPr>
          <w:rFonts w:hint="eastAsia" w:ascii="宋体" w:hAnsi="宋体" w:cs="宋体"/>
          <w:color w:val="auto"/>
          <w:szCs w:val="21"/>
          <w:highlight w:val="none"/>
          <w:u w:val="single"/>
          <w:lang w:val="en-US" w:eastAsia="zh-CN"/>
        </w:rPr>
      </w:pPr>
    </w:p>
    <w:p w14:paraId="0C7A3995">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项目编号：</w:t>
      </w:r>
      <w:r>
        <w:rPr>
          <w:rFonts w:hint="eastAsia" w:ascii="宋体" w:hAnsi="宋体" w:cs="宋体"/>
          <w:color w:val="auto"/>
          <w:szCs w:val="21"/>
          <w:highlight w:val="none"/>
          <w:u w:val="single"/>
          <w:lang w:val="en-US" w:eastAsia="zh-CN"/>
        </w:rPr>
        <w:fldChar w:fldCharType="begin"/>
      </w:r>
      <w:r>
        <w:rPr>
          <w:rFonts w:hint="eastAsia" w:ascii="宋体" w:hAnsi="宋体" w:cs="宋体"/>
          <w:color w:val="auto"/>
          <w:szCs w:val="21"/>
          <w:highlight w:val="none"/>
          <w:u w:val="single"/>
          <w:lang w:val="en-US" w:eastAsia="zh-CN"/>
        </w:rPr>
        <w:instrText xml:space="preserve"> HYPERLINK "https://www.gcy.zfcg.gxzf.gov.cn/gaea/api/project/flow/redirect?projectId=7220257144991383584&amp;newUrl=https://www.gcy.zfcg.gxzf.gov.cn/micro-app-back-index/blank?_flow_type_=agency&amp;_flow_projectId_=7220257144991383584&amp;_jump_page_type_=project_procurement_management_flow&amp;_app_=zcy.procurement&amp;oldUrl=https://www.gcy.zfcg.gxzf.gov.cn/project-center/_procurement_/project-result-detail/7220257144991383584&amp;utm=web-project-center-front.42c12ca3.0.0.ddb7a07070f611f0b7c601b53c35033f" \t "https://www.gcy.zfcg.gxzf.gov.cn/project-center/_procurement_/self-project/_blank" </w:instrText>
      </w:r>
      <w:r>
        <w:rPr>
          <w:rFonts w:hint="eastAsia" w:ascii="宋体" w:hAnsi="宋体" w:cs="宋体"/>
          <w:color w:val="auto"/>
          <w:szCs w:val="21"/>
          <w:highlight w:val="none"/>
          <w:u w:val="single"/>
          <w:lang w:val="en-US" w:eastAsia="zh-CN"/>
        </w:rPr>
        <w:fldChar w:fldCharType="separate"/>
      </w:r>
      <w:r>
        <w:rPr>
          <w:rFonts w:hint="eastAsia" w:ascii="宋体" w:hAnsi="宋体" w:cs="宋体"/>
          <w:color w:val="auto"/>
          <w:szCs w:val="21"/>
          <w:highlight w:val="none"/>
          <w:u w:val="single"/>
          <w:lang w:val="en-US" w:eastAsia="zh-CN"/>
        </w:rPr>
        <w:t>NNZC2025-C2-230075-XMZX</w:t>
      </w:r>
      <w:r>
        <w:rPr>
          <w:rFonts w:hint="eastAsia" w:ascii="宋体" w:hAnsi="宋体" w:cs="宋体"/>
          <w:color w:val="auto"/>
          <w:szCs w:val="21"/>
          <w:highlight w:val="none"/>
          <w:u w:val="single"/>
          <w:lang w:val="en-US" w:eastAsia="zh-CN"/>
        </w:rPr>
        <w:fldChar w:fldCharType="end"/>
      </w:r>
      <w:r>
        <w:rPr>
          <w:rFonts w:hint="eastAsia" w:ascii="宋体" w:hAnsi="宋体" w:cs="宋体"/>
          <w:color w:val="auto"/>
          <w:szCs w:val="21"/>
          <w:highlight w:val="none"/>
          <w:u w:val="single"/>
          <w:lang w:val="en-US" w:eastAsia="zh-CN"/>
        </w:rPr>
        <w:t xml:space="preserve">     </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21B4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2881718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2D884B37">
            <w:pPr>
              <w:ind w:left="223" w:hanging="222" w:hangingChars="106"/>
              <w:jc w:val="center"/>
              <w:rPr>
                <w:rFonts w:ascii="宋体" w:hAnsi="宋体"/>
                <w:color w:val="auto"/>
                <w:szCs w:val="21"/>
                <w:highlight w:val="none"/>
              </w:rPr>
            </w:pPr>
            <w:bookmarkStart w:id="113" w:name="_Toc251052187"/>
            <w:r>
              <w:rPr>
                <w:rFonts w:hint="eastAsia" w:ascii="宋体" w:hAnsi="宋体" w:cs="宋体"/>
                <w:color w:val="auto"/>
                <w:szCs w:val="21"/>
                <w:highlight w:val="none"/>
              </w:rPr>
              <w:t>姓名</w:t>
            </w:r>
            <w:bookmarkEnd w:id="113"/>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46DA1344">
            <w:pPr>
              <w:ind w:left="223" w:hanging="222" w:hangingChars="106"/>
              <w:jc w:val="center"/>
              <w:rPr>
                <w:rFonts w:ascii="宋体" w:hAnsi="宋体"/>
                <w:color w:val="auto"/>
                <w:szCs w:val="21"/>
                <w:highlight w:val="none"/>
              </w:rPr>
            </w:pPr>
            <w:bookmarkStart w:id="114" w:name="_Toc251052188"/>
            <w:r>
              <w:rPr>
                <w:rFonts w:hint="eastAsia" w:ascii="宋体" w:hAnsi="宋体" w:cs="宋体"/>
                <w:color w:val="auto"/>
                <w:szCs w:val="21"/>
                <w:highlight w:val="none"/>
              </w:rPr>
              <w:t>职称</w:t>
            </w:r>
            <w:bookmarkEnd w:id="114"/>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117FA136">
            <w:pPr>
              <w:ind w:left="223" w:hanging="222" w:hangingChars="106"/>
              <w:jc w:val="center"/>
              <w:rPr>
                <w:rFonts w:ascii="宋体" w:hAnsi="宋体"/>
                <w:color w:val="auto"/>
                <w:szCs w:val="21"/>
                <w:highlight w:val="none"/>
              </w:rPr>
            </w:pPr>
            <w:bookmarkStart w:id="115" w:name="_Toc251052189"/>
            <w:r>
              <w:rPr>
                <w:rFonts w:hint="eastAsia" w:ascii="宋体" w:hAnsi="宋体" w:cs="宋体"/>
                <w:color w:val="auto"/>
                <w:szCs w:val="21"/>
                <w:highlight w:val="none"/>
              </w:rPr>
              <w:t>执业或职业资格证明</w:t>
            </w:r>
            <w:bookmarkEnd w:id="115"/>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34E99E8">
            <w:pPr>
              <w:ind w:left="223" w:hanging="222" w:hangingChars="106"/>
              <w:jc w:val="center"/>
              <w:rPr>
                <w:rFonts w:ascii="宋体" w:hAnsi="宋体"/>
                <w:color w:val="auto"/>
                <w:szCs w:val="21"/>
                <w:highlight w:val="none"/>
              </w:rPr>
            </w:pPr>
            <w:bookmarkStart w:id="116" w:name="_Toc251052190"/>
            <w:r>
              <w:rPr>
                <w:rFonts w:hint="eastAsia" w:ascii="宋体" w:hAnsi="宋体" w:cs="宋体"/>
                <w:color w:val="auto"/>
                <w:szCs w:val="21"/>
                <w:highlight w:val="none"/>
              </w:rPr>
              <w:t>承担完工</w:t>
            </w:r>
            <w:bookmarkEnd w:id="116"/>
            <w:bookmarkStart w:id="117" w:name="_Toc251052191"/>
            <w:r>
              <w:rPr>
                <w:rFonts w:hint="eastAsia" w:ascii="宋体" w:hAnsi="宋体" w:cs="宋体"/>
                <w:color w:val="auto"/>
                <w:szCs w:val="21"/>
                <w:highlight w:val="none"/>
              </w:rPr>
              <w:t>工程情况</w:t>
            </w:r>
            <w:bookmarkEnd w:id="117"/>
          </w:p>
        </w:tc>
      </w:tr>
      <w:tr w14:paraId="56C8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6889DEA2">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6557F5D">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314D9016">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67B64E">
            <w:pPr>
              <w:ind w:left="223" w:hanging="222" w:hangingChars="106"/>
              <w:jc w:val="center"/>
              <w:rPr>
                <w:rFonts w:ascii="宋体" w:hAnsi="宋体"/>
                <w:color w:val="auto"/>
                <w:szCs w:val="21"/>
                <w:highlight w:val="none"/>
              </w:rPr>
            </w:pPr>
            <w:bookmarkStart w:id="118" w:name="_Toc251052192"/>
            <w:r>
              <w:rPr>
                <w:rFonts w:hint="eastAsia" w:ascii="宋体" w:hAnsi="宋体" w:cs="宋体"/>
                <w:color w:val="auto"/>
                <w:szCs w:val="21"/>
                <w:highlight w:val="none"/>
              </w:rPr>
              <w:t>证书名称</w:t>
            </w:r>
            <w:bookmarkEnd w:id="118"/>
          </w:p>
        </w:tc>
        <w:tc>
          <w:tcPr>
            <w:tcW w:w="1148" w:type="dxa"/>
            <w:tcBorders>
              <w:top w:val="single" w:color="auto" w:sz="4" w:space="0"/>
              <w:left w:val="single" w:color="auto" w:sz="4" w:space="0"/>
              <w:bottom w:val="single" w:color="auto" w:sz="4" w:space="0"/>
              <w:right w:val="single" w:color="auto" w:sz="4" w:space="0"/>
            </w:tcBorders>
            <w:noWrap w:val="0"/>
            <w:vAlign w:val="center"/>
          </w:tcPr>
          <w:p w14:paraId="3652766F">
            <w:pPr>
              <w:ind w:left="223" w:hanging="222" w:hangingChars="106"/>
              <w:jc w:val="center"/>
              <w:rPr>
                <w:rFonts w:ascii="宋体" w:hAnsi="宋体"/>
                <w:color w:val="auto"/>
                <w:szCs w:val="21"/>
                <w:highlight w:val="none"/>
              </w:rPr>
            </w:pPr>
            <w:bookmarkStart w:id="119" w:name="_Toc251052193"/>
            <w:r>
              <w:rPr>
                <w:rFonts w:hint="eastAsia" w:ascii="宋体" w:hAnsi="宋体" w:cs="宋体"/>
                <w:color w:val="auto"/>
                <w:szCs w:val="21"/>
                <w:highlight w:val="none"/>
              </w:rPr>
              <w:t>级别</w:t>
            </w:r>
            <w:bookmarkEnd w:id="119"/>
          </w:p>
        </w:tc>
        <w:tc>
          <w:tcPr>
            <w:tcW w:w="1148" w:type="dxa"/>
            <w:tcBorders>
              <w:top w:val="single" w:color="auto" w:sz="4" w:space="0"/>
              <w:left w:val="single" w:color="auto" w:sz="4" w:space="0"/>
              <w:bottom w:val="single" w:color="auto" w:sz="4" w:space="0"/>
              <w:right w:val="single" w:color="auto" w:sz="4" w:space="0"/>
            </w:tcBorders>
            <w:noWrap w:val="0"/>
            <w:vAlign w:val="center"/>
          </w:tcPr>
          <w:p w14:paraId="507691FA">
            <w:pPr>
              <w:ind w:left="223" w:hanging="222" w:hangingChars="106"/>
              <w:jc w:val="center"/>
              <w:rPr>
                <w:rFonts w:ascii="宋体" w:hAnsi="宋体"/>
                <w:color w:val="auto"/>
                <w:szCs w:val="21"/>
                <w:highlight w:val="none"/>
              </w:rPr>
            </w:pPr>
            <w:bookmarkStart w:id="120" w:name="_Toc251052194"/>
            <w:r>
              <w:rPr>
                <w:rFonts w:hint="eastAsia" w:ascii="宋体" w:hAnsi="宋体" w:cs="宋体"/>
                <w:color w:val="auto"/>
                <w:szCs w:val="21"/>
                <w:highlight w:val="none"/>
              </w:rPr>
              <w:t>证号</w:t>
            </w:r>
            <w:bookmarkEnd w:id="120"/>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541A66">
            <w:pPr>
              <w:ind w:left="223" w:hanging="222" w:hangingChars="106"/>
              <w:jc w:val="center"/>
              <w:rPr>
                <w:rFonts w:ascii="宋体" w:hAnsi="宋体"/>
                <w:color w:val="auto"/>
                <w:szCs w:val="21"/>
                <w:highlight w:val="none"/>
              </w:rPr>
            </w:pPr>
            <w:bookmarkStart w:id="121" w:name="_Toc251052195"/>
            <w:r>
              <w:rPr>
                <w:rFonts w:hint="eastAsia" w:ascii="宋体" w:hAnsi="宋体" w:cs="宋体"/>
                <w:color w:val="auto"/>
                <w:szCs w:val="21"/>
                <w:highlight w:val="none"/>
              </w:rPr>
              <w:t>专业</w:t>
            </w:r>
            <w:bookmarkEnd w:id="121"/>
          </w:p>
        </w:tc>
        <w:tc>
          <w:tcPr>
            <w:tcW w:w="850" w:type="dxa"/>
            <w:tcBorders>
              <w:top w:val="single" w:color="auto" w:sz="4" w:space="0"/>
              <w:left w:val="single" w:color="auto" w:sz="4" w:space="0"/>
              <w:bottom w:val="single" w:color="auto" w:sz="4" w:space="0"/>
              <w:right w:val="single" w:color="auto" w:sz="4" w:space="0"/>
            </w:tcBorders>
            <w:noWrap w:val="0"/>
            <w:vAlign w:val="center"/>
          </w:tcPr>
          <w:p w14:paraId="30851A4D">
            <w:pPr>
              <w:ind w:left="223" w:hanging="222" w:hangingChars="106"/>
              <w:jc w:val="center"/>
              <w:rPr>
                <w:rFonts w:ascii="宋体" w:hAnsi="宋体"/>
                <w:color w:val="auto"/>
                <w:szCs w:val="21"/>
                <w:highlight w:val="none"/>
              </w:rPr>
            </w:pPr>
            <w:bookmarkStart w:id="122" w:name="_Toc251052197"/>
            <w:r>
              <w:rPr>
                <w:rFonts w:hint="eastAsia" w:ascii="宋体" w:hAnsi="宋体" w:cs="宋体"/>
                <w:color w:val="auto"/>
                <w:szCs w:val="21"/>
                <w:highlight w:val="none"/>
              </w:rPr>
              <w:t>项目数</w:t>
            </w:r>
            <w:bookmarkEnd w:id="122"/>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9E1423">
            <w:pPr>
              <w:ind w:left="223" w:hanging="222" w:hangingChars="106"/>
              <w:jc w:val="center"/>
              <w:rPr>
                <w:rFonts w:ascii="宋体" w:hAnsi="宋体"/>
                <w:color w:val="auto"/>
                <w:szCs w:val="21"/>
                <w:highlight w:val="none"/>
              </w:rPr>
            </w:pPr>
            <w:bookmarkStart w:id="123" w:name="_Toc251052198"/>
            <w:r>
              <w:rPr>
                <w:rFonts w:hint="eastAsia" w:ascii="宋体" w:hAnsi="宋体" w:cs="宋体"/>
                <w:color w:val="auto"/>
                <w:szCs w:val="21"/>
                <w:highlight w:val="none"/>
              </w:rPr>
              <w:t>主要项目</w:t>
            </w:r>
          </w:p>
          <w:p w14:paraId="70465632">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3"/>
          </w:p>
        </w:tc>
      </w:tr>
      <w:tr w14:paraId="7796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B732F0B">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40B54668">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49D76B0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C92565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F2762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14C84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B21AE33">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77929CA">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6AAE719">
            <w:pPr>
              <w:ind w:left="223" w:hanging="222" w:hangingChars="106"/>
              <w:jc w:val="center"/>
              <w:rPr>
                <w:rFonts w:ascii="宋体" w:hAnsi="宋体"/>
                <w:color w:val="auto"/>
                <w:szCs w:val="21"/>
                <w:highlight w:val="none"/>
              </w:rPr>
            </w:pPr>
          </w:p>
        </w:tc>
      </w:tr>
      <w:tr w14:paraId="56DC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0B76FC56">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6997D3AB">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1A2DC6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11936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9444F3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7A4D1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D4B574">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8CA6324">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DEA589">
            <w:pPr>
              <w:ind w:left="223" w:hanging="222" w:hangingChars="106"/>
              <w:jc w:val="center"/>
              <w:rPr>
                <w:rFonts w:ascii="宋体" w:hAnsi="宋体"/>
                <w:color w:val="auto"/>
                <w:szCs w:val="21"/>
                <w:highlight w:val="none"/>
              </w:rPr>
            </w:pPr>
          </w:p>
        </w:tc>
      </w:tr>
      <w:tr w14:paraId="5E34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2CA0704">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045F926C">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4FE8C0E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CD12B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948B34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83112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4B8A2E">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5C26F42">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84388E">
            <w:pPr>
              <w:ind w:left="223" w:hanging="222" w:hangingChars="106"/>
              <w:jc w:val="center"/>
              <w:rPr>
                <w:rFonts w:ascii="宋体" w:hAnsi="宋体"/>
                <w:color w:val="auto"/>
                <w:szCs w:val="21"/>
                <w:highlight w:val="none"/>
              </w:rPr>
            </w:pPr>
          </w:p>
        </w:tc>
      </w:tr>
      <w:tr w14:paraId="5214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5FFD4A06">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116F6C91">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064D35F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6117F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DB988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D2B0F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8047FF">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F393A0F">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AA2A03">
            <w:pPr>
              <w:ind w:left="223" w:hanging="222" w:hangingChars="106"/>
              <w:jc w:val="center"/>
              <w:rPr>
                <w:rFonts w:ascii="宋体" w:hAnsi="宋体"/>
                <w:color w:val="auto"/>
                <w:szCs w:val="21"/>
                <w:highlight w:val="none"/>
              </w:rPr>
            </w:pPr>
          </w:p>
        </w:tc>
      </w:tr>
    </w:tbl>
    <w:p w14:paraId="12CB9E4B">
      <w:pPr>
        <w:jc w:val="center"/>
        <w:rPr>
          <w:rFonts w:ascii="宋体" w:hAnsi="宋体"/>
          <w:b/>
          <w:color w:val="auto"/>
          <w:szCs w:val="21"/>
          <w:highlight w:val="none"/>
        </w:rPr>
      </w:pPr>
    </w:p>
    <w:p w14:paraId="468AE63D">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w:t>
      </w:r>
      <w:r>
        <w:rPr>
          <w:rFonts w:hint="eastAsia" w:ascii="宋体" w:hAnsi="宋体" w:cs="楷体_GB2312"/>
          <w:color w:val="auto"/>
          <w:szCs w:val="21"/>
          <w:highlight w:val="none"/>
          <w:lang w:val="en-US" w:eastAsia="zh-CN"/>
        </w:rPr>
        <w:t>及相关社保缴纳证明</w:t>
      </w:r>
      <w:r>
        <w:rPr>
          <w:rFonts w:hint="eastAsia" w:ascii="宋体" w:hAnsi="宋体" w:cs="楷体_GB2312"/>
          <w:color w:val="auto"/>
          <w:szCs w:val="21"/>
          <w:highlight w:val="none"/>
        </w:rPr>
        <w:t>。以上扫描件均为原件的扫描件】</w:t>
      </w:r>
    </w:p>
    <w:p w14:paraId="1C2114BC">
      <w:pPr>
        <w:spacing w:line="440" w:lineRule="exact"/>
        <w:jc w:val="center"/>
        <w:rPr>
          <w:rFonts w:ascii="宋体" w:hAnsi="宋体"/>
          <w:b/>
          <w:color w:val="auto"/>
          <w:szCs w:val="21"/>
          <w:highlight w:val="none"/>
        </w:rPr>
      </w:pPr>
    </w:p>
    <w:p w14:paraId="06BAFFDC">
      <w:pPr>
        <w:autoSpaceDE w:val="0"/>
        <w:autoSpaceDN w:val="0"/>
        <w:spacing w:line="360" w:lineRule="auto"/>
        <w:ind w:left="4305" w:leftChars="1950" w:hanging="210" w:hangingChars="100"/>
        <w:rPr>
          <w:rFonts w:ascii="宋体" w:hAnsi="宋体" w:cs="仿宋_GB2312"/>
          <w:color w:val="auto"/>
          <w:kern w:val="0"/>
          <w:szCs w:val="21"/>
          <w:highlight w:val="none"/>
        </w:rPr>
      </w:pPr>
      <w:r>
        <w:rPr>
          <w:rFonts w:hint="eastAsia" w:ascii="宋体" w:hAnsi="宋体" w:cs="仿宋_GB2312"/>
          <w:color w:val="auto"/>
          <w:kern w:val="0"/>
          <w:szCs w:val="21"/>
          <w:highlight w:val="none"/>
        </w:rPr>
        <w:t>供应商名称（电子签章）：</w:t>
      </w:r>
    </w:p>
    <w:p w14:paraId="487FADF6">
      <w:pPr>
        <w:pStyle w:val="11"/>
        <w:snapToGrid w:val="0"/>
        <w:spacing w:line="360" w:lineRule="auto"/>
        <w:ind w:left="480" w:firstLine="6090" w:firstLineChars="2900"/>
        <w:rPr>
          <w:rFonts w:hint="eastAsia" w:ascii="宋体" w:hAnsi="宋体" w:eastAsia="宋体" w:cs="宋体"/>
          <w:b/>
          <w:color w:val="auto"/>
          <w:sz w:val="30"/>
          <w:szCs w:val="30"/>
          <w:highlight w:val="none"/>
          <w:lang w:val="en-US"/>
        </w:rPr>
      </w:pPr>
      <w:r>
        <w:rPr>
          <w:rFonts w:hint="eastAsia" w:ascii="宋体" w:hAnsi="宋体" w:cs="仿宋_GB2312"/>
          <w:color w:val="auto"/>
          <w:kern w:val="0"/>
          <w:szCs w:val="21"/>
          <w:highlight w:val="none"/>
          <w:lang w:val="zh-CN"/>
        </w:rPr>
        <w:t>日期：  年  月   日</w:t>
      </w:r>
    </w:p>
    <w:p w14:paraId="0C1B11C4">
      <w:pPr>
        <w:snapToGrid w:val="0"/>
        <w:spacing w:line="360" w:lineRule="auto"/>
        <w:ind w:left="480" w:hanging="480"/>
        <w:rPr>
          <w:rFonts w:hint="eastAsia"/>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ED7639D">
      <w:pPr>
        <w:numPr>
          <w:ilvl w:val="0"/>
          <w:numId w:val="0"/>
        </w:numPr>
        <w:snapToGrid w:val="0"/>
        <w:spacing w:line="360" w:lineRule="auto"/>
        <w:ind w:left="48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kern w:val="2"/>
          <w:sz w:val="28"/>
          <w:szCs w:val="28"/>
          <w:lang w:val="en-US" w:eastAsia="zh-CN" w:bidi="ar-SA"/>
        </w:rPr>
        <w:t>十</w:t>
      </w:r>
      <w:r>
        <w:rPr>
          <w:rFonts w:hint="eastAsia" w:ascii="宋体" w:hAnsi="宋体" w:cs="宋体"/>
          <w:b/>
          <w:color w:val="auto"/>
          <w:kern w:val="2"/>
          <w:sz w:val="28"/>
          <w:szCs w:val="28"/>
          <w:lang w:val="en-US" w:eastAsia="zh-CN" w:bidi="ar-SA"/>
        </w:rPr>
        <w:t>一</w:t>
      </w:r>
      <w:r>
        <w:rPr>
          <w:rFonts w:hint="eastAsia" w:ascii="宋体" w:hAnsi="宋体" w:eastAsia="宋体" w:cs="宋体"/>
          <w:b/>
          <w:color w:val="auto"/>
          <w:kern w:val="2"/>
          <w:sz w:val="28"/>
          <w:szCs w:val="28"/>
          <w:lang w:val="en-US" w:eastAsia="zh-CN" w:bidi="ar-SA"/>
        </w:rPr>
        <w:t>、</w:t>
      </w:r>
      <w:r>
        <w:rPr>
          <w:rFonts w:hint="eastAsia" w:ascii="宋体" w:hAnsi="宋体" w:cs="宋体"/>
          <w:b/>
          <w:color w:val="auto"/>
          <w:sz w:val="28"/>
          <w:szCs w:val="28"/>
          <w:highlight w:val="none"/>
          <w:lang w:val="en-US" w:eastAsia="zh-CN"/>
        </w:rPr>
        <w:t>施工组织设计</w:t>
      </w:r>
    </w:p>
    <w:p w14:paraId="0FE4B60C">
      <w:pPr>
        <w:numPr>
          <w:ilvl w:val="0"/>
          <w:numId w:val="0"/>
        </w:numPr>
        <w:outlineLvl w:val="9"/>
        <w:rPr>
          <w:rFonts w:hint="eastAsia"/>
          <w:color w:val="auto"/>
          <w:highlight w:val="none"/>
          <w:lang w:val="en-US" w:eastAsia="zh-CN"/>
        </w:rPr>
      </w:pPr>
    </w:p>
    <w:p w14:paraId="6EC99B7D">
      <w:pPr>
        <w:outlineLvl w:val="9"/>
        <w:rPr>
          <w:rFonts w:hint="eastAsia"/>
          <w:color w:val="auto"/>
          <w:highlight w:val="none"/>
          <w:lang w:val="en-US" w:eastAsia="zh-CN"/>
        </w:rPr>
      </w:pPr>
    </w:p>
    <w:p w14:paraId="7E1D322D">
      <w:pPr>
        <w:outlineLvl w:val="9"/>
        <w:rPr>
          <w:rFonts w:hint="eastAsia"/>
          <w:color w:val="auto"/>
          <w:highlight w:val="none"/>
          <w:lang w:val="en-US" w:eastAsia="zh-CN"/>
        </w:rPr>
      </w:pPr>
    </w:p>
    <w:p w14:paraId="564670D9">
      <w:pPr>
        <w:numPr>
          <w:ilvl w:val="0"/>
          <w:numId w:val="0"/>
        </w:numPr>
        <w:ind w:firstLine="630" w:firstLineChars="300"/>
        <w:outlineLvl w:val="9"/>
        <w:rPr>
          <w:rFonts w:hint="eastAsia"/>
          <w:color w:val="auto"/>
          <w:highlight w:val="none"/>
          <w:lang w:val="en-US" w:eastAsia="zh-CN"/>
        </w:rPr>
      </w:pPr>
      <w:r>
        <w:rPr>
          <w:rFonts w:hint="eastAsia" w:hAnsi="宋体"/>
        </w:rPr>
        <w:t>由供应商</w:t>
      </w:r>
      <w:r>
        <w:rPr>
          <w:rFonts w:hint="eastAsia" w:hAnsi="宋体"/>
          <w:lang w:eastAsia="zh-CN"/>
        </w:rPr>
        <w:t>根据</w:t>
      </w:r>
      <w:r>
        <w:rPr>
          <w:rFonts w:hint="eastAsia" w:hAnsi="宋体"/>
        </w:rPr>
        <w:t>本项目“采购需求”</w:t>
      </w:r>
      <w:r>
        <w:rPr>
          <w:rFonts w:hint="eastAsia" w:hAnsi="宋体"/>
          <w:lang w:eastAsia="zh-CN"/>
        </w:rPr>
        <w:t>及评审内容</w:t>
      </w:r>
      <w:r>
        <w:rPr>
          <w:rFonts w:hint="eastAsia" w:hAnsi="宋体"/>
        </w:rPr>
        <w:t>自行</w:t>
      </w:r>
      <w:r>
        <w:rPr>
          <w:rFonts w:hint="eastAsia" w:hAnsi="宋体"/>
          <w:lang w:eastAsia="zh-CN"/>
        </w:rPr>
        <w:t>编</w:t>
      </w:r>
      <w:r>
        <w:rPr>
          <w:rFonts w:hint="eastAsia" w:hAnsi="宋体"/>
        </w:rPr>
        <w:t>写。</w:t>
      </w:r>
    </w:p>
    <w:p w14:paraId="4519FD2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DF22F0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1E57D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1B1A53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1C62A8">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F355878">
      <w:pPr>
        <w:rPr>
          <w:rFonts w:hint="eastAsia" w:ascii="宋体" w:hAnsi="宋体" w:eastAsia="宋体" w:cs="宋体"/>
          <w:color w:val="auto"/>
          <w:kern w:val="0"/>
          <w:sz w:val="24"/>
          <w:highlight w:val="none"/>
          <w:lang w:val="zh-CN"/>
        </w:rPr>
      </w:pPr>
    </w:p>
    <w:p w14:paraId="518F53C4">
      <w:pPr>
        <w:snapToGrid w:val="0"/>
        <w:spacing w:line="360" w:lineRule="auto"/>
        <w:ind w:firstLine="0" w:firstLineChars="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、供应商认为需要提供的其他有关资料</w:t>
      </w:r>
      <w:r>
        <w:rPr>
          <w:rFonts w:hint="eastAsia" w:ascii="宋体" w:hAnsi="宋体" w:eastAsia="宋体" w:cs="宋体"/>
          <w:b/>
          <w:color w:val="auto"/>
          <w:sz w:val="30"/>
          <w:szCs w:val="30"/>
          <w:highlight w:val="none"/>
          <w:lang w:eastAsia="zh-CN"/>
        </w:rPr>
        <w:t>。</w:t>
      </w:r>
    </w:p>
    <w:p w14:paraId="136FEF8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AEBA4E">
      <w:pPr>
        <w:pStyle w:val="11"/>
        <w:spacing w:line="360" w:lineRule="auto"/>
        <w:rPr>
          <w:rFonts w:hint="eastAsia" w:ascii="宋体" w:hAnsi="宋体" w:eastAsia="宋体" w:cs="宋体"/>
          <w:color w:val="auto"/>
          <w:highlight w:val="none"/>
        </w:rPr>
      </w:pPr>
    </w:p>
    <w:p w14:paraId="0A66E37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A9EAAAC">
      <w:pPr>
        <w:pStyle w:val="1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4AE7DCD8">
      <w:pPr>
        <w:pStyle w:val="16"/>
        <w:rPr>
          <w:rFonts w:hint="eastAsia" w:ascii="宋体" w:hAnsi="宋体" w:eastAsia="宋体" w:cs="宋体"/>
          <w:color w:val="auto"/>
          <w:kern w:val="0"/>
          <w:sz w:val="24"/>
          <w:highlight w:val="none"/>
          <w:lang w:val="zh-CN"/>
        </w:rPr>
      </w:pPr>
    </w:p>
    <w:p w14:paraId="5263860B">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6A42EDA">
      <w:pPr>
        <w:autoSpaceDE w:val="0"/>
        <w:autoSpaceDN w:val="0"/>
        <w:spacing w:line="360" w:lineRule="auto"/>
        <w:ind w:firstLine="6505" w:firstLineChars="2700"/>
        <w:rPr>
          <w:rFonts w:hint="eastAsia" w:ascii="宋体" w:hAnsi="宋体" w:eastAsia="宋体" w:cs="宋体"/>
          <w:b/>
          <w:bCs/>
          <w:color w:val="auto"/>
          <w:sz w:val="24"/>
          <w:highlight w:val="none"/>
        </w:rPr>
      </w:pPr>
    </w:p>
    <w:p w14:paraId="2FFA13D2">
      <w:pPr>
        <w:pStyle w:val="3"/>
        <w:spacing w:line="360" w:lineRule="auto"/>
        <w:jc w:val="center"/>
        <w:rPr>
          <w:rFonts w:hint="eastAsia" w:ascii="宋体" w:hAnsi="宋体" w:eastAsia="宋体" w:cs="宋体"/>
          <w:color w:val="auto"/>
          <w:highlight w:val="none"/>
          <w:lang w:val="en-US" w:eastAsia="zh-CN"/>
        </w:rPr>
      </w:pPr>
      <w:bookmarkStart w:id="124" w:name="_Toc9136"/>
      <w:bookmarkStart w:id="125" w:name="_Toc7838"/>
      <w:bookmarkStart w:id="126" w:name="_Toc14497"/>
      <w:bookmarkStart w:id="127" w:name="_Toc80205941"/>
      <w:r>
        <w:rPr>
          <w:rFonts w:hint="eastAsia" w:ascii="宋体" w:hAnsi="宋体" w:eastAsia="宋体" w:cs="宋体"/>
          <w:color w:val="auto"/>
          <w:highlight w:val="none"/>
          <w:lang w:val="en-US" w:eastAsia="zh-CN"/>
        </w:rPr>
        <w:t>第四节 报价文件格式</w:t>
      </w:r>
      <w:bookmarkEnd w:id="124"/>
      <w:bookmarkEnd w:id="125"/>
      <w:bookmarkEnd w:id="126"/>
      <w:bookmarkEnd w:id="127"/>
    </w:p>
    <w:p w14:paraId="2D5E3257">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20FB926">
      <w:pPr>
        <w:snapToGrid w:val="0"/>
        <w:spacing w:before="120" w:beforeLines="50" w:after="50" w:line="360" w:lineRule="auto"/>
        <w:rPr>
          <w:rFonts w:hint="eastAsia" w:ascii="宋体" w:hAnsi="宋体" w:eastAsia="宋体" w:cs="宋体"/>
          <w:color w:val="auto"/>
          <w:sz w:val="24"/>
          <w:szCs w:val="20"/>
          <w:highlight w:val="none"/>
        </w:rPr>
      </w:pPr>
    </w:p>
    <w:p w14:paraId="7ECBD1CB">
      <w:pPr>
        <w:snapToGrid w:val="0"/>
        <w:spacing w:before="120" w:beforeLines="50" w:after="50" w:line="360" w:lineRule="auto"/>
        <w:rPr>
          <w:rFonts w:hint="eastAsia" w:ascii="宋体" w:hAnsi="宋体" w:eastAsia="宋体" w:cs="宋体"/>
          <w:color w:val="auto"/>
          <w:sz w:val="24"/>
          <w:szCs w:val="20"/>
          <w:highlight w:val="none"/>
        </w:rPr>
      </w:pPr>
    </w:p>
    <w:p w14:paraId="21E4CD76">
      <w:pPr>
        <w:snapToGrid w:val="0"/>
        <w:spacing w:before="120" w:beforeLines="50" w:after="50" w:line="360" w:lineRule="auto"/>
        <w:rPr>
          <w:rFonts w:hint="eastAsia" w:ascii="宋体" w:hAnsi="宋体" w:eastAsia="宋体" w:cs="宋体"/>
          <w:color w:val="auto"/>
          <w:sz w:val="24"/>
          <w:szCs w:val="20"/>
          <w:highlight w:val="none"/>
        </w:rPr>
      </w:pPr>
    </w:p>
    <w:p w14:paraId="64E8A037">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2E4A77C1">
      <w:pPr>
        <w:snapToGrid w:val="0"/>
        <w:spacing w:before="120" w:beforeLines="50" w:after="50" w:line="360" w:lineRule="auto"/>
        <w:rPr>
          <w:rFonts w:hint="eastAsia" w:ascii="宋体" w:hAnsi="宋体" w:eastAsia="宋体" w:cs="宋体"/>
          <w:bCs/>
          <w:color w:val="auto"/>
          <w:sz w:val="24"/>
          <w:szCs w:val="20"/>
          <w:highlight w:val="none"/>
        </w:rPr>
      </w:pPr>
    </w:p>
    <w:p w14:paraId="3F916F07">
      <w:pPr>
        <w:snapToGrid w:val="0"/>
        <w:spacing w:before="120" w:beforeLines="50" w:after="50" w:line="360" w:lineRule="auto"/>
        <w:rPr>
          <w:rFonts w:hint="eastAsia" w:ascii="宋体" w:hAnsi="宋体" w:eastAsia="宋体" w:cs="宋体"/>
          <w:bCs/>
          <w:color w:val="auto"/>
          <w:sz w:val="24"/>
          <w:szCs w:val="20"/>
          <w:highlight w:val="none"/>
        </w:rPr>
      </w:pPr>
    </w:p>
    <w:p w14:paraId="4CFF6467">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隆安县城厢镇宝塔村花杨屯三产安置项目土地平整</w:t>
      </w:r>
    </w:p>
    <w:p w14:paraId="1D14B46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6CECEB14">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项目编号：NNZC2025-C2-230075-XMZX</w:t>
      </w:r>
      <w:r>
        <w:rPr>
          <w:rFonts w:hint="eastAsia" w:ascii="宋体" w:hAnsi="宋体" w:cs="宋体"/>
          <w:bCs/>
          <w:color w:val="auto"/>
          <w:sz w:val="32"/>
          <w:szCs w:val="32"/>
          <w:highlight w:val="none"/>
          <w:lang w:eastAsia="zh-CN"/>
        </w:rPr>
        <w:t xml:space="preserve">     </w:t>
      </w:r>
    </w:p>
    <w:p w14:paraId="16E0BC48">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C97DAFE">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AB3861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8149424">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A03978E">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7886ED02">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0F657B4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E418AF5">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1FDD8756">
      <w:pPr>
        <w:spacing w:line="360" w:lineRule="auto"/>
        <w:rPr>
          <w:rFonts w:hint="eastAsia" w:ascii="宋体" w:hAnsi="宋体" w:eastAsia="宋体" w:cs="宋体"/>
          <w:color w:val="auto"/>
          <w:highlight w:val="none"/>
        </w:rPr>
      </w:pPr>
    </w:p>
    <w:p w14:paraId="48068EA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6900E2D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12D033E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已标价工程量清单</w:t>
      </w:r>
      <w:r>
        <w:rPr>
          <w:rFonts w:hint="eastAsia" w:ascii="宋体" w:hAnsi="宋体" w:eastAsia="宋体" w:cs="宋体"/>
          <w:color w:val="auto"/>
          <w:kern w:val="0"/>
          <w:sz w:val="24"/>
          <w:highlight w:val="none"/>
        </w:rPr>
        <w:t>…………………………………………（页码）</w:t>
      </w:r>
    </w:p>
    <w:p w14:paraId="1B04FAB6">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、供应商认为需要提供的其他有关资料……………………（页码）</w:t>
      </w:r>
    </w:p>
    <w:p w14:paraId="4577841A">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B75AD70">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490DF028">
      <w:pPr>
        <w:pStyle w:val="15"/>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BC5ADE4">
      <w:pPr>
        <w:pStyle w:val="15"/>
        <w:spacing w:line="360" w:lineRule="auto"/>
        <w:rPr>
          <w:rFonts w:hint="eastAsia" w:ascii="宋体" w:hAnsi="宋体" w:eastAsia="宋体" w:cs="宋体"/>
          <w:color w:val="auto"/>
          <w:sz w:val="32"/>
          <w:highlight w:val="none"/>
        </w:rPr>
      </w:pPr>
    </w:p>
    <w:p w14:paraId="36E90217">
      <w:pPr>
        <w:pStyle w:val="1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21090C63">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隆安县城厢镇宝塔村花杨屯三产安置项目土地平整</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NNZC2025-C2-230075-XMZX</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3E2AC5AA">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441B1853">
      <w:pPr>
        <w:pStyle w:val="1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17F64E94">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292992E5">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hAnsi="宋体" w:cs="宋体"/>
          <w:color w:val="auto"/>
          <w:sz w:val="21"/>
          <w:szCs w:val="21"/>
          <w:highlight w:val="none"/>
          <w:u w:val="single"/>
          <w:lang w:eastAsia="zh-CN"/>
        </w:rPr>
        <w:t>隆安县城厢镇宝塔村花杨屯三产安置项目土地平整</w:t>
      </w:r>
      <w:r>
        <w:rPr>
          <w:rFonts w:hint="eastAsia" w:ascii="宋体" w:hAnsi="宋体" w:eastAsia="宋体" w:cs="宋体"/>
          <w:color w:val="auto"/>
          <w:sz w:val="21"/>
          <w:szCs w:val="21"/>
          <w:highlight w:val="none"/>
          <w:u w:val="single"/>
        </w:rPr>
        <w:t>）</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竞标总</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5D77D7E2">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2、一旦我方成交，我方保证</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工程质量达到</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none"/>
          <w:lang w:val="en-US" w:eastAsia="zh-CN"/>
        </w:rPr>
        <w:t>要求</w:t>
      </w:r>
      <w:r>
        <w:rPr>
          <w:rFonts w:hint="eastAsia" w:ascii="宋体" w:hAnsi="宋体" w:eastAsia="宋体" w:cs="宋体"/>
          <w:color w:val="auto"/>
          <w:sz w:val="21"/>
          <w:szCs w:val="21"/>
          <w:highlight w:val="none"/>
        </w:rPr>
        <w:t>。</w:t>
      </w:r>
    </w:p>
    <w:p w14:paraId="447897DA">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15473AEB">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3F0BD3B8">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71C19340">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0A650EE4">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1F3FB3B5">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4909BBCA">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05328BE1">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1C648FC6">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09F7C183">
      <w:pPr>
        <w:pStyle w:val="1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51F2C5D6">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590CB714">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79E8C618">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3A568406">
      <w:pPr>
        <w:pStyle w:val="15"/>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671F7821">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418CB5EC">
      <w:pPr>
        <w:pStyle w:val="1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7CBEF9">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160C4DE4">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57B74F43">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1D7D5E91">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59FCFA14">
      <w:pPr>
        <w:pStyle w:val="15"/>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24BAEA23">
      <w:pPr>
        <w:pStyle w:val="15"/>
        <w:numPr>
          <w:ilvl w:val="0"/>
          <w:numId w:val="5"/>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167747A6">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2AB169FD">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C6D6D4A">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473754EB">
      <w:pPr>
        <w:pStyle w:val="1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09012640">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3673BE26">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42F265EA">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7418DA9F">
      <w:pPr>
        <w:pStyle w:val="1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29124EF3">
      <w:pPr>
        <w:pStyle w:val="14"/>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07EDB205">
      <w:pPr>
        <w:spacing w:line="360" w:lineRule="auto"/>
        <w:contextualSpacing/>
        <w:jc w:val="left"/>
        <w:rPr>
          <w:rFonts w:hint="eastAsia" w:ascii="宋体" w:hAnsi="宋体" w:eastAsia="宋体" w:cs="宋体"/>
          <w:color w:val="auto"/>
          <w:szCs w:val="21"/>
          <w:highlight w:val="none"/>
        </w:rPr>
      </w:pPr>
    </w:p>
    <w:p w14:paraId="7EB3077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AA672E0">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2AA39C4">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9833A5C">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66110115">
      <w:pPr>
        <w:snapToGrid w:val="0"/>
        <w:spacing w:before="50" w:after="50" w:line="360" w:lineRule="auto"/>
        <w:rPr>
          <w:rFonts w:hint="eastAsia" w:ascii="宋体" w:hAnsi="宋体" w:eastAsia="宋体" w:cs="宋体"/>
          <w:color w:val="auto"/>
          <w:sz w:val="24"/>
          <w:highlight w:val="none"/>
        </w:rPr>
      </w:pPr>
    </w:p>
    <w:p w14:paraId="42B6C39C">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隆安县城厢镇宝塔村花杨屯三产安置项目土地平整</w:t>
      </w:r>
    </w:p>
    <w:p w14:paraId="62ED035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fldChar w:fldCharType="begin"/>
      </w:r>
      <w:r>
        <w:rPr>
          <w:rFonts w:hint="eastAsia" w:ascii="宋体" w:hAnsi="宋体" w:cs="宋体"/>
          <w:color w:val="auto"/>
          <w:sz w:val="24"/>
          <w:highlight w:val="none"/>
          <w:u w:val="single"/>
          <w:lang w:eastAsia="zh-CN"/>
        </w:rPr>
        <w:instrText xml:space="preserve"> HYPERLINK "https://www.gcy.zfcg.gxzf.gov.cn/gaea/api/project/flow/redirect?projectId=7220257144991383584&amp;newUrl=https://www.gcy.zfcg.gxzf.gov.cn/micro-app-back-index/blank?_flow_type_=agency&amp;_flow_projectId_=7220257144991383584&amp;_jump_page_type_=project_procurement_management_flow&amp;_app_=zcy.procurement&amp;oldUrl=https://www.gcy.zfcg.gxzf.gov.cn/project-center/_procurement_/project-result-detail/7220257144991383584&amp;utm=web-project-center-front.42c12ca3.0.0.ddb7a07070f611f0b7c601b53c35033f" \t "https://www.gcy.zfcg.gxzf.gov.cn/project-center/_procurement_/self-project/_blank" </w:instrText>
      </w:r>
      <w:r>
        <w:rPr>
          <w:rFonts w:hint="eastAsia" w:ascii="宋体" w:hAnsi="宋体" w:cs="宋体"/>
          <w:color w:val="auto"/>
          <w:sz w:val="24"/>
          <w:highlight w:val="none"/>
          <w:u w:val="single"/>
          <w:lang w:eastAsia="zh-CN"/>
        </w:rPr>
        <w:fldChar w:fldCharType="separate"/>
      </w:r>
      <w:r>
        <w:rPr>
          <w:rFonts w:hint="eastAsia" w:ascii="宋体" w:hAnsi="宋体" w:cs="宋体"/>
          <w:color w:val="auto"/>
          <w:sz w:val="24"/>
          <w:highlight w:val="none"/>
          <w:u w:val="single"/>
          <w:lang w:eastAsia="zh-CN"/>
        </w:rPr>
        <w:t>NNZC2025-C2-230075-XMZX</w:t>
      </w:r>
      <w:r>
        <w:rPr>
          <w:rFonts w:hint="eastAsia" w:ascii="宋体" w:hAnsi="宋体" w:cs="宋体"/>
          <w:color w:val="auto"/>
          <w:sz w:val="24"/>
          <w:highlight w:val="none"/>
          <w:u w:val="single"/>
          <w:lang w:eastAsia="zh-CN"/>
        </w:rPr>
        <w:fldChar w:fldCharType="end"/>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045"/>
        <w:gridCol w:w="1515"/>
        <w:gridCol w:w="2686"/>
        <w:gridCol w:w="1124"/>
      </w:tblGrid>
      <w:tr w14:paraId="7951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6A82942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C29A79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20F124C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0D4C72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5B375E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4D6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14:paraId="2DB83D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C7E85E2">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隆安县城厢镇宝塔村花杨屯三产安置项目土地平整</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4563527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31414808">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5E82F9FF">
            <w:pPr>
              <w:jc w:val="center"/>
              <w:rPr>
                <w:rFonts w:hint="eastAsia" w:ascii="宋体" w:hAnsi="宋体" w:eastAsia="宋体" w:cs="宋体"/>
                <w:color w:val="auto"/>
                <w:sz w:val="24"/>
                <w:szCs w:val="24"/>
                <w:highlight w:val="none"/>
              </w:rPr>
            </w:pPr>
          </w:p>
        </w:tc>
      </w:tr>
      <w:tr w14:paraId="6C80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241" w:type="dxa"/>
            <w:gridSpan w:val="5"/>
            <w:tcBorders>
              <w:top w:val="single" w:color="auto" w:sz="4" w:space="0"/>
              <w:left w:val="single" w:color="auto" w:sz="4" w:space="0"/>
              <w:bottom w:val="single" w:color="auto" w:sz="4" w:space="0"/>
              <w:right w:val="single" w:color="auto" w:sz="4" w:space="0"/>
            </w:tcBorders>
            <w:noWrap w:val="0"/>
            <w:vAlign w:val="center"/>
          </w:tcPr>
          <w:p w14:paraId="659F8C9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w:t>
            </w:r>
            <w:r>
              <w:rPr>
                <w:rFonts w:hint="eastAsia" w:ascii="宋体" w:hAnsi="宋体" w:eastAsia="宋体" w:cs="宋体"/>
                <w:color w:val="auto"/>
                <w:sz w:val="24"/>
                <w:szCs w:val="24"/>
                <w:highlight w:val="none"/>
                <w:u w:val="single"/>
              </w:rPr>
              <w:t>（大写）人民币             （¥        元）</w:t>
            </w:r>
          </w:p>
        </w:tc>
      </w:tr>
      <w:tr w14:paraId="2AFB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241" w:type="dxa"/>
            <w:gridSpan w:val="5"/>
            <w:tcBorders>
              <w:top w:val="single" w:color="auto" w:sz="4" w:space="0"/>
              <w:left w:val="single" w:color="auto" w:sz="4" w:space="0"/>
              <w:bottom w:val="single" w:color="auto" w:sz="4" w:space="0"/>
              <w:right w:val="single" w:color="auto" w:sz="4" w:space="0"/>
            </w:tcBorders>
            <w:noWrap w:val="0"/>
            <w:vAlign w:val="center"/>
          </w:tcPr>
          <w:p w14:paraId="579FB36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6FD5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241" w:type="dxa"/>
            <w:gridSpan w:val="5"/>
            <w:tcBorders>
              <w:top w:val="single" w:color="auto" w:sz="4" w:space="0"/>
              <w:left w:val="single" w:color="auto" w:sz="4" w:space="0"/>
              <w:bottom w:val="single" w:color="auto" w:sz="4" w:space="0"/>
              <w:right w:val="single" w:color="auto" w:sz="4" w:space="0"/>
            </w:tcBorders>
            <w:noWrap w:val="0"/>
            <w:vAlign w:val="center"/>
          </w:tcPr>
          <w:p w14:paraId="246B8FF5">
            <w:pP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sz w:val="24"/>
                <w:szCs w:val="24"/>
                <w:highlight w:val="none"/>
              </w:rPr>
              <w:t>工程</w:t>
            </w:r>
            <w:r>
              <w:rPr>
                <w:rFonts w:hint="eastAsia" w:ascii="宋体" w:hAnsi="宋体" w:cs="宋体"/>
                <w:color w:val="auto"/>
                <w:sz w:val="24"/>
                <w:szCs w:val="24"/>
                <w:highlight w:val="none"/>
                <w:lang w:val="en-US" w:eastAsia="zh-CN"/>
              </w:rPr>
              <w:t>质量要求</w:t>
            </w:r>
            <w:r>
              <w:rPr>
                <w:rFonts w:hint="eastAsia" w:ascii="宋体" w:hAnsi="宋体" w:eastAsia="宋体" w:cs="宋体"/>
                <w:color w:val="auto"/>
                <w:sz w:val="24"/>
                <w:szCs w:val="24"/>
                <w:highlight w:val="none"/>
              </w:rPr>
              <w:t>：</w:t>
            </w:r>
          </w:p>
        </w:tc>
      </w:tr>
    </w:tbl>
    <w:p w14:paraId="1260910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3706BD9">
      <w:pPr>
        <w:snapToGrid w:val="0"/>
        <w:spacing w:before="50" w:after="50" w:line="360" w:lineRule="auto"/>
        <w:ind w:firstLine="482" w:firstLineChars="200"/>
        <w:jc w:val="left"/>
        <w:rPr>
          <w:rFonts w:hint="eastAsia" w:ascii="宋体" w:hAnsi="宋体" w:eastAsia="宋体" w:cs="宋体"/>
          <w:b/>
          <w:color w:val="auto"/>
          <w:kern w:val="0"/>
          <w:sz w:val="24"/>
          <w:highlight w:val="none"/>
          <w:lang w:val="zh-CN"/>
        </w:rPr>
      </w:pPr>
      <w:r>
        <w:rPr>
          <w:rFonts w:hint="eastAsia" w:ascii="宋体" w:hAnsi="宋体" w:cs="宋体"/>
          <w:b/>
          <w:bCs/>
          <w:color w:val="auto"/>
          <w:kern w:val="0"/>
          <w:sz w:val="24"/>
          <w:highlight w:val="none"/>
          <w:lang w:val="en-US" w:eastAsia="zh-CN"/>
        </w:rPr>
        <w:t>1、</w:t>
      </w:r>
      <w:r>
        <w:rPr>
          <w:rFonts w:hint="eastAsia" w:ascii="宋体" w:hAnsi="宋体" w:eastAsia="宋体" w:cs="宋体"/>
          <w:color w:val="auto"/>
          <w:kern w:val="0"/>
          <w:sz w:val="24"/>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23BA72F9">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877E0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A2270E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45BF44F">
      <w:pPr>
        <w:pStyle w:val="15"/>
        <w:spacing w:line="360" w:lineRule="auto"/>
        <w:ind w:left="0" w:leftChars="0" w:firstLine="5678" w:firstLineChars="2366"/>
        <w:rPr>
          <w:rFonts w:hint="eastAsia"/>
          <w:color w:val="auto"/>
          <w:highlight w:val="none"/>
          <w:lang w:val="zh-CN"/>
        </w:rPr>
      </w:pPr>
      <w:r>
        <w:rPr>
          <w:rFonts w:hint="eastAsia" w:ascii="宋体" w:hAnsi="宋体" w:eastAsia="宋体" w:cs="宋体"/>
          <w:color w:val="auto"/>
          <w:sz w:val="24"/>
          <w:highlight w:val="none"/>
          <w:lang w:val="zh-CN"/>
        </w:rPr>
        <w:t>日期：  年  月   日</w:t>
      </w:r>
    </w:p>
    <w:p w14:paraId="47EE576B">
      <w:pPr>
        <w:rPr>
          <w:rFonts w:hint="eastAsia"/>
          <w:color w:val="auto"/>
          <w:highlight w:val="none"/>
          <w:lang w:val="zh-CN"/>
        </w:rPr>
      </w:pPr>
    </w:p>
    <w:p w14:paraId="35C1DBA4">
      <w:pPr>
        <w:rPr>
          <w:rFonts w:hint="eastAsia"/>
          <w:color w:val="auto"/>
          <w:highlight w:val="none"/>
          <w:lang w:val="zh-CN"/>
        </w:rPr>
      </w:pPr>
    </w:p>
    <w:p w14:paraId="4486B1C0">
      <w:pPr>
        <w:rPr>
          <w:rFonts w:hint="eastAsia"/>
          <w:color w:val="auto"/>
          <w:highlight w:val="none"/>
          <w:lang w:val="zh-CN"/>
        </w:rPr>
      </w:pPr>
    </w:p>
    <w:p w14:paraId="083AED65">
      <w:pPr>
        <w:rPr>
          <w:rFonts w:hint="eastAsia"/>
          <w:color w:val="auto"/>
          <w:highlight w:val="none"/>
          <w:lang w:val="zh-CN"/>
        </w:rPr>
      </w:pPr>
    </w:p>
    <w:p w14:paraId="2D21B448">
      <w:pPr>
        <w:rPr>
          <w:rFonts w:hint="eastAsia"/>
          <w:color w:val="auto"/>
          <w:highlight w:val="none"/>
          <w:lang w:val="zh-CN"/>
        </w:rPr>
      </w:pPr>
    </w:p>
    <w:p w14:paraId="6379A5A9">
      <w:pPr>
        <w:rPr>
          <w:rFonts w:hint="eastAsia"/>
          <w:color w:val="auto"/>
          <w:highlight w:val="none"/>
          <w:lang w:val="zh-CN"/>
        </w:rPr>
      </w:pPr>
    </w:p>
    <w:p w14:paraId="440FE99B">
      <w:pPr>
        <w:rPr>
          <w:rFonts w:hint="eastAsia"/>
          <w:color w:val="auto"/>
          <w:highlight w:val="none"/>
          <w:lang w:val="zh-CN"/>
        </w:rPr>
      </w:pPr>
    </w:p>
    <w:p w14:paraId="35E62DC7">
      <w:pPr>
        <w:rPr>
          <w:rFonts w:hint="eastAsia"/>
          <w:color w:val="auto"/>
          <w:highlight w:val="none"/>
          <w:lang w:val="zh-CN"/>
        </w:rPr>
      </w:pPr>
    </w:p>
    <w:p w14:paraId="4252EE04">
      <w:pPr>
        <w:rPr>
          <w:rFonts w:hint="eastAsia"/>
          <w:color w:val="auto"/>
          <w:highlight w:val="none"/>
          <w:lang w:val="zh-CN"/>
        </w:rPr>
      </w:pPr>
    </w:p>
    <w:p w14:paraId="5206971F">
      <w:pPr>
        <w:rPr>
          <w:rFonts w:hint="eastAsia"/>
          <w:color w:val="auto"/>
          <w:highlight w:val="none"/>
          <w:lang w:val="zh-CN"/>
        </w:rPr>
      </w:pPr>
    </w:p>
    <w:p w14:paraId="5C73CFC0">
      <w:pPr>
        <w:rPr>
          <w:rFonts w:hint="eastAsia"/>
          <w:color w:val="auto"/>
          <w:highlight w:val="none"/>
          <w:lang w:val="zh-CN"/>
        </w:rPr>
      </w:pPr>
    </w:p>
    <w:p w14:paraId="1E7834BE">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77B5F7DD">
      <w:pPr>
        <w:snapToGrid w:val="0"/>
        <w:spacing w:line="360" w:lineRule="auto"/>
        <w:ind w:firstLine="482" w:firstLineChars="200"/>
        <w:rPr>
          <w:rFonts w:hint="eastAsia" w:ascii="宋体" w:hAnsi="宋体" w:cs="仿宋_GB2312"/>
          <w:b/>
          <w:bCs w:val="0"/>
          <w:color w:val="auto"/>
          <w:kern w:val="2"/>
          <w:sz w:val="24"/>
          <w:szCs w:val="24"/>
          <w:highlight w:val="none"/>
          <w:lang w:val="en-US" w:eastAsia="zh-CN"/>
        </w:rPr>
      </w:pPr>
    </w:p>
    <w:p w14:paraId="7DD2AC84">
      <w:pPr>
        <w:snapToGrid w:val="0"/>
        <w:spacing w:line="360" w:lineRule="auto"/>
        <w:ind w:firstLine="482" w:firstLineChars="200"/>
        <w:rPr>
          <w:rFonts w:hint="eastAsia"/>
          <w:lang w:val="en-US" w:eastAsia="zh-CN"/>
        </w:rPr>
      </w:pPr>
      <w:r>
        <w:rPr>
          <w:rFonts w:hint="eastAsia" w:ascii="宋体" w:hAnsi="宋体" w:cs="仿宋_GB2312"/>
          <w:b/>
          <w:color w:val="auto"/>
          <w:sz w:val="24"/>
          <w:szCs w:val="24"/>
          <w:highlight w:val="none"/>
          <w:lang w:val="en-US" w:eastAsia="zh-CN"/>
        </w:rPr>
        <w:t>说明：1.根据自治区住房城乡建设厅关于进一步明确广西壮族自治区房屋建筑和市政基础设施工程安全生产责任保险费计价规定的通知桂建价〔2024〕2号规定，供应商在编制投标报价文件时，安责险应按招标工程量清单中给出的安责险暂估价的具体金额填写，不得调整。</w:t>
      </w:r>
    </w:p>
    <w:p w14:paraId="0C334289">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eastAsia" w:ascii="宋体" w:hAnsi="宋体" w:cs="仿宋_GB2312"/>
          <w:b/>
          <w:bCs w:val="0"/>
          <w:color w:val="auto"/>
          <w:kern w:val="2"/>
          <w:sz w:val="24"/>
          <w:szCs w:val="24"/>
          <w:highlight w:val="none"/>
          <w:lang w:val="en-US" w:eastAsia="zh-CN"/>
        </w:rPr>
        <w:t>2.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14:paraId="7B11FE9B">
      <w:pPr>
        <w:snapToGrid w:val="0"/>
        <w:spacing w:line="360" w:lineRule="auto"/>
        <w:ind w:left="0" w:leftChars="0" w:firstLine="0" w:firstLineChars="0"/>
        <w:rPr>
          <w:rFonts w:hint="eastAsia" w:ascii="宋体" w:hAnsi="宋体" w:eastAsia="宋体" w:cs="宋体"/>
          <w:b/>
          <w:color w:val="auto"/>
          <w:sz w:val="30"/>
          <w:szCs w:val="30"/>
          <w:highlight w:val="none"/>
          <w:lang w:val="en-US" w:eastAsia="zh-CN"/>
        </w:rPr>
      </w:pPr>
    </w:p>
    <w:p w14:paraId="41854AB6">
      <w:pPr>
        <w:pStyle w:val="11"/>
        <w:jc w:val="center"/>
        <w:rPr>
          <w:rFonts w:hint="eastAsia" w:ascii="宋体" w:hAnsi="宋体" w:cs="宋体"/>
          <w:b/>
          <w:color w:val="auto"/>
          <w:sz w:val="24"/>
          <w:szCs w:val="24"/>
          <w:highlight w:val="none"/>
          <w:lang w:val="en-US" w:eastAsia="zh-CN"/>
        </w:rPr>
      </w:pPr>
    </w:p>
    <w:p w14:paraId="4EB8D11A">
      <w:pPr>
        <w:pStyle w:val="11"/>
        <w:jc w:val="center"/>
        <w:rPr>
          <w:rFonts w:hint="eastAsia" w:ascii="宋体" w:hAnsi="宋体" w:cs="宋体"/>
          <w:b/>
          <w:color w:val="auto"/>
          <w:sz w:val="24"/>
          <w:szCs w:val="24"/>
          <w:highlight w:val="none"/>
          <w:lang w:val="en-US" w:eastAsia="zh-CN"/>
        </w:rPr>
      </w:pPr>
    </w:p>
    <w:p w14:paraId="62AD26FD">
      <w:pPr>
        <w:pStyle w:val="11"/>
        <w:ind w:firstLine="630" w:firstLineChars="300"/>
        <w:rPr>
          <w:rFonts w:hint="eastAsia"/>
          <w:color w:val="auto"/>
          <w:highlight w:val="none"/>
          <w:lang w:val="en-US" w:eastAsia="zh-CN"/>
        </w:rPr>
      </w:pPr>
    </w:p>
    <w:p w14:paraId="4EB9EC50">
      <w:pPr>
        <w:pStyle w:val="11"/>
        <w:ind w:firstLine="630" w:firstLineChars="300"/>
        <w:rPr>
          <w:rFonts w:hint="eastAsia"/>
          <w:color w:val="auto"/>
          <w:highlight w:val="none"/>
          <w:lang w:val="en-US" w:eastAsia="zh-CN"/>
        </w:rPr>
      </w:pPr>
    </w:p>
    <w:p w14:paraId="573B50A5">
      <w:pPr>
        <w:pStyle w:val="11"/>
        <w:ind w:firstLine="630" w:firstLineChars="300"/>
        <w:rPr>
          <w:rFonts w:hint="eastAsia"/>
          <w:color w:val="auto"/>
          <w:highlight w:val="none"/>
          <w:lang w:val="en-US" w:eastAsia="zh-CN"/>
        </w:rPr>
      </w:pPr>
    </w:p>
    <w:p w14:paraId="2ADBDDD2">
      <w:pPr>
        <w:pStyle w:val="11"/>
        <w:ind w:firstLine="630" w:firstLineChars="300"/>
        <w:rPr>
          <w:rFonts w:hint="eastAsia"/>
          <w:color w:val="auto"/>
          <w:highlight w:val="none"/>
          <w:lang w:val="en-US" w:eastAsia="zh-CN"/>
        </w:rPr>
      </w:pPr>
    </w:p>
    <w:p w14:paraId="3B33F2C0">
      <w:pPr>
        <w:pStyle w:val="11"/>
        <w:ind w:firstLine="630" w:firstLineChars="300"/>
        <w:rPr>
          <w:rFonts w:hint="eastAsia"/>
          <w:color w:val="auto"/>
          <w:highlight w:val="none"/>
          <w:lang w:val="en-US" w:eastAsia="zh-CN"/>
        </w:rPr>
      </w:pPr>
    </w:p>
    <w:p w14:paraId="2E1FD01A">
      <w:pPr>
        <w:pStyle w:val="11"/>
        <w:ind w:firstLine="630" w:firstLineChars="300"/>
        <w:rPr>
          <w:rFonts w:hint="eastAsia"/>
          <w:color w:val="auto"/>
          <w:highlight w:val="none"/>
          <w:lang w:val="en-US" w:eastAsia="zh-CN"/>
        </w:rPr>
      </w:pPr>
    </w:p>
    <w:p w14:paraId="780B647D">
      <w:pPr>
        <w:pStyle w:val="11"/>
        <w:ind w:firstLine="630" w:firstLineChars="300"/>
        <w:rPr>
          <w:rFonts w:hint="eastAsia"/>
          <w:color w:val="auto"/>
          <w:highlight w:val="none"/>
          <w:lang w:val="en-US" w:eastAsia="zh-CN"/>
        </w:rPr>
      </w:pPr>
    </w:p>
    <w:p w14:paraId="53C1A88E">
      <w:pPr>
        <w:snapToGrid w:val="0"/>
        <w:spacing w:line="360" w:lineRule="auto"/>
        <w:ind w:firstLine="602" w:firstLineChars="200"/>
        <w:rPr>
          <w:rFonts w:hint="eastAsia" w:ascii="宋体" w:hAnsi="宋体" w:cs="宋体"/>
          <w:b/>
          <w:color w:val="auto"/>
          <w:sz w:val="30"/>
          <w:szCs w:val="30"/>
          <w:highlight w:val="none"/>
          <w:lang w:val="en-US" w:eastAsia="zh-CN"/>
        </w:rPr>
      </w:pPr>
    </w:p>
    <w:p w14:paraId="6AF1C695">
      <w:pPr>
        <w:snapToGrid w:val="0"/>
        <w:spacing w:line="360" w:lineRule="auto"/>
        <w:ind w:firstLine="602" w:firstLineChars="200"/>
        <w:rPr>
          <w:rFonts w:hint="eastAsia" w:ascii="宋体" w:hAnsi="宋体" w:cs="宋体"/>
          <w:b/>
          <w:color w:val="auto"/>
          <w:sz w:val="30"/>
          <w:szCs w:val="30"/>
          <w:highlight w:val="none"/>
          <w:lang w:val="en-US" w:eastAsia="zh-CN"/>
        </w:rPr>
      </w:pPr>
    </w:p>
    <w:p w14:paraId="4DF0CE39">
      <w:pPr>
        <w:snapToGrid w:val="0"/>
        <w:spacing w:line="360" w:lineRule="auto"/>
        <w:ind w:firstLine="602" w:firstLineChars="200"/>
        <w:rPr>
          <w:rFonts w:hint="eastAsia" w:ascii="宋体" w:hAnsi="宋体" w:cs="宋体"/>
          <w:b/>
          <w:color w:val="auto"/>
          <w:sz w:val="30"/>
          <w:szCs w:val="30"/>
          <w:highlight w:val="none"/>
          <w:lang w:val="en-US" w:eastAsia="zh-CN"/>
        </w:rPr>
      </w:pPr>
    </w:p>
    <w:p w14:paraId="380E19ED">
      <w:pPr>
        <w:snapToGrid w:val="0"/>
        <w:spacing w:line="360" w:lineRule="auto"/>
        <w:ind w:firstLine="602" w:firstLineChars="200"/>
        <w:rPr>
          <w:rFonts w:hint="eastAsia" w:ascii="宋体" w:hAnsi="宋体" w:cs="宋体"/>
          <w:b/>
          <w:color w:val="auto"/>
          <w:sz w:val="30"/>
          <w:szCs w:val="30"/>
          <w:highlight w:val="none"/>
          <w:lang w:val="en-US" w:eastAsia="zh-CN"/>
        </w:rPr>
      </w:pPr>
    </w:p>
    <w:p w14:paraId="35E1A036">
      <w:pPr>
        <w:snapToGrid w:val="0"/>
        <w:spacing w:line="360" w:lineRule="auto"/>
        <w:ind w:firstLine="602" w:firstLineChars="200"/>
        <w:rPr>
          <w:rFonts w:hint="eastAsia" w:ascii="宋体" w:hAnsi="宋体" w:cs="宋体"/>
          <w:b/>
          <w:color w:val="auto"/>
          <w:sz w:val="30"/>
          <w:szCs w:val="30"/>
          <w:highlight w:val="none"/>
          <w:lang w:val="en-US" w:eastAsia="zh-CN"/>
        </w:rPr>
      </w:pPr>
    </w:p>
    <w:p w14:paraId="58959D14">
      <w:pPr>
        <w:snapToGrid w:val="0"/>
        <w:spacing w:line="360" w:lineRule="auto"/>
        <w:ind w:firstLine="602" w:firstLineChars="200"/>
        <w:rPr>
          <w:rFonts w:hint="eastAsia" w:ascii="宋体" w:hAnsi="宋体" w:cs="宋体"/>
          <w:b/>
          <w:color w:val="auto"/>
          <w:sz w:val="30"/>
          <w:szCs w:val="30"/>
          <w:highlight w:val="none"/>
          <w:lang w:val="en-US" w:eastAsia="zh-CN"/>
        </w:rPr>
      </w:pPr>
    </w:p>
    <w:p w14:paraId="1D166345">
      <w:pPr>
        <w:snapToGrid w:val="0"/>
        <w:spacing w:line="360" w:lineRule="auto"/>
        <w:ind w:firstLine="602" w:firstLineChars="200"/>
        <w:rPr>
          <w:rFonts w:hint="eastAsia" w:ascii="宋体" w:hAnsi="宋体" w:cs="宋体"/>
          <w:b/>
          <w:color w:val="auto"/>
          <w:sz w:val="30"/>
          <w:szCs w:val="30"/>
          <w:highlight w:val="none"/>
          <w:lang w:val="en-US" w:eastAsia="zh-CN"/>
        </w:rPr>
      </w:pPr>
    </w:p>
    <w:p w14:paraId="7D890FAD">
      <w:pPr>
        <w:snapToGrid w:val="0"/>
        <w:spacing w:line="360" w:lineRule="auto"/>
        <w:ind w:firstLine="602" w:firstLineChars="200"/>
        <w:rPr>
          <w:rFonts w:hint="eastAsia" w:ascii="宋体" w:hAnsi="宋体" w:cs="宋体"/>
          <w:b/>
          <w:color w:val="auto"/>
          <w:sz w:val="30"/>
          <w:szCs w:val="30"/>
          <w:highlight w:val="none"/>
          <w:lang w:val="en-US" w:eastAsia="zh-CN"/>
        </w:rPr>
      </w:pPr>
    </w:p>
    <w:p w14:paraId="6E3FAE62">
      <w:pPr>
        <w:snapToGrid w:val="0"/>
        <w:spacing w:line="360" w:lineRule="auto"/>
        <w:ind w:firstLine="602" w:firstLineChars="200"/>
        <w:rPr>
          <w:rFonts w:hint="eastAsia" w:ascii="宋体" w:hAnsi="宋体" w:cs="宋体"/>
          <w:b/>
          <w:color w:val="auto"/>
          <w:sz w:val="30"/>
          <w:szCs w:val="30"/>
          <w:highlight w:val="none"/>
          <w:lang w:val="en-US" w:eastAsia="zh-CN"/>
        </w:rPr>
      </w:pPr>
    </w:p>
    <w:p w14:paraId="621F11F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、供应商认为需要提供的其他有关资料</w:t>
      </w:r>
    </w:p>
    <w:p w14:paraId="170FF36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66AE004">
      <w:pPr>
        <w:pStyle w:val="11"/>
        <w:spacing w:line="360" w:lineRule="auto"/>
        <w:rPr>
          <w:rFonts w:hint="eastAsia" w:ascii="宋体" w:hAnsi="宋体" w:eastAsia="宋体" w:cs="宋体"/>
          <w:color w:val="auto"/>
          <w:highlight w:val="none"/>
        </w:rPr>
      </w:pPr>
    </w:p>
    <w:p w14:paraId="3917083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3552E5">
      <w:pPr>
        <w:ind w:firstLine="2160" w:firstLineChars="900"/>
        <w:rPr>
          <w:rFonts w:hint="eastAsia"/>
          <w:color w:val="auto"/>
          <w:highlight w:val="none"/>
          <w:lang w:val="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5623EE0D">
      <w:pPr>
        <w:spacing w:line="360" w:lineRule="auto"/>
        <w:jc w:val="center"/>
        <w:rPr>
          <w:rFonts w:hint="eastAsia" w:ascii="宋体" w:hAnsi="宋体" w:eastAsia="宋体" w:cs="宋体"/>
          <w:color w:val="auto"/>
          <w:sz w:val="24"/>
          <w:highlight w:val="none"/>
        </w:rPr>
      </w:pPr>
    </w:p>
    <w:p w14:paraId="28270230">
      <w:pPr>
        <w:spacing w:line="360" w:lineRule="auto"/>
        <w:jc w:val="center"/>
        <w:rPr>
          <w:rFonts w:hint="eastAsia" w:ascii="宋体" w:hAnsi="宋体" w:eastAsia="宋体" w:cs="宋体"/>
          <w:color w:val="auto"/>
          <w:sz w:val="24"/>
          <w:highlight w:val="none"/>
        </w:rPr>
      </w:pPr>
    </w:p>
    <w:p w14:paraId="7C8A22B3">
      <w:pPr>
        <w:spacing w:line="360" w:lineRule="auto"/>
        <w:jc w:val="center"/>
        <w:rPr>
          <w:rFonts w:hint="eastAsia" w:ascii="宋体" w:hAnsi="宋体" w:eastAsia="宋体" w:cs="宋体"/>
          <w:color w:val="auto"/>
          <w:sz w:val="24"/>
          <w:highlight w:val="none"/>
        </w:rPr>
      </w:pPr>
    </w:p>
    <w:p w14:paraId="28F96355">
      <w:pPr>
        <w:spacing w:line="360" w:lineRule="auto"/>
        <w:jc w:val="both"/>
        <w:rPr>
          <w:rFonts w:hint="eastAsia" w:ascii="宋体" w:hAnsi="宋体" w:eastAsia="宋体" w:cs="宋体"/>
          <w:color w:val="auto"/>
          <w:sz w:val="24"/>
          <w:highlight w:val="none"/>
        </w:rPr>
      </w:pPr>
    </w:p>
    <w:p w14:paraId="120CA345">
      <w:pPr>
        <w:spacing w:line="360" w:lineRule="auto"/>
        <w:jc w:val="center"/>
        <w:rPr>
          <w:rFonts w:hint="eastAsia" w:ascii="宋体" w:hAnsi="宋体" w:eastAsia="宋体" w:cs="宋体"/>
          <w:color w:val="auto"/>
          <w:sz w:val="24"/>
          <w:highlight w:val="none"/>
        </w:rPr>
      </w:pPr>
    </w:p>
    <w:p w14:paraId="6A191327">
      <w:pPr>
        <w:spacing w:line="360" w:lineRule="auto"/>
        <w:jc w:val="center"/>
        <w:rPr>
          <w:rFonts w:hint="eastAsia" w:ascii="宋体" w:hAnsi="宋体" w:eastAsia="宋体" w:cs="宋体"/>
          <w:color w:val="auto"/>
          <w:sz w:val="24"/>
          <w:highlight w:val="none"/>
        </w:rPr>
      </w:pPr>
    </w:p>
    <w:p w14:paraId="14388A04">
      <w:pPr>
        <w:spacing w:line="360" w:lineRule="auto"/>
        <w:jc w:val="center"/>
        <w:rPr>
          <w:rFonts w:hint="eastAsia" w:ascii="宋体" w:hAnsi="宋体" w:eastAsia="宋体" w:cs="宋体"/>
          <w:color w:val="auto"/>
          <w:sz w:val="24"/>
          <w:highlight w:val="none"/>
        </w:rPr>
      </w:pPr>
    </w:p>
    <w:p w14:paraId="4A66C9F7">
      <w:pPr>
        <w:spacing w:line="360" w:lineRule="auto"/>
        <w:jc w:val="center"/>
        <w:rPr>
          <w:rFonts w:hint="eastAsia" w:ascii="宋体" w:hAnsi="宋体" w:eastAsia="宋体" w:cs="宋体"/>
          <w:color w:val="auto"/>
          <w:sz w:val="24"/>
          <w:highlight w:val="none"/>
        </w:rPr>
      </w:pPr>
    </w:p>
    <w:p w14:paraId="411F0D04">
      <w:pPr>
        <w:spacing w:line="360" w:lineRule="auto"/>
        <w:jc w:val="center"/>
        <w:rPr>
          <w:rFonts w:hint="eastAsia" w:ascii="宋体" w:hAnsi="宋体" w:eastAsia="宋体" w:cs="宋体"/>
          <w:color w:val="auto"/>
          <w:sz w:val="24"/>
          <w:highlight w:val="none"/>
        </w:rPr>
      </w:pPr>
    </w:p>
    <w:p w14:paraId="0935860C">
      <w:pPr>
        <w:spacing w:line="360" w:lineRule="auto"/>
        <w:jc w:val="center"/>
        <w:rPr>
          <w:rFonts w:hint="eastAsia" w:ascii="宋体" w:hAnsi="宋体" w:eastAsia="宋体" w:cs="宋体"/>
          <w:color w:val="auto"/>
          <w:sz w:val="24"/>
          <w:highlight w:val="none"/>
        </w:rPr>
      </w:pPr>
    </w:p>
    <w:p w14:paraId="3EFED2D5">
      <w:pPr>
        <w:spacing w:line="360" w:lineRule="auto"/>
        <w:jc w:val="center"/>
        <w:rPr>
          <w:rFonts w:hint="eastAsia" w:ascii="宋体" w:hAnsi="宋体" w:eastAsia="宋体" w:cs="宋体"/>
          <w:color w:val="auto"/>
          <w:sz w:val="24"/>
          <w:highlight w:val="none"/>
        </w:rPr>
      </w:pPr>
    </w:p>
    <w:p w14:paraId="7E07A9AF">
      <w:pPr>
        <w:spacing w:line="360" w:lineRule="auto"/>
        <w:jc w:val="center"/>
        <w:rPr>
          <w:rFonts w:hint="eastAsia" w:ascii="宋体" w:hAnsi="宋体" w:eastAsia="宋体" w:cs="宋体"/>
          <w:color w:val="auto"/>
          <w:sz w:val="24"/>
          <w:highlight w:val="none"/>
        </w:rPr>
      </w:pPr>
    </w:p>
    <w:p w14:paraId="11935DF1">
      <w:pPr>
        <w:pStyle w:val="2"/>
        <w:spacing w:line="360" w:lineRule="auto"/>
        <w:jc w:val="center"/>
        <w:rPr>
          <w:rFonts w:hint="eastAsia" w:ascii="宋体" w:hAnsi="宋体" w:eastAsia="宋体" w:cs="宋体"/>
          <w:b w:val="0"/>
          <w:bCs w:val="0"/>
          <w:color w:val="auto"/>
          <w:highlight w:val="none"/>
        </w:rPr>
      </w:pPr>
      <w:bookmarkStart w:id="128" w:name="_Toc25466"/>
      <w:bookmarkStart w:id="129" w:name="_Toc26628"/>
      <w:bookmarkStart w:id="130" w:name="_Toc14897"/>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28"/>
      <w:bookmarkEnd w:id="129"/>
      <w:bookmarkEnd w:id="130"/>
    </w:p>
    <w:p w14:paraId="5A3B719A">
      <w:pPr>
        <w:rPr>
          <w:rFonts w:hint="eastAsia" w:ascii="宋体" w:hAnsi="宋体" w:eastAsia="宋体" w:cs="宋体"/>
          <w:color w:val="auto"/>
          <w:sz w:val="24"/>
          <w:highlight w:val="none"/>
        </w:rPr>
      </w:pPr>
      <w:bookmarkStart w:id="131" w:name="_Toc23153"/>
      <w:bookmarkStart w:id="132" w:name="_Toc13697"/>
      <w:r>
        <w:rPr>
          <w:rFonts w:hint="eastAsia" w:ascii="宋体" w:hAnsi="宋体" w:eastAsia="宋体" w:cs="宋体"/>
          <w:color w:val="auto"/>
          <w:sz w:val="24"/>
          <w:highlight w:val="none"/>
        </w:rPr>
        <w:t>“政采云”平台合同编号：</w:t>
      </w:r>
    </w:p>
    <w:p w14:paraId="79B465F4">
      <w:pPr>
        <w:pStyle w:val="19"/>
        <w:rPr>
          <w:rFonts w:hint="eastAsia"/>
        </w:rPr>
      </w:pPr>
    </w:p>
    <w:p w14:paraId="5A80DD11">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31A99C7B">
      <w:pPr>
        <w:spacing w:line="360" w:lineRule="auto"/>
        <w:ind w:firstLine="420" w:firstLineChars="200"/>
        <w:rPr>
          <w:rFonts w:hint="eastAsia" w:ascii="宋体" w:hAnsi="宋体" w:eastAsia="宋体" w:cs="宋体"/>
          <w:color w:val="auto"/>
          <w:highlight w:val="none"/>
        </w:rPr>
      </w:pPr>
    </w:p>
    <w:p w14:paraId="5159DE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F4A3A6">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rPr>
        <w:t>合同</w:t>
      </w:r>
    </w:p>
    <w:p w14:paraId="6183AC44">
      <w:pPr>
        <w:spacing w:line="360" w:lineRule="auto"/>
        <w:jc w:val="center"/>
        <w:rPr>
          <w:rFonts w:hint="eastAsia" w:ascii="宋体" w:hAnsi="宋体" w:eastAsia="宋体" w:cs="宋体"/>
          <w:b/>
          <w:bCs/>
          <w:color w:val="auto"/>
          <w:sz w:val="44"/>
          <w:highlight w:val="none"/>
        </w:rPr>
      </w:pPr>
    </w:p>
    <w:p w14:paraId="513D3C7F">
      <w:pPr>
        <w:spacing w:line="360" w:lineRule="auto"/>
        <w:rPr>
          <w:rFonts w:hint="eastAsia" w:ascii="宋体" w:hAnsi="宋体" w:eastAsia="宋体" w:cs="宋体"/>
          <w:b/>
          <w:bCs/>
          <w:color w:val="auto"/>
          <w:sz w:val="44"/>
          <w:highlight w:val="none"/>
        </w:rPr>
      </w:pPr>
    </w:p>
    <w:p w14:paraId="5534E567">
      <w:pPr>
        <w:ind w:left="0" w:leftChars="0" w:firstLine="1063" w:firstLineChars="294"/>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u w:val="single"/>
          <w:lang w:val="en-US" w:eastAsia="zh-CN"/>
        </w:rPr>
        <w:t xml:space="preserve"> NNZC2025-C2-230075-XMZX </w:t>
      </w:r>
    </w:p>
    <w:p w14:paraId="559E7FAE">
      <w:pPr>
        <w:ind w:left="0" w:leftChars="0" w:firstLine="1063" w:firstLineChars="294"/>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497CB0A7">
      <w:pPr>
        <w:ind w:firstLine="1308" w:firstLineChars="545"/>
        <w:rPr>
          <w:rFonts w:hint="eastAsia" w:ascii="宋体" w:hAnsi="宋体" w:eastAsia="宋体" w:cs="宋体"/>
          <w:color w:val="auto"/>
          <w:sz w:val="24"/>
          <w:highlight w:val="none"/>
        </w:rPr>
      </w:pPr>
    </w:p>
    <w:p w14:paraId="3B6B37FC">
      <w:pPr>
        <w:ind w:firstLine="1995" w:firstLineChars="552"/>
        <w:rPr>
          <w:rFonts w:hint="eastAsia" w:ascii="宋体" w:hAnsi="宋体" w:eastAsia="宋体" w:cs="宋体"/>
          <w:b/>
          <w:color w:val="auto"/>
          <w:sz w:val="36"/>
          <w:szCs w:val="36"/>
          <w:highlight w:val="none"/>
          <w:u w:val="single"/>
        </w:rPr>
      </w:pPr>
    </w:p>
    <w:p w14:paraId="67070D14">
      <w:pPr>
        <w:ind w:firstLine="1995" w:firstLineChars="552"/>
        <w:rPr>
          <w:rFonts w:hint="eastAsia" w:ascii="宋体" w:hAnsi="宋体" w:eastAsia="宋体" w:cs="宋体"/>
          <w:b/>
          <w:color w:val="auto"/>
          <w:sz w:val="36"/>
          <w:szCs w:val="36"/>
          <w:highlight w:val="none"/>
          <w:u w:val="single"/>
        </w:rPr>
      </w:pPr>
    </w:p>
    <w:p w14:paraId="551CD1AC">
      <w:pPr>
        <w:ind w:firstLine="1995" w:firstLineChars="552"/>
        <w:rPr>
          <w:rFonts w:hint="eastAsia" w:ascii="宋体" w:hAnsi="宋体" w:eastAsia="宋体" w:cs="宋体"/>
          <w:b/>
          <w:color w:val="auto"/>
          <w:sz w:val="36"/>
          <w:szCs w:val="36"/>
          <w:highlight w:val="none"/>
          <w:u w:val="single"/>
        </w:rPr>
      </w:pPr>
    </w:p>
    <w:p w14:paraId="7AA1EEFF">
      <w:pPr>
        <w:tabs>
          <w:tab w:val="left" w:pos="7200"/>
        </w:tabs>
        <w:spacing w:line="360" w:lineRule="auto"/>
        <w:ind w:firstLine="1995" w:firstLineChars="552"/>
        <w:rPr>
          <w:rFonts w:hint="default" w:ascii="宋体" w:hAnsi="宋体" w:eastAsia="宋体" w:cs="宋体"/>
          <w:b/>
          <w:color w:val="auto"/>
          <w:sz w:val="36"/>
          <w:szCs w:val="36"/>
          <w:highlight w:val="none"/>
          <w:lang w:val="en-US"/>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lang w:val="en-US" w:eastAsia="zh-CN"/>
        </w:rPr>
        <w:t xml:space="preserve">    </w:t>
      </w:r>
    </w:p>
    <w:p w14:paraId="0DB716B0">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lang w:eastAsia="zh-CN"/>
        </w:rPr>
        <w:t>成交</w:t>
      </w:r>
      <w:r>
        <w:rPr>
          <w:rFonts w:hint="eastAsia" w:ascii="宋体" w:hAnsi="宋体" w:eastAsia="宋体" w:cs="宋体"/>
          <w:b/>
          <w:color w:val="auto"/>
          <w:sz w:val="36"/>
          <w:szCs w:val="36"/>
          <w:highlight w:val="none"/>
        </w:rPr>
        <w:t>供应商：</w:t>
      </w:r>
      <w:r>
        <w:rPr>
          <w:rFonts w:hint="eastAsia" w:ascii="宋体" w:hAnsi="宋体" w:eastAsia="宋体" w:cs="宋体"/>
          <w:b/>
          <w:color w:val="auto"/>
          <w:sz w:val="36"/>
          <w:szCs w:val="36"/>
          <w:highlight w:val="none"/>
          <w:u w:val="single"/>
        </w:rPr>
        <w:t xml:space="preserve">                   </w:t>
      </w:r>
    </w:p>
    <w:p w14:paraId="758CCE92">
      <w:pPr>
        <w:tabs>
          <w:tab w:val="left" w:pos="7380"/>
        </w:tabs>
        <w:spacing w:line="360" w:lineRule="auto"/>
        <w:rPr>
          <w:rFonts w:hint="eastAsia" w:ascii="宋体" w:hAnsi="宋体" w:eastAsia="宋体" w:cs="宋体"/>
          <w:b/>
          <w:bCs/>
          <w:color w:val="auto"/>
          <w:sz w:val="44"/>
          <w:highlight w:val="none"/>
        </w:rPr>
      </w:pPr>
    </w:p>
    <w:p w14:paraId="630372A7">
      <w:pPr>
        <w:tabs>
          <w:tab w:val="left" w:pos="7380"/>
        </w:tabs>
        <w:spacing w:line="360" w:lineRule="auto"/>
        <w:rPr>
          <w:rFonts w:hint="eastAsia" w:ascii="宋体" w:hAnsi="宋体" w:eastAsia="宋体" w:cs="宋体"/>
          <w:b/>
          <w:bCs/>
          <w:color w:val="auto"/>
          <w:sz w:val="44"/>
          <w:highlight w:val="none"/>
        </w:rPr>
      </w:pPr>
    </w:p>
    <w:p w14:paraId="3B97EFA8">
      <w:pPr>
        <w:tabs>
          <w:tab w:val="left" w:pos="7380"/>
        </w:tabs>
        <w:spacing w:line="360" w:lineRule="auto"/>
        <w:rPr>
          <w:rFonts w:hint="eastAsia" w:ascii="宋体" w:hAnsi="宋体" w:eastAsia="宋体" w:cs="宋体"/>
          <w:b/>
          <w:bCs/>
          <w:color w:val="auto"/>
          <w:sz w:val="44"/>
          <w:highlight w:val="none"/>
        </w:rPr>
      </w:pPr>
    </w:p>
    <w:p w14:paraId="12DFC568">
      <w:pPr>
        <w:tabs>
          <w:tab w:val="left" w:pos="7380"/>
        </w:tabs>
        <w:spacing w:line="360" w:lineRule="auto"/>
        <w:ind w:firstLine="3360" w:firstLineChars="1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签订时间：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73902DB3">
      <w:pPr>
        <w:pStyle w:val="2"/>
        <w:jc w:val="center"/>
        <w:rPr>
          <w:rFonts w:hint="eastAsia" w:asciiTheme="minorEastAsia" w:hAnsiTheme="minorEastAsia" w:eastAsiaTheme="minorEastAsia" w:cstheme="minorEastAsia"/>
          <w:color w:val="auto"/>
          <w:sz w:val="28"/>
          <w:szCs w:val="28"/>
          <w:highlight w:val="none"/>
        </w:rPr>
      </w:pPr>
      <w:r>
        <w:rPr>
          <w:rFonts w:hint="eastAsia" w:ascii="Times New Roman" w:hAnsi="Times New Roman" w:cs="Times New Roman"/>
          <w:b/>
          <w:color w:val="auto"/>
          <w:sz w:val="24"/>
          <w:szCs w:val="24"/>
          <w:lang w:eastAsia="zh-CN"/>
        </w:rPr>
        <w:br w:type="page"/>
      </w:r>
      <w:bookmarkStart w:id="133" w:name="_Toc31436"/>
      <w:bookmarkStart w:id="134" w:name="_Toc11228"/>
      <w:bookmarkStart w:id="135" w:name="_Toc373478199"/>
      <w:bookmarkStart w:id="136" w:name="_Toc373227552"/>
      <w:bookmarkStart w:id="137" w:name="_Toc3535"/>
      <w:bookmarkStart w:id="138" w:name="_Toc351203480"/>
      <w:bookmarkStart w:id="139" w:name="_Toc389065255"/>
      <w:bookmarkStart w:id="140" w:name="_Toc296890982"/>
      <w:bookmarkStart w:id="141" w:name="_Toc296503025"/>
      <w:bookmarkStart w:id="142" w:name="_Toc23351"/>
      <w:r>
        <w:rPr>
          <w:rFonts w:hint="eastAsia" w:asciiTheme="minorEastAsia" w:hAnsiTheme="minorEastAsia" w:eastAsiaTheme="minorEastAsia" w:cstheme="minorEastAsia"/>
          <w:color w:val="auto"/>
          <w:sz w:val="28"/>
          <w:szCs w:val="28"/>
          <w:highlight w:val="none"/>
        </w:rPr>
        <w:t>第一部分 合同协议书</w:t>
      </w:r>
      <w:bookmarkEnd w:id="133"/>
      <w:bookmarkEnd w:id="134"/>
    </w:p>
    <w:p w14:paraId="5136871E">
      <w:pP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发包人（全称）：</w:t>
      </w:r>
      <w:r>
        <w:rPr>
          <w:rFonts w:hint="eastAsia" w:asciiTheme="minorEastAsia" w:hAnsiTheme="minorEastAsia" w:eastAsiaTheme="minorEastAsia" w:cstheme="minorEastAsia"/>
          <w:color w:val="auto"/>
          <w:highlight w:val="none"/>
          <w:u w:val="single"/>
        </w:rPr>
        <w:t>                              </w:t>
      </w:r>
    </w:p>
    <w:p w14:paraId="6AA03584">
      <w:pP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承包人（全称）：</w:t>
      </w:r>
      <w:r>
        <w:rPr>
          <w:rFonts w:hint="eastAsia" w:asciiTheme="minorEastAsia" w:hAnsiTheme="minorEastAsia" w:eastAsiaTheme="minorEastAsia" w:cstheme="minorEastAsia"/>
          <w:color w:val="auto"/>
          <w:highlight w:val="none"/>
          <w:u w:val="single"/>
        </w:rPr>
        <w:t>                              </w:t>
      </w:r>
    </w:p>
    <w:p w14:paraId="1F0A37C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根据《中华人民共和国</w:t>
      </w:r>
      <w:r>
        <w:rPr>
          <w:rFonts w:hint="eastAsia" w:asciiTheme="minorEastAsia" w:hAnsiTheme="minorEastAsia" w:eastAsiaTheme="minorEastAsia" w:cstheme="minorEastAsia"/>
          <w:color w:val="auto"/>
          <w:highlight w:val="none"/>
          <w:lang w:eastAsia="zh-CN"/>
        </w:rPr>
        <w:t>民法典</w:t>
      </w:r>
      <w:r>
        <w:rPr>
          <w:rFonts w:hint="eastAsia" w:asciiTheme="minorEastAsia" w:hAnsiTheme="minorEastAsia" w:eastAsiaTheme="minorEastAsia" w:cstheme="minorEastAsia"/>
          <w:color w:val="auto"/>
          <w:highlight w:val="none"/>
        </w:rPr>
        <w:t>》、《中华人民共和国建筑法》及有关法律规定，遵循平等、自愿、公平和诚实信用的原则，双方就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工程施工及有关事项协商一致，共同达成如下协议：</w:t>
      </w:r>
    </w:p>
    <w:p w14:paraId="51EDBDDC">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一、工程概况</w:t>
      </w:r>
    </w:p>
    <w:p w14:paraId="4BAB6556">
      <w:pPr>
        <w:spacing w:line="360" w:lineRule="auto"/>
        <w:ind w:firstLine="411" w:firstLineChars="19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bCs/>
          <w:color w:val="auto"/>
          <w:highlight w:val="none"/>
        </w:rPr>
        <w:t>1. 工程名称</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p>
    <w:p w14:paraId="06398822">
      <w:pPr>
        <w:spacing w:line="360" w:lineRule="auto"/>
        <w:ind w:firstLine="411" w:firstLineChars="196"/>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 工程地点：</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p>
    <w:p w14:paraId="7A7A8FDC">
      <w:pPr>
        <w:spacing w:line="360" w:lineRule="auto"/>
        <w:ind w:firstLine="411" w:firstLineChars="196"/>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 工程立项批准文号：</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bCs/>
          <w:color w:val="auto"/>
          <w:highlight w:val="none"/>
        </w:rPr>
        <w:t>。</w:t>
      </w:r>
    </w:p>
    <w:p w14:paraId="701BE631">
      <w:pPr>
        <w:spacing w:line="360" w:lineRule="auto"/>
        <w:ind w:firstLine="411" w:firstLineChars="196"/>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 资金来源：</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bCs/>
          <w:color w:val="auto"/>
          <w:highlight w:val="none"/>
        </w:rPr>
        <w:t>。</w:t>
      </w:r>
    </w:p>
    <w:p w14:paraId="15129CEE">
      <w:pPr>
        <w:spacing w:line="360" w:lineRule="auto"/>
        <w:ind w:firstLine="411" w:firstLineChars="196"/>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 工程内容：</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bCs/>
          <w:color w:val="auto"/>
          <w:highlight w:val="none"/>
        </w:rPr>
        <w:t>。</w:t>
      </w:r>
    </w:p>
    <w:p w14:paraId="2B946EF2">
      <w:pPr>
        <w:spacing w:line="360" w:lineRule="auto"/>
        <w:ind w:firstLine="411" w:firstLineChars="196"/>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群体工程应附《承包人承揽工程项目一览表》（附件1）。</w:t>
      </w:r>
    </w:p>
    <w:p w14:paraId="143839B4">
      <w:pPr>
        <w:spacing w:line="360" w:lineRule="auto"/>
        <w:ind w:firstLine="411" w:firstLineChars="196"/>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 工程承包范围：</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p>
    <w:p w14:paraId="728514E0">
      <w:pPr>
        <w:spacing w:line="360" w:lineRule="auto"/>
        <w:ind w:firstLine="407" w:firstLineChars="193"/>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二、合同工期</w:t>
      </w:r>
    </w:p>
    <w:p w14:paraId="67C90E6A">
      <w:pPr>
        <w:spacing w:line="360" w:lineRule="auto"/>
        <w:ind w:firstLine="45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计划开工日期：</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日。（具体以发包人书面通知为准）</w:t>
      </w:r>
    </w:p>
    <w:p w14:paraId="548CE802">
      <w:pPr>
        <w:spacing w:line="360" w:lineRule="auto"/>
        <w:ind w:firstLine="45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计划竣工日期：</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日。</w:t>
      </w:r>
    </w:p>
    <w:p w14:paraId="5249A972">
      <w:pPr>
        <w:spacing w:line="360" w:lineRule="auto"/>
        <w:ind w:firstLine="45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工期总日历天数：</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天。工期总日历天数与根据前述计划开竣工日期计算的工期天数不一致的，以工期总日历天数为准。</w:t>
      </w:r>
    </w:p>
    <w:p w14:paraId="7AE72CCF">
      <w:pPr>
        <w:spacing w:line="360" w:lineRule="auto"/>
        <w:ind w:firstLine="45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三、质量标准</w:t>
      </w:r>
    </w:p>
    <w:p w14:paraId="36F88CD0">
      <w:pPr>
        <w:spacing w:line="360" w:lineRule="auto"/>
        <w:ind w:firstLine="45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工程质量符合</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标准。</w:t>
      </w:r>
    </w:p>
    <w:p w14:paraId="332B022A">
      <w:pPr>
        <w:spacing w:line="360" w:lineRule="auto"/>
        <w:ind w:firstLine="45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四、签约合同价与合同价格形式</w:t>
      </w:r>
    </w:p>
    <w:p w14:paraId="7AF0B427">
      <w:pPr>
        <w:spacing w:line="360" w:lineRule="auto"/>
        <w:ind w:firstLine="45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签约合同价为：</w:t>
      </w:r>
    </w:p>
    <w:p w14:paraId="30B9348F">
      <w:pPr>
        <w:spacing w:line="360" w:lineRule="auto"/>
        <w:ind w:firstLine="525"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p w14:paraId="053DE944">
      <w:pPr>
        <w:spacing w:line="360" w:lineRule="auto"/>
        <w:ind w:firstLine="525"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其中：</w:t>
      </w:r>
    </w:p>
    <w:p w14:paraId="61071AC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（1）安全文明施工费：</w:t>
      </w:r>
    </w:p>
    <w:p w14:paraId="7F1E4B4B">
      <w:pPr>
        <w:spacing w:line="360" w:lineRule="auto"/>
        <w:ind w:left="420" w:leftChars="200" w:firstLine="525"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p w14:paraId="658C7D8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（2）建安劳保费：</w:t>
      </w:r>
    </w:p>
    <w:p w14:paraId="17E45EDD">
      <w:pPr>
        <w:spacing w:line="360" w:lineRule="auto"/>
        <w:ind w:left="420" w:leftChars="200" w:firstLine="525"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p w14:paraId="75F1986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（3）材料和工程设备暂估价金额：</w:t>
      </w:r>
    </w:p>
    <w:p w14:paraId="7666E2D2">
      <w:pPr>
        <w:spacing w:line="360" w:lineRule="auto"/>
        <w:ind w:firstLine="945" w:firstLineChars="4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p w14:paraId="4B34A72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（4）专业工程暂估价金额：</w:t>
      </w:r>
    </w:p>
    <w:p w14:paraId="3632746D">
      <w:pPr>
        <w:spacing w:line="360" w:lineRule="auto"/>
        <w:ind w:firstLine="945" w:firstLineChars="4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p w14:paraId="35FFE2C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（5）暂列金额：</w:t>
      </w:r>
    </w:p>
    <w:p w14:paraId="61253F0C">
      <w:pPr>
        <w:spacing w:line="360" w:lineRule="auto"/>
        <w:ind w:firstLine="945" w:firstLineChars="4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p w14:paraId="26F579FF">
      <w:pPr>
        <w:spacing w:line="360" w:lineRule="auto"/>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（6）增值税额：</w:t>
      </w:r>
    </w:p>
    <w:p w14:paraId="0474F91C">
      <w:pPr>
        <w:spacing w:line="360" w:lineRule="auto"/>
        <w:ind w:firstLine="945" w:firstLineChars="4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p w14:paraId="05061648">
      <w:pPr>
        <w:spacing w:line="360" w:lineRule="auto"/>
        <w:ind w:firstLine="987" w:firstLineChars="4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增值税率：</w:t>
      </w:r>
      <w:r>
        <w:rPr>
          <w:rFonts w:hint="eastAsia" w:asciiTheme="minorEastAsia" w:hAnsiTheme="minorEastAsia" w:eastAsiaTheme="minorEastAsia" w:cstheme="minorEastAsia"/>
          <w:color w:val="auto"/>
          <w:highlight w:val="none"/>
          <w:u w:val="single"/>
        </w:rPr>
        <w:t xml:space="preserve">  　　　　　　  </w:t>
      </w:r>
    </w:p>
    <w:p w14:paraId="758D48F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 合同价格形式：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F3327FD">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五、项目经理</w:t>
      </w:r>
    </w:p>
    <w:p w14:paraId="68DD95A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承包人项目经理：</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454F365D">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六、合同文件构成</w:t>
      </w:r>
    </w:p>
    <w:p w14:paraId="1190EDD5">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本协议书与下列文件一起构成合同文件：</w:t>
      </w:r>
    </w:p>
    <w:p w14:paraId="17601183">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（1）成交通知书；</w:t>
      </w:r>
    </w:p>
    <w:p w14:paraId="62234E65">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（2）投标函及其附录； </w:t>
      </w:r>
    </w:p>
    <w:p w14:paraId="4C704250">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（3）专用合同条款及其附件；</w:t>
      </w:r>
    </w:p>
    <w:p w14:paraId="08C02C3E">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（4）通用合同条款；</w:t>
      </w:r>
    </w:p>
    <w:p w14:paraId="037AFF94">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（5）技术标准和要求；</w:t>
      </w:r>
    </w:p>
    <w:p w14:paraId="313E73CC">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（6）已标价工程量清单或预算书； </w:t>
      </w:r>
    </w:p>
    <w:p w14:paraId="19EAFB36">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（7）图纸；</w:t>
      </w:r>
    </w:p>
    <w:p w14:paraId="18F440DC">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（8）其他合同文件。</w:t>
      </w:r>
    </w:p>
    <w:p w14:paraId="07D17036">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在合同订立及履行过程中形成的与合同有关的文件均构成合同文件组成部分。</w:t>
      </w:r>
    </w:p>
    <w:p w14:paraId="5ABE4092">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546B6F67">
      <w:pPr>
        <w:autoSpaceDE w:val="0"/>
        <w:autoSpaceDN w:val="0"/>
        <w:adjustRightInd w:val="0"/>
        <w:spacing w:line="360" w:lineRule="auto"/>
        <w:ind w:firstLine="422" w:firstLineChars="200"/>
        <w:jc w:val="lef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七、承诺</w:t>
      </w:r>
    </w:p>
    <w:p w14:paraId="486EF625">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 发包人承诺按照法律规定履行项目审批手续、筹集工程建设资金并按照合同约定的期限和方式支付合同价款。</w:t>
      </w:r>
    </w:p>
    <w:p w14:paraId="3D25B81F">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 承包人承诺按照法律规定及合同约定组织完成工程施工，确保工程质量和安全，不进行转包及违法分包，并在缺陷责任期及保修期内承担相应的工程维修责任。</w:t>
      </w:r>
    </w:p>
    <w:p w14:paraId="70737F14">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 发包人和承包人通过招投标形式签订合同的，双方理解并承诺不再就同一工程另行签订与合同实质性内容相背离的协议。</w:t>
      </w:r>
    </w:p>
    <w:p w14:paraId="3C66A008">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八、词语含义</w:t>
      </w:r>
    </w:p>
    <w:p w14:paraId="7E9D7584">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本协议书中词语含义与第二部分通用合同条款中赋予的含义相同。</w:t>
      </w:r>
    </w:p>
    <w:p w14:paraId="6C7E61EA">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九、签订时间</w:t>
      </w:r>
    </w:p>
    <w:p w14:paraId="73C8F1C1">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本合同于</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年</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月</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日签订。</w:t>
      </w:r>
    </w:p>
    <w:p w14:paraId="4DDC6BC3">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十、签订地点</w:t>
      </w:r>
    </w:p>
    <w:p w14:paraId="536B208E">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本合同在</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签订。</w:t>
      </w:r>
    </w:p>
    <w:p w14:paraId="182BFE3F">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十一、补充协议</w:t>
      </w:r>
    </w:p>
    <w:p w14:paraId="0DADE2A8">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合同未尽事宜，合同当事人另行签订补充协议，补充协议是合同的组成部分。</w:t>
      </w:r>
    </w:p>
    <w:p w14:paraId="28FA272C">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十二、合同生效</w:t>
      </w:r>
    </w:p>
    <w:p w14:paraId="597A1930">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本合同自</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生效。</w:t>
      </w:r>
    </w:p>
    <w:p w14:paraId="52DA3017">
      <w:pPr>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十三、合同份数</w:t>
      </w:r>
    </w:p>
    <w:p w14:paraId="540A64A3">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本合同一式</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份，均具有同等法律效力，发包人执</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份，承包人执</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份。</w:t>
      </w:r>
    </w:p>
    <w:p w14:paraId="7827E675">
      <w:pPr>
        <w:spacing w:line="360" w:lineRule="auto"/>
        <w:rPr>
          <w:rFonts w:hint="eastAsia" w:asciiTheme="minorEastAsia" w:hAnsiTheme="minorEastAsia" w:eastAsiaTheme="minorEastAsia" w:cstheme="minorEastAsia"/>
          <w:bCs/>
          <w:color w:val="auto"/>
          <w:highlight w:val="none"/>
        </w:rPr>
      </w:pPr>
    </w:p>
    <w:p w14:paraId="1CEF8F41">
      <w:pPr>
        <w:spacing w:line="360" w:lineRule="auto"/>
        <w:rPr>
          <w:rFonts w:hint="eastAsia" w:asciiTheme="minorEastAsia" w:hAnsiTheme="minorEastAsia" w:eastAsiaTheme="minorEastAsia" w:cstheme="minorEastAsia"/>
          <w:color w:val="auto"/>
          <w:highlight w:val="none"/>
        </w:rPr>
      </w:pPr>
    </w:p>
    <w:p w14:paraId="7F4B02F0">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  （公章）                              承包人：  （公章）</w:t>
      </w:r>
    </w:p>
    <w:p w14:paraId="0C86557F">
      <w:pP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                                 </w:t>
      </w:r>
    </w:p>
    <w:p w14:paraId="3A3DC818">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                    法定代表人或其委托代理人：</w:t>
      </w:r>
    </w:p>
    <w:p w14:paraId="1F9E2124">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（签字）                                     （签字）</w:t>
      </w:r>
    </w:p>
    <w:p w14:paraId="2C8CDE76">
      <w:pPr>
        <w:spacing w:line="360" w:lineRule="auto"/>
        <w:rPr>
          <w:rFonts w:hint="eastAsia" w:asciiTheme="minorEastAsia" w:hAnsiTheme="minorEastAsia" w:eastAsiaTheme="minorEastAsia" w:cstheme="minorEastAsia"/>
          <w:color w:val="auto"/>
          <w:highlight w:val="none"/>
          <w:u w:val="single"/>
        </w:rPr>
      </w:pPr>
    </w:p>
    <w:p w14:paraId="5B22CCF0">
      <w:pPr>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社会信用代码</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社会信用代码：</w:t>
      </w:r>
      <w:r>
        <w:rPr>
          <w:rFonts w:hint="eastAsia" w:asciiTheme="minorEastAsia" w:hAnsiTheme="minorEastAsia" w:eastAsiaTheme="minorEastAsia" w:cstheme="minorEastAsia"/>
          <w:color w:val="auto"/>
          <w:highlight w:val="none"/>
          <w:u w:val="single"/>
        </w:rPr>
        <w:t></w:t>
      </w:r>
    </w:p>
    <w:p w14:paraId="4FFDF62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地  址：</w:t>
      </w:r>
      <w:r>
        <w:rPr>
          <w:rFonts w:hint="eastAsia" w:asciiTheme="minorEastAsia" w:hAnsiTheme="minorEastAsia" w:eastAsiaTheme="minorEastAsia" w:cstheme="minorEastAsia"/>
          <w:color w:val="auto"/>
          <w:highlight w:val="none"/>
          <w:u w:val="single"/>
        </w:rPr>
        <w:t xml:space="preserve">        </w:t>
      </w:r>
    </w:p>
    <w:p w14:paraId="35AA6AAA">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 xml:space="preserve">                 邮政编码：</w:t>
      </w:r>
      <w:r>
        <w:rPr>
          <w:rFonts w:hint="eastAsia" w:asciiTheme="minorEastAsia" w:hAnsiTheme="minorEastAsia" w:eastAsiaTheme="minorEastAsia" w:cstheme="minorEastAsia"/>
          <w:color w:val="auto"/>
          <w:highlight w:val="none"/>
          <w:u w:val="single"/>
        </w:rPr>
        <w:t xml:space="preserve">   </w:t>
      </w:r>
    </w:p>
    <w:p w14:paraId="09FFB11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法定代表人：</w:t>
      </w:r>
      <w:r>
        <w:rPr>
          <w:rFonts w:hint="eastAsia" w:asciiTheme="minorEastAsia" w:hAnsiTheme="minorEastAsia" w:eastAsiaTheme="minorEastAsia" w:cstheme="minorEastAsia"/>
          <w:color w:val="auto"/>
          <w:highlight w:val="none"/>
          <w:u w:val="single"/>
        </w:rPr>
        <w:t xml:space="preserve">             </w:t>
      </w:r>
    </w:p>
    <w:p w14:paraId="06F64A9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委托代理人：</w:t>
      </w:r>
      <w:r>
        <w:rPr>
          <w:rFonts w:hint="eastAsia" w:asciiTheme="minorEastAsia" w:hAnsiTheme="minorEastAsia" w:eastAsiaTheme="minorEastAsia" w:cstheme="minorEastAsia"/>
          <w:color w:val="auto"/>
          <w:highlight w:val="none"/>
          <w:u w:val="single"/>
        </w:rPr>
        <w:t xml:space="preserve">             </w:t>
      </w:r>
    </w:p>
    <w:p w14:paraId="17191B58">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电  话：</w:t>
      </w:r>
      <w:r>
        <w:rPr>
          <w:rFonts w:hint="eastAsia" w:asciiTheme="minorEastAsia" w:hAnsiTheme="minorEastAsia" w:eastAsiaTheme="minorEastAsia" w:cstheme="minorEastAsia"/>
          <w:color w:val="auto"/>
          <w:highlight w:val="none"/>
          <w:u w:val="single"/>
        </w:rPr>
        <w:t xml:space="preserve">     </w:t>
      </w:r>
    </w:p>
    <w:p w14:paraId="5250BE04">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传  真：</w:t>
      </w:r>
      <w:r>
        <w:rPr>
          <w:rFonts w:hint="eastAsia" w:asciiTheme="minorEastAsia" w:hAnsiTheme="minorEastAsia" w:eastAsiaTheme="minorEastAsia" w:cstheme="minorEastAsia"/>
          <w:color w:val="auto"/>
          <w:highlight w:val="none"/>
          <w:u w:val="single"/>
        </w:rPr>
        <w:t xml:space="preserve">     </w:t>
      </w:r>
    </w:p>
    <w:p w14:paraId="4E5207AE">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电子信箱：</w:t>
      </w:r>
      <w:r>
        <w:rPr>
          <w:rFonts w:hint="eastAsia" w:asciiTheme="minorEastAsia" w:hAnsiTheme="minorEastAsia" w:eastAsiaTheme="minorEastAsia" w:cstheme="minorEastAsia"/>
          <w:color w:val="auto"/>
          <w:highlight w:val="none"/>
          <w:u w:val="single"/>
        </w:rPr>
        <w:t xml:space="preserve">   </w:t>
      </w:r>
    </w:p>
    <w:p w14:paraId="5E38E7D4">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开户银行：</w:t>
      </w:r>
      <w:r>
        <w:rPr>
          <w:rFonts w:hint="eastAsia" w:asciiTheme="minorEastAsia" w:hAnsiTheme="minorEastAsia" w:eastAsiaTheme="minorEastAsia" w:cstheme="minorEastAsia"/>
          <w:color w:val="auto"/>
          <w:highlight w:val="none"/>
          <w:u w:val="single"/>
        </w:rPr>
        <w:t xml:space="preserve">   </w:t>
      </w:r>
    </w:p>
    <w:p w14:paraId="73C9B3D3">
      <w:pPr>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账  号：</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 xml:space="preserve">                  账  号：</w:t>
      </w:r>
      <w:r>
        <w:rPr>
          <w:rFonts w:hint="eastAsia" w:asciiTheme="minorEastAsia" w:hAnsiTheme="minorEastAsia" w:eastAsiaTheme="minorEastAsia" w:cstheme="minorEastAsia"/>
          <w:color w:val="auto"/>
          <w:highlight w:val="none"/>
          <w:u w:val="single"/>
        </w:rPr>
        <w:t xml:space="preserve">     </w:t>
      </w:r>
    </w:p>
    <w:p w14:paraId="6DF5019D">
      <w:pPr>
        <w:widowControl/>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br w:type="page"/>
      </w:r>
    </w:p>
    <w:p w14:paraId="59B187E0">
      <w:pPr>
        <w:pStyle w:val="2"/>
        <w:jc w:val="center"/>
        <w:rPr>
          <w:rFonts w:hint="eastAsia" w:asciiTheme="minorEastAsia" w:hAnsiTheme="minorEastAsia" w:eastAsiaTheme="minorEastAsia" w:cstheme="minorEastAsia"/>
          <w:color w:val="auto"/>
          <w:highlight w:val="none"/>
        </w:rPr>
      </w:pPr>
      <w:bookmarkStart w:id="143" w:name="_Toc477197184"/>
      <w:bookmarkEnd w:id="143"/>
      <w:bookmarkStart w:id="144" w:name="_Toc469308990"/>
      <w:bookmarkEnd w:id="144"/>
      <w:bookmarkStart w:id="145" w:name="_Toc466232903"/>
      <w:bookmarkEnd w:id="145"/>
      <w:bookmarkStart w:id="146" w:name="_Toc478067910"/>
      <w:bookmarkEnd w:id="146"/>
      <w:bookmarkStart w:id="147" w:name="_Toc468956398"/>
      <w:bookmarkEnd w:id="147"/>
      <w:bookmarkStart w:id="148" w:name="_Toc477337730"/>
      <w:bookmarkEnd w:id="148"/>
      <w:bookmarkStart w:id="149" w:name="_Toc476555585"/>
      <w:bookmarkEnd w:id="149"/>
      <w:bookmarkStart w:id="150" w:name="_Toc475386996"/>
      <w:bookmarkEnd w:id="150"/>
      <w:bookmarkStart w:id="151" w:name="_Toc469155302"/>
      <w:bookmarkEnd w:id="151"/>
      <w:bookmarkStart w:id="152" w:name="_Toc469309113"/>
      <w:bookmarkStart w:id="153" w:name="_Toc28964"/>
      <w:bookmarkStart w:id="154" w:name="_Toc4476"/>
      <w:r>
        <w:rPr>
          <w:rFonts w:hint="eastAsia" w:asciiTheme="minorEastAsia" w:hAnsiTheme="minorEastAsia" w:eastAsiaTheme="minorEastAsia" w:cstheme="minorEastAsia"/>
          <w:color w:val="auto"/>
          <w:highlight w:val="none"/>
        </w:rPr>
        <w:t>第二部分 通用</w:t>
      </w:r>
      <w:bookmarkEnd w:id="152"/>
      <w:r>
        <w:rPr>
          <w:rFonts w:hint="eastAsia" w:asciiTheme="minorEastAsia" w:hAnsiTheme="minorEastAsia" w:eastAsiaTheme="minorEastAsia" w:cstheme="minorEastAsia"/>
          <w:color w:val="auto"/>
          <w:highlight w:val="none"/>
        </w:rPr>
        <w:t>合同条款</w:t>
      </w:r>
      <w:bookmarkEnd w:id="153"/>
      <w:bookmarkEnd w:id="154"/>
    </w:p>
    <w:p w14:paraId="4A95D221">
      <w:pPr>
        <w:ind w:firstLine="1558" w:firstLineChars="739"/>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t>采用《建设工程施工合同（示范文本）》（GF—2013—0201）。</w:t>
      </w:r>
    </w:p>
    <w:p w14:paraId="6CB0F473">
      <w:pPr>
        <w:pStyle w:val="2"/>
        <w:spacing w:line="460" w:lineRule="exact"/>
        <w:jc w:val="center"/>
        <w:rPr>
          <w:rFonts w:hint="eastAsia" w:asciiTheme="minorEastAsia" w:hAnsiTheme="minorEastAsia" w:eastAsiaTheme="minorEastAsia" w:cstheme="minorEastAsia"/>
          <w:color w:val="auto"/>
          <w:sz w:val="30"/>
          <w:szCs w:val="30"/>
          <w:highlight w:val="none"/>
        </w:rPr>
      </w:pPr>
      <w:bookmarkStart w:id="155" w:name="_Toc475386997"/>
      <w:bookmarkEnd w:id="155"/>
      <w:bookmarkStart w:id="156" w:name="_Toc469155303"/>
      <w:bookmarkEnd w:id="156"/>
      <w:bookmarkStart w:id="157" w:name="_Toc468956399"/>
      <w:bookmarkEnd w:id="157"/>
      <w:bookmarkStart w:id="158" w:name="_Toc476555586"/>
      <w:bookmarkEnd w:id="158"/>
      <w:bookmarkStart w:id="159" w:name="_Toc477197185"/>
      <w:bookmarkEnd w:id="159"/>
      <w:bookmarkStart w:id="160" w:name="_Toc469309114"/>
      <w:bookmarkEnd w:id="160"/>
      <w:bookmarkStart w:id="161" w:name="_Toc466232904"/>
      <w:bookmarkEnd w:id="161"/>
      <w:bookmarkStart w:id="162" w:name="_Toc478067911"/>
      <w:bookmarkEnd w:id="162"/>
      <w:bookmarkStart w:id="163" w:name="_Toc477337731"/>
      <w:bookmarkEnd w:id="163"/>
      <w:bookmarkStart w:id="164" w:name="_Toc469308991"/>
      <w:bookmarkEnd w:id="164"/>
      <w:bookmarkStart w:id="165" w:name="_Toc15056"/>
      <w:bookmarkStart w:id="166" w:name="_Toc14372"/>
      <w:r>
        <w:rPr>
          <w:rFonts w:hint="eastAsia" w:asciiTheme="minorEastAsia" w:hAnsiTheme="minorEastAsia" w:eastAsiaTheme="minorEastAsia" w:cstheme="minorEastAsia"/>
          <w:color w:val="auto"/>
          <w:sz w:val="30"/>
          <w:szCs w:val="30"/>
          <w:highlight w:val="none"/>
        </w:rPr>
        <w:t>第三部分</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专用合同条款</w:t>
      </w:r>
      <w:bookmarkEnd w:id="165"/>
      <w:bookmarkEnd w:id="166"/>
    </w:p>
    <w:p w14:paraId="67FD689E">
      <w:pPr>
        <w:pStyle w:val="15"/>
        <w:spacing w:line="360" w:lineRule="exact"/>
        <w:rPr>
          <w:rFonts w:hint="eastAsia" w:asciiTheme="minorEastAsia" w:hAnsiTheme="minorEastAsia" w:eastAsiaTheme="minorEastAsia" w:cstheme="minorEastAsia"/>
          <w:color w:val="auto"/>
          <w:highlight w:val="none"/>
        </w:rPr>
      </w:pPr>
      <w:bookmarkStart w:id="167" w:name="_Toc469308992"/>
      <w:bookmarkEnd w:id="167"/>
      <w:bookmarkStart w:id="168" w:name="_Toc468956400"/>
      <w:bookmarkEnd w:id="168"/>
      <w:bookmarkStart w:id="169" w:name="_Toc469155304"/>
      <w:bookmarkEnd w:id="169"/>
    </w:p>
    <w:p w14:paraId="37228BEF">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44"/>
          <w:szCs w:val="44"/>
          <w:highlight w:val="none"/>
        </w:rPr>
        <w:t xml:space="preserve"> </w:t>
      </w:r>
      <w:bookmarkStart w:id="170" w:name="_Toc511243540"/>
      <w:bookmarkStart w:id="171" w:name="_Toc511243314"/>
      <w:bookmarkStart w:id="172" w:name="_Toc509759997"/>
      <w:bookmarkStart w:id="173" w:name="_Toc465114853"/>
      <w:r>
        <w:rPr>
          <w:rFonts w:hint="eastAsia" w:asciiTheme="minorEastAsia" w:hAnsiTheme="minorEastAsia" w:eastAsiaTheme="minorEastAsia" w:cstheme="minorEastAsia"/>
          <w:color w:val="auto"/>
          <w:highlight w:val="none"/>
        </w:rPr>
        <w:t>1. 一般约定</w:t>
      </w:r>
      <w:bookmarkEnd w:id="170"/>
      <w:bookmarkEnd w:id="171"/>
      <w:bookmarkEnd w:id="172"/>
      <w:bookmarkEnd w:id="173"/>
    </w:p>
    <w:p w14:paraId="1A588C8F">
      <w:pPr>
        <w:pStyle w:val="4"/>
        <w:rPr>
          <w:rFonts w:hint="eastAsia" w:asciiTheme="minorEastAsia" w:hAnsiTheme="minorEastAsia" w:eastAsiaTheme="minorEastAsia" w:cstheme="minorEastAsia"/>
          <w:color w:val="auto"/>
          <w:highlight w:val="none"/>
        </w:rPr>
      </w:pPr>
      <w:bookmarkStart w:id="174" w:name="_Toc511243315"/>
      <w:bookmarkStart w:id="175" w:name="_Toc465114854"/>
      <w:bookmarkStart w:id="176" w:name="_Toc511243541"/>
      <w:bookmarkStart w:id="177" w:name="_Toc509759998"/>
      <w:r>
        <w:rPr>
          <w:rFonts w:hint="eastAsia" w:asciiTheme="minorEastAsia" w:hAnsiTheme="minorEastAsia" w:eastAsiaTheme="minorEastAsia" w:cstheme="minorEastAsia"/>
          <w:color w:val="auto"/>
          <w:highlight w:val="none"/>
        </w:rPr>
        <w:t>1.1 词语定义</w:t>
      </w:r>
      <w:bookmarkEnd w:id="174"/>
      <w:bookmarkEnd w:id="175"/>
      <w:bookmarkEnd w:id="176"/>
      <w:bookmarkEnd w:id="177"/>
    </w:p>
    <w:p w14:paraId="1D912E6F">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1.1.1 合同</w:t>
      </w:r>
    </w:p>
    <w:p w14:paraId="34F812E4">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1.1.1.10 其他合同文件包括：</w:t>
      </w:r>
      <w:r>
        <w:rPr>
          <w:rFonts w:hint="eastAsia" w:asciiTheme="minorEastAsia" w:hAnsiTheme="minorEastAsia" w:eastAsiaTheme="minorEastAsia" w:cstheme="minorEastAsia"/>
          <w:color w:val="auto"/>
          <w:highlight w:val="none"/>
          <w:u w:val="single"/>
        </w:rPr>
        <w:t xml:space="preserve">（1）合同协议书；（2）中标通知书；（3）投标文件及其附录；（4）专用合同条款；（5）通用合同条款；（6）招标文件（含所有补充和答疑）；（7）技术标准和要求；（8）已标价工程量清单或预算书；（9）图纸；（10）其他合同文件等；（11）《建设工程工程量清单计价规范（GB50500-2013）》、《建设工程工程量清单计算规范（GB5854~50862-2013）及其广西实施细则（修订本）》  </w:t>
      </w:r>
      <w:r>
        <w:rPr>
          <w:rFonts w:hint="eastAsia" w:asciiTheme="minorEastAsia" w:hAnsiTheme="minorEastAsia" w:eastAsiaTheme="minorEastAsia" w:cstheme="minorEastAsia"/>
          <w:color w:val="auto"/>
          <w:highlight w:val="none"/>
        </w:rPr>
        <w:t>。</w:t>
      </w:r>
    </w:p>
    <w:p w14:paraId="3A3321D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合同当事人及其他相关方</w:t>
      </w:r>
    </w:p>
    <w:p w14:paraId="1DC5283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1.1.2.4 监理人：</w:t>
      </w:r>
    </w:p>
    <w:p w14:paraId="52B8C32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w:t>
      </w:r>
    </w:p>
    <w:p w14:paraId="4E67CA6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资质类别和等级：</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p>
    <w:p w14:paraId="7034556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2E7E32F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14:paraId="715F8E9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220D277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1.1.2.5 设计人：</w:t>
      </w:r>
    </w:p>
    <w:p w14:paraId="0CBCC66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w:t>
      </w:r>
    </w:p>
    <w:p w14:paraId="5DB079E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资质类别和等级：</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p>
    <w:p w14:paraId="2B50A87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p>
    <w:p w14:paraId="785D1AA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xml:space="preserve">                    </w:t>
      </w:r>
      <w:r>
        <w:rPr>
          <w:rFonts w:hint="eastAsia" w:asciiTheme="minorEastAsia" w:hAnsiTheme="minorEastAsia" w:eastAsiaTheme="minorEastAsia" w:cstheme="minorEastAsia"/>
          <w:color w:val="auto"/>
          <w:highlight w:val="none"/>
        </w:rPr>
        <w:t>；</w:t>
      </w:r>
    </w:p>
    <w:p w14:paraId="11E9C50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6EA8B70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 工程和设备</w:t>
      </w:r>
    </w:p>
    <w:p w14:paraId="7799261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1.1.3.7 作为施工现场组成部分的其他场所包括：</w:t>
      </w:r>
      <w:r>
        <w:rPr>
          <w:rFonts w:hint="eastAsia" w:asciiTheme="minorEastAsia" w:hAnsiTheme="minorEastAsia" w:eastAsiaTheme="minorEastAsia" w:cstheme="minorEastAsia"/>
          <w:color w:val="auto"/>
          <w:highlight w:val="none"/>
          <w:u w:val="single"/>
        </w:rPr>
        <w:t xml:space="preserve">按现有条件施工  </w:t>
      </w:r>
      <w:r>
        <w:rPr>
          <w:rFonts w:hint="eastAsia" w:asciiTheme="minorEastAsia" w:hAnsiTheme="minorEastAsia" w:eastAsiaTheme="minorEastAsia" w:cstheme="minorEastAsia"/>
          <w:color w:val="auto"/>
          <w:highlight w:val="none"/>
        </w:rPr>
        <w:t>。</w:t>
      </w:r>
    </w:p>
    <w:p w14:paraId="262D63C3">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1.1.3.9 永久占地包括：</w:t>
      </w:r>
      <w:r>
        <w:rPr>
          <w:rFonts w:hint="eastAsia" w:asciiTheme="minorEastAsia" w:hAnsiTheme="minorEastAsia" w:eastAsiaTheme="minorEastAsia" w:cstheme="minorEastAsia"/>
          <w:color w:val="auto"/>
          <w:highlight w:val="none"/>
          <w:u w:val="single"/>
        </w:rPr>
        <w:t>施工图所示占地线范围，范围、坐标详见施工图。</w:t>
      </w:r>
    </w:p>
    <w:p w14:paraId="0818FB4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1.1.3.10 临时占地包括：</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kern w:val="0"/>
          <w:highlight w:val="none"/>
        </w:rPr>
        <w:t>。</w:t>
      </w:r>
    </w:p>
    <w:p w14:paraId="6D4B8BC2">
      <w:pPr>
        <w:pStyle w:val="4"/>
        <w:rPr>
          <w:rFonts w:hint="eastAsia" w:asciiTheme="minorEastAsia" w:hAnsiTheme="minorEastAsia" w:eastAsiaTheme="minorEastAsia" w:cstheme="minorEastAsia"/>
          <w:color w:val="auto"/>
          <w:highlight w:val="none"/>
        </w:rPr>
      </w:pPr>
      <w:bookmarkStart w:id="178" w:name="_Toc465114855"/>
      <w:bookmarkStart w:id="179" w:name="_Toc509759999"/>
      <w:bookmarkStart w:id="180" w:name="_Toc511243316"/>
      <w:bookmarkStart w:id="181" w:name="_Toc511243542"/>
      <w:r>
        <w:rPr>
          <w:rFonts w:hint="eastAsia" w:asciiTheme="minorEastAsia" w:hAnsiTheme="minorEastAsia" w:eastAsiaTheme="minorEastAsia" w:cstheme="minorEastAsia"/>
          <w:color w:val="auto"/>
          <w:highlight w:val="none"/>
        </w:rPr>
        <w:t>1.3 法律</w:t>
      </w:r>
      <w:bookmarkEnd w:id="178"/>
      <w:bookmarkEnd w:id="179"/>
      <w:bookmarkEnd w:id="180"/>
      <w:bookmarkEnd w:id="181"/>
    </w:p>
    <w:p w14:paraId="79E47B2F">
      <w:pPr>
        <w:autoSpaceDE w:val="0"/>
        <w:autoSpaceDN w:val="0"/>
        <w:adjustRightIn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适用于合同的其他规范性文件：</w:t>
      </w:r>
      <w:r>
        <w:rPr>
          <w:rFonts w:hint="eastAsia" w:asciiTheme="minorEastAsia" w:hAnsiTheme="minorEastAsia" w:eastAsiaTheme="minorEastAsia" w:cstheme="minorEastAsia"/>
          <w:color w:val="auto"/>
          <w:highlight w:val="none"/>
          <w:u w:val="single"/>
        </w:rPr>
        <w:t>按合同签订时国家现行法律、行政法规及工程所在地政府有关法规和规章</w:t>
      </w:r>
      <w:r>
        <w:rPr>
          <w:rFonts w:hint="eastAsia" w:asciiTheme="minorEastAsia" w:hAnsiTheme="minorEastAsia" w:eastAsiaTheme="minorEastAsia" w:cstheme="minorEastAsia"/>
          <w:color w:val="auto"/>
          <w:highlight w:val="none"/>
        </w:rPr>
        <w:t>。</w:t>
      </w:r>
    </w:p>
    <w:p w14:paraId="2FD7D079">
      <w:pPr>
        <w:pStyle w:val="4"/>
        <w:rPr>
          <w:rFonts w:hint="eastAsia" w:asciiTheme="minorEastAsia" w:hAnsiTheme="minorEastAsia" w:eastAsiaTheme="minorEastAsia" w:cstheme="minorEastAsia"/>
          <w:color w:val="auto"/>
          <w:highlight w:val="none"/>
        </w:rPr>
      </w:pPr>
      <w:bookmarkStart w:id="182" w:name="_Toc509760000"/>
      <w:bookmarkStart w:id="183" w:name="_Toc465114856"/>
      <w:bookmarkStart w:id="184" w:name="_Toc511243317"/>
      <w:bookmarkStart w:id="185" w:name="_Toc511243543"/>
      <w:r>
        <w:rPr>
          <w:rFonts w:hint="eastAsia" w:asciiTheme="minorEastAsia" w:hAnsiTheme="minorEastAsia" w:eastAsiaTheme="minorEastAsia" w:cstheme="minorEastAsia"/>
          <w:color w:val="auto"/>
          <w:highlight w:val="none"/>
        </w:rPr>
        <w:t>1.4 标准和规范</w:t>
      </w:r>
      <w:bookmarkEnd w:id="182"/>
      <w:bookmarkEnd w:id="183"/>
      <w:bookmarkEnd w:id="184"/>
      <w:bookmarkEnd w:id="185"/>
    </w:p>
    <w:p w14:paraId="1295CB60">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 适用于工程的标准规范包括：</w:t>
      </w:r>
      <w:r>
        <w:rPr>
          <w:rFonts w:hint="eastAsia" w:asciiTheme="minorEastAsia" w:hAnsiTheme="minorEastAsia" w:eastAsiaTheme="minorEastAsia" w:cstheme="minorEastAsia"/>
          <w:color w:val="auto"/>
          <w:highlight w:val="none"/>
          <w:u w:val="single"/>
        </w:rPr>
        <w:t>现行国家、地方、部门有关标准规范</w:t>
      </w:r>
      <w:r>
        <w:rPr>
          <w:rFonts w:hint="eastAsia" w:asciiTheme="minorEastAsia" w:hAnsiTheme="minorEastAsia" w:eastAsiaTheme="minorEastAsia" w:cstheme="minorEastAsia"/>
          <w:color w:val="auto"/>
          <w:highlight w:val="none"/>
        </w:rPr>
        <w:t>。</w:t>
      </w:r>
    </w:p>
    <w:p w14:paraId="364BB4DB">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1.4.2 发包人提供国外标准、规范的名称：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413BCB7">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发包人提供国外标准、规范的份数：</w:t>
      </w:r>
      <w:r>
        <w:rPr>
          <w:rFonts w:hint="eastAsia" w:asciiTheme="minorEastAsia" w:hAnsiTheme="minorEastAsia" w:eastAsiaTheme="minorEastAsia" w:cstheme="minorEastAsia"/>
          <w:color w:val="auto"/>
          <w:kern w:val="0"/>
          <w:highlight w:val="none"/>
          <w:u w:val="single"/>
        </w:rPr>
        <w:t xml:space="preserve">    /     </w:t>
      </w:r>
      <w:r>
        <w:rPr>
          <w:rFonts w:hint="eastAsia" w:asciiTheme="minorEastAsia" w:hAnsiTheme="minorEastAsia" w:eastAsiaTheme="minorEastAsia" w:cstheme="minorEastAsia"/>
          <w:color w:val="auto"/>
          <w:kern w:val="0"/>
          <w:highlight w:val="none"/>
        </w:rPr>
        <w:t>；</w:t>
      </w:r>
    </w:p>
    <w:p w14:paraId="0A40F78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发包人提供国外标准、规范的名称：</w:t>
      </w:r>
      <w:r>
        <w:rPr>
          <w:rFonts w:hint="eastAsia" w:asciiTheme="minorEastAsia" w:hAnsiTheme="minorEastAsia" w:eastAsiaTheme="minorEastAsia" w:cstheme="minorEastAsia"/>
          <w:color w:val="auto"/>
          <w:kern w:val="0"/>
          <w:highlight w:val="none"/>
          <w:u w:val="single"/>
        </w:rPr>
        <w:t xml:space="preserve">   /    </w:t>
      </w:r>
      <w:r>
        <w:rPr>
          <w:rFonts w:hint="eastAsia" w:asciiTheme="minorEastAsia" w:hAnsiTheme="minorEastAsia" w:eastAsiaTheme="minorEastAsia" w:cstheme="minorEastAsia"/>
          <w:color w:val="auto"/>
          <w:kern w:val="0"/>
          <w:highlight w:val="none"/>
        </w:rPr>
        <w:t>。</w:t>
      </w:r>
    </w:p>
    <w:p w14:paraId="767E8F84">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1.4.3 发包人对工程的技术标准和功能要求的特殊要求：</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p>
    <w:p w14:paraId="1E5D0BBD">
      <w:pPr>
        <w:pStyle w:val="4"/>
        <w:rPr>
          <w:rFonts w:hint="eastAsia" w:asciiTheme="minorEastAsia" w:hAnsiTheme="minorEastAsia" w:eastAsiaTheme="minorEastAsia" w:cstheme="minorEastAsia"/>
          <w:color w:val="auto"/>
          <w:highlight w:val="none"/>
        </w:rPr>
      </w:pPr>
      <w:bookmarkStart w:id="186" w:name="_Toc511243544"/>
      <w:bookmarkStart w:id="187" w:name="_Toc465114857"/>
      <w:bookmarkStart w:id="188" w:name="_Toc511243318"/>
      <w:bookmarkStart w:id="189" w:name="_Toc509760001"/>
      <w:r>
        <w:rPr>
          <w:rFonts w:hint="eastAsia" w:asciiTheme="minorEastAsia" w:hAnsiTheme="minorEastAsia" w:eastAsiaTheme="minorEastAsia" w:cstheme="minorEastAsia"/>
          <w:color w:val="auto"/>
          <w:highlight w:val="none"/>
        </w:rPr>
        <w:t>1.5 合同文件的优先顺序</w:t>
      </w:r>
      <w:bookmarkEnd w:id="186"/>
      <w:bookmarkEnd w:id="187"/>
      <w:bookmarkEnd w:id="188"/>
      <w:bookmarkEnd w:id="189"/>
    </w:p>
    <w:p w14:paraId="3377CE5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合同文件组成及优先顺序为：</w:t>
      </w:r>
    </w:p>
    <w:p w14:paraId="1E3E83E0">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（1）合同协议书；</w:t>
      </w:r>
    </w:p>
    <w:p w14:paraId="11476EE3">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（2）中标通知书；</w:t>
      </w:r>
    </w:p>
    <w:p w14:paraId="63A43F8E">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（3）投标函及其附录；</w:t>
      </w:r>
    </w:p>
    <w:p w14:paraId="2A838537">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（4）专用合同条款及其附件；</w:t>
      </w:r>
    </w:p>
    <w:p w14:paraId="19BB2B99">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（5）通用合同条款；</w:t>
      </w:r>
    </w:p>
    <w:p w14:paraId="3E0EAC4F">
      <w:pPr>
        <w:pStyle w:val="35"/>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u w:val="single"/>
        </w:rPr>
        <w:t>已标价工程量清单或预算书</w:t>
      </w:r>
      <w:r>
        <w:rPr>
          <w:rFonts w:hint="eastAsia" w:asciiTheme="minorEastAsia" w:hAnsiTheme="minorEastAsia" w:eastAsiaTheme="minorEastAsia" w:cstheme="minorEastAsia"/>
          <w:color w:val="auto"/>
          <w:kern w:val="0"/>
          <w:highlight w:val="none"/>
        </w:rPr>
        <w:t>；</w:t>
      </w:r>
    </w:p>
    <w:p w14:paraId="72F1068B">
      <w:pPr>
        <w:pStyle w:val="35"/>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w:t>
      </w:r>
      <w:r>
        <w:rPr>
          <w:rFonts w:hint="eastAsia" w:asciiTheme="minorEastAsia" w:hAnsiTheme="minorEastAsia" w:eastAsiaTheme="minorEastAsia" w:cstheme="minorEastAsia"/>
          <w:color w:val="auto"/>
          <w:kern w:val="0"/>
          <w:highlight w:val="none"/>
          <w:u w:val="single"/>
        </w:rPr>
        <w:t>施工图纸</w:t>
      </w:r>
      <w:r>
        <w:rPr>
          <w:rFonts w:hint="eastAsia" w:asciiTheme="minorEastAsia" w:hAnsiTheme="minorEastAsia" w:eastAsiaTheme="minorEastAsia" w:cstheme="minorEastAsia"/>
          <w:color w:val="auto"/>
          <w:kern w:val="0"/>
          <w:highlight w:val="none"/>
        </w:rPr>
        <w:t>；</w:t>
      </w:r>
    </w:p>
    <w:p w14:paraId="07558CAB">
      <w:pPr>
        <w:pStyle w:val="35"/>
        <w:spacing w:line="360" w:lineRule="auto"/>
        <w:ind w:firstLine="420" w:firstLineChars="200"/>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u w:val="single"/>
        </w:rPr>
        <w:t xml:space="preserve">技术标准和要求； </w:t>
      </w:r>
    </w:p>
    <w:p w14:paraId="02C87010">
      <w:pPr>
        <w:pStyle w:val="35"/>
        <w:spacing w:line="360" w:lineRule="auto"/>
        <w:ind w:firstLine="420" w:firstLineChars="200"/>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u w:val="single"/>
        </w:rPr>
        <w:t>其他合同文件；</w:t>
      </w:r>
    </w:p>
    <w:p w14:paraId="6982D464">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753D5B5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说明：（6）、（7）、（8）、（9）填空内容分别限于技术标准和要求、图纸、已标价工程量清单或预算书、其他合同文件四者之一，其优先顺序可根据采取的不同合同方式由双方约定。</w:t>
      </w:r>
    </w:p>
    <w:p w14:paraId="195438AD">
      <w:pPr>
        <w:pStyle w:val="4"/>
        <w:rPr>
          <w:rFonts w:hint="eastAsia" w:asciiTheme="minorEastAsia" w:hAnsiTheme="minorEastAsia" w:eastAsiaTheme="minorEastAsia" w:cstheme="minorEastAsia"/>
          <w:color w:val="auto"/>
          <w:highlight w:val="none"/>
        </w:rPr>
      </w:pPr>
      <w:bookmarkStart w:id="190" w:name="_Toc509760002"/>
      <w:bookmarkStart w:id="191" w:name="_Toc511243319"/>
      <w:bookmarkStart w:id="192" w:name="_Toc511243545"/>
      <w:bookmarkStart w:id="193" w:name="_Toc465114858"/>
      <w:r>
        <w:rPr>
          <w:rFonts w:hint="eastAsia" w:asciiTheme="minorEastAsia" w:hAnsiTheme="minorEastAsia" w:eastAsiaTheme="minorEastAsia" w:cstheme="minorEastAsia"/>
          <w:color w:val="auto"/>
          <w:highlight w:val="none"/>
        </w:rPr>
        <w:t>1.6 图纸和承包人文件</w:t>
      </w:r>
      <w:bookmarkEnd w:id="190"/>
      <w:bookmarkEnd w:id="191"/>
      <w:bookmarkEnd w:id="192"/>
      <w:bookmarkEnd w:id="193"/>
      <w:r>
        <w:rPr>
          <w:rFonts w:hint="eastAsia" w:asciiTheme="minorEastAsia" w:hAnsiTheme="minorEastAsia" w:eastAsiaTheme="minorEastAsia" w:cstheme="minorEastAsia"/>
          <w:color w:val="auto"/>
          <w:highlight w:val="none"/>
        </w:rPr>
        <w:tab/>
      </w:r>
    </w:p>
    <w:p w14:paraId="10B3C8E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 图纸的提供</w:t>
      </w:r>
    </w:p>
    <w:p w14:paraId="2C798B5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发包人向承包人提供图纸的期限：</w:t>
      </w:r>
      <w:r>
        <w:rPr>
          <w:rFonts w:hint="eastAsia" w:asciiTheme="minorEastAsia" w:hAnsiTheme="minorEastAsia" w:eastAsiaTheme="minorEastAsia" w:cstheme="minorEastAsia"/>
          <w:color w:val="auto"/>
          <w:highlight w:val="none"/>
          <w:u w:val="single"/>
        </w:rPr>
        <w:t>合同签订之日起7个工作日内</w:t>
      </w:r>
      <w:r>
        <w:rPr>
          <w:rFonts w:hint="eastAsia" w:asciiTheme="minorEastAsia" w:hAnsiTheme="minorEastAsia" w:eastAsiaTheme="minorEastAsia" w:cstheme="minorEastAsia"/>
          <w:color w:val="auto"/>
          <w:highlight w:val="none"/>
        </w:rPr>
        <w:t>；</w:t>
      </w:r>
    </w:p>
    <w:p w14:paraId="6DFA139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发包人向承包人提供图纸的数量：</w:t>
      </w:r>
      <w:r>
        <w:rPr>
          <w:rFonts w:hint="eastAsia" w:asciiTheme="minorEastAsia" w:hAnsiTheme="minorEastAsia" w:eastAsiaTheme="minorEastAsia" w:cstheme="minorEastAsia"/>
          <w:color w:val="auto"/>
          <w:highlight w:val="none"/>
          <w:u w:val="single"/>
        </w:rPr>
        <w:t>叁 套，承包人需要增加图纸套数的，发包人应代为复制，复制费用由承包人承担</w:t>
      </w:r>
      <w:r>
        <w:rPr>
          <w:rFonts w:hint="eastAsia" w:asciiTheme="minorEastAsia" w:hAnsiTheme="minorEastAsia" w:eastAsiaTheme="minorEastAsia" w:cstheme="minorEastAsia"/>
          <w:color w:val="auto"/>
          <w:highlight w:val="none"/>
        </w:rPr>
        <w:t>；</w:t>
      </w:r>
    </w:p>
    <w:p w14:paraId="5139C23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发包人向承包人提供图纸的内容：</w:t>
      </w:r>
      <w:r>
        <w:rPr>
          <w:rFonts w:hint="eastAsia" w:asciiTheme="minorEastAsia" w:hAnsiTheme="minorEastAsia" w:eastAsiaTheme="minorEastAsia" w:cstheme="minorEastAsia"/>
          <w:color w:val="auto"/>
          <w:highlight w:val="none"/>
          <w:u w:val="single"/>
        </w:rPr>
        <w:t>施工图纸和其他技术资料</w:t>
      </w:r>
      <w:r>
        <w:rPr>
          <w:rFonts w:hint="eastAsia" w:asciiTheme="minorEastAsia" w:hAnsiTheme="minorEastAsia" w:eastAsiaTheme="minorEastAsia" w:cstheme="minorEastAsia"/>
          <w:color w:val="auto"/>
          <w:highlight w:val="none"/>
        </w:rPr>
        <w:t>。</w:t>
      </w:r>
    </w:p>
    <w:p w14:paraId="0534C9A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1.6.4 承包人文件</w:t>
      </w:r>
    </w:p>
    <w:p w14:paraId="49F6968E">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需要由承包人提供的文件，包括：</w:t>
      </w:r>
      <w:r>
        <w:rPr>
          <w:rFonts w:hint="eastAsia" w:asciiTheme="minorEastAsia" w:hAnsiTheme="minorEastAsia" w:eastAsiaTheme="minorEastAsia" w:cstheme="minorEastAsia"/>
          <w:color w:val="auto"/>
          <w:highlight w:val="none"/>
          <w:u w:val="single"/>
        </w:rPr>
        <w:t xml:space="preserve">1.施工方责任主体项目责任人质量终身责任书（授权书、承诺书、质量终身责任信息一览表）； </w:t>
      </w:r>
    </w:p>
    <w:p w14:paraId="77C22DF3">
      <w:pPr>
        <w:spacing w:line="360" w:lineRule="auto"/>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2.廉政责任书；                                                                                                      3.施工单位营业执照和资质证书；                                                                                                  4.施工单位的安全生产许可证及年审记录；                                                                                                    5.施工现场及毗邻区域的供水、供电、排水、供气、供热、通信等地下设施情况；                            6.包含施工安全技术措施的施工组织设计；                                                                                                                         7.建筑施工工人工伤险、意外伤害险凭证；                                                                                   8.施工单位缴纳的农民工工资保障金证明和承诺书；                                                                       9.施工单位法人公司对项目部人员的任命文件；                                                                             10.施工单位项目负责人、</w:t>
      </w:r>
      <w:r>
        <w:rPr>
          <w:rFonts w:hint="eastAsia" w:hAnsiTheme="minorEastAsia" w:cstheme="minorEastAsia"/>
          <w:color w:val="auto"/>
          <w:highlight w:val="none"/>
          <w:u w:val="single"/>
          <w:lang w:eastAsia="zh-CN"/>
        </w:rPr>
        <w:t>技术负责人</w:t>
      </w:r>
      <w:r>
        <w:rPr>
          <w:rFonts w:hint="eastAsia" w:asciiTheme="minorEastAsia" w:hAnsiTheme="minorEastAsia" w:eastAsiaTheme="minorEastAsia" w:cstheme="minorEastAsia"/>
          <w:color w:val="auto"/>
          <w:highlight w:val="none"/>
          <w:u w:val="single"/>
        </w:rPr>
        <w:t>、安全员等职业资格或岗位证书；                                                                                                    11.活动板房施工质量检查表和质量竣工验收记录、检测报告；                                                       12.危险性较大的分部分项工程清单和专项安全施工方案；</w:t>
      </w:r>
      <w:r>
        <w:rPr>
          <w:rFonts w:hint="eastAsia" w:asciiTheme="minorEastAsia" w:hAnsiTheme="minorEastAsia" w:eastAsiaTheme="minorEastAsia" w:cstheme="minorEastAsia"/>
          <w:color w:val="auto"/>
          <w:highlight w:val="none"/>
        </w:rPr>
        <w:t>；</w:t>
      </w:r>
    </w:p>
    <w:p w14:paraId="4898176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承包人提供的文件的期限为：</w:t>
      </w:r>
      <w:r>
        <w:rPr>
          <w:rFonts w:hint="eastAsia" w:asciiTheme="minorEastAsia" w:hAnsiTheme="minorEastAsia" w:eastAsiaTheme="minorEastAsia" w:cstheme="minorEastAsia"/>
          <w:color w:val="auto"/>
          <w:highlight w:val="none"/>
          <w:u w:val="single"/>
        </w:rPr>
        <w:t>                             </w:t>
      </w:r>
      <w:r>
        <w:rPr>
          <w:rFonts w:hint="eastAsia" w:asciiTheme="minorEastAsia" w:hAnsiTheme="minorEastAsia" w:eastAsiaTheme="minorEastAsia" w:cstheme="minorEastAsia"/>
          <w:color w:val="auto"/>
          <w:highlight w:val="none"/>
        </w:rPr>
        <w:t>；</w:t>
      </w:r>
    </w:p>
    <w:p w14:paraId="3D79A8B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承包人提供的文件的数量为：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14:paraId="7D1F495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承包人提供的文件的形式为：</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p>
    <w:p w14:paraId="141A1E4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发包人审批承包人文件的期限：</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p>
    <w:p w14:paraId="4C59203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1.6.5 现场图纸准备</w:t>
      </w:r>
    </w:p>
    <w:p w14:paraId="19F27C1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关于现场图纸准备的约定：</w:t>
      </w:r>
      <w:r>
        <w:rPr>
          <w:rFonts w:hint="eastAsia" w:asciiTheme="minorEastAsia" w:hAnsiTheme="minorEastAsia" w:eastAsiaTheme="minorEastAsia" w:cstheme="minorEastAsia"/>
          <w:color w:val="auto"/>
          <w:highlight w:val="none"/>
          <w:u w:val="single"/>
        </w:rPr>
        <w:t>执行《通用条款》</w:t>
      </w:r>
      <w:r>
        <w:rPr>
          <w:rFonts w:hint="eastAsia" w:asciiTheme="minorEastAsia" w:hAnsiTheme="minorEastAsia" w:eastAsiaTheme="minorEastAsia" w:cstheme="minorEastAsia"/>
          <w:color w:val="auto"/>
          <w:highlight w:val="none"/>
        </w:rPr>
        <w:t>。</w:t>
      </w:r>
    </w:p>
    <w:p w14:paraId="487BD059">
      <w:pPr>
        <w:pStyle w:val="4"/>
        <w:rPr>
          <w:rFonts w:hint="eastAsia" w:asciiTheme="minorEastAsia" w:hAnsiTheme="minorEastAsia" w:eastAsiaTheme="minorEastAsia" w:cstheme="minorEastAsia"/>
          <w:color w:val="auto"/>
          <w:highlight w:val="none"/>
        </w:rPr>
      </w:pPr>
      <w:bookmarkStart w:id="194" w:name="_Toc511243320"/>
      <w:bookmarkStart w:id="195" w:name="_Toc465114859"/>
      <w:bookmarkStart w:id="196" w:name="_Toc509760003"/>
      <w:bookmarkStart w:id="197" w:name="_Toc511243546"/>
      <w:r>
        <w:rPr>
          <w:rFonts w:hint="eastAsia" w:asciiTheme="minorEastAsia" w:hAnsiTheme="minorEastAsia" w:eastAsiaTheme="minorEastAsia" w:cstheme="minorEastAsia"/>
          <w:color w:val="auto"/>
          <w:highlight w:val="none"/>
        </w:rPr>
        <w:t>1.7 联络</w:t>
      </w:r>
      <w:bookmarkEnd w:id="194"/>
      <w:bookmarkEnd w:id="195"/>
      <w:bookmarkEnd w:id="196"/>
      <w:bookmarkEnd w:id="197"/>
    </w:p>
    <w:p w14:paraId="1D529B0F">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1.7.1发包人和承包人应当在</w:t>
      </w:r>
      <w:r>
        <w:rPr>
          <w:rFonts w:hint="eastAsia" w:asciiTheme="minorEastAsia" w:hAnsiTheme="minorEastAsia" w:eastAsiaTheme="minorEastAsia" w:cstheme="minorEastAsia"/>
          <w:color w:val="auto"/>
          <w:highlight w:val="none"/>
          <w:u w:val="single"/>
        </w:rPr>
        <w:t xml:space="preserve">3  </w:t>
      </w:r>
      <w:r>
        <w:rPr>
          <w:rFonts w:hint="eastAsia" w:asciiTheme="minorEastAsia" w:hAnsiTheme="minorEastAsia" w:eastAsiaTheme="minorEastAsia" w:cstheme="minorEastAsia"/>
          <w:color w:val="auto"/>
          <w:kern w:val="0"/>
          <w:highlight w:val="none"/>
        </w:rPr>
        <w:t>天内将与合同有关的通知、批准、证明、证书、指示、指令、要求、请求、同意、意见、确定和决定等书面函件送达对方当事人。</w:t>
      </w:r>
    </w:p>
    <w:p w14:paraId="77EA6F31">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1.7.2 发包人接收文件的地点：</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kern w:val="0"/>
          <w:highlight w:val="none"/>
        </w:rPr>
        <w:t>；</w:t>
      </w:r>
    </w:p>
    <w:p w14:paraId="4A703367">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发包人指定的接收人为：</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kern w:val="0"/>
          <w:highlight w:val="none"/>
        </w:rPr>
        <w:t>。</w:t>
      </w:r>
    </w:p>
    <w:p w14:paraId="0601F6A0">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承包人接收文件的地点：</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kern w:val="0"/>
          <w:highlight w:val="none"/>
        </w:rPr>
        <w:t>；</w:t>
      </w:r>
    </w:p>
    <w:p w14:paraId="1C6F1813">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承包人指定的接收人为：</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kern w:val="0"/>
          <w:highlight w:val="none"/>
        </w:rPr>
        <w:t>。</w:t>
      </w:r>
    </w:p>
    <w:p w14:paraId="19A6FAB9">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监理人接收文件的地点：</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kern w:val="0"/>
          <w:highlight w:val="none"/>
        </w:rPr>
        <w:t>；</w:t>
      </w:r>
    </w:p>
    <w:p w14:paraId="6F7639FE">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监理人指定的接收人为：</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kern w:val="0"/>
          <w:highlight w:val="none"/>
        </w:rPr>
        <w:t>。</w:t>
      </w:r>
    </w:p>
    <w:p w14:paraId="4D5531CB">
      <w:pPr>
        <w:pStyle w:val="4"/>
        <w:rPr>
          <w:rFonts w:hint="eastAsia" w:asciiTheme="minorEastAsia" w:hAnsiTheme="minorEastAsia" w:eastAsiaTheme="minorEastAsia" w:cstheme="minorEastAsia"/>
          <w:color w:val="auto"/>
          <w:highlight w:val="none"/>
        </w:rPr>
      </w:pPr>
      <w:bookmarkStart w:id="198" w:name="_Toc511243547"/>
      <w:bookmarkStart w:id="199" w:name="_Toc511243321"/>
      <w:bookmarkStart w:id="200" w:name="_Toc509760004"/>
      <w:bookmarkStart w:id="201" w:name="_Toc465114860"/>
      <w:r>
        <w:rPr>
          <w:rFonts w:hint="eastAsia" w:asciiTheme="minorEastAsia" w:hAnsiTheme="minorEastAsia" w:eastAsiaTheme="minorEastAsia" w:cstheme="minorEastAsia"/>
          <w:color w:val="auto"/>
          <w:highlight w:val="none"/>
        </w:rPr>
        <w:t>1.10 交通运输</w:t>
      </w:r>
      <w:bookmarkEnd w:id="198"/>
      <w:bookmarkEnd w:id="199"/>
      <w:bookmarkEnd w:id="200"/>
      <w:bookmarkEnd w:id="201"/>
    </w:p>
    <w:p w14:paraId="229DC94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1.10.1 出入现场的权利</w:t>
      </w:r>
    </w:p>
    <w:p w14:paraId="1FE48261">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关于出入现场的权利的约定：</w:t>
      </w:r>
      <w:r>
        <w:rPr>
          <w:rFonts w:hint="eastAsia" w:asciiTheme="minorEastAsia" w:hAnsiTheme="minorEastAsia" w:eastAsiaTheme="minorEastAsia" w:cstheme="minorEastAsia"/>
          <w:color w:val="auto"/>
          <w:highlight w:val="none"/>
          <w:u w:val="single"/>
        </w:rPr>
        <w:t>执行《通用条款》 </w:t>
      </w:r>
      <w:r>
        <w:rPr>
          <w:rFonts w:hint="eastAsia" w:asciiTheme="minorEastAsia" w:hAnsiTheme="minorEastAsia" w:eastAsiaTheme="minorEastAsia" w:cstheme="minorEastAsia"/>
          <w:color w:val="auto"/>
          <w:highlight w:val="none"/>
        </w:rPr>
        <w:t>。</w:t>
      </w:r>
    </w:p>
    <w:p w14:paraId="7A3386C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1.10.3 场内交通</w:t>
      </w:r>
    </w:p>
    <w:p w14:paraId="21C34DC7">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关于场外交通和场内交通的边界的约定：</w:t>
      </w:r>
      <w:r>
        <w:rPr>
          <w:rFonts w:hint="eastAsia" w:asciiTheme="minorEastAsia" w:hAnsiTheme="minorEastAsia" w:eastAsiaTheme="minorEastAsia" w:cstheme="minorEastAsia"/>
          <w:color w:val="auto"/>
          <w:highlight w:val="none"/>
          <w:u w:val="single"/>
        </w:rPr>
        <w:t>执行《通用条款》  </w:t>
      </w:r>
      <w:r>
        <w:rPr>
          <w:rFonts w:hint="eastAsia" w:asciiTheme="minorEastAsia" w:hAnsiTheme="minorEastAsia" w:eastAsiaTheme="minorEastAsia" w:cstheme="minorEastAsia"/>
          <w:color w:val="auto"/>
          <w:highlight w:val="none"/>
        </w:rPr>
        <w:t>。</w:t>
      </w:r>
    </w:p>
    <w:p w14:paraId="73840E8E">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47CB341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1.10.4 超大件和超重件的运输</w:t>
      </w:r>
    </w:p>
    <w:p w14:paraId="5905626C">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highlight w:val="none"/>
          <w:u w:val="single"/>
        </w:rPr>
        <w:t xml:space="preserve"> 承包人  </w:t>
      </w:r>
      <w:r>
        <w:rPr>
          <w:rFonts w:hint="eastAsia" w:asciiTheme="minorEastAsia" w:hAnsiTheme="minorEastAsia" w:eastAsiaTheme="minorEastAsia" w:cstheme="minorEastAsia"/>
          <w:color w:val="auto"/>
          <w:highlight w:val="none"/>
        </w:rPr>
        <w:t>承担。</w:t>
      </w:r>
    </w:p>
    <w:p w14:paraId="42E63A22">
      <w:pPr>
        <w:pStyle w:val="4"/>
        <w:rPr>
          <w:rFonts w:hint="eastAsia" w:asciiTheme="minorEastAsia" w:hAnsiTheme="minorEastAsia" w:eastAsiaTheme="minorEastAsia" w:cstheme="minorEastAsia"/>
          <w:color w:val="auto"/>
          <w:highlight w:val="none"/>
        </w:rPr>
      </w:pPr>
      <w:bookmarkStart w:id="202" w:name="_Toc509760005"/>
      <w:bookmarkStart w:id="203" w:name="_Toc511243548"/>
      <w:bookmarkStart w:id="204" w:name="_Toc465114861"/>
      <w:bookmarkStart w:id="205" w:name="_Toc511243322"/>
      <w:r>
        <w:rPr>
          <w:rFonts w:hint="eastAsia" w:asciiTheme="minorEastAsia" w:hAnsiTheme="minorEastAsia" w:eastAsiaTheme="minorEastAsia" w:cstheme="minorEastAsia"/>
          <w:color w:val="auto"/>
          <w:highlight w:val="none"/>
        </w:rPr>
        <w:t>1.11 知识产权</w:t>
      </w:r>
      <w:bookmarkEnd w:id="202"/>
      <w:bookmarkEnd w:id="203"/>
      <w:bookmarkEnd w:id="204"/>
      <w:bookmarkEnd w:id="205"/>
    </w:p>
    <w:p w14:paraId="2060227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1.11.1 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highlight w:val="none"/>
          <w:u w:val="single"/>
        </w:rPr>
        <w:t xml:space="preserve">发包人  </w:t>
      </w:r>
      <w:r>
        <w:rPr>
          <w:rFonts w:hint="eastAsia" w:asciiTheme="minorEastAsia" w:hAnsiTheme="minorEastAsia" w:eastAsiaTheme="minorEastAsia" w:cstheme="minorEastAsia"/>
          <w:color w:val="auto"/>
          <w:highlight w:val="none"/>
        </w:rPr>
        <w:t>。</w:t>
      </w:r>
    </w:p>
    <w:p w14:paraId="1A275F1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关于发包人提供的上述文件的使用限制的要求：</w:t>
      </w:r>
      <w:r>
        <w:rPr>
          <w:rFonts w:hint="eastAsia" w:asciiTheme="minorEastAsia" w:hAnsiTheme="minorEastAsia" w:eastAsiaTheme="minorEastAsia" w:cstheme="minorEastAsia"/>
          <w:color w:val="auto"/>
          <w:highlight w:val="none"/>
          <w:u w:val="single"/>
        </w:rPr>
        <w:t xml:space="preserve"> 仅用于本项目   </w:t>
      </w:r>
      <w:r>
        <w:rPr>
          <w:rFonts w:hint="eastAsia" w:asciiTheme="minorEastAsia" w:hAnsiTheme="minorEastAsia" w:eastAsiaTheme="minorEastAsia" w:cstheme="minorEastAsia"/>
          <w:color w:val="auto"/>
          <w:highlight w:val="none"/>
        </w:rPr>
        <w:t>。</w:t>
      </w:r>
    </w:p>
    <w:p w14:paraId="4D94C29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1.11.2 关于承包人为实施工程所编制文件的著作权的归属：</w:t>
      </w:r>
      <w:r>
        <w:rPr>
          <w:rFonts w:hint="eastAsia" w:asciiTheme="minorEastAsia" w:hAnsiTheme="minorEastAsia" w:eastAsiaTheme="minorEastAsia" w:cstheme="minorEastAsia"/>
          <w:color w:val="auto"/>
          <w:highlight w:val="none"/>
          <w:u w:val="single"/>
        </w:rPr>
        <w:t xml:space="preserve">   发包人  </w:t>
      </w:r>
      <w:r>
        <w:rPr>
          <w:rFonts w:hint="eastAsia" w:asciiTheme="minorEastAsia" w:hAnsiTheme="minorEastAsia" w:eastAsiaTheme="minorEastAsia" w:cstheme="minorEastAsia"/>
          <w:color w:val="auto"/>
          <w:highlight w:val="none"/>
        </w:rPr>
        <w:t>。</w:t>
      </w:r>
    </w:p>
    <w:p w14:paraId="459DF7B0">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关于承包人提供的上述文件的使用限制的要求：</w:t>
      </w:r>
      <w:r>
        <w:rPr>
          <w:rFonts w:hint="eastAsia" w:asciiTheme="minorEastAsia" w:hAnsiTheme="minorEastAsia" w:eastAsiaTheme="minorEastAsia" w:cstheme="minorEastAsia"/>
          <w:color w:val="auto"/>
          <w:highlight w:val="none"/>
          <w:u w:val="single"/>
        </w:rPr>
        <w:t>仅用于本项目，未经发包人书面同意不得向第三方提供</w:t>
      </w:r>
      <w:r>
        <w:rPr>
          <w:rFonts w:hint="eastAsia" w:asciiTheme="minorEastAsia" w:hAnsiTheme="minorEastAsia" w:eastAsiaTheme="minorEastAsia" w:cstheme="minorEastAsia"/>
          <w:color w:val="auto"/>
          <w:highlight w:val="none"/>
        </w:rPr>
        <w:t>。</w:t>
      </w:r>
    </w:p>
    <w:p w14:paraId="4F35519A">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1.11.4 承包人在施工过程中所采用的专利、专有技术、技术秘密的使用费的承担方式：</w:t>
      </w:r>
      <w:r>
        <w:rPr>
          <w:rFonts w:hint="eastAsia" w:asciiTheme="minorEastAsia" w:hAnsiTheme="minorEastAsia" w:eastAsiaTheme="minorEastAsia" w:cstheme="minorEastAsia"/>
          <w:color w:val="auto"/>
          <w:highlight w:val="none"/>
          <w:u w:val="single"/>
        </w:rPr>
        <w:t>只能用于本项目，未经发包人书面同意不得向第三方提供。</w:t>
      </w:r>
    </w:p>
    <w:p w14:paraId="20A9E5E3">
      <w:pPr>
        <w:pStyle w:val="4"/>
        <w:rPr>
          <w:rFonts w:hint="eastAsia" w:asciiTheme="minorEastAsia" w:hAnsiTheme="minorEastAsia" w:eastAsiaTheme="minorEastAsia" w:cstheme="minorEastAsia"/>
          <w:color w:val="auto"/>
          <w:highlight w:val="none"/>
        </w:rPr>
      </w:pPr>
      <w:bookmarkStart w:id="206" w:name="_Toc511243549"/>
      <w:bookmarkStart w:id="207" w:name="_Toc509760006"/>
      <w:bookmarkStart w:id="208" w:name="_Toc511243323"/>
      <w:bookmarkStart w:id="209" w:name="_Toc465114862"/>
      <w:r>
        <w:rPr>
          <w:rFonts w:hint="eastAsia" w:asciiTheme="minorEastAsia" w:hAnsiTheme="minorEastAsia" w:eastAsiaTheme="minorEastAsia" w:cstheme="minorEastAsia"/>
          <w:color w:val="auto"/>
          <w:highlight w:val="none"/>
        </w:rPr>
        <w:t>1.13工程量清单错误的修正</w:t>
      </w:r>
      <w:bookmarkEnd w:id="206"/>
      <w:bookmarkEnd w:id="207"/>
      <w:bookmarkEnd w:id="208"/>
      <w:bookmarkEnd w:id="209"/>
    </w:p>
    <w:p w14:paraId="0569FA8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出现工程量清单工程量偏差时，是否调整合同价格：</w:t>
      </w:r>
      <w:r>
        <w:rPr>
          <w:rFonts w:hint="eastAsia" w:asciiTheme="minorEastAsia" w:hAnsiTheme="minorEastAsia" w:eastAsiaTheme="minorEastAsia" w:cstheme="minorEastAsia"/>
          <w:color w:val="auto"/>
          <w:highlight w:val="none"/>
          <w:u w:val="single"/>
        </w:rPr>
        <w:t xml:space="preserve">   是  </w:t>
      </w:r>
      <w:r>
        <w:rPr>
          <w:rFonts w:hint="eastAsia" w:asciiTheme="minorEastAsia" w:hAnsiTheme="minorEastAsia" w:eastAsiaTheme="minorEastAsia" w:cstheme="minorEastAsia"/>
          <w:color w:val="auto"/>
          <w:kern w:val="0"/>
          <w:highlight w:val="none"/>
        </w:rPr>
        <w:t>。</w:t>
      </w:r>
    </w:p>
    <w:p w14:paraId="46BA8EB6">
      <w:pPr>
        <w:pStyle w:val="35"/>
        <w:spacing w:line="360" w:lineRule="auto"/>
        <w:ind w:firstLine="420" w:firstLineChars="200"/>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rPr>
        <w:t>允许调整合同价格的工程量偏差范围及其调整办法：</w:t>
      </w:r>
      <w:r>
        <w:rPr>
          <w:rFonts w:hint="eastAsia" w:asciiTheme="minorEastAsia" w:hAnsiTheme="minorEastAsia" w:eastAsiaTheme="minorEastAsia" w:cstheme="minorEastAsia"/>
          <w:color w:val="auto"/>
          <w:highlight w:val="none"/>
          <w:u w:val="single"/>
        </w:rPr>
        <w:t>工程变更、项目特征不符、工程量清单缺项、工程量偏差等引起的调整。</w:t>
      </w:r>
      <w:r>
        <w:rPr>
          <w:rFonts w:hint="eastAsia" w:asciiTheme="minorEastAsia" w:hAnsiTheme="minorEastAsia" w:eastAsiaTheme="minorEastAsia" w:cstheme="minorEastAsia"/>
          <w:color w:val="auto"/>
          <w:highlight w:val="none"/>
          <w:u w:val="single"/>
          <w:lang w:eastAsia="zh-CN"/>
        </w:rPr>
        <w:t>需调整的工程量施工前必须经甲方签字同意后才能实施。</w:t>
      </w:r>
    </w:p>
    <w:p w14:paraId="11919AD7">
      <w:pPr>
        <w:pStyle w:val="45"/>
        <w:keepNext w:val="0"/>
        <w:keepLines w:val="0"/>
        <w:spacing w:before="0" w:after="0" w:line="440" w:lineRule="exact"/>
        <w:ind w:firstLine="420" w:firstLineChars="200"/>
        <w:rPr>
          <w:rFonts w:hint="eastAsia" w:asciiTheme="minorEastAsia" w:hAnsiTheme="minorEastAsia" w:eastAsiaTheme="minorEastAsia" w:cstheme="minorEastAsia"/>
          <w:b w:val="0"/>
          <w:bCs w:val="0"/>
          <w:color w:val="auto"/>
          <w:sz w:val="21"/>
          <w:szCs w:val="21"/>
          <w:highlight w:val="none"/>
          <w:u w:val="single"/>
        </w:rPr>
      </w:pPr>
      <w:bookmarkStart w:id="210" w:name="_Toc508314416"/>
      <w:bookmarkStart w:id="211" w:name="_Toc511243324"/>
      <w:bookmarkStart w:id="212" w:name="_Toc511243550"/>
      <w:bookmarkStart w:id="213" w:name="_Toc508296474"/>
      <w:r>
        <w:rPr>
          <w:rFonts w:hint="eastAsia" w:asciiTheme="minorEastAsia" w:hAnsiTheme="minorEastAsia" w:eastAsiaTheme="minorEastAsia" w:cstheme="minorEastAsia"/>
          <w:b w:val="0"/>
          <w:bCs w:val="0"/>
          <w:color w:val="auto"/>
          <w:sz w:val="21"/>
          <w:szCs w:val="21"/>
          <w:highlight w:val="none"/>
          <w:u w:val="single"/>
        </w:rPr>
        <w:t>1.13.1由于工程变更、工程量偏差导致该清单项目的工程数量发生变化</w:t>
      </w:r>
      <w:r>
        <w:rPr>
          <w:rFonts w:hint="eastAsia" w:asciiTheme="minorEastAsia" w:hAnsiTheme="minorEastAsia" w:eastAsiaTheme="minorEastAsia" w:cstheme="minorEastAsia"/>
          <w:b w:val="0"/>
          <w:bCs w:val="0"/>
          <w:color w:val="auto"/>
          <w:sz w:val="21"/>
          <w:szCs w:val="21"/>
          <w:highlight w:val="none"/>
          <w:u w:val="single"/>
          <w:lang w:eastAsia="zh-CN"/>
        </w:rPr>
        <w:t>不得超过总工程量的</w:t>
      </w:r>
      <w:r>
        <w:rPr>
          <w:rFonts w:hint="eastAsia" w:asciiTheme="minorEastAsia" w:hAnsiTheme="minorEastAsia" w:eastAsiaTheme="minorEastAsia" w:cstheme="minorEastAsia"/>
          <w:b w:val="0"/>
          <w:bCs w:val="0"/>
          <w:color w:val="auto"/>
          <w:sz w:val="21"/>
          <w:szCs w:val="21"/>
          <w:highlight w:val="none"/>
          <w:u w:val="single"/>
          <w:lang w:val="en-US" w:eastAsia="zh-CN"/>
        </w:rPr>
        <w:t>10</w:t>
      </w:r>
      <w:r>
        <w:rPr>
          <w:rFonts w:hint="eastAsia" w:asciiTheme="minorEastAsia" w:hAnsiTheme="minorEastAsia" w:eastAsiaTheme="minorEastAsia" w:cstheme="minorEastAsia"/>
          <w:b w:val="0"/>
          <w:bCs w:val="0"/>
          <w:color w:val="auto"/>
          <w:sz w:val="21"/>
          <w:szCs w:val="21"/>
          <w:highlight w:val="none"/>
          <w:u w:val="single"/>
        </w:rPr>
        <w:t>%以内（</w:t>
      </w:r>
      <w:r>
        <w:rPr>
          <w:rFonts w:hint="eastAsia" w:asciiTheme="minorEastAsia" w:hAnsiTheme="minorEastAsia" w:eastAsiaTheme="minorEastAsia" w:cstheme="minorEastAsia"/>
          <w:b w:val="0"/>
          <w:bCs w:val="0"/>
          <w:color w:val="auto"/>
          <w:sz w:val="21"/>
          <w:szCs w:val="21"/>
          <w:highlight w:val="none"/>
          <w:u w:val="single"/>
          <w:lang w:eastAsia="zh-CN"/>
        </w:rPr>
        <w:t>不</w:t>
      </w:r>
      <w:r>
        <w:rPr>
          <w:rFonts w:hint="eastAsia" w:asciiTheme="minorEastAsia" w:hAnsiTheme="minorEastAsia" w:eastAsiaTheme="minorEastAsia" w:cstheme="minorEastAsia"/>
          <w:b w:val="0"/>
          <w:bCs w:val="0"/>
          <w:color w:val="auto"/>
          <w:sz w:val="21"/>
          <w:szCs w:val="21"/>
          <w:highlight w:val="none"/>
          <w:u w:val="single"/>
        </w:rPr>
        <w:t>含1</w:t>
      </w:r>
      <w:r>
        <w:rPr>
          <w:rFonts w:hint="eastAsia" w:asciiTheme="minorEastAsia" w:hAnsiTheme="minorEastAsia" w:eastAsiaTheme="minorEastAsia" w:cstheme="minorEastAsia"/>
          <w:b w:val="0"/>
          <w:bCs w:val="0"/>
          <w:color w:val="auto"/>
          <w:sz w:val="21"/>
          <w:szCs w:val="21"/>
          <w:highlight w:val="none"/>
          <w:u w:val="single"/>
          <w:lang w:val="en-US" w:eastAsia="zh-CN"/>
        </w:rPr>
        <w:t>0</w:t>
      </w:r>
      <w:r>
        <w:rPr>
          <w:rFonts w:hint="eastAsia" w:asciiTheme="minorEastAsia" w:hAnsiTheme="minorEastAsia" w:eastAsiaTheme="minorEastAsia" w:cstheme="minorEastAsia"/>
          <w:b w:val="0"/>
          <w:bCs w:val="0"/>
          <w:color w:val="auto"/>
          <w:sz w:val="21"/>
          <w:szCs w:val="21"/>
          <w:highlight w:val="none"/>
          <w:u w:val="single"/>
        </w:rPr>
        <w:t>%）。</w:t>
      </w:r>
      <w:bookmarkEnd w:id="210"/>
      <w:bookmarkEnd w:id="211"/>
      <w:bookmarkEnd w:id="212"/>
      <w:bookmarkEnd w:id="213"/>
    </w:p>
    <w:p w14:paraId="49EBC16F">
      <w:pPr>
        <w:pStyle w:val="45"/>
        <w:keepNext w:val="0"/>
        <w:keepLines w:val="0"/>
        <w:spacing w:before="0" w:after="0" w:line="440" w:lineRule="exact"/>
        <w:ind w:firstLine="420" w:firstLineChars="200"/>
        <w:rPr>
          <w:rFonts w:hint="eastAsia" w:asciiTheme="minorEastAsia" w:hAnsiTheme="minorEastAsia" w:eastAsiaTheme="minorEastAsia" w:cstheme="minorEastAsia"/>
          <w:b w:val="0"/>
          <w:bCs w:val="0"/>
          <w:color w:val="auto"/>
          <w:sz w:val="21"/>
          <w:szCs w:val="21"/>
          <w:highlight w:val="none"/>
          <w:u w:val="single"/>
        </w:rPr>
      </w:pPr>
      <w:bookmarkStart w:id="214" w:name="_Toc508296475"/>
      <w:bookmarkStart w:id="215" w:name="_Toc511243551"/>
      <w:bookmarkStart w:id="216" w:name="_Toc508314417"/>
      <w:bookmarkStart w:id="217" w:name="_Toc511243325"/>
      <w:r>
        <w:rPr>
          <w:rFonts w:hint="eastAsia" w:asciiTheme="minorEastAsia" w:hAnsiTheme="minorEastAsia" w:eastAsiaTheme="minorEastAsia" w:cstheme="minorEastAsia"/>
          <w:b w:val="0"/>
          <w:bCs w:val="0"/>
          <w:color w:val="auto"/>
          <w:sz w:val="21"/>
          <w:szCs w:val="21"/>
          <w:highlight w:val="none"/>
          <w:u w:val="single"/>
        </w:rPr>
        <w:t>1.13.2由于工程变更、项目特征不符、工程量清单缺项导致的新增清单项目，由承包人根据工程资料、计量规则和计价方法、工程造价管理机构发布的信息价格和承包人报价浮动率提出变更工程项目的单价，并应报发包人确认后，经</w:t>
      </w:r>
      <w:r>
        <w:rPr>
          <w:rFonts w:hint="eastAsia" w:asciiTheme="minorEastAsia" w:hAnsiTheme="minorEastAsia" w:eastAsiaTheme="minorEastAsia" w:cstheme="minorEastAsia"/>
          <w:b w:val="0"/>
          <w:bCs w:val="0"/>
          <w:color w:val="auto"/>
          <w:sz w:val="21"/>
          <w:szCs w:val="21"/>
          <w:highlight w:val="none"/>
          <w:u w:val="single"/>
          <w:lang w:eastAsia="zh-CN"/>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隆安县人民政府</w:t>
      </w:r>
      <w:r>
        <w:rPr>
          <w:rFonts w:hint="eastAsia" w:asciiTheme="minorEastAsia" w:hAnsiTheme="minorEastAsia" w:eastAsiaTheme="minorEastAsia" w:cstheme="minorEastAsia"/>
          <w:b w:val="0"/>
          <w:bCs w:val="0"/>
          <w:color w:val="auto"/>
          <w:sz w:val="21"/>
          <w:szCs w:val="21"/>
          <w:highlight w:val="none"/>
          <w:u w:val="single"/>
        </w:rPr>
        <w:t>审定的单价调整。承包人报价浮动率可按下列公式计算</w:t>
      </w:r>
      <w:bookmarkEnd w:id="214"/>
      <w:bookmarkEnd w:id="215"/>
      <w:bookmarkEnd w:id="216"/>
      <w:bookmarkEnd w:id="217"/>
    </w:p>
    <w:p w14:paraId="27BAE530">
      <w:pPr>
        <w:pStyle w:val="45"/>
        <w:keepNext w:val="0"/>
        <w:keepLines w:val="0"/>
        <w:spacing w:before="0" w:after="0" w:line="440" w:lineRule="exact"/>
        <w:ind w:firstLine="420" w:firstLineChars="200"/>
        <w:rPr>
          <w:rFonts w:hint="eastAsia" w:asciiTheme="minorEastAsia" w:hAnsiTheme="minorEastAsia" w:eastAsiaTheme="minorEastAsia" w:cstheme="minorEastAsia"/>
          <w:b w:val="0"/>
          <w:bCs w:val="0"/>
          <w:color w:val="auto"/>
          <w:sz w:val="21"/>
          <w:szCs w:val="21"/>
          <w:highlight w:val="none"/>
          <w:u w:val="single"/>
        </w:rPr>
      </w:pPr>
      <w:bookmarkStart w:id="218" w:name="_Toc508296476"/>
      <w:bookmarkStart w:id="219" w:name="_Toc508314418"/>
      <w:bookmarkStart w:id="220" w:name="_Toc511243326"/>
      <w:bookmarkStart w:id="221" w:name="_Toc511243552"/>
      <w:r>
        <w:rPr>
          <w:rFonts w:hint="eastAsia" w:asciiTheme="minorEastAsia" w:hAnsiTheme="minorEastAsia" w:eastAsiaTheme="minorEastAsia" w:cstheme="minorEastAsia"/>
          <w:b w:val="0"/>
          <w:bCs w:val="0"/>
          <w:color w:val="auto"/>
          <w:sz w:val="21"/>
          <w:szCs w:val="21"/>
          <w:highlight w:val="none"/>
          <w:u w:val="single"/>
        </w:rPr>
        <w:t>承包人报价浮动率L＝（1-中标价/招标控制价）×100%</w:t>
      </w:r>
      <w:bookmarkEnd w:id="218"/>
      <w:bookmarkEnd w:id="219"/>
      <w:bookmarkEnd w:id="220"/>
      <w:bookmarkEnd w:id="221"/>
    </w:p>
    <w:p w14:paraId="3F823F32">
      <w:pPr>
        <w:pStyle w:val="45"/>
        <w:keepNext w:val="0"/>
        <w:keepLines w:val="0"/>
        <w:spacing w:before="0" w:after="0" w:line="440" w:lineRule="exact"/>
        <w:ind w:firstLine="420" w:firstLineChars="200"/>
        <w:rPr>
          <w:rFonts w:hint="eastAsia" w:asciiTheme="minorEastAsia" w:hAnsiTheme="minorEastAsia" w:eastAsiaTheme="minorEastAsia" w:cstheme="minorEastAsia"/>
          <w:b w:val="0"/>
          <w:bCs w:val="0"/>
          <w:color w:val="auto"/>
          <w:sz w:val="21"/>
          <w:szCs w:val="21"/>
          <w:highlight w:val="none"/>
          <w:u w:val="single"/>
        </w:rPr>
      </w:pPr>
      <w:bookmarkStart w:id="222" w:name="_Toc511243553"/>
      <w:bookmarkStart w:id="223" w:name="_Toc508314419"/>
      <w:bookmarkStart w:id="224" w:name="_Toc511243327"/>
      <w:bookmarkStart w:id="225" w:name="_Toc508296477"/>
      <w:r>
        <w:rPr>
          <w:rFonts w:hint="eastAsia" w:asciiTheme="minorEastAsia" w:hAnsiTheme="minorEastAsia" w:eastAsiaTheme="minorEastAsia" w:cstheme="minorEastAsia"/>
          <w:b w:val="0"/>
          <w:bCs w:val="0"/>
          <w:color w:val="auto"/>
          <w:sz w:val="21"/>
          <w:szCs w:val="21"/>
          <w:highlight w:val="none"/>
          <w:u w:val="single"/>
        </w:rPr>
        <w:t>式中“中标价”、“招标控制价”均应不含暂列金额、材料和工程设备暂估价、专业工程暂估价。招标工程计价方法为招标时公布的招标控制价的计算方法。</w:t>
      </w:r>
      <w:bookmarkEnd w:id="222"/>
      <w:bookmarkEnd w:id="223"/>
      <w:bookmarkEnd w:id="224"/>
      <w:bookmarkEnd w:id="225"/>
    </w:p>
    <w:p w14:paraId="1B77B6B1">
      <w:pPr>
        <w:pStyle w:val="45"/>
        <w:keepNext w:val="0"/>
        <w:keepLines w:val="0"/>
        <w:spacing w:before="0" w:after="0" w:line="440" w:lineRule="exact"/>
        <w:ind w:firstLine="420" w:firstLineChars="200"/>
        <w:rPr>
          <w:rFonts w:hint="eastAsia" w:asciiTheme="minorEastAsia" w:hAnsiTheme="minorEastAsia" w:eastAsiaTheme="minorEastAsia" w:cstheme="minorEastAsia"/>
          <w:b w:val="0"/>
          <w:bCs w:val="0"/>
          <w:color w:val="auto"/>
          <w:sz w:val="21"/>
          <w:szCs w:val="21"/>
          <w:highlight w:val="none"/>
          <w:u w:val="single"/>
        </w:rPr>
      </w:pPr>
      <w:bookmarkStart w:id="226" w:name="_Toc511243328"/>
      <w:bookmarkStart w:id="227" w:name="_Toc511243554"/>
      <w:bookmarkStart w:id="228" w:name="_Toc508314420"/>
      <w:bookmarkStart w:id="229" w:name="_Toc508296478"/>
      <w:r>
        <w:rPr>
          <w:rFonts w:hint="eastAsia" w:asciiTheme="minorEastAsia" w:hAnsiTheme="minorEastAsia" w:eastAsiaTheme="minorEastAsia" w:cstheme="minorEastAsia"/>
          <w:b w:val="0"/>
          <w:bCs w:val="0"/>
          <w:color w:val="auto"/>
          <w:sz w:val="21"/>
          <w:szCs w:val="21"/>
          <w:highlight w:val="none"/>
          <w:u w:val="single"/>
        </w:rPr>
        <w:t>1.13.3实际完成工程量清单与已标价工程量清单列明的该项目中工程量的变化幅度超过15%的，应当首先调整项目单价。调整原则是：当工程量增加15%以上时，增加部分的工程量的综合单价应予调低（增加部分的工程量的综合单价以原投标综合单价和按1.13.2款规定计算的较低的价格确定该清单综合单价）；当工程量减少15%以上时，减少后剩余部分工程量综合单价应予调高(其减少后剩余部分的工程量的综合单价以原投标综合单价和按1.13.2款规定计算的较高的价格确定该清单综合单价)。</w:t>
      </w:r>
      <w:bookmarkEnd w:id="226"/>
      <w:bookmarkEnd w:id="227"/>
      <w:bookmarkEnd w:id="228"/>
      <w:bookmarkEnd w:id="229"/>
    </w:p>
    <w:p w14:paraId="78BF3F21">
      <w:pPr>
        <w:pStyle w:val="3"/>
        <w:rPr>
          <w:rFonts w:hint="eastAsia" w:asciiTheme="minorEastAsia" w:hAnsiTheme="minorEastAsia" w:eastAsiaTheme="minorEastAsia" w:cstheme="minorEastAsia"/>
          <w:color w:val="auto"/>
          <w:highlight w:val="none"/>
        </w:rPr>
      </w:pPr>
      <w:bookmarkStart w:id="230" w:name="_Toc509760007"/>
      <w:bookmarkStart w:id="231" w:name="_Toc511243329"/>
      <w:bookmarkStart w:id="232" w:name="_Toc465114863"/>
      <w:bookmarkStart w:id="233" w:name="_Toc511243555"/>
      <w:r>
        <w:rPr>
          <w:rFonts w:hint="eastAsia" w:asciiTheme="minorEastAsia" w:hAnsiTheme="minorEastAsia" w:eastAsiaTheme="minorEastAsia" w:cstheme="minorEastAsia"/>
          <w:color w:val="auto"/>
          <w:highlight w:val="none"/>
        </w:rPr>
        <w:t>2. 发包人</w:t>
      </w:r>
      <w:bookmarkEnd w:id="230"/>
      <w:bookmarkEnd w:id="231"/>
      <w:bookmarkEnd w:id="232"/>
      <w:bookmarkEnd w:id="233"/>
    </w:p>
    <w:p w14:paraId="0EF39AC9">
      <w:pPr>
        <w:pStyle w:val="4"/>
        <w:rPr>
          <w:rFonts w:hint="eastAsia" w:asciiTheme="minorEastAsia" w:hAnsiTheme="minorEastAsia" w:eastAsiaTheme="minorEastAsia" w:cstheme="minorEastAsia"/>
          <w:color w:val="auto"/>
          <w:highlight w:val="none"/>
        </w:rPr>
      </w:pPr>
      <w:bookmarkStart w:id="234" w:name="_Toc511243556"/>
      <w:bookmarkStart w:id="235" w:name="_Toc511243330"/>
      <w:bookmarkStart w:id="236" w:name="_Toc509760008"/>
      <w:bookmarkStart w:id="237" w:name="_Toc465114864"/>
      <w:r>
        <w:rPr>
          <w:rFonts w:hint="eastAsia" w:asciiTheme="minorEastAsia" w:hAnsiTheme="minorEastAsia" w:eastAsiaTheme="minorEastAsia" w:cstheme="minorEastAsia"/>
          <w:color w:val="auto"/>
          <w:highlight w:val="none"/>
        </w:rPr>
        <w:t>2.2 发包人代表</w:t>
      </w:r>
      <w:bookmarkEnd w:id="234"/>
      <w:bookmarkEnd w:id="235"/>
      <w:bookmarkEnd w:id="236"/>
      <w:bookmarkEnd w:id="237"/>
    </w:p>
    <w:p w14:paraId="5E7503A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发包人代表：</w:t>
      </w:r>
    </w:p>
    <w:p w14:paraId="4129E38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p>
    <w:p w14:paraId="6209CC4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p>
    <w:p w14:paraId="62BC68E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    务：</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11804B2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p>
    <w:p w14:paraId="75E61E3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  </w:t>
      </w:r>
      <w:r>
        <w:rPr>
          <w:rFonts w:hint="eastAsia" w:asciiTheme="minorEastAsia" w:hAnsiTheme="minorEastAsia" w:eastAsiaTheme="minorEastAsia" w:cstheme="minorEastAsia"/>
          <w:color w:val="auto"/>
          <w:highlight w:val="none"/>
        </w:rPr>
        <w:t>；</w:t>
      </w:r>
    </w:p>
    <w:p w14:paraId="07FB081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7083DBF7">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发包人对发包人代表的授权范围如下：</w:t>
      </w:r>
      <w:r>
        <w:rPr>
          <w:rFonts w:hint="eastAsia" w:asciiTheme="minorEastAsia" w:hAnsiTheme="minorEastAsia" w:eastAsiaTheme="minorEastAsia" w:cstheme="minorEastAsia"/>
          <w:color w:val="auto"/>
          <w:highlight w:val="none"/>
          <w:u w:val="single"/>
        </w:rPr>
        <w:t>负责处理合同履行过程中与发包人有关的具体事宜</w:t>
      </w:r>
      <w:r>
        <w:rPr>
          <w:rFonts w:hint="eastAsia" w:asciiTheme="minorEastAsia" w:hAnsiTheme="minorEastAsia" w:eastAsiaTheme="minorEastAsia" w:cstheme="minorEastAsia"/>
          <w:color w:val="auto"/>
          <w:highlight w:val="none"/>
        </w:rPr>
        <w:t>。</w:t>
      </w:r>
    </w:p>
    <w:p w14:paraId="6DF34DD0">
      <w:pPr>
        <w:pStyle w:val="4"/>
        <w:rPr>
          <w:rFonts w:hint="eastAsia" w:asciiTheme="minorEastAsia" w:hAnsiTheme="minorEastAsia" w:eastAsiaTheme="minorEastAsia" w:cstheme="minorEastAsia"/>
          <w:color w:val="auto"/>
          <w:highlight w:val="none"/>
        </w:rPr>
      </w:pPr>
      <w:bookmarkStart w:id="238" w:name="_Toc465114865"/>
      <w:bookmarkStart w:id="239" w:name="_Toc509760009"/>
      <w:bookmarkStart w:id="240" w:name="_Toc511243331"/>
      <w:bookmarkStart w:id="241" w:name="_Toc511243557"/>
      <w:r>
        <w:rPr>
          <w:rFonts w:hint="eastAsia" w:asciiTheme="minorEastAsia" w:hAnsiTheme="minorEastAsia" w:eastAsiaTheme="minorEastAsia" w:cstheme="minorEastAsia"/>
          <w:color w:val="auto"/>
          <w:highlight w:val="none"/>
        </w:rPr>
        <w:t>2.4 施工现场、施工条件和基础资料的提供</w:t>
      </w:r>
      <w:bookmarkEnd w:id="238"/>
      <w:bookmarkEnd w:id="239"/>
      <w:bookmarkEnd w:id="240"/>
      <w:bookmarkEnd w:id="241"/>
    </w:p>
    <w:p w14:paraId="5663D5A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2.4.1 提供施工现场</w:t>
      </w:r>
    </w:p>
    <w:p w14:paraId="1B34DB3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关于发包人移交施工现场的期限要求：</w:t>
      </w:r>
      <w:r>
        <w:rPr>
          <w:rFonts w:hint="eastAsia" w:asciiTheme="minorEastAsia" w:hAnsiTheme="minorEastAsia" w:eastAsiaTheme="minorEastAsia" w:cstheme="minorEastAsia"/>
          <w:color w:val="auto"/>
          <w:highlight w:val="none"/>
          <w:u w:val="single"/>
        </w:rPr>
        <w:t xml:space="preserve">                         </w:t>
      </w:r>
      <w:r>
        <w:rPr>
          <w:rFonts w:hint="eastAsia" w:asciiTheme="minorEastAsia" w:hAnsiTheme="minorEastAsia" w:eastAsiaTheme="minorEastAsia" w:cstheme="minorEastAsia"/>
          <w:color w:val="auto"/>
          <w:highlight w:val="none"/>
        </w:rPr>
        <w:t>。</w:t>
      </w:r>
    </w:p>
    <w:p w14:paraId="2DA7620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2.4.2 提供施工条件</w:t>
      </w:r>
    </w:p>
    <w:p w14:paraId="2B70351F">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关于发包人应负责提供施工所需要的条件，包括：</w:t>
      </w:r>
      <w:r>
        <w:rPr>
          <w:rFonts w:hint="eastAsia" w:asciiTheme="minorEastAsia" w:hAnsiTheme="minorEastAsia" w:eastAsiaTheme="minorEastAsia" w:cstheme="minorEastAsia"/>
          <w:color w:val="auto"/>
          <w:highlight w:val="none"/>
          <w:u w:val="single"/>
        </w:rPr>
        <w:t xml:space="preserve">施工用水、施工用电、施工用地、建筑垃圾堆放地、测量基准点  </w:t>
      </w:r>
      <w:r>
        <w:rPr>
          <w:rFonts w:hint="eastAsia" w:asciiTheme="minorEastAsia" w:hAnsiTheme="minorEastAsia" w:eastAsiaTheme="minorEastAsia" w:cstheme="minorEastAsia"/>
          <w:color w:val="auto"/>
          <w:highlight w:val="none"/>
        </w:rPr>
        <w:t>。</w:t>
      </w:r>
    </w:p>
    <w:p w14:paraId="6FF8EF83">
      <w:pPr>
        <w:pStyle w:val="4"/>
        <w:rPr>
          <w:rFonts w:hint="eastAsia" w:asciiTheme="minorEastAsia" w:hAnsiTheme="minorEastAsia" w:eastAsiaTheme="minorEastAsia" w:cstheme="minorEastAsia"/>
          <w:color w:val="auto"/>
          <w:highlight w:val="none"/>
        </w:rPr>
      </w:pPr>
      <w:bookmarkStart w:id="242" w:name="_Toc509760010"/>
      <w:bookmarkStart w:id="243" w:name="_Toc511243332"/>
      <w:bookmarkStart w:id="244" w:name="_Toc511243558"/>
      <w:bookmarkStart w:id="245" w:name="_Toc465114866"/>
      <w:r>
        <w:rPr>
          <w:rFonts w:hint="eastAsia" w:asciiTheme="minorEastAsia" w:hAnsiTheme="minorEastAsia" w:eastAsiaTheme="minorEastAsia" w:cstheme="minorEastAsia"/>
          <w:color w:val="auto"/>
          <w:highlight w:val="none"/>
        </w:rPr>
        <w:t>2.5 资金来源证明及支付担保</w:t>
      </w:r>
      <w:bookmarkEnd w:id="242"/>
      <w:bookmarkEnd w:id="243"/>
      <w:bookmarkEnd w:id="244"/>
      <w:bookmarkEnd w:id="245"/>
    </w:p>
    <w:p w14:paraId="617B380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发包人提供资金来源证明的期限要求：</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728688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发包人是否提供支付担保：</w:t>
      </w:r>
      <w:r>
        <w:rPr>
          <w:rFonts w:hint="eastAsia" w:asciiTheme="minorEastAsia" w:hAnsiTheme="minorEastAsia" w:eastAsiaTheme="minorEastAsia" w:cstheme="minorEastAsia"/>
          <w:color w:val="auto"/>
          <w:highlight w:val="none"/>
          <w:u w:val="single"/>
        </w:rPr>
        <w:t xml:space="preserve">否   </w:t>
      </w:r>
      <w:r>
        <w:rPr>
          <w:rFonts w:hint="eastAsia" w:asciiTheme="minorEastAsia" w:hAnsiTheme="minorEastAsia" w:eastAsiaTheme="minorEastAsia" w:cstheme="minorEastAsia"/>
          <w:color w:val="auto"/>
          <w:highlight w:val="none"/>
        </w:rPr>
        <w:t>。</w:t>
      </w:r>
    </w:p>
    <w:p w14:paraId="6133587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发包人提供支付担保的形式：</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14:paraId="349AC7AA">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发包人提供的支付担保格式见合同附件2。</w:t>
      </w:r>
    </w:p>
    <w:p w14:paraId="64F8AE4C">
      <w:pPr>
        <w:pStyle w:val="3"/>
        <w:rPr>
          <w:rFonts w:hint="eastAsia" w:asciiTheme="minorEastAsia" w:hAnsiTheme="minorEastAsia" w:eastAsiaTheme="minorEastAsia" w:cstheme="minorEastAsia"/>
          <w:color w:val="auto"/>
          <w:highlight w:val="none"/>
        </w:rPr>
      </w:pPr>
      <w:bookmarkStart w:id="246" w:name="_Toc465114867"/>
      <w:bookmarkStart w:id="247" w:name="_Toc509760011"/>
      <w:bookmarkStart w:id="248" w:name="_Toc511243559"/>
      <w:bookmarkStart w:id="249" w:name="_Toc511243333"/>
      <w:r>
        <w:rPr>
          <w:rFonts w:hint="eastAsia" w:asciiTheme="minorEastAsia" w:hAnsiTheme="minorEastAsia" w:eastAsiaTheme="minorEastAsia" w:cstheme="minorEastAsia"/>
          <w:color w:val="auto"/>
          <w:highlight w:val="none"/>
        </w:rPr>
        <w:t>3. 承包人</w:t>
      </w:r>
      <w:bookmarkEnd w:id="246"/>
      <w:bookmarkEnd w:id="247"/>
      <w:bookmarkEnd w:id="248"/>
      <w:bookmarkEnd w:id="249"/>
    </w:p>
    <w:p w14:paraId="480A8A5D">
      <w:pPr>
        <w:pStyle w:val="4"/>
        <w:rPr>
          <w:rFonts w:hint="eastAsia" w:asciiTheme="minorEastAsia" w:hAnsiTheme="minorEastAsia" w:eastAsiaTheme="minorEastAsia" w:cstheme="minorEastAsia"/>
          <w:color w:val="auto"/>
          <w:highlight w:val="none"/>
        </w:rPr>
      </w:pPr>
      <w:bookmarkStart w:id="250" w:name="_Toc511243334"/>
      <w:bookmarkStart w:id="251" w:name="_Toc465114868"/>
      <w:bookmarkStart w:id="252" w:name="_Toc509760012"/>
      <w:bookmarkStart w:id="253" w:name="_Toc511243560"/>
      <w:r>
        <w:rPr>
          <w:rFonts w:hint="eastAsia" w:asciiTheme="minorEastAsia" w:hAnsiTheme="minorEastAsia" w:eastAsiaTheme="minorEastAsia" w:cstheme="minorEastAsia"/>
          <w:color w:val="auto"/>
          <w:highlight w:val="none"/>
        </w:rPr>
        <w:t>3.1 承包人的一般义务</w:t>
      </w:r>
      <w:bookmarkEnd w:id="250"/>
      <w:bookmarkEnd w:id="251"/>
      <w:bookmarkEnd w:id="252"/>
      <w:bookmarkEnd w:id="253"/>
    </w:p>
    <w:p w14:paraId="1C219B54">
      <w:pPr>
        <w:pStyle w:val="35"/>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highlight w:val="none"/>
        </w:rPr>
        <w:t>承包人提交的竣工资料的内容：</w:t>
      </w:r>
      <w:r>
        <w:rPr>
          <w:rFonts w:hint="eastAsia" w:asciiTheme="minorEastAsia" w:hAnsiTheme="minorEastAsia" w:eastAsiaTheme="minorEastAsia" w:cstheme="minorEastAsia"/>
          <w:color w:val="auto"/>
          <w:highlight w:val="none"/>
          <w:u w:val="single"/>
        </w:rPr>
        <w:t xml:space="preserve">工程实施概况和大事记，已完工程移交清单，竣工图，列入保修期继续施工的尾工工程项目清单；未完成工程缺陷修复清单；施工期观测资料，监理人指示应列入完工报告的各类施工文件，原始记录及其它应补充的资料  </w:t>
      </w:r>
      <w:r>
        <w:rPr>
          <w:rFonts w:hint="eastAsia" w:asciiTheme="minorEastAsia" w:hAnsiTheme="minorEastAsia" w:eastAsiaTheme="minorEastAsia" w:cstheme="minorEastAsia"/>
          <w:color w:val="auto"/>
          <w:highlight w:val="none"/>
        </w:rPr>
        <w:t>。</w:t>
      </w:r>
    </w:p>
    <w:p w14:paraId="201716A2">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承包人需要提交的竣工资料套数：</w:t>
      </w:r>
      <w:r>
        <w:rPr>
          <w:rFonts w:hint="eastAsia" w:asciiTheme="minorEastAsia" w:hAnsiTheme="minorEastAsia" w:eastAsiaTheme="minorEastAsia" w:cstheme="minorEastAsia"/>
          <w:color w:val="auto"/>
          <w:highlight w:val="none"/>
          <w:u w:val="single"/>
        </w:rPr>
        <w:t xml:space="preserve"> 四套。（纸质及电子版竣工图）  </w:t>
      </w:r>
      <w:r>
        <w:rPr>
          <w:rFonts w:hint="eastAsia" w:asciiTheme="minorEastAsia" w:hAnsiTheme="minorEastAsia" w:eastAsiaTheme="minorEastAsia" w:cstheme="minorEastAsia"/>
          <w:color w:val="auto"/>
          <w:highlight w:val="none"/>
        </w:rPr>
        <w:t>。</w:t>
      </w:r>
    </w:p>
    <w:p w14:paraId="59947A8A">
      <w:pPr>
        <w:spacing w:line="360" w:lineRule="auto"/>
        <w:ind w:left="424" w:leftChars="202"/>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承包人提交的竣工资料的费用承担：</w:t>
      </w:r>
      <w:r>
        <w:rPr>
          <w:rFonts w:hint="eastAsia" w:asciiTheme="minorEastAsia" w:hAnsiTheme="minorEastAsia" w:eastAsiaTheme="minorEastAsia" w:cstheme="minorEastAsia"/>
          <w:color w:val="auto"/>
          <w:highlight w:val="none"/>
          <w:u w:val="single"/>
        </w:rPr>
        <w:t xml:space="preserve">由承包人承担  </w:t>
      </w:r>
      <w:r>
        <w:rPr>
          <w:rFonts w:hint="eastAsia" w:asciiTheme="minorEastAsia" w:hAnsiTheme="minorEastAsia" w:eastAsiaTheme="minorEastAsia" w:cstheme="minorEastAsia"/>
          <w:color w:val="auto"/>
          <w:highlight w:val="none"/>
        </w:rPr>
        <w:t>。</w:t>
      </w:r>
    </w:p>
    <w:p w14:paraId="4998CE93">
      <w:pPr>
        <w:spacing w:line="360" w:lineRule="auto"/>
        <w:ind w:left="424" w:leftChars="202"/>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承包人提交的竣工资料移交时间：</w:t>
      </w:r>
      <w:r>
        <w:rPr>
          <w:rFonts w:hint="eastAsia" w:asciiTheme="minorEastAsia" w:hAnsiTheme="minorEastAsia" w:eastAsiaTheme="minorEastAsia" w:cstheme="minorEastAsia"/>
          <w:color w:val="auto"/>
          <w:highlight w:val="none"/>
          <w:u w:val="single"/>
        </w:rPr>
        <w:t xml:space="preserve">工程竣工验收合格后30日内  </w:t>
      </w:r>
      <w:r>
        <w:rPr>
          <w:rFonts w:hint="eastAsia" w:asciiTheme="minorEastAsia" w:hAnsiTheme="minorEastAsia" w:eastAsiaTheme="minorEastAsia" w:cstheme="minorEastAsia"/>
          <w:color w:val="auto"/>
          <w:highlight w:val="none"/>
        </w:rPr>
        <w:t>。</w:t>
      </w:r>
    </w:p>
    <w:p w14:paraId="11CB9217">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承包人提交的竣工资料形式要求：</w:t>
      </w:r>
      <w:r>
        <w:rPr>
          <w:rFonts w:hint="eastAsia" w:asciiTheme="minorEastAsia" w:hAnsiTheme="minorEastAsia" w:eastAsiaTheme="minorEastAsia" w:cstheme="minorEastAsia"/>
          <w:color w:val="auto"/>
          <w:highlight w:val="none"/>
          <w:u w:val="single"/>
        </w:rPr>
        <w:t xml:space="preserve">   按照提交竣工档案资料要求   </w:t>
      </w:r>
      <w:r>
        <w:rPr>
          <w:rFonts w:hint="eastAsia" w:asciiTheme="minorEastAsia" w:hAnsiTheme="minorEastAsia" w:eastAsiaTheme="minorEastAsia" w:cstheme="minorEastAsia"/>
          <w:color w:val="auto"/>
          <w:highlight w:val="none"/>
        </w:rPr>
        <w:t>。</w:t>
      </w:r>
    </w:p>
    <w:p w14:paraId="3E931F08">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（10）承包人应履行的其他义务：</w:t>
      </w:r>
      <w:r>
        <w:rPr>
          <w:rFonts w:hint="eastAsia" w:asciiTheme="minorEastAsia" w:hAnsiTheme="minorEastAsia" w:eastAsiaTheme="minorEastAsia" w:cstheme="minorEastAsia"/>
          <w:color w:val="auto"/>
          <w:highlight w:val="none"/>
          <w:u w:val="single"/>
        </w:rPr>
        <w:t>全面完成合同约定的有关承包人的义务</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0797A5BB">
      <w:pPr>
        <w:pStyle w:val="4"/>
        <w:rPr>
          <w:rFonts w:hint="eastAsia" w:asciiTheme="minorEastAsia" w:hAnsiTheme="minorEastAsia" w:eastAsiaTheme="minorEastAsia" w:cstheme="minorEastAsia"/>
          <w:color w:val="auto"/>
          <w:highlight w:val="none"/>
        </w:rPr>
      </w:pPr>
      <w:bookmarkStart w:id="254" w:name="_Toc511243335"/>
      <w:bookmarkStart w:id="255" w:name="_Toc511243561"/>
      <w:bookmarkStart w:id="256" w:name="_Toc465114869"/>
      <w:bookmarkStart w:id="257" w:name="_Toc509760013"/>
      <w:r>
        <w:rPr>
          <w:rFonts w:hint="eastAsia" w:asciiTheme="minorEastAsia" w:hAnsiTheme="minorEastAsia" w:eastAsiaTheme="minorEastAsia" w:cstheme="minorEastAsia"/>
          <w:color w:val="auto"/>
          <w:highlight w:val="none"/>
        </w:rPr>
        <w:t>3.2 项目经理</w:t>
      </w:r>
      <w:bookmarkEnd w:id="254"/>
      <w:bookmarkEnd w:id="255"/>
      <w:bookmarkEnd w:id="256"/>
      <w:bookmarkEnd w:id="257"/>
    </w:p>
    <w:p w14:paraId="6EF08A6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3.2.1 </w:t>
      </w:r>
      <w:r>
        <w:rPr>
          <w:rFonts w:hint="eastAsia" w:asciiTheme="minorEastAsia" w:hAnsiTheme="minorEastAsia" w:eastAsiaTheme="minorEastAsia" w:cstheme="minorEastAsia"/>
          <w:color w:val="auto"/>
          <w:highlight w:val="none"/>
        </w:rPr>
        <w:t>项目经理：</w:t>
      </w:r>
    </w:p>
    <w:p w14:paraId="447B6DB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p>
    <w:p w14:paraId="573B56D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p>
    <w:p w14:paraId="4CBD213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建造师执业资格等级：</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3B2AD63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建造师注册证书号：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14:paraId="466AD8E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建造师执业印章号：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14:paraId="51FED77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安全生产考核合格证书号：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14:paraId="7ADBC7C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 </w:t>
      </w:r>
      <w:r>
        <w:rPr>
          <w:rFonts w:hint="eastAsia" w:asciiTheme="minorEastAsia" w:hAnsiTheme="minorEastAsia" w:eastAsiaTheme="minorEastAsia" w:cstheme="minorEastAsia"/>
          <w:color w:val="auto"/>
          <w:highlight w:val="none"/>
        </w:rPr>
        <w:t>；</w:t>
      </w:r>
    </w:p>
    <w:p w14:paraId="296E574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246E3F5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19A0238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承包人对项目经理的授权范围如下：</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highlight w:val="none"/>
          <w:u w:val="single"/>
        </w:rPr>
        <w:t>实行项目经理责任制，负责项目的施工组织与管理</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kern w:val="0"/>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E1B0408">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关于项目经理每月在施工现场的时间要求：</w:t>
      </w:r>
      <w:r>
        <w:rPr>
          <w:rFonts w:hint="eastAsia" w:asciiTheme="minorEastAsia" w:hAnsiTheme="minorEastAsia" w:eastAsiaTheme="minorEastAsia" w:cstheme="minorEastAsia"/>
          <w:bCs/>
          <w:color w:val="auto"/>
          <w:highlight w:val="none"/>
          <w:u w:val="single"/>
        </w:rPr>
        <w:t>项目经理每月在现场时间不得少于21日历天</w:t>
      </w:r>
      <w:r>
        <w:rPr>
          <w:rFonts w:hint="eastAsia" w:asciiTheme="minorEastAsia" w:hAnsiTheme="minorEastAsia" w:eastAsiaTheme="minorEastAsia" w:cstheme="minorEastAsia"/>
          <w:color w:val="auto"/>
          <w:highlight w:val="none"/>
          <w:u w:val="single"/>
        </w:rPr>
        <w:t>。未经发包人同意，少在现场一日，发包人有权向承包人处违约金3000元/日（人民币）</w:t>
      </w:r>
      <w:r>
        <w:rPr>
          <w:rFonts w:hint="eastAsia" w:asciiTheme="minorEastAsia" w:hAnsiTheme="minorEastAsia" w:eastAsiaTheme="minorEastAsia" w:cstheme="minorEastAsia"/>
          <w:color w:val="auto"/>
          <w:highlight w:val="none"/>
        </w:rPr>
        <w:t>。</w:t>
      </w:r>
    </w:p>
    <w:p w14:paraId="5EC5B25E">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承包人未提交劳动合同，以及没有为项目经理缴纳社会保险证明的违约责任：</w:t>
      </w:r>
    </w:p>
    <w:p w14:paraId="425BC5CE">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u w:val="single"/>
        </w:rPr>
        <w:t>承包人承担因此给发包人造成的损失，并仍须履行义务</w:t>
      </w:r>
      <w:r>
        <w:rPr>
          <w:rFonts w:hint="eastAsia" w:asciiTheme="minorEastAsia" w:hAnsiTheme="minorEastAsia" w:eastAsiaTheme="minorEastAsia" w:cstheme="minorEastAsia"/>
          <w:color w:val="auto"/>
          <w:highlight w:val="none"/>
        </w:rPr>
        <w:t>。</w:t>
      </w:r>
    </w:p>
    <w:p w14:paraId="6F40E0B8">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项目经理未经批准，擅自离开施工现场的违约责任：</w:t>
      </w:r>
      <w:r>
        <w:rPr>
          <w:rFonts w:hint="eastAsia" w:asciiTheme="minorEastAsia" w:hAnsiTheme="minorEastAsia" w:eastAsiaTheme="minorEastAsia" w:cstheme="minorEastAsia"/>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项目经理每月在岗带班时间不得少于当月施工时间的80%。未经发包人同意或正当理由，项目经理每月在岗带班时间少于当月施工时间80%的，少在岗带班一天，发包人有权处违约金3000元/日（人民币）  </w:t>
      </w:r>
      <w:r>
        <w:rPr>
          <w:rFonts w:hint="eastAsia" w:asciiTheme="minorEastAsia" w:hAnsiTheme="minorEastAsia" w:eastAsiaTheme="minorEastAsia" w:cstheme="minorEastAsia"/>
          <w:color w:val="auto"/>
          <w:highlight w:val="none"/>
        </w:rPr>
        <w:t>。</w:t>
      </w:r>
    </w:p>
    <w:p w14:paraId="64275B6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3.2.3 承包人擅自更换项目经理的违约责任：</w:t>
      </w:r>
      <w:r>
        <w:rPr>
          <w:rFonts w:hint="eastAsia" w:asciiTheme="minorEastAsia" w:hAnsiTheme="minorEastAsia" w:eastAsiaTheme="minorEastAsia" w:cstheme="minorEastAsia"/>
          <w:color w:val="auto"/>
          <w:highlight w:val="none"/>
          <w:u w:val="single"/>
        </w:rPr>
        <w:t>承包人项目经理必须与承包人投标时所承诺的人员一致，并在  （开工日期）  前到任。在监理人向承包人颁发    （竣工证明材料名称）    前，项目经理不得同时兼任其他任何项目的项目经理</w:t>
      </w:r>
      <w:r>
        <w:rPr>
          <w:rFonts w:hint="eastAsia" w:asciiTheme="minorEastAsia" w:hAnsiTheme="minorEastAsia" w:eastAsiaTheme="minorEastAsia" w:cstheme="minorEastAsia"/>
          <w:color w:val="auto"/>
          <w:kern w:val="0"/>
          <w:highlight w:val="none"/>
          <w:u w:val="single"/>
        </w:rPr>
        <w:t>（符合桂建管</w:t>
      </w:r>
      <w:r>
        <w:rPr>
          <w:rFonts w:hint="eastAsia" w:asciiTheme="minorEastAsia" w:hAnsiTheme="minorEastAsia" w:eastAsiaTheme="minorEastAsia" w:cstheme="minorEastAsia"/>
          <w:color w:val="auto"/>
          <w:highlight w:val="none"/>
          <w:u w:val="single"/>
        </w:rPr>
        <w:t>﹝2013﹞</w:t>
      </w:r>
      <w:r>
        <w:rPr>
          <w:rFonts w:hint="eastAsia" w:asciiTheme="minorEastAsia" w:hAnsiTheme="minorEastAsia" w:eastAsiaTheme="minorEastAsia" w:cstheme="minorEastAsia"/>
          <w:color w:val="auto"/>
          <w:kern w:val="0"/>
          <w:highlight w:val="none"/>
          <w:u w:val="single"/>
        </w:rPr>
        <w:t>17号和</w:t>
      </w:r>
      <w:r>
        <w:rPr>
          <w:rFonts w:hint="eastAsia" w:asciiTheme="minorEastAsia" w:hAnsiTheme="minorEastAsia" w:eastAsiaTheme="minorEastAsia" w:cstheme="minorEastAsia"/>
          <w:color w:val="auto"/>
          <w:highlight w:val="none"/>
          <w:u w:val="single"/>
        </w:rPr>
        <w:t>桂建管﹝2014﹞25号</w:t>
      </w:r>
      <w:r>
        <w:rPr>
          <w:rFonts w:hint="eastAsia" w:asciiTheme="minorEastAsia" w:hAnsiTheme="minorEastAsia" w:eastAsiaTheme="minorEastAsia" w:cstheme="minorEastAsia"/>
          <w:color w:val="auto"/>
          <w:kern w:val="0"/>
          <w:highlight w:val="none"/>
          <w:u w:val="single"/>
        </w:rPr>
        <w:t>文除外）</w:t>
      </w:r>
      <w:r>
        <w:rPr>
          <w:rFonts w:hint="eastAsia" w:asciiTheme="minorEastAsia" w:hAnsiTheme="minorEastAsia" w:eastAsiaTheme="minorEastAsia" w:cstheme="minorEastAsia"/>
          <w:color w:val="auto"/>
          <w:highlight w:val="none"/>
          <w:u w:val="single"/>
        </w:rPr>
        <w:t>。未经发包人书面同意，承包人擅自更换项目经理的视为违约，违约金处10000元/人•次（人民币）</w:t>
      </w:r>
      <w:r>
        <w:rPr>
          <w:rFonts w:hint="eastAsia" w:asciiTheme="minorEastAsia" w:hAnsiTheme="minorEastAsia" w:eastAsiaTheme="minorEastAsia" w:cstheme="minorEastAsia"/>
          <w:color w:val="auto"/>
          <w:highlight w:val="none"/>
        </w:rPr>
        <w:t>。</w:t>
      </w:r>
    </w:p>
    <w:p w14:paraId="54EEA8A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3.2.4 承包人无正当理由拒绝更换项目经理的违约责任：</w:t>
      </w:r>
      <w:r>
        <w:rPr>
          <w:rFonts w:hint="eastAsia" w:asciiTheme="minorEastAsia" w:hAnsiTheme="minorEastAsia" w:eastAsiaTheme="minorEastAsia" w:cstheme="minorEastAsia"/>
          <w:color w:val="auto"/>
          <w:highlight w:val="none"/>
          <w:u w:val="single"/>
        </w:rPr>
        <w:t>因承包人项目经理不称职，发包人要求调换而未及时调换的，视为承包人违约，必须向发包人交纳处罚金10000元/人•次（人民币）</w:t>
      </w:r>
      <w:r>
        <w:rPr>
          <w:rFonts w:hint="eastAsia" w:asciiTheme="minorEastAsia" w:hAnsiTheme="minorEastAsia" w:eastAsiaTheme="minorEastAsia" w:cstheme="minorEastAsia"/>
          <w:color w:val="auto"/>
          <w:highlight w:val="none"/>
        </w:rPr>
        <w:t>。</w:t>
      </w:r>
    </w:p>
    <w:p w14:paraId="3D2CA477">
      <w:pPr>
        <w:pStyle w:val="4"/>
        <w:rPr>
          <w:rFonts w:hint="eastAsia" w:asciiTheme="minorEastAsia" w:hAnsiTheme="minorEastAsia" w:eastAsiaTheme="minorEastAsia" w:cstheme="minorEastAsia"/>
          <w:color w:val="auto"/>
          <w:highlight w:val="none"/>
        </w:rPr>
      </w:pPr>
      <w:bookmarkStart w:id="258" w:name="_Toc465114870"/>
      <w:bookmarkStart w:id="259" w:name="_Toc511243336"/>
      <w:bookmarkStart w:id="260" w:name="_Toc511243562"/>
      <w:bookmarkStart w:id="261" w:name="_Toc509760014"/>
      <w:r>
        <w:rPr>
          <w:rFonts w:hint="eastAsia" w:asciiTheme="minorEastAsia" w:hAnsiTheme="minorEastAsia" w:eastAsiaTheme="minorEastAsia" w:cstheme="minorEastAsia"/>
          <w:color w:val="auto"/>
          <w:highlight w:val="none"/>
        </w:rPr>
        <w:t>3.3 承包人人员</w:t>
      </w:r>
      <w:bookmarkEnd w:id="258"/>
      <w:bookmarkEnd w:id="259"/>
      <w:bookmarkEnd w:id="260"/>
      <w:bookmarkEnd w:id="261"/>
    </w:p>
    <w:p w14:paraId="3BE6A76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3.3.1 承包人提交项目管理机构及施工现场管理人员安排报告（格式见合同附件3）的期限：</w:t>
      </w:r>
    </w:p>
    <w:p w14:paraId="7432FA7D">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合同签订后7个工作日内  </w:t>
      </w:r>
      <w:r>
        <w:rPr>
          <w:rFonts w:hint="eastAsia" w:asciiTheme="minorEastAsia" w:hAnsiTheme="minorEastAsia" w:eastAsiaTheme="minorEastAsia" w:cstheme="minorEastAsia"/>
          <w:color w:val="auto"/>
          <w:highlight w:val="none"/>
        </w:rPr>
        <w:t>。</w:t>
      </w:r>
    </w:p>
    <w:p w14:paraId="1A58F59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3.3.3 承包人无正当理由拒绝撤换主要施工管理人员的违约责任：</w:t>
      </w:r>
      <w:r>
        <w:rPr>
          <w:rFonts w:hint="eastAsia" w:asciiTheme="minorEastAsia" w:hAnsiTheme="minorEastAsia" w:eastAsiaTheme="minorEastAsia" w:cstheme="minorEastAsia"/>
          <w:color w:val="auto"/>
          <w:highlight w:val="none"/>
          <w:u w:val="single"/>
        </w:rPr>
        <w:t>因承包人主要施工管理人员不称职，发包人要求调换而无正当理由拒绝撤换或未及时调换的，视为承包人违约，必须向发包人交纳处罚金，处罚标准：技术负责人6000元/人•次（人民币）；专业工程师3000元/人•次（人民币）</w:t>
      </w:r>
      <w:r>
        <w:rPr>
          <w:rFonts w:hint="eastAsia" w:asciiTheme="minorEastAsia" w:hAnsiTheme="minorEastAsia" w:eastAsiaTheme="minorEastAsia" w:cstheme="minorEastAsia"/>
          <w:color w:val="auto"/>
          <w:highlight w:val="none"/>
        </w:rPr>
        <w:t>。</w:t>
      </w:r>
    </w:p>
    <w:p w14:paraId="22C28C10">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3.3.4 承包人主要施工管理人员离开施工现场的批准要求：</w:t>
      </w:r>
      <w:r>
        <w:rPr>
          <w:rFonts w:hint="eastAsia" w:asciiTheme="minorEastAsia" w:hAnsiTheme="minorEastAsia" w:eastAsiaTheme="minorEastAsia" w:cstheme="minorEastAsia"/>
          <w:color w:val="auto"/>
          <w:highlight w:val="none"/>
          <w:u w:val="single"/>
        </w:rPr>
        <w:t xml:space="preserve">需经业主同意  </w:t>
      </w:r>
      <w:r>
        <w:rPr>
          <w:rFonts w:hint="eastAsia" w:asciiTheme="minorEastAsia" w:hAnsiTheme="minorEastAsia" w:eastAsiaTheme="minorEastAsia" w:cstheme="minorEastAsia"/>
          <w:color w:val="auto"/>
          <w:highlight w:val="none"/>
        </w:rPr>
        <w:t>。</w:t>
      </w:r>
    </w:p>
    <w:p w14:paraId="01D763D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3.3.5 承包人擅自更换主要施工管理人员的违约责任：</w:t>
      </w:r>
      <w:r>
        <w:rPr>
          <w:rFonts w:hint="eastAsia" w:asciiTheme="minorEastAsia" w:hAnsiTheme="minorEastAsia" w:eastAsiaTheme="minorEastAsia" w:cstheme="minorEastAsia"/>
          <w:color w:val="auto"/>
          <w:highlight w:val="none"/>
          <w:u w:val="single"/>
        </w:rPr>
        <w:t>项目技术负责人、专职安全员及其承诺的其它在场管理人员未经发包人书面同意不准擅自更换，擅自更换项目技术负责人处5000元/人•次（人民币）违约金；擅自更换专职安全员处3000元/人•次（人民币）违约金；擅自更换其它在场管理人员处1000元/人•次（人民币）违约金</w:t>
      </w:r>
      <w:r>
        <w:rPr>
          <w:rFonts w:hint="eastAsia" w:asciiTheme="minorEastAsia" w:hAnsiTheme="minorEastAsia" w:eastAsiaTheme="minorEastAsia" w:cstheme="minorEastAsia"/>
          <w:color w:val="auto"/>
          <w:highlight w:val="none"/>
        </w:rPr>
        <w:t>。</w:t>
      </w:r>
    </w:p>
    <w:p w14:paraId="0D9DE3B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承包人主要施工管理人员擅自离开施工现场的违约责任：</w:t>
      </w:r>
      <w:r>
        <w:rPr>
          <w:rFonts w:hint="eastAsia" w:asciiTheme="minorEastAsia" w:hAnsiTheme="minorEastAsia" w:eastAsiaTheme="minorEastAsia" w:cstheme="minorEastAsia"/>
          <w:color w:val="auto"/>
          <w:highlight w:val="none"/>
          <w:u w:val="single"/>
        </w:rPr>
        <w:t>未经发包人同意，项目技术负责人擅自离岗的，视为承包人违约，发包人有权处违约金5000元/人•次（人民币）；未经发包人同意，专职安全员擅自离岗的，视为承包人违约，发包人有权处违约金3000元/人•次（人民币）；其它在场管理人员擅自离岗的，视为承包人违约，发包人有权处违约金1000元/人•次（人民币）</w:t>
      </w:r>
      <w:r>
        <w:rPr>
          <w:rFonts w:hint="eastAsia" w:asciiTheme="minorEastAsia" w:hAnsiTheme="minorEastAsia" w:eastAsiaTheme="minorEastAsia" w:cstheme="minorEastAsia"/>
          <w:color w:val="auto"/>
          <w:highlight w:val="none"/>
        </w:rPr>
        <w:t>。</w:t>
      </w:r>
    </w:p>
    <w:p w14:paraId="24711FF8">
      <w:pPr>
        <w:pStyle w:val="4"/>
        <w:rPr>
          <w:rFonts w:hint="eastAsia" w:asciiTheme="minorEastAsia" w:hAnsiTheme="minorEastAsia" w:eastAsiaTheme="minorEastAsia" w:cstheme="minorEastAsia"/>
          <w:color w:val="auto"/>
          <w:highlight w:val="none"/>
        </w:rPr>
      </w:pPr>
      <w:bookmarkStart w:id="262" w:name="_Toc511243563"/>
      <w:bookmarkStart w:id="263" w:name="_Toc509760015"/>
      <w:bookmarkStart w:id="264" w:name="_Toc465114871"/>
      <w:bookmarkStart w:id="265" w:name="_Toc511243337"/>
      <w:r>
        <w:rPr>
          <w:rFonts w:hint="eastAsia" w:asciiTheme="minorEastAsia" w:hAnsiTheme="minorEastAsia" w:eastAsiaTheme="minorEastAsia" w:cstheme="minorEastAsia"/>
          <w:color w:val="auto"/>
          <w:highlight w:val="none"/>
        </w:rPr>
        <w:t>3.5 分包</w:t>
      </w:r>
      <w:bookmarkEnd w:id="262"/>
      <w:bookmarkEnd w:id="263"/>
      <w:bookmarkEnd w:id="264"/>
      <w:bookmarkEnd w:id="265"/>
    </w:p>
    <w:p w14:paraId="5D53BEC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bookmarkStart w:id="266" w:name="_Toc296346661"/>
      <w:bookmarkStart w:id="267" w:name="_Toc300934946"/>
      <w:bookmarkStart w:id="268" w:name="_Toc297120460"/>
      <w:bookmarkStart w:id="269" w:name="_Toc303539103"/>
      <w:bookmarkStart w:id="270" w:name="_Toc292559870"/>
      <w:bookmarkStart w:id="271" w:name="_Toc304295524"/>
      <w:bookmarkStart w:id="272" w:name="_Toc296891200"/>
      <w:bookmarkStart w:id="273" w:name="_Toc297048346"/>
      <w:bookmarkStart w:id="274" w:name="_Toc296944499"/>
      <w:bookmarkStart w:id="275" w:name="_Toc297123493"/>
      <w:bookmarkStart w:id="276" w:name="_Toc297216152"/>
      <w:bookmarkStart w:id="277" w:name="_Toc312677989"/>
      <w:bookmarkStart w:id="278" w:name="_Toc318581158"/>
      <w:bookmarkStart w:id="279" w:name="_Toc296503160"/>
      <w:bookmarkStart w:id="280" w:name="_Toc296347159"/>
      <w:bookmarkStart w:id="281" w:name="_Toc292559365"/>
      <w:bookmarkStart w:id="282" w:name="_Toc296890988"/>
      <w:r>
        <w:rPr>
          <w:rFonts w:hint="eastAsia" w:asciiTheme="minorEastAsia" w:hAnsiTheme="minorEastAsia" w:eastAsiaTheme="minorEastAsia" w:cstheme="minorEastAsia"/>
          <w:color w:val="auto"/>
          <w:highlight w:val="none"/>
        </w:rPr>
        <w:t>.5.1 分包的一般约定</w:t>
      </w:r>
    </w:p>
    <w:p w14:paraId="581C41A1">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禁止分包的工程包括：</w:t>
      </w:r>
      <w:r>
        <w:rPr>
          <w:rFonts w:hint="eastAsia" w:asciiTheme="minorEastAsia" w:hAnsiTheme="minorEastAsia" w:eastAsiaTheme="minorEastAsia" w:cstheme="minorEastAsia"/>
          <w:color w:val="auto"/>
          <w:highlight w:val="none"/>
          <w:u w:val="single"/>
        </w:rPr>
        <w:t xml:space="preserve">施工图纸及工程量清单的所有内容   </w:t>
      </w:r>
      <w:r>
        <w:rPr>
          <w:rFonts w:hint="eastAsia" w:asciiTheme="minorEastAsia" w:hAnsiTheme="minorEastAsia" w:eastAsiaTheme="minorEastAsia" w:cstheme="minorEastAsia"/>
          <w:color w:val="auto"/>
          <w:highlight w:val="none"/>
        </w:rPr>
        <w:t>。</w:t>
      </w:r>
    </w:p>
    <w:p w14:paraId="322F3D7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主体结构、关键性工作的范围：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0295F22">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bookmarkStart w:id="283" w:name="_Toc312677990"/>
      <w:bookmarkStart w:id="284" w:name="_Toc318581159"/>
      <w:r>
        <w:rPr>
          <w:rFonts w:hint="eastAsia" w:asciiTheme="minorEastAsia" w:hAnsiTheme="minorEastAsia" w:eastAsiaTheme="minorEastAsia" w:cstheme="minorEastAsia"/>
          <w:color w:val="auto"/>
          <w:highlight w:val="none"/>
        </w:rPr>
        <w:t>.5.2 分包的确定</w:t>
      </w:r>
    </w:p>
    <w:p w14:paraId="6AAD8AC1">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允许分包的专业工程包括：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31D84E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其他关于分包的约定：</w:t>
      </w:r>
    </w:p>
    <w:p w14:paraId="773028E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0EEAFE33">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（2）在相关分包合同签订并报送有关建设行政主管部门备案后7天内，承包人应当将一份副本提交给监理人，承包人应保障分包工作不得再次分包。</w:t>
      </w:r>
    </w:p>
    <w:p w14:paraId="566E137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（3）未经承包人和监理人审批同意的分包工程和分包人，承包人有权拒绝验收分包工程和支付相应款项，由此引起的发包人费用增加和(或)延误的工期由发包人承担。</w:t>
      </w:r>
    </w:p>
    <w:p w14:paraId="14CB4883">
      <w:pPr>
        <w:pStyle w:val="15"/>
        <w:spacing w:line="360" w:lineRule="auto"/>
        <w:ind w:firstLine="40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（4）承包人有以下情况之一者，发包人有权解除合同，并视情况扣除其履约保证金：</w:t>
      </w:r>
    </w:p>
    <w:p w14:paraId="7346C3A2">
      <w:pPr>
        <w:pStyle w:val="15"/>
        <w:spacing w:line="360" w:lineRule="auto"/>
        <w:ind w:firstLine="420" w:firstLineChars="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①个人承包工程，包括本人单位及外单位人员承包，发包人不承认其个人拥有任何资质等级及营业许可资格。没收全部履约保证金。</w:t>
      </w:r>
    </w:p>
    <w:p w14:paraId="7035F744">
      <w:pPr>
        <w:pStyle w:val="15"/>
        <w:spacing w:line="360" w:lineRule="auto"/>
        <w:ind w:firstLine="420" w:firstLineChars="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②几个人联合承包工程，就地组织暗分包队伍，不具备完成本工程的技术、机械能力，被发包人判定为没有能力履行的承包人。没收全部履约保证金。</w:t>
      </w:r>
    </w:p>
    <w:p w14:paraId="2B6C3A7F">
      <w:pPr>
        <w:pStyle w:val="15"/>
        <w:spacing w:line="360" w:lineRule="auto"/>
        <w:ind w:firstLine="420" w:firstLineChars="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③就地转包全部的工程，以谋取高额转让费、管理费的承包人。没收全部履约保证金。</w:t>
      </w:r>
    </w:p>
    <w:p w14:paraId="59139FBF">
      <w:pPr>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38C8DC7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3.5.4 分包合同价款</w:t>
      </w:r>
    </w:p>
    <w:bookmarkEnd w:id="283"/>
    <w:bookmarkEnd w:id="284"/>
    <w:p w14:paraId="4680886B">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关于分包合同价款支付的约定：</w:t>
      </w:r>
      <w:r>
        <w:rPr>
          <w:rFonts w:hint="eastAsia" w:asciiTheme="minorEastAsia" w:hAnsiTheme="minorEastAsia" w:eastAsiaTheme="minorEastAsia" w:cstheme="minorEastAsia"/>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A2A466C">
      <w:pPr>
        <w:pStyle w:val="4"/>
        <w:rPr>
          <w:rFonts w:hint="eastAsia" w:asciiTheme="minorEastAsia" w:hAnsiTheme="minorEastAsia" w:eastAsiaTheme="minorEastAsia" w:cstheme="minorEastAsia"/>
          <w:color w:val="auto"/>
          <w:highlight w:val="none"/>
        </w:rPr>
      </w:pPr>
      <w:bookmarkStart w:id="285" w:name="_Toc511243338"/>
      <w:bookmarkStart w:id="286" w:name="_Toc511243564"/>
      <w:bookmarkStart w:id="287" w:name="_Toc465114872"/>
      <w:bookmarkStart w:id="288" w:name="_Toc509760016"/>
      <w:r>
        <w:rPr>
          <w:rFonts w:hint="eastAsia" w:asciiTheme="minorEastAsia" w:hAnsiTheme="minorEastAsia" w:eastAsiaTheme="minorEastAsia" w:cstheme="minorEastAsia"/>
          <w:color w:val="auto"/>
          <w:highlight w:val="none"/>
        </w:rPr>
        <w:t>3.6 工程照管与成品、半成品保护</w:t>
      </w:r>
      <w:bookmarkEnd w:id="285"/>
      <w:bookmarkEnd w:id="286"/>
      <w:bookmarkEnd w:id="287"/>
      <w:bookmarkEnd w:id="288"/>
    </w:p>
    <w:p w14:paraId="560E94EC">
      <w:pPr>
        <w:spacing w:line="360" w:lineRule="auto"/>
        <w:ind w:firstLine="420" w:firstLineChars="200"/>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承包人负责照管工程及工程相关的材料、工程设备的起始时间：</w:t>
      </w:r>
      <w:r>
        <w:rPr>
          <w:rFonts w:hint="eastAsia" w:asciiTheme="minorEastAsia" w:hAnsiTheme="minorEastAsia" w:eastAsiaTheme="minorEastAsia" w:cstheme="minorEastAsia"/>
          <w:color w:val="auto"/>
          <w:kern w:val="0"/>
          <w:highlight w:val="none"/>
          <w:u w:val="single"/>
        </w:rPr>
        <w:t>从开工之日起至竣工验收交付使用之日止</w:t>
      </w:r>
      <w:r>
        <w:rPr>
          <w:rFonts w:hint="eastAsia" w:asciiTheme="minorEastAsia" w:hAnsiTheme="minorEastAsia" w:eastAsiaTheme="minorEastAsia" w:cstheme="minorEastAsia"/>
          <w:color w:val="auto"/>
          <w:kern w:val="0"/>
          <w:highlight w:val="none"/>
        </w:rPr>
        <w:t>。</w:t>
      </w:r>
    </w:p>
    <w:p w14:paraId="588E7D52">
      <w:pPr>
        <w:pStyle w:val="4"/>
        <w:rPr>
          <w:rFonts w:hint="eastAsia" w:asciiTheme="minorEastAsia" w:hAnsiTheme="minorEastAsia" w:eastAsiaTheme="minorEastAsia" w:cstheme="minorEastAsia"/>
          <w:color w:val="auto"/>
          <w:highlight w:val="none"/>
        </w:rPr>
      </w:pPr>
      <w:bookmarkStart w:id="289" w:name="_Toc511243565"/>
      <w:bookmarkStart w:id="290" w:name="_Toc509760017"/>
      <w:bookmarkStart w:id="291" w:name="_Toc511243339"/>
      <w:bookmarkStart w:id="292" w:name="_Toc465114873"/>
      <w:r>
        <w:rPr>
          <w:rFonts w:hint="eastAsia" w:asciiTheme="minorEastAsia" w:hAnsiTheme="minorEastAsia" w:eastAsiaTheme="minorEastAsia" w:cstheme="minorEastAsia"/>
          <w:color w:val="auto"/>
          <w:highlight w:val="none"/>
        </w:rPr>
        <w:t>3.7 履约保证金</w:t>
      </w:r>
      <w:bookmarkEnd w:id="289"/>
      <w:bookmarkEnd w:id="290"/>
      <w:bookmarkEnd w:id="291"/>
      <w:bookmarkEnd w:id="292"/>
    </w:p>
    <w:p w14:paraId="2CA95F85">
      <w:pPr>
        <w:widowControl w:val="0"/>
        <w:spacing w:line="360" w:lineRule="auto"/>
        <w:ind w:firstLine="420" w:firstLineChars="200"/>
        <w:jc w:val="left"/>
        <w:rPr>
          <w:rFonts w:ascii="Times New Roman" w:hAnsi="Times New Roman" w:eastAsia="宋体" w:cs="Times New Roman"/>
          <w:color w:val="FF0000"/>
          <w:kern w:val="2"/>
          <w:sz w:val="21"/>
          <w:szCs w:val="21"/>
          <w:highlight w:val="yellow"/>
          <w:u w:val="single"/>
          <w:lang w:val="en-US" w:eastAsia="zh-CN" w:bidi="ar-SA"/>
        </w:rPr>
      </w:pPr>
      <w:bookmarkStart w:id="293" w:name="_Toc509760018"/>
      <w:bookmarkStart w:id="294" w:name="_Toc511243340"/>
      <w:bookmarkStart w:id="295" w:name="_Toc465114874"/>
      <w:bookmarkStart w:id="296" w:name="_Toc511243566"/>
      <w:r>
        <w:rPr>
          <w:rFonts w:ascii="Times New Roman" w:hAnsi="宋体" w:eastAsia="宋体" w:cs="Times New Roman"/>
          <w:color w:val="FF0000"/>
          <w:kern w:val="2"/>
          <w:sz w:val="21"/>
          <w:szCs w:val="21"/>
          <w:highlight w:val="yellow"/>
          <w:lang w:val="en-US" w:eastAsia="zh-CN" w:bidi="ar-SA"/>
        </w:rPr>
        <w:t>承包人提供履约担保的形式、金额及期限的：</w:t>
      </w:r>
      <w:r>
        <w:rPr>
          <w:rFonts w:hint="eastAsia" w:ascii="Times New Roman" w:hAnsi="宋体" w:eastAsia="宋体" w:cs="Times New Roman"/>
          <w:color w:val="FF0000"/>
          <w:kern w:val="2"/>
          <w:sz w:val="21"/>
          <w:szCs w:val="21"/>
          <w:highlight w:val="yellow"/>
          <w:u w:val="single"/>
          <w:lang w:val="en-US" w:eastAsia="zh-CN" w:bidi="ar-SA"/>
        </w:rPr>
        <w:t>本工程无需提交履约保证金</w:t>
      </w:r>
      <w:r>
        <w:rPr>
          <w:rFonts w:ascii="Times New Roman" w:hAnsi="宋体" w:eastAsia="宋体" w:cs="Times New Roman"/>
          <w:color w:val="FF0000"/>
          <w:kern w:val="2"/>
          <w:sz w:val="21"/>
          <w:szCs w:val="21"/>
          <w:highlight w:val="yellow"/>
          <w:u w:val="single"/>
          <w:lang w:val="en-US" w:eastAsia="zh-CN" w:bidi="ar-SA"/>
        </w:rPr>
        <w:t>。</w:t>
      </w:r>
    </w:p>
    <w:p w14:paraId="723F5E4B">
      <w:pPr>
        <w:spacing w:line="360" w:lineRule="auto"/>
        <w:ind w:firstLine="420" w:firstLineChars="200"/>
        <w:rPr>
          <w:rFonts w:ascii="Times New Roman" w:hAnsi="Times New Roman" w:eastAsia="宋体" w:cs="Times New Roman"/>
          <w:color w:val="FF0000"/>
          <w:highlight w:val="yellow"/>
          <w:u w:val="single"/>
        </w:rPr>
      </w:pPr>
      <w:r>
        <w:rPr>
          <w:rFonts w:hint="eastAsia" w:ascii="Times New Roman" w:hAnsi="宋体" w:eastAsia="宋体" w:cs="Times New Roman"/>
          <w:color w:val="FF0000"/>
          <w:szCs w:val="21"/>
          <w:highlight w:val="yellow"/>
          <w:u w:val="single"/>
        </w:rPr>
        <w:t>履约担保的形式：/ 。</w:t>
      </w:r>
    </w:p>
    <w:p w14:paraId="0F835E7F">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监理人</w:t>
      </w:r>
      <w:bookmarkEnd w:id="293"/>
      <w:bookmarkEnd w:id="294"/>
      <w:bookmarkEnd w:id="295"/>
      <w:bookmarkEnd w:id="296"/>
    </w:p>
    <w:p w14:paraId="424C54EA">
      <w:pPr>
        <w:pStyle w:val="4"/>
        <w:rPr>
          <w:rFonts w:hint="eastAsia" w:asciiTheme="minorEastAsia" w:hAnsiTheme="minorEastAsia" w:eastAsiaTheme="minorEastAsia" w:cstheme="minorEastAsia"/>
          <w:color w:val="auto"/>
          <w:highlight w:val="none"/>
        </w:rPr>
      </w:pPr>
      <w:bookmarkStart w:id="297" w:name="_Toc511243341"/>
      <w:bookmarkStart w:id="298" w:name="_Toc465114875"/>
      <w:bookmarkStart w:id="299" w:name="_Toc511243567"/>
      <w:bookmarkStart w:id="300" w:name="_Toc509760019"/>
      <w:r>
        <w:rPr>
          <w:rFonts w:hint="eastAsia" w:asciiTheme="minorEastAsia" w:hAnsiTheme="minorEastAsia" w:eastAsiaTheme="minorEastAsia" w:cstheme="minorEastAsia"/>
          <w:color w:val="auto"/>
          <w:highlight w:val="none"/>
        </w:rPr>
        <w:t>4.1 监理人的一般规定</w:t>
      </w:r>
      <w:bookmarkEnd w:id="297"/>
      <w:bookmarkEnd w:id="298"/>
      <w:bookmarkEnd w:id="299"/>
      <w:bookmarkEnd w:id="300"/>
    </w:p>
    <w:p w14:paraId="45C421F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关于监理人的监理内容：</w:t>
      </w:r>
      <w:r>
        <w:rPr>
          <w:rFonts w:hint="eastAsia" w:asciiTheme="minorEastAsia" w:hAnsiTheme="minorEastAsia" w:eastAsiaTheme="minorEastAsia" w:cstheme="minorEastAsia"/>
          <w:color w:val="auto"/>
          <w:highlight w:val="none"/>
          <w:u w:val="single"/>
        </w:rPr>
        <w:t xml:space="preserve">  按监理合同约定  </w:t>
      </w:r>
      <w:r>
        <w:rPr>
          <w:rFonts w:hint="eastAsia" w:asciiTheme="minorEastAsia" w:hAnsiTheme="minorEastAsia" w:eastAsiaTheme="minorEastAsia" w:cstheme="minorEastAsia"/>
          <w:color w:val="auto"/>
          <w:highlight w:val="none"/>
        </w:rPr>
        <w:t>。</w:t>
      </w:r>
    </w:p>
    <w:p w14:paraId="727A7A6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关于监理人的监理权限：</w:t>
      </w:r>
      <w:r>
        <w:rPr>
          <w:rFonts w:hint="eastAsia" w:asciiTheme="minorEastAsia" w:hAnsiTheme="minorEastAsia" w:eastAsiaTheme="minorEastAsia" w:cstheme="minorEastAsia"/>
          <w:color w:val="auto"/>
          <w:highlight w:val="none"/>
          <w:u w:val="single"/>
        </w:rPr>
        <w:t xml:space="preserve">  按监理合同约定  </w:t>
      </w:r>
      <w:r>
        <w:rPr>
          <w:rFonts w:hint="eastAsia" w:asciiTheme="minorEastAsia" w:hAnsiTheme="minorEastAsia" w:eastAsiaTheme="minorEastAsia" w:cstheme="minorEastAsia"/>
          <w:color w:val="auto"/>
          <w:highlight w:val="none"/>
        </w:rPr>
        <w:t xml:space="preserve">。 </w:t>
      </w:r>
    </w:p>
    <w:p w14:paraId="7F443B8D">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关于监理人在施工现场的办公场所、生活场所的提供和费用承担的约定：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3E5E36C">
      <w:pPr>
        <w:pStyle w:val="4"/>
        <w:rPr>
          <w:rFonts w:hint="eastAsia" w:asciiTheme="minorEastAsia" w:hAnsiTheme="minorEastAsia" w:eastAsiaTheme="minorEastAsia" w:cstheme="minorEastAsia"/>
          <w:color w:val="auto"/>
          <w:highlight w:val="none"/>
        </w:rPr>
      </w:pPr>
      <w:bookmarkStart w:id="301" w:name="_Toc465114876"/>
      <w:bookmarkStart w:id="302" w:name="_Toc511243568"/>
      <w:bookmarkStart w:id="303" w:name="_Toc511243342"/>
      <w:bookmarkStart w:id="304" w:name="_Toc509760020"/>
      <w:r>
        <w:rPr>
          <w:rFonts w:hint="eastAsia" w:asciiTheme="minorEastAsia" w:hAnsiTheme="minorEastAsia" w:eastAsiaTheme="minorEastAsia" w:cstheme="minorEastAsia"/>
          <w:color w:val="auto"/>
          <w:highlight w:val="none"/>
        </w:rPr>
        <w:t>4.2 监理人员</w:t>
      </w:r>
      <w:bookmarkEnd w:id="301"/>
      <w:bookmarkEnd w:id="302"/>
      <w:bookmarkEnd w:id="303"/>
      <w:bookmarkEnd w:id="304"/>
    </w:p>
    <w:p w14:paraId="071F236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总监理工程师：</w:t>
      </w:r>
    </w:p>
    <w:p w14:paraId="4DA3D38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079D21C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    务：</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284734B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监理工程师执业资格证书号：</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14:paraId="1161967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73DA670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电子信箱：</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5195C5F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通信地址：</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6A766F7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关于监理人的其他约定：</w:t>
      </w:r>
      <w:r>
        <w:rPr>
          <w:rFonts w:hint="eastAsia" w:asciiTheme="minorEastAsia" w:hAnsiTheme="minorEastAsia" w:eastAsiaTheme="minorEastAsia" w:cstheme="minorEastAsia"/>
          <w:color w:val="auto"/>
          <w:highlight w:val="none"/>
          <w:u w:val="single"/>
        </w:rPr>
        <w:t>   </w:t>
      </w:r>
      <w:r>
        <w:rPr>
          <w:rFonts w:hint="eastAsia" w:asciiTheme="minorEastAsia" w:hAnsiTheme="minorEastAsia" w:eastAsiaTheme="minorEastAsia" w:cstheme="minorEastAsia"/>
          <w:color w:val="auto"/>
          <w:highlight w:val="none"/>
        </w:rPr>
        <w:t>。</w:t>
      </w:r>
    </w:p>
    <w:p w14:paraId="3CED498F">
      <w:pPr>
        <w:pStyle w:val="4"/>
        <w:rPr>
          <w:rFonts w:hint="eastAsia" w:asciiTheme="minorEastAsia" w:hAnsiTheme="minorEastAsia" w:eastAsiaTheme="minorEastAsia" w:cstheme="minorEastAsia"/>
          <w:color w:val="auto"/>
          <w:highlight w:val="none"/>
        </w:rPr>
      </w:pPr>
      <w:bookmarkStart w:id="305" w:name="_Toc511243343"/>
      <w:bookmarkStart w:id="306" w:name="_Toc509760021"/>
      <w:bookmarkStart w:id="307" w:name="_Toc465114877"/>
      <w:bookmarkStart w:id="308" w:name="_Toc511243569"/>
      <w:r>
        <w:rPr>
          <w:rFonts w:hint="eastAsia" w:asciiTheme="minorEastAsia" w:hAnsiTheme="minorEastAsia" w:eastAsiaTheme="minorEastAsia" w:cstheme="minorEastAsia"/>
          <w:color w:val="auto"/>
          <w:highlight w:val="none"/>
        </w:rPr>
        <w:t>4.4 商定或确定</w:t>
      </w:r>
      <w:bookmarkEnd w:id="305"/>
      <w:bookmarkEnd w:id="306"/>
      <w:bookmarkEnd w:id="307"/>
      <w:bookmarkEnd w:id="308"/>
    </w:p>
    <w:p w14:paraId="038056A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在发包人和承包人不能通过协商达成一致意见时，发包人授权监理人对以下事项进行确定：</w:t>
      </w:r>
    </w:p>
    <w:p w14:paraId="7B76701F">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65814186">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E117CC2">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56E754E">
      <w:pPr>
        <w:pStyle w:val="3"/>
        <w:rPr>
          <w:rFonts w:hint="eastAsia" w:asciiTheme="minorEastAsia" w:hAnsiTheme="minorEastAsia" w:eastAsiaTheme="minorEastAsia" w:cstheme="minorEastAsia"/>
          <w:color w:val="auto"/>
          <w:highlight w:val="none"/>
        </w:rPr>
      </w:pPr>
      <w:bookmarkStart w:id="309" w:name="_Toc465114878"/>
      <w:bookmarkStart w:id="310" w:name="_Toc511243570"/>
      <w:bookmarkStart w:id="311" w:name="_Toc509760022"/>
      <w:bookmarkStart w:id="312" w:name="_Toc511243344"/>
      <w:r>
        <w:rPr>
          <w:rFonts w:hint="eastAsia" w:asciiTheme="minorEastAsia" w:hAnsiTheme="minorEastAsia" w:eastAsiaTheme="minorEastAsia" w:cstheme="minorEastAsia"/>
          <w:color w:val="auto"/>
          <w:highlight w:val="none"/>
        </w:rPr>
        <w:t>5. 工程质量</w:t>
      </w:r>
      <w:bookmarkEnd w:id="309"/>
      <w:bookmarkEnd w:id="310"/>
      <w:bookmarkEnd w:id="311"/>
      <w:bookmarkEnd w:id="312"/>
    </w:p>
    <w:p w14:paraId="2E201BE5">
      <w:pPr>
        <w:pStyle w:val="4"/>
        <w:rPr>
          <w:rFonts w:hint="eastAsia" w:asciiTheme="minorEastAsia" w:hAnsiTheme="minorEastAsia" w:eastAsiaTheme="minorEastAsia" w:cstheme="minorEastAsia"/>
          <w:color w:val="auto"/>
          <w:highlight w:val="none"/>
        </w:rPr>
      </w:pPr>
      <w:bookmarkStart w:id="313" w:name="_Toc465114879"/>
      <w:bookmarkStart w:id="314" w:name="_Toc509760023"/>
      <w:bookmarkStart w:id="315" w:name="_Toc511243345"/>
      <w:bookmarkStart w:id="316" w:name="_Toc511243571"/>
      <w:r>
        <w:rPr>
          <w:rFonts w:hint="eastAsia" w:asciiTheme="minorEastAsia" w:hAnsiTheme="minorEastAsia" w:eastAsiaTheme="minorEastAsia" w:cstheme="minorEastAsia"/>
          <w:color w:val="auto"/>
          <w:highlight w:val="none"/>
        </w:rPr>
        <w:t>5.1 质量要求</w:t>
      </w:r>
      <w:bookmarkEnd w:id="313"/>
      <w:bookmarkEnd w:id="314"/>
      <w:bookmarkEnd w:id="315"/>
      <w:bookmarkEnd w:id="316"/>
    </w:p>
    <w:p w14:paraId="1B11B7FA">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5.1.1 特殊质量标准和要求：</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5EAB38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关于工程奖项的约定：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p>
    <w:p w14:paraId="18EC5607">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 隐蔽工程检查</w:t>
      </w:r>
    </w:p>
    <w:p w14:paraId="3463E878">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5.3.2承包人提前通知监理人隐蔽工程检查的期限的约定：</w:t>
      </w:r>
      <w:r>
        <w:rPr>
          <w:rFonts w:hint="eastAsia" w:asciiTheme="minorEastAsia" w:hAnsiTheme="minorEastAsia" w:eastAsiaTheme="minorEastAsia" w:cstheme="minorEastAsia"/>
          <w:bCs/>
          <w:color w:val="auto"/>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B2E8CEC">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监理人不能按时进行检查时，应提前</w:t>
      </w:r>
      <w:r>
        <w:rPr>
          <w:rFonts w:hint="eastAsia" w:asciiTheme="minorEastAsia" w:hAnsiTheme="minorEastAsia" w:eastAsiaTheme="minorEastAsia" w:cstheme="minorEastAsia"/>
          <w:color w:val="auto"/>
          <w:highlight w:val="none"/>
          <w:u w:val="single"/>
        </w:rPr>
        <w:t xml:space="preserve">  48 </w:t>
      </w:r>
      <w:r>
        <w:rPr>
          <w:rFonts w:hint="eastAsia" w:asciiTheme="minorEastAsia" w:hAnsiTheme="minorEastAsia" w:eastAsiaTheme="minorEastAsia" w:cstheme="minorEastAsia"/>
          <w:color w:val="auto"/>
          <w:highlight w:val="none"/>
        </w:rPr>
        <w:t>小时提交书面延期要求。</w:t>
      </w:r>
    </w:p>
    <w:p w14:paraId="4A95E21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关于延期最长不得超过：</w:t>
      </w:r>
      <w:r>
        <w:rPr>
          <w:rFonts w:hint="eastAsia" w:asciiTheme="minorEastAsia" w:hAnsiTheme="minorEastAsia" w:eastAsiaTheme="minorEastAsia" w:cstheme="minorEastAsia"/>
          <w:color w:val="auto"/>
          <w:highlight w:val="none"/>
          <w:u w:val="single"/>
        </w:rPr>
        <w:t xml:space="preserve">  48  </w:t>
      </w:r>
      <w:r>
        <w:rPr>
          <w:rFonts w:hint="eastAsia" w:asciiTheme="minorEastAsia" w:hAnsiTheme="minorEastAsia" w:eastAsiaTheme="minorEastAsia" w:cstheme="minorEastAsia"/>
          <w:color w:val="auto"/>
          <w:highlight w:val="none"/>
        </w:rPr>
        <w:t>小时。</w:t>
      </w:r>
    </w:p>
    <w:p w14:paraId="75D4F2F5">
      <w:pPr>
        <w:pStyle w:val="3"/>
        <w:rPr>
          <w:rFonts w:hint="eastAsia" w:asciiTheme="minorEastAsia" w:hAnsiTheme="minorEastAsia" w:eastAsiaTheme="minorEastAsia" w:cstheme="minorEastAsia"/>
          <w:color w:val="auto"/>
          <w:highlight w:val="none"/>
        </w:rPr>
      </w:pPr>
      <w:bookmarkStart w:id="317" w:name="_Toc511243346"/>
      <w:bookmarkStart w:id="318" w:name="_Toc509760024"/>
      <w:bookmarkStart w:id="319" w:name="_Toc465114880"/>
      <w:bookmarkStart w:id="320" w:name="_Toc511243572"/>
      <w:r>
        <w:rPr>
          <w:rFonts w:hint="eastAsia" w:asciiTheme="minorEastAsia" w:hAnsiTheme="minorEastAsia" w:eastAsiaTheme="minorEastAsia" w:cstheme="minorEastAsia"/>
          <w:color w:val="auto"/>
          <w:highlight w:val="none"/>
        </w:rPr>
        <w:t>6. 安全文明施工与环境保护</w:t>
      </w:r>
      <w:bookmarkEnd w:id="317"/>
      <w:bookmarkEnd w:id="318"/>
      <w:bookmarkEnd w:id="319"/>
      <w:bookmarkEnd w:id="320"/>
    </w:p>
    <w:p w14:paraId="57B6202B">
      <w:pPr>
        <w:pStyle w:val="4"/>
        <w:rPr>
          <w:rFonts w:hint="eastAsia" w:asciiTheme="minorEastAsia" w:hAnsiTheme="minorEastAsia" w:eastAsiaTheme="minorEastAsia" w:cstheme="minorEastAsia"/>
          <w:color w:val="auto"/>
          <w:highlight w:val="none"/>
        </w:rPr>
      </w:pPr>
      <w:bookmarkStart w:id="321" w:name="_Toc511243573"/>
      <w:bookmarkStart w:id="322" w:name="_Toc511243347"/>
      <w:bookmarkStart w:id="323" w:name="_Toc509760025"/>
      <w:bookmarkStart w:id="324" w:name="_Toc465114881"/>
      <w:r>
        <w:rPr>
          <w:rFonts w:hint="eastAsia" w:asciiTheme="minorEastAsia" w:hAnsiTheme="minorEastAsia" w:eastAsiaTheme="minorEastAsia" w:cstheme="minorEastAsia"/>
          <w:color w:val="auto"/>
          <w:highlight w:val="none"/>
        </w:rPr>
        <w:t>6.1 安全文明施工</w:t>
      </w:r>
      <w:bookmarkEnd w:id="321"/>
      <w:bookmarkEnd w:id="322"/>
      <w:bookmarkEnd w:id="323"/>
      <w:bookmarkEnd w:id="324"/>
    </w:p>
    <w:p w14:paraId="346474F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6.1.1 项目安全生产的达标目标及相应事项的约定：</w:t>
      </w:r>
      <w:r>
        <w:rPr>
          <w:rFonts w:hint="eastAsia" w:asciiTheme="minorEastAsia" w:hAnsiTheme="minorEastAsia" w:eastAsiaTheme="minorEastAsia" w:cstheme="minorEastAsia"/>
          <w:color w:val="auto"/>
          <w:highlight w:val="none"/>
          <w:u w:val="single"/>
        </w:rPr>
        <w:t xml:space="preserve">  工程施工必须按照国家安全生产有关法律法规进行施工，如发生安全事故，查明原因，一切后果及经济损失由责任方承担  </w:t>
      </w:r>
      <w:r>
        <w:rPr>
          <w:rFonts w:hint="eastAsia" w:asciiTheme="minorEastAsia" w:hAnsiTheme="minorEastAsia" w:eastAsiaTheme="minorEastAsia" w:cstheme="minorEastAsia"/>
          <w:color w:val="auto"/>
          <w:highlight w:val="none"/>
        </w:rPr>
        <w:t>。</w:t>
      </w:r>
    </w:p>
    <w:p w14:paraId="790D31D2">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关于安全文明施工奖项的约定：</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p>
    <w:p w14:paraId="6FDC8C30">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6.1.4 关于治安保卫的特别约定：</w:t>
      </w:r>
      <w:r>
        <w:rPr>
          <w:rFonts w:hint="eastAsia" w:asciiTheme="minorEastAsia" w:hAnsiTheme="minorEastAsia" w:eastAsiaTheme="minorEastAsia" w:cstheme="minorEastAsia"/>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7B3B896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关于编制施工场地治安管理计划的约定：</w:t>
      </w:r>
      <w:r>
        <w:rPr>
          <w:rFonts w:hint="eastAsia" w:asciiTheme="minorEastAsia" w:hAnsiTheme="minorEastAsia" w:eastAsiaTheme="minorEastAsia" w:cstheme="minorEastAsia"/>
          <w:color w:val="auto"/>
          <w:highlight w:val="none"/>
          <w:u w:val="single"/>
        </w:rPr>
        <w:t>承包人应当负责统一管理施工场地的治安保卫事项，履行合同工程的治安保卫职责。施工场地治安管理计划和突发治安事件紧急预案的编制责任人：施工技术管理人员</w:t>
      </w:r>
      <w:r>
        <w:rPr>
          <w:rFonts w:hint="eastAsia" w:asciiTheme="minorEastAsia" w:hAnsiTheme="minorEastAsia" w:eastAsiaTheme="minorEastAsia" w:cstheme="minorEastAsia"/>
          <w:color w:val="auto"/>
          <w:highlight w:val="none"/>
        </w:rPr>
        <w:t>。</w:t>
      </w:r>
    </w:p>
    <w:p w14:paraId="1B67701C">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6.1.5 文明施工</w:t>
      </w:r>
    </w:p>
    <w:p w14:paraId="33C2AA32">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合同当事人对文明施工的要求：</w:t>
      </w:r>
      <w:r>
        <w:rPr>
          <w:rFonts w:hint="eastAsia" w:asciiTheme="minorEastAsia" w:hAnsiTheme="minorEastAsia" w:eastAsiaTheme="minorEastAsia" w:cstheme="minorEastAsia"/>
          <w:color w:val="auto"/>
          <w:highlight w:val="none"/>
          <w:u w:val="single"/>
        </w:rPr>
        <w:t xml:space="preserve">(1)实行“门前三包”制度，工地出入口以及施工临时占用道路和场外临时用地范围内包无泥土洒漏，包无污水横流，包无扬尘污染，门口50米范围内及时落实清扫，确保清洁无尘。（2）密闭遮盖建筑材料，施工过程中使用水泥、石灰、砂石、涂料、铺装材料等易产生扬尘的建筑材料，须采取密闭存储。采用防尘布苫盖，设置围挡或堆砌围墙等措施。（3）密闭遮盖运输，进出工地的物料、渣土、垃圾运输车辆，须采用有效密闭封盖，装载料面不得高出车厢护栏，出工地前对装载物料的表层进行喷淋并加盖篷布。（4）设置规范的围档，施工现场必须实行封闭管理，沿工地四周连续设置围档。（5）设置规范出入口和车辆冲洗平台，在地工进出口内侧设置洗车平台，车辆驶离工地前，须在洗车平台清洗轮胎及车身，不得带泥上路，洗车平台四周须设置防溢座，废水导流渠、废水收集池，沉砂池及其它防治设施，收集洗车、施工以及降尘过程中产生的废水和泥浆，未经批准任何工地，不能擅自增加出入口.(6)采取湿法作业，施工作业阶段应采取有效降尘，配置洒水、喷淋、喷雾等设施，大型工地（占地面积50亩及以上工地，或建筑面积1万平方米及以上，或者施工工期一年及以上）落实有效抑尘设备。（7）建筑垃圾防尘，施工工程中产生的弃土、弃料及其他建筑垃圾，应及时清运，若在工地内堆置超过一周的，须采取覆盖防尘布、防尘网、定期喷水压尘等措施。（8）工地主要道路防尘，施工工地内的车行道路，须采取铺设有防扬尘功能材料，并辅以洒水、喷洒抑尘剂等措施，保持工地路面清洁，防止机动车扬尘。（9）输送作业的防尘措施。工地内从建筑上层将具有粉尘逸散性的物料、渣土或废弃物输送至地面或地下楼层时，要从电梯孔道、建筑内部管道或密闭输送管道输送，或者打包装框搬运，不得凌空抛撒。（10）拆迁施工场所防尘措施，拆除工程施工前，工地周围须设置围挡，拆迁作业时，须辅以持续加压洒水，以抑制扬尘飞散。（11）加强堆料场整洁，对易产生扬尘的临时物料堆、渣土堆、废渣、建材等，须采用防尘网和防尘布覆盖，必要时进行喷淋、固化处理。（12）安装视频监控，在城区内由市住建局审批的建筑面积达到1万平方米以上（含1万平方米）或者施工工期一年以上（含一年）建工地出入口安装视频监控装置并联网至市住建局，加强日常监管，确保出入车辆清洗干净，无带泥上路现象。（13）祼露地块防尘，针对工地内的祼露地块，采取遮盖等各种防尘措施  </w:t>
      </w:r>
      <w:r>
        <w:rPr>
          <w:rFonts w:hint="eastAsia" w:asciiTheme="minorEastAsia" w:hAnsiTheme="minorEastAsia" w:eastAsiaTheme="minorEastAsia" w:cstheme="minorEastAsia"/>
          <w:color w:val="auto"/>
          <w:highlight w:val="none"/>
        </w:rPr>
        <w:t>。</w:t>
      </w:r>
    </w:p>
    <w:p w14:paraId="2E9BF37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6.1.6 关于安全文明施工费支付比例和支付期限的约定：</w:t>
      </w:r>
    </w:p>
    <w:p w14:paraId="3E7CE01C">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（1）本合同价款已包含安全文明施工费</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元。</w:t>
      </w:r>
    </w:p>
    <w:p w14:paraId="39194845">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（2）使用要求：专款专用。具体按</w:t>
      </w:r>
      <w:r>
        <w:rPr>
          <w:rFonts w:hint="eastAsia" w:asciiTheme="minorEastAsia" w:hAnsiTheme="minorEastAsia" w:eastAsiaTheme="minorEastAsia" w:cstheme="minorEastAsia"/>
          <w:color w:val="auto"/>
          <w:kern w:val="0"/>
          <w:highlight w:val="none"/>
          <w:u w:val="single"/>
        </w:rPr>
        <w:t>《广西壮族自治区建设工程安全文明施工费使用管理细则》（桂建质〔2015〕16号）</w:t>
      </w:r>
      <w:r>
        <w:rPr>
          <w:rFonts w:hint="eastAsia" w:asciiTheme="minorEastAsia" w:hAnsiTheme="minorEastAsia" w:eastAsiaTheme="minorEastAsia" w:cstheme="minorEastAsia"/>
          <w:color w:val="auto"/>
          <w:kern w:val="0"/>
          <w:highlight w:val="none"/>
        </w:rPr>
        <w:t>和</w:t>
      </w:r>
      <w:r>
        <w:rPr>
          <w:rFonts w:hint="eastAsia" w:asciiTheme="minorEastAsia" w:hAnsiTheme="minorEastAsia" w:eastAsiaTheme="minorEastAsia" w:cstheme="minorEastAsia"/>
          <w:color w:val="auto"/>
          <w:kern w:val="0"/>
          <w:highlight w:val="none"/>
          <w:u w:val="single"/>
        </w:rPr>
        <w:t xml:space="preserve">  </w:t>
      </w:r>
      <w:r>
        <w:rPr>
          <w:rFonts w:hint="eastAsia" w:hAnsiTheme="minorEastAsia" w:cstheme="minorEastAsia"/>
          <w:color w:val="auto"/>
          <w:kern w:val="0"/>
          <w:highlight w:val="none"/>
          <w:u w:val="single"/>
          <w:lang w:val="en-US" w:eastAsia="zh-CN"/>
        </w:rPr>
        <w:t>南宁</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市相关规定执行。</w:t>
      </w:r>
    </w:p>
    <w:p w14:paraId="27399D09">
      <w:pPr>
        <w:pStyle w:val="33"/>
        <w:snapToGrid w:val="0"/>
        <w:spacing w:line="360" w:lineRule="auto"/>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highlight w:val="none"/>
        </w:rPr>
        <w:t>（3）支付约定：</w:t>
      </w:r>
      <w:r>
        <w:rPr>
          <w:rFonts w:hint="eastAsia" w:asciiTheme="minorEastAsia" w:hAnsiTheme="minorEastAsia" w:eastAsiaTheme="minorEastAsia" w:cstheme="minorEastAsia"/>
          <w:color w:val="auto"/>
          <w:kern w:val="0"/>
          <w:highlight w:val="none"/>
          <w:u w:val="single"/>
        </w:rPr>
        <w:t>在本合同签订后    个工作日内，预付安全文明施工费总额的     （30-50 %），其余部分与进度款同期支付。</w:t>
      </w:r>
    </w:p>
    <w:p w14:paraId="67EABDA2">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6.3 环境保护</w:t>
      </w:r>
    </w:p>
    <w:p w14:paraId="1E58C664">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因施工需要，经发包人批准，由承包人办理有关施工场地交通、环卫和施工噪音管理等手续，费用由承包人负责。</w:t>
      </w:r>
    </w:p>
    <w:p w14:paraId="40954AE0">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经过城市道路的施工车辆，必须按交警、城管、运输等部门相关规定执行。由于施工车辆造成的道路、环境等污染，其责任和费用均由承包人承担。</w:t>
      </w:r>
    </w:p>
    <w:p w14:paraId="744282F5">
      <w:pPr>
        <w:pStyle w:val="3"/>
        <w:rPr>
          <w:rFonts w:hint="eastAsia" w:asciiTheme="minorEastAsia" w:hAnsiTheme="minorEastAsia" w:eastAsiaTheme="minorEastAsia" w:cstheme="minorEastAsia"/>
          <w:color w:val="auto"/>
          <w:highlight w:val="none"/>
        </w:rPr>
      </w:pPr>
      <w:bookmarkStart w:id="325" w:name="_Toc511243348"/>
      <w:bookmarkStart w:id="326" w:name="_Toc511243574"/>
      <w:bookmarkStart w:id="327" w:name="_Toc465114882"/>
      <w:bookmarkStart w:id="328" w:name="_Toc509760026"/>
      <w:r>
        <w:rPr>
          <w:rFonts w:hint="eastAsia" w:asciiTheme="minorEastAsia" w:hAnsiTheme="minorEastAsia" w:eastAsiaTheme="minorEastAsia" w:cstheme="minorEastAsia"/>
          <w:color w:val="auto"/>
          <w:highlight w:val="none"/>
        </w:rPr>
        <w:t>7. 工期和进度</w:t>
      </w:r>
      <w:bookmarkEnd w:id="325"/>
      <w:bookmarkEnd w:id="326"/>
      <w:bookmarkEnd w:id="327"/>
      <w:bookmarkEnd w:id="328"/>
    </w:p>
    <w:p w14:paraId="30396F1E">
      <w:pPr>
        <w:pStyle w:val="4"/>
        <w:rPr>
          <w:rFonts w:hint="eastAsia" w:asciiTheme="minorEastAsia" w:hAnsiTheme="minorEastAsia" w:eastAsiaTheme="minorEastAsia" w:cstheme="minorEastAsia"/>
          <w:color w:val="auto"/>
          <w:highlight w:val="none"/>
        </w:rPr>
      </w:pPr>
      <w:bookmarkStart w:id="329" w:name="_Toc511243575"/>
      <w:bookmarkStart w:id="330" w:name="_Toc465114883"/>
      <w:bookmarkStart w:id="331" w:name="_Toc509760027"/>
      <w:bookmarkStart w:id="332" w:name="_Toc511243349"/>
      <w:r>
        <w:rPr>
          <w:rFonts w:hint="eastAsia" w:asciiTheme="minorEastAsia" w:hAnsiTheme="minorEastAsia" w:eastAsiaTheme="minorEastAsia" w:cstheme="minorEastAsia"/>
          <w:color w:val="auto"/>
          <w:highlight w:val="none"/>
        </w:rPr>
        <w:t>7.1 施工组织设计</w:t>
      </w:r>
      <w:bookmarkEnd w:id="329"/>
      <w:bookmarkEnd w:id="330"/>
      <w:bookmarkEnd w:id="331"/>
      <w:bookmarkEnd w:id="332"/>
    </w:p>
    <w:p w14:paraId="483A8091">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7.1.1 合</w:t>
      </w:r>
      <w:r>
        <w:rPr>
          <w:rFonts w:hint="eastAsia" w:asciiTheme="minorEastAsia" w:hAnsiTheme="minorEastAsia" w:eastAsiaTheme="minorEastAsia" w:cstheme="minorEastAsia"/>
          <w:color w:val="auto"/>
          <w:kern w:val="0"/>
          <w:highlight w:val="none"/>
        </w:rPr>
        <w:t>同当事人约定的施工组织设计应包括的其他内容：</w:t>
      </w:r>
      <w:r>
        <w:rPr>
          <w:rFonts w:hint="eastAsia" w:asciiTheme="minorEastAsia" w:hAnsiTheme="minorEastAsia" w:eastAsiaTheme="minorEastAsia" w:cstheme="minorEastAsia"/>
          <w:color w:val="auto"/>
          <w:highlight w:val="none"/>
          <w:u w:val="single"/>
        </w:rPr>
        <w:t xml:space="preserve">按《通用合同条款》执行  </w:t>
      </w:r>
      <w:r>
        <w:rPr>
          <w:rFonts w:hint="eastAsia" w:asciiTheme="minorEastAsia" w:hAnsiTheme="minorEastAsia" w:eastAsiaTheme="minorEastAsia" w:cstheme="minorEastAsia"/>
          <w:color w:val="auto"/>
          <w:highlight w:val="none"/>
        </w:rPr>
        <w:t>。</w:t>
      </w:r>
    </w:p>
    <w:p w14:paraId="33C819C6">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 xml:space="preserve">7.1.2 </w:t>
      </w:r>
      <w:r>
        <w:rPr>
          <w:rFonts w:hint="eastAsia" w:asciiTheme="minorEastAsia" w:hAnsiTheme="minorEastAsia" w:eastAsiaTheme="minorEastAsia" w:cstheme="minorEastAsia"/>
          <w:color w:val="auto"/>
          <w:kern w:val="0"/>
          <w:highlight w:val="none"/>
        </w:rPr>
        <w:t>施工组织设计的提交和修改</w:t>
      </w:r>
    </w:p>
    <w:p w14:paraId="34B095EC">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承包人提交详细施工组织设计的期限的约定：</w:t>
      </w:r>
      <w:r>
        <w:rPr>
          <w:rFonts w:hint="eastAsia" w:asciiTheme="minorEastAsia" w:hAnsiTheme="minorEastAsia" w:eastAsiaTheme="minorEastAsia" w:cstheme="minorEastAsia"/>
          <w:color w:val="auto"/>
          <w:highlight w:val="none"/>
          <w:u w:val="single"/>
        </w:rPr>
        <w:t xml:space="preserve"> 在收到监理人发出的开工通知后7日内   </w:t>
      </w:r>
      <w:r>
        <w:rPr>
          <w:rFonts w:hint="eastAsia" w:asciiTheme="minorEastAsia" w:hAnsiTheme="minorEastAsia" w:eastAsiaTheme="minorEastAsia" w:cstheme="minorEastAsia"/>
          <w:color w:val="auto"/>
          <w:highlight w:val="none"/>
        </w:rPr>
        <w:t>。</w:t>
      </w:r>
    </w:p>
    <w:p w14:paraId="399B657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发包人和监理人在收到详细的施工组织设计后确认或提出修改意见的期限：</w:t>
      </w:r>
      <w:r>
        <w:rPr>
          <w:rFonts w:hint="eastAsia" w:asciiTheme="minorEastAsia" w:hAnsiTheme="minorEastAsia" w:eastAsiaTheme="minorEastAsia" w:cstheme="minorEastAsia"/>
          <w:color w:val="auto"/>
          <w:highlight w:val="none"/>
          <w:u w:val="single"/>
        </w:rPr>
        <w:t>自收到承包人提交的施工组织设计后7日内予以确认或提出修改意见</w:t>
      </w:r>
      <w:r>
        <w:rPr>
          <w:rFonts w:hint="eastAsia" w:asciiTheme="minorEastAsia" w:hAnsiTheme="minorEastAsia" w:eastAsiaTheme="minorEastAsia" w:cstheme="minorEastAsia"/>
          <w:color w:val="auto"/>
          <w:highlight w:val="none"/>
        </w:rPr>
        <w:t>。</w:t>
      </w:r>
    </w:p>
    <w:p w14:paraId="278347D3">
      <w:pPr>
        <w:pStyle w:val="4"/>
        <w:rPr>
          <w:rFonts w:hint="eastAsia" w:asciiTheme="minorEastAsia" w:hAnsiTheme="minorEastAsia" w:eastAsiaTheme="minorEastAsia" w:cstheme="minorEastAsia"/>
          <w:color w:val="auto"/>
          <w:highlight w:val="none"/>
        </w:rPr>
      </w:pPr>
      <w:bookmarkStart w:id="333" w:name="_Toc511243350"/>
      <w:bookmarkStart w:id="334" w:name="_Toc511243576"/>
      <w:bookmarkStart w:id="335" w:name="_Toc509760028"/>
      <w:bookmarkStart w:id="336" w:name="_Toc465114884"/>
      <w:r>
        <w:rPr>
          <w:rFonts w:hint="eastAsia" w:asciiTheme="minorEastAsia" w:hAnsiTheme="minorEastAsia" w:eastAsiaTheme="minorEastAsia" w:cstheme="minorEastAsia"/>
          <w:color w:val="auto"/>
          <w:highlight w:val="none"/>
        </w:rPr>
        <w:t>7.2 施工进度计划</w:t>
      </w:r>
      <w:bookmarkEnd w:id="333"/>
      <w:bookmarkEnd w:id="334"/>
      <w:bookmarkEnd w:id="335"/>
      <w:bookmarkEnd w:id="336"/>
    </w:p>
    <w:p w14:paraId="30F027BF">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7.2.2 施工进度计划的修订</w:t>
      </w:r>
    </w:p>
    <w:p w14:paraId="360DE49E">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发包人和监理人在收到修订的施工进度计划后确认或提出修改意见的期限：</w:t>
      </w:r>
      <w:r>
        <w:rPr>
          <w:rFonts w:hint="eastAsia" w:asciiTheme="minorEastAsia" w:hAnsiTheme="minorEastAsia" w:eastAsiaTheme="minorEastAsia" w:cstheme="minorEastAsia"/>
          <w:color w:val="auto"/>
          <w:highlight w:val="none"/>
          <w:u w:val="single"/>
        </w:rPr>
        <w:t xml:space="preserve">自收到承包人提交后7日内  </w:t>
      </w:r>
      <w:r>
        <w:rPr>
          <w:rFonts w:hint="eastAsia" w:asciiTheme="minorEastAsia" w:hAnsiTheme="minorEastAsia" w:eastAsiaTheme="minorEastAsia" w:cstheme="minorEastAsia"/>
          <w:color w:val="auto"/>
          <w:highlight w:val="none"/>
        </w:rPr>
        <w:t>。</w:t>
      </w:r>
    </w:p>
    <w:p w14:paraId="465998F9">
      <w:pPr>
        <w:pStyle w:val="4"/>
        <w:rPr>
          <w:rFonts w:hint="eastAsia" w:asciiTheme="minorEastAsia" w:hAnsiTheme="minorEastAsia" w:eastAsiaTheme="minorEastAsia" w:cstheme="minorEastAsia"/>
          <w:color w:val="auto"/>
          <w:highlight w:val="none"/>
        </w:rPr>
      </w:pPr>
      <w:bookmarkStart w:id="337" w:name="_Toc509760029"/>
      <w:bookmarkStart w:id="338" w:name="_Toc465114885"/>
      <w:bookmarkStart w:id="339" w:name="_Toc511243351"/>
      <w:bookmarkStart w:id="340" w:name="_Toc511243577"/>
      <w:r>
        <w:rPr>
          <w:rFonts w:hint="eastAsia" w:asciiTheme="minorEastAsia" w:hAnsiTheme="minorEastAsia" w:eastAsiaTheme="minorEastAsia" w:cstheme="minorEastAsia"/>
          <w:color w:val="auto"/>
          <w:highlight w:val="none"/>
        </w:rPr>
        <w:t>7.3 开工</w:t>
      </w:r>
      <w:bookmarkEnd w:id="337"/>
      <w:bookmarkEnd w:id="338"/>
      <w:bookmarkEnd w:id="339"/>
      <w:bookmarkEnd w:id="340"/>
    </w:p>
    <w:p w14:paraId="688DAE97">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7.3.1 开工准备</w:t>
      </w:r>
    </w:p>
    <w:p w14:paraId="1B39AAB9">
      <w:pPr>
        <w:spacing w:line="360" w:lineRule="auto"/>
        <w:ind w:firstLine="426"/>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关于承包人提交</w:t>
      </w:r>
      <w:r>
        <w:rPr>
          <w:rFonts w:hint="eastAsia" w:asciiTheme="minorEastAsia" w:hAnsiTheme="minorEastAsia" w:eastAsiaTheme="minorEastAsia" w:cstheme="minorEastAsia"/>
          <w:color w:val="auto"/>
          <w:kern w:val="0"/>
          <w:highlight w:val="none"/>
        </w:rPr>
        <w:t>工程开工报审表的期限：</w:t>
      </w:r>
      <w:r>
        <w:rPr>
          <w:rFonts w:hint="eastAsia" w:asciiTheme="minorEastAsia" w:hAnsiTheme="minorEastAsia" w:eastAsiaTheme="minorEastAsia" w:cstheme="minorEastAsia"/>
          <w:color w:val="auto"/>
          <w:highlight w:val="none"/>
          <w:u w:val="single"/>
        </w:rPr>
        <w:t xml:space="preserve">  开工前7日  </w:t>
      </w:r>
      <w:r>
        <w:rPr>
          <w:rFonts w:hint="eastAsia" w:asciiTheme="minorEastAsia" w:hAnsiTheme="minorEastAsia" w:eastAsiaTheme="minorEastAsia" w:cstheme="minorEastAsia"/>
          <w:color w:val="auto"/>
          <w:highlight w:val="none"/>
        </w:rPr>
        <w:t>。</w:t>
      </w:r>
    </w:p>
    <w:p w14:paraId="779E4B63">
      <w:pPr>
        <w:spacing w:line="360" w:lineRule="auto"/>
        <w:ind w:firstLine="426"/>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关于发包人应完成的其他开工准备工作及期限：</w:t>
      </w:r>
      <w:r>
        <w:rPr>
          <w:rFonts w:hint="eastAsia" w:asciiTheme="minorEastAsia" w:hAnsiTheme="minorEastAsia" w:eastAsiaTheme="minorEastAsia" w:cstheme="minorEastAsia"/>
          <w:color w:val="auto"/>
          <w:highlight w:val="none"/>
          <w:u w:val="single"/>
        </w:rPr>
        <w:t xml:space="preserve">开工前7日 </w:t>
      </w:r>
      <w:r>
        <w:rPr>
          <w:rFonts w:hint="eastAsia" w:asciiTheme="minorEastAsia" w:hAnsiTheme="minorEastAsia" w:eastAsiaTheme="minorEastAsia" w:cstheme="minorEastAsia"/>
          <w:color w:val="auto"/>
          <w:highlight w:val="none"/>
        </w:rPr>
        <w:t>。</w:t>
      </w:r>
    </w:p>
    <w:p w14:paraId="05B67A47">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关于承包人应完成的其他开工准备工作及期限：</w:t>
      </w:r>
      <w:r>
        <w:rPr>
          <w:rFonts w:hint="eastAsia" w:asciiTheme="minorEastAsia" w:hAnsiTheme="minorEastAsia" w:eastAsiaTheme="minorEastAsia" w:cstheme="minorEastAsia"/>
          <w:color w:val="auto"/>
          <w:highlight w:val="none"/>
          <w:u w:val="single"/>
        </w:rPr>
        <w:t>开工前7日</w:t>
      </w:r>
      <w:r>
        <w:rPr>
          <w:rFonts w:hint="eastAsia" w:asciiTheme="minorEastAsia" w:hAnsiTheme="minorEastAsia" w:eastAsiaTheme="minorEastAsia" w:cstheme="minorEastAsia"/>
          <w:color w:val="auto"/>
          <w:highlight w:val="none"/>
        </w:rPr>
        <w:t>。</w:t>
      </w:r>
    </w:p>
    <w:p w14:paraId="6F6288F8">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7.3.2 开工通知</w:t>
      </w:r>
    </w:p>
    <w:p w14:paraId="7DA35FE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因发包人原因造成监理人未能在计划开工日期之日起</w:t>
      </w:r>
      <w:r>
        <w:rPr>
          <w:rFonts w:hint="eastAsia" w:asciiTheme="minorEastAsia" w:hAnsiTheme="minorEastAsia" w:eastAsiaTheme="minorEastAsia" w:cstheme="minorEastAsia"/>
          <w:color w:val="auto"/>
          <w:highlight w:val="none"/>
          <w:u w:val="single"/>
        </w:rPr>
        <w:t xml:space="preserve"> 14 </w:t>
      </w:r>
      <w:r>
        <w:rPr>
          <w:rFonts w:hint="eastAsia" w:asciiTheme="minorEastAsia" w:hAnsiTheme="minorEastAsia" w:eastAsiaTheme="minorEastAsia" w:cstheme="minorEastAsia"/>
          <w:color w:val="auto"/>
          <w:highlight w:val="none"/>
        </w:rPr>
        <w:t>天内发出开工通知的，承包人有权提出价格调整要求，或者解除合同。</w:t>
      </w:r>
    </w:p>
    <w:p w14:paraId="156DEBDD">
      <w:pPr>
        <w:pStyle w:val="4"/>
        <w:rPr>
          <w:rFonts w:hint="eastAsia" w:asciiTheme="minorEastAsia" w:hAnsiTheme="minorEastAsia" w:eastAsiaTheme="minorEastAsia" w:cstheme="minorEastAsia"/>
          <w:color w:val="auto"/>
          <w:highlight w:val="none"/>
        </w:rPr>
      </w:pPr>
      <w:bookmarkStart w:id="341" w:name="_Toc509760030"/>
      <w:bookmarkStart w:id="342" w:name="_Toc511243578"/>
      <w:bookmarkStart w:id="343" w:name="_Toc465114886"/>
      <w:bookmarkStart w:id="344" w:name="_Toc511243352"/>
      <w:r>
        <w:rPr>
          <w:rFonts w:hint="eastAsia" w:asciiTheme="minorEastAsia" w:hAnsiTheme="minorEastAsia" w:eastAsiaTheme="minorEastAsia" w:cstheme="minorEastAsia"/>
          <w:color w:val="auto"/>
          <w:highlight w:val="none"/>
        </w:rPr>
        <w:t>7.4 测量放线</w:t>
      </w:r>
      <w:bookmarkEnd w:id="341"/>
      <w:bookmarkEnd w:id="342"/>
      <w:bookmarkEnd w:id="343"/>
      <w:bookmarkEnd w:id="344"/>
    </w:p>
    <w:p w14:paraId="4AF8B0D1">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7.4.1发包人通过监理人向承包人提供测量基准点、基准线和水准点及其书面资料的期限：</w:t>
      </w:r>
    </w:p>
    <w:p w14:paraId="6A4FE934">
      <w:pPr>
        <w:spacing w:line="360" w:lineRule="auto"/>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开工前7日  </w:t>
      </w:r>
      <w:r>
        <w:rPr>
          <w:rFonts w:hint="eastAsia" w:asciiTheme="minorEastAsia" w:hAnsiTheme="minorEastAsia" w:eastAsiaTheme="minorEastAsia" w:cstheme="minorEastAsia"/>
          <w:color w:val="auto"/>
          <w:highlight w:val="none"/>
        </w:rPr>
        <w:t>。</w:t>
      </w:r>
    </w:p>
    <w:p w14:paraId="2B65E1EE">
      <w:pPr>
        <w:pStyle w:val="4"/>
        <w:rPr>
          <w:rFonts w:hint="eastAsia" w:asciiTheme="minorEastAsia" w:hAnsiTheme="minorEastAsia" w:eastAsiaTheme="minorEastAsia" w:cstheme="minorEastAsia"/>
          <w:color w:val="auto"/>
          <w:highlight w:val="none"/>
        </w:rPr>
      </w:pPr>
      <w:bookmarkStart w:id="345" w:name="_Toc465114887"/>
      <w:bookmarkStart w:id="346" w:name="_Toc511243579"/>
      <w:bookmarkStart w:id="347" w:name="_Toc511243353"/>
      <w:bookmarkStart w:id="348" w:name="_Toc509760031"/>
      <w:r>
        <w:rPr>
          <w:rFonts w:hint="eastAsia" w:asciiTheme="minorEastAsia" w:hAnsiTheme="minorEastAsia" w:eastAsiaTheme="minorEastAsia" w:cstheme="minorEastAsia"/>
          <w:color w:val="auto"/>
          <w:highlight w:val="none"/>
        </w:rPr>
        <w:t>7.5 工期延误</w:t>
      </w:r>
      <w:bookmarkEnd w:id="345"/>
      <w:bookmarkEnd w:id="346"/>
      <w:bookmarkEnd w:id="347"/>
      <w:bookmarkEnd w:id="348"/>
    </w:p>
    <w:p w14:paraId="6737FEC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7.5.1 因发包人原因导致工期延误</w:t>
      </w:r>
    </w:p>
    <w:p w14:paraId="4A0292C3">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（7）因发包人原因导致工期延误的其他情形：</w:t>
      </w:r>
      <w:r>
        <w:rPr>
          <w:rFonts w:hint="eastAsia" w:asciiTheme="minorEastAsia" w:hAnsiTheme="minorEastAsia" w:eastAsiaTheme="minorEastAsia" w:cstheme="minorEastAsia"/>
          <w:color w:val="auto"/>
          <w:highlight w:val="none"/>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Theme="minorEastAsia" w:hAnsiTheme="minorEastAsia" w:eastAsiaTheme="minorEastAsia" w:cstheme="minorEastAsia"/>
          <w:color w:val="auto"/>
          <w:highlight w:val="none"/>
        </w:rPr>
        <w:t xml:space="preserve">                                           </w:t>
      </w:r>
    </w:p>
    <w:p w14:paraId="133DDADC">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7.5.2 因承包人原因导致工期延误</w:t>
      </w:r>
    </w:p>
    <w:p w14:paraId="01D7695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双方约定经监理工程师确认，工期相应顺延的情况：</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7F3E45E">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因承包人原因造成工期延误，逾期竣工违约金的计算方法为：</w:t>
      </w:r>
      <w:r>
        <w:rPr>
          <w:rFonts w:hint="eastAsia" w:asciiTheme="minorEastAsia" w:hAnsiTheme="minorEastAsia" w:eastAsiaTheme="minorEastAsia" w:cstheme="minorEastAsia"/>
          <w:color w:val="auto"/>
          <w:highlight w:val="none"/>
          <w:u w:val="single"/>
        </w:rPr>
        <w:t xml:space="preserve">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一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14:paraId="5D1746F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因承包人原因造成工期延误，逾期竣工违约金的上限：</w:t>
      </w:r>
      <w:r>
        <w:rPr>
          <w:rFonts w:hint="eastAsia" w:asciiTheme="minorEastAsia" w:hAnsiTheme="minorEastAsia" w:eastAsiaTheme="minorEastAsia" w:cstheme="minorEastAsia"/>
          <w:color w:val="auto"/>
          <w:highlight w:val="none"/>
          <w:u w:val="single"/>
        </w:rPr>
        <w:t>逾期竣工的单位工程结算造价扣除建安劳保费、发包人材料设备价款、暂估专业工程、暂列金额后的5%</w:t>
      </w:r>
      <w:r>
        <w:rPr>
          <w:rFonts w:hint="eastAsia" w:asciiTheme="minorEastAsia" w:hAnsiTheme="minorEastAsia" w:eastAsiaTheme="minorEastAsia" w:cstheme="minorEastAsia"/>
          <w:color w:val="auto"/>
          <w:highlight w:val="none"/>
        </w:rPr>
        <w:t>。</w:t>
      </w:r>
    </w:p>
    <w:p w14:paraId="1E8A5FB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7.6 不利物质条件</w:t>
      </w:r>
    </w:p>
    <w:p w14:paraId="7EFE6E33">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不利物质条件的其他情形和有关约定：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8A0A4EC">
      <w:pPr>
        <w:pStyle w:val="4"/>
        <w:rPr>
          <w:rFonts w:hint="eastAsia" w:asciiTheme="minorEastAsia" w:hAnsiTheme="minorEastAsia" w:eastAsiaTheme="minorEastAsia" w:cstheme="minorEastAsia"/>
          <w:color w:val="auto"/>
          <w:highlight w:val="none"/>
        </w:rPr>
      </w:pPr>
      <w:bookmarkStart w:id="349" w:name="_Toc509760032"/>
      <w:bookmarkStart w:id="350" w:name="_Toc465114888"/>
      <w:bookmarkStart w:id="351" w:name="_Toc511243354"/>
      <w:bookmarkStart w:id="352" w:name="_Toc511243580"/>
      <w:r>
        <w:rPr>
          <w:rFonts w:hint="eastAsia" w:asciiTheme="minorEastAsia" w:hAnsiTheme="minorEastAsia" w:eastAsiaTheme="minorEastAsia" w:cstheme="minorEastAsia"/>
          <w:color w:val="auto"/>
          <w:highlight w:val="none"/>
        </w:rPr>
        <w:t>7.7 异常恶劣的气候条件</w:t>
      </w:r>
      <w:bookmarkEnd w:id="349"/>
      <w:bookmarkEnd w:id="350"/>
      <w:bookmarkEnd w:id="351"/>
      <w:bookmarkEnd w:id="352"/>
    </w:p>
    <w:p w14:paraId="26147DF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发包人和承包人同意以下情形视为异常恶劣的气候条件：</w:t>
      </w:r>
    </w:p>
    <w:p w14:paraId="15EF1DF1">
      <w:pPr>
        <w:pStyle w:val="35"/>
        <w:spacing w:line="360" w:lineRule="auto"/>
        <w:ind w:firstLine="315" w:firstLineChars="150"/>
        <w:jc w:val="left"/>
        <w:rPr>
          <w:rFonts w:hint="eastAsia" w:asciiTheme="minorEastAsia" w:hAnsiTheme="minorEastAsia" w:eastAsiaTheme="minorEastAsia" w:cstheme="minorEastAsia"/>
          <w:color w:val="auto"/>
          <w:highlight w:val="none"/>
          <w:u w:val="single"/>
        </w:rPr>
      </w:pPr>
      <w:bookmarkStart w:id="353" w:name="_Toc465114889"/>
      <w:r>
        <w:rPr>
          <w:rFonts w:hint="eastAsia" w:asciiTheme="minorEastAsia" w:hAnsiTheme="minorEastAsia" w:eastAsiaTheme="minorEastAsia" w:cstheme="minorEastAsia"/>
          <w:color w:val="auto"/>
          <w:highlight w:val="none"/>
          <w:u w:val="single"/>
        </w:rPr>
        <w:t>（1）日降雨量大于100㎜的雨日超过2天；</w:t>
      </w:r>
    </w:p>
    <w:p w14:paraId="4BA422DD">
      <w:pPr>
        <w:pStyle w:val="36"/>
        <w:spacing w:line="360" w:lineRule="auto"/>
        <w:ind w:firstLine="367" w:firstLineChars="175"/>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（2）8级以上的持续1日的大风；</w:t>
      </w:r>
    </w:p>
    <w:p w14:paraId="3A7C7CFF">
      <w:pPr>
        <w:pStyle w:val="36"/>
        <w:spacing w:line="360" w:lineRule="auto"/>
        <w:ind w:firstLine="367" w:firstLineChars="175"/>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（3）日气温超过40 ℃的高温大于2天；</w:t>
      </w:r>
    </w:p>
    <w:p w14:paraId="1BCCB1B1">
      <w:pPr>
        <w:pStyle w:val="36"/>
        <w:spacing w:line="360" w:lineRule="auto"/>
        <w:ind w:firstLine="367" w:firstLineChars="175"/>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（4）日气温低于-10℃的严寒大于2天；</w:t>
      </w:r>
    </w:p>
    <w:p w14:paraId="6E0F0597">
      <w:pPr>
        <w:pStyle w:val="36"/>
        <w:spacing w:line="360" w:lineRule="auto"/>
        <w:ind w:firstLine="367" w:firstLineChars="175"/>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（5）造成工程损坏的冰雹和大雪灾害；</w:t>
      </w:r>
    </w:p>
    <w:p w14:paraId="2D60116E">
      <w:pPr>
        <w:pStyle w:val="36"/>
        <w:spacing w:line="360" w:lineRule="auto"/>
        <w:ind w:firstLine="367" w:firstLineChars="175"/>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（6）6 级以上的地震；</w:t>
      </w:r>
    </w:p>
    <w:p w14:paraId="135B5C12">
      <w:pPr>
        <w:pStyle w:val="36"/>
        <w:spacing w:line="360" w:lineRule="auto"/>
        <w:ind w:firstLine="367" w:firstLineChars="175"/>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（7）10 年一遇及以上的洪水；</w:t>
      </w:r>
    </w:p>
    <w:p w14:paraId="434E5F54">
      <w:pPr>
        <w:pStyle w:val="36"/>
        <w:spacing w:line="360" w:lineRule="auto"/>
        <w:ind w:firstLine="367" w:firstLineChars="175"/>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（8）其他异常恶劣气候灾害。</w:t>
      </w:r>
    </w:p>
    <w:p w14:paraId="4EC65874">
      <w:pPr>
        <w:pStyle w:val="4"/>
        <w:rPr>
          <w:rFonts w:hint="eastAsia" w:asciiTheme="minorEastAsia" w:hAnsiTheme="minorEastAsia" w:eastAsiaTheme="minorEastAsia" w:cstheme="minorEastAsia"/>
          <w:color w:val="auto"/>
          <w:highlight w:val="none"/>
        </w:rPr>
      </w:pPr>
      <w:bookmarkStart w:id="354" w:name="_Toc511243581"/>
      <w:bookmarkStart w:id="355" w:name="_Toc509760033"/>
      <w:bookmarkStart w:id="356" w:name="_Toc511243355"/>
      <w:r>
        <w:rPr>
          <w:rFonts w:hint="eastAsia" w:asciiTheme="minorEastAsia" w:hAnsiTheme="minorEastAsia" w:eastAsiaTheme="minorEastAsia" w:cstheme="minorEastAsia"/>
          <w:color w:val="auto"/>
          <w:highlight w:val="none"/>
        </w:rPr>
        <w:t>7.9 提前竣工</w:t>
      </w:r>
      <w:bookmarkEnd w:id="353"/>
      <w:bookmarkEnd w:id="354"/>
      <w:bookmarkEnd w:id="355"/>
      <w:bookmarkEnd w:id="356"/>
    </w:p>
    <w:p w14:paraId="1D82C67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7.9.2提前竣工（赶工）增加费的计算方法：</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322B854">
      <w:pPr>
        <w:pStyle w:val="3"/>
        <w:rPr>
          <w:rFonts w:hint="eastAsia" w:asciiTheme="minorEastAsia" w:hAnsiTheme="minorEastAsia" w:eastAsiaTheme="minorEastAsia" w:cstheme="minorEastAsia"/>
          <w:color w:val="auto"/>
          <w:highlight w:val="none"/>
        </w:rPr>
      </w:pPr>
      <w:bookmarkStart w:id="357" w:name="_Toc509760034"/>
      <w:bookmarkStart w:id="358" w:name="_Toc511243582"/>
      <w:bookmarkStart w:id="359" w:name="_Toc511243356"/>
      <w:bookmarkStart w:id="360" w:name="_Toc465114890"/>
      <w:r>
        <w:rPr>
          <w:rFonts w:hint="eastAsia" w:asciiTheme="minorEastAsia" w:hAnsiTheme="minorEastAsia" w:eastAsiaTheme="minorEastAsia" w:cstheme="minorEastAsia"/>
          <w:color w:val="auto"/>
          <w:highlight w:val="none"/>
        </w:rPr>
        <w:t>8. 材料与设备</w:t>
      </w:r>
      <w:bookmarkEnd w:id="357"/>
      <w:bookmarkEnd w:id="358"/>
      <w:bookmarkEnd w:id="359"/>
      <w:bookmarkEnd w:id="360"/>
    </w:p>
    <w:p w14:paraId="42530AE6">
      <w:pPr>
        <w:pStyle w:val="4"/>
        <w:rPr>
          <w:rFonts w:hint="eastAsia" w:asciiTheme="minorEastAsia" w:hAnsiTheme="minorEastAsia" w:eastAsiaTheme="minorEastAsia" w:cstheme="minorEastAsia"/>
          <w:color w:val="auto"/>
          <w:highlight w:val="none"/>
        </w:rPr>
      </w:pPr>
      <w:bookmarkStart w:id="361" w:name="_Toc465114891"/>
      <w:bookmarkStart w:id="362" w:name="_Toc509760035"/>
      <w:bookmarkStart w:id="363" w:name="_Toc373478379"/>
      <w:bookmarkStart w:id="364" w:name="_Toc511243583"/>
      <w:bookmarkStart w:id="365" w:name="_Toc373227732"/>
      <w:bookmarkStart w:id="366" w:name="_Toc511243357"/>
      <w:bookmarkStart w:id="367" w:name="_Toc389065298"/>
      <w:r>
        <w:rPr>
          <w:rFonts w:hint="eastAsia" w:asciiTheme="minorEastAsia" w:hAnsiTheme="minorEastAsia" w:eastAsiaTheme="minorEastAsia" w:cstheme="minorEastAsia"/>
          <w:color w:val="auto"/>
          <w:highlight w:val="none"/>
        </w:rPr>
        <w:t>8.2 承包人采购材料与工程设备</w:t>
      </w:r>
      <w:bookmarkEnd w:id="361"/>
      <w:bookmarkEnd w:id="362"/>
      <w:bookmarkEnd w:id="363"/>
      <w:bookmarkEnd w:id="364"/>
      <w:bookmarkEnd w:id="365"/>
      <w:bookmarkEnd w:id="366"/>
      <w:bookmarkEnd w:id="367"/>
    </w:p>
    <w:p w14:paraId="3EE22DEE">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除已标价工程量清单《发包人提供主要材料和工程设备一览表》（表-21）中明确的材料、工程设备外，由承包人负责材料和工程设备的采购、运输和保管。《</w:t>
      </w:r>
      <w:r>
        <w:rPr>
          <w:rFonts w:hint="eastAsia" w:asciiTheme="minorEastAsia" w:hAnsiTheme="minorEastAsia" w:eastAsiaTheme="minorEastAsia" w:cstheme="minorEastAsia"/>
          <w:color w:val="auto"/>
          <w:highlight w:val="none"/>
        </w:rPr>
        <w:t>承包人提供主要材料和工程设备一览表》</w:t>
      </w:r>
      <w:r>
        <w:rPr>
          <w:rFonts w:hint="eastAsia" w:asciiTheme="minorEastAsia" w:hAnsiTheme="minorEastAsia" w:eastAsiaTheme="minorEastAsia" w:cstheme="minorEastAsia"/>
          <w:color w:val="auto"/>
          <w:kern w:val="0"/>
          <w:highlight w:val="none"/>
        </w:rPr>
        <w:t>（表-22）见已标价工程量清单。</w:t>
      </w:r>
    </w:p>
    <w:p w14:paraId="5E349D5B">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409C1EC1">
      <w:pPr>
        <w:pStyle w:val="4"/>
        <w:rPr>
          <w:rFonts w:hint="eastAsia" w:asciiTheme="minorEastAsia" w:hAnsiTheme="minorEastAsia" w:eastAsiaTheme="minorEastAsia" w:cstheme="minorEastAsia"/>
          <w:color w:val="auto"/>
          <w:highlight w:val="none"/>
        </w:rPr>
      </w:pPr>
      <w:bookmarkStart w:id="368" w:name="_Toc511243584"/>
      <w:bookmarkStart w:id="369" w:name="_Toc509760036"/>
      <w:bookmarkStart w:id="370" w:name="_Toc511243358"/>
      <w:bookmarkStart w:id="371" w:name="_Toc465114892"/>
      <w:r>
        <w:rPr>
          <w:rFonts w:hint="eastAsia" w:asciiTheme="minorEastAsia" w:hAnsiTheme="minorEastAsia" w:eastAsiaTheme="minorEastAsia" w:cstheme="minorEastAsia"/>
          <w:color w:val="auto"/>
          <w:highlight w:val="none"/>
        </w:rPr>
        <w:t>8.4 材料与工程设备的保管与使用</w:t>
      </w:r>
      <w:bookmarkEnd w:id="368"/>
      <w:bookmarkEnd w:id="369"/>
      <w:bookmarkEnd w:id="370"/>
      <w:bookmarkEnd w:id="371"/>
    </w:p>
    <w:p w14:paraId="3C0E3F87">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8.4.1发包人供应的材料设备的保管费用的承担：</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D650BC0">
      <w:pPr>
        <w:pStyle w:val="4"/>
        <w:rPr>
          <w:rFonts w:hint="eastAsia" w:asciiTheme="minorEastAsia" w:hAnsiTheme="minorEastAsia" w:eastAsiaTheme="minorEastAsia" w:cstheme="minorEastAsia"/>
          <w:color w:val="auto"/>
          <w:highlight w:val="none"/>
        </w:rPr>
      </w:pPr>
      <w:bookmarkStart w:id="372" w:name="_Toc509760037"/>
      <w:bookmarkStart w:id="373" w:name="_Toc511243585"/>
      <w:bookmarkStart w:id="374" w:name="_Toc511243359"/>
      <w:bookmarkStart w:id="375" w:name="_Toc465114893"/>
      <w:r>
        <w:rPr>
          <w:rFonts w:hint="eastAsia" w:asciiTheme="minorEastAsia" w:hAnsiTheme="minorEastAsia" w:eastAsiaTheme="minorEastAsia" w:cstheme="minorEastAsia"/>
          <w:color w:val="auto"/>
          <w:highlight w:val="none"/>
        </w:rPr>
        <w:t>8.6 样品</w:t>
      </w:r>
      <w:bookmarkEnd w:id="372"/>
      <w:bookmarkEnd w:id="373"/>
      <w:bookmarkEnd w:id="374"/>
      <w:bookmarkEnd w:id="375"/>
    </w:p>
    <w:p w14:paraId="2D88C000">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8.6.1 样品的报送与封存</w:t>
      </w:r>
    </w:p>
    <w:p w14:paraId="02CDA96D">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需要承包人报送样品的材料或工程设备，样品的种类、名称、规格、数量要求：</w:t>
      </w:r>
      <w:r>
        <w:rPr>
          <w:rFonts w:hint="eastAsia" w:asciiTheme="minorEastAsia" w:hAnsiTheme="minorEastAsia" w:eastAsiaTheme="minorEastAsia" w:cstheme="minorEastAsia"/>
          <w:color w:val="auto"/>
          <w:highlight w:val="none"/>
          <w:u w:val="single"/>
        </w:rPr>
        <w:t>主要材料涉及品种、款式、颜色等方面内容的，承包人应提交准备合格的材料样品送发包人选定。</w:t>
      </w:r>
    </w:p>
    <w:p w14:paraId="3906C5D4">
      <w:pPr>
        <w:pStyle w:val="4"/>
        <w:rPr>
          <w:rFonts w:hint="eastAsia" w:asciiTheme="minorEastAsia" w:hAnsiTheme="minorEastAsia" w:eastAsiaTheme="minorEastAsia" w:cstheme="minorEastAsia"/>
          <w:color w:val="auto"/>
          <w:highlight w:val="none"/>
        </w:rPr>
      </w:pPr>
      <w:bookmarkStart w:id="376" w:name="_Toc511243586"/>
      <w:bookmarkStart w:id="377" w:name="_Toc509760038"/>
      <w:bookmarkStart w:id="378" w:name="_Toc511243360"/>
      <w:bookmarkStart w:id="379" w:name="_Toc465114894"/>
      <w:r>
        <w:rPr>
          <w:rFonts w:hint="eastAsia" w:asciiTheme="minorEastAsia" w:hAnsiTheme="minorEastAsia" w:eastAsiaTheme="minorEastAsia" w:cstheme="minorEastAsia"/>
          <w:color w:val="auto"/>
          <w:highlight w:val="none"/>
        </w:rPr>
        <w:t>8.8 施工设备和临时设施</w:t>
      </w:r>
      <w:bookmarkEnd w:id="376"/>
      <w:bookmarkEnd w:id="377"/>
      <w:bookmarkEnd w:id="378"/>
      <w:bookmarkEnd w:id="379"/>
    </w:p>
    <w:p w14:paraId="75260576">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8.8.1 承包人提供的施工设备和临时设施</w:t>
      </w:r>
    </w:p>
    <w:p w14:paraId="0C1FA171">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29DC57C3">
      <w:pPr>
        <w:pStyle w:val="36"/>
        <w:autoSpaceDE w:val="0"/>
        <w:autoSpaceDN w:val="0"/>
        <w:adjustRightInd w:val="0"/>
        <w:spacing w:line="44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关于修建临时设施费用承担的约定：</w:t>
      </w:r>
      <w:r>
        <w:rPr>
          <w:rFonts w:hint="eastAsia" w:asciiTheme="minorEastAsia" w:hAnsiTheme="minorEastAsia" w:eastAsiaTheme="minorEastAsia" w:cstheme="minorEastAsia"/>
          <w:color w:val="auto"/>
          <w:szCs w:val="21"/>
          <w:highlight w:val="none"/>
          <w:u w:val="single"/>
        </w:rPr>
        <w:t>①承包人的临时用地（含项目部驻地等）租用费（含拆迁补偿）、临时用地的环保、恢复等费用均由承包人负责，以上费用在投标报价中综合考虑。</w:t>
      </w:r>
    </w:p>
    <w:p w14:paraId="27481B04">
      <w:pPr>
        <w:pStyle w:val="36"/>
        <w:autoSpaceDE w:val="0"/>
        <w:autoSpaceDN w:val="0"/>
        <w:adjustRightInd w:val="0"/>
        <w:spacing w:line="44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②承包人负责合同实施期间其合同段内临时交通道路（含场内外连接公共交通道路）和交通设施的修建、维修、养护和交通管理工作，并承担一切费用。</w:t>
      </w:r>
    </w:p>
    <w:p w14:paraId="48817EBE">
      <w:pPr>
        <w:pStyle w:val="36"/>
        <w:autoSpaceDE w:val="0"/>
        <w:autoSpaceDN w:val="0"/>
        <w:adjustRightInd w:val="0"/>
        <w:spacing w:line="44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4F034D0">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8.8.2 发包人提供的施工设备和临时设施</w:t>
      </w:r>
    </w:p>
    <w:p w14:paraId="103CF0F7">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发包人提供的施工设备和临时设施：</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43A46D4">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发包人提供的施工设备和临时设施的运行、维护、拆除、清运费用的承担人：</w:t>
      </w:r>
      <w:r>
        <w:rPr>
          <w:rFonts w:hint="eastAsia" w:asciiTheme="minorEastAsia" w:hAnsiTheme="minorEastAsia" w:eastAsiaTheme="minorEastAsia" w:cstheme="minorEastAsia"/>
          <w:color w:val="auto"/>
          <w:highlight w:val="none"/>
          <w:u w:val="single"/>
        </w:rPr>
        <w:t xml:space="preserve">  承包人</w:t>
      </w:r>
      <w:r>
        <w:rPr>
          <w:rFonts w:hint="eastAsia" w:asciiTheme="minorEastAsia" w:hAnsiTheme="minorEastAsia" w:eastAsiaTheme="minorEastAsia" w:cstheme="minorEastAsia"/>
          <w:color w:val="auto"/>
          <w:highlight w:val="none"/>
        </w:rPr>
        <w:t>。</w:t>
      </w:r>
    </w:p>
    <w:p w14:paraId="0A93CF9B">
      <w:pPr>
        <w:pStyle w:val="3"/>
        <w:rPr>
          <w:rFonts w:hint="eastAsia" w:asciiTheme="minorEastAsia" w:hAnsiTheme="minorEastAsia" w:eastAsiaTheme="minorEastAsia" w:cstheme="minorEastAsia"/>
          <w:color w:val="auto"/>
          <w:highlight w:val="none"/>
        </w:rPr>
      </w:pPr>
      <w:bookmarkStart w:id="380" w:name="_Toc511243587"/>
      <w:bookmarkStart w:id="381" w:name="_Toc465114895"/>
      <w:bookmarkStart w:id="382" w:name="_Toc511243361"/>
      <w:bookmarkStart w:id="383" w:name="_Toc509760039"/>
      <w:r>
        <w:rPr>
          <w:rFonts w:hint="eastAsia" w:asciiTheme="minorEastAsia" w:hAnsiTheme="minorEastAsia" w:eastAsiaTheme="minorEastAsia" w:cstheme="minorEastAsia"/>
          <w:color w:val="auto"/>
          <w:highlight w:val="none"/>
        </w:rPr>
        <w:t>9. 试验与检验</w:t>
      </w:r>
      <w:bookmarkEnd w:id="380"/>
      <w:bookmarkEnd w:id="381"/>
      <w:bookmarkEnd w:id="382"/>
      <w:bookmarkEnd w:id="383"/>
    </w:p>
    <w:p w14:paraId="2651267D">
      <w:pPr>
        <w:pStyle w:val="4"/>
        <w:rPr>
          <w:rFonts w:hint="eastAsia" w:asciiTheme="minorEastAsia" w:hAnsiTheme="minorEastAsia" w:eastAsiaTheme="minorEastAsia" w:cstheme="minorEastAsia"/>
          <w:color w:val="auto"/>
          <w:highlight w:val="none"/>
        </w:rPr>
      </w:pPr>
      <w:bookmarkStart w:id="384" w:name="_Toc465114896"/>
      <w:bookmarkStart w:id="385" w:name="_Toc511243362"/>
      <w:bookmarkStart w:id="386" w:name="_Toc511243588"/>
      <w:bookmarkStart w:id="387" w:name="_Toc509760040"/>
      <w:r>
        <w:rPr>
          <w:rFonts w:hint="eastAsia" w:asciiTheme="minorEastAsia" w:hAnsiTheme="minorEastAsia" w:eastAsiaTheme="minorEastAsia" w:cstheme="minorEastAsia"/>
          <w:color w:val="auto"/>
          <w:highlight w:val="none"/>
        </w:rPr>
        <w:t>9.1 试验设备与试验人员</w:t>
      </w:r>
      <w:bookmarkEnd w:id="384"/>
      <w:bookmarkEnd w:id="385"/>
      <w:bookmarkEnd w:id="386"/>
      <w:bookmarkEnd w:id="387"/>
    </w:p>
    <w:p w14:paraId="49306339">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9.1.2 试验设备</w:t>
      </w:r>
    </w:p>
    <w:p w14:paraId="78A8A981">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施工现场需要配置的试验场所：</w:t>
      </w:r>
      <w:r>
        <w:rPr>
          <w:rFonts w:hint="eastAsia" w:asciiTheme="minorEastAsia" w:hAnsiTheme="minorEastAsia" w:eastAsiaTheme="minorEastAsia" w:cstheme="minorEastAsia"/>
          <w:color w:val="auto"/>
          <w:highlight w:val="none"/>
          <w:u w:val="single"/>
        </w:rPr>
        <w:t xml:space="preserve">按通用条款    </w:t>
      </w:r>
      <w:r>
        <w:rPr>
          <w:rFonts w:hint="eastAsia" w:asciiTheme="minorEastAsia" w:hAnsiTheme="minorEastAsia" w:eastAsiaTheme="minorEastAsia" w:cstheme="minorEastAsia"/>
          <w:color w:val="auto"/>
          <w:highlight w:val="none"/>
        </w:rPr>
        <w:t>。</w:t>
      </w:r>
    </w:p>
    <w:p w14:paraId="547B7C1A">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施工现场需要配备的试验设备：</w:t>
      </w:r>
      <w:r>
        <w:rPr>
          <w:rFonts w:hint="eastAsia" w:asciiTheme="minorEastAsia" w:hAnsiTheme="minorEastAsia" w:eastAsiaTheme="minorEastAsia" w:cstheme="minorEastAsia"/>
          <w:color w:val="auto"/>
          <w:highlight w:val="none"/>
          <w:u w:val="single"/>
        </w:rPr>
        <w:t xml:space="preserve">按通用条款    </w:t>
      </w:r>
      <w:r>
        <w:rPr>
          <w:rFonts w:hint="eastAsia" w:asciiTheme="minorEastAsia" w:hAnsiTheme="minorEastAsia" w:eastAsiaTheme="minorEastAsia" w:cstheme="minorEastAsia"/>
          <w:color w:val="auto"/>
          <w:highlight w:val="none"/>
        </w:rPr>
        <w:t>。</w:t>
      </w:r>
    </w:p>
    <w:p w14:paraId="7C12F923">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施工现场需要具备的其他试验条件：</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7AD25FE">
      <w:pPr>
        <w:pStyle w:val="4"/>
        <w:rPr>
          <w:rFonts w:hint="eastAsia" w:asciiTheme="minorEastAsia" w:hAnsiTheme="minorEastAsia" w:eastAsiaTheme="minorEastAsia" w:cstheme="minorEastAsia"/>
          <w:color w:val="auto"/>
          <w:highlight w:val="none"/>
        </w:rPr>
      </w:pPr>
      <w:bookmarkStart w:id="388" w:name="_Toc511243363"/>
      <w:bookmarkStart w:id="389" w:name="_Toc511243589"/>
      <w:bookmarkStart w:id="390" w:name="_Toc465114897"/>
      <w:bookmarkStart w:id="391" w:name="_Toc509760041"/>
      <w:r>
        <w:rPr>
          <w:rFonts w:hint="eastAsia" w:asciiTheme="minorEastAsia" w:hAnsiTheme="minorEastAsia" w:eastAsiaTheme="minorEastAsia" w:cstheme="minorEastAsia"/>
          <w:color w:val="auto"/>
          <w:highlight w:val="none"/>
        </w:rPr>
        <w:t>9.4 现场工艺试验</w:t>
      </w:r>
      <w:bookmarkEnd w:id="388"/>
      <w:bookmarkEnd w:id="389"/>
      <w:bookmarkEnd w:id="390"/>
      <w:bookmarkEnd w:id="391"/>
      <w:r>
        <w:rPr>
          <w:rFonts w:hint="eastAsia" w:asciiTheme="minorEastAsia" w:hAnsiTheme="minorEastAsia" w:eastAsiaTheme="minorEastAsia" w:cstheme="minorEastAsia"/>
          <w:color w:val="auto"/>
          <w:highlight w:val="none"/>
        </w:rPr>
        <w:t xml:space="preserve"> </w:t>
      </w:r>
    </w:p>
    <w:p w14:paraId="4BF8AB7C">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现场工艺试验的有关约定：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9B9CF2B">
      <w:pPr>
        <w:pStyle w:val="4"/>
        <w:rPr>
          <w:rFonts w:hint="eastAsia" w:asciiTheme="minorEastAsia" w:hAnsiTheme="minorEastAsia" w:eastAsiaTheme="minorEastAsia" w:cstheme="minorEastAsia"/>
          <w:color w:val="auto"/>
          <w:highlight w:val="none"/>
        </w:rPr>
      </w:pPr>
      <w:bookmarkStart w:id="392" w:name="_Toc509760042"/>
      <w:bookmarkStart w:id="393" w:name="_Toc465114898"/>
      <w:bookmarkStart w:id="394" w:name="_Toc511243364"/>
      <w:bookmarkStart w:id="395" w:name="_Toc511243590"/>
      <w:bookmarkStart w:id="396" w:name="OLE_LINK1"/>
      <w:r>
        <w:rPr>
          <w:rFonts w:hint="eastAsia" w:asciiTheme="minorEastAsia" w:hAnsiTheme="minorEastAsia" w:eastAsiaTheme="minorEastAsia" w:cstheme="minorEastAsia"/>
          <w:color w:val="auto"/>
          <w:highlight w:val="none"/>
        </w:rPr>
        <w:t>9.5 检验费用</w:t>
      </w:r>
      <w:bookmarkEnd w:id="392"/>
      <w:bookmarkEnd w:id="393"/>
      <w:bookmarkEnd w:id="394"/>
      <w:bookmarkEnd w:id="395"/>
    </w:p>
    <w:p w14:paraId="1FB54155">
      <w:pPr>
        <w:spacing w:line="360" w:lineRule="auto"/>
        <w:ind w:firstLine="411"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根据《建设工程质量检测管理办法》（建设部令第141号）以及</w:t>
      </w:r>
      <w:r>
        <w:rPr>
          <w:rFonts w:hint="eastAsia" w:asciiTheme="minorEastAsia" w:hAnsiTheme="minorEastAsia" w:eastAsiaTheme="minorEastAsia" w:cstheme="minorEastAsia"/>
          <w:bCs/>
          <w:color w:val="auto"/>
          <w:highlight w:val="none"/>
        </w:rPr>
        <w:t>《广西壮族自治区建设工程质量检测管理规定》（桂建管〔2013〕11号）</w:t>
      </w:r>
      <w:r>
        <w:rPr>
          <w:rFonts w:hint="eastAsia" w:asciiTheme="minorEastAsia" w:hAnsiTheme="minorEastAsia" w:eastAsiaTheme="minorEastAsia" w:cstheme="minorEastAsia"/>
          <w:color w:val="auto"/>
          <w:highlight w:val="none"/>
        </w:rPr>
        <w:t>规定，工程质量检测业务由发包人委托有相应资质的检测机构检测。费用由发包人直接支付给检测机构，不计入合同价款内。检验试验配合费按费用定额规定计取，计入本合同价款内。</w:t>
      </w:r>
    </w:p>
    <w:bookmarkEnd w:id="396"/>
    <w:p w14:paraId="0058051F">
      <w:pPr>
        <w:pStyle w:val="3"/>
        <w:rPr>
          <w:rFonts w:hint="eastAsia" w:asciiTheme="minorEastAsia" w:hAnsiTheme="minorEastAsia" w:eastAsiaTheme="minorEastAsia" w:cstheme="minorEastAsia"/>
          <w:color w:val="auto"/>
          <w:highlight w:val="none"/>
        </w:rPr>
      </w:pPr>
      <w:bookmarkStart w:id="397" w:name="_Toc511243365"/>
      <w:bookmarkStart w:id="398" w:name="_Toc465114899"/>
      <w:bookmarkStart w:id="399" w:name="_Toc511243591"/>
      <w:bookmarkStart w:id="400" w:name="_Toc509760043"/>
      <w:r>
        <w:rPr>
          <w:rFonts w:hint="eastAsia" w:asciiTheme="minorEastAsia" w:hAnsiTheme="minorEastAsia" w:eastAsiaTheme="minorEastAsia" w:cstheme="minorEastAsia"/>
          <w:color w:val="auto"/>
          <w:highlight w:val="none"/>
        </w:rPr>
        <w:t>10. 变更</w:t>
      </w:r>
      <w:bookmarkEnd w:id="397"/>
      <w:bookmarkEnd w:id="398"/>
      <w:bookmarkEnd w:id="399"/>
      <w:bookmarkEnd w:id="400"/>
    </w:p>
    <w:p w14:paraId="23470367">
      <w:pPr>
        <w:pStyle w:val="4"/>
        <w:rPr>
          <w:rFonts w:hint="eastAsia" w:asciiTheme="minorEastAsia" w:hAnsiTheme="minorEastAsia" w:eastAsiaTheme="minorEastAsia" w:cstheme="minorEastAsia"/>
          <w:color w:val="auto"/>
          <w:highlight w:val="none"/>
        </w:rPr>
      </w:pPr>
      <w:bookmarkStart w:id="401" w:name="_Toc511243366"/>
      <w:bookmarkStart w:id="402" w:name="_Toc465114900"/>
      <w:bookmarkStart w:id="403" w:name="_Toc511243592"/>
      <w:bookmarkStart w:id="404" w:name="_Toc509760044"/>
      <w:r>
        <w:rPr>
          <w:rFonts w:hint="eastAsia" w:asciiTheme="minorEastAsia" w:hAnsiTheme="minorEastAsia" w:eastAsiaTheme="minorEastAsia" w:cstheme="minorEastAsia"/>
          <w:color w:val="auto"/>
          <w:highlight w:val="none"/>
        </w:rPr>
        <w:t>10.1 变更的范围</w:t>
      </w:r>
      <w:bookmarkEnd w:id="401"/>
      <w:bookmarkEnd w:id="402"/>
      <w:bookmarkEnd w:id="403"/>
      <w:bookmarkEnd w:id="404"/>
    </w:p>
    <w:p w14:paraId="5741AA7E">
      <w:pPr>
        <w:spacing w:line="360" w:lineRule="auto"/>
        <w:ind w:firstLine="426"/>
        <w:jc w:val="left"/>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关于变更的范围的约定：</w:t>
      </w:r>
      <w:r>
        <w:rPr>
          <w:rFonts w:hint="eastAsia" w:asciiTheme="minorEastAsia" w:hAnsiTheme="minorEastAsia" w:eastAsiaTheme="minorEastAsia" w:cstheme="minorEastAsia"/>
          <w:color w:val="auto"/>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r>
        <w:rPr>
          <w:rFonts w:hint="eastAsia" w:asciiTheme="minorEastAsia" w:hAnsiTheme="minorEastAsia" w:eastAsiaTheme="minorEastAsia" w:cstheme="minorEastAsia"/>
          <w:color w:val="auto"/>
          <w:highlight w:val="none"/>
          <w:u w:val="single"/>
          <w:lang w:eastAsia="zh-CN"/>
        </w:rPr>
        <w:t>。</w:t>
      </w:r>
    </w:p>
    <w:p w14:paraId="294E7A37">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val="en-US" w:eastAsia="zh-CN"/>
        </w:rPr>
        <w:t xml:space="preserve">10.2 </w:t>
      </w:r>
      <w:r>
        <w:rPr>
          <w:rFonts w:hint="eastAsia" w:asciiTheme="minorEastAsia" w:hAnsiTheme="minorEastAsia" w:eastAsiaTheme="minorEastAsia" w:cstheme="minorEastAsia"/>
          <w:b/>
          <w:bCs/>
          <w:color w:val="auto"/>
          <w:highlight w:val="none"/>
        </w:rPr>
        <w:t>所有工程变更须经设计及监理审核确认，最后经发包人书面批准后方能有效。</w:t>
      </w:r>
    </w:p>
    <w:p w14:paraId="4B7CA8BA">
      <w:pPr>
        <w:pStyle w:val="4"/>
        <w:rPr>
          <w:rFonts w:hint="eastAsia" w:asciiTheme="minorEastAsia" w:hAnsiTheme="minorEastAsia" w:eastAsiaTheme="minorEastAsia" w:cstheme="minorEastAsia"/>
          <w:color w:val="auto"/>
          <w:highlight w:val="none"/>
        </w:rPr>
      </w:pPr>
      <w:bookmarkStart w:id="405" w:name="_Toc509760045"/>
      <w:bookmarkStart w:id="406" w:name="_Toc465114901"/>
      <w:bookmarkStart w:id="407" w:name="_Toc511243593"/>
      <w:bookmarkStart w:id="408" w:name="_Toc511243367"/>
      <w:r>
        <w:rPr>
          <w:rFonts w:hint="eastAsia" w:asciiTheme="minorEastAsia" w:hAnsiTheme="minorEastAsia" w:eastAsiaTheme="minorEastAsia" w:cstheme="minorEastAsia"/>
          <w:color w:val="auto"/>
          <w:highlight w:val="none"/>
        </w:rPr>
        <w:t>10.3 变更程序</w:t>
      </w:r>
      <w:bookmarkEnd w:id="405"/>
      <w:bookmarkEnd w:id="406"/>
      <w:bookmarkEnd w:id="407"/>
      <w:bookmarkEnd w:id="408"/>
    </w:p>
    <w:p w14:paraId="4B3D55A5">
      <w:pPr>
        <w:pStyle w:val="15"/>
        <w:spacing w:line="360" w:lineRule="auto"/>
        <w:ind w:firstLine="420" w:firstLineChars="21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10.3.1 国有投资项目：</w:t>
      </w:r>
    </w:p>
    <w:p w14:paraId="5479BA0E">
      <w:pPr>
        <w:pStyle w:val="15"/>
        <w:spacing w:line="360" w:lineRule="auto"/>
        <w:ind w:firstLine="420" w:firstLineChars="21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⑴设计变更和工程签证，按各市政府或相关部门的规定办理。属不可抗力（自然灾害、突发事件等）造成变更的，按特事特办原则予以办理。</w:t>
      </w:r>
    </w:p>
    <w:p w14:paraId="5509673F">
      <w:pPr>
        <w:pStyle w:val="15"/>
        <w:spacing w:line="360" w:lineRule="auto"/>
        <w:ind w:firstLine="420" w:firstLineChars="21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⑵建设单位在实施项目过程中，若发生单价变动，由建设单位、监理单位、施工单位及其他相关单位共同商定并签字确认。</w:t>
      </w:r>
    </w:p>
    <w:p w14:paraId="45962AEE">
      <w:pPr>
        <w:spacing w:line="360" w:lineRule="auto"/>
        <w:ind w:firstLine="420" w:firstLineChars="200"/>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024350D6">
      <w:pPr>
        <w:spacing w:line="360" w:lineRule="auto"/>
        <w:jc w:val="left"/>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10.3.2 非国有投资项目：</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w:t>
      </w:r>
    </w:p>
    <w:p w14:paraId="18E3AACC">
      <w:pPr>
        <w:pStyle w:val="4"/>
        <w:rPr>
          <w:rFonts w:hint="eastAsia" w:asciiTheme="minorEastAsia" w:hAnsiTheme="minorEastAsia" w:eastAsiaTheme="minorEastAsia" w:cstheme="minorEastAsia"/>
          <w:color w:val="auto"/>
          <w:highlight w:val="none"/>
        </w:rPr>
      </w:pPr>
      <w:bookmarkStart w:id="409" w:name="_Toc511243368"/>
      <w:bookmarkStart w:id="410" w:name="_Toc465114902"/>
      <w:bookmarkStart w:id="411" w:name="_Toc509760046"/>
      <w:bookmarkStart w:id="412" w:name="_Toc511243594"/>
      <w:r>
        <w:rPr>
          <w:rFonts w:hint="eastAsia" w:asciiTheme="minorEastAsia" w:hAnsiTheme="minorEastAsia" w:eastAsiaTheme="minorEastAsia" w:cstheme="minorEastAsia"/>
          <w:color w:val="auto"/>
          <w:highlight w:val="none"/>
        </w:rPr>
        <w:t>10.4 变更估价</w:t>
      </w:r>
      <w:bookmarkEnd w:id="409"/>
      <w:bookmarkEnd w:id="410"/>
      <w:bookmarkEnd w:id="411"/>
      <w:bookmarkEnd w:id="412"/>
    </w:p>
    <w:p w14:paraId="4E30C9C2">
      <w:pPr>
        <w:spacing w:line="360" w:lineRule="auto"/>
        <w:ind w:firstLine="420" w:firstLineChars="200"/>
        <w:jc w:val="left"/>
        <w:rPr>
          <w:rFonts w:ascii="Calibri" w:hAnsi="宋体"/>
          <w:color w:val="auto"/>
          <w:szCs w:val="22"/>
          <w:highlight w:val="none"/>
        </w:rPr>
      </w:pPr>
      <w:r>
        <w:rPr>
          <w:rFonts w:hint="eastAsia" w:ascii="Calibri" w:hAnsi="宋体" w:cs="宋体"/>
          <w:color w:val="auto"/>
          <w:szCs w:val="22"/>
          <w:highlight w:val="none"/>
        </w:rPr>
        <w:t>关于变更估价的约定</w:t>
      </w:r>
      <w:r>
        <w:rPr>
          <w:rFonts w:ascii="Calibri" w:hAnsi="Calibri"/>
          <w:color w:val="auto"/>
          <w:szCs w:val="22"/>
          <w:highlight w:val="none"/>
        </w:rPr>
        <w:t xml:space="preserve">: </w:t>
      </w:r>
      <w:r>
        <w:rPr>
          <w:rFonts w:hint="eastAsia" w:ascii="Calibri" w:hAnsi="宋体" w:cs="宋体"/>
          <w:color w:val="auto"/>
          <w:szCs w:val="22"/>
          <w:highlight w:val="none"/>
          <w:u w:val="single"/>
        </w:rPr>
        <w:t>工程变更合同价款按下列方法进行：（</w:t>
      </w:r>
      <w:r>
        <w:rPr>
          <w:rFonts w:ascii="Calibri" w:hAnsi="Calibri"/>
          <w:color w:val="auto"/>
          <w:szCs w:val="22"/>
          <w:highlight w:val="none"/>
          <w:u w:val="single"/>
        </w:rPr>
        <w:t>1</w:t>
      </w:r>
      <w:r>
        <w:rPr>
          <w:rFonts w:hint="eastAsia" w:ascii="Calibri" w:hAnsi="宋体" w:cs="宋体"/>
          <w:color w:val="auto"/>
          <w:szCs w:val="22"/>
          <w:highlight w:val="none"/>
          <w:u w:val="single"/>
        </w:rPr>
        <w:t>）合同中已有相同清单项目的，按合同该清单项目价格进行计算；（</w:t>
      </w:r>
      <w:r>
        <w:rPr>
          <w:rFonts w:ascii="Calibri" w:hAnsi="Calibri"/>
          <w:color w:val="auto"/>
          <w:szCs w:val="22"/>
          <w:highlight w:val="none"/>
          <w:u w:val="single"/>
        </w:rPr>
        <w:t>2</w:t>
      </w:r>
      <w:r>
        <w:rPr>
          <w:rFonts w:hint="eastAsia" w:ascii="Calibri" w:hAnsi="宋体" w:cs="宋体"/>
          <w:color w:val="auto"/>
          <w:szCs w:val="22"/>
          <w:highlight w:val="none"/>
          <w:u w:val="single"/>
        </w:rPr>
        <w:t>）合同中只有类似清单项目的，参照该类似清单项目价格进行计算；（</w:t>
      </w:r>
      <w:r>
        <w:rPr>
          <w:rFonts w:ascii="Calibri" w:hAnsi="Calibri"/>
          <w:color w:val="auto"/>
          <w:szCs w:val="22"/>
          <w:highlight w:val="none"/>
          <w:u w:val="single"/>
        </w:rPr>
        <w:t>3</w:t>
      </w:r>
      <w:r>
        <w:rPr>
          <w:rFonts w:hint="eastAsia" w:ascii="Calibri" w:hAnsi="宋体" w:cs="宋体"/>
          <w:color w:val="auto"/>
          <w:szCs w:val="22"/>
          <w:highlight w:val="none"/>
          <w:u w:val="single"/>
        </w:rPr>
        <w:t>）合同中没有适用或类似清单项目的价格计算方法：有定额的套定额，并</w:t>
      </w:r>
      <w:r>
        <w:rPr>
          <w:rFonts w:ascii="Calibri" w:hAnsi="宋体"/>
          <w:bCs/>
          <w:color w:val="auto"/>
          <w:szCs w:val="21"/>
          <w:highlight w:val="none"/>
          <w:u w:val="single"/>
        </w:rPr>
        <w:t>有定额的套定额，并</w:t>
      </w:r>
      <w:r>
        <w:rPr>
          <w:rFonts w:hint="eastAsia" w:ascii="Calibri" w:hAnsi="宋体"/>
          <w:bCs/>
          <w:color w:val="auto"/>
          <w:szCs w:val="21"/>
          <w:highlight w:val="none"/>
          <w:u w:val="single"/>
        </w:rPr>
        <w:t>乘以下浮系数（中标价/经审定的工程招标控制价）计算</w:t>
      </w:r>
      <w:r>
        <w:rPr>
          <w:rFonts w:hint="eastAsia" w:ascii="Calibri" w:hAnsi="宋体" w:cs="宋体"/>
          <w:color w:val="auto"/>
          <w:szCs w:val="22"/>
          <w:highlight w:val="none"/>
          <w:u w:val="single"/>
        </w:rPr>
        <w:t>，其中：</w:t>
      </w:r>
      <w:r>
        <w:rPr>
          <w:rFonts w:hint="eastAsia" w:ascii="Calibri" w:hAnsi="宋体" w:cs="宋体"/>
          <w:color w:val="FF0000"/>
          <w:szCs w:val="22"/>
          <w:highlight w:val="none"/>
          <w:u w:val="single"/>
          <w:lang w:val="en-US" w:eastAsia="zh-CN"/>
        </w:rPr>
        <w:t>材料的价格按照《南宁建设工程造价信息》2025年4月下半月刊登的价格计取，并优先考虑隆安县的信息价，对于《南宁建设工程造价信息》上没有刊登的材料将根据市场询价来确定其价格。</w:t>
      </w:r>
      <w:r>
        <w:rPr>
          <w:rFonts w:hint="eastAsia" w:ascii="Calibri" w:hAnsi="宋体" w:cs="宋体"/>
          <w:color w:val="auto"/>
          <w:szCs w:val="22"/>
          <w:highlight w:val="none"/>
          <w:u w:val="single"/>
          <w:lang w:val="en-US" w:eastAsia="zh-CN"/>
        </w:rPr>
        <w:t>无定额可套的，由建设单位根据市场行情询价后按相关造价法规、编制办法编制确定综合价格。以上约定同时适用于招标工程量清单缺项以及工程量清单项目特征与图纸不符时的价款确定</w:t>
      </w:r>
      <w:r>
        <w:rPr>
          <w:rFonts w:hint="eastAsia" w:ascii="Calibri" w:hAnsi="宋体" w:cs="宋体"/>
          <w:color w:val="auto"/>
          <w:szCs w:val="22"/>
          <w:highlight w:val="none"/>
        </w:rPr>
        <w:t>。</w:t>
      </w:r>
      <w:r>
        <w:rPr>
          <w:rFonts w:hint="eastAsia" w:ascii="Calibri" w:hAnsi="宋体"/>
          <w:bCs/>
          <w:color w:val="auto"/>
          <w:szCs w:val="21"/>
          <w:highlight w:val="none"/>
          <w:u w:val="single"/>
        </w:rPr>
        <w:t>对于政府及国有资金投资的项目，新增项目的单价必须经</w:t>
      </w:r>
      <w:r>
        <w:rPr>
          <w:rFonts w:hint="eastAsia" w:ascii="Calibri" w:hAnsi="Calibri"/>
          <w:bCs/>
          <w:color w:val="auto"/>
          <w:szCs w:val="21"/>
          <w:highlight w:val="none"/>
          <w:u w:val="single"/>
          <w:lang w:val="en-US" w:eastAsia="zh-CN"/>
        </w:rPr>
        <w:t>隆安县</w:t>
      </w:r>
      <w:r>
        <w:rPr>
          <w:rFonts w:hint="eastAsia" w:ascii="Calibri" w:hAnsi="Calibri"/>
          <w:bCs/>
          <w:color w:val="auto"/>
          <w:szCs w:val="21"/>
          <w:highlight w:val="none"/>
          <w:u w:val="single"/>
        </w:rPr>
        <w:t>财政</w:t>
      </w:r>
      <w:r>
        <w:rPr>
          <w:rFonts w:hint="eastAsia" w:ascii="Calibri" w:hAnsi="宋体"/>
          <w:bCs/>
          <w:color w:val="auto"/>
          <w:szCs w:val="21"/>
          <w:highlight w:val="none"/>
          <w:u w:val="single"/>
        </w:rPr>
        <w:t>审定</w:t>
      </w:r>
      <w:r>
        <w:rPr>
          <w:rFonts w:hint="eastAsia" w:ascii="Calibri" w:hAnsi="宋体"/>
          <w:color w:val="auto"/>
          <w:szCs w:val="21"/>
          <w:highlight w:val="none"/>
        </w:rPr>
        <w:t>。</w:t>
      </w:r>
    </w:p>
    <w:p w14:paraId="275B4BFB">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Calibri" w:hAnsi="Calibri"/>
          <w:color w:val="auto"/>
          <w:szCs w:val="21"/>
          <w:highlight w:val="none"/>
          <w:u w:val="single"/>
        </w:rPr>
        <w:t>工程变更导致实际完成的变更工程量与已标价清单或预算书中列明的该项目工程量有偏差时，其综合单价的确定按专用条款“</w:t>
      </w:r>
      <w:r>
        <w:rPr>
          <w:rFonts w:ascii="Calibri" w:hAnsi="Calibri"/>
          <w:color w:val="auto"/>
          <w:szCs w:val="21"/>
          <w:highlight w:val="none"/>
          <w:u w:val="single"/>
        </w:rPr>
        <w:t>1.13</w:t>
      </w:r>
      <w:r>
        <w:rPr>
          <w:rFonts w:hint="eastAsia" w:ascii="Calibri" w:hAnsi="Calibri"/>
          <w:color w:val="auto"/>
          <w:szCs w:val="21"/>
          <w:highlight w:val="none"/>
          <w:u w:val="single"/>
        </w:rPr>
        <w:t>工程量清单错误的修正”执行。</w:t>
      </w:r>
    </w:p>
    <w:p w14:paraId="752D2030">
      <w:pPr>
        <w:pStyle w:val="4"/>
        <w:rPr>
          <w:rFonts w:hint="eastAsia" w:asciiTheme="minorEastAsia" w:hAnsiTheme="minorEastAsia" w:eastAsiaTheme="minorEastAsia" w:cstheme="minorEastAsia"/>
          <w:color w:val="auto"/>
          <w:highlight w:val="none"/>
        </w:rPr>
      </w:pPr>
      <w:bookmarkStart w:id="413" w:name="_Toc511243595"/>
      <w:bookmarkStart w:id="414" w:name="_Toc511243369"/>
      <w:bookmarkStart w:id="415" w:name="_Toc465114903"/>
      <w:bookmarkStart w:id="416" w:name="_Toc509760047"/>
      <w:r>
        <w:rPr>
          <w:rFonts w:hint="eastAsia" w:asciiTheme="minorEastAsia" w:hAnsiTheme="minorEastAsia" w:eastAsiaTheme="minorEastAsia" w:cstheme="minorEastAsia"/>
          <w:color w:val="auto"/>
          <w:highlight w:val="none"/>
        </w:rPr>
        <w:t>10.5 承包人的合理化建议</w:t>
      </w:r>
      <w:bookmarkEnd w:id="413"/>
      <w:bookmarkEnd w:id="414"/>
      <w:bookmarkEnd w:id="415"/>
      <w:bookmarkEnd w:id="416"/>
    </w:p>
    <w:p w14:paraId="1124F49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监理人审查承包人合理化建议的期限：</w:t>
      </w:r>
      <w:r>
        <w:rPr>
          <w:rFonts w:hint="eastAsia" w:asciiTheme="minorEastAsia" w:hAnsiTheme="minorEastAsia" w:eastAsiaTheme="minorEastAsia" w:cstheme="minorEastAsia"/>
          <w:color w:val="auto"/>
          <w:highlight w:val="none"/>
          <w:u w:val="single"/>
        </w:rPr>
        <w:t xml:space="preserve">自承包人提交合理化建议后7日内  </w:t>
      </w:r>
      <w:r>
        <w:rPr>
          <w:rFonts w:hint="eastAsia" w:asciiTheme="minorEastAsia" w:hAnsiTheme="minorEastAsia" w:eastAsiaTheme="minorEastAsia" w:cstheme="minorEastAsia"/>
          <w:color w:val="auto"/>
          <w:highlight w:val="none"/>
        </w:rPr>
        <w:t>。</w:t>
      </w:r>
    </w:p>
    <w:p w14:paraId="7919B8B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发包人审批承包人合理化建议的期限：</w:t>
      </w:r>
      <w:r>
        <w:rPr>
          <w:rFonts w:hint="eastAsia" w:asciiTheme="minorEastAsia" w:hAnsiTheme="minorEastAsia" w:eastAsiaTheme="minorEastAsia" w:cstheme="minorEastAsia"/>
          <w:color w:val="auto"/>
          <w:highlight w:val="none"/>
          <w:u w:val="single"/>
        </w:rPr>
        <w:t xml:space="preserve">自收到监理人审核的承包人合理化建议后7日内  </w:t>
      </w:r>
      <w:r>
        <w:rPr>
          <w:rFonts w:hint="eastAsia" w:asciiTheme="minorEastAsia" w:hAnsiTheme="minorEastAsia" w:eastAsiaTheme="minorEastAsia" w:cstheme="minorEastAsia"/>
          <w:color w:val="auto"/>
          <w:highlight w:val="none"/>
        </w:rPr>
        <w:t>。</w:t>
      </w:r>
    </w:p>
    <w:p w14:paraId="28D6AC3B">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承包人提出的合理化建议降低了合同价格或者提高了工程经济效益的奖励的方法和金额为：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6B78E28">
      <w:pPr>
        <w:pStyle w:val="4"/>
        <w:rPr>
          <w:rFonts w:hint="eastAsia" w:asciiTheme="minorEastAsia" w:hAnsiTheme="minorEastAsia" w:eastAsiaTheme="minorEastAsia" w:cstheme="minorEastAsia"/>
          <w:color w:val="auto"/>
          <w:highlight w:val="none"/>
        </w:rPr>
      </w:pPr>
      <w:bookmarkStart w:id="417" w:name="_Toc465114904"/>
      <w:bookmarkStart w:id="418" w:name="_Toc373478391"/>
      <w:bookmarkStart w:id="419" w:name="_Toc373227744"/>
      <w:bookmarkStart w:id="420" w:name="_Toc511243596"/>
      <w:bookmarkStart w:id="421" w:name="_Toc511243370"/>
      <w:bookmarkStart w:id="422" w:name="_Toc389065310"/>
      <w:bookmarkStart w:id="423" w:name="_Toc509760048"/>
      <w:r>
        <w:rPr>
          <w:rFonts w:hint="eastAsia" w:asciiTheme="minorEastAsia" w:hAnsiTheme="minorEastAsia" w:eastAsiaTheme="minorEastAsia" w:cstheme="minorEastAsia"/>
          <w:color w:val="auto"/>
          <w:highlight w:val="none"/>
        </w:rPr>
        <w:t>1</w:t>
      </w:r>
      <w:bookmarkStart w:id="424" w:name="_Toc296891239"/>
      <w:bookmarkStart w:id="425" w:name="_Toc297216207"/>
      <w:bookmarkStart w:id="426" w:name="_Toc303539154"/>
      <w:bookmarkStart w:id="427" w:name="_Toc296346700"/>
      <w:bookmarkStart w:id="428" w:name="_Toc297123548"/>
      <w:bookmarkStart w:id="429" w:name="_Toc292559404"/>
      <w:bookmarkStart w:id="430" w:name="_Toc297048385"/>
      <w:bookmarkStart w:id="431" w:name="_Toc312678033"/>
      <w:bookmarkStart w:id="432" w:name="_Toc296503199"/>
      <w:bookmarkStart w:id="433" w:name="_Toc304295574"/>
      <w:bookmarkStart w:id="434" w:name="_Toc296891027"/>
      <w:bookmarkStart w:id="435" w:name="_Toc300934997"/>
      <w:bookmarkStart w:id="436" w:name="_Toc296347198"/>
      <w:bookmarkStart w:id="437" w:name="_Toc312677507"/>
      <w:bookmarkStart w:id="438" w:name="_Toc292559909"/>
      <w:bookmarkStart w:id="439" w:name="_Toc296944538"/>
      <w:bookmarkStart w:id="440" w:name="_Toc297120499"/>
      <w:r>
        <w:rPr>
          <w:rFonts w:hint="eastAsia" w:asciiTheme="minorEastAsia" w:hAnsiTheme="minorEastAsia" w:eastAsiaTheme="minorEastAsia" w:cstheme="minorEastAsia"/>
          <w:color w:val="auto"/>
          <w:highlight w:val="none"/>
        </w:rPr>
        <w:t>0.7 暂估价</w:t>
      </w:r>
      <w:bookmarkEnd w:id="417"/>
      <w:bookmarkEnd w:id="418"/>
      <w:bookmarkEnd w:id="419"/>
      <w:bookmarkEnd w:id="420"/>
      <w:bookmarkEnd w:id="421"/>
      <w:bookmarkEnd w:id="422"/>
      <w:bookmarkEnd w:id="423"/>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1962923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暂</w:t>
      </w:r>
      <w:bookmarkStart w:id="441" w:name="_Toc312677508"/>
      <w:bookmarkStart w:id="442" w:name="_Toc312678034"/>
      <w:bookmarkStart w:id="443" w:name="_Toc318581176"/>
      <w:r>
        <w:rPr>
          <w:rFonts w:hint="eastAsia" w:asciiTheme="minorEastAsia" w:hAnsiTheme="minorEastAsia" w:eastAsiaTheme="minorEastAsia" w:cstheme="minorEastAsia"/>
          <w:color w:val="auto"/>
          <w:kern w:val="0"/>
          <w:highlight w:val="none"/>
        </w:rPr>
        <w:t>估价材料和工程设备的明细详见已标价工程量清单《</w:t>
      </w:r>
      <w:r>
        <w:rPr>
          <w:rFonts w:hint="eastAsia" w:asciiTheme="minorEastAsia" w:hAnsiTheme="minorEastAsia" w:eastAsiaTheme="minorEastAsia" w:cstheme="minorEastAsia"/>
          <w:color w:val="auto"/>
          <w:highlight w:val="none"/>
        </w:rPr>
        <w:t>材料（工程设备）暂估价格及调整表》</w:t>
      </w:r>
      <w:r>
        <w:rPr>
          <w:rFonts w:hint="eastAsia" w:asciiTheme="minorEastAsia" w:hAnsiTheme="minorEastAsia" w:eastAsiaTheme="minorEastAsia" w:cstheme="minorEastAsia"/>
          <w:color w:val="auto"/>
          <w:kern w:val="0"/>
          <w:highlight w:val="none"/>
        </w:rPr>
        <w:t>（表12-2）和《</w:t>
      </w:r>
      <w:r>
        <w:rPr>
          <w:rFonts w:hint="eastAsia" w:asciiTheme="minorEastAsia" w:hAnsiTheme="minorEastAsia" w:eastAsiaTheme="minorEastAsia" w:cstheme="minorEastAsia"/>
          <w:color w:val="auto"/>
          <w:highlight w:val="none"/>
        </w:rPr>
        <w:t>专业工程暂估价表》（</w:t>
      </w:r>
      <w:r>
        <w:rPr>
          <w:rFonts w:hint="eastAsia" w:asciiTheme="minorEastAsia" w:hAnsiTheme="minorEastAsia" w:eastAsiaTheme="minorEastAsia" w:cstheme="minorEastAsia"/>
          <w:color w:val="auto"/>
          <w:kern w:val="0"/>
          <w:highlight w:val="none"/>
        </w:rPr>
        <w:t>表12-3）。</w:t>
      </w:r>
    </w:p>
    <w:bookmarkEnd w:id="441"/>
    <w:bookmarkEnd w:id="442"/>
    <w:bookmarkEnd w:id="443"/>
    <w:p w14:paraId="0AB6757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bookmarkStart w:id="444" w:name="_Toc312677509"/>
      <w:bookmarkStart w:id="445" w:name="_Toc318581177"/>
      <w:bookmarkStart w:id="446" w:name="_Toc312678035"/>
      <w:r>
        <w:rPr>
          <w:rFonts w:hint="eastAsia" w:asciiTheme="minorEastAsia" w:hAnsiTheme="minorEastAsia" w:eastAsiaTheme="minorEastAsia" w:cstheme="minorEastAsia"/>
          <w:color w:val="auto"/>
          <w:highlight w:val="none"/>
        </w:rPr>
        <w:t>0.7.1 依法必须招标的暂估价项目</w:t>
      </w:r>
    </w:p>
    <w:bookmarkEnd w:id="444"/>
    <w:bookmarkEnd w:id="445"/>
    <w:bookmarkEnd w:id="446"/>
    <w:p w14:paraId="3CF0C35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对于依法必须招标的暂估价项目的确认和批准采取第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种方式确定。</w:t>
      </w:r>
    </w:p>
    <w:p w14:paraId="01B6DD70">
      <w:pPr>
        <w:pStyle w:val="35"/>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第1种方式：对于依法必须招标的暂估价项目，由承包人招标，对该暂估价项目的确认和批准按照以下约定执行：</w:t>
      </w:r>
    </w:p>
    <w:p w14:paraId="12EBF5D2">
      <w:pPr>
        <w:pStyle w:val="35"/>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C0127FF">
      <w:pPr>
        <w:pStyle w:val="35"/>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14:paraId="1F2869B1">
      <w:pPr>
        <w:pStyle w:val="35"/>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406CF25">
      <w:pPr>
        <w:pStyle w:val="35"/>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2种方式：对于依法必须招标的暂估价项目，由发包人和承包人共同招标确定暂估价供应商或分包人的，承包人应按照施工进度计划，在招标工作启动前14天通知发包人，并提交暂估价项目招标方案和工作分工。发包人应在收到后7天内确认；招标过程中发包人有权确定招标控制价并委派评标委员会成员。确定中标人后，由发包人、承包人与中标人共同签订暂估价合同。</w:t>
      </w:r>
    </w:p>
    <w:p w14:paraId="1BE10D61">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10.7.2 不属于依法必须招标的暂估价项目</w:t>
      </w:r>
    </w:p>
    <w:p w14:paraId="55C7038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对于不属于依法必须招标的暂估价项目的确认和批准采取第</w:t>
      </w:r>
      <w:r>
        <w:rPr>
          <w:rFonts w:hint="eastAsia" w:asciiTheme="minorEastAsia" w:hAnsiTheme="minorEastAsia" w:eastAsiaTheme="minorEastAsia" w:cstheme="minorEastAsia"/>
          <w:color w:val="auto"/>
          <w:highlight w:val="none"/>
          <w:u w:val="single"/>
        </w:rPr>
        <w:t xml:space="preserve">  1 </w:t>
      </w:r>
      <w:r>
        <w:rPr>
          <w:rFonts w:hint="eastAsia" w:asciiTheme="minorEastAsia" w:hAnsiTheme="minorEastAsia" w:eastAsiaTheme="minorEastAsia" w:cstheme="minorEastAsia"/>
          <w:color w:val="auto"/>
          <w:highlight w:val="none"/>
        </w:rPr>
        <w:t xml:space="preserve"> 种方式确定。</w:t>
      </w:r>
    </w:p>
    <w:p w14:paraId="77B7E892">
      <w:pPr>
        <w:pStyle w:val="35"/>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第1种方式：对于不属于依法必须招标的暂估价项目，按本项约定确认和批准：</w:t>
      </w:r>
    </w:p>
    <w:p w14:paraId="08123D60">
      <w:pPr>
        <w:pStyle w:val="35"/>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1ED4B14">
      <w:pPr>
        <w:pStyle w:val="35"/>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14:paraId="3F994BF6">
      <w:pPr>
        <w:pStyle w:val="35"/>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第2种方式：承包人按照第10.7.1项【依法必须招标的暂估价项目】约定的第1种方式确定暂估价项目。</w:t>
      </w:r>
    </w:p>
    <w:p w14:paraId="252C31A7">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第3种方式：</w:t>
      </w:r>
      <w:r>
        <w:rPr>
          <w:rFonts w:hint="eastAsia" w:asciiTheme="minorEastAsia" w:hAnsiTheme="minorEastAsia" w:eastAsiaTheme="minorEastAsia" w:cstheme="minorEastAsia"/>
          <w:color w:val="auto"/>
          <w:kern w:val="0"/>
          <w:highlight w:val="none"/>
        </w:rPr>
        <w:t>承包人直接实施的暂估价项目</w:t>
      </w:r>
    </w:p>
    <w:p w14:paraId="5E2CCE59">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承包人直接实施的暂估价项目的约定：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2BB7150">
      <w:pPr>
        <w:pStyle w:val="4"/>
        <w:rPr>
          <w:rFonts w:hint="eastAsia" w:asciiTheme="minorEastAsia" w:hAnsiTheme="minorEastAsia" w:eastAsiaTheme="minorEastAsia" w:cstheme="minorEastAsia"/>
          <w:color w:val="auto"/>
          <w:highlight w:val="none"/>
        </w:rPr>
      </w:pPr>
      <w:bookmarkStart w:id="447" w:name="_Toc511243597"/>
      <w:bookmarkStart w:id="448" w:name="_Toc509760049"/>
      <w:bookmarkStart w:id="449" w:name="_Toc389065311"/>
      <w:bookmarkStart w:id="450" w:name="_Toc465114905"/>
      <w:bookmarkStart w:id="451" w:name="_Toc373227745"/>
      <w:bookmarkStart w:id="452" w:name="_Toc373478392"/>
      <w:bookmarkStart w:id="453" w:name="_Toc511243371"/>
      <w:r>
        <w:rPr>
          <w:rFonts w:hint="eastAsia" w:asciiTheme="minorEastAsia" w:hAnsiTheme="minorEastAsia" w:eastAsiaTheme="minorEastAsia" w:cstheme="minorEastAsia"/>
          <w:color w:val="auto"/>
          <w:highlight w:val="none"/>
        </w:rPr>
        <w:t>10.8 暂列金额</w:t>
      </w:r>
      <w:bookmarkEnd w:id="447"/>
      <w:bookmarkEnd w:id="448"/>
      <w:bookmarkEnd w:id="449"/>
      <w:bookmarkEnd w:id="450"/>
      <w:bookmarkEnd w:id="451"/>
      <w:bookmarkEnd w:id="452"/>
      <w:bookmarkEnd w:id="453"/>
    </w:p>
    <w:p w14:paraId="512A052B">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合同当事人关于暂列金额使用的约定：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highlight w:val="none"/>
        </w:rPr>
        <w:t>。</w:t>
      </w:r>
    </w:p>
    <w:p w14:paraId="76A4BD02">
      <w:pPr>
        <w:pStyle w:val="3"/>
        <w:rPr>
          <w:rFonts w:hint="eastAsia" w:asciiTheme="minorEastAsia" w:hAnsiTheme="minorEastAsia" w:eastAsiaTheme="minorEastAsia" w:cstheme="minorEastAsia"/>
          <w:color w:val="auto"/>
          <w:highlight w:val="none"/>
        </w:rPr>
      </w:pPr>
      <w:bookmarkStart w:id="454" w:name="_Toc465114906"/>
      <w:bookmarkStart w:id="455" w:name="_Toc509760050"/>
      <w:bookmarkStart w:id="456" w:name="_Toc511243372"/>
      <w:bookmarkStart w:id="457" w:name="_Toc511243598"/>
      <w:r>
        <w:rPr>
          <w:rFonts w:hint="eastAsia" w:asciiTheme="minorEastAsia" w:hAnsiTheme="minorEastAsia" w:eastAsiaTheme="minorEastAsia" w:cstheme="minorEastAsia"/>
          <w:color w:val="auto"/>
          <w:highlight w:val="none"/>
        </w:rPr>
        <w:t>11. 价格调整</w:t>
      </w:r>
      <w:bookmarkEnd w:id="454"/>
      <w:bookmarkEnd w:id="455"/>
      <w:bookmarkEnd w:id="456"/>
      <w:bookmarkEnd w:id="457"/>
    </w:p>
    <w:p w14:paraId="51161ECC">
      <w:pPr>
        <w:pStyle w:val="4"/>
        <w:rPr>
          <w:rFonts w:hint="eastAsia" w:asciiTheme="minorEastAsia" w:hAnsiTheme="minorEastAsia" w:eastAsiaTheme="minorEastAsia" w:cstheme="minorEastAsia"/>
          <w:color w:val="auto"/>
          <w:highlight w:val="none"/>
        </w:rPr>
      </w:pPr>
      <w:bookmarkStart w:id="458" w:name="_Toc511243599"/>
      <w:bookmarkStart w:id="459" w:name="_Toc509760051"/>
      <w:bookmarkStart w:id="460" w:name="_Toc465114907"/>
      <w:bookmarkStart w:id="461" w:name="_Toc511243373"/>
      <w:r>
        <w:rPr>
          <w:rFonts w:hint="eastAsia" w:asciiTheme="minorEastAsia" w:hAnsiTheme="minorEastAsia" w:eastAsiaTheme="minorEastAsia" w:cstheme="minorEastAsia"/>
          <w:color w:val="auto"/>
          <w:highlight w:val="none"/>
        </w:rPr>
        <w:t>11.1 市场价格波动引起的调整</w:t>
      </w:r>
      <w:bookmarkEnd w:id="458"/>
      <w:bookmarkEnd w:id="459"/>
      <w:bookmarkEnd w:id="460"/>
      <w:bookmarkEnd w:id="461"/>
    </w:p>
    <w:p w14:paraId="68C89981">
      <w:pPr>
        <w:spacing w:line="360" w:lineRule="auto"/>
        <w:ind w:firstLine="420" w:firstLineChars="200"/>
        <w:jc w:val="left"/>
        <w:rPr>
          <w:rFonts w:hint="eastAsia"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color w:val="FF0000"/>
          <w:kern w:val="0"/>
          <w:highlight w:val="none"/>
        </w:rPr>
        <w:t>市场价格波动是否调整合同价格的约定：</w:t>
      </w:r>
      <w:r>
        <w:rPr>
          <w:rFonts w:hint="eastAsia" w:asciiTheme="minorEastAsia" w:hAnsiTheme="minorEastAsia" w:eastAsiaTheme="minorEastAsia" w:cstheme="minorEastAsia"/>
          <w:color w:val="FF0000"/>
          <w:highlight w:val="none"/>
          <w:u w:val="single"/>
        </w:rPr>
        <w:t xml:space="preserve">  </w:t>
      </w:r>
      <w:r>
        <w:rPr>
          <w:rFonts w:hint="eastAsia" w:asciiTheme="minorEastAsia" w:hAnsiTheme="minorEastAsia" w:eastAsiaTheme="minorEastAsia" w:cstheme="minorEastAsia"/>
          <w:color w:val="FF0000"/>
          <w:kern w:val="0"/>
          <w:highlight w:val="none"/>
          <w:u w:val="single"/>
        </w:rPr>
        <w:t>按第2种方式进行调整</w:t>
      </w:r>
      <w:r>
        <w:rPr>
          <w:rFonts w:hint="eastAsia" w:asciiTheme="minorEastAsia" w:hAnsiTheme="minorEastAsia" w:eastAsiaTheme="minorEastAsia" w:cstheme="minorEastAsia"/>
          <w:color w:val="FF0000"/>
          <w:highlight w:val="none"/>
          <w:u w:val="single"/>
        </w:rPr>
        <w:t xml:space="preserve">  </w:t>
      </w:r>
      <w:r>
        <w:rPr>
          <w:rFonts w:hint="eastAsia" w:asciiTheme="minorEastAsia" w:hAnsiTheme="minorEastAsia" w:eastAsiaTheme="minorEastAsia" w:cstheme="minorEastAsia"/>
          <w:color w:val="FF0000"/>
          <w:highlight w:val="none"/>
        </w:rPr>
        <w:t>。</w:t>
      </w:r>
    </w:p>
    <w:p w14:paraId="30868B36">
      <w:pPr>
        <w:spacing w:line="360" w:lineRule="auto"/>
        <w:ind w:firstLine="420" w:firstLineChars="200"/>
        <w:jc w:val="left"/>
        <w:rPr>
          <w:rFonts w:hint="eastAsia"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color w:val="FF0000"/>
          <w:highlight w:val="none"/>
        </w:rPr>
        <w:t>因市场价格波动调整合同价格，采用以下第</w:t>
      </w:r>
      <w:r>
        <w:rPr>
          <w:rFonts w:hint="eastAsia" w:asciiTheme="minorEastAsia" w:hAnsiTheme="minorEastAsia" w:eastAsiaTheme="minorEastAsia" w:cstheme="minorEastAsia"/>
          <w:color w:val="FF0000"/>
          <w:highlight w:val="none"/>
          <w:u w:val="single"/>
        </w:rPr>
        <w:t xml:space="preserve">  2  </w:t>
      </w:r>
      <w:r>
        <w:rPr>
          <w:rFonts w:hint="eastAsia" w:asciiTheme="minorEastAsia" w:hAnsiTheme="minorEastAsia" w:eastAsiaTheme="minorEastAsia" w:cstheme="minorEastAsia"/>
          <w:color w:val="FF0000"/>
          <w:highlight w:val="none"/>
        </w:rPr>
        <w:t>种方式对合同价格进行调整：</w:t>
      </w:r>
    </w:p>
    <w:p w14:paraId="4AC407F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第1种方式：采用价格指数进行价格调整。</w:t>
      </w:r>
    </w:p>
    <w:p w14:paraId="2871F194">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关于各可调因子、定值和变值权重，以及基本价格指数及其来源的约定：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2B439A1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第2种方式：采用造价信息进行价格调整。</w:t>
      </w:r>
    </w:p>
    <w:p w14:paraId="50D0AD7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（1）允许调整的主要材料和设备、基期价格、风险系数、投标报价：详见《承包人提供主要材料和设备一览表》。</w:t>
      </w:r>
    </w:p>
    <w:p w14:paraId="76D33D6E">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（2）主要材料和设备确认价：</w:t>
      </w:r>
    </w:p>
    <w:p w14:paraId="44402AFB">
      <w:pPr>
        <w:spacing w:line="360" w:lineRule="auto"/>
        <w:ind w:firstLine="420" w:firstLineChars="200"/>
        <w:jc w:val="left"/>
        <w:rPr>
          <w:rFonts w:hint="eastAsia" w:ascii="Calibri" w:hAnsi="宋体" w:cs="宋体"/>
          <w:color w:val="auto"/>
          <w:szCs w:val="22"/>
          <w:highlight w:val="none"/>
          <w:u w:val="single"/>
          <w:lang w:val="en-US" w:eastAsia="zh-CN"/>
        </w:rPr>
      </w:pPr>
      <w:r>
        <w:rPr>
          <w:rFonts w:hint="eastAsia" w:asciiTheme="minorEastAsia" w:hAnsiTheme="minorEastAsia" w:eastAsiaTheme="minorEastAsia" w:cstheme="minorEastAsia"/>
          <w:color w:val="FF0000"/>
          <w:highlight w:val="none"/>
          <w:lang w:val="en-US" w:eastAsia="zh-CN"/>
        </w:rPr>
        <w:t>材料的价格按照《南宁建设工程造价信息》2025年4月下半月刊登的价格计取，并优先考虑隆安县的信息价，对于《南宁建设工程造价信息》上没有刊登的材料将根据市场询价来确定其价格</w:t>
      </w:r>
      <w:r>
        <w:rPr>
          <w:rFonts w:hint="eastAsia" w:ascii="Calibri" w:hAnsi="宋体" w:cs="宋体"/>
          <w:color w:val="FF0000"/>
          <w:szCs w:val="22"/>
          <w:highlight w:val="none"/>
          <w:u w:val="none"/>
          <w:lang w:val="en-US" w:eastAsia="zh-CN"/>
        </w:rPr>
        <w:t>；</w:t>
      </w:r>
      <w:r>
        <w:rPr>
          <w:rFonts w:hint="eastAsia" w:ascii="Calibri" w:hAnsi="宋体" w:cs="宋体"/>
          <w:color w:val="auto"/>
          <w:szCs w:val="22"/>
          <w:highlight w:val="none"/>
          <w:u w:val="none"/>
          <w:lang w:val="en-US" w:eastAsia="zh-CN"/>
        </w:rPr>
        <w:t>无定额可套的，由建设单位根据市场行情询价后按相关造价法规、编制办法编制确定综合价格。</w:t>
      </w:r>
      <w:r>
        <w:rPr>
          <w:rFonts w:hint="eastAsia" w:ascii="Calibri" w:hAnsi="宋体"/>
          <w:color w:val="auto"/>
          <w:szCs w:val="21"/>
          <w:highlight w:val="none"/>
          <w:lang w:val="en-US" w:eastAsia="zh-CN"/>
        </w:rPr>
        <w:t>以上约定同时适用于招标工程量清单缺项以及工程量清单项目特征与图纸不符时的价款确定</w:t>
      </w:r>
      <w:r>
        <w:rPr>
          <w:rFonts w:hint="eastAsia" w:ascii="Calibri" w:hAnsi="宋体"/>
          <w:color w:val="auto"/>
          <w:szCs w:val="21"/>
          <w:highlight w:val="none"/>
        </w:rPr>
        <w:t>。</w:t>
      </w:r>
    </w:p>
    <w:p w14:paraId="2EC7E70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（3）价差计算方法：</w:t>
      </w:r>
    </w:p>
    <w:p w14:paraId="081C140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承包人提供主要材料和设备一览表》中载明的材料投标报价低于基准价格的：合同履行期间材料和设备单价涨幅以基准价格为基础超过约定的风险范围时，或材料和设备单价跌幅以投标报价为基础超过约定的风险范围时，其超过部分据实调整。</w:t>
      </w:r>
    </w:p>
    <w:p w14:paraId="19E6697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6FE9930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③承包人在《承包人提供主要材料和设备一览表》中载明的材料和设备单价等于基准单价的：合同履行期间材料和 设备单价涨跌幅以基准单价为基础超过约定的风险范围时，其超过部分据实调整。</w:t>
      </w:r>
    </w:p>
    <w:p w14:paraId="0677DD36">
      <w:pPr>
        <w:spacing w:line="360" w:lineRule="auto"/>
        <w:ind w:firstLine="64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第3种方式：</w:t>
      </w:r>
      <w:r>
        <w:rPr>
          <w:rFonts w:hint="eastAsia" w:asciiTheme="minorEastAsia" w:hAnsiTheme="minorEastAsia" w:eastAsiaTheme="minorEastAsia" w:cstheme="minorEastAsia"/>
          <w:color w:val="auto"/>
          <w:highlight w:val="none"/>
          <w:u w:val="single"/>
        </w:rPr>
        <w:t xml:space="preserve"> </w:t>
      </w:r>
      <w:r>
        <w:rPr>
          <w:rFonts w:hint="eastAsia" w:ascii="Calibri" w:hAnsi="Calibri"/>
          <w:color w:val="auto"/>
          <w:szCs w:val="21"/>
          <w:highlight w:val="none"/>
          <w:u w:val="single"/>
        </w:rPr>
        <w:t>除合同约定可以调整的主要材料外，材料单价在合同实施期间不因市场价格变化因素而变动</w:t>
      </w:r>
      <w:r>
        <w:rPr>
          <w:rFonts w:ascii="Calibri" w:hAnsi="Calibri"/>
          <w:color w:val="auto"/>
          <w:szCs w:val="21"/>
          <w:highlight w:val="none"/>
          <w:u w:val="single"/>
        </w:rPr>
        <w:t xml:space="preserve"> </w:t>
      </w:r>
      <w:r>
        <w:rPr>
          <w:rFonts w:hint="eastAsia" w:asciiTheme="minorEastAsia" w:hAnsiTheme="minorEastAsia" w:eastAsiaTheme="minorEastAsia" w:cstheme="minorEastAsia"/>
          <w:color w:val="auto"/>
          <w:highlight w:val="none"/>
        </w:rPr>
        <w:t>。</w:t>
      </w:r>
    </w:p>
    <w:p w14:paraId="0F56F4F7">
      <w:pPr>
        <w:pStyle w:val="11"/>
        <w:rPr>
          <w:rFonts w:hint="eastAsia"/>
        </w:rPr>
      </w:pPr>
    </w:p>
    <w:p w14:paraId="6AB3DAF1">
      <w:pPr>
        <w:pStyle w:val="3"/>
        <w:rPr>
          <w:rFonts w:hint="eastAsia" w:asciiTheme="minorEastAsia" w:hAnsiTheme="minorEastAsia" w:eastAsiaTheme="minorEastAsia" w:cstheme="minorEastAsia"/>
          <w:color w:val="auto"/>
          <w:highlight w:val="none"/>
        </w:rPr>
      </w:pPr>
      <w:bookmarkStart w:id="462" w:name="_Toc465114908"/>
      <w:bookmarkStart w:id="463" w:name="_Toc511243600"/>
      <w:bookmarkStart w:id="464" w:name="_Toc509760052"/>
      <w:bookmarkStart w:id="465" w:name="_Toc511243374"/>
      <w:r>
        <w:rPr>
          <w:rFonts w:hint="eastAsia" w:asciiTheme="minorEastAsia" w:hAnsiTheme="minorEastAsia" w:eastAsiaTheme="minorEastAsia" w:cstheme="minorEastAsia"/>
          <w:color w:val="auto"/>
          <w:highlight w:val="none"/>
        </w:rPr>
        <w:t>12. 合同价格、计量与支付</w:t>
      </w:r>
      <w:bookmarkEnd w:id="462"/>
      <w:bookmarkEnd w:id="463"/>
      <w:bookmarkEnd w:id="464"/>
      <w:bookmarkEnd w:id="465"/>
    </w:p>
    <w:p w14:paraId="7D552217">
      <w:pPr>
        <w:pStyle w:val="4"/>
        <w:rPr>
          <w:rFonts w:hint="eastAsia" w:asciiTheme="minorEastAsia" w:hAnsiTheme="minorEastAsia" w:eastAsiaTheme="minorEastAsia" w:cstheme="minorEastAsia"/>
          <w:color w:val="auto"/>
          <w:highlight w:val="none"/>
        </w:rPr>
      </w:pPr>
      <w:bookmarkStart w:id="466" w:name="_Toc465114909"/>
      <w:bookmarkStart w:id="467" w:name="_Toc511243601"/>
      <w:bookmarkStart w:id="468" w:name="_Toc511243375"/>
      <w:bookmarkStart w:id="469" w:name="_Toc509760053"/>
      <w:r>
        <w:rPr>
          <w:rFonts w:hint="eastAsia" w:asciiTheme="minorEastAsia" w:hAnsiTheme="minorEastAsia" w:eastAsiaTheme="minorEastAsia" w:cstheme="minorEastAsia"/>
          <w:color w:val="auto"/>
          <w:highlight w:val="none"/>
        </w:rPr>
        <w:t>12.1 合同价格形式</w:t>
      </w:r>
      <w:bookmarkEnd w:id="466"/>
      <w:bookmarkEnd w:id="467"/>
      <w:bookmarkEnd w:id="468"/>
      <w:bookmarkEnd w:id="469"/>
    </w:p>
    <w:p w14:paraId="795A584E">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本工程采用</w:t>
      </w:r>
      <w:r>
        <w:rPr>
          <w:rFonts w:hint="eastAsia" w:asciiTheme="minorEastAsia" w:hAnsiTheme="minorEastAsia" w:eastAsiaTheme="minorEastAsia" w:cstheme="minorEastAsia"/>
          <w:color w:val="auto"/>
          <w:highlight w:val="none"/>
          <w:u w:val="single"/>
        </w:rPr>
        <w:t xml:space="preserve">  固定综合单价 </w:t>
      </w:r>
      <w:r>
        <w:rPr>
          <w:rFonts w:hint="eastAsia" w:asciiTheme="minorEastAsia" w:hAnsiTheme="minorEastAsia" w:eastAsiaTheme="minorEastAsia" w:cstheme="minorEastAsia"/>
          <w:color w:val="auto"/>
          <w:highlight w:val="none"/>
        </w:rPr>
        <w:t>合同价格形式。</w:t>
      </w:r>
    </w:p>
    <w:p w14:paraId="742836B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（1）单价合同。</w:t>
      </w:r>
    </w:p>
    <w:p w14:paraId="2909926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单价合同采用综合单价方式确定，工程量按实际结算。</w:t>
      </w:r>
    </w:p>
    <w:p w14:paraId="4F009DC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综合单价包含的风险范围：</w:t>
      </w:r>
      <w:r>
        <w:rPr>
          <w:rFonts w:hint="eastAsia" w:asciiTheme="minorEastAsia" w:hAnsiTheme="minorEastAsia" w:eastAsiaTheme="minorEastAsia" w:cstheme="minorEastAsia"/>
          <w:color w:val="auto"/>
          <w:highlight w:val="none"/>
          <w:u w:val="single"/>
        </w:rPr>
        <w:t>除工程变更、项目特征不符、政策性调整、《承包人提供主要材料和设备一览表》约定的材料、设备价格变动风险以外因素。</w:t>
      </w:r>
    </w:p>
    <w:p w14:paraId="6B093CD2">
      <w:pPr>
        <w:pStyle w:val="15"/>
        <w:spacing w:line="360" w:lineRule="auto"/>
        <w:ind w:firstLine="420" w:firstLineChars="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风险范围以外合同价格的调整方法：</w:t>
      </w:r>
    </w:p>
    <w:p w14:paraId="3C350C63">
      <w:pPr>
        <w:pStyle w:val="15"/>
        <w:spacing w:line="360" w:lineRule="auto"/>
        <w:ind w:firstLine="420" w:firstLineChars="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①工程变更：按10.4.1变更估价原则的约定调整。</w:t>
      </w:r>
    </w:p>
    <w:p w14:paraId="2C48323C">
      <w:pPr>
        <w:pStyle w:val="15"/>
        <w:spacing w:line="360" w:lineRule="auto"/>
        <w:ind w:firstLine="420" w:firstLineChars="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②政策性调整：按自治区建设行政主管部门颁布的文件执行。</w:t>
      </w:r>
    </w:p>
    <w:p w14:paraId="03A6CE79">
      <w:pPr>
        <w:pStyle w:val="15"/>
        <w:spacing w:line="360" w:lineRule="auto"/>
        <w:ind w:firstLine="420" w:firstLineChars="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③材料价格风险：按11.1的约定调整。</w:t>
      </w:r>
    </w:p>
    <w:p w14:paraId="1A1D27D9">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④其它：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663A199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（2）总价合同。</w:t>
      </w:r>
    </w:p>
    <w:p w14:paraId="739C785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总价包含的风险范围：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A0B805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风险范围以外合同价格的调整方法：</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2B8E49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（3）其他价格方式：</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A8DAF53">
      <w:pPr>
        <w:pStyle w:val="4"/>
        <w:rPr>
          <w:rFonts w:hint="eastAsia" w:asciiTheme="minorEastAsia" w:hAnsiTheme="minorEastAsia" w:eastAsiaTheme="minorEastAsia" w:cstheme="minorEastAsia"/>
          <w:color w:val="auto"/>
          <w:highlight w:val="none"/>
        </w:rPr>
      </w:pPr>
      <w:bookmarkStart w:id="470" w:name="_Toc509760054"/>
      <w:bookmarkStart w:id="471" w:name="_Toc511243602"/>
      <w:bookmarkStart w:id="472" w:name="_Toc511243376"/>
      <w:bookmarkStart w:id="473" w:name="_Toc465114910"/>
      <w:r>
        <w:rPr>
          <w:rFonts w:hint="eastAsia" w:asciiTheme="minorEastAsia" w:hAnsiTheme="minorEastAsia" w:eastAsiaTheme="minorEastAsia" w:cstheme="minorEastAsia"/>
          <w:color w:val="auto"/>
          <w:highlight w:val="none"/>
        </w:rPr>
        <w:t>12.2 预付款</w:t>
      </w:r>
      <w:bookmarkEnd w:id="470"/>
      <w:bookmarkEnd w:id="471"/>
      <w:bookmarkEnd w:id="472"/>
      <w:bookmarkEnd w:id="473"/>
    </w:p>
    <w:p w14:paraId="69516039">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12.2.1 预付款的支付</w:t>
      </w:r>
    </w:p>
    <w:p w14:paraId="2081BF68">
      <w:pPr>
        <w:spacing w:line="360" w:lineRule="auto"/>
        <w:ind w:firstLine="420" w:firstLineChars="200"/>
        <w:jc w:val="left"/>
        <w:rPr>
          <w:rFonts w:hint="eastAsia"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color w:val="FF0000"/>
          <w:highlight w:val="none"/>
        </w:rPr>
        <w:t>预付款支付比例或金额：</w:t>
      </w:r>
      <w:r>
        <w:rPr>
          <w:rFonts w:hint="eastAsia" w:asciiTheme="minorEastAsia" w:hAnsiTheme="minorEastAsia" w:eastAsiaTheme="minorEastAsia" w:cstheme="minorEastAsia"/>
          <w:color w:val="FF0000"/>
          <w:highlight w:val="none"/>
          <w:u w:val="single"/>
          <w:lang w:val="en-US" w:eastAsia="zh-CN"/>
        </w:rPr>
        <w:t xml:space="preserve">本项目无预付款 </w:t>
      </w:r>
      <w:r>
        <w:rPr>
          <w:rFonts w:hint="eastAsia" w:asciiTheme="minorEastAsia" w:hAnsiTheme="minorEastAsia" w:eastAsiaTheme="minorEastAsia" w:cstheme="minorEastAsia"/>
          <w:color w:val="FF0000"/>
          <w:highlight w:val="none"/>
        </w:rPr>
        <w:t>。</w:t>
      </w:r>
    </w:p>
    <w:p w14:paraId="7042574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预付款支付期限：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无   </w:t>
      </w:r>
      <w:r>
        <w:rPr>
          <w:rFonts w:hint="eastAsia" w:asciiTheme="minorEastAsia" w:hAnsiTheme="minorEastAsia" w:eastAsiaTheme="minorEastAsia" w:cstheme="minorEastAsia"/>
          <w:color w:val="auto"/>
          <w:highlight w:val="none"/>
        </w:rPr>
        <w:t>。</w:t>
      </w:r>
    </w:p>
    <w:p w14:paraId="0906582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预付款扣回的方式：</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无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6A1890A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12.2.2 预付款担保</w:t>
      </w:r>
    </w:p>
    <w:p w14:paraId="7260EA51">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承包人提交预付款担保的期限：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无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3E4972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预付款担保的形式为：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528E314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预付款担保格式见合同附件7。</w:t>
      </w:r>
    </w:p>
    <w:p w14:paraId="4FFF9867">
      <w:pPr>
        <w:pStyle w:val="4"/>
        <w:rPr>
          <w:rFonts w:hint="eastAsia" w:asciiTheme="minorEastAsia" w:hAnsiTheme="minorEastAsia" w:eastAsiaTheme="minorEastAsia" w:cstheme="minorEastAsia"/>
          <w:color w:val="auto"/>
          <w:highlight w:val="none"/>
        </w:rPr>
      </w:pPr>
      <w:bookmarkStart w:id="474" w:name="_Toc511243377"/>
      <w:bookmarkStart w:id="475" w:name="_Toc509760055"/>
      <w:bookmarkStart w:id="476" w:name="_Toc511243603"/>
      <w:bookmarkStart w:id="477" w:name="_Toc465114911"/>
      <w:r>
        <w:rPr>
          <w:rFonts w:hint="eastAsia" w:asciiTheme="minorEastAsia" w:hAnsiTheme="minorEastAsia" w:eastAsiaTheme="minorEastAsia" w:cstheme="minorEastAsia"/>
          <w:color w:val="auto"/>
          <w:highlight w:val="none"/>
        </w:rPr>
        <w:t>12.3 计量</w:t>
      </w:r>
      <w:bookmarkEnd w:id="474"/>
      <w:bookmarkEnd w:id="475"/>
      <w:bookmarkEnd w:id="476"/>
      <w:bookmarkEnd w:id="477"/>
    </w:p>
    <w:p w14:paraId="4FFBA2DC">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12.3.1 计量原则</w:t>
      </w:r>
    </w:p>
    <w:p w14:paraId="333B444F">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工程量计算规则：</w:t>
      </w:r>
      <w:r>
        <w:rPr>
          <w:rFonts w:hint="eastAsia" w:asciiTheme="minorEastAsia" w:hAnsiTheme="minorEastAsia" w:eastAsiaTheme="minorEastAsia" w:cstheme="minorEastAsia"/>
          <w:color w:val="auto"/>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33ABAC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12.3.2 计量周期</w:t>
      </w:r>
    </w:p>
    <w:p w14:paraId="4FEC39CF">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关于计量周期的约定：</w:t>
      </w:r>
      <w:r>
        <w:rPr>
          <w:rFonts w:hint="eastAsia" w:asciiTheme="minorEastAsia" w:hAnsiTheme="minorEastAsia" w:eastAsiaTheme="minorEastAsia" w:cstheme="minorEastAsia"/>
          <w:color w:val="auto"/>
          <w:highlight w:val="none"/>
          <w:u w:val="single"/>
        </w:rPr>
        <w:t>每月25日前</w:t>
      </w:r>
      <w:r>
        <w:rPr>
          <w:rFonts w:hint="eastAsia" w:asciiTheme="minorEastAsia" w:hAnsiTheme="minorEastAsia" w:eastAsiaTheme="minorEastAsia" w:cstheme="minorEastAsia"/>
          <w:color w:val="auto"/>
          <w:highlight w:val="none"/>
        </w:rPr>
        <w:t>。</w:t>
      </w:r>
    </w:p>
    <w:p w14:paraId="2C9597DE">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12.3.3 单价合同的计量</w:t>
      </w:r>
    </w:p>
    <w:p w14:paraId="3EB16AF1">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关于单价合同计量的约定：</w:t>
      </w:r>
    </w:p>
    <w:p w14:paraId="4854F7DF">
      <w:pPr>
        <w:spacing w:line="360" w:lineRule="auto"/>
        <w:ind w:firstLine="441" w:firstLineChars="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工程量清单所列的工程量，不能作为承包人按合同履行其责任依据，实际施工中发生的工程量增加或减少并不影响承包人履行合同的责任，工程结算以完成的实际工程量为准。</w:t>
      </w:r>
    </w:p>
    <w:p w14:paraId="7A703113">
      <w:pPr>
        <w:spacing w:line="360" w:lineRule="auto"/>
        <w:ind w:firstLine="441" w:firstLineChars="2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25A0C652">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12.3.4 总价合同的计量</w:t>
      </w:r>
    </w:p>
    <w:p w14:paraId="6E0D78D2">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关于总价合同计量的约定：除工程变更外，原图纸范围内的工程量不得按实计量。进度款按支付分解表支付，按通用条款第</w:t>
      </w:r>
      <w:r>
        <w:rPr>
          <w:rFonts w:hint="eastAsia" w:asciiTheme="minorEastAsia" w:hAnsiTheme="minorEastAsia" w:eastAsiaTheme="minorEastAsia" w:cstheme="minorEastAsia"/>
          <w:color w:val="auto"/>
          <w:kern w:val="0"/>
          <w:highlight w:val="none"/>
        </w:rPr>
        <w:t>12.3.4</w:t>
      </w:r>
      <w:r>
        <w:rPr>
          <w:rFonts w:hint="eastAsia" w:asciiTheme="minorEastAsia" w:hAnsiTheme="minorEastAsia" w:eastAsiaTheme="minorEastAsia" w:cstheme="minorEastAsia"/>
          <w:color w:val="auto"/>
          <w:highlight w:val="none"/>
        </w:rPr>
        <w:t>项</w:t>
      </w:r>
      <w:r>
        <w:rPr>
          <w:rFonts w:hint="eastAsia" w:asciiTheme="minorEastAsia" w:hAnsiTheme="minorEastAsia" w:eastAsiaTheme="minorEastAsia" w:cstheme="minorEastAsia"/>
          <w:color w:val="auto"/>
          <w:kern w:val="0"/>
          <w:highlight w:val="none"/>
        </w:rPr>
        <w:t>〔总价合同的计量〕</w:t>
      </w:r>
      <w:r>
        <w:rPr>
          <w:rFonts w:hint="eastAsia" w:asciiTheme="minorEastAsia" w:hAnsiTheme="minorEastAsia" w:eastAsiaTheme="minorEastAsia" w:cstheme="minorEastAsia"/>
          <w:color w:val="auto"/>
          <w:highlight w:val="none"/>
        </w:rPr>
        <w:t>约定进行计量，但</w:t>
      </w:r>
      <w:r>
        <w:rPr>
          <w:rFonts w:hint="eastAsia" w:asciiTheme="minorEastAsia" w:hAnsiTheme="minorEastAsia" w:eastAsiaTheme="minorEastAsia" w:cstheme="minorEastAsia"/>
          <w:color w:val="auto"/>
          <w:kern w:val="0"/>
          <w:highlight w:val="none"/>
        </w:rPr>
        <w:t>合同价款按照支付分解表进行支付。</w:t>
      </w:r>
    </w:p>
    <w:p w14:paraId="1241E486">
      <w:pPr>
        <w:spacing w:line="360" w:lineRule="auto"/>
        <w:ind w:firstLine="420" w:firstLineChars="200"/>
        <w:jc w:val="left"/>
        <w:rPr>
          <w:rFonts w:hint="eastAsia" w:asciiTheme="minorEastAsia" w:hAnsiTheme="minorEastAsia" w:eastAsiaTheme="minorEastAsia" w:cstheme="minorEastAsia"/>
          <w:color w:val="auto"/>
          <w:highlight w:val="none"/>
        </w:rPr>
      </w:pPr>
    </w:p>
    <w:p w14:paraId="223988E9">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12.3.6 其他价格形式合同的计量</w:t>
      </w:r>
    </w:p>
    <w:p w14:paraId="41479640">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其他价格形式的计量方式和程序：</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8C62D6D">
      <w:pPr>
        <w:pStyle w:val="4"/>
        <w:rPr>
          <w:rFonts w:hint="eastAsia" w:asciiTheme="minorEastAsia" w:hAnsiTheme="minorEastAsia" w:eastAsiaTheme="minorEastAsia" w:cstheme="minorEastAsia"/>
          <w:color w:val="auto"/>
          <w:highlight w:val="none"/>
        </w:rPr>
      </w:pPr>
      <w:bookmarkStart w:id="478" w:name="_Toc511243604"/>
      <w:bookmarkStart w:id="479" w:name="_Toc509760056"/>
      <w:bookmarkStart w:id="480" w:name="_Toc511243378"/>
      <w:bookmarkStart w:id="481" w:name="_Toc465114912"/>
      <w:r>
        <w:rPr>
          <w:rFonts w:hint="eastAsia" w:asciiTheme="minorEastAsia" w:hAnsiTheme="minorEastAsia" w:eastAsiaTheme="minorEastAsia" w:cstheme="minorEastAsia"/>
          <w:color w:val="auto"/>
          <w:highlight w:val="none"/>
        </w:rPr>
        <w:t>12.4 工程进度款支付</w:t>
      </w:r>
      <w:bookmarkEnd w:id="478"/>
      <w:bookmarkEnd w:id="479"/>
      <w:bookmarkEnd w:id="480"/>
      <w:bookmarkEnd w:id="481"/>
    </w:p>
    <w:p w14:paraId="7B11E45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12.4.1 付款周期</w:t>
      </w:r>
    </w:p>
    <w:p w14:paraId="0FD9C0BB">
      <w:pPr>
        <w:spacing w:line="360" w:lineRule="auto"/>
        <w:ind w:firstLine="420" w:firstLineChars="200"/>
        <w:jc w:val="left"/>
        <w:rPr>
          <w:rFonts w:hint="eastAsia" w:ascii="宋体" w:hAnsi="宋体" w:eastAsia="宋体" w:cs="宋体"/>
          <w:color w:val="FF0000"/>
          <w:highlight w:val="none"/>
          <w:lang w:val="en-US" w:eastAsia="zh-CN"/>
        </w:rPr>
      </w:pPr>
      <w:r>
        <w:rPr>
          <w:rFonts w:hint="eastAsia" w:ascii="宋体" w:hAnsi="宋体" w:eastAsia="宋体" w:cs="宋体"/>
          <w:color w:val="FF0000"/>
          <w:highlight w:val="none"/>
        </w:rPr>
        <w:t>关于付款周期的约定：</w:t>
      </w:r>
      <w:r>
        <w:rPr>
          <w:rFonts w:hint="eastAsia" w:ascii="宋体" w:hAnsi="宋体" w:eastAsia="宋体" w:cs="宋体"/>
          <w:color w:val="FF0000"/>
          <w:highlight w:val="none"/>
          <w:lang w:val="en-US" w:eastAsia="zh-CN"/>
        </w:rPr>
        <w:t>工程款按已完成工程量的50%、80%二个阶段支付进度款。工程完工验收达到质量要求，结算经业主及合同约定的财政或审计部门（如有）审定后，工程款支付至结算总价的97%。发包人按工程价款结算总额的3%预留工程质量保证金，待工程缺陷责任期满后返还。承包人每一次在申请付款时必须提供相关付款材料和开具项目所在地正式的发票（含税）给发包人，否则，发包人有权暂停付款。</w:t>
      </w:r>
    </w:p>
    <w:p w14:paraId="2B3E9C2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12.4.2 进度付款申请单的编制</w:t>
      </w:r>
    </w:p>
    <w:p w14:paraId="0777C82A">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关于进度付款申请单编制的约定：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一式</w:t>
      </w:r>
      <w:r>
        <w:rPr>
          <w:rFonts w:hint="eastAsia" w:asciiTheme="minorEastAsia" w:hAnsiTheme="minorEastAsia" w:eastAsiaTheme="minorEastAsia" w:cstheme="minorEastAsia"/>
          <w:color w:val="auto"/>
          <w:highlight w:val="none"/>
          <w:u w:val="single"/>
          <w:lang w:eastAsia="zh-CN"/>
        </w:rPr>
        <w:t>三</w:t>
      </w:r>
      <w:r>
        <w:rPr>
          <w:rFonts w:hint="eastAsia" w:asciiTheme="minorEastAsia" w:hAnsiTheme="minorEastAsia" w:eastAsiaTheme="minorEastAsia" w:cstheme="minorEastAsia"/>
          <w:color w:val="auto"/>
          <w:highlight w:val="none"/>
          <w:u w:val="single"/>
        </w:rPr>
        <w:t xml:space="preserve">份   </w:t>
      </w:r>
      <w:r>
        <w:rPr>
          <w:rFonts w:hint="eastAsia" w:asciiTheme="minorEastAsia" w:hAnsiTheme="minorEastAsia" w:eastAsiaTheme="minorEastAsia" w:cstheme="minorEastAsia"/>
          <w:color w:val="auto"/>
          <w:highlight w:val="none"/>
        </w:rPr>
        <w:t>。</w:t>
      </w:r>
    </w:p>
    <w:p w14:paraId="68BDB55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12.4.3 进度付款申请单的提交</w:t>
      </w:r>
    </w:p>
    <w:p w14:paraId="6B1E175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（1）单价合同进度付款申请单提交的约定：</w:t>
      </w:r>
      <w:r>
        <w:rPr>
          <w:rFonts w:hint="eastAsia" w:asciiTheme="minorEastAsia" w:hAnsiTheme="minorEastAsia" w:eastAsiaTheme="minorEastAsia" w:cstheme="minorEastAsia"/>
          <w:color w:val="auto"/>
          <w:highlight w:val="none"/>
          <w:u w:val="single"/>
        </w:rPr>
        <w:t xml:space="preserve">  本月已完成工程的价款、累计已完成的工程价款、累计已支付的工程价款、应抵扣的工程预付款、增加和扣减的其他金额等   </w:t>
      </w:r>
      <w:r>
        <w:rPr>
          <w:rFonts w:hint="eastAsia" w:asciiTheme="minorEastAsia" w:hAnsiTheme="minorEastAsia" w:eastAsiaTheme="minorEastAsia" w:cstheme="minorEastAsia"/>
          <w:color w:val="auto"/>
          <w:highlight w:val="none"/>
        </w:rPr>
        <w:t>。</w:t>
      </w:r>
    </w:p>
    <w:p w14:paraId="0FB5501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（2）总价合同进度付款申请单提交的约定：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7A9CE94">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（3）其他价格形式合同进度付款申请单提交的约定：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E81EEA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12.4.4 进度款审核和支付</w:t>
      </w:r>
    </w:p>
    <w:p w14:paraId="7B94C5F6">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（1）监理人审查并报送发包人的期限：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Cs/>
          <w:color w:val="auto"/>
          <w:highlight w:val="none"/>
          <w:u w:val="single"/>
        </w:rPr>
        <w:t>5日内完成审查并报送发包人</w:t>
      </w:r>
      <w:r>
        <w:rPr>
          <w:rFonts w:hint="eastAsia" w:asciiTheme="minorEastAsia" w:hAnsiTheme="minorEastAsia" w:eastAsiaTheme="minorEastAsia" w:cstheme="minorEastAsia"/>
          <w:color w:val="auto"/>
          <w:highlight w:val="none"/>
        </w:rPr>
        <w:t>。</w:t>
      </w:r>
    </w:p>
    <w:p w14:paraId="3806B910">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发包人完成审批并签发进度款支付证书的期限：</w:t>
      </w:r>
      <w:r>
        <w:rPr>
          <w:rFonts w:hint="eastAsia" w:asciiTheme="minorEastAsia" w:hAnsiTheme="minorEastAsia" w:eastAsiaTheme="minorEastAsia" w:cstheme="minorEastAsia"/>
          <w:color w:val="auto"/>
          <w:highlight w:val="none"/>
          <w:u w:val="single"/>
        </w:rPr>
        <w:t xml:space="preserve"> 发包人应在收到之日起</w:t>
      </w:r>
      <w:r>
        <w:rPr>
          <w:rFonts w:hint="eastAsia" w:asciiTheme="minorEastAsia" w:hAnsiTheme="minorEastAsia" w:eastAsiaTheme="minorEastAsia" w:cstheme="minorEastAsia"/>
          <w:bCs/>
          <w:color w:val="auto"/>
          <w:highlight w:val="none"/>
          <w:u w:val="single"/>
        </w:rPr>
        <w:t>7日</w:t>
      </w:r>
      <w:r>
        <w:rPr>
          <w:rFonts w:hint="eastAsia" w:asciiTheme="minorEastAsia" w:hAnsiTheme="minorEastAsia" w:eastAsiaTheme="minorEastAsia" w:cstheme="minorEastAsia"/>
          <w:color w:val="auto"/>
          <w:highlight w:val="none"/>
          <w:u w:val="single"/>
        </w:rPr>
        <w:t xml:space="preserve">内完成审批并签发进度款支付证书 </w:t>
      </w:r>
      <w:r>
        <w:rPr>
          <w:rFonts w:hint="eastAsia" w:asciiTheme="minorEastAsia" w:hAnsiTheme="minorEastAsia" w:eastAsiaTheme="minorEastAsia" w:cstheme="minorEastAsia"/>
          <w:color w:val="auto"/>
          <w:highlight w:val="none"/>
        </w:rPr>
        <w:t>。</w:t>
      </w:r>
    </w:p>
    <w:p w14:paraId="3740DDF2">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（2）发包人支付进度款的期限：</w:t>
      </w:r>
      <w:r>
        <w:rPr>
          <w:rFonts w:hint="eastAsia" w:asciiTheme="minorEastAsia" w:hAnsiTheme="minorEastAsia" w:eastAsiaTheme="minorEastAsia" w:cstheme="minorEastAsia"/>
          <w:color w:val="auto"/>
          <w:highlight w:val="none"/>
          <w:u w:val="single"/>
        </w:rPr>
        <w:t xml:space="preserve"> 发包人应在进度款支付证书或临时进度款支付证书签发之日起14日内完成支付。</w:t>
      </w:r>
    </w:p>
    <w:p w14:paraId="25832BEA">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发包人逾期支付进度款的违约金的计算方式：</w:t>
      </w:r>
      <w:r>
        <w:rPr>
          <w:rFonts w:hint="eastAsia" w:asciiTheme="minorEastAsia" w:hAnsiTheme="minorEastAsia" w:eastAsiaTheme="minorEastAsia" w:cstheme="minorEastAsia"/>
          <w:color w:val="auto"/>
          <w:highlight w:val="none"/>
          <w:u w:val="single"/>
        </w:rPr>
        <w:t xml:space="preserve">本工程的所有工程均以银行转账方式汇入合同约定的承包人账户  </w:t>
      </w:r>
      <w:r>
        <w:rPr>
          <w:rFonts w:hint="eastAsia" w:asciiTheme="minorEastAsia" w:hAnsiTheme="minorEastAsia" w:eastAsiaTheme="minorEastAsia" w:cstheme="minorEastAsia"/>
          <w:color w:val="auto"/>
          <w:highlight w:val="none"/>
        </w:rPr>
        <w:t>。</w:t>
      </w:r>
    </w:p>
    <w:p w14:paraId="6A0E0A96">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进度款支付方式：</w:t>
      </w:r>
      <w:r>
        <w:rPr>
          <w:rFonts w:hint="eastAsia" w:asciiTheme="minorEastAsia" w:hAnsiTheme="minorEastAsia" w:eastAsiaTheme="minorEastAsia" w:cstheme="minorEastAsia"/>
          <w:color w:val="auto"/>
          <w:highlight w:val="none"/>
          <w:u w:val="single"/>
        </w:rPr>
        <w:t>银行转账</w:t>
      </w:r>
      <w:r>
        <w:rPr>
          <w:rFonts w:hint="eastAsia" w:asciiTheme="minorEastAsia" w:hAnsiTheme="minorEastAsia" w:eastAsiaTheme="minorEastAsia" w:cstheme="minorEastAsia"/>
          <w:color w:val="auto"/>
          <w:highlight w:val="none"/>
        </w:rPr>
        <w:t>。</w:t>
      </w:r>
    </w:p>
    <w:p w14:paraId="5CC147B1">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12.4.6 支付分解表的编制</w:t>
      </w:r>
    </w:p>
    <w:p w14:paraId="1BAC614A">
      <w:pPr>
        <w:spacing w:line="360" w:lineRule="auto"/>
        <w:ind w:firstLine="525" w:firstLineChars="25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 总价合同支付分解表的编制与审批：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EAFECBC">
      <w:pPr>
        <w:spacing w:line="360" w:lineRule="auto"/>
        <w:ind w:firstLine="525" w:firstLineChars="25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 单价合同的总价项目支付分解表的编制与审批：总价项目不采用支付分解表的方式计算，而按《建设工程工程量清单计价规范（GB50500-2013）广西壮族自治区实施细则》的规定执行。</w:t>
      </w:r>
    </w:p>
    <w:p w14:paraId="5DB89463">
      <w:pPr>
        <w:pStyle w:val="3"/>
        <w:rPr>
          <w:rFonts w:hint="eastAsia" w:asciiTheme="minorEastAsia" w:hAnsiTheme="minorEastAsia" w:eastAsiaTheme="minorEastAsia" w:cstheme="minorEastAsia"/>
          <w:color w:val="auto"/>
          <w:highlight w:val="none"/>
        </w:rPr>
      </w:pPr>
      <w:bookmarkStart w:id="482" w:name="_Toc465114913"/>
      <w:bookmarkStart w:id="483" w:name="_Toc509760057"/>
      <w:bookmarkStart w:id="484" w:name="_Toc511243605"/>
      <w:bookmarkStart w:id="485" w:name="_Toc511243379"/>
      <w:r>
        <w:rPr>
          <w:rFonts w:hint="eastAsia" w:asciiTheme="minorEastAsia" w:hAnsiTheme="minorEastAsia" w:eastAsiaTheme="minorEastAsia" w:cstheme="minorEastAsia"/>
          <w:color w:val="auto"/>
          <w:highlight w:val="none"/>
        </w:rPr>
        <w:t>13. 验收和工程试车</w:t>
      </w:r>
      <w:bookmarkEnd w:id="482"/>
      <w:bookmarkEnd w:id="483"/>
      <w:bookmarkEnd w:id="484"/>
      <w:bookmarkEnd w:id="485"/>
    </w:p>
    <w:p w14:paraId="14EB7074">
      <w:pPr>
        <w:pStyle w:val="4"/>
        <w:rPr>
          <w:rFonts w:hint="eastAsia" w:asciiTheme="minorEastAsia" w:hAnsiTheme="minorEastAsia" w:eastAsiaTheme="minorEastAsia" w:cstheme="minorEastAsia"/>
          <w:color w:val="auto"/>
          <w:highlight w:val="none"/>
        </w:rPr>
      </w:pPr>
      <w:bookmarkStart w:id="486" w:name="_Toc511243606"/>
      <w:bookmarkStart w:id="487" w:name="_Toc465114914"/>
      <w:bookmarkStart w:id="488" w:name="_Toc511243380"/>
      <w:bookmarkStart w:id="489" w:name="_Toc509760058"/>
      <w:r>
        <w:rPr>
          <w:rFonts w:hint="eastAsia" w:asciiTheme="minorEastAsia" w:hAnsiTheme="minorEastAsia" w:eastAsiaTheme="minorEastAsia" w:cstheme="minorEastAsia"/>
          <w:color w:val="auto"/>
          <w:highlight w:val="none"/>
        </w:rPr>
        <w:t>13.1 分部分项工程验收</w:t>
      </w:r>
      <w:bookmarkEnd w:id="486"/>
      <w:bookmarkEnd w:id="487"/>
      <w:bookmarkEnd w:id="488"/>
      <w:bookmarkEnd w:id="489"/>
    </w:p>
    <w:p w14:paraId="75160E5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13.1.2监理人不能按时进行验收时，应提前</w:t>
      </w:r>
      <w:r>
        <w:rPr>
          <w:rFonts w:hint="eastAsia" w:asciiTheme="minorEastAsia" w:hAnsiTheme="minorEastAsia" w:eastAsiaTheme="minorEastAsia" w:cstheme="minorEastAsia"/>
          <w:color w:val="auto"/>
          <w:highlight w:val="none"/>
          <w:u w:val="single"/>
        </w:rPr>
        <w:t xml:space="preserve">  48  </w:t>
      </w:r>
      <w:r>
        <w:rPr>
          <w:rFonts w:hint="eastAsia" w:asciiTheme="minorEastAsia" w:hAnsiTheme="minorEastAsia" w:eastAsiaTheme="minorEastAsia" w:cstheme="minorEastAsia"/>
          <w:color w:val="auto"/>
          <w:highlight w:val="none"/>
        </w:rPr>
        <w:t>小时提交书面延期要求。</w:t>
      </w:r>
    </w:p>
    <w:p w14:paraId="651F7975">
      <w:pPr>
        <w:spacing w:line="360" w:lineRule="auto"/>
        <w:ind w:firstLine="420" w:firstLineChars="200"/>
        <w:jc w:val="lef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关于延期最长不得超过：</w:t>
      </w:r>
      <w:r>
        <w:rPr>
          <w:rFonts w:hint="eastAsia" w:asciiTheme="minorEastAsia" w:hAnsiTheme="minorEastAsia" w:eastAsiaTheme="minorEastAsia" w:cstheme="minorEastAsia"/>
          <w:color w:val="auto"/>
          <w:highlight w:val="none"/>
          <w:u w:val="single"/>
        </w:rPr>
        <w:t xml:space="preserve"> 24  </w:t>
      </w:r>
      <w:r>
        <w:rPr>
          <w:rFonts w:hint="eastAsia" w:asciiTheme="minorEastAsia" w:hAnsiTheme="minorEastAsia" w:eastAsiaTheme="minorEastAsia" w:cstheme="minorEastAsia"/>
          <w:color w:val="auto"/>
          <w:highlight w:val="none"/>
        </w:rPr>
        <w:t>小时。</w:t>
      </w:r>
    </w:p>
    <w:p w14:paraId="439BD5A3">
      <w:pPr>
        <w:pStyle w:val="4"/>
        <w:rPr>
          <w:rFonts w:hint="eastAsia" w:asciiTheme="minorEastAsia" w:hAnsiTheme="minorEastAsia" w:eastAsiaTheme="minorEastAsia" w:cstheme="minorEastAsia"/>
          <w:color w:val="auto"/>
          <w:highlight w:val="none"/>
        </w:rPr>
      </w:pPr>
      <w:bookmarkStart w:id="490" w:name="_Toc511243607"/>
      <w:bookmarkStart w:id="491" w:name="_Toc511243381"/>
      <w:bookmarkStart w:id="492" w:name="_Toc465114915"/>
      <w:bookmarkStart w:id="493" w:name="_Toc509760059"/>
      <w:r>
        <w:rPr>
          <w:rFonts w:hint="eastAsia" w:asciiTheme="minorEastAsia" w:hAnsiTheme="minorEastAsia" w:eastAsiaTheme="minorEastAsia" w:cstheme="minorEastAsia"/>
          <w:color w:val="auto"/>
          <w:highlight w:val="none"/>
        </w:rPr>
        <w:t>13.2 竣工验收</w:t>
      </w:r>
      <w:bookmarkEnd w:id="490"/>
      <w:bookmarkEnd w:id="491"/>
      <w:bookmarkEnd w:id="492"/>
      <w:bookmarkEnd w:id="493"/>
    </w:p>
    <w:p w14:paraId="4960C73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13.2.1竣工验收条件</w:t>
      </w:r>
    </w:p>
    <w:p w14:paraId="6307F27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highlight w:val="none"/>
          <w:u w:val="single"/>
        </w:rPr>
        <w:t xml:space="preserve">  竣工图纸、竣工验收意见书、施工合同及补充协议、工程结算书、图纸会审纪录、设计修改通知单、签证单等  </w:t>
      </w:r>
      <w:r>
        <w:rPr>
          <w:rFonts w:hint="eastAsia" w:asciiTheme="minorEastAsia" w:hAnsiTheme="minorEastAsia" w:eastAsiaTheme="minorEastAsia" w:cstheme="minorEastAsia"/>
          <w:color w:val="auto"/>
          <w:highlight w:val="none"/>
        </w:rPr>
        <w:t>。</w:t>
      </w:r>
    </w:p>
    <w:p w14:paraId="38DB71A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竣工验收资料的份数：</w:t>
      </w:r>
      <w:r>
        <w:rPr>
          <w:rFonts w:hint="eastAsia" w:asciiTheme="minorEastAsia" w:hAnsiTheme="minorEastAsia" w:eastAsiaTheme="minorEastAsia" w:cstheme="minorEastAsia"/>
          <w:color w:val="auto"/>
          <w:highlight w:val="none"/>
          <w:u w:val="single"/>
        </w:rPr>
        <w:t xml:space="preserve">  一式叁份 </w:t>
      </w:r>
      <w:r>
        <w:rPr>
          <w:rFonts w:hint="eastAsia" w:asciiTheme="minorEastAsia" w:hAnsiTheme="minorEastAsia" w:eastAsiaTheme="minorEastAsia" w:cstheme="minorEastAsia"/>
          <w:color w:val="auto"/>
          <w:highlight w:val="none"/>
        </w:rPr>
        <w:t>。</w:t>
      </w:r>
    </w:p>
    <w:p w14:paraId="2E67F89E">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承包人提供竣工图的约定：</w:t>
      </w:r>
      <w:r>
        <w:rPr>
          <w:rFonts w:hint="eastAsia" w:asciiTheme="minorEastAsia" w:hAnsiTheme="minorEastAsia" w:eastAsiaTheme="minorEastAsia" w:cstheme="minorEastAsia"/>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p w14:paraId="1AF47018">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13.2.2竣工验收程序</w:t>
      </w:r>
    </w:p>
    <w:p w14:paraId="7C9A769E">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关于竣工验收程序的约定：</w:t>
      </w:r>
      <w:r>
        <w:rPr>
          <w:rFonts w:hint="eastAsia" w:asciiTheme="minorEastAsia" w:hAnsiTheme="minorEastAsia" w:eastAsiaTheme="minorEastAsia" w:cstheme="minorEastAsia"/>
          <w:color w:val="auto"/>
          <w:highlight w:val="none"/>
          <w:u w:val="single"/>
        </w:rPr>
        <w:t xml:space="preserve">   按国家有关验收规范执行   </w:t>
      </w:r>
      <w:r>
        <w:rPr>
          <w:rFonts w:hint="eastAsia" w:asciiTheme="minorEastAsia" w:hAnsiTheme="minorEastAsia" w:eastAsiaTheme="minorEastAsia" w:cstheme="minorEastAsia"/>
          <w:color w:val="auto"/>
          <w:highlight w:val="none"/>
        </w:rPr>
        <w:t>。</w:t>
      </w:r>
    </w:p>
    <w:p w14:paraId="5D655491">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C4BC01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13.2.5移交、接收全部与部分工程</w:t>
      </w:r>
    </w:p>
    <w:p w14:paraId="3209A24E">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承包人向发包人移交工程的期限：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48DAE49E">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发包人未按本合同约定接收全部或部分工程的，违约金的计算方法为：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06DCCD2">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承包人未按时移交工程的，违约金的计算方法为：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6CD9793D">
      <w:pPr>
        <w:pStyle w:val="4"/>
        <w:rPr>
          <w:rFonts w:hint="eastAsia" w:asciiTheme="minorEastAsia" w:hAnsiTheme="minorEastAsia" w:eastAsiaTheme="minorEastAsia" w:cstheme="minorEastAsia"/>
          <w:color w:val="auto"/>
          <w:highlight w:val="none"/>
        </w:rPr>
      </w:pPr>
      <w:bookmarkStart w:id="494" w:name="_Toc389065321"/>
      <w:bookmarkStart w:id="495" w:name="_Toc509760060"/>
      <w:bookmarkStart w:id="496" w:name="_Toc465114916"/>
      <w:bookmarkStart w:id="497" w:name="_Toc511243382"/>
      <w:bookmarkStart w:id="498" w:name="_Toc511243608"/>
      <w:bookmarkStart w:id="499" w:name="_Toc373478403"/>
      <w:bookmarkStart w:id="500" w:name="_Toc373227756"/>
      <w:r>
        <w:rPr>
          <w:rFonts w:hint="eastAsia" w:asciiTheme="minorEastAsia" w:hAnsiTheme="minorEastAsia" w:eastAsiaTheme="minorEastAsia" w:cstheme="minorEastAsia"/>
          <w:color w:val="auto"/>
          <w:highlight w:val="none"/>
        </w:rPr>
        <w:t>13.3 工程试车</w:t>
      </w:r>
      <w:bookmarkEnd w:id="494"/>
      <w:bookmarkEnd w:id="495"/>
      <w:bookmarkEnd w:id="496"/>
      <w:bookmarkEnd w:id="497"/>
      <w:bookmarkEnd w:id="498"/>
      <w:bookmarkEnd w:id="499"/>
      <w:bookmarkEnd w:id="500"/>
    </w:p>
    <w:p w14:paraId="578B0F3F">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13.3.1 试车程序</w:t>
      </w:r>
    </w:p>
    <w:p w14:paraId="74DEA8D8">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工程试车内容：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57F66343">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（1）单机无负荷试车费用由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highlight w:val="none"/>
        </w:rPr>
        <w:t>承担；</w:t>
      </w:r>
    </w:p>
    <w:p w14:paraId="21BE6B99">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（2）无负荷联动试车费用由</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highlight w:val="none"/>
        </w:rPr>
        <w:t>承担。</w:t>
      </w:r>
    </w:p>
    <w:p w14:paraId="09BD0EF6">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13.3.3 投料试车</w:t>
      </w:r>
    </w:p>
    <w:p w14:paraId="55336A01">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关于投料试车相关事项的约定：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2F70463">
      <w:pPr>
        <w:pStyle w:val="4"/>
        <w:rPr>
          <w:rFonts w:hint="eastAsia" w:asciiTheme="minorEastAsia" w:hAnsiTheme="minorEastAsia" w:eastAsiaTheme="minorEastAsia" w:cstheme="minorEastAsia"/>
          <w:color w:val="auto"/>
          <w:highlight w:val="none"/>
        </w:rPr>
      </w:pPr>
      <w:bookmarkStart w:id="501" w:name="_Toc511243383"/>
      <w:bookmarkStart w:id="502" w:name="_Toc509760061"/>
      <w:bookmarkStart w:id="503" w:name="_Toc511243609"/>
      <w:bookmarkStart w:id="504" w:name="_Toc465114917"/>
      <w:r>
        <w:rPr>
          <w:rFonts w:hint="eastAsia" w:asciiTheme="minorEastAsia" w:hAnsiTheme="minorEastAsia" w:eastAsiaTheme="minorEastAsia" w:cstheme="minorEastAsia"/>
          <w:color w:val="auto"/>
          <w:highlight w:val="none"/>
        </w:rPr>
        <w:t>13.6 竣工退场</w:t>
      </w:r>
      <w:bookmarkEnd w:id="501"/>
      <w:bookmarkEnd w:id="502"/>
      <w:bookmarkEnd w:id="503"/>
      <w:bookmarkEnd w:id="504"/>
    </w:p>
    <w:p w14:paraId="60F5D4EC">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13.6.1 竣工退场</w:t>
      </w:r>
    </w:p>
    <w:p w14:paraId="4AD69A49">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承包人完成竣工退场的期限：</w:t>
      </w:r>
      <w:r>
        <w:rPr>
          <w:rFonts w:hint="eastAsia" w:asciiTheme="minorEastAsia" w:hAnsiTheme="minorEastAsia" w:eastAsiaTheme="minorEastAsia" w:cstheme="minorEastAsia"/>
          <w:color w:val="auto"/>
          <w:highlight w:val="none"/>
          <w:u w:val="single"/>
        </w:rPr>
        <w:t xml:space="preserve">  监理人颁发(出具)工程接收证书后，承包人负责按照通用合同条款本项约定的要求对施工场地进行清理  </w:t>
      </w:r>
      <w:r>
        <w:rPr>
          <w:rFonts w:hint="eastAsia" w:asciiTheme="minorEastAsia" w:hAnsiTheme="minorEastAsia" w:eastAsiaTheme="minorEastAsia" w:cstheme="minorEastAsia"/>
          <w:color w:val="auto"/>
          <w:kern w:val="0"/>
          <w:highlight w:val="none"/>
        </w:rPr>
        <w:t>。</w:t>
      </w:r>
    </w:p>
    <w:p w14:paraId="3E62AF0D">
      <w:pPr>
        <w:pStyle w:val="3"/>
        <w:rPr>
          <w:rFonts w:hint="eastAsia" w:asciiTheme="minorEastAsia" w:hAnsiTheme="minorEastAsia" w:eastAsiaTheme="minorEastAsia" w:cstheme="minorEastAsia"/>
          <w:color w:val="auto"/>
          <w:highlight w:val="none"/>
        </w:rPr>
      </w:pPr>
      <w:bookmarkStart w:id="505" w:name="_Toc465114918"/>
      <w:bookmarkStart w:id="506" w:name="_Toc511243384"/>
      <w:bookmarkStart w:id="507" w:name="_Toc509760062"/>
      <w:bookmarkStart w:id="508" w:name="_Toc511243610"/>
      <w:r>
        <w:rPr>
          <w:rFonts w:hint="eastAsia" w:asciiTheme="minorEastAsia" w:hAnsiTheme="minorEastAsia" w:eastAsiaTheme="minorEastAsia" w:cstheme="minorEastAsia"/>
          <w:color w:val="auto"/>
          <w:highlight w:val="none"/>
        </w:rPr>
        <w:t>14. 竣工结算</w:t>
      </w:r>
      <w:bookmarkEnd w:id="505"/>
      <w:bookmarkEnd w:id="506"/>
      <w:bookmarkEnd w:id="507"/>
      <w:bookmarkEnd w:id="508"/>
    </w:p>
    <w:p w14:paraId="627C82D9">
      <w:pPr>
        <w:pStyle w:val="4"/>
        <w:rPr>
          <w:rFonts w:hint="eastAsia" w:asciiTheme="minorEastAsia" w:hAnsiTheme="minorEastAsia" w:eastAsiaTheme="minorEastAsia" w:cstheme="minorEastAsia"/>
          <w:color w:val="auto"/>
          <w:highlight w:val="none"/>
        </w:rPr>
      </w:pPr>
      <w:bookmarkStart w:id="509" w:name="_Toc509760063"/>
      <w:bookmarkStart w:id="510" w:name="_Toc465114919"/>
      <w:bookmarkStart w:id="511" w:name="_Toc511243611"/>
      <w:bookmarkStart w:id="512" w:name="_Toc511243385"/>
      <w:r>
        <w:rPr>
          <w:rFonts w:hint="eastAsia" w:asciiTheme="minorEastAsia" w:hAnsiTheme="minorEastAsia" w:eastAsiaTheme="minorEastAsia" w:cstheme="minorEastAsia"/>
          <w:color w:val="auto"/>
          <w:highlight w:val="none"/>
        </w:rPr>
        <w:t>14.1 竣工付款申请</w:t>
      </w:r>
      <w:bookmarkEnd w:id="509"/>
      <w:bookmarkEnd w:id="510"/>
      <w:bookmarkEnd w:id="511"/>
      <w:bookmarkEnd w:id="512"/>
    </w:p>
    <w:p w14:paraId="661D692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承包人提交竣工付款申请单的期限：</w:t>
      </w:r>
      <w:r>
        <w:rPr>
          <w:rFonts w:hint="eastAsia" w:asciiTheme="minorEastAsia" w:hAnsiTheme="minorEastAsia" w:eastAsiaTheme="minorEastAsia" w:cstheme="minorEastAsia"/>
          <w:bCs/>
          <w:color w:val="auto"/>
          <w:highlight w:val="none"/>
          <w:u w:val="single"/>
        </w:rPr>
        <w:t>工程竣工后28日内承包人提交工程结算书</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6637D1E2">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竣工付款申请单应包括的内容：</w:t>
      </w:r>
      <w:r>
        <w:rPr>
          <w:rFonts w:hint="eastAsia" w:asciiTheme="minorEastAsia" w:hAnsiTheme="minorEastAsia" w:eastAsiaTheme="minorEastAsia" w:cstheme="minorEastAsia"/>
          <w:bCs/>
          <w:color w:val="auto"/>
          <w:highlight w:val="none"/>
          <w:u w:val="single"/>
        </w:rPr>
        <w:t>合同、工程量计算书、结算书、签证单、竣工图等以及结算审核的其它资料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27F5072">
      <w:pPr>
        <w:pStyle w:val="4"/>
        <w:rPr>
          <w:rFonts w:hint="eastAsia" w:asciiTheme="minorEastAsia" w:hAnsiTheme="minorEastAsia" w:eastAsiaTheme="minorEastAsia" w:cstheme="minorEastAsia"/>
          <w:color w:val="auto"/>
          <w:highlight w:val="none"/>
        </w:rPr>
      </w:pPr>
      <w:bookmarkStart w:id="513" w:name="_Toc511243386"/>
      <w:bookmarkStart w:id="514" w:name="_Toc465114920"/>
      <w:bookmarkStart w:id="515" w:name="_Toc509760064"/>
      <w:bookmarkStart w:id="516" w:name="_Toc511243612"/>
      <w:r>
        <w:rPr>
          <w:rFonts w:hint="eastAsia" w:asciiTheme="minorEastAsia" w:hAnsiTheme="minorEastAsia" w:eastAsiaTheme="minorEastAsia" w:cstheme="minorEastAsia"/>
          <w:color w:val="auto"/>
          <w:highlight w:val="none"/>
        </w:rPr>
        <w:t>14.2 竣工结算审核</w:t>
      </w:r>
      <w:bookmarkEnd w:id="513"/>
      <w:bookmarkEnd w:id="514"/>
      <w:bookmarkEnd w:id="515"/>
      <w:bookmarkEnd w:id="516"/>
    </w:p>
    <w:p w14:paraId="31ABE64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发包人审批竣工付款申请单的期限：</w:t>
      </w:r>
    </w:p>
    <w:tbl>
      <w:tblPr>
        <w:tblStyle w:val="2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E78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65" w:type="dxa"/>
            <w:vAlign w:val="center"/>
          </w:tcPr>
          <w:p w14:paraId="25FB594E">
            <w:pPr>
              <w:spacing w:line="360" w:lineRule="auto"/>
              <w:rPr>
                <w:rFonts w:hint="eastAsia" w:asciiTheme="minorEastAsia" w:hAnsiTheme="minorEastAsia" w:eastAsiaTheme="minorEastAsia" w:cstheme="minorEastAsia"/>
                <w:bCs/>
                <w:color w:val="auto"/>
                <w:highlight w:val="none"/>
              </w:rPr>
            </w:pPr>
          </w:p>
        </w:tc>
        <w:tc>
          <w:tcPr>
            <w:tcW w:w="2466" w:type="dxa"/>
            <w:vAlign w:val="center"/>
          </w:tcPr>
          <w:p w14:paraId="77F40A7A">
            <w:pPr>
              <w:spacing w:line="360" w:lineRule="auto"/>
              <w:ind w:firstLine="27" w:firstLineChars="13"/>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工程竣工结算报告金额</w:t>
            </w:r>
          </w:p>
        </w:tc>
        <w:tc>
          <w:tcPr>
            <w:tcW w:w="5967" w:type="dxa"/>
            <w:vAlign w:val="center"/>
          </w:tcPr>
          <w:p w14:paraId="594C8323">
            <w:pPr>
              <w:spacing w:line="360" w:lineRule="auto"/>
              <w:ind w:firstLine="441" w:firstLineChars="21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发包人审查时间</w:t>
            </w:r>
          </w:p>
        </w:tc>
      </w:tr>
      <w:tr w14:paraId="75E9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65" w:type="dxa"/>
            <w:vAlign w:val="center"/>
          </w:tcPr>
          <w:p w14:paraId="678E4FCB">
            <w:pPr>
              <w:spacing w:line="360" w:lineRule="auto"/>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w:t>
            </w:r>
          </w:p>
        </w:tc>
        <w:tc>
          <w:tcPr>
            <w:tcW w:w="2466" w:type="dxa"/>
            <w:vAlign w:val="center"/>
          </w:tcPr>
          <w:p w14:paraId="2E409F5F">
            <w:pPr>
              <w:spacing w:line="360" w:lineRule="auto"/>
              <w:ind w:firstLine="27" w:firstLineChars="13"/>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500万元以下</w:t>
            </w:r>
          </w:p>
        </w:tc>
        <w:tc>
          <w:tcPr>
            <w:tcW w:w="5967" w:type="dxa"/>
            <w:vAlign w:val="center"/>
          </w:tcPr>
          <w:p w14:paraId="144CBCCA">
            <w:pPr>
              <w:spacing w:line="360" w:lineRule="auto"/>
              <w:ind w:firstLine="441" w:firstLineChars="21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从接到竣工结算报告和完整的竣工结算资料之日起20天</w:t>
            </w:r>
          </w:p>
        </w:tc>
      </w:tr>
      <w:tr w14:paraId="123B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65" w:type="dxa"/>
            <w:vAlign w:val="center"/>
          </w:tcPr>
          <w:p w14:paraId="2F34CCD0">
            <w:pPr>
              <w:spacing w:line="360" w:lineRule="auto"/>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w:t>
            </w:r>
          </w:p>
        </w:tc>
        <w:tc>
          <w:tcPr>
            <w:tcW w:w="2466" w:type="dxa"/>
            <w:vAlign w:val="center"/>
          </w:tcPr>
          <w:p w14:paraId="59452D5B">
            <w:pPr>
              <w:spacing w:line="360" w:lineRule="auto"/>
              <w:ind w:firstLine="27" w:firstLineChars="13"/>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500万元-2000万元</w:t>
            </w:r>
          </w:p>
        </w:tc>
        <w:tc>
          <w:tcPr>
            <w:tcW w:w="5967" w:type="dxa"/>
            <w:vAlign w:val="center"/>
          </w:tcPr>
          <w:p w14:paraId="664BDE0D">
            <w:pPr>
              <w:spacing w:line="360" w:lineRule="auto"/>
              <w:ind w:firstLine="441" w:firstLineChars="21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从接到竣工结算报告和完整的竣工结算资料之日起30天</w:t>
            </w:r>
          </w:p>
        </w:tc>
      </w:tr>
      <w:tr w14:paraId="6C79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65" w:type="dxa"/>
            <w:vAlign w:val="center"/>
          </w:tcPr>
          <w:p w14:paraId="653CD69A">
            <w:pPr>
              <w:spacing w:line="360" w:lineRule="auto"/>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w:t>
            </w:r>
          </w:p>
        </w:tc>
        <w:tc>
          <w:tcPr>
            <w:tcW w:w="2466" w:type="dxa"/>
            <w:vAlign w:val="center"/>
          </w:tcPr>
          <w:p w14:paraId="652321D6">
            <w:pPr>
              <w:spacing w:line="360" w:lineRule="auto"/>
              <w:ind w:firstLine="27" w:firstLineChars="13"/>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2000万元-5000万元</w:t>
            </w:r>
          </w:p>
        </w:tc>
        <w:tc>
          <w:tcPr>
            <w:tcW w:w="5967" w:type="dxa"/>
            <w:vAlign w:val="center"/>
          </w:tcPr>
          <w:p w14:paraId="5D6F222E">
            <w:pPr>
              <w:spacing w:line="360" w:lineRule="auto"/>
              <w:ind w:firstLine="441" w:firstLineChars="21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从接到竣工结算报告和完整的竣工结算资料之日起45天</w:t>
            </w:r>
          </w:p>
        </w:tc>
      </w:tr>
      <w:tr w14:paraId="510D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5" w:type="dxa"/>
            <w:vAlign w:val="center"/>
          </w:tcPr>
          <w:p w14:paraId="25D9F648">
            <w:pPr>
              <w:spacing w:line="360" w:lineRule="auto"/>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w:t>
            </w:r>
          </w:p>
        </w:tc>
        <w:tc>
          <w:tcPr>
            <w:tcW w:w="2466" w:type="dxa"/>
            <w:vAlign w:val="center"/>
          </w:tcPr>
          <w:p w14:paraId="7F347D13">
            <w:pPr>
              <w:spacing w:line="360" w:lineRule="auto"/>
              <w:ind w:firstLine="27" w:firstLineChars="13"/>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5000万元以上</w:t>
            </w:r>
          </w:p>
        </w:tc>
        <w:tc>
          <w:tcPr>
            <w:tcW w:w="5967" w:type="dxa"/>
            <w:vAlign w:val="center"/>
          </w:tcPr>
          <w:p w14:paraId="7C8C43F9">
            <w:pPr>
              <w:spacing w:line="360" w:lineRule="auto"/>
              <w:ind w:firstLine="441" w:firstLineChars="21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从接到竣工结算报告和完整的竣工结算资料之日起60天</w:t>
            </w:r>
          </w:p>
        </w:tc>
      </w:tr>
    </w:tbl>
    <w:p w14:paraId="35C7D4B1">
      <w:pPr>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因承包人提供的结算资料不完整而需要补充或承包人不按时对账耽误时间时，审查时间应相应顺延</w:t>
      </w:r>
      <w:r>
        <w:rPr>
          <w:rFonts w:hint="eastAsia" w:asciiTheme="minorEastAsia" w:hAnsiTheme="minorEastAsia" w:eastAsiaTheme="minorEastAsia" w:cstheme="minorEastAsia"/>
          <w:color w:val="auto"/>
          <w:highlight w:val="none"/>
        </w:rPr>
        <w:t>。</w:t>
      </w:r>
    </w:p>
    <w:p w14:paraId="60F62312">
      <w:pPr>
        <w:spacing w:line="400" w:lineRule="exact"/>
        <w:ind w:firstLine="411" w:firstLineChars="196"/>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结算审核约定：</w:t>
      </w:r>
    </w:p>
    <w:p w14:paraId="388F5C1B">
      <w:pPr>
        <w:spacing w:line="400" w:lineRule="exact"/>
        <w:ind w:firstLine="411" w:firstLineChars="196"/>
        <w:rPr>
          <w:rFonts w:hint="eastAsia"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bCs/>
          <w:color w:val="auto"/>
          <w:highlight w:val="none"/>
        </w:rPr>
        <w:t>非国有投资项目：</w:t>
      </w:r>
      <w:r>
        <w:rPr>
          <w:rFonts w:hint="eastAsia" w:asciiTheme="minorEastAsia" w:hAnsiTheme="minorEastAsia" w:eastAsiaTheme="minorEastAsia" w:cstheme="minorEastAsia"/>
          <w:bCs/>
          <w:color w:val="auto"/>
          <w:highlight w:val="none"/>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74163E69">
      <w:pPr>
        <w:spacing w:line="400" w:lineRule="exact"/>
        <w:ind w:firstLine="411" w:firstLineChars="196"/>
        <w:rPr>
          <w:rFonts w:hint="eastAsia"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bCs/>
          <w:color w:val="auto"/>
          <w:highlight w:val="none"/>
          <w:u w:val="single"/>
        </w:rPr>
        <w:t xml:space="preserve">国有投资项目：（双方结合各地政府或有关部门出台的管理规定进行约定）                  </w:t>
      </w:r>
    </w:p>
    <w:p w14:paraId="32441F1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发包人完成竣工付款的期限：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061937F">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关于竣工付款证书异议部分复核的方式和程序：</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EF0A5B8">
      <w:pPr>
        <w:pStyle w:val="4"/>
        <w:rPr>
          <w:rFonts w:hint="eastAsia" w:asciiTheme="minorEastAsia" w:hAnsiTheme="minorEastAsia" w:eastAsiaTheme="minorEastAsia" w:cstheme="minorEastAsia"/>
          <w:color w:val="auto"/>
          <w:highlight w:val="none"/>
        </w:rPr>
      </w:pPr>
      <w:bookmarkStart w:id="517" w:name="_Toc509760065"/>
      <w:bookmarkStart w:id="518" w:name="_Toc511243613"/>
      <w:bookmarkStart w:id="519" w:name="_Toc465114921"/>
      <w:bookmarkStart w:id="520" w:name="_Toc511243387"/>
      <w:r>
        <w:rPr>
          <w:rFonts w:hint="eastAsia" w:asciiTheme="minorEastAsia" w:hAnsiTheme="minorEastAsia" w:eastAsiaTheme="minorEastAsia" w:cstheme="minorEastAsia"/>
          <w:color w:val="auto"/>
          <w:highlight w:val="none"/>
        </w:rPr>
        <w:t>14.4 最终结清</w:t>
      </w:r>
      <w:bookmarkEnd w:id="517"/>
      <w:bookmarkEnd w:id="518"/>
      <w:bookmarkEnd w:id="519"/>
      <w:bookmarkEnd w:id="520"/>
    </w:p>
    <w:p w14:paraId="51243B54">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14.4.1 最终结清申请单</w:t>
      </w:r>
    </w:p>
    <w:p w14:paraId="3B50D740">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承包人提交最终结清申请单的份数：</w:t>
      </w:r>
      <w:r>
        <w:rPr>
          <w:rFonts w:hint="eastAsia" w:asciiTheme="minorEastAsia" w:hAnsiTheme="minorEastAsia" w:eastAsiaTheme="minorEastAsia" w:cstheme="minorEastAsia"/>
          <w:color w:val="auto"/>
          <w:highlight w:val="none"/>
          <w:u w:val="single"/>
        </w:rPr>
        <w:t xml:space="preserve"> 3份   </w:t>
      </w:r>
      <w:r>
        <w:rPr>
          <w:rFonts w:hint="eastAsia" w:asciiTheme="minorEastAsia" w:hAnsiTheme="minorEastAsia" w:eastAsiaTheme="minorEastAsia" w:cstheme="minorEastAsia"/>
          <w:color w:val="auto"/>
          <w:highlight w:val="none"/>
        </w:rPr>
        <w:t>。</w:t>
      </w:r>
    </w:p>
    <w:p w14:paraId="7164EB2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承包人提交最终结算申请单的期限：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4E2257C8">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14.4.2 最终结清证书和支付</w:t>
      </w:r>
    </w:p>
    <w:p w14:paraId="223235AC">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（1）发包人完成最终结清申请单的审批并颁发最终结清证书的期限：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9B6283F">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（2）发包人完成支付的期限：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DD12EF0">
      <w:pPr>
        <w:pStyle w:val="3"/>
        <w:rPr>
          <w:rFonts w:hint="eastAsia" w:asciiTheme="minorEastAsia" w:hAnsiTheme="minorEastAsia" w:eastAsiaTheme="minorEastAsia" w:cstheme="minorEastAsia"/>
          <w:color w:val="auto"/>
          <w:highlight w:val="none"/>
        </w:rPr>
      </w:pPr>
      <w:bookmarkStart w:id="521" w:name="_Toc511243614"/>
      <w:bookmarkStart w:id="522" w:name="_Toc509760066"/>
      <w:bookmarkStart w:id="523" w:name="_Toc465114922"/>
      <w:bookmarkStart w:id="524" w:name="_Toc511243388"/>
      <w:r>
        <w:rPr>
          <w:rFonts w:hint="eastAsia" w:asciiTheme="minorEastAsia" w:hAnsiTheme="minorEastAsia" w:eastAsiaTheme="minorEastAsia" w:cstheme="minorEastAsia"/>
          <w:color w:val="auto"/>
          <w:highlight w:val="none"/>
        </w:rPr>
        <w:t>15. 缺陷责任期与保修</w:t>
      </w:r>
      <w:bookmarkEnd w:id="521"/>
      <w:bookmarkEnd w:id="522"/>
      <w:bookmarkEnd w:id="523"/>
      <w:bookmarkEnd w:id="524"/>
    </w:p>
    <w:p w14:paraId="46E3915B">
      <w:pPr>
        <w:pStyle w:val="4"/>
        <w:rPr>
          <w:rFonts w:hint="eastAsia" w:asciiTheme="minorEastAsia" w:hAnsiTheme="minorEastAsia" w:eastAsiaTheme="minorEastAsia" w:cstheme="minorEastAsia"/>
          <w:color w:val="auto"/>
          <w:highlight w:val="none"/>
        </w:rPr>
      </w:pPr>
      <w:bookmarkStart w:id="525" w:name="_Toc511243389"/>
      <w:bookmarkStart w:id="526" w:name="_Toc509760067"/>
      <w:bookmarkStart w:id="527" w:name="_Toc465114923"/>
      <w:bookmarkStart w:id="528" w:name="_Toc511243615"/>
      <w:r>
        <w:rPr>
          <w:rFonts w:hint="eastAsia" w:asciiTheme="minorEastAsia" w:hAnsiTheme="minorEastAsia" w:eastAsiaTheme="minorEastAsia" w:cstheme="minorEastAsia"/>
          <w:color w:val="auto"/>
          <w:highlight w:val="none"/>
        </w:rPr>
        <w:t>15.2 缺陷责任期</w:t>
      </w:r>
      <w:bookmarkEnd w:id="525"/>
      <w:bookmarkEnd w:id="526"/>
      <w:bookmarkEnd w:id="527"/>
      <w:bookmarkEnd w:id="528"/>
    </w:p>
    <w:p w14:paraId="46FF2895">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缺陷责任期的具体期限：</w:t>
      </w:r>
      <w:r>
        <w:rPr>
          <w:rFonts w:hint="eastAsia" w:asciiTheme="minorEastAsia" w:hAnsiTheme="minorEastAsia" w:eastAsiaTheme="minorEastAsia" w:cstheme="minorEastAsia"/>
          <w:color w:val="auto"/>
          <w:highlight w:val="none"/>
          <w:u w:val="single"/>
        </w:rPr>
        <w:t xml:space="preserve">  12个月   </w:t>
      </w:r>
      <w:r>
        <w:rPr>
          <w:rFonts w:hint="eastAsia" w:asciiTheme="minorEastAsia" w:hAnsiTheme="minorEastAsia" w:eastAsiaTheme="minorEastAsia" w:cstheme="minorEastAsia"/>
          <w:color w:val="auto"/>
          <w:highlight w:val="none"/>
        </w:rPr>
        <w:t>。</w:t>
      </w:r>
    </w:p>
    <w:p w14:paraId="62FF5871">
      <w:pPr>
        <w:pStyle w:val="4"/>
        <w:rPr>
          <w:rFonts w:hint="eastAsia" w:asciiTheme="minorEastAsia" w:hAnsiTheme="minorEastAsia" w:eastAsiaTheme="minorEastAsia" w:cstheme="minorEastAsia"/>
          <w:color w:val="auto"/>
          <w:highlight w:val="none"/>
        </w:rPr>
      </w:pPr>
      <w:bookmarkStart w:id="529" w:name="_Toc511243390"/>
      <w:bookmarkStart w:id="530" w:name="_Toc511243616"/>
      <w:bookmarkStart w:id="531" w:name="_Toc509760068"/>
      <w:bookmarkStart w:id="532" w:name="_Toc465114924"/>
      <w:r>
        <w:rPr>
          <w:rFonts w:hint="eastAsia" w:asciiTheme="minorEastAsia" w:hAnsiTheme="minorEastAsia" w:eastAsiaTheme="minorEastAsia" w:cstheme="minorEastAsia"/>
          <w:color w:val="auto"/>
          <w:highlight w:val="none"/>
        </w:rPr>
        <w:t>15.3 质量保证金</w:t>
      </w:r>
      <w:bookmarkEnd w:id="529"/>
      <w:bookmarkEnd w:id="530"/>
      <w:bookmarkEnd w:id="531"/>
      <w:bookmarkEnd w:id="532"/>
    </w:p>
    <w:p w14:paraId="1C20A21A">
      <w:pPr>
        <w:spacing w:line="360" w:lineRule="auto"/>
        <w:ind w:firstLine="420" w:firstLineChars="200"/>
        <w:jc w:val="left"/>
        <w:rPr>
          <w:rFonts w:hint="eastAsia"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color w:val="FF0000"/>
          <w:highlight w:val="none"/>
        </w:rPr>
        <w:t>关于是否扣留质量保证金的约定：</w:t>
      </w:r>
      <w:r>
        <w:rPr>
          <w:rFonts w:hint="eastAsia" w:asciiTheme="minorEastAsia" w:hAnsiTheme="minorEastAsia" w:eastAsiaTheme="minorEastAsia" w:cstheme="minorEastAsia"/>
          <w:color w:val="FF0000"/>
          <w:highlight w:val="none"/>
          <w:u w:val="single"/>
        </w:rPr>
        <w:t xml:space="preserve"> 承包人</w:t>
      </w:r>
      <w:r>
        <w:rPr>
          <w:rFonts w:hint="eastAsia" w:asciiTheme="minorEastAsia" w:hAnsiTheme="minorEastAsia" w:eastAsiaTheme="minorEastAsia" w:cstheme="minorEastAsia"/>
          <w:color w:val="FF0000"/>
          <w:highlight w:val="none"/>
          <w:u w:val="single"/>
          <w:lang w:val="en-US" w:eastAsia="zh-CN"/>
        </w:rPr>
        <w:t>预留</w:t>
      </w:r>
      <w:r>
        <w:rPr>
          <w:rFonts w:hint="eastAsia" w:asciiTheme="minorEastAsia" w:hAnsiTheme="minorEastAsia" w:eastAsiaTheme="minorEastAsia" w:cstheme="minorEastAsia"/>
          <w:color w:val="FF0000"/>
          <w:highlight w:val="none"/>
          <w:u w:val="single"/>
        </w:rPr>
        <w:t xml:space="preserve">质量保证金   </w:t>
      </w:r>
      <w:r>
        <w:rPr>
          <w:rFonts w:hint="eastAsia" w:asciiTheme="minorEastAsia" w:hAnsiTheme="minorEastAsia" w:eastAsiaTheme="minorEastAsia" w:cstheme="minorEastAsia"/>
          <w:color w:val="FF0000"/>
          <w:highlight w:val="none"/>
        </w:rPr>
        <w:t>。</w:t>
      </w:r>
    </w:p>
    <w:p w14:paraId="7657B66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15.3.1 承包人提供质量保证金的方式</w:t>
      </w:r>
    </w:p>
    <w:p w14:paraId="275979D1">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质量保证金采用以下第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w:t>
      </w:r>
    </w:p>
    <w:p w14:paraId="1FB99D9A">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（1）质量保证金保函，保证金额为：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0D3E7DDF">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FF0000"/>
          <w:kern w:val="0"/>
          <w:highlight w:val="none"/>
        </w:rPr>
      </w:pPr>
      <w:r>
        <w:rPr>
          <w:rFonts w:hint="eastAsia" w:asciiTheme="minorEastAsia" w:hAnsiTheme="minorEastAsia" w:eastAsiaTheme="minorEastAsia" w:cstheme="minorEastAsia"/>
          <w:color w:val="FF0000"/>
          <w:kern w:val="0"/>
          <w:highlight w:val="none"/>
        </w:rPr>
        <w:t>（2）</w:t>
      </w:r>
      <w:r>
        <w:rPr>
          <w:rFonts w:hint="eastAsia" w:asciiTheme="minorEastAsia" w:hAnsiTheme="minorEastAsia" w:eastAsiaTheme="minorEastAsia" w:cstheme="minorEastAsia"/>
          <w:bCs/>
          <w:color w:val="FF0000"/>
          <w:highlight w:val="none"/>
        </w:rPr>
        <w:t>发包人按工程价款结算总额的</w:t>
      </w:r>
      <w:r>
        <w:rPr>
          <w:rFonts w:hint="eastAsia" w:asciiTheme="minorEastAsia" w:hAnsiTheme="minorEastAsia" w:eastAsiaTheme="minorEastAsia" w:cstheme="minorEastAsia"/>
          <w:bCs/>
          <w:color w:val="FF0000"/>
          <w:highlight w:val="none"/>
          <w:u w:val="single"/>
        </w:rPr>
        <w:t xml:space="preserve"> 3  </w:t>
      </w:r>
      <w:r>
        <w:rPr>
          <w:rFonts w:hint="eastAsia" w:asciiTheme="minorEastAsia" w:hAnsiTheme="minorEastAsia" w:eastAsiaTheme="minorEastAsia" w:cstheme="minorEastAsia"/>
          <w:bCs/>
          <w:color w:val="FF0000"/>
          <w:highlight w:val="none"/>
        </w:rPr>
        <w:t>%预留工程质量保修金，待缺陷责任期满后返还</w:t>
      </w:r>
      <w:r>
        <w:rPr>
          <w:rFonts w:hint="eastAsia" w:asciiTheme="minorEastAsia" w:hAnsiTheme="minorEastAsia" w:eastAsiaTheme="minorEastAsia" w:cstheme="minorEastAsia"/>
          <w:color w:val="FF0000"/>
          <w:kern w:val="0"/>
          <w:highlight w:val="none"/>
        </w:rPr>
        <w:t>；</w:t>
      </w:r>
    </w:p>
    <w:p w14:paraId="09F724AE">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（3）其他方式：</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w:t>
      </w:r>
    </w:p>
    <w:p w14:paraId="6D971EC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15.3.2 质量保证金的扣留</w:t>
      </w:r>
    </w:p>
    <w:p w14:paraId="6C8B6402">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质量保证金的扣留采取以下第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w:t>
      </w:r>
    </w:p>
    <w:p w14:paraId="131D170D">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（1）在支付工程进度款时逐次扣留，在此情形下，质量保证金的计算基数不包括预付款的支付、扣回以及价格调整的金额；</w:t>
      </w:r>
    </w:p>
    <w:p w14:paraId="5CD8969C">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（2）工程竣工结算时一次性扣留质量保证金；</w:t>
      </w:r>
    </w:p>
    <w:p w14:paraId="1080C355">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（3）其他扣留方式:</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2DF07C2F">
      <w:pPr>
        <w:spacing w:line="360" w:lineRule="auto"/>
        <w:ind w:firstLine="42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highlight w:val="none"/>
        </w:rPr>
        <w:t>关于质量保证金的补充约定：</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158F01E7">
      <w:pPr>
        <w:pStyle w:val="4"/>
        <w:rPr>
          <w:rFonts w:hint="eastAsia" w:asciiTheme="minorEastAsia" w:hAnsiTheme="minorEastAsia" w:eastAsiaTheme="minorEastAsia" w:cstheme="minorEastAsia"/>
          <w:color w:val="auto"/>
          <w:highlight w:val="none"/>
        </w:rPr>
      </w:pPr>
      <w:bookmarkStart w:id="533" w:name="_Toc509760069"/>
      <w:bookmarkStart w:id="534" w:name="_Toc511243617"/>
      <w:bookmarkStart w:id="535" w:name="_Toc511243391"/>
      <w:bookmarkStart w:id="536" w:name="_Toc465114925"/>
      <w:r>
        <w:rPr>
          <w:rFonts w:hint="eastAsia" w:asciiTheme="minorEastAsia" w:hAnsiTheme="minorEastAsia" w:eastAsiaTheme="minorEastAsia" w:cstheme="minorEastAsia"/>
          <w:color w:val="auto"/>
          <w:highlight w:val="none"/>
        </w:rPr>
        <w:t>15.4 保修</w:t>
      </w:r>
      <w:bookmarkEnd w:id="533"/>
      <w:bookmarkEnd w:id="534"/>
      <w:bookmarkEnd w:id="535"/>
      <w:bookmarkEnd w:id="536"/>
    </w:p>
    <w:p w14:paraId="6464A07E">
      <w:pPr>
        <w:spacing w:line="360" w:lineRule="auto"/>
        <w:ind w:firstLine="409" w:firstLineChars="19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15.4.1 保修责任</w:t>
      </w:r>
    </w:p>
    <w:p w14:paraId="22716FFB">
      <w:pPr>
        <w:spacing w:line="360" w:lineRule="auto"/>
        <w:ind w:firstLine="409" w:firstLineChars="195"/>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工程保修期为：</w:t>
      </w:r>
      <w:r>
        <w:rPr>
          <w:rFonts w:hint="eastAsia" w:asciiTheme="minorEastAsia" w:hAnsiTheme="minorEastAsia" w:eastAsiaTheme="minorEastAsia" w:cstheme="minorEastAsia"/>
          <w:color w:val="auto"/>
          <w:kern w:val="0"/>
          <w:highlight w:val="none"/>
          <w:u w:val="single"/>
        </w:rPr>
        <w:t xml:space="preserve">按工程保修书约定  </w:t>
      </w:r>
      <w:r>
        <w:rPr>
          <w:rFonts w:hint="eastAsia" w:asciiTheme="minorEastAsia" w:hAnsiTheme="minorEastAsia" w:eastAsiaTheme="minorEastAsia" w:cstheme="minorEastAsia"/>
          <w:color w:val="auto"/>
          <w:kern w:val="0"/>
          <w:highlight w:val="none"/>
        </w:rPr>
        <w:t>。</w:t>
      </w:r>
    </w:p>
    <w:p w14:paraId="19E7D294">
      <w:pPr>
        <w:spacing w:line="360" w:lineRule="auto"/>
        <w:ind w:firstLine="409" w:firstLineChars="195"/>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highlight w:val="none"/>
        </w:rPr>
        <w:t>工程保修书具体内容见合同附件8。</w:t>
      </w:r>
    </w:p>
    <w:p w14:paraId="3DF86345">
      <w:pPr>
        <w:spacing w:line="360" w:lineRule="auto"/>
        <w:ind w:firstLine="409" w:firstLineChars="19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15.4.3 修复通知</w:t>
      </w:r>
    </w:p>
    <w:p w14:paraId="26B55242">
      <w:pPr>
        <w:spacing w:line="360" w:lineRule="auto"/>
        <w:ind w:firstLine="409" w:firstLineChars="195"/>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承包人收到保修通知并到达工程现场的合理时间：</w:t>
      </w:r>
      <w:r>
        <w:rPr>
          <w:rFonts w:hint="eastAsia" w:asciiTheme="minorEastAsia" w:hAnsiTheme="minorEastAsia" w:eastAsiaTheme="minorEastAsia" w:cstheme="minorEastAsia"/>
          <w:color w:val="auto"/>
          <w:kern w:val="0"/>
          <w:highlight w:val="none"/>
          <w:u w:val="single"/>
        </w:rPr>
        <w:t xml:space="preserve">48小时内  </w:t>
      </w:r>
      <w:r>
        <w:rPr>
          <w:rFonts w:hint="eastAsia" w:asciiTheme="minorEastAsia" w:hAnsiTheme="minorEastAsia" w:eastAsiaTheme="minorEastAsia" w:cstheme="minorEastAsia"/>
          <w:color w:val="auto"/>
          <w:kern w:val="0"/>
          <w:highlight w:val="none"/>
        </w:rPr>
        <w:t>。</w:t>
      </w:r>
    </w:p>
    <w:p w14:paraId="4FFBC842">
      <w:pPr>
        <w:pStyle w:val="3"/>
        <w:rPr>
          <w:rFonts w:hint="eastAsia" w:asciiTheme="minorEastAsia" w:hAnsiTheme="minorEastAsia" w:eastAsiaTheme="minorEastAsia" w:cstheme="minorEastAsia"/>
          <w:color w:val="auto"/>
          <w:highlight w:val="none"/>
        </w:rPr>
      </w:pPr>
      <w:bookmarkStart w:id="537" w:name="_Toc509760070"/>
      <w:bookmarkStart w:id="538" w:name="_Toc511243392"/>
      <w:bookmarkStart w:id="539" w:name="_Toc465114926"/>
      <w:bookmarkStart w:id="540" w:name="_Toc511243618"/>
      <w:r>
        <w:rPr>
          <w:rFonts w:hint="eastAsia" w:asciiTheme="minorEastAsia" w:hAnsiTheme="minorEastAsia" w:eastAsiaTheme="minorEastAsia" w:cstheme="minorEastAsia"/>
          <w:color w:val="auto"/>
          <w:highlight w:val="none"/>
        </w:rPr>
        <w:t>16. 违约</w:t>
      </w:r>
      <w:bookmarkEnd w:id="537"/>
      <w:bookmarkEnd w:id="538"/>
      <w:bookmarkEnd w:id="539"/>
      <w:bookmarkEnd w:id="540"/>
    </w:p>
    <w:p w14:paraId="7B451B7F">
      <w:pPr>
        <w:pStyle w:val="4"/>
        <w:rPr>
          <w:rFonts w:hint="eastAsia" w:asciiTheme="minorEastAsia" w:hAnsiTheme="minorEastAsia" w:eastAsiaTheme="minorEastAsia" w:cstheme="minorEastAsia"/>
          <w:color w:val="auto"/>
          <w:highlight w:val="none"/>
        </w:rPr>
      </w:pPr>
      <w:bookmarkStart w:id="541" w:name="_Toc465114927"/>
      <w:bookmarkStart w:id="542" w:name="_Toc511243619"/>
      <w:bookmarkStart w:id="543" w:name="_Toc509760071"/>
      <w:bookmarkStart w:id="544" w:name="_Toc511243393"/>
      <w:r>
        <w:rPr>
          <w:rFonts w:hint="eastAsia" w:asciiTheme="minorEastAsia" w:hAnsiTheme="minorEastAsia" w:eastAsiaTheme="minorEastAsia" w:cstheme="minorEastAsia"/>
          <w:color w:val="auto"/>
          <w:highlight w:val="none"/>
        </w:rPr>
        <w:t>16.1 发包人违约</w:t>
      </w:r>
      <w:bookmarkEnd w:id="541"/>
      <w:bookmarkEnd w:id="542"/>
      <w:bookmarkEnd w:id="543"/>
      <w:bookmarkEnd w:id="544"/>
    </w:p>
    <w:p w14:paraId="15ABCFE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16.1.1发包人违约的情形</w:t>
      </w:r>
    </w:p>
    <w:p w14:paraId="25F96C5A">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发包人违约的其他情形：</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5A79F961">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16.1.2 发包人违约的责任</w:t>
      </w:r>
    </w:p>
    <w:p w14:paraId="1C1B6329">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发包人违约责任的承担方式和计算方法：</w:t>
      </w:r>
    </w:p>
    <w:p w14:paraId="63BEE2FD">
      <w:pPr>
        <w:spacing w:line="360" w:lineRule="auto"/>
        <w:ind w:firstLine="42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（1）因发包人原因未能在计划开工日期前7天内下达开工通知的违约责任：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0A913B26">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（2）因发包人原因未能按合同约定支付合同价款的违约责任：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64A0933E">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396D903F">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7CA15D13">
      <w:pPr>
        <w:spacing w:line="360" w:lineRule="auto"/>
        <w:ind w:firstLine="42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（5）因发包人违反合同约定造成暂停施工的违约责任：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305AA734">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13A3C4DA">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（7）其他：</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72FBFB31">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16.1.3 因发包人违约解除合同</w:t>
      </w:r>
    </w:p>
    <w:p w14:paraId="0DD7B589">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承包人按16.1.1项〔发包人违约的情形〕约定暂停施工满</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天后发包人仍不纠正其违约行为并致使合同目的不能实现的，承包人有权解除合同。</w:t>
      </w:r>
    </w:p>
    <w:p w14:paraId="18962CB6">
      <w:pPr>
        <w:pStyle w:val="4"/>
        <w:rPr>
          <w:rFonts w:hint="eastAsia" w:asciiTheme="minorEastAsia" w:hAnsiTheme="minorEastAsia" w:eastAsiaTheme="minorEastAsia" w:cstheme="minorEastAsia"/>
          <w:color w:val="auto"/>
          <w:highlight w:val="none"/>
        </w:rPr>
      </w:pPr>
      <w:bookmarkStart w:id="545" w:name="_Toc511243394"/>
      <w:bookmarkStart w:id="546" w:name="_Toc509760072"/>
      <w:bookmarkStart w:id="547" w:name="_Toc465114928"/>
      <w:bookmarkStart w:id="548" w:name="_Toc511243620"/>
      <w:r>
        <w:rPr>
          <w:rFonts w:hint="eastAsia" w:asciiTheme="minorEastAsia" w:hAnsiTheme="minorEastAsia" w:eastAsiaTheme="minorEastAsia" w:cstheme="minorEastAsia"/>
          <w:color w:val="auto"/>
          <w:highlight w:val="none"/>
        </w:rPr>
        <w:t>16.2 承包人违约</w:t>
      </w:r>
      <w:bookmarkEnd w:id="545"/>
      <w:bookmarkEnd w:id="546"/>
      <w:bookmarkEnd w:id="547"/>
      <w:bookmarkEnd w:id="548"/>
    </w:p>
    <w:p w14:paraId="6BBCDCDE">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16.2.1 承包人违约的情形</w:t>
      </w:r>
    </w:p>
    <w:p w14:paraId="38D23DC0">
      <w:pPr>
        <w:spacing w:line="360" w:lineRule="auto"/>
        <w:ind w:firstLine="42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承包人违约的其他情形：</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07E46C64">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16.2.2承包人违约的责任</w:t>
      </w:r>
    </w:p>
    <w:p w14:paraId="7B2D769B">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承包人违约责任的承担方式和计算方法：</w:t>
      </w:r>
    </w:p>
    <w:p w14:paraId="777828EF">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3C391379">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（2）承包人有本合同通用条款第16.2.1（6）条情形的，或经监理人检验认为修复质量不合格而承包人拒绝再进行修补的，发包人将扣除承包人全部质量保修金。</w:t>
      </w:r>
    </w:p>
    <w:p w14:paraId="00FA5538">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107C2E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16.2.3 因承包人违约解除合同</w:t>
      </w:r>
    </w:p>
    <w:p w14:paraId="46AE23FF">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关于承包人违约解除合同的特别约定：</w:t>
      </w:r>
      <w:r>
        <w:rPr>
          <w:rFonts w:hint="eastAsia" w:asciiTheme="minorEastAsia" w:hAnsiTheme="minorEastAsia" w:eastAsiaTheme="minorEastAsia" w:cstheme="minorEastAsia"/>
          <w:color w:val="auto"/>
          <w:kern w:val="0"/>
          <w:highlight w:val="none"/>
          <w:u w:val="single"/>
        </w:rPr>
        <w:t>承包人有违反以下情况之一的，发包人有权解除合同，并没收其全部履约保证金</w:t>
      </w:r>
      <w:r>
        <w:rPr>
          <w:rFonts w:hint="eastAsia" w:asciiTheme="minorEastAsia" w:hAnsiTheme="minorEastAsia" w:eastAsiaTheme="minorEastAsia" w:cstheme="minorEastAsia"/>
          <w:color w:val="auto"/>
          <w:kern w:val="0"/>
          <w:highlight w:val="none"/>
        </w:rPr>
        <w:t>。</w:t>
      </w:r>
    </w:p>
    <w:p w14:paraId="550F49C9">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(1)承包人无正当理由不按开工通知的要求及时进场组织施工和不按签订协议书时商定的进度计划有效地开展施工准备，造成工期延误的；</w:t>
      </w:r>
    </w:p>
    <w:p w14:paraId="7525EDAE">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(2)承包人违反本合同通用条款第3.5条规定私自将合同或合同的任何部分或任何权利转让给其他人，或私自将工程或工程的一部分分包出去的；</w:t>
      </w:r>
    </w:p>
    <w:p w14:paraId="61B69497">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(3)未经监理人批准，承包人私自将已按投标文件承诺进入工地的工程设备、施工设备、临时工程或材料撤离工地的；</w:t>
      </w:r>
    </w:p>
    <w:p w14:paraId="1E675343">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(4)由于承包人原因拒绝按合同进度计划及时完成合同规定的工程，而又未采取有效措施赶上进度，造成工期严重延误的；</w:t>
      </w:r>
    </w:p>
    <w:p w14:paraId="32E54BF4">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(5)承包人否认合同有效或拒绝履行合同规定的承包人义务，或由于法律、财务等原因导致承包人无法继续履行或实质上已停止履行合同的义务的；</w:t>
      </w:r>
    </w:p>
    <w:p w14:paraId="24CDE331">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(6)合同签订之日起十五日内，承包人无法按合同规定及投标文件的承诺进场经监理工程师认可的全部人员和机械的。</w:t>
      </w:r>
    </w:p>
    <w:p w14:paraId="5271975A">
      <w:pPr>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5F3E46AB">
      <w:pPr>
        <w:pStyle w:val="3"/>
        <w:rPr>
          <w:rFonts w:hint="eastAsia" w:asciiTheme="minorEastAsia" w:hAnsiTheme="minorEastAsia" w:eastAsiaTheme="minorEastAsia" w:cstheme="minorEastAsia"/>
          <w:color w:val="auto"/>
          <w:highlight w:val="none"/>
        </w:rPr>
      </w:pPr>
      <w:bookmarkStart w:id="549" w:name="_Toc511243395"/>
      <w:bookmarkStart w:id="550" w:name="_Toc511243621"/>
      <w:bookmarkStart w:id="551" w:name="_Toc465114929"/>
      <w:bookmarkStart w:id="552" w:name="_Toc509760073"/>
      <w:r>
        <w:rPr>
          <w:rFonts w:hint="eastAsia" w:asciiTheme="minorEastAsia" w:hAnsiTheme="minorEastAsia" w:eastAsiaTheme="minorEastAsia" w:cstheme="minorEastAsia"/>
          <w:color w:val="auto"/>
          <w:highlight w:val="none"/>
        </w:rPr>
        <w:t>17. 不可抗力</w:t>
      </w:r>
      <w:bookmarkEnd w:id="549"/>
      <w:bookmarkEnd w:id="550"/>
      <w:bookmarkEnd w:id="551"/>
      <w:bookmarkEnd w:id="552"/>
      <w:r>
        <w:rPr>
          <w:rFonts w:hint="eastAsia" w:asciiTheme="minorEastAsia" w:hAnsiTheme="minorEastAsia" w:eastAsiaTheme="minorEastAsia" w:cstheme="minorEastAsia"/>
          <w:color w:val="auto"/>
          <w:highlight w:val="none"/>
        </w:rPr>
        <w:t xml:space="preserve"> </w:t>
      </w:r>
    </w:p>
    <w:p w14:paraId="40ECAF4B">
      <w:pPr>
        <w:pStyle w:val="4"/>
        <w:rPr>
          <w:rFonts w:hint="eastAsia" w:asciiTheme="minorEastAsia" w:hAnsiTheme="minorEastAsia" w:eastAsiaTheme="minorEastAsia" w:cstheme="minorEastAsia"/>
          <w:color w:val="auto"/>
          <w:highlight w:val="none"/>
        </w:rPr>
      </w:pPr>
      <w:bookmarkStart w:id="553" w:name="_Toc511243396"/>
      <w:bookmarkStart w:id="554" w:name="_Toc511243622"/>
      <w:bookmarkStart w:id="555" w:name="_Toc465114930"/>
      <w:bookmarkStart w:id="556" w:name="_Toc509760074"/>
      <w:r>
        <w:rPr>
          <w:rFonts w:hint="eastAsia" w:asciiTheme="minorEastAsia" w:hAnsiTheme="minorEastAsia" w:eastAsiaTheme="minorEastAsia" w:cstheme="minorEastAsia"/>
          <w:color w:val="auto"/>
          <w:highlight w:val="none"/>
        </w:rPr>
        <w:t>17.1 不可抗力的确认</w:t>
      </w:r>
      <w:bookmarkEnd w:id="553"/>
      <w:bookmarkEnd w:id="554"/>
      <w:bookmarkEnd w:id="555"/>
      <w:bookmarkEnd w:id="556"/>
    </w:p>
    <w:p w14:paraId="6FA68491">
      <w:pPr>
        <w:spacing w:line="360" w:lineRule="auto"/>
        <w:ind w:firstLine="42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highlight w:val="none"/>
        </w:rPr>
        <w:t>除通用合同条款约定的不可抗力事件之外，视为不可抗力的其他情形：</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402763B9">
      <w:pPr>
        <w:pStyle w:val="4"/>
        <w:rPr>
          <w:rFonts w:hint="eastAsia" w:asciiTheme="minorEastAsia" w:hAnsiTheme="minorEastAsia" w:eastAsiaTheme="minorEastAsia" w:cstheme="minorEastAsia"/>
          <w:color w:val="auto"/>
          <w:highlight w:val="none"/>
        </w:rPr>
      </w:pPr>
      <w:bookmarkStart w:id="557" w:name="_Toc465114931"/>
      <w:bookmarkStart w:id="558" w:name="_Toc511243623"/>
      <w:bookmarkStart w:id="559" w:name="_Toc509760075"/>
      <w:bookmarkStart w:id="560" w:name="_Toc511243397"/>
      <w:r>
        <w:rPr>
          <w:rFonts w:hint="eastAsia" w:asciiTheme="minorEastAsia" w:hAnsiTheme="minorEastAsia" w:eastAsiaTheme="minorEastAsia" w:cstheme="minorEastAsia"/>
          <w:color w:val="auto"/>
          <w:highlight w:val="none"/>
        </w:rPr>
        <w:t>17.4 因不可抗力解除合同</w:t>
      </w:r>
      <w:bookmarkEnd w:id="557"/>
      <w:bookmarkEnd w:id="558"/>
      <w:bookmarkEnd w:id="559"/>
      <w:bookmarkEnd w:id="560"/>
    </w:p>
    <w:p w14:paraId="092E8618">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合同解除后，发包人应在商定或确定发包人应支付款项后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天内完成款项的支付。</w:t>
      </w:r>
    </w:p>
    <w:p w14:paraId="6E928AF3">
      <w:pPr>
        <w:pStyle w:val="3"/>
        <w:rPr>
          <w:rFonts w:hint="eastAsia" w:asciiTheme="minorEastAsia" w:hAnsiTheme="minorEastAsia" w:eastAsiaTheme="minorEastAsia" w:cstheme="minorEastAsia"/>
          <w:color w:val="auto"/>
          <w:highlight w:val="none"/>
        </w:rPr>
      </w:pPr>
      <w:bookmarkStart w:id="561" w:name="_Toc511243624"/>
      <w:bookmarkStart w:id="562" w:name="_Toc511243398"/>
      <w:bookmarkStart w:id="563" w:name="_Toc509760076"/>
      <w:bookmarkStart w:id="564" w:name="_Toc465114932"/>
      <w:r>
        <w:rPr>
          <w:rFonts w:hint="eastAsia" w:asciiTheme="minorEastAsia" w:hAnsiTheme="minorEastAsia" w:eastAsiaTheme="minorEastAsia" w:cstheme="minorEastAsia"/>
          <w:color w:val="auto"/>
          <w:highlight w:val="none"/>
        </w:rPr>
        <w:t>18. 保险</w:t>
      </w:r>
      <w:bookmarkEnd w:id="561"/>
      <w:bookmarkEnd w:id="562"/>
      <w:bookmarkEnd w:id="563"/>
      <w:bookmarkEnd w:id="564"/>
    </w:p>
    <w:p w14:paraId="0C1DBC18">
      <w:pPr>
        <w:pStyle w:val="4"/>
        <w:rPr>
          <w:rFonts w:hint="eastAsia" w:asciiTheme="minorEastAsia" w:hAnsiTheme="minorEastAsia" w:eastAsiaTheme="minorEastAsia" w:cstheme="minorEastAsia"/>
          <w:color w:val="auto"/>
          <w:highlight w:val="none"/>
        </w:rPr>
      </w:pPr>
      <w:bookmarkStart w:id="565" w:name="_Toc511243625"/>
      <w:bookmarkStart w:id="566" w:name="_Toc511243399"/>
      <w:bookmarkStart w:id="567" w:name="_Toc509760077"/>
      <w:bookmarkStart w:id="568" w:name="_Toc465114933"/>
      <w:r>
        <w:rPr>
          <w:rFonts w:hint="eastAsia" w:asciiTheme="minorEastAsia" w:hAnsiTheme="minorEastAsia" w:eastAsiaTheme="minorEastAsia" w:cstheme="minorEastAsia"/>
          <w:color w:val="auto"/>
          <w:highlight w:val="none"/>
        </w:rPr>
        <w:t>18.1 工程保险</w:t>
      </w:r>
      <w:bookmarkEnd w:id="565"/>
      <w:bookmarkEnd w:id="566"/>
      <w:bookmarkEnd w:id="567"/>
      <w:bookmarkEnd w:id="568"/>
    </w:p>
    <w:p w14:paraId="0F81B128">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关于工程保险的特别约定：</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highlight w:val="none"/>
          <w:u w:val="single"/>
        </w:rPr>
        <w:t>按国家相关政策规定</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w:t>
      </w:r>
    </w:p>
    <w:p w14:paraId="17000F6A">
      <w:pPr>
        <w:pStyle w:val="4"/>
        <w:rPr>
          <w:rFonts w:hint="eastAsia" w:asciiTheme="minorEastAsia" w:hAnsiTheme="minorEastAsia" w:eastAsiaTheme="minorEastAsia" w:cstheme="minorEastAsia"/>
          <w:color w:val="auto"/>
          <w:highlight w:val="none"/>
        </w:rPr>
      </w:pPr>
      <w:bookmarkStart w:id="569" w:name="_Toc511243400"/>
      <w:bookmarkStart w:id="570" w:name="_Toc509760078"/>
      <w:bookmarkStart w:id="571" w:name="_Toc465114934"/>
      <w:bookmarkStart w:id="572" w:name="_Toc511243626"/>
      <w:r>
        <w:rPr>
          <w:rFonts w:hint="eastAsia" w:asciiTheme="minorEastAsia" w:hAnsiTheme="minorEastAsia" w:eastAsiaTheme="minorEastAsia" w:cstheme="minorEastAsia"/>
          <w:color w:val="auto"/>
          <w:highlight w:val="none"/>
        </w:rPr>
        <w:t>18.3 其他保险</w:t>
      </w:r>
      <w:bookmarkEnd w:id="569"/>
      <w:bookmarkEnd w:id="570"/>
      <w:bookmarkEnd w:id="571"/>
      <w:bookmarkEnd w:id="572"/>
    </w:p>
    <w:p w14:paraId="082C9B80">
      <w:pPr>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关于其他保险的约定：</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w:t>
      </w:r>
    </w:p>
    <w:p w14:paraId="0E25F7B0">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承包人是否应为其施工设备等办理财产保险：</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30AC30E">
      <w:pPr>
        <w:pStyle w:val="4"/>
        <w:rPr>
          <w:rFonts w:hint="eastAsia" w:asciiTheme="minorEastAsia" w:hAnsiTheme="minorEastAsia" w:eastAsiaTheme="minorEastAsia" w:cstheme="minorEastAsia"/>
          <w:color w:val="auto"/>
          <w:highlight w:val="none"/>
        </w:rPr>
      </w:pPr>
      <w:bookmarkStart w:id="573" w:name="_Toc465114935"/>
      <w:bookmarkStart w:id="574" w:name="_Toc511243401"/>
      <w:bookmarkStart w:id="575" w:name="_Toc509760079"/>
      <w:bookmarkStart w:id="576" w:name="_Toc511243627"/>
      <w:r>
        <w:rPr>
          <w:rFonts w:hint="eastAsia" w:asciiTheme="minorEastAsia" w:hAnsiTheme="minorEastAsia" w:eastAsiaTheme="minorEastAsia" w:cstheme="minorEastAsia"/>
          <w:color w:val="auto"/>
          <w:highlight w:val="none"/>
        </w:rPr>
        <w:t>18.7 通知义务</w:t>
      </w:r>
      <w:bookmarkEnd w:id="573"/>
      <w:bookmarkEnd w:id="574"/>
      <w:bookmarkEnd w:id="575"/>
      <w:bookmarkEnd w:id="576"/>
    </w:p>
    <w:p w14:paraId="0D4E0869">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highlight w:val="none"/>
        </w:rPr>
        <w:t>关于变更保险合同时的通知义务的约定：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8838D78">
      <w:pPr>
        <w:pStyle w:val="3"/>
        <w:rPr>
          <w:rFonts w:hint="eastAsia" w:asciiTheme="minorEastAsia" w:hAnsiTheme="minorEastAsia" w:eastAsiaTheme="minorEastAsia" w:cstheme="minorEastAsia"/>
          <w:color w:val="auto"/>
          <w:highlight w:val="none"/>
        </w:rPr>
      </w:pPr>
      <w:bookmarkStart w:id="577" w:name="_Toc509760080"/>
      <w:bookmarkStart w:id="578" w:name="_Toc511243402"/>
      <w:bookmarkStart w:id="579" w:name="_Toc511243628"/>
      <w:bookmarkStart w:id="580" w:name="_Toc465114936"/>
      <w:r>
        <w:rPr>
          <w:rFonts w:hint="eastAsia" w:asciiTheme="minorEastAsia" w:hAnsiTheme="minorEastAsia" w:eastAsiaTheme="minorEastAsia" w:cstheme="minorEastAsia"/>
          <w:color w:val="auto"/>
          <w:highlight w:val="none"/>
        </w:rPr>
        <w:t>20. 争议解决</w:t>
      </w:r>
      <w:bookmarkEnd w:id="577"/>
      <w:bookmarkEnd w:id="578"/>
      <w:bookmarkEnd w:id="579"/>
      <w:bookmarkEnd w:id="580"/>
    </w:p>
    <w:p w14:paraId="78FE1EC8">
      <w:pPr>
        <w:pStyle w:val="4"/>
        <w:rPr>
          <w:rFonts w:hint="eastAsia" w:asciiTheme="minorEastAsia" w:hAnsiTheme="minorEastAsia" w:eastAsiaTheme="minorEastAsia" w:cstheme="minorEastAsia"/>
          <w:color w:val="auto"/>
          <w:highlight w:val="none"/>
        </w:rPr>
      </w:pPr>
      <w:bookmarkStart w:id="581" w:name="_Toc511243629"/>
      <w:bookmarkStart w:id="582" w:name="_Toc465114937"/>
      <w:bookmarkStart w:id="583" w:name="_Toc509760081"/>
      <w:bookmarkStart w:id="584" w:name="_Toc511243403"/>
      <w:r>
        <w:rPr>
          <w:rFonts w:hint="eastAsia" w:asciiTheme="minorEastAsia" w:hAnsiTheme="minorEastAsia" w:eastAsiaTheme="minorEastAsia" w:cstheme="minorEastAsia"/>
          <w:color w:val="auto"/>
          <w:highlight w:val="none"/>
        </w:rPr>
        <w:t>20.3 争议评审</w:t>
      </w:r>
      <w:bookmarkEnd w:id="581"/>
      <w:bookmarkEnd w:id="582"/>
      <w:bookmarkEnd w:id="583"/>
      <w:bookmarkEnd w:id="584"/>
    </w:p>
    <w:p w14:paraId="1BF2D4EE">
      <w:pPr>
        <w:spacing w:line="360" w:lineRule="auto"/>
        <w:ind w:left="149" w:leftChars="71" w:firstLine="315" w:firstLineChars="15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合同当事人是否同意将工程争议提交争议评审小组决定：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E73658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20.3.1 争议评审小组的确定</w:t>
      </w:r>
    </w:p>
    <w:p w14:paraId="0914CB2E">
      <w:pPr>
        <w:spacing w:line="360" w:lineRule="auto"/>
        <w:ind w:firstLine="420" w:firstLineChars="200"/>
        <w:jc w:val="lef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争议评审小组成员的确定：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240231A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选定争议评审员的期限：</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5182E28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争议评审小组成员的报酬承担方式：</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52283D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其他事项的约定：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526B99BF">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20.3.2 争议评审小组的决定</w:t>
      </w:r>
    </w:p>
    <w:p w14:paraId="0208B541">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合同当事人关于本项的约定：</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41024244">
      <w:pPr>
        <w:pStyle w:val="4"/>
        <w:rPr>
          <w:rFonts w:hint="eastAsia" w:asciiTheme="minorEastAsia" w:hAnsiTheme="minorEastAsia" w:eastAsiaTheme="minorEastAsia" w:cstheme="minorEastAsia"/>
          <w:color w:val="auto"/>
          <w:highlight w:val="none"/>
        </w:rPr>
      </w:pPr>
      <w:bookmarkStart w:id="585" w:name="_Toc511243404"/>
      <w:bookmarkStart w:id="586" w:name="_Toc465114938"/>
      <w:bookmarkStart w:id="587" w:name="_Toc511243630"/>
      <w:bookmarkStart w:id="588" w:name="_Toc509760082"/>
      <w:r>
        <w:rPr>
          <w:rFonts w:hint="eastAsia" w:asciiTheme="minorEastAsia" w:hAnsiTheme="minorEastAsia" w:eastAsiaTheme="minorEastAsia" w:cstheme="minorEastAsia"/>
          <w:color w:val="auto"/>
          <w:highlight w:val="none"/>
        </w:rPr>
        <w:t>20.4 仲裁或诉讼</w:t>
      </w:r>
      <w:bookmarkEnd w:id="585"/>
      <w:bookmarkEnd w:id="586"/>
      <w:bookmarkEnd w:id="587"/>
      <w:bookmarkEnd w:id="588"/>
    </w:p>
    <w:p w14:paraId="5851507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因合同及合同有关事项发生的争议，按下列第</w:t>
      </w:r>
      <w:r>
        <w:rPr>
          <w:rFonts w:hint="eastAsia" w:asciiTheme="minorEastAsia" w:hAnsiTheme="minorEastAsia" w:eastAsiaTheme="minorEastAsia" w:cstheme="minorEastAsia"/>
          <w:color w:val="auto"/>
          <w:highlight w:val="none"/>
          <w:u w:val="single"/>
        </w:rPr>
        <w:t xml:space="preserve"> 2 </w:t>
      </w:r>
      <w:r>
        <w:rPr>
          <w:rFonts w:hint="eastAsia" w:asciiTheme="minorEastAsia" w:hAnsiTheme="minorEastAsia" w:eastAsiaTheme="minorEastAsia" w:cstheme="minorEastAsia"/>
          <w:color w:val="auto"/>
          <w:highlight w:val="none"/>
        </w:rPr>
        <w:t>种方式解决：</w:t>
      </w:r>
    </w:p>
    <w:p w14:paraId="4A06ACB2">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仲裁委员会按照该会仲裁规则进行仲裁，仲裁裁决是终局的，对合同双方均有约束力。</w:t>
      </w:r>
    </w:p>
    <w:p w14:paraId="63D8A26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w:t>
      </w:r>
      <w:r>
        <w:rPr>
          <w:rFonts w:hint="eastAsia" w:asciiTheme="minorEastAsia" w:hAnsiTheme="minorEastAsia" w:eastAsiaTheme="minorEastAsia" w:cstheme="minorEastAsia"/>
          <w:color w:val="auto"/>
          <w:highlight w:val="none"/>
          <w:u w:val="single"/>
        </w:rPr>
        <w:t xml:space="preserve">  工程所在地有管辖权的 </w:t>
      </w:r>
      <w:r>
        <w:rPr>
          <w:rFonts w:hint="eastAsia" w:asciiTheme="minorEastAsia" w:hAnsiTheme="minorEastAsia" w:eastAsiaTheme="minorEastAsia" w:cstheme="minorEastAsia"/>
          <w:color w:val="auto"/>
          <w:highlight w:val="none"/>
        </w:rPr>
        <w:t>人民法院起诉。</w:t>
      </w:r>
    </w:p>
    <w:p w14:paraId="32BB9ADE">
      <w:pPr>
        <w:pStyle w:val="3"/>
        <w:rPr>
          <w:rFonts w:hint="eastAsia" w:asciiTheme="minorEastAsia" w:hAnsiTheme="minorEastAsia" w:eastAsiaTheme="minorEastAsia" w:cstheme="minorEastAsia"/>
          <w:color w:val="auto"/>
          <w:highlight w:val="none"/>
        </w:rPr>
      </w:pPr>
      <w:bookmarkStart w:id="589" w:name="_Toc465114939"/>
      <w:bookmarkStart w:id="590" w:name="_Toc509760083"/>
      <w:bookmarkStart w:id="591" w:name="_Toc511243405"/>
      <w:bookmarkStart w:id="592" w:name="_Toc511243631"/>
      <w:r>
        <w:rPr>
          <w:rFonts w:hint="eastAsia" w:asciiTheme="minorEastAsia" w:hAnsiTheme="minorEastAsia" w:eastAsiaTheme="minorEastAsia" w:cstheme="minorEastAsia"/>
          <w:color w:val="auto"/>
          <w:highlight w:val="none"/>
        </w:rPr>
        <w:t>21. 补充条款</w:t>
      </w:r>
      <w:bookmarkEnd w:id="589"/>
      <w:bookmarkEnd w:id="590"/>
      <w:bookmarkEnd w:id="591"/>
      <w:bookmarkEnd w:id="592"/>
    </w:p>
    <w:p w14:paraId="2102DF6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21.1 凡进入本工程工作的妇女应持有计生证、否则不准安排工作，禁止使用童工。</w:t>
      </w:r>
    </w:p>
    <w:p w14:paraId="3FF6B68D">
      <w:pPr>
        <w:spacing w:line="460" w:lineRule="exact"/>
        <w:ind w:firstLine="420" w:firstLineChars="200"/>
        <w:rPr>
          <w:rFonts w:hint="eastAsia" w:asciiTheme="minorEastAsia" w:hAnsiTheme="minorEastAsia" w:eastAsiaTheme="minorEastAsia" w:cstheme="minorEastAsia"/>
          <w:color w:val="auto"/>
          <w:highlight w:val="none"/>
        </w:rPr>
      </w:pPr>
    </w:p>
    <w:p w14:paraId="56F63C3C">
      <w:pPr>
        <w:spacing w:line="460" w:lineRule="exact"/>
        <w:ind w:firstLine="420" w:firstLineChars="200"/>
        <w:rPr>
          <w:rFonts w:hint="eastAsia" w:asciiTheme="minorEastAsia" w:hAnsiTheme="minorEastAsia" w:eastAsiaTheme="minorEastAsia" w:cstheme="minorEastAsia"/>
          <w:color w:val="auto"/>
          <w:highlight w:val="none"/>
        </w:rPr>
        <w:sectPr>
          <w:footerReference r:id="rId13" w:type="default"/>
          <w:pgSz w:w="11907" w:h="16840"/>
          <w:pgMar w:top="1440" w:right="1440" w:bottom="1440" w:left="1797" w:header="851" w:footer="851" w:gutter="0"/>
          <w:pgNumType w:fmt="decimal"/>
          <w:cols w:space="720" w:num="1"/>
          <w:docGrid w:linePitch="312" w:charSpace="0"/>
        </w:sectPr>
      </w:pPr>
    </w:p>
    <w:p w14:paraId="4257CD25">
      <w:pPr>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附件</w:t>
      </w:r>
    </w:p>
    <w:p w14:paraId="36750D0F">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附件1：承包人承揽工程项目一览表</w:t>
      </w:r>
    </w:p>
    <w:p w14:paraId="07509E4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附件2：支付担保格式</w:t>
      </w:r>
    </w:p>
    <w:p w14:paraId="47DA807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附件3：承包人主要施工管理人员表</w:t>
      </w:r>
    </w:p>
    <w:p w14:paraId="3C8160D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附件4：分包人主要施工管理人员表</w:t>
      </w:r>
    </w:p>
    <w:p w14:paraId="620C4197">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附件5：履约担保格式</w:t>
      </w:r>
    </w:p>
    <w:p w14:paraId="0A17200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附件6：承包人用于本工程施工的机械设备表</w:t>
      </w:r>
    </w:p>
    <w:p w14:paraId="130DE819">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附件7：预付款担保格式</w:t>
      </w:r>
    </w:p>
    <w:p w14:paraId="528B9351">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附件8：工程质量保修书</w:t>
      </w:r>
    </w:p>
    <w:p w14:paraId="5A38C96B">
      <w:pPr>
        <w:spacing w:line="460" w:lineRule="exact"/>
        <w:ind w:firstLine="420" w:firstLineChars="200"/>
        <w:rPr>
          <w:rFonts w:hint="eastAsia" w:asciiTheme="minorEastAsia" w:hAnsiTheme="minorEastAsia" w:eastAsiaTheme="minorEastAsia" w:cstheme="minorEastAsia"/>
          <w:color w:val="auto"/>
          <w:highlight w:val="none"/>
        </w:rPr>
        <w:sectPr>
          <w:pgSz w:w="11907" w:h="16840"/>
          <w:pgMar w:top="1440" w:right="1440" w:bottom="1440" w:left="1797" w:header="851" w:footer="851" w:gutter="0"/>
          <w:pgNumType w:fmt="decimal"/>
          <w:cols w:space="720" w:num="1"/>
          <w:docGrid w:linePitch="312" w:charSpace="0"/>
        </w:sectPr>
      </w:pPr>
    </w:p>
    <w:p w14:paraId="35CB24AF">
      <w:pPr>
        <w:spacing w:before="120" w:beforeLines="50" w:after="120" w:afterLines="50" w:line="440" w:lineRule="exact"/>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附件1：</w:t>
      </w:r>
    </w:p>
    <w:p w14:paraId="0963EC0F">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承包人承揽工程项目一览表</w:t>
      </w:r>
    </w:p>
    <w:tbl>
      <w:tblPr>
        <w:tblStyle w:val="24"/>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5BD3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16958030">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单位工程名称</w:t>
            </w:r>
          </w:p>
        </w:tc>
        <w:tc>
          <w:tcPr>
            <w:tcW w:w="1440" w:type="dxa"/>
            <w:vAlign w:val="center"/>
          </w:tcPr>
          <w:p w14:paraId="11B448B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建设规模</w:t>
            </w:r>
          </w:p>
        </w:tc>
        <w:tc>
          <w:tcPr>
            <w:tcW w:w="1620" w:type="dxa"/>
            <w:vAlign w:val="center"/>
          </w:tcPr>
          <w:p w14:paraId="7C473D8D">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建筑面积(平方米)</w:t>
            </w:r>
          </w:p>
        </w:tc>
        <w:tc>
          <w:tcPr>
            <w:tcW w:w="1661" w:type="dxa"/>
            <w:vAlign w:val="center"/>
          </w:tcPr>
          <w:p w14:paraId="70671C2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结构形式</w:t>
            </w:r>
          </w:p>
        </w:tc>
        <w:tc>
          <w:tcPr>
            <w:tcW w:w="850" w:type="dxa"/>
            <w:vAlign w:val="center"/>
          </w:tcPr>
          <w:p w14:paraId="036A93F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层数</w:t>
            </w:r>
          </w:p>
        </w:tc>
        <w:tc>
          <w:tcPr>
            <w:tcW w:w="1560" w:type="dxa"/>
            <w:vAlign w:val="center"/>
          </w:tcPr>
          <w:p w14:paraId="706D0726">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生产能力</w:t>
            </w:r>
          </w:p>
        </w:tc>
        <w:tc>
          <w:tcPr>
            <w:tcW w:w="2126" w:type="dxa"/>
            <w:vAlign w:val="center"/>
          </w:tcPr>
          <w:p w14:paraId="4F8857F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设备安装内容</w:t>
            </w:r>
          </w:p>
        </w:tc>
        <w:tc>
          <w:tcPr>
            <w:tcW w:w="1417" w:type="dxa"/>
            <w:vAlign w:val="center"/>
          </w:tcPr>
          <w:p w14:paraId="3D443594">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合同价格（元）</w:t>
            </w:r>
          </w:p>
        </w:tc>
        <w:tc>
          <w:tcPr>
            <w:tcW w:w="851" w:type="dxa"/>
            <w:vAlign w:val="center"/>
          </w:tcPr>
          <w:p w14:paraId="73F71928">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开工日期</w:t>
            </w:r>
          </w:p>
        </w:tc>
        <w:tc>
          <w:tcPr>
            <w:tcW w:w="850" w:type="dxa"/>
            <w:vAlign w:val="center"/>
          </w:tcPr>
          <w:p w14:paraId="37123DF9">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竣工日期</w:t>
            </w:r>
          </w:p>
        </w:tc>
      </w:tr>
      <w:tr w14:paraId="2A40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0CE994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31A161F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4E98A77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1E2256C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5333226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6AA0FDB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056E321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1BEF090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7B96001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584B5FA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2EB5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EAB452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619CC8A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189CFF7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43A0EBB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0C84DED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6C8A1B3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1452CD6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5862F76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3CAEA13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4DCCB0C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09B6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7F5BDD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5293D42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32F91DB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10D63A3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0F526E4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049AE08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64BBC5B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7C89145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20A64A0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2A22B94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26C3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3594BF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3FAEAC9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1D820CA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1FEFACE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6F281FF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0F2EA87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03A5C55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37D5568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63D5ADF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0B8C226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16AE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80E8C3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72A2DDB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1F3A0E2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4629E29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3D97152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7EC6FDC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6509C04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355E123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3FCFC60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0F6D9B7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3EE1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757181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2A79B54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32007BF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258E6D5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09B5CE3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73E651F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3E4AC53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31B7A82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5BB49CE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5ABA8CA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1733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655E10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7E15F17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0408E74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26C4473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7B1924F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610E661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6E0604E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375A785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78A1906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5B548E9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384D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26B1D4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2755798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3E80AB8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62CC9E5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6723A82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3D8ABF6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268CCB5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2361748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496D1E2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3128CB3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27C6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8B3188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2A22602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650E20E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3F1B01A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6639915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35D119E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61ED2D8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6958BC9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3AEC445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5033026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7330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264FDB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40" w:type="dxa"/>
            <w:vAlign w:val="center"/>
          </w:tcPr>
          <w:p w14:paraId="32CD5C3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20" w:type="dxa"/>
            <w:vAlign w:val="center"/>
          </w:tcPr>
          <w:p w14:paraId="5D9F9E9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661" w:type="dxa"/>
            <w:vAlign w:val="center"/>
          </w:tcPr>
          <w:p w14:paraId="2D124C6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7D83680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560" w:type="dxa"/>
            <w:vAlign w:val="center"/>
          </w:tcPr>
          <w:p w14:paraId="26FE210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2126" w:type="dxa"/>
            <w:vAlign w:val="center"/>
          </w:tcPr>
          <w:p w14:paraId="20C061F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7" w:type="dxa"/>
            <w:vAlign w:val="center"/>
          </w:tcPr>
          <w:p w14:paraId="26000CD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1" w:type="dxa"/>
            <w:vAlign w:val="center"/>
          </w:tcPr>
          <w:p w14:paraId="647C702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1064F9C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bl>
    <w:p w14:paraId="36408204">
      <w:pPr>
        <w:spacing w:line="460" w:lineRule="exact"/>
        <w:ind w:firstLine="420" w:firstLineChars="200"/>
        <w:rPr>
          <w:rFonts w:hint="eastAsia" w:asciiTheme="minorEastAsia" w:hAnsiTheme="minorEastAsia" w:eastAsiaTheme="minorEastAsia" w:cstheme="minorEastAsia"/>
          <w:color w:val="auto"/>
          <w:highlight w:val="none"/>
        </w:rPr>
      </w:pPr>
    </w:p>
    <w:p w14:paraId="6D6194EC">
      <w:pPr>
        <w:spacing w:line="460" w:lineRule="exact"/>
        <w:ind w:firstLine="420" w:firstLineChars="200"/>
        <w:rPr>
          <w:rFonts w:hint="eastAsia" w:asciiTheme="minorEastAsia" w:hAnsiTheme="minorEastAsia" w:eastAsiaTheme="minorEastAsia" w:cstheme="minorEastAsia"/>
          <w:color w:val="auto"/>
          <w:highlight w:val="none"/>
        </w:rPr>
        <w:sectPr>
          <w:pgSz w:w="16840" w:h="11907" w:orient="landscape"/>
          <w:pgMar w:top="1440" w:right="1440" w:bottom="1440" w:left="1797" w:header="851" w:footer="851" w:gutter="0"/>
          <w:pgNumType w:fmt="decimal"/>
          <w:cols w:space="720" w:num="1"/>
          <w:docGrid w:linePitch="312" w:charSpace="0"/>
        </w:sectPr>
      </w:pPr>
    </w:p>
    <w:p w14:paraId="7BAD04CA">
      <w:pPr>
        <w:spacing w:line="44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w:t>
      </w:r>
      <w:bookmarkStart w:id="593" w:name="_Toc296347232"/>
      <w:bookmarkStart w:id="594" w:name="_Toc296346734"/>
      <w:bookmarkStart w:id="595" w:name="_Toc296503233"/>
      <w:bookmarkStart w:id="596" w:name="_Toc296944572"/>
      <w:bookmarkStart w:id="597" w:name="_Toc296891273"/>
      <w:bookmarkStart w:id="598" w:name="_Toc296891061"/>
      <w:r>
        <w:rPr>
          <w:rFonts w:hint="eastAsia" w:asciiTheme="minorEastAsia" w:hAnsiTheme="minorEastAsia" w:eastAsiaTheme="minorEastAsia" w:cstheme="minorEastAsia"/>
          <w:color w:val="auto"/>
          <w:sz w:val="30"/>
          <w:szCs w:val="30"/>
          <w:highlight w:val="none"/>
        </w:rPr>
        <w:t>件2：</w:t>
      </w:r>
    </w:p>
    <w:bookmarkEnd w:id="593"/>
    <w:bookmarkEnd w:id="594"/>
    <w:bookmarkEnd w:id="595"/>
    <w:bookmarkEnd w:id="596"/>
    <w:bookmarkEnd w:id="597"/>
    <w:bookmarkEnd w:id="598"/>
    <w:p w14:paraId="018E6BEA">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支付担保</w:t>
      </w:r>
    </w:p>
    <w:p w14:paraId="07295679">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p>
    <w:p w14:paraId="17188857">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（承包人）：</w:t>
      </w:r>
    </w:p>
    <w:p w14:paraId="17E97169">
      <w:pPr>
        <w:spacing w:line="360" w:lineRule="auto"/>
        <w:jc w:val="left"/>
        <w:rPr>
          <w:rFonts w:hint="eastAsia" w:asciiTheme="minorEastAsia" w:hAnsiTheme="minorEastAsia" w:eastAsiaTheme="minorEastAsia" w:cstheme="minorEastAsia"/>
          <w:color w:val="auto"/>
          <w:highlight w:val="none"/>
        </w:rPr>
      </w:pPr>
    </w:p>
    <w:p w14:paraId="69CDCC08">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鉴于你方作为承包人已经与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（发包人名称）（以下称“发包人”）于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日签订了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（工程名称）《建设工程施工合同》（以下称“主合同”），应发包人的申请，我方愿就发包人履行主合同约定的工程款支付义务以保证的方式向你方提供如下担保：</w:t>
      </w:r>
    </w:p>
    <w:p w14:paraId="6BFED67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一、保证的范围及保证金额</w:t>
      </w:r>
    </w:p>
    <w:p w14:paraId="070230C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我方的保证范围是主合同约定的工程款。</w:t>
      </w:r>
    </w:p>
    <w:p w14:paraId="0A6A7AE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本保函所称主合同约定的工程款是指主合同约定的除工程质量保证金以外的合同价款。</w:t>
      </w:r>
    </w:p>
    <w:p w14:paraId="37CC797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我方保证的金额是主合同约定的工程款的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%，数额最高不超过人民币元（大写：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6C5C5089">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二、保证的方式及保证期间</w:t>
      </w:r>
    </w:p>
    <w:p w14:paraId="3D83F8D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我方保证的方式为：连带责任保证。</w:t>
      </w:r>
    </w:p>
    <w:p w14:paraId="676C7CCA">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我方保证的期间为：自本合同生效之日起至主合同约定的工程款支付完毕之日后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日内。</w:t>
      </w:r>
    </w:p>
    <w:p w14:paraId="4EFA45E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你方与发包人协议变更工程款支付日期的，经我方书面同意后，保证期间按照变更后的支付日期做相应调整。</w:t>
      </w:r>
    </w:p>
    <w:p w14:paraId="2490059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三、承担保证责任的形式</w:t>
      </w:r>
    </w:p>
    <w:p w14:paraId="71DEBD8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我方承担保证责任的形式是代为支付。发包人未按主合同约定向你方支付工程款的，由我方在保证金额内代为支付。</w:t>
      </w:r>
    </w:p>
    <w:p w14:paraId="158E728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四、代偿的安排</w:t>
      </w:r>
    </w:p>
    <w:p w14:paraId="76A24F4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你方要求我方承担保证责任的，应向我方发出书面索赔通知及发包人未支付主合同约定工程款的证明材料。索赔通知应写明要求索赔的金额，支付款项应到达的账号。</w:t>
      </w:r>
    </w:p>
    <w:p w14:paraId="35FAB1C2">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778577CD">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我方收到你方的书面索赔通知及相应的证明材料后７天内无条件支付。</w:t>
      </w:r>
    </w:p>
    <w:p w14:paraId="753F718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五、保证责任的解除</w:t>
      </w:r>
    </w:p>
    <w:p w14:paraId="5A23F928">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在本保函承诺的保证期间内，你方未书面向我方主张保证责任的，自保证期间届满次日起，我方保证责任解除。</w:t>
      </w:r>
    </w:p>
    <w:p w14:paraId="10CF9E9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发包人按主合同约定履行了工程款的全部支付义务的，自本保函承诺的保证期间届满次日起，我方保证责任解除。</w:t>
      </w:r>
    </w:p>
    <w:p w14:paraId="27C11F7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我方按照本保函向你方履行保证责任所支付金额达到本保函保证金额时，自我方向你方支付（支付款项从我方账户划出）之日起，保证责任即解除。</w:t>
      </w:r>
    </w:p>
    <w:p w14:paraId="30526ABC">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按照法律法规的规定或出现应解除我方保证责任的其他情形的，我方在本保函项下的保证责任亦解除。</w:t>
      </w:r>
    </w:p>
    <w:p w14:paraId="305AE1F9">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 我方解除保证责任后，你方应自我方保证责任解除之日起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个工作日内，将本保函原件返还我方。</w:t>
      </w:r>
    </w:p>
    <w:p w14:paraId="6E04C3C9">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六、免责条款</w:t>
      </w:r>
    </w:p>
    <w:p w14:paraId="1C2ECBB7">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因你方违约致使发包人不能履行义务的，我方不承担保证责任。</w:t>
      </w:r>
    </w:p>
    <w:p w14:paraId="259ADCEC">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依照法律法规的规定或你方与发包人的另行约定，免除发包人部分或全部义务的，我方亦免除其相应的保证责任。</w:t>
      </w:r>
    </w:p>
    <w:p w14:paraId="738BF6A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4C540AE">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因不可抗力造成发包人不能履行义务的，我方不承担保证责任。</w:t>
      </w:r>
    </w:p>
    <w:p w14:paraId="071377E4">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七、争议解决</w:t>
      </w:r>
    </w:p>
    <w:p w14:paraId="6E5824F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因本保函或本保函相关事项发生的纠纷，可由双方协商解决，协商不成的，按下列第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种方式解决：</w:t>
      </w:r>
    </w:p>
    <w:p w14:paraId="38FF3F2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（1）向</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仲裁委员会申请仲裁；</w:t>
      </w:r>
    </w:p>
    <w:p w14:paraId="65A978B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人民法院起诉。</w:t>
      </w:r>
    </w:p>
    <w:p w14:paraId="62555B8F">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八、保函的生效</w:t>
      </w:r>
    </w:p>
    <w:p w14:paraId="31017272">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本保函自我方法定代表人（或其授权代理人）签字并加盖公章之日起生效。</w:t>
      </w:r>
    </w:p>
    <w:p w14:paraId="291C94A7">
      <w:pPr>
        <w:spacing w:line="360" w:lineRule="auto"/>
        <w:jc w:val="left"/>
        <w:rPr>
          <w:rFonts w:hint="eastAsia" w:asciiTheme="minorEastAsia" w:hAnsiTheme="minorEastAsia" w:eastAsiaTheme="minorEastAsia" w:cstheme="minorEastAsia"/>
          <w:color w:val="auto"/>
          <w:highlight w:val="none"/>
        </w:rPr>
      </w:pPr>
    </w:p>
    <w:p w14:paraId="35E01D23">
      <w:pPr>
        <w:spacing w:line="360" w:lineRule="auto"/>
        <w:ind w:right="600"/>
        <w:jc w:val="left"/>
        <w:rPr>
          <w:rFonts w:hint="eastAsia" w:asciiTheme="minorEastAsia" w:hAnsiTheme="minorEastAsia" w:eastAsiaTheme="minorEastAsia" w:cstheme="minorEastAsia"/>
          <w:color w:val="auto"/>
          <w:highlight w:val="none"/>
        </w:rPr>
      </w:pPr>
    </w:p>
    <w:p w14:paraId="3FE686AF">
      <w:pPr>
        <w:spacing w:line="360" w:lineRule="auto"/>
        <w:ind w:right="6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担保人：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（盖章）</w:t>
      </w:r>
    </w:p>
    <w:p w14:paraId="5FBF47E5">
      <w:pPr>
        <w:spacing w:line="360" w:lineRule="auto"/>
        <w:ind w:right="1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14:paraId="2A6666AF">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w:t>
      </w:r>
    </w:p>
    <w:p w14:paraId="3A8FCE2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14:paraId="04F193E2">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u w:val="single"/>
        </w:rPr>
        <w:t xml:space="preserve">                                        </w:t>
      </w:r>
    </w:p>
    <w:p w14:paraId="56BC34BC">
      <w:pPr>
        <w:spacing w:line="360" w:lineRule="auto"/>
        <w:ind w:right="150" w:firstLine="420" w:firstLineChars="200"/>
        <w:jc w:val="left"/>
        <w:rPr>
          <w:rFonts w:hint="eastAsia" w:asciiTheme="minorEastAsia" w:hAnsiTheme="minorEastAsia" w:eastAsiaTheme="minorEastAsia" w:cstheme="minorEastAsia"/>
          <w:color w:val="auto"/>
          <w:highlight w:val="none"/>
          <w:u w:val="single"/>
        </w:rPr>
      </w:pPr>
    </w:p>
    <w:p w14:paraId="4BF522A8">
      <w:pPr>
        <w:spacing w:line="360" w:lineRule="auto"/>
        <w:ind w:right="150"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16526BCB">
      <w:pPr>
        <w:spacing w:line="44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r>
        <w:rPr>
          <w:rFonts w:hint="eastAsia" w:asciiTheme="minorEastAsia" w:hAnsiTheme="minorEastAsia" w:eastAsiaTheme="minorEastAsia" w:cstheme="minorEastAsia"/>
          <w:color w:val="auto"/>
          <w:sz w:val="30"/>
          <w:szCs w:val="30"/>
          <w:highlight w:val="none"/>
        </w:rPr>
        <w:t>附</w:t>
      </w:r>
      <w:bookmarkStart w:id="599" w:name="_Toc267261699"/>
      <w:bookmarkStart w:id="600" w:name="_Toc296346729"/>
      <w:bookmarkStart w:id="601" w:name="_Toc296891268"/>
      <w:bookmarkStart w:id="602" w:name="_Toc296503228"/>
      <w:bookmarkStart w:id="603" w:name="_Toc296891056"/>
      <w:bookmarkStart w:id="604" w:name="_Toc296347227"/>
      <w:bookmarkStart w:id="605" w:name="_Toc296944567"/>
      <w:r>
        <w:rPr>
          <w:rFonts w:hint="eastAsia" w:asciiTheme="minorEastAsia" w:hAnsiTheme="minorEastAsia" w:eastAsiaTheme="minorEastAsia" w:cstheme="minorEastAsia"/>
          <w:color w:val="auto"/>
          <w:sz w:val="30"/>
          <w:szCs w:val="30"/>
          <w:highlight w:val="none"/>
        </w:rPr>
        <w:t>件3：</w:t>
      </w:r>
    </w:p>
    <w:bookmarkEnd w:id="599"/>
    <w:bookmarkEnd w:id="600"/>
    <w:bookmarkEnd w:id="601"/>
    <w:bookmarkEnd w:id="602"/>
    <w:bookmarkEnd w:id="603"/>
    <w:bookmarkEnd w:id="604"/>
    <w:bookmarkEnd w:id="605"/>
    <w:p w14:paraId="30B32CC8">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承包人主要施工管理人员表</w:t>
      </w:r>
    </w:p>
    <w:tbl>
      <w:tblPr>
        <w:tblStyle w:val="2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69"/>
        <w:gridCol w:w="1416"/>
        <w:gridCol w:w="1132"/>
        <w:gridCol w:w="1132"/>
        <w:gridCol w:w="4249"/>
      </w:tblGrid>
      <w:tr w14:paraId="40FB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Align w:val="center"/>
          </w:tcPr>
          <w:p w14:paraId="35E7260D">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名    称</w:t>
            </w:r>
          </w:p>
        </w:tc>
        <w:tc>
          <w:tcPr>
            <w:tcW w:w="1416" w:type="dxa"/>
            <w:vAlign w:val="center"/>
          </w:tcPr>
          <w:p w14:paraId="306CB677">
            <w:pPr>
              <w:pStyle w:val="11"/>
              <w:keepNext/>
              <w:spacing w:line="440" w:lineRule="exact"/>
              <w:ind w:left="63" w:right="63"/>
              <w:jc w:val="center"/>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姓名</w:t>
            </w:r>
          </w:p>
        </w:tc>
        <w:tc>
          <w:tcPr>
            <w:tcW w:w="1132" w:type="dxa"/>
            <w:vAlign w:val="center"/>
          </w:tcPr>
          <w:p w14:paraId="6DD3E8CC">
            <w:pPr>
              <w:pStyle w:val="11"/>
              <w:keepNext/>
              <w:spacing w:line="440" w:lineRule="exact"/>
              <w:ind w:left="63" w:right="63"/>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职务</w:t>
            </w:r>
          </w:p>
        </w:tc>
        <w:tc>
          <w:tcPr>
            <w:tcW w:w="1132" w:type="dxa"/>
            <w:vAlign w:val="center"/>
          </w:tcPr>
          <w:p w14:paraId="254286DF">
            <w:pPr>
              <w:pStyle w:val="11"/>
              <w:keepNext/>
              <w:spacing w:line="440" w:lineRule="exact"/>
              <w:ind w:left="63" w:right="63"/>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职称</w:t>
            </w:r>
          </w:p>
        </w:tc>
        <w:tc>
          <w:tcPr>
            <w:tcW w:w="4249" w:type="dxa"/>
            <w:vAlign w:val="center"/>
          </w:tcPr>
          <w:p w14:paraId="74636D15">
            <w:pPr>
              <w:pStyle w:val="11"/>
              <w:keepNext/>
              <w:spacing w:line="440" w:lineRule="exact"/>
              <w:ind w:right="63"/>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计划进场时间</w:t>
            </w:r>
          </w:p>
        </w:tc>
      </w:tr>
      <w:tr w14:paraId="1080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9798" w:type="dxa"/>
            <w:gridSpan w:val="5"/>
            <w:vAlign w:val="center"/>
          </w:tcPr>
          <w:p w14:paraId="3F581E04">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一、总部人员</w:t>
            </w:r>
          </w:p>
        </w:tc>
      </w:tr>
      <w:tr w14:paraId="6933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Align w:val="center"/>
          </w:tcPr>
          <w:p w14:paraId="5EE96E92">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项目主管</w:t>
            </w:r>
          </w:p>
        </w:tc>
        <w:tc>
          <w:tcPr>
            <w:tcW w:w="1416" w:type="dxa"/>
            <w:vAlign w:val="center"/>
          </w:tcPr>
          <w:p w14:paraId="64C65C26">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5B983EB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750E2CE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162970C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11BD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restart"/>
            <w:vAlign w:val="center"/>
          </w:tcPr>
          <w:p w14:paraId="5A7F0338">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其他人员</w:t>
            </w:r>
          </w:p>
        </w:tc>
        <w:tc>
          <w:tcPr>
            <w:tcW w:w="1416" w:type="dxa"/>
            <w:vAlign w:val="center"/>
          </w:tcPr>
          <w:p w14:paraId="0A5953B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125C6F0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56F50D9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11BD7AA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3A2A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continue"/>
            <w:vAlign w:val="center"/>
          </w:tcPr>
          <w:p w14:paraId="5B200F2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30162A10">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6B0BA49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557B544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212A843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6559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continue"/>
            <w:vAlign w:val="center"/>
          </w:tcPr>
          <w:p w14:paraId="24E795CA">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77C0701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4036825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591F0B6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73C557A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2D0E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9798" w:type="dxa"/>
            <w:gridSpan w:val="5"/>
            <w:vAlign w:val="center"/>
          </w:tcPr>
          <w:p w14:paraId="37A77C55">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二、现场人员</w:t>
            </w:r>
          </w:p>
        </w:tc>
      </w:tr>
      <w:tr w14:paraId="5D3A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Align w:val="center"/>
          </w:tcPr>
          <w:p w14:paraId="5E85D455">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项目经理</w:t>
            </w:r>
          </w:p>
        </w:tc>
        <w:tc>
          <w:tcPr>
            <w:tcW w:w="1416" w:type="dxa"/>
            <w:vAlign w:val="center"/>
          </w:tcPr>
          <w:p w14:paraId="52C0821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571C049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02D3876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430CDA4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017B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Align w:val="center"/>
          </w:tcPr>
          <w:p w14:paraId="6C6C6FAB">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项目副经理</w:t>
            </w:r>
          </w:p>
        </w:tc>
        <w:tc>
          <w:tcPr>
            <w:tcW w:w="1416" w:type="dxa"/>
            <w:vAlign w:val="center"/>
          </w:tcPr>
          <w:p w14:paraId="463613B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45C4D32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49E5506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0872E85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2A68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Align w:val="center"/>
          </w:tcPr>
          <w:p w14:paraId="7747FE8B">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技术负责人</w:t>
            </w:r>
          </w:p>
        </w:tc>
        <w:tc>
          <w:tcPr>
            <w:tcW w:w="1416" w:type="dxa"/>
            <w:vAlign w:val="center"/>
          </w:tcPr>
          <w:p w14:paraId="2CC7BC46">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6618D0D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193A62F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265117E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2713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Align w:val="center"/>
          </w:tcPr>
          <w:p w14:paraId="22A39CB8">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造价管理</w:t>
            </w:r>
          </w:p>
        </w:tc>
        <w:tc>
          <w:tcPr>
            <w:tcW w:w="1416" w:type="dxa"/>
            <w:vAlign w:val="center"/>
          </w:tcPr>
          <w:p w14:paraId="7AD77C6D">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504F554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6B5CB20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2F3035D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7B6F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restart"/>
            <w:vAlign w:val="center"/>
          </w:tcPr>
          <w:p w14:paraId="1D1E6480">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质量管理</w:t>
            </w:r>
          </w:p>
        </w:tc>
        <w:tc>
          <w:tcPr>
            <w:tcW w:w="1416" w:type="dxa"/>
            <w:vAlign w:val="center"/>
          </w:tcPr>
          <w:p w14:paraId="4D79ACA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06FACC0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43DC544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4C01B25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5094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continue"/>
            <w:vAlign w:val="center"/>
          </w:tcPr>
          <w:p w14:paraId="5B231820">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1D0DEB58">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57EE94D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0A92EBF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5BCFBAE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0590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continue"/>
            <w:vAlign w:val="center"/>
          </w:tcPr>
          <w:p w14:paraId="1707C38D">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51B2821F">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24A64ED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0FA321E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0CAE6A0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3EEA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Align w:val="center"/>
          </w:tcPr>
          <w:p w14:paraId="4C7EA53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材料管理</w:t>
            </w:r>
          </w:p>
        </w:tc>
        <w:tc>
          <w:tcPr>
            <w:tcW w:w="1416" w:type="dxa"/>
            <w:vAlign w:val="center"/>
          </w:tcPr>
          <w:p w14:paraId="0624A274">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14AF264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3894F62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574A17A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69C5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Align w:val="center"/>
          </w:tcPr>
          <w:p w14:paraId="359B6243">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计划管理</w:t>
            </w:r>
          </w:p>
        </w:tc>
        <w:tc>
          <w:tcPr>
            <w:tcW w:w="1416" w:type="dxa"/>
            <w:vAlign w:val="center"/>
          </w:tcPr>
          <w:p w14:paraId="15B69479">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7F82B2C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5D5BD13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0C0942D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6CB0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restart"/>
            <w:vAlign w:val="center"/>
          </w:tcPr>
          <w:p w14:paraId="1A9933DA">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安全管理</w:t>
            </w:r>
          </w:p>
        </w:tc>
        <w:tc>
          <w:tcPr>
            <w:tcW w:w="1416" w:type="dxa"/>
            <w:vAlign w:val="center"/>
          </w:tcPr>
          <w:p w14:paraId="1BBD951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319E06F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29CFC39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69FFB02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3114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continue"/>
            <w:vAlign w:val="center"/>
          </w:tcPr>
          <w:p w14:paraId="21E661ED">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6134829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37C4807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4850AC4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16BD609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1D40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continue"/>
            <w:vAlign w:val="center"/>
          </w:tcPr>
          <w:p w14:paraId="0CF7772C">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1C64EAC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03AEDE8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54F8320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30CA3F8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6C11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continue"/>
            <w:vAlign w:val="center"/>
          </w:tcPr>
          <w:p w14:paraId="5DEF253F">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0D8BAE2B">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691A64C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0F30F71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5FC717E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401C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continue"/>
            <w:vAlign w:val="center"/>
          </w:tcPr>
          <w:p w14:paraId="503E67F3">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54E5032E">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386DC47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5D29C4A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718B78B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6F76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69" w:type="dxa"/>
            <w:vMerge w:val="continue"/>
            <w:vAlign w:val="center"/>
          </w:tcPr>
          <w:p w14:paraId="41D23935">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12EA3755">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18D4296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47183D4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00D9508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49F0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69" w:type="dxa"/>
            <w:vMerge w:val="continue"/>
            <w:vAlign w:val="center"/>
          </w:tcPr>
          <w:p w14:paraId="0B4C0AD5">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6" w:type="dxa"/>
            <w:vAlign w:val="center"/>
          </w:tcPr>
          <w:p w14:paraId="1D376C2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2" w:type="dxa"/>
            <w:vAlign w:val="center"/>
          </w:tcPr>
          <w:p w14:paraId="1801090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2" w:type="dxa"/>
            <w:vAlign w:val="center"/>
          </w:tcPr>
          <w:p w14:paraId="0A42A68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49" w:type="dxa"/>
            <w:vAlign w:val="center"/>
          </w:tcPr>
          <w:p w14:paraId="1BDD0F5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bl>
    <w:p w14:paraId="38500BFB">
      <w:pPr>
        <w:spacing w:line="44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r>
        <w:rPr>
          <w:rFonts w:hint="eastAsia" w:asciiTheme="minorEastAsia" w:hAnsiTheme="minorEastAsia" w:eastAsiaTheme="minorEastAsia" w:cstheme="minorEastAsia"/>
          <w:color w:val="auto"/>
          <w:sz w:val="30"/>
          <w:szCs w:val="30"/>
          <w:highlight w:val="none"/>
        </w:rPr>
        <w:t>附</w:t>
      </w:r>
      <w:bookmarkStart w:id="606" w:name="_Toc296503229"/>
      <w:bookmarkStart w:id="607" w:name="_Toc296347228"/>
      <w:bookmarkStart w:id="608" w:name="_Toc296944568"/>
      <w:bookmarkStart w:id="609" w:name="_Toc296891269"/>
      <w:bookmarkStart w:id="610" w:name="_Toc296891057"/>
      <w:bookmarkStart w:id="611" w:name="_Toc296346730"/>
      <w:r>
        <w:rPr>
          <w:rFonts w:hint="eastAsia" w:asciiTheme="minorEastAsia" w:hAnsiTheme="minorEastAsia" w:eastAsiaTheme="minorEastAsia" w:cstheme="minorEastAsia"/>
          <w:color w:val="auto"/>
          <w:sz w:val="30"/>
          <w:szCs w:val="30"/>
          <w:highlight w:val="none"/>
        </w:rPr>
        <w:t>件4：</w:t>
      </w:r>
    </w:p>
    <w:bookmarkEnd w:id="606"/>
    <w:bookmarkEnd w:id="607"/>
    <w:bookmarkEnd w:id="608"/>
    <w:bookmarkEnd w:id="609"/>
    <w:bookmarkEnd w:id="610"/>
    <w:bookmarkEnd w:id="611"/>
    <w:p w14:paraId="038B587E">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分包人主要施工管理人员表</w:t>
      </w:r>
    </w:p>
    <w:p w14:paraId="577D150A">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p>
    <w:tbl>
      <w:tblPr>
        <w:tblStyle w:val="2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D09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11983B5">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名    称</w:t>
            </w:r>
          </w:p>
        </w:tc>
        <w:tc>
          <w:tcPr>
            <w:tcW w:w="1418" w:type="dxa"/>
            <w:vAlign w:val="center"/>
          </w:tcPr>
          <w:p w14:paraId="6A571BA8">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姓名</w:t>
            </w:r>
          </w:p>
        </w:tc>
        <w:tc>
          <w:tcPr>
            <w:tcW w:w="1134" w:type="dxa"/>
            <w:vAlign w:val="center"/>
          </w:tcPr>
          <w:p w14:paraId="3505B11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职务</w:t>
            </w:r>
          </w:p>
        </w:tc>
        <w:tc>
          <w:tcPr>
            <w:tcW w:w="1134" w:type="dxa"/>
            <w:vAlign w:val="center"/>
          </w:tcPr>
          <w:p w14:paraId="5BC1EBE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职称</w:t>
            </w:r>
          </w:p>
        </w:tc>
        <w:tc>
          <w:tcPr>
            <w:tcW w:w="4252" w:type="dxa"/>
            <w:vAlign w:val="center"/>
          </w:tcPr>
          <w:p w14:paraId="36C7C29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主要资历、经验及承担过的项目</w:t>
            </w:r>
          </w:p>
        </w:tc>
      </w:tr>
      <w:tr w14:paraId="1EE3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0069036">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一、总部人员</w:t>
            </w:r>
          </w:p>
        </w:tc>
      </w:tr>
      <w:tr w14:paraId="156C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AA8452F">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项目主管</w:t>
            </w:r>
          </w:p>
        </w:tc>
        <w:tc>
          <w:tcPr>
            <w:tcW w:w="1418" w:type="dxa"/>
            <w:vAlign w:val="center"/>
          </w:tcPr>
          <w:p w14:paraId="6690B92F">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2228F49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719A88F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798AC21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4C9D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65954C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其他人员</w:t>
            </w:r>
          </w:p>
        </w:tc>
        <w:tc>
          <w:tcPr>
            <w:tcW w:w="1418" w:type="dxa"/>
            <w:vAlign w:val="center"/>
          </w:tcPr>
          <w:p w14:paraId="69C0B178">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4B15807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0E450EC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75CC77F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046C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976ADC">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8" w:type="dxa"/>
            <w:vAlign w:val="center"/>
          </w:tcPr>
          <w:p w14:paraId="75A2BD6A">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376FC04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1B1FF79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7F55A4D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3E66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E68ED8D">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8" w:type="dxa"/>
            <w:vAlign w:val="center"/>
          </w:tcPr>
          <w:p w14:paraId="57FEC6A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5D21452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03EB29C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55C115E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7ECB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BED65EB">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二、现场人员</w:t>
            </w:r>
          </w:p>
        </w:tc>
      </w:tr>
      <w:tr w14:paraId="3D4F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D8CEE9">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项目经理</w:t>
            </w:r>
          </w:p>
        </w:tc>
        <w:tc>
          <w:tcPr>
            <w:tcW w:w="1418" w:type="dxa"/>
            <w:vAlign w:val="center"/>
          </w:tcPr>
          <w:p w14:paraId="0F4B73F8">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1393A76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2ABE3A6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511535A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16EC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ED40C4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项目副经理</w:t>
            </w:r>
          </w:p>
        </w:tc>
        <w:tc>
          <w:tcPr>
            <w:tcW w:w="1418" w:type="dxa"/>
            <w:vAlign w:val="center"/>
          </w:tcPr>
          <w:p w14:paraId="38F4E8B9">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2BBB01C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731CB9A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5CBE961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6725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188FF9">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技术负责人</w:t>
            </w:r>
          </w:p>
        </w:tc>
        <w:tc>
          <w:tcPr>
            <w:tcW w:w="1418" w:type="dxa"/>
            <w:vAlign w:val="center"/>
          </w:tcPr>
          <w:p w14:paraId="63071149">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6F9B9AD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4F63EB0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0677BC9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79D7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8D00FFE">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造价管理</w:t>
            </w:r>
          </w:p>
        </w:tc>
        <w:tc>
          <w:tcPr>
            <w:tcW w:w="1418" w:type="dxa"/>
            <w:vAlign w:val="center"/>
          </w:tcPr>
          <w:p w14:paraId="50AA77C7">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56ADF43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41EEF7B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3043F7C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0A98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B2DAFEF">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质量管理</w:t>
            </w:r>
          </w:p>
        </w:tc>
        <w:tc>
          <w:tcPr>
            <w:tcW w:w="1418" w:type="dxa"/>
            <w:vAlign w:val="center"/>
          </w:tcPr>
          <w:p w14:paraId="70810D3A">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013A200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6D1E0D7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5C090EA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7785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779A316">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材料管理</w:t>
            </w:r>
          </w:p>
        </w:tc>
        <w:tc>
          <w:tcPr>
            <w:tcW w:w="1418" w:type="dxa"/>
            <w:vAlign w:val="center"/>
          </w:tcPr>
          <w:p w14:paraId="280555B5">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3E4AFF7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7ACCBF4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1F71CD8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17F4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166C74">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计划管理</w:t>
            </w:r>
          </w:p>
        </w:tc>
        <w:tc>
          <w:tcPr>
            <w:tcW w:w="1418" w:type="dxa"/>
            <w:vAlign w:val="center"/>
          </w:tcPr>
          <w:p w14:paraId="53055BC0">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449B1FE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1BBB127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22485D9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4390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ABD4E6">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安全管理</w:t>
            </w:r>
          </w:p>
        </w:tc>
        <w:tc>
          <w:tcPr>
            <w:tcW w:w="1418" w:type="dxa"/>
            <w:vAlign w:val="center"/>
          </w:tcPr>
          <w:p w14:paraId="66A2588D">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707F770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2D041A2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51C0FFF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683B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1DB4AB2">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其他人员</w:t>
            </w:r>
          </w:p>
        </w:tc>
        <w:tc>
          <w:tcPr>
            <w:tcW w:w="1418" w:type="dxa"/>
            <w:vAlign w:val="center"/>
          </w:tcPr>
          <w:p w14:paraId="2F0C88ED">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6C9EAD7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0ABDEEB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5874611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6168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F8BF8BE">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8" w:type="dxa"/>
            <w:vAlign w:val="center"/>
          </w:tcPr>
          <w:p w14:paraId="40E83AD5">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1E783CD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598F019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082C3C6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72C6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4FE6298">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8" w:type="dxa"/>
            <w:vAlign w:val="center"/>
          </w:tcPr>
          <w:p w14:paraId="7D58096D">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0802A63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71506B3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5BDF565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5573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676D3B2">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8" w:type="dxa"/>
            <w:vAlign w:val="center"/>
          </w:tcPr>
          <w:p w14:paraId="27091E89">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0445AF4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656AEFC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3368FE3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323C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BAAC1B2">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8" w:type="dxa"/>
            <w:vAlign w:val="center"/>
          </w:tcPr>
          <w:p w14:paraId="7A367EF2">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1CA86B6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3AB8FAF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52FA647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05DA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0B21C79">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418" w:type="dxa"/>
            <w:vAlign w:val="center"/>
          </w:tcPr>
          <w:p w14:paraId="6DA1AAA2">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p>
        </w:tc>
        <w:tc>
          <w:tcPr>
            <w:tcW w:w="1134" w:type="dxa"/>
            <w:vAlign w:val="center"/>
          </w:tcPr>
          <w:p w14:paraId="7BADEF8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134" w:type="dxa"/>
            <w:vAlign w:val="center"/>
          </w:tcPr>
          <w:p w14:paraId="5DD2C6C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4252" w:type="dxa"/>
            <w:vAlign w:val="center"/>
          </w:tcPr>
          <w:p w14:paraId="3FED4FD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bl>
    <w:p w14:paraId="7A99DC53">
      <w:pPr>
        <w:spacing w:line="44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r>
        <w:rPr>
          <w:rFonts w:hint="eastAsia" w:asciiTheme="minorEastAsia" w:hAnsiTheme="minorEastAsia" w:eastAsiaTheme="minorEastAsia" w:cstheme="minorEastAsia"/>
          <w:color w:val="auto"/>
          <w:sz w:val="30"/>
          <w:szCs w:val="30"/>
          <w:highlight w:val="none"/>
        </w:rPr>
        <w:t>附件5：</w:t>
      </w:r>
    </w:p>
    <w:p w14:paraId="33182021">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履约担保</w:t>
      </w:r>
    </w:p>
    <w:p w14:paraId="4FBB0562">
      <w:pPr>
        <w:spacing w:line="360" w:lineRule="auto"/>
        <w:rPr>
          <w:rFonts w:hint="eastAsia" w:asciiTheme="minorEastAsia" w:hAnsiTheme="minorEastAsia" w:eastAsiaTheme="minorEastAsia" w:cstheme="minorEastAsia"/>
          <w:color w:val="auto"/>
          <w:highlight w:val="none"/>
          <w:u w:val="single"/>
        </w:rPr>
      </w:pPr>
    </w:p>
    <w:p w14:paraId="6FFEF907">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（发包人名称）：</w:t>
      </w:r>
    </w:p>
    <w:p w14:paraId="4BA6098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鉴于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（发包人名称，以下简称“发包人”）已</w:t>
      </w:r>
    </w:p>
    <w:p w14:paraId="2BC42DB3">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日发放中标通知书，明确</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（承包人名称）（以下称“承包人”）为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（工程名称）的中标人。我方愿意无条件地、不可撤销地就承包人履行与你方就该工程签订的合同，向你方提供连带责任担保。 </w:t>
      </w:r>
    </w:p>
    <w:p w14:paraId="316E653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担保金额人民币（大写）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56116E5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担保有效期自你方与承包人签订的合同生效之日起至你方签发或应签发工程接收证书之日止。</w:t>
      </w:r>
    </w:p>
    <w:p w14:paraId="6F1471D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在本担保有效期内，因承包人违反合同约定的义务给你方造成经济损失时，我方在收到你方以书面形式提出的在担保金额内的赔偿要求后，在7天内无条件支付。</w:t>
      </w:r>
    </w:p>
    <w:p w14:paraId="4B7F5A4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你方和承包人按合同约定变更合同时，我方承担本担保规定的义务不变。</w:t>
      </w:r>
    </w:p>
    <w:p w14:paraId="4B94B19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 因本保函发生的纠纷，可由双方协商解决，协商不成的，任何一方均可提请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仲裁委员会仲裁。</w:t>
      </w:r>
    </w:p>
    <w:p w14:paraId="6E8DEAA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 本保函自我方法定代表人（或其授权代理人）签字并加盖公章之日起生效。</w:t>
      </w:r>
    </w:p>
    <w:p w14:paraId="6478BA33">
      <w:pPr>
        <w:spacing w:line="360" w:lineRule="auto"/>
        <w:rPr>
          <w:rFonts w:hint="eastAsia" w:asciiTheme="minorEastAsia" w:hAnsiTheme="minorEastAsia" w:eastAsiaTheme="minorEastAsia" w:cstheme="minorEastAsia"/>
          <w:color w:val="auto"/>
          <w:highlight w:val="none"/>
        </w:rPr>
      </w:pPr>
    </w:p>
    <w:p w14:paraId="2CA177A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担 保 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（盖单位章）</w:t>
      </w:r>
    </w:p>
    <w:p w14:paraId="79257E17">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14:paraId="77C531FC">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w:t>
      </w:r>
    </w:p>
    <w:p w14:paraId="42EC1A3C">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14:paraId="15612EC9">
      <w:pP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u w:val="single"/>
        </w:rPr>
        <w:t xml:space="preserve">                                      </w:t>
      </w:r>
    </w:p>
    <w:p w14:paraId="6D6F22ED">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u w:val="single"/>
        </w:rPr>
        <w:t xml:space="preserve">                                      </w:t>
      </w:r>
    </w:p>
    <w:p w14:paraId="412F5AA3">
      <w:pPr>
        <w:spacing w:line="360" w:lineRule="auto"/>
        <w:jc w:val="left"/>
        <w:rPr>
          <w:rFonts w:hint="eastAsia" w:asciiTheme="minorEastAsia" w:hAnsiTheme="minorEastAsia" w:eastAsiaTheme="minorEastAsia" w:cstheme="minorEastAsia"/>
          <w:color w:val="auto"/>
          <w:highlight w:val="none"/>
          <w:u w:val="single"/>
        </w:rPr>
      </w:pPr>
    </w:p>
    <w:p w14:paraId="2483484F">
      <w:pPr>
        <w:spacing w:line="360" w:lineRule="auto"/>
        <w:ind w:left="1329" w:hanging="1329" w:hangingChars="63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2BEB5FE9">
      <w:pPr>
        <w:spacing w:line="360" w:lineRule="auto"/>
        <w:ind w:left="1329" w:hanging="1329" w:hangingChars="633"/>
        <w:rPr>
          <w:rFonts w:hint="eastAsia" w:asciiTheme="minorEastAsia" w:hAnsiTheme="minorEastAsia" w:eastAsiaTheme="minorEastAsia" w:cstheme="minorEastAsia"/>
          <w:color w:val="auto"/>
          <w:highlight w:val="none"/>
        </w:rPr>
      </w:pPr>
    </w:p>
    <w:p w14:paraId="141A3AE3">
      <w:pPr>
        <w:spacing w:line="360" w:lineRule="auto"/>
        <w:ind w:left="1899" w:hanging="1899" w:hangingChars="633"/>
        <w:rPr>
          <w:rFonts w:hint="eastAsia" w:asciiTheme="minorEastAsia" w:hAnsiTheme="minorEastAsia" w:eastAsiaTheme="minorEastAsia" w:cstheme="minorEastAsia"/>
          <w:color w:val="auto"/>
          <w:sz w:val="30"/>
          <w:szCs w:val="30"/>
          <w:highlight w:val="none"/>
        </w:rPr>
        <w:sectPr>
          <w:pgSz w:w="11907" w:h="16840"/>
          <w:pgMar w:top="1440" w:right="1440" w:bottom="1440" w:left="1797" w:header="851" w:footer="851" w:gutter="0"/>
          <w:pgNumType w:fmt="decimal"/>
          <w:cols w:space="720" w:num="1"/>
          <w:docGrid w:linePitch="312" w:charSpace="0"/>
        </w:sectPr>
      </w:pPr>
    </w:p>
    <w:p w14:paraId="26C05FF6">
      <w:pPr>
        <w:spacing w:line="44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附件6：</w:t>
      </w:r>
    </w:p>
    <w:p w14:paraId="477D1F58">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承包人用于本工程施工的机械设备表</w:t>
      </w:r>
    </w:p>
    <w:p w14:paraId="2039796F">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p>
    <w:tbl>
      <w:tblPr>
        <w:tblStyle w:val="2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C22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583AF9B0">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序号</w:t>
            </w:r>
          </w:p>
        </w:tc>
        <w:tc>
          <w:tcPr>
            <w:tcW w:w="1418" w:type="dxa"/>
            <w:vAlign w:val="center"/>
          </w:tcPr>
          <w:p w14:paraId="7982883F">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机械或设备名称</w:t>
            </w:r>
          </w:p>
        </w:tc>
        <w:tc>
          <w:tcPr>
            <w:tcW w:w="850" w:type="dxa"/>
            <w:vAlign w:val="center"/>
          </w:tcPr>
          <w:p w14:paraId="464F1EE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规格型号</w:t>
            </w:r>
          </w:p>
        </w:tc>
        <w:tc>
          <w:tcPr>
            <w:tcW w:w="1058" w:type="dxa"/>
            <w:vAlign w:val="center"/>
          </w:tcPr>
          <w:p w14:paraId="7127542A">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数量</w:t>
            </w:r>
          </w:p>
        </w:tc>
        <w:tc>
          <w:tcPr>
            <w:tcW w:w="880" w:type="dxa"/>
            <w:vAlign w:val="center"/>
          </w:tcPr>
          <w:p w14:paraId="50618728">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产地</w:t>
            </w:r>
          </w:p>
        </w:tc>
        <w:tc>
          <w:tcPr>
            <w:tcW w:w="1020" w:type="dxa"/>
            <w:vAlign w:val="center"/>
          </w:tcPr>
          <w:p w14:paraId="436E1AA1">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制造年份</w:t>
            </w:r>
          </w:p>
        </w:tc>
        <w:tc>
          <w:tcPr>
            <w:tcW w:w="1480" w:type="dxa"/>
            <w:vAlign w:val="center"/>
          </w:tcPr>
          <w:p w14:paraId="58E407DE">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额定功率（kW）</w:t>
            </w:r>
          </w:p>
        </w:tc>
        <w:tc>
          <w:tcPr>
            <w:tcW w:w="1020" w:type="dxa"/>
            <w:vAlign w:val="center"/>
          </w:tcPr>
          <w:p w14:paraId="7C1E65BB">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生产能力</w:t>
            </w:r>
          </w:p>
        </w:tc>
        <w:tc>
          <w:tcPr>
            <w:tcW w:w="921" w:type="dxa"/>
            <w:vAlign w:val="center"/>
          </w:tcPr>
          <w:p w14:paraId="1EA3261B">
            <w:pPr>
              <w:pStyle w:val="11"/>
              <w:keepNext/>
              <w:spacing w:line="440" w:lineRule="exact"/>
              <w:ind w:left="63" w:right="63"/>
              <w:rPr>
                <w:rFonts w:hint="eastAsia" w:asciiTheme="minorEastAsia" w:hAnsiTheme="minorEastAsia" w:eastAsiaTheme="minorEastAsia" w:cstheme="minorEastAsia"/>
                <w:color w:val="auto"/>
                <w:sz w:val="28"/>
                <w:szCs w:val="30"/>
                <w:highlight w:val="none"/>
              </w:rPr>
            </w:pPr>
            <w:r>
              <w:rPr>
                <w:rFonts w:hint="eastAsia" w:asciiTheme="minorEastAsia" w:hAnsiTheme="minorEastAsia" w:eastAsiaTheme="minorEastAsia" w:cstheme="minorEastAsia"/>
                <w:color w:val="auto"/>
                <w:sz w:val="28"/>
                <w:szCs w:val="30"/>
                <w:highlight w:val="none"/>
              </w:rPr>
              <w:t>备注</w:t>
            </w:r>
          </w:p>
        </w:tc>
      </w:tr>
      <w:tr w14:paraId="0CBB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AB123E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8" w:type="dxa"/>
            <w:vAlign w:val="center"/>
          </w:tcPr>
          <w:p w14:paraId="1FBAF62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13029E1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58" w:type="dxa"/>
            <w:vAlign w:val="center"/>
          </w:tcPr>
          <w:p w14:paraId="1D00994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80" w:type="dxa"/>
            <w:vAlign w:val="center"/>
          </w:tcPr>
          <w:p w14:paraId="50E71E4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0C6970B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80" w:type="dxa"/>
            <w:vAlign w:val="center"/>
          </w:tcPr>
          <w:p w14:paraId="196514FA">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5DA51A7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921" w:type="dxa"/>
            <w:vAlign w:val="center"/>
          </w:tcPr>
          <w:p w14:paraId="2562BF5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35E1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CD2E1F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8" w:type="dxa"/>
            <w:vAlign w:val="center"/>
          </w:tcPr>
          <w:p w14:paraId="705A835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46CB74E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58" w:type="dxa"/>
            <w:vAlign w:val="center"/>
          </w:tcPr>
          <w:p w14:paraId="06A0839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80" w:type="dxa"/>
            <w:vAlign w:val="center"/>
          </w:tcPr>
          <w:p w14:paraId="22C9810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303BA3F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80" w:type="dxa"/>
            <w:vAlign w:val="center"/>
          </w:tcPr>
          <w:p w14:paraId="4454E83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1B8CAE1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921" w:type="dxa"/>
            <w:vAlign w:val="center"/>
          </w:tcPr>
          <w:p w14:paraId="6F83DE0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1352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93F3C1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8" w:type="dxa"/>
            <w:vAlign w:val="center"/>
          </w:tcPr>
          <w:p w14:paraId="6A6BA1C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7713D7D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58" w:type="dxa"/>
            <w:vAlign w:val="center"/>
          </w:tcPr>
          <w:p w14:paraId="5411DAC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80" w:type="dxa"/>
            <w:vAlign w:val="center"/>
          </w:tcPr>
          <w:p w14:paraId="6C4184D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0A8B0F1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80" w:type="dxa"/>
            <w:vAlign w:val="center"/>
          </w:tcPr>
          <w:p w14:paraId="54B5C59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0CFE96C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921" w:type="dxa"/>
            <w:vAlign w:val="center"/>
          </w:tcPr>
          <w:p w14:paraId="7A983C6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1F9B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E4AE99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8" w:type="dxa"/>
            <w:vAlign w:val="center"/>
          </w:tcPr>
          <w:p w14:paraId="54C4CF4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6FD51CA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58" w:type="dxa"/>
            <w:vAlign w:val="center"/>
          </w:tcPr>
          <w:p w14:paraId="7FD8D67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80" w:type="dxa"/>
            <w:vAlign w:val="center"/>
          </w:tcPr>
          <w:p w14:paraId="586A9AA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4B1BC6C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80" w:type="dxa"/>
            <w:vAlign w:val="center"/>
          </w:tcPr>
          <w:p w14:paraId="2AA6C40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67E1C02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921" w:type="dxa"/>
            <w:vAlign w:val="center"/>
          </w:tcPr>
          <w:p w14:paraId="013B604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0899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991B82F">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8" w:type="dxa"/>
            <w:vAlign w:val="center"/>
          </w:tcPr>
          <w:p w14:paraId="405E14E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773B743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58" w:type="dxa"/>
            <w:vAlign w:val="center"/>
          </w:tcPr>
          <w:p w14:paraId="3351144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80" w:type="dxa"/>
            <w:vAlign w:val="center"/>
          </w:tcPr>
          <w:p w14:paraId="2F3E090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0E8B875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80" w:type="dxa"/>
            <w:vAlign w:val="center"/>
          </w:tcPr>
          <w:p w14:paraId="3A426AF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0EE4793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921" w:type="dxa"/>
            <w:vAlign w:val="center"/>
          </w:tcPr>
          <w:p w14:paraId="26F0489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42DF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31391C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8" w:type="dxa"/>
            <w:vAlign w:val="center"/>
          </w:tcPr>
          <w:p w14:paraId="2EC2D95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0B5550B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58" w:type="dxa"/>
            <w:vAlign w:val="center"/>
          </w:tcPr>
          <w:p w14:paraId="2C64AD5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80" w:type="dxa"/>
            <w:vAlign w:val="center"/>
          </w:tcPr>
          <w:p w14:paraId="6A50866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36DBC90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80" w:type="dxa"/>
            <w:vAlign w:val="center"/>
          </w:tcPr>
          <w:p w14:paraId="7E3C5B2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621B3A3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921" w:type="dxa"/>
            <w:vAlign w:val="center"/>
          </w:tcPr>
          <w:p w14:paraId="16042CD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0404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FFC19B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8" w:type="dxa"/>
            <w:vAlign w:val="center"/>
          </w:tcPr>
          <w:p w14:paraId="2A4FDFB1">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2875CDE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58" w:type="dxa"/>
            <w:vAlign w:val="center"/>
          </w:tcPr>
          <w:p w14:paraId="7AC6E21E">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80" w:type="dxa"/>
            <w:vAlign w:val="center"/>
          </w:tcPr>
          <w:p w14:paraId="34C38595">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4490F9A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80" w:type="dxa"/>
            <w:vAlign w:val="center"/>
          </w:tcPr>
          <w:p w14:paraId="21A844AD">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368962E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921" w:type="dxa"/>
            <w:vAlign w:val="center"/>
          </w:tcPr>
          <w:p w14:paraId="539C190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0F24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A8FD1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8" w:type="dxa"/>
            <w:vAlign w:val="center"/>
          </w:tcPr>
          <w:p w14:paraId="2DA6D874">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5099361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58" w:type="dxa"/>
            <w:vAlign w:val="center"/>
          </w:tcPr>
          <w:p w14:paraId="2549A669">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80" w:type="dxa"/>
            <w:vAlign w:val="center"/>
          </w:tcPr>
          <w:p w14:paraId="6763B8A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2AD02D9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80" w:type="dxa"/>
            <w:vAlign w:val="center"/>
          </w:tcPr>
          <w:p w14:paraId="6FA6006B">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75EB9DF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921" w:type="dxa"/>
            <w:vAlign w:val="center"/>
          </w:tcPr>
          <w:p w14:paraId="34F23E4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18AE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4D58A271">
            <w:pPr>
              <w:rPr>
                <w:rFonts w:hint="eastAsia" w:asciiTheme="minorEastAsia" w:hAnsiTheme="minorEastAsia" w:eastAsiaTheme="minorEastAsia" w:cstheme="minorEastAsia"/>
                <w:color w:val="auto"/>
                <w:sz w:val="30"/>
                <w:szCs w:val="30"/>
                <w:highlight w:val="none"/>
              </w:rPr>
            </w:pPr>
          </w:p>
        </w:tc>
        <w:tc>
          <w:tcPr>
            <w:tcW w:w="1418" w:type="dxa"/>
            <w:vAlign w:val="top"/>
          </w:tcPr>
          <w:p w14:paraId="14CE8B01">
            <w:pPr>
              <w:rPr>
                <w:rFonts w:hint="eastAsia" w:asciiTheme="minorEastAsia" w:hAnsiTheme="minorEastAsia" w:eastAsiaTheme="minorEastAsia" w:cstheme="minorEastAsia"/>
                <w:color w:val="auto"/>
                <w:sz w:val="30"/>
                <w:szCs w:val="30"/>
                <w:highlight w:val="none"/>
              </w:rPr>
            </w:pPr>
          </w:p>
        </w:tc>
        <w:tc>
          <w:tcPr>
            <w:tcW w:w="850" w:type="dxa"/>
            <w:vAlign w:val="top"/>
          </w:tcPr>
          <w:p w14:paraId="00F9BFC7">
            <w:pPr>
              <w:rPr>
                <w:rFonts w:hint="eastAsia" w:asciiTheme="minorEastAsia" w:hAnsiTheme="minorEastAsia" w:eastAsiaTheme="minorEastAsia" w:cstheme="minorEastAsia"/>
                <w:color w:val="auto"/>
                <w:sz w:val="30"/>
                <w:szCs w:val="30"/>
                <w:highlight w:val="none"/>
              </w:rPr>
            </w:pPr>
          </w:p>
        </w:tc>
        <w:tc>
          <w:tcPr>
            <w:tcW w:w="1058" w:type="dxa"/>
            <w:vAlign w:val="top"/>
          </w:tcPr>
          <w:p w14:paraId="17C2E159">
            <w:pPr>
              <w:rPr>
                <w:rFonts w:hint="eastAsia" w:asciiTheme="minorEastAsia" w:hAnsiTheme="minorEastAsia" w:eastAsiaTheme="minorEastAsia" w:cstheme="minorEastAsia"/>
                <w:color w:val="auto"/>
                <w:sz w:val="30"/>
                <w:szCs w:val="30"/>
                <w:highlight w:val="none"/>
              </w:rPr>
            </w:pPr>
          </w:p>
        </w:tc>
        <w:tc>
          <w:tcPr>
            <w:tcW w:w="880" w:type="dxa"/>
            <w:vAlign w:val="top"/>
          </w:tcPr>
          <w:p w14:paraId="72F8A013">
            <w:pPr>
              <w:rPr>
                <w:rFonts w:hint="eastAsia" w:asciiTheme="minorEastAsia" w:hAnsiTheme="minorEastAsia" w:eastAsiaTheme="minorEastAsia" w:cstheme="minorEastAsia"/>
                <w:color w:val="auto"/>
                <w:sz w:val="30"/>
                <w:szCs w:val="30"/>
                <w:highlight w:val="none"/>
              </w:rPr>
            </w:pPr>
          </w:p>
        </w:tc>
        <w:tc>
          <w:tcPr>
            <w:tcW w:w="1020" w:type="dxa"/>
            <w:vAlign w:val="top"/>
          </w:tcPr>
          <w:p w14:paraId="4754A54B">
            <w:pPr>
              <w:rPr>
                <w:rFonts w:hint="eastAsia" w:asciiTheme="minorEastAsia" w:hAnsiTheme="minorEastAsia" w:eastAsiaTheme="minorEastAsia" w:cstheme="minorEastAsia"/>
                <w:color w:val="auto"/>
                <w:sz w:val="30"/>
                <w:szCs w:val="30"/>
                <w:highlight w:val="none"/>
              </w:rPr>
            </w:pPr>
          </w:p>
        </w:tc>
        <w:tc>
          <w:tcPr>
            <w:tcW w:w="1480" w:type="dxa"/>
            <w:vAlign w:val="top"/>
          </w:tcPr>
          <w:p w14:paraId="26D541DA">
            <w:pPr>
              <w:rPr>
                <w:rFonts w:hint="eastAsia" w:asciiTheme="minorEastAsia" w:hAnsiTheme="minorEastAsia" w:eastAsiaTheme="minorEastAsia" w:cstheme="minorEastAsia"/>
                <w:color w:val="auto"/>
                <w:sz w:val="30"/>
                <w:szCs w:val="30"/>
                <w:highlight w:val="none"/>
              </w:rPr>
            </w:pPr>
          </w:p>
        </w:tc>
        <w:tc>
          <w:tcPr>
            <w:tcW w:w="1020" w:type="dxa"/>
            <w:vAlign w:val="top"/>
          </w:tcPr>
          <w:p w14:paraId="4E096E75">
            <w:pPr>
              <w:rPr>
                <w:rFonts w:hint="eastAsia" w:asciiTheme="minorEastAsia" w:hAnsiTheme="minorEastAsia" w:eastAsiaTheme="minorEastAsia" w:cstheme="minorEastAsia"/>
                <w:color w:val="auto"/>
                <w:sz w:val="30"/>
                <w:szCs w:val="30"/>
                <w:highlight w:val="none"/>
              </w:rPr>
            </w:pPr>
          </w:p>
        </w:tc>
        <w:tc>
          <w:tcPr>
            <w:tcW w:w="921" w:type="dxa"/>
            <w:vAlign w:val="top"/>
          </w:tcPr>
          <w:p w14:paraId="02559660">
            <w:pPr>
              <w:rPr>
                <w:rFonts w:hint="eastAsia" w:asciiTheme="minorEastAsia" w:hAnsiTheme="minorEastAsia" w:eastAsiaTheme="minorEastAsia" w:cstheme="minorEastAsia"/>
                <w:color w:val="auto"/>
                <w:sz w:val="30"/>
                <w:szCs w:val="30"/>
                <w:highlight w:val="none"/>
              </w:rPr>
            </w:pPr>
          </w:p>
        </w:tc>
      </w:tr>
      <w:tr w14:paraId="6F89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67B28C0">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18" w:type="dxa"/>
            <w:vAlign w:val="center"/>
          </w:tcPr>
          <w:p w14:paraId="66825082">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50" w:type="dxa"/>
            <w:vAlign w:val="center"/>
          </w:tcPr>
          <w:p w14:paraId="62562AD7">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58" w:type="dxa"/>
            <w:vAlign w:val="center"/>
          </w:tcPr>
          <w:p w14:paraId="07ADC2F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880" w:type="dxa"/>
            <w:vAlign w:val="center"/>
          </w:tcPr>
          <w:p w14:paraId="50B7ABF6">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31E6BDC8">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480" w:type="dxa"/>
            <w:vAlign w:val="center"/>
          </w:tcPr>
          <w:p w14:paraId="6A93B99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1020" w:type="dxa"/>
            <w:vAlign w:val="center"/>
          </w:tcPr>
          <w:p w14:paraId="2F6E73EC">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c>
          <w:tcPr>
            <w:tcW w:w="921" w:type="dxa"/>
            <w:vAlign w:val="center"/>
          </w:tcPr>
          <w:p w14:paraId="5904DDD3">
            <w:pPr>
              <w:pStyle w:val="11"/>
              <w:keepNext/>
              <w:spacing w:line="440" w:lineRule="exact"/>
              <w:ind w:left="63" w:right="63"/>
              <w:rPr>
                <w:rFonts w:hint="eastAsia" w:asciiTheme="minorEastAsia" w:hAnsiTheme="minorEastAsia" w:eastAsiaTheme="minorEastAsia" w:cstheme="minorEastAsia"/>
                <w:color w:val="auto"/>
                <w:sz w:val="30"/>
                <w:szCs w:val="30"/>
                <w:highlight w:val="none"/>
              </w:rPr>
            </w:pPr>
          </w:p>
        </w:tc>
      </w:tr>
      <w:tr w14:paraId="5E1A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296C0857">
            <w:pPr>
              <w:rPr>
                <w:rFonts w:hint="eastAsia" w:asciiTheme="minorEastAsia" w:hAnsiTheme="minorEastAsia" w:eastAsiaTheme="minorEastAsia" w:cstheme="minorEastAsia"/>
                <w:color w:val="auto"/>
                <w:sz w:val="30"/>
                <w:szCs w:val="30"/>
                <w:highlight w:val="none"/>
              </w:rPr>
            </w:pPr>
          </w:p>
        </w:tc>
        <w:tc>
          <w:tcPr>
            <w:tcW w:w="1418" w:type="dxa"/>
            <w:vAlign w:val="top"/>
          </w:tcPr>
          <w:p w14:paraId="03C373C0">
            <w:pPr>
              <w:rPr>
                <w:rFonts w:hint="eastAsia" w:asciiTheme="minorEastAsia" w:hAnsiTheme="minorEastAsia" w:eastAsiaTheme="minorEastAsia" w:cstheme="minorEastAsia"/>
                <w:color w:val="auto"/>
                <w:sz w:val="30"/>
                <w:szCs w:val="30"/>
                <w:highlight w:val="none"/>
              </w:rPr>
            </w:pPr>
          </w:p>
        </w:tc>
        <w:tc>
          <w:tcPr>
            <w:tcW w:w="850" w:type="dxa"/>
            <w:vAlign w:val="top"/>
          </w:tcPr>
          <w:p w14:paraId="00768D01">
            <w:pPr>
              <w:rPr>
                <w:rFonts w:hint="eastAsia" w:asciiTheme="minorEastAsia" w:hAnsiTheme="minorEastAsia" w:eastAsiaTheme="minorEastAsia" w:cstheme="minorEastAsia"/>
                <w:color w:val="auto"/>
                <w:sz w:val="30"/>
                <w:szCs w:val="30"/>
                <w:highlight w:val="none"/>
              </w:rPr>
            </w:pPr>
          </w:p>
        </w:tc>
        <w:tc>
          <w:tcPr>
            <w:tcW w:w="1058" w:type="dxa"/>
            <w:vAlign w:val="top"/>
          </w:tcPr>
          <w:p w14:paraId="2A31AA00">
            <w:pPr>
              <w:rPr>
                <w:rFonts w:hint="eastAsia" w:asciiTheme="minorEastAsia" w:hAnsiTheme="minorEastAsia" w:eastAsiaTheme="minorEastAsia" w:cstheme="minorEastAsia"/>
                <w:color w:val="auto"/>
                <w:sz w:val="30"/>
                <w:szCs w:val="30"/>
                <w:highlight w:val="none"/>
              </w:rPr>
            </w:pPr>
          </w:p>
        </w:tc>
        <w:tc>
          <w:tcPr>
            <w:tcW w:w="880" w:type="dxa"/>
            <w:vAlign w:val="top"/>
          </w:tcPr>
          <w:p w14:paraId="76A8E4B0">
            <w:pPr>
              <w:rPr>
                <w:rFonts w:hint="eastAsia" w:asciiTheme="minorEastAsia" w:hAnsiTheme="minorEastAsia" w:eastAsiaTheme="minorEastAsia" w:cstheme="minorEastAsia"/>
                <w:color w:val="auto"/>
                <w:sz w:val="30"/>
                <w:szCs w:val="30"/>
                <w:highlight w:val="none"/>
              </w:rPr>
            </w:pPr>
          </w:p>
        </w:tc>
        <w:tc>
          <w:tcPr>
            <w:tcW w:w="1020" w:type="dxa"/>
            <w:vAlign w:val="top"/>
          </w:tcPr>
          <w:p w14:paraId="58BD9AB0">
            <w:pPr>
              <w:rPr>
                <w:rFonts w:hint="eastAsia" w:asciiTheme="minorEastAsia" w:hAnsiTheme="minorEastAsia" w:eastAsiaTheme="minorEastAsia" w:cstheme="minorEastAsia"/>
                <w:color w:val="auto"/>
                <w:sz w:val="30"/>
                <w:szCs w:val="30"/>
                <w:highlight w:val="none"/>
              </w:rPr>
            </w:pPr>
          </w:p>
        </w:tc>
        <w:tc>
          <w:tcPr>
            <w:tcW w:w="1480" w:type="dxa"/>
            <w:vAlign w:val="top"/>
          </w:tcPr>
          <w:p w14:paraId="37FF78DF">
            <w:pPr>
              <w:rPr>
                <w:rFonts w:hint="eastAsia" w:asciiTheme="minorEastAsia" w:hAnsiTheme="minorEastAsia" w:eastAsiaTheme="minorEastAsia" w:cstheme="minorEastAsia"/>
                <w:color w:val="auto"/>
                <w:sz w:val="30"/>
                <w:szCs w:val="30"/>
                <w:highlight w:val="none"/>
              </w:rPr>
            </w:pPr>
          </w:p>
        </w:tc>
        <w:tc>
          <w:tcPr>
            <w:tcW w:w="1020" w:type="dxa"/>
            <w:vAlign w:val="top"/>
          </w:tcPr>
          <w:p w14:paraId="7A85F05B">
            <w:pPr>
              <w:rPr>
                <w:rFonts w:hint="eastAsia" w:asciiTheme="minorEastAsia" w:hAnsiTheme="minorEastAsia" w:eastAsiaTheme="minorEastAsia" w:cstheme="minorEastAsia"/>
                <w:color w:val="auto"/>
                <w:sz w:val="30"/>
                <w:szCs w:val="30"/>
                <w:highlight w:val="none"/>
              </w:rPr>
            </w:pPr>
          </w:p>
        </w:tc>
        <w:tc>
          <w:tcPr>
            <w:tcW w:w="921" w:type="dxa"/>
            <w:vAlign w:val="top"/>
          </w:tcPr>
          <w:p w14:paraId="04D37A1E">
            <w:pPr>
              <w:rPr>
                <w:rFonts w:hint="eastAsia" w:asciiTheme="minorEastAsia" w:hAnsiTheme="minorEastAsia" w:eastAsiaTheme="minorEastAsia" w:cstheme="minorEastAsia"/>
                <w:color w:val="auto"/>
                <w:sz w:val="30"/>
                <w:szCs w:val="30"/>
                <w:highlight w:val="none"/>
              </w:rPr>
            </w:pPr>
          </w:p>
        </w:tc>
      </w:tr>
      <w:tr w14:paraId="1153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76718225">
            <w:pPr>
              <w:rPr>
                <w:rFonts w:hint="eastAsia" w:asciiTheme="minorEastAsia" w:hAnsiTheme="minorEastAsia" w:eastAsiaTheme="minorEastAsia" w:cstheme="minorEastAsia"/>
                <w:color w:val="auto"/>
                <w:sz w:val="30"/>
                <w:szCs w:val="30"/>
                <w:highlight w:val="none"/>
              </w:rPr>
            </w:pPr>
          </w:p>
        </w:tc>
        <w:tc>
          <w:tcPr>
            <w:tcW w:w="1418" w:type="dxa"/>
            <w:vAlign w:val="top"/>
          </w:tcPr>
          <w:p w14:paraId="2BF92DA5">
            <w:pPr>
              <w:rPr>
                <w:rFonts w:hint="eastAsia" w:asciiTheme="minorEastAsia" w:hAnsiTheme="minorEastAsia" w:eastAsiaTheme="minorEastAsia" w:cstheme="minorEastAsia"/>
                <w:color w:val="auto"/>
                <w:sz w:val="30"/>
                <w:szCs w:val="30"/>
                <w:highlight w:val="none"/>
              </w:rPr>
            </w:pPr>
          </w:p>
        </w:tc>
        <w:tc>
          <w:tcPr>
            <w:tcW w:w="850" w:type="dxa"/>
            <w:vAlign w:val="top"/>
          </w:tcPr>
          <w:p w14:paraId="4FF54383">
            <w:pPr>
              <w:rPr>
                <w:rFonts w:hint="eastAsia" w:asciiTheme="minorEastAsia" w:hAnsiTheme="minorEastAsia" w:eastAsiaTheme="minorEastAsia" w:cstheme="minorEastAsia"/>
                <w:color w:val="auto"/>
                <w:sz w:val="30"/>
                <w:szCs w:val="30"/>
                <w:highlight w:val="none"/>
              </w:rPr>
            </w:pPr>
          </w:p>
        </w:tc>
        <w:tc>
          <w:tcPr>
            <w:tcW w:w="1058" w:type="dxa"/>
            <w:vAlign w:val="top"/>
          </w:tcPr>
          <w:p w14:paraId="39B8E192">
            <w:pPr>
              <w:rPr>
                <w:rFonts w:hint="eastAsia" w:asciiTheme="minorEastAsia" w:hAnsiTheme="minorEastAsia" w:eastAsiaTheme="minorEastAsia" w:cstheme="minorEastAsia"/>
                <w:color w:val="auto"/>
                <w:sz w:val="30"/>
                <w:szCs w:val="30"/>
                <w:highlight w:val="none"/>
              </w:rPr>
            </w:pPr>
          </w:p>
        </w:tc>
        <w:tc>
          <w:tcPr>
            <w:tcW w:w="880" w:type="dxa"/>
            <w:vAlign w:val="top"/>
          </w:tcPr>
          <w:p w14:paraId="5B252F49">
            <w:pPr>
              <w:rPr>
                <w:rFonts w:hint="eastAsia" w:asciiTheme="minorEastAsia" w:hAnsiTheme="minorEastAsia" w:eastAsiaTheme="minorEastAsia" w:cstheme="minorEastAsia"/>
                <w:color w:val="auto"/>
                <w:sz w:val="30"/>
                <w:szCs w:val="30"/>
                <w:highlight w:val="none"/>
              </w:rPr>
            </w:pPr>
          </w:p>
        </w:tc>
        <w:tc>
          <w:tcPr>
            <w:tcW w:w="1020" w:type="dxa"/>
            <w:vAlign w:val="top"/>
          </w:tcPr>
          <w:p w14:paraId="4D63BC7B">
            <w:pPr>
              <w:rPr>
                <w:rFonts w:hint="eastAsia" w:asciiTheme="minorEastAsia" w:hAnsiTheme="minorEastAsia" w:eastAsiaTheme="minorEastAsia" w:cstheme="minorEastAsia"/>
                <w:color w:val="auto"/>
                <w:sz w:val="30"/>
                <w:szCs w:val="30"/>
                <w:highlight w:val="none"/>
              </w:rPr>
            </w:pPr>
          </w:p>
        </w:tc>
        <w:tc>
          <w:tcPr>
            <w:tcW w:w="1480" w:type="dxa"/>
            <w:vAlign w:val="top"/>
          </w:tcPr>
          <w:p w14:paraId="237F1B51">
            <w:pPr>
              <w:rPr>
                <w:rFonts w:hint="eastAsia" w:asciiTheme="minorEastAsia" w:hAnsiTheme="minorEastAsia" w:eastAsiaTheme="minorEastAsia" w:cstheme="minorEastAsia"/>
                <w:color w:val="auto"/>
                <w:sz w:val="30"/>
                <w:szCs w:val="30"/>
                <w:highlight w:val="none"/>
              </w:rPr>
            </w:pPr>
          </w:p>
        </w:tc>
        <w:tc>
          <w:tcPr>
            <w:tcW w:w="1020" w:type="dxa"/>
            <w:vAlign w:val="top"/>
          </w:tcPr>
          <w:p w14:paraId="1E320D32">
            <w:pPr>
              <w:rPr>
                <w:rFonts w:hint="eastAsia" w:asciiTheme="minorEastAsia" w:hAnsiTheme="minorEastAsia" w:eastAsiaTheme="minorEastAsia" w:cstheme="minorEastAsia"/>
                <w:color w:val="auto"/>
                <w:sz w:val="30"/>
                <w:szCs w:val="30"/>
                <w:highlight w:val="none"/>
              </w:rPr>
            </w:pPr>
          </w:p>
        </w:tc>
        <w:tc>
          <w:tcPr>
            <w:tcW w:w="921" w:type="dxa"/>
            <w:vAlign w:val="top"/>
          </w:tcPr>
          <w:p w14:paraId="231B0E7F">
            <w:pPr>
              <w:rPr>
                <w:rFonts w:hint="eastAsia" w:asciiTheme="minorEastAsia" w:hAnsiTheme="minorEastAsia" w:eastAsiaTheme="minorEastAsia" w:cstheme="minorEastAsia"/>
                <w:color w:val="auto"/>
                <w:sz w:val="30"/>
                <w:szCs w:val="30"/>
                <w:highlight w:val="none"/>
              </w:rPr>
            </w:pPr>
          </w:p>
        </w:tc>
      </w:tr>
      <w:tr w14:paraId="0F47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5A748A68">
            <w:pPr>
              <w:rPr>
                <w:rFonts w:hint="eastAsia" w:asciiTheme="minorEastAsia" w:hAnsiTheme="minorEastAsia" w:eastAsiaTheme="minorEastAsia" w:cstheme="minorEastAsia"/>
                <w:color w:val="auto"/>
                <w:sz w:val="30"/>
                <w:szCs w:val="30"/>
                <w:highlight w:val="none"/>
              </w:rPr>
            </w:pPr>
          </w:p>
        </w:tc>
        <w:tc>
          <w:tcPr>
            <w:tcW w:w="1418" w:type="dxa"/>
            <w:vAlign w:val="top"/>
          </w:tcPr>
          <w:p w14:paraId="328897E9">
            <w:pPr>
              <w:rPr>
                <w:rFonts w:hint="eastAsia" w:asciiTheme="minorEastAsia" w:hAnsiTheme="minorEastAsia" w:eastAsiaTheme="minorEastAsia" w:cstheme="minorEastAsia"/>
                <w:color w:val="auto"/>
                <w:sz w:val="30"/>
                <w:szCs w:val="30"/>
                <w:highlight w:val="none"/>
              </w:rPr>
            </w:pPr>
          </w:p>
        </w:tc>
        <w:tc>
          <w:tcPr>
            <w:tcW w:w="850" w:type="dxa"/>
            <w:vAlign w:val="top"/>
          </w:tcPr>
          <w:p w14:paraId="08940A41">
            <w:pPr>
              <w:rPr>
                <w:rFonts w:hint="eastAsia" w:asciiTheme="minorEastAsia" w:hAnsiTheme="minorEastAsia" w:eastAsiaTheme="minorEastAsia" w:cstheme="minorEastAsia"/>
                <w:color w:val="auto"/>
                <w:sz w:val="30"/>
                <w:szCs w:val="30"/>
                <w:highlight w:val="none"/>
              </w:rPr>
            </w:pPr>
          </w:p>
        </w:tc>
        <w:tc>
          <w:tcPr>
            <w:tcW w:w="1058" w:type="dxa"/>
            <w:vAlign w:val="top"/>
          </w:tcPr>
          <w:p w14:paraId="6B1F60E5">
            <w:pPr>
              <w:rPr>
                <w:rFonts w:hint="eastAsia" w:asciiTheme="minorEastAsia" w:hAnsiTheme="minorEastAsia" w:eastAsiaTheme="minorEastAsia" w:cstheme="minorEastAsia"/>
                <w:color w:val="auto"/>
                <w:sz w:val="30"/>
                <w:szCs w:val="30"/>
                <w:highlight w:val="none"/>
              </w:rPr>
            </w:pPr>
          </w:p>
        </w:tc>
        <w:tc>
          <w:tcPr>
            <w:tcW w:w="880" w:type="dxa"/>
            <w:vAlign w:val="top"/>
          </w:tcPr>
          <w:p w14:paraId="3DDB0DCB">
            <w:pPr>
              <w:rPr>
                <w:rFonts w:hint="eastAsia" w:asciiTheme="minorEastAsia" w:hAnsiTheme="minorEastAsia" w:eastAsiaTheme="minorEastAsia" w:cstheme="minorEastAsia"/>
                <w:color w:val="auto"/>
                <w:sz w:val="30"/>
                <w:szCs w:val="30"/>
                <w:highlight w:val="none"/>
              </w:rPr>
            </w:pPr>
          </w:p>
        </w:tc>
        <w:tc>
          <w:tcPr>
            <w:tcW w:w="1020" w:type="dxa"/>
            <w:vAlign w:val="top"/>
          </w:tcPr>
          <w:p w14:paraId="40BD86BB">
            <w:pPr>
              <w:rPr>
                <w:rFonts w:hint="eastAsia" w:asciiTheme="minorEastAsia" w:hAnsiTheme="minorEastAsia" w:eastAsiaTheme="minorEastAsia" w:cstheme="minorEastAsia"/>
                <w:color w:val="auto"/>
                <w:sz w:val="30"/>
                <w:szCs w:val="30"/>
                <w:highlight w:val="none"/>
              </w:rPr>
            </w:pPr>
          </w:p>
        </w:tc>
        <w:tc>
          <w:tcPr>
            <w:tcW w:w="1480" w:type="dxa"/>
            <w:vAlign w:val="top"/>
          </w:tcPr>
          <w:p w14:paraId="522B1924">
            <w:pPr>
              <w:rPr>
                <w:rFonts w:hint="eastAsia" w:asciiTheme="minorEastAsia" w:hAnsiTheme="minorEastAsia" w:eastAsiaTheme="minorEastAsia" w:cstheme="minorEastAsia"/>
                <w:color w:val="auto"/>
                <w:sz w:val="30"/>
                <w:szCs w:val="30"/>
                <w:highlight w:val="none"/>
              </w:rPr>
            </w:pPr>
          </w:p>
        </w:tc>
        <w:tc>
          <w:tcPr>
            <w:tcW w:w="1020" w:type="dxa"/>
            <w:vAlign w:val="top"/>
          </w:tcPr>
          <w:p w14:paraId="56ACC2C4">
            <w:pPr>
              <w:rPr>
                <w:rFonts w:hint="eastAsia" w:asciiTheme="minorEastAsia" w:hAnsiTheme="minorEastAsia" w:eastAsiaTheme="minorEastAsia" w:cstheme="minorEastAsia"/>
                <w:color w:val="auto"/>
                <w:sz w:val="30"/>
                <w:szCs w:val="30"/>
                <w:highlight w:val="none"/>
              </w:rPr>
            </w:pPr>
          </w:p>
        </w:tc>
        <w:tc>
          <w:tcPr>
            <w:tcW w:w="921" w:type="dxa"/>
            <w:vAlign w:val="top"/>
          </w:tcPr>
          <w:p w14:paraId="68D5BE39">
            <w:pPr>
              <w:rPr>
                <w:rFonts w:hint="eastAsia" w:asciiTheme="minorEastAsia" w:hAnsiTheme="minorEastAsia" w:eastAsiaTheme="minorEastAsia" w:cstheme="minorEastAsia"/>
                <w:color w:val="auto"/>
                <w:sz w:val="30"/>
                <w:szCs w:val="30"/>
                <w:highlight w:val="none"/>
              </w:rPr>
            </w:pPr>
          </w:p>
        </w:tc>
      </w:tr>
      <w:tr w14:paraId="3902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5F780CDF">
            <w:pPr>
              <w:rPr>
                <w:rFonts w:hint="eastAsia" w:asciiTheme="minorEastAsia" w:hAnsiTheme="minorEastAsia" w:eastAsiaTheme="minorEastAsia" w:cstheme="minorEastAsia"/>
                <w:color w:val="auto"/>
                <w:sz w:val="30"/>
                <w:szCs w:val="30"/>
                <w:highlight w:val="none"/>
              </w:rPr>
            </w:pPr>
          </w:p>
        </w:tc>
        <w:tc>
          <w:tcPr>
            <w:tcW w:w="1418" w:type="dxa"/>
            <w:vAlign w:val="top"/>
          </w:tcPr>
          <w:p w14:paraId="6160C45F">
            <w:pPr>
              <w:rPr>
                <w:rFonts w:hint="eastAsia" w:asciiTheme="minorEastAsia" w:hAnsiTheme="minorEastAsia" w:eastAsiaTheme="minorEastAsia" w:cstheme="minorEastAsia"/>
                <w:color w:val="auto"/>
                <w:sz w:val="30"/>
                <w:szCs w:val="30"/>
                <w:highlight w:val="none"/>
              </w:rPr>
            </w:pPr>
          </w:p>
        </w:tc>
        <w:tc>
          <w:tcPr>
            <w:tcW w:w="850" w:type="dxa"/>
            <w:vAlign w:val="top"/>
          </w:tcPr>
          <w:p w14:paraId="1A653C6B">
            <w:pPr>
              <w:rPr>
                <w:rFonts w:hint="eastAsia" w:asciiTheme="minorEastAsia" w:hAnsiTheme="minorEastAsia" w:eastAsiaTheme="minorEastAsia" w:cstheme="minorEastAsia"/>
                <w:color w:val="auto"/>
                <w:sz w:val="30"/>
                <w:szCs w:val="30"/>
                <w:highlight w:val="none"/>
              </w:rPr>
            </w:pPr>
          </w:p>
        </w:tc>
        <w:tc>
          <w:tcPr>
            <w:tcW w:w="1058" w:type="dxa"/>
            <w:vAlign w:val="top"/>
          </w:tcPr>
          <w:p w14:paraId="76752F2C">
            <w:pPr>
              <w:rPr>
                <w:rFonts w:hint="eastAsia" w:asciiTheme="minorEastAsia" w:hAnsiTheme="minorEastAsia" w:eastAsiaTheme="minorEastAsia" w:cstheme="minorEastAsia"/>
                <w:color w:val="auto"/>
                <w:sz w:val="30"/>
                <w:szCs w:val="30"/>
                <w:highlight w:val="none"/>
              </w:rPr>
            </w:pPr>
          </w:p>
        </w:tc>
        <w:tc>
          <w:tcPr>
            <w:tcW w:w="880" w:type="dxa"/>
            <w:vAlign w:val="top"/>
          </w:tcPr>
          <w:p w14:paraId="5360A605">
            <w:pPr>
              <w:rPr>
                <w:rFonts w:hint="eastAsia" w:asciiTheme="minorEastAsia" w:hAnsiTheme="minorEastAsia" w:eastAsiaTheme="minorEastAsia" w:cstheme="minorEastAsia"/>
                <w:color w:val="auto"/>
                <w:sz w:val="30"/>
                <w:szCs w:val="30"/>
                <w:highlight w:val="none"/>
              </w:rPr>
            </w:pPr>
          </w:p>
        </w:tc>
        <w:tc>
          <w:tcPr>
            <w:tcW w:w="1020" w:type="dxa"/>
            <w:vAlign w:val="top"/>
          </w:tcPr>
          <w:p w14:paraId="27D60C77">
            <w:pPr>
              <w:rPr>
                <w:rFonts w:hint="eastAsia" w:asciiTheme="minorEastAsia" w:hAnsiTheme="minorEastAsia" w:eastAsiaTheme="minorEastAsia" w:cstheme="minorEastAsia"/>
                <w:color w:val="auto"/>
                <w:sz w:val="30"/>
                <w:szCs w:val="30"/>
                <w:highlight w:val="none"/>
              </w:rPr>
            </w:pPr>
          </w:p>
        </w:tc>
        <w:tc>
          <w:tcPr>
            <w:tcW w:w="1480" w:type="dxa"/>
            <w:vAlign w:val="top"/>
          </w:tcPr>
          <w:p w14:paraId="28538F21">
            <w:pPr>
              <w:rPr>
                <w:rFonts w:hint="eastAsia" w:asciiTheme="minorEastAsia" w:hAnsiTheme="minorEastAsia" w:eastAsiaTheme="minorEastAsia" w:cstheme="minorEastAsia"/>
                <w:color w:val="auto"/>
                <w:sz w:val="30"/>
                <w:szCs w:val="30"/>
                <w:highlight w:val="none"/>
              </w:rPr>
            </w:pPr>
          </w:p>
        </w:tc>
        <w:tc>
          <w:tcPr>
            <w:tcW w:w="1020" w:type="dxa"/>
            <w:vAlign w:val="top"/>
          </w:tcPr>
          <w:p w14:paraId="423E5D3A">
            <w:pPr>
              <w:rPr>
                <w:rFonts w:hint="eastAsia" w:asciiTheme="minorEastAsia" w:hAnsiTheme="minorEastAsia" w:eastAsiaTheme="minorEastAsia" w:cstheme="minorEastAsia"/>
                <w:color w:val="auto"/>
                <w:sz w:val="30"/>
                <w:szCs w:val="30"/>
                <w:highlight w:val="none"/>
              </w:rPr>
            </w:pPr>
          </w:p>
        </w:tc>
        <w:tc>
          <w:tcPr>
            <w:tcW w:w="921" w:type="dxa"/>
            <w:vAlign w:val="top"/>
          </w:tcPr>
          <w:p w14:paraId="75B8B1A7">
            <w:pPr>
              <w:rPr>
                <w:rFonts w:hint="eastAsia" w:asciiTheme="minorEastAsia" w:hAnsiTheme="minorEastAsia" w:eastAsiaTheme="minorEastAsia" w:cstheme="minorEastAsia"/>
                <w:color w:val="auto"/>
                <w:sz w:val="30"/>
                <w:szCs w:val="30"/>
                <w:highlight w:val="none"/>
              </w:rPr>
            </w:pPr>
          </w:p>
        </w:tc>
      </w:tr>
      <w:tr w14:paraId="2E64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671A18E8">
            <w:pPr>
              <w:rPr>
                <w:rFonts w:hint="eastAsia" w:asciiTheme="minorEastAsia" w:hAnsiTheme="minorEastAsia" w:eastAsiaTheme="minorEastAsia" w:cstheme="minorEastAsia"/>
                <w:color w:val="auto"/>
                <w:sz w:val="30"/>
                <w:szCs w:val="30"/>
                <w:highlight w:val="none"/>
              </w:rPr>
            </w:pPr>
          </w:p>
        </w:tc>
        <w:tc>
          <w:tcPr>
            <w:tcW w:w="1418" w:type="dxa"/>
            <w:vAlign w:val="top"/>
          </w:tcPr>
          <w:p w14:paraId="5CD35EBA">
            <w:pPr>
              <w:rPr>
                <w:rFonts w:hint="eastAsia" w:asciiTheme="minorEastAsia" w:hAnsiTheme="minorEastAsia" w:eastAsiaTheme="minorEastAsia" w:cstheme="minorEastAsia"/>
                <w:color w:val="auto"/>
                <w:sz w:val="30"/>
                <w:szCs w:val="30"/>
                <w:highlight w:val="none"/>
              </w:rPr>
            </w:pPr>
          </w:p>
        </w:tc>
        <w:tc>
          <w:tcPr>
            <w:tcW w:w="850" w:type="dxa"/>
            <w:vAlign w:val="top"/>
          </w:tcPr>
          <w:p w14:paraId="465DF7EF">
            <w:pPr>
              <w:rPr>
                <w:rFonts w:hint="eastAsia" w:asciiTheme="minorEastAsia" w:hAnsiTheme="minorEastAsia" w:eastAsiaTheme="minorEastAsia" w:cstheme="minorEastAsia"/>
                <w:color w:val="auto"/>
                <w:sz w:val="30"/>
                <w:szCs w:val="30"/>
                <w:highlight w:val="none"/>
              </w:rPr>
            </w:pPr>
          </w:p>
        </w:tc>
        <w:tc>
          <w:tcPr>
            <w:tcW w:w="1058" w:type="dxa"/>
            <w:vAlign w:val="top"/>
          </w:tcPr>
          <w:p w14:paraId="74B10F79">
            <w:pPr>
              <w:rPr>
                <w:rFonts w:hint="eastAsia" w:asciiTheme="minorEastAsia" w:hAnsiTheme="minorEastAsia" w:eastAsiaTheme="minorEastAsia" w:cstheme="minorEastAsia"/>
                <w:color w:val="auto"/>
                <w:sz w:val="30"/>
                <w:szCs w:val="30"/>
                <w:highlight w:val="none"/>
              </w:rPr>
            </w:pPr>
          </w:p>
        </w:tc>
        <w:tc>
          <w:tcPr>
            <w:tcW w:w="880" w:type="dxa"/>
            <w:vAlign w:val="top"/>
          </w:tcPr>
          <w:p w14:paraId="668DE3D6">
            <w:pPr>
              <w:rPr>
                <w:rFonts w:hint="eastAsia" w:asciiTheme="minorEastAsia" w:hAnsiTheme="minorEastAsia" w:eastAsiaTheme="minorEastAsia" w:cstheme="minorEastAsia"/>
                <w:color w:val="auto"/>
                <w:sz w:val="30"/>
                <w:szCs w:val="30"/>
                <w:highlight w:val="none"/>
              </w:rPr>
            </w:pPr>
          </w:p>
        </w:tc>
        <w:tc>
          <w:tcPr>
            <w:tcW w:w="1020" w:type="dxa"/>
            <w:vAlign w:val="top"/>
          </w:tcPr>
          <w:p w14:paraId="05D4B3DC">
            <w:pPr>
              <w:rPr>
                <w:rFonts w:hint="eastAsia" w:asciiTheme="minorEastAsia" w:hAnsiTheme="minorEastAsia" w:eastAsiaTheme="minorEastAsia" w:cstheme="minorEastAsia"/>
                <w:color w:val="auto"/>
                <w:sz w:val="30"/>
                <w:szCs w:val="30"/>
                <w:highlight w:val="none"/>
              </w:rPr>
            </w:pPr>
          </w:p>
        </w:tc>
        <w:tc>
          <w:tcPr>
            <w:tcW w:w="1480" w:type="dxa"/>
            <w:vAlign w:val="top"/>
          </w:tcPr>
          <w:p w14:paraId="490CF2D2">
            <w:pPr>
              <w:rPr>
                <w:rFonts w:hint="eastAsia" w:asciiTheme="minorEastAsia" w:hAnsiTheme="minorEastAsia" w:eastAsiaTheme="minorEastAsia" w:cstheme="minorEastAsia"/>
                <w:color w:val="auto"/>
                <w:sz w:val="30"/>
                <w:szCs w:val="30"/>
                <w:highlight w:val="none"/>
              </w:rPr>
            </w:pPr>
          </w:p>
        </w:tc>
        <w:tc>
          <w:tcPr>
            <w:tcW w:w="1020" w:type="dxa"/>
            <w:vAlign w:val="top"/>
          </w:tcPr>
          <w:p w14:paraId="49CB0515">
            <w:pPr>
              <w:rPr>
                <w:rFonts w:hint="eastAsia" w:asciiTheme="minorEastAsia" w:hAnsiTheme="minorEastAsia" w:eastAsiaTheme="minorEastAsia" w:cstheme="minorEastAsia"/>
                <w:color w:val="auto"/>
                <w:sz w:val="30"/>
                <w:szCs w:val="30"/>
                <w:highlight w:val="none"/>
              </w:rPr>
            </w:pPr>
          </w:p>
        </w:tc>
        <w:tc>
          <w:tcPr>
            <w:tcW w:w="921" w:type="dxa"/>
            <w:vAlign w:val="top"/>
          </w:tcPr>
          <w:p w14:paraId="1569D6F9">
            <w:pPr>
              <w:rPr>
                <w:rFonts w:hint="eastAsia" w:asciiTheme="minorEastAsia" w:hAnsiTheme="minorEastAsia" w:eastAsiaTheme="minorEastAsia" w:cstheme="minorEastAsia"/>
                <w:color w:val="auto"/>
                <w:sz w:val="30"/>
                <w:szCs w:val="30"/>
                <w:highlight w:val="none"/>
              </w:rPr>
            </w:pPr>
          </w:p>
        </w:tc>
      </w:tr>
      <w:tr w14:paraId="56D8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035BDEDC">
            <w:pPr>
              <w:rPr>
                <w:rFonts w:hint="eastAsia" w:asciiTheme="minorEastAsia" w:hAnsiTheme="minorEastAsia" w:eastAsiaTheme="minorEastAsia" w:cstheme="minorEastAsia"/>
                <w:color w:val="auto"/>
                <w:sz w:val="30"/>
                <w:szCs w:val="30"/>
                <w:highlight w:val="none"/>
              </w:rPr>
            </w:pPr>
          </w:p>
        </w:tc>
        <w:tc>
          <w:tcPr>
            <w:tcW w:w="1418" w:type="dxa"/>
            <w:vAlign w:val="top"/>
          </w:tcPr>
          <w:p w14:paraId="20E5714D">
            <w:pPr>
              <w:rPr>
                <w:rFonts w:hint="eastAsia" w:asciiTheme="minorEastAsia" w:hAnsiTheme="minorEastAsia" w:eastAsiaTheme="minorEastAsia" w:cstheme="minorEastAsia"/>
                <w:color w:val="auto"/>
                <w:sz w:val="30"/>
                <w:szCs w:val="30"/>
                <w:highlight w:val="none"/>
              </w:rPr>
            </w:pPr>
          </w:p>
        </w:tc>
        <w:tc>
          <w:tcPr>
            <w:tcW w:w="850" w:type="dxa"/>
            <w:vAlign w:val="top"/>
          </w:tcPr>
          <w:p w14:paraId="646200AE">
            <w:pPr>
              <w:rPr>
                <w:rFonts w:hint="eastAsia" w:asciiTheme="minorEastAsia" w:hAnsiTheme="minorEastAsia" w:eastAsiaTheme="minorEastAsia" w:cstheme="minorEastAsia"/>
                <w:color w:val="auto"/>
                <w:sz w:val="30"/>
                <w:szCs w:val="30"/>
                <w:highlight w:val="none"/>
              </w:rPr>
            </w:pPr>
          </w:p>
        </w:tc>
        <w:tc>
          <w:tcPr>
            <w:tcW w:w="1058" w:type="dxa"/>
            <w:vAlign w:val="top"/>
          </w:tcPr>
          <w:p w14:paraId="0C020B86">
            <w:pPr>
              <w:rPr>
                <w:rFonts w:hint="eastAsia" w:asciiTheme="minorEastAsia" w:hAnsiTheme="minorEastAsia" w:eastAsiaTheme="minorEastAsia" w:cstheme="minorEastAsia"/>
                <w:color w:val="auto"/>
                <w:sz w:val="30"/>
                <w:szCs w:val="30"/>
                <w:highlight w:val="none"/>
              </w:rPr>
            </w:pPr>
          </w:p>
        </w:tc>
        <w:tc>
          <w:tcPr>
            <w:tcW w:w="880" w:type="dxa"/>
            <w:vAlign w:val="top"/>
          </w:tcPr>
          <w:p w14:paraId="77F98F5B">
            <w:pPr>
              <w:rPr>
                <w:rFonts w:hint="eastAsia" w:asciiTheme="minorEastAsia" w:hAnsiTheme="minorEastAsia" w:eastAsiaTheme="minorEastAsia" w:cstheme="minorEastAsia"/>
                <w:color w:val="auto"/>
                <w:sz w:val="30"/>
                <w:szCs w:val="30"/>
                <w:highlight w:val="none"/>
              </w:rPr>
            </w:pPr>
          </w:p>
        </w:tc>
        <w:tc>
          <w:tcPr>
            <w:tcW w:w="1020" w:type="dxa"/>
            <w:vAlign w:val="top"/>
          </w:tcPr>
          <w:p w14:paraId="610D6036">
            <w:pPr>
              <w:rPr>
                <w:rFonts w:hint="eastAsia" w:asciiTheme="minorEastAsia" w:hAnsiTheme="minorEastAsia" w:eastAsiaTheme="minorEastAsia" w:cstheme="minorEastAsia"/>
                <w:color w:val="auto"/>
                <w:sz w:val="30"/>
                <w:szCs w:val="30"/>
                <w:highlight w:val="none"/>
              </w:rPr>
            </w:pPr>
          </w:p>
        </w:tc>
        <w:tc>
          <w:tcPr>
            <w:tcW w:w="1480" w:type="dxa"/>
            <w:vAlign w:val="top"/>
          </w:tcPr>
          <w:p w14:paraId="3932268F">
            <w:pPr>
              <w:rPr>
                <w:rFonts w:hint="eastAsia" w:asciiTheme="minorEastAsia" w:hAnsiTheme="minorEastAsia" w:eastAsiaTheme="minorEastAsia" w:cstheme="minorEastAsia"/>
                <w:color w:val="auto"/>
                <w:sz w:val="30"/>
                <w:szCs w:val="30"/>
                <w:highlight w:val="none"/>
              </w:rPr>
            </w:pPr>
          </w:p>
        </w:tc>
        <w:tc>
          <w:tcPr>
            <w:tcW w:w="1020" w:type="dxa"/>
            <w:vAlign w:val="top"/>
          </w:tcPr>
          <w:p w14:paraId="6D27CAC4">
            <w:pPr>
              <w:rPr>
                <w:rFonts w:hint="eastAsia" w:asciiTheme="minorEastAsia" w:hAnsiTheme="minorEastAsia" w:eastAsiaTheme="minorEastAsia" w:cstheme="minorEastAsia"/>
                <w:color w:val="auto"/>
                <w:sz w:val="30"/>
                <w:szCs w:val="30"/>
                <w:highlight w:val="none"/>
              </w:rPr>
            </w:pPr>
          </w:p>
        </w:tc>
        <w:tc>
          <w:tcPr>
            <w:tcW w:w="921" w:type="dxa"/>
            <w:vAlign w:val="top"/>
          </w:tcPr>
          <w:p w14:paraId="0A7832B6">
            <w:pPr>
              <w:rPr>
                <w:rFonts w:hint="eastAsia" w:asciiTheme="minorEastAsia" w:hAnsiTheme="minorEastAsia" w:eastAsiaTheme="minorEastAsia" w:cstheme="minorEastAsia"/>
                <w:color w:val="auto"/>
                <w:sz w:val="30"/>
                <w:szCs w:val="30"/>
                <w:highlight w:val="none"/>
              </w:rPr>
            </w:pPr>
          </w:p>
        </w:tc>
      </w:tr>
      <w:tr w14:paraId="1C6D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649D21FC">
            <w:pPr>
              <w:rPr>
                <w:rFonts w:hint="eastAsia" w:asciiTheme="minorEastAsia" w:hAnsiTheme="minorEastAsia" w:eastAsiaTheme="minorEastAsia" w:cstheme="minorEastAsia"/>
                <w:color w:val="auto"/>
                <w:sz w:val="30"/>
                <w:szCs w:val="30"/>
                <w:highlight w:val="none"/>
              </w:rPr>
            </w:pPr>
          </w:p>
        </w:tc>
        <w:tc>
          <w:tcPr>
            <w:tcW w:w="1418" w:type="dxa"/>
            <w:vAlign w:val="top"/>
          </w:tcPr>
          <w:p w14:paraId="5DB10E3A">
            <w:pPr>
              <w:rPr>
                <w:rFonts w:hint="eastAsia" w:asciiTheme="minorEastAsia" w:hAnsiTheme="minorEastAsia" w:eastAsiaTheme="minorEastAsia" w:cstheme="minorEastAsia"/>
                <w:color w:val="auto"/>
                <w:sz w:val="30"/>
                <w:szCs w:val="30"/>
                <w:highlight w:val="none"/>
              </w:rPr>
            </w:pPr>
          </w:p>
        </w:tc>
        <w:tc>
          <w:tcPr>
            <w:tcW w:w="850" w:type="dxa"/>
            <w:vAlign w:val="top"/>
          </w:tcPr>
          <w:p w14:paraId="3AAD7C28">
            <w:pPr>
              <w:rPr>
                <w:rFonts w:hint="eastAsia" w:asciiTheme="minorEastAsia" w:hAnsiTheme="minorEastAsia" w:eastAsiaTheme="minorEastAsia" w:cstheme="minorEastAsia"/>
                <w:color w:val="auto"/>
                <w:sz w:val="30"/>
                <w:szCs w:val="30"/>
                <w:highlight w:val="none"/>
              </w:rPr>
            </w:pPr>
          </w:p>
        </w:tc>
        <w:tc>
          <w:tcPr>
            <w:tcW w:w="1058" w:type="dxa"/>
            <w:vAlign w:val="top"/>
          </w:tcPr>
          <w:p w14:paraId="6407102C">
            <w:pPr>
              <w:rPr>
                <w:rFonts w:hint="eastAsia" w:asciiTheme="minorEastAsia" w:hAnsiTheme="minorEastAsia" w:eastAsiaTheme="minorEastAsia" w:cstheme="minorEastAsia"/>
                <w:color w:val="auto"/>
                <w:sz w:val="30"/>
                <w:szCs w:val="30"/>
                <w:highlight w:val="none"/>
              </w:rPr>
            </w:pPr>
          </w:p>
        </w:tc>
        <w:tc>
          <w:tcPr>
            <w:tcW w:w="880" w:type="dxa"/>
            <w:vAlign w:val="top"/>
          </w:tcPr>
          <w:p w14:paraId="133549AE">
            <w:pPr>
              <w:rPr>
                <w:rFonts w:hint="eastAsia" w:asciiTheme="minorEastAsia" w:hAnsiTheme="minorEastAsia" w:eastAsiaTheme="minorEastAsia" w:cstheme="minorEastAsia"/>
                <w:color w:val="auto"/>
                <w:sz w:val="30"/>
                <w:szCs w:val="30"/>
                <w:highlight w:val="none"/>
              </w:rPr>
            </w:pPr>
          </w:p>
        </w:tc>
        <w:tc>
          <w:tcPr>
            <w:tcW w:w="1020" w:type="dxa"/>
            <w:vAlign w:val="top"/>
          </w:tcPr>
          <w:p w14:paraId="030CDCAC">
            <w:pPr>
              <w:rPr>
                <w:rFonts w:hint="eastAsia" w:asciiTheme="minorEastAsia" w:hAnsiTheme="minorEastAsia" w:eastAsiaTheme="minorEastAsia" w:cstheme="minorEastAsia"/>
                <w:color w:val="auto"/>
                <w:sz w:val="30"/>
                <w:szCs w:val="30"/>
                <w:highlight w:val="none"/>
              </w:rPr>
            </w:pPr>
          </w:p>
        </w:tc>
        <w:tc>
          <w:tcPr>
            <w:tcW w:w="1480" w:type="dxa"/>
            <w:vAlign w:val="top"/>
          </w:tcPr>
          <w:p w14:paraId="7F5265AD">
            <w:pPr>
              <w:rPr>
                <w:rFonts w:hint="eastAsia" w:asciiTheme="minorEastAsia" w:hAnsiTheme="minorEastAsia" w:eastAsiaTheme="minorEastAsia" w:cstheme="minorEastAsia"/>
                <w:color w:val="auto"/>
                <w:sz w:val="30"/>
                <w:szCs w:val="30"/>
                <w:highlight w:val="none"/>
              </w:rPr>
            </w:pPr>
          </w:p>
        </w:tc>
        <w:tc>
          <w:tcPr>
            <w:tcW w:w="1020" w:type="dxa"/>
            <w:vAlign w:val="top"/>
          </w:tcPr>
          <w:p w14:paraId="33BC0B00">
            <w:pPr>
              <w:rPr>
                <w:rFonts w:hint="eastAsia" w:asciiTheme="minorEastAsia" w:hAnsiTheme="minorEastAsia" w:eastAsiaTheme="minorEastAsia" w:cstheme="minorEastAsia"/>
                <w:color w:val="auto"/>
                <w:sz w:val="30"/>
                <w:szCs w:val="30"/>
                <w:highlight w:val="none"/>
              </w:rPr>
            </w:pPr>
          </w:p>
        </w:tc>
        <w:tc>
          <w:tcPr>
            <w:tcW w:w="921" w:type="dxa"/>
            <w:vAlign w:val="top"/>
          </w:tcPr>
          <w:p w14:paraId="5F34BD9B">
            <w:pPr>
              <w:rPr>
                <w:rFonts w:hint="eastAsia" w:asciiTheme="minorEastAsia" w:hAnsiTheme="minorEastAsia" w:eastAsiaTheme="minorEastAsia" w:cstheme="minorEastAsia"/>
                <w:color w:val="auto"/>
                <w:sz w:val="30"/>
                <w:szCs w:val="30"/>
                <w:highlight w:val="none"/>
              </w:rPr>
            </w:pPr>
          </w:p>
        </w:tc>
      </w:tr>
      <w:tr w14:paraId="75A0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446688FD">
            <w:pPr>
              <w:rPr>
                <w:rFonts w:hint="eastAsia" w:asciiTheme="minorEastAsia" w:hAnsiTheme="minorEastAsia" w:eastAsiaTheme="minorEastAsia" w:cstheme="minorEastAsia"/>
                <w:color w:val="auto"/>
                <w:sz w:val="30"/>
                <w:szCs w:val="30"/>
                <w:highlight w:val="none"/>
              </w:rPr>
            </w:pPr>
          </w:p>
        </w:tc>
        <w:tc>
          <w:tcPr>
            <w:tcW w:w="1418" w:type="dxa"/>
            <w:vAlign w:val="top"/>
          </w:tcPr>
          <w:p w14:paraId="460467A7">
            <w:pPr>
              <w:rPr>
                <w:rFonts w:hint="eastAsia" w:asciiTheme="minorEastAsia" w:hAnsiTheme="minorEastAsia" w:eastAsiaTheme="minorEastAsia" w:cstheme="minorEastAsia"/>
                <w:color w:val="auto"/>
                <w:sz w:val="30"/>
                <w:szCs w:val="30"/>
                <w:highlight w:val="none"/>
              </w:rPr>
            </w:pPr>
          </w:p>
        </w:tc>
        <w:tc>
          <w:tcPr>
            <w:tcW w:w="850" w:type="dxa"/>
            <w:vAlign w:val="top"/>
          </w:tcPr>
          <w:p w14:paraId="4D3445CA">
            <w:pPr>
              <w:rPr>
                <w:rFonts w:hint="eastAsia" w:asciiTheme="minorEastAsia" w:hAnsiTheme="minorEastAsia" w:eastAsiaTheme="minorEastAsia" w:cstheme="minorEastAsia"/>
                <w:color w:val="auto"/>
                <w:sz w:val="30"/>
                <w:szCs w:val="30"/>
                <w:highlight w:val="none"/>
              </w:rPr>
            </w:pPr>
          </w:p>
        </w:tc>
        <w:tc>
          <w:tcPr>
            <w:tcW w:w="1058" w:type="dxa"/>
            <w:vAlign w:val="top"/>
          </w:tcPr>
          <w:p w14:paraId="3C84EAAA">
            <w:pPr>
              <w:rPr>
                <w:rFonts w:hint="eastAsia" w:asciiTheme="minorEastAsia" w:hAnsiTheme="minorEastAsia" w:eastAsiaTheme="minorEastAsia" w:cstheme="minorEastAsia"/>
                <w:color w:val="auto"/>
                <w:sz w:val="30"/>
                <w:szCs w:val="30"/>
                <w:highlight w:val="none"/>
              </w:rPr>
            </w:pPr>
          </w:p>
        </w:tc>
        <w:tc>
          <w:tcPr>
            <w:tcW w:w="880" w:type="dxa"/>
            <w:vAlign w:val="top"/>
          </w:tcPr>
          <w:p w14:paraId="29635451">
            <w:pPr>
              <w:rPr>
                <w:rFonts w:hint="eastAsia" w:asciiTheme="minorEastAsia" w:hAnsiTheme="minorEastAsia" w:eastAsiaTheme="minorEastAsia" w:cstheme="minorEastAsia"/>
                <w:color w:val="auto"/>
                <w:sz w:val="30"/>
                <w:szCs w:val="30"/>
                <w:highlight w:val="none"/>
              </w:rPr>
            </w:pPr>
          </w:p>
        </w:tc>
        <w:tc>
          <w:tcPr>
            <w:tcW w:w="1020" w:type="dxa"/>
            <w:vAlign w:val="top"/>
          </w:tcPr>
          <w:p w14:paraId="7A2023F6">
            <w:pPr>
              <w:rPr>
                <w:rFonts w:hint="eastAsia" w:asciiTheme="minorEastAsia" w:hAnsiTheme="minorEastAsia" w:eastAsiaTheme="minorEastAsia" w:cstheme="minorEastAsia"/>
                <w:color w:val="auto"/>
                <w:sz w:val="30"/>
                <w:szCs w:val="30"/>
                <w:highlight w:val="none"/>
              </w:rPr>
            </w:pPr>
          </w:p>
        </w:tc>
        <w:tc>
          <w:tcPr>
            <w:tcW w:w="1480" w:type="dxa"/>
            <w:vAlign w:val="top"/>
          </w:tcPr>
          <w:p w14:paraId="297A3BC5">
            <w:pPr>
              <w:rPr>
                <w:rFonts w:hint="eastAsia" w:asciiTheme="minorEastAsia" w:hAnsiTheme="minorEastAsia" w:eastAsiaTheme="minorEastAsia" w:cstheme="minorEastAsia"/>
                <w:color w:val="auto"/>
                <w:sz w:val="30"/>
                <w:szCs w:val="30"/>
                <w:highlight w:val="none"/>
              </w:rPr>
            </w:pPr>
          </w:p>
        </w:tc>
        <w:tc>
          <w:tcPr>
            <w:tcW w:w="1020" w:type="dxa"/>
            <w:vAlign w:val="top"/>
          </w:tcPr>
          <w:p w14:paraId="4FEBA86B">
            <w:pPr>
              <w:rPr>
                <w:rFonts w:hint="eastAsia" w:asciiTheme="minorEastAsia" w:hAnsiTheme="minorEastAsia" w:eastAsiaTheme="minorEastAsia" w:cstheme="minorEastAsia"/>
                <w:color w:val="auto"/>
                <w:sz w:val="30"/>
                <w:szCs w:val="30"/>
                <w:highlight w:val="none"/>
              </w:rPr>
            </w:pPr>
          </w:p>
        </w:tc>
        <w:tc>
          <w:tcPr>
            <w:tcW w:w="921" w:type="dxa"/>
            <w:vAlign w:val="top"/>
          </w:tcPr>
          <w:p w14:paraId="7CF1123C">
            <w:pPr>
              <w:rPr>
                <w:rFonts w:hint="eastAsia" w:asciiTheme="minorEastAsia" w:hAnsiTheme="minorEastAsia" w:eastAsiaTheme="minorEastAsia" w:cstheme="minorEastAsia"/>
                <w:color w:val="auto"/>
                <w:sz w:val="30"/>
                <w:szCs w:val="30"/>
                <w:highlight w:val="none"/>
              </w:rPr>
            </w:pPr>
          </w:p>
        </w:tc>
      </w:tr>
      <w:tr w14:paraId="1284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top"/>
          </w:tcPr>
          <w:p w14:paraId="42132700">
            <w:pPr>
              <w:rPr>
                <w:rFonts w:hint="eastAsia" w:asciiTheme="minorEastAsia" w:hAnsiTheme="minorEastAsia" w:eastAsiaTheme="minorEastAsia" w:cstheme="minorEastAsia"/>
                <w:color w:val="auto"/>
                <w:sz w:val="30"/>
                <w:szCs w:val="30"/>
                <w:highlight w:val="none"/>
              </w:rPr>
            </w:pPr>
          </w:p>
        </w:tc>
        <w:tc>
          <w:tcPr>
            <w:tcW w:w="1418" w:type="dxa"/>
            <w:vAlign w:val="top"/>
          </w:tcPr>
          <w:p w14:paraId="7A7A59AA">
            <w:pPr>
              <w:rPr>
                <w:rFonts w:hint="eastAsia" w:asciiTheme="minorEastAsia" w:hAnsiTheme="minorEastAsia" w:eastAsiaTheme="minorEastAsia" w:cstheme="minorEastAsia"/>
                <w:color w:val="auto"/>
                <w:sz w:val="30"/>
                <w:szCs w:val="30"/>
                <w:highlight w:val="none"/>
              </w:rPr>
            </w:pPr>
          </w:p>
        </w:tc>
        <w:tc>
          <w:tcPr>
            <w:tcW w:w="850" w:type="dxa"/>
            <w:vAlign w:val="top"/>
          </w:tcPr>
          <w:p w14:paraId="2FB7BBD3">
            <w:pPr>
              <w:rPr>
                <w:rFonts w:hint="eastAsia" w:asciiTheme="minorEastAsia" w:hAnsiTheme="minorEastAsia" w:eastAsiaTheme="minorEastAsia" w:cstheme="minorEastAsia"/>
                <w:color w:val="auto"/>
                <w:sz w:val="30"/>
                <w:szCs w:val="30"/>
                <w:highlight w:val="none"/>
              </w:rPr>
            </w:pPr>
          </w:p>
        </w:tc>
        <w:tc>
          <w:tcPr>
            <w:tcW w:w="1058" w:type="dxa"/>
            <w:vAlign w:val="top"/>
          </w:tcPr>
          <w:p w14:paraId="0A1028A0">
            <w:pPr>
              <w:rPr>
                <w:rFonts w:hint="eastAsia" w:asciiTheme="minorEastAsia" w:hAnsiTheme="minorEastAsia" w:eastAsiaTheme="minorEastAsia" w:cstheme="minorEastAsia"/>
                <w:color w:val="auto"/>
                <w:sz w:val="30"/>
                <w:szCs w:val="30"/>
                <w:highlight w:val="none"/>
              </w:rPr>
            </w:pPr>
          </w:p>
        </w:tc>
        <w:tc>
          <w:tcPr>
            <w:tcW w:w="880" w:type="dxa"/>
            <w:vAlign w:val="top"/>
          </w:tcPr>
          <w:p w14:paraId="4C308CBA">
            <w:pPr>
              <w:rPr>
                <w:rFonts w:hint="eastAsia" w:asciiTheme="minorEastAsia" w:hAnsiTheme="minorEastAsia" w:eastAsiaTheme="minorEastAsia" w:cstheme="minorEastAsia"/>
                <w:color w:val="auto"/>
                <w:sz w:val="30"/>
                <w:szCs w:val="30"/>
                <w:highlight w:val="none"/>
              </w:rPr>
            </w:pPr>
          </w:p>
        </w:tc>
        <w:tc>
          <w:tcPr>
            <w:tcW w:w="1020" w:type="dxa"/>
            <w:vAlign w:val="top"/>
          </w:tcPr>
          <w:p w14:paraId="5654527E">
            <w:pPr>
              <w:rPr>
                <w:rFonts w:hint="eastAsia" w:asciiTheme="minorEastAsia" w:hAnsiTheme="minorEastAsia" w:eastAsiaTheme="minorEastAsia" w:cstheme="minorEastAsia"/>
                <w:color w:val="auto"/>
                <w:sz w:val="30"/>
                <w:szCs w:val="30"/>
                <w:highlight w:val="none"/>
              </w:rPr>
            </w:pPr>
          </w:p>
        </w:tc>
        <w:tc>
          <w:tcPr>
            <w:tcW w:w="1480" w:type="dxa"/>
            <w:vAlign w:val="top"/>
          </w:tcPr>
          <w:p w14:paraId="63B8E53B">
            <w:pPr>
              <w:rPr>
                <w:rFonts w:hint="eastAsia" w:asciiTheme="minorEastAsia" w:hAnsiTheme="minorEastAsia" w:eastAsiaTheme="minorEastAsia" w:cstheme="minorEastAsia"/>
                <w:color w:val="auto"/>
                <w:sz w:val="30"/>
                <w:szCs w:val="30"/>
                <w:highlight w:val="none"/>
              </w:rPr>
            </w:pPr>
          </w:p>
        </w:tc>
        <w:tc>
          <w:tcPr>
            <w:tcW w:w="1020" w:type="dxa"/>
            <w:vAlign w:val="top"/>
          </w:tcPr>
          <w:p w14:paraId="2928B09B">
            <w:pPr>
              <w:rPr>
                <w:rFonts w:hint="eastAsia" w:asciiTheme="minorEastAsia" w:hAnsiTheme="minorEastAsia" w:eastAsiaTheme="minorEastAsia" w:cstheme="minorEastAsia"/>
                <w:color w:val="auto"/>
                <w:sz w:val="30"/>
                <w:szCs w:val="30"/>
                <w:highlight w:val="none"/>
              </w:rPr>
            </w:pPr>
          </w:p>
        </w:tc>
        <w:tc>
          <w:tcPr>
            <w:tcW w:w="921" w:type="dxa"/>
            <w:vAlign w:val="top"/>
          </w:tcPr>
          <w:p w14:paraId="0D0366C5">
            <w:pPr>
              <w:rPr>
                <w:rFonts w:hint="eastAsia" w:asciiTheme="minorEastAsia" w:hAnsiTheme="minorEastAsia" w:eastAsiaTheme="minorEastAsia" w:cstheme="minorEastAsia"/>
                <w:color w:val="auto"/>
                <w:sz w:val="30"/>
                <w:szCs w:val="30"/>
                <w:highlight w:val="none"/>
              </w:rPr>
            </w:pPr>
          </w:p>
        </w:tc>
      </w:tr>
    </w:tbl>
    <w:p w14:paraId="093D0C15">
      <w:pPr>
        <w:spacing w:line="440" w:lineRule="exact"/>
        <w:rPr>
          <w:rFonts w:hint="eastAsia" w:asciiTheme="minorEastAsia" w:hAnsiTheme="minorEastAsia" w:eastAsiaTheme="minorEastAsia" w:cstheme="minorEastAsia"/>
          <w:color w:val="auto"/>
          <w:sz w:val="30"/>
          <w:szCs w:val="30"/>
          <w:highlight w:val="none"/>
        </w:rPr>
        <w:sectPr>
          <w:pgSz w:w="11907" w:h="16840"/>
          <w:pgMar w:top="1440" w:right="1440" w:bottom="1440" w:left="1797" w:header="851" w:footer="851" w:gutter="0"/>
          <w:pgNumType w:fmt="decimal"/>
          <w:cols w:space="720" w:num="1"/>
          <w:docGrid w:linePitch="312" w:charSpace="0"/>
        </w:sectPr>
      </w:pPr>
    </w:p>
    <w:p w14:paraId="75AF2195">
      <w:pPr>
        <w:spacing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附件7：</w:t>
      </w:r>
    </w:p>
    <w:p w14:paraId="197D19AE">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预付款担保</w:t>
      </w:r>
    </w:p>
    <w:p w14:paraId="24922893">
      <w:pPr>
        <w:spacing w:line="360" w:lineRule="auto"/>
        <w:rPr>
          <w:rFonts w:hint="eastAsia" w:asciiTheme="minorEastAsia" w:hAnsiTheme="minorEastAsia" w:eastAsiaTheme="minorEastAsia" w:cstheme="minorEastAsia"/>
          <w:color w:val="auto"/>
          <w:highlight w:val="none"/>
          <w:u w:val="single"/>
        </w:rPr>
      </w:pPr>
    </w:p>
    <w:p w14:paraId="33CB22D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（发包人名称）：</w:t>
      </w:r>
    </w:p>
    <w:p w14:paraId="375D463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（承包人名称）（以下称“承包人”）与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（发包人名称）（以下简称“发包人”）于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日签订的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2AD00638">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担保金额人民币（大写）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88051A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担保有效期自预付款支付给承包人起生效，至你方签发的进度款支付证书说明已完全扣清止。</w:t>
      </w:r>
    </w:p>
    <w:p w14:paraId="4CD87C1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158086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你方和承包人按合同约定变更合同时，我方承担本保函规定的义务不变。</w:t>
      </w:r>
    </w:p>
    <w:p w14:paraId="0F2B3F4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 因本保函发生的纠纷，可由双方协商解决，协商不成的，任何一方均可提请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仲裁委员会仲裁。</w:t>
      </w:r>
    </w:p>
    <w:p w14:paraId="39696401">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 本保函自我方法定代表人（或其授权代理人）签字并加盖公章之日起生效。</w:t>
      </w:r>
    </w:p>
    <w:p w14:paraId="55604D65">
      <w:pPr>
        <w:spacing w:line="360" w:lineRule="auto"/>
        <w:rPr>
          <w:rFonts w:hint="eastAsia" w:asciiTheme="minorEastAsia" w:hAnsiTheme="minorEastAsia" w:eastAsiaTheme="minorEastAsia" w:cstheme="minorEastAsia"/>
          <w:color w:val="auto"/>
          <w:highlight w:val="none"/>
        </w:rPr>
      </w:pPr>
    </w:p>
    <w:p w14:paraId="62AEAD7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担保人：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（盖单位章）</w:t>
      </w:r>
    </w:p>
    <w:p w14:paraId="2E9581AF">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14:paraId="4A7AC194">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w:t>
      </w:r>
    </w:p>
    <w:p w14:paraId="26E8018A">
      <w:pP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14:paraId="5F888F8D">
      <w:pP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u w:val="single"/>
        </w:rPr>
        <w:t xml:space="preserve">                            </w:t>
      </w:r>
    </w:p>
    <w:p w14:paraId="3750A59B">
      <w:pPr>
        <w:spacing w:line="360" w:lineRule="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u w:val="single"/>
        </w:rPr>
        <w:t xml:space="preserve">                            </w:t>
      </w:r>
    </w:p>
    <w:p w14:paraId="02E8A02D">
      <w:pPr>
        <w:spacing w:line="360" w:lineRule="auto"/>
        <w:rPr>
          <w:rFonts w:hint="eastAsia" w:asciiTheme="minorEastAsia" w:hAnsiTheme="minorEastAsia" w:eastAsiaTheme="minorEastAsia" w:cstheme="minorEastAsia"/>
          <w:color w:val="auto"/>
          <w:highlight w:val="none"/>
          <w:u w:val="single"/>
        </w:rPr>
      </w:pPr>
    </w:p>
    <w:p w14:paraId="2E8F3DAB">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1CB9091D">
      <w:pPr>
        <w:spacing w:line="480" w:lineRule="auto"/>
        <w:rPr>
          <w:rFonts w:hint="eastAsia" w:asciiTheme="minorEastAsia" w:hAnsiTheme="minorEastAsia" w:eastAsiaTheme="minorEastAsia" w:cstheme="minorEastAsia"/>
          <w:color w:val="auto"/>
          <w:highlight w:val="none"/>
        </w:rPr>
      </w:pPr>
    </w:p>
    <w:p w14:paraId="7E8F61A3">
      <w:pPr>
        <w:spacing w:line="480" w:lineRule="auto"/>
        <w:rPr>
          <w:rFonts w:hint="eastAsia" w:asciiTheme="minorEastAsia" w:hAnsiTheme="minorEastAsia" w:eastAsiaTheme="minorEastAsia" w:cstheme="minorEastAsia"/>
          <w:color w:val="auto"/>
          <w:highlight w:val="none"/>
        </w:rPr>
        <w:sectPr>
          <w:pgSz w:w="11907" w:h="16840"/>
          <w:pgMar w:top="1440" w:right="1440" w:bottom="1440" w:left="1797" w:header="851" w:footer="851" w:gutter="0"/>
          <w:pgNumType w:fmt="decimal"/>
          <w:cols w:space="720" w:num="1"/>
          <w:docGrid w:linePitch="312" w:charSpace="0"/>
        </w:sectPr>
      </w:pPr>
    </w:p>
    <w:p w14:paraId="4E493085">
      <w:pPr>
        <w:spacing w:line="44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附件8：</w:t>
      </w:r>
    </w:p>
    <w:p w14:paraId="512EA26F">
      <w:pPr>
        <w:spacing w:before="120" w:beforeLines="50" w:after="120" w:afterLines="50"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工程质量保修书（房屋建筑工程）</w:t>
      </w:r>
    </w:p>
    <w:p w14:paraId="05EF7B7C">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0201F10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承包人（全称）：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526730A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发包人和承包人根据《中华人民共和国建筑法》和《建设工程质量管理条例》，经协商一致就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（工程全称）签订工程质量保修书。</w:t>
      </w:r>
    </w:p>
    <w:p w14:paraId="3715F8B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一、工程质量保修范围和内容</w:t>
      </w:r>
    </w:p>
    <w:p w14:paraId="6C3700F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承包人在质量保修期内，按照有关法律规定和合同约定，承担工程质量保修责任。</w:t>
      </w:r>
    </w:p>
    <w:p w14:paraId="25AA89F6">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F60CA44">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5CC128B9">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二、质量保修期</w:t>
      </w:r>
    </w:p>
    <w:p w14:paraId="76DF6075">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根据《建设工程质量管理条例》及有关规定，工程的质量保修期如下：</w:t>
      </w:r>
    </w:p>
    <w:p w14:paraId="2B1E09C8">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1．地基基础工程和主体结构工程为设计文件规定的工程合理使用年限；</w:t>
      </w:r>
    </w:p>
    <w:p w14:paraId="0920EBE7">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2．屋面防水工程、有防水要求的卫生间、房间和外墙面的防渗为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p>
    <w:p w14:paraId="4CC1C03C">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3．装修工程为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p>
    <w:p w14:paraId="25475625">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4．电气管线、给排水管道、设备安装工程为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p>
    <w:p w14:paraId="31E47ECB">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5．供热与供冷系统为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个采暖期、供冷期；</w:t>
      </w:r>
    </w:p>
    <w:p w14:paraId="548C3DEF">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6．住宅小区内的给排水设施、道路等配套工程为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p>
    <w:p w14:paraId="3B6A245C">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7．其他项目保修期限约定如下：</w:t>
      </w:r>
    </w:p>
    <w:p w14:paraId="21B1341A">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0170028F">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质量保修期自工程竣工验收合格之日起计算。</w:t>
      </w:r>
    </w:p>
    <w:p w14:paraId="32BE4B76">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三、缺陷责任期</w:t>
      </w:r>
    </w:p>
    <w:p w14:paraId="41EB61BE">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工程缺陷责任期为</w:t>
      </w:r>
      <w:r>
        <w:rPr>
          <w:rFonts w:hint="eastAsia" w:asciiTheme="minorEastAsia" w:hAnsiTheme="minorEastAsia" w:eastAsiaTheme="minorEastAsia" w:cstheme="minorEastAsia"/>
          <w:color w:val="auto"/>
          <w:szCs w:val="21"/>
          <w:highlight w:val="none"/>
          <w:u w:val="single"/>
        </w:rPr>
        <w:t xml:space="preserve"> 12 </w:t>
      </w:r>
      <w:r>
        <w:rPr>
          <w:rFonts w:hint="eastAsia" w:asciiTheme="minorEastAsia" w:hAnsiTheme="minorEastAsia" w:eastAsiaTheme="minorEastAsia" w:cstheme="minorEastAsia"/>
          <w:color w:val="auto"/>
          <w:szCs w:val="21"/>
          <w:highlight w:val="none"/>
        </w:rPr>
        <w:t>个月（最长不超过24个月），缺陷责任期自工程竣工验收合格之日起计算。单位工程先于全部工程进行验收，单位工程缺陷责任期自单位工程验收合格之日起算。</w:t>
      </w:r>
    </w:p>
    <w:p w14:paraId="44EDEAEB">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缺陷责任期终止后，发包人应退还剩余的质量保证金。</w:t>
      </w:r>
    </w:p>
    <w:p w14:paraId="2276E773">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四、质量保修责任</w:t>
      </w:r>
    </w:p>
    <w:p w14:paraId="285AEDA2">
      <w:pPr>
        <w:spacing w:line="360" w:lineRule="auto"/>
        <w:ind w:left="105" w:leftChars="50" w:firstLine="430" w:firstLineChars="2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1．属于保修范围、内容的项目，承包人应当在接到保修通知之日起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天内派人保修。承包人不在约定期限内派人保修的，发包人可以委托他人修理，修理费用从质量保修金内扣除。</w:t>
      </w:r>
    </w:p>
    <w:p w14:paraId="26E28E13">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2．发生紧急事故需抢修的，承包人在接到事故通知后，应当立即到达事故现场抢修。</w:t>
      </w:r>
    </w:p>
    <w:p w14:paraId="2D4D1CEE">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6E47F24">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14:paraId="4EA56F4B">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五、保修费用</w:t>
      </w:r>
    </w:p>
    <w:p w14:paraId="3E833A04">
      <w:pPr>
        <w:tabs>
          <w:tab w:val="left" w:pos="7380"/>
        </w:tabs>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14:paraId="7D9029DD">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六、双方约定的其他工程质量保修事项： </w:t>
      </w:r>
    </w:p>
    <w:p w14:paraId="3D3D9D0C">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6360BB2B">
      <w:pPr>
        <w:spacing w:line="360" w:lineRule="auto"/>
        <w:ind w:firstLine="399" w:firstLineChars="19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工程质量保修书由发包人、承包人在工程竣工验收前共同签署，作为施工合同附件，其有效期限至保修期满。</w:t>
      </w:r>
    </w:p>
    <w:p w14:paraId="3AF7FA03">
      <w:pPr>
        <w:spacing w:line="360" w:lineRule="auto"/>
        <w:ind w:firstLine="420"/>
        <w:rPr>
          <w:rFonts w:hint="eastAsia" w:asciiTheme="minorEastAsia" w:hAnsiTheme="minorEastAsia" w:eastAsiaTheme="minorEastAsia" w:cstheme="minorEastAsia"/>
          <w:color w:val="auto"/>
          <w:szCs w:val="21"/>
          <w:highlight w:val="none"/>
        </w:rPr>
      </w:pPr>
    </w:p>
    <w:p w14:paraId="5A03732D">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发包人（公章）：</w:t>
      </w:r>
      <w:r>
        <w:rPr>
          <w:rFonts w:hint="eastAsia" w:asciiTheme="minorEastAsia" w:hAnsiTheme="minorEastAsia" w:eastAsiaTheme="minorEastAsia" w:cstheme="minorEastAsia"/>
          <w:color w:val="auto"/>
          <w:szCs w:val="21"/>
          <w:highlight w:val="none"/>
          <w:u w:val="single"/>
        </w:rPr>
        <w:t xml:space="preserve">         </w:t>
      </w:r>
      <w:r>
        <w:rPr>
          <w:rFonts w:hint="eastAsia" w:asciiTheme="minorEastAsia" w:hAnsiTheme="minorEastAsia" w:eastAsiaTheme="minorEastAsia" w:cstheme="minorEastAsia"/>
          <w:color w:val="auto"/>
          <w:szCs w:val="21"/>
          <w:highlight w:val="none"/>
        </w:rPr>
        <w:t xml:space="preserve">             承包人（公章）：</w:t>
      </w:r>
      <w:r>
        <w:rPr>
          <w:rFonts w:hint="eastAsia" w:asciiTheme="minorEastAsia" w:hAnsiTheme="minorEastAsia" w:eastAsiaTheme="minorEastAsia" w:cstheme="minorEastAsia"/>
          <w:color w:val="auto"/>
          <w:szCs w:val="21"/>
          <w:highlight w:val="none"/>
          <w:u w:val="single"/>
        </w:rPr>
        <w:t>          </w:t>
      </w:r>
    </w:p>
    <w:p w14:paraId="48E4BEF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 xml:space="preserve">              地  址：</w:t>
      </w:r>
      <w:r>
        <w:rPr>
          <w:rFonts w:hint="eastAsia" w:asciiTheme="minorEastAsia" w:hAnsiTheme="minorEastAsia" w:eastAsiaTheme="minorEastAsia" w:cstheme="minorEastAsia"/>
          <w:color w:val="auto"/>
          <w:szCs w:val="21"/>
          <w:highlight w:val="none"/>
          <w:u w:val="single"/>
        </w:rPr>
        <w:t>      </w:t>
      </w:r>
    </w:p>
    <w:p w14:paraId="6B74EEE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法定代表人（签字）：</w:t>
      </w:r>
      <w:r>
        <w:rPr>
          <w:rFonts w:hint="eastAsia" w:asciiTheme="minorEastAsia" w:hAnsiTheme="minorEastAsia" w:eastAsiaTheme="minorEastAsia" w:cstheme="minorEastAsia"/>
          <w:color w:val="auto"/>
          <w:szCs w:val="21"/>
          <w:highlight w:val="none"/>
          <w:u w:val="single"/>
        </w:rPr>
        <w:t>     </w:t>
      </w:r>
    </w:p>
    <w:p w14:paraId="105227C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委托代理人（签字）：</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委托代理人（签字）：</w:t>
      </w:r>
      <w:r>
        <w:rPr>
          <w:rFonts w:hint="eastAsia" w:asciiTheme="minorEastAsia" w:hAnsiTheme="minorEastAsia" w:eastAsiaTheme="minorEastAsia" w:cstheme="minorEastAsia"/>
          <w:color w:val="auto"/>
          <w:szCs w:val="21"/>
          <w:highlight w:val="none"/>
          <w:u w:val="single"/>
        </w:rPr>
        <w:t>     </w:t>
      </w:r>
    </w:p>
    <w:p w14:paraId="14DF46D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  话：</w:t>
      </w:r>
      <w:r>
        <w:rPr>
          <w:rFonts w:hint="eastAsia" w:asciiTheme="minorEastAsia" w:hAnsiTheme="minorEastAsia" w:eastAsiaTheme="minorEastAsia" w:cstheme="minorEastAsia"/>
          <w:color w:val="auto"/>
          <w:szCs w:val="21"/>
          <w:highlight w:val="none"/>
          <w:u w:val="single"/>
        </w:rPr>
        <w:t>      </w:t>
      </w:r>
    </w:p>
    <w:p w14:paraId="7114D94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  真：</w:t>
      </w:r>
      <w:r>
        <w:rPr>
          <w:rFonts w:hint="eastAsia" w:asciiTheme="minorEastAsia" w:hAnsiTheme="minorEastAsia" w:eastAsiaTheme="minorEastAsia" w:cstheme="minorEastAsia"/>
          <w:color w:val="auto"/>
          <w:szCs w:val="21"/>
          <w:highlight w:val="none"/>
          <w:u w:val="single"/>
        </w:rPr>
        <w:t>    </w:t>
      </w:r>
    </w:p>
    <w:p w14:paraId="3D6845E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w:t>
      </w:r>
    </w:p>
    <w:p w14:paraId="277740E4">
      <w:pPr>
        <w:tabs>
          <w:tab w:val="left" w:pos="2880"/>
          <w:tab w:val="left" w:pos="3060"/>
          <w:tab w:val="left" w:pos="4500"/>
        </w:tabs>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  号：</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 xml:space="preserve">              账  号：</w:t>
      </w:r>
      <w:r>
        <w:rPr>
          <w:rFonts w:hint="eastAsia" w:asciiTheme="minorEastAsia" w:hAnsiTheme="minorEastAsia" w:eastAsiaTheme="minorEastAsia" w:cstheme="minorEastAsia"/>
          <w:color w:val="auto"/>
          <w:szCs w:val="21"/>
          <w:highlight w:val="none"/>
          <w:u w:val="single"/>
        </w:rPr>
        <w:t>    </w:t>
      </w:r>
    </w:p>
    <w:p w14:paraId="73F23F0A">
      <w:pPr>
        <w:rPr>
          <w:rFonts w:hint="eastAsia" w:asciiTheme="minorEastAsia" w:hAnsiTheme="minorEastAsia" w:eastAsiaTheme="minorEastAsia" w:cstheme="minorEastAsia"/>
          <w:color w:val="auto"/>
          <w:kern w:val="2"/>
          <w:sz w:val="20"/>
          <w:szCs w:val="24"/>
          <w:highlight w:val="non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 </w:t>
      </w:r>
    </w:p>
    <w:p w14:paraId="18FDF1CE">
      <w:pPr>
        <w:rPr>
          <w:rFonts w:hint="eastAsia" w:asciiTheme="minorEastAsia" w:hAnsiTheme="minorEastAsia" w:eastAsiaTheme="minorEastAsia" w:cstheme="minorEastAsia"/>
          <w:color w:val="auto"/>
          <w:kern w:val="2"/>
          <w:szCs w:val="24"/>
          <w:highlight w:val="none"/>
        </w:rPr>
      </w:pPr>
    </w:p>
    <w:p w14:paraId="09493D47">
      <w:pPr>
        <w:spacing w:line="320" w:lineRule="exact"/>
        <w:rPr>
          <w:rFonts w:hint="eastAsia" w:asciiTheme="minorEastAsia" w:hAnsiTheme="minorEastAsia" w:eastAsiaTheme="minorEastAsia" w:cstheme="minorEastAsia"/>
          <w:color w:val="auto"/>
          <w:kern w:val="2"/>
          <w:highlight w:val="none"/>
          <w:u w:val="single"/>
        </w:rPr>
      </w:pPr>
    </w:p>
    <w:p w14:paraId="762619FC">
      <w:pPr>
        <w:spacing w:line="320" w:lineRule="exact"/>
        <w:ind w:firstLine="400" w:firstLineChars="200"/>
        <w:rPr>
          <w:rFonts w:hint="eastAsia" w:asciiTheme="minorEastAsia" w:hAnsiTheme="minorEastAsia" w:eastAsiaTheme="minorEastAsia" w:cstheme="minorEastAsia"/>
          <w:color w:val="auto"/>
          <w:kern w:val="2"/>
          <w:sz w:val="20"/>
          <w:highlight w:val="none"/>
          <w:u w:val="single"/>
        </w:rPr>
      </w:pPr>
    </w:p>
    <w:p w14:paraId="269B0731">
      <w:pPr>
        <w:spacing w:before="120" w:beforeLines="50" w:after="120" w:afterLines="50" w:line="440" w:lineRule="exact"/>
        <w:jc w:val="center"/>
        <w:rPr>
          <w:rFonts w:ascii="黑体" w:eastAsia="黑体"/>
          <w:color w:val="auto"/>
          <w:sz w:val="32"/>
          <w:szCs w:val="32"/>
          <w:highlight w:val="none"/>
        </w:rPr>
      </w:pPr>
      <w:r>
        <w:rPr>
          <w:rFonts w:hint="eastAsia" w:asciiTheme="minorEastAsia" w:hAnsiTheme="minorEastAsia" w:eastAsiaTheme="minorEastAsia" w:cstheme="minorEastAsia"/>
          <w:color w:val="auto"/>
          <w:kern w:val="2"/>
          <w:szCs w:val="24"/>
          <w:highlight w:val="none"/>
        </w:rPr>
        <w:br w:type="page"/>
      </w:r>
      <w:r>
        <w:rPr>
          <w:rFonts w:hint="eastAsia" w:ascii="黑体" w:hAnsi="宋体" w:eastAsia="黑体"/>
          <w:color w:val="auto"/>
          <w:sz w:val="32"/>
          <w:szCs w:val="32"/>
          <w:highlight w:val="none"/>
        </w:rPr>
        <w:t>工程质量保修书（市政公用工程）</w:t>
      </w:r>
    </w:p>
    <w:p w14:paraId="3007AB72">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发包人（全称）：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52BC530">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0BCC073">
      <w:pPr>
        <w:spacing w:line="360" w:lineRule="auto"/>
        <w:rPr>
          <w:rFonts w:hint="eastAsia" w:ascii="宋体" w:hAnsi="宋体"/>
          <w:color w:val="auto"/>
          <w:highlight w:val="none"/>
        </w:rPr>
      </w:pPr>
      <w:r>
        <w:rPr>
          <w:rFonts w:hint="eastAsia" w:ascii="宋体" w:hAnsi="宋体"/>
          <w:color w:val="auto"/>
          <w:highlight w:val="none"/>
        </w:rPr>
        <w:t xml:space="preserve"> </w:t>
      </w:r>
    </w:p>
    <w:p w14:paraId="1ECFDE08">
      <w:pPr>
        <w:spacing w:line="360" w:lineRule="auto"/>
        <w:ind w:firstLine="420"/>
        <w:rPr>
          <w:rFonts w:hint="eastAsia" w:ascii="宋体" w:hAnsi="宋体"/>
          <w:color w:val="auto"/>
          <w:highlight w:val="none"/>
        </w:rPr>
      </w:pPr>
      <w:r>
        <w:rPr>
          <w:rFonts w:hint="eastAsia" w:ascii="宋体" w:hAnsi="宋体"/>
          <w:color w:val="auto"/>
          <w:highlight w:val="none"/>
        </w:rPr>
        <w:t>发包人和承包人根据《中华人民共和国建筑法》和《建设工程质量管理条例》，经协商一致就</w:t>
      </w:r>
      <w:r>
        <w:rPr>
          <w:rFonts w:hint="eastAsia" w:ascii="宋体" w:hAnsi="宋体"/>
          <w:color w:val="auto"/>
          <w:highlight w:val="none"/>
          <w:u w:val="single"/>
        </w:rPr>
        <w:t xml:space="preserve">                                     </w:t>
      </w:r>
      <w:r>
        <w:rPr>
          <w:rFonts w:hint="eastAsia" w:ascii="宋体" w:hAnsi="宋体"/>
          <w:color w:val="auto"/>
          <w:highlight w:val="none"/>
        </w:rPr>
        <w:t>（工程全称）签订工程质量保修书。</w:t>
      </w:r>
    </w:p>
    <w:p w14:paraId="783720BF">
      <w:pPr>
        <w:spacing w:line="360" w:lineRule="auto"/>
        <w:ind w:firstLine="420" w:firstLineChars="200"/>
        <w:rPr>
          <w:rFonts w:hint="eastAsia" w:ascii="黑体" w:hAnsi="宋体" w:eastAsia="黑体"/>
          <w:color w:val="auto"/>
          <w:highlight w:val="none"/>
        </w:rPr>
      </w:pPr>
      <w:r>
        <w:rPr>
          <w:rFonts w:hint="eastAsia" w:ascii="黑体" w:hAnsi="宋体" w:eastAsia="黑体"/>
          <w:color w:val="auto"/>
          <w:highlight w:val="none"/>
        </w:rPr>
        <w:t>一、工程质量保修范围和内容</w:t>
      </w:r>
    </w:p>
    <w:p w14:paraId="5FDA7D5B">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承包人在质量保修期内，按照有关法律规定和合同约定，承担工程质量保修责任。</w:t>
      </w:r>
    </w:p>
    <w:p w14:paraId="24766106">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质量保修范围包括</w:t>
      </w:r>
      <w:r>
        <w:rPr>
          <w:rFonts w:hint="eastAsia" w:ascii="宋体" w:hAnsi="宋体"/>
          <w:color w:val="auto"/>
          <w:highlight w:val="none"/>
          <w:u w:val="single"/>
        </w:rPr>
        <w:t xml:space="preserve">                                </w:t>
      </w:r>
      <w:r>
        <w:rPr>
          <w:rFonts w:hint="eastAsia" w:ascii="宋体" w:hAnsi="宋体"/>
          <w:color w:val="auto"/>
          <w:highlight w:val="none"/>
        </w:rPr>
        <w:t>，以及双方约定的其他项目。具体保修的内容，双方约定如下：</w:t>
      </w:r>
    </w:p>
    <w:p w14:paraId="39468456">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p w14:paraId="6E4DACC4">
      <w:pPr>
        <w:spacing w:line="360" w:lineRule="auto"/>
        <w:ind w:firstLine="420" w:firstLineChars="200"/>
        <w:rPr>
          <w:rFonts w:hint="eastAsia" w:ascii="黑体" w:hAnsi="宋体" w:eastAsia="黑体"/>
          <w:color w:val="auto"/>
          <w:highlight w:val="none"/>
        </w:rPr>
      </w:pPr>
      <w:r>
        <w:rPr>
          <w:rFonts w:hint="eastAsia" w:ascii="黑体" w:hAnsi="宋体" w:eastAsia="黑体"/>
          <w:color w:val="auto"/>
          <w:highlight w:val="none"/>
        </w:rPr>
        <w:t>二、质量保修期</w:t>
      </w:r>
    </w:p>
    <w:p w14:paraId="4100A0C7">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根据《建设工程质量管理条例》及有关规定，工程的质量保修期如下：</w:t>
      </w:r>
    </w:p>
    <w:p w14:paraId="0182E2E7">
      <w:pPr>
        <w:spacing w:line="360" w:lineRule="auto"/>
        <w:ind w:firstLine="426"/>
        <w:rPr>
          <w:rFonts w:hint="eastAsia" w:ascii="Times New Roman" w:hAnsi="Times New Roman"/>
          <w:color w:val="auto"/>
          <w:highlight w:val="none"/>
        </w:rPr>
      </w:pPr>
      <w:r>
        <w:rPr>
          <w:rFonts w:hint="eastAsia" w:ascii="宋体" w:hAnsi="宋体"/>
          <w:color w:val="auto"/>
          <w:highlight w:val="none"/>
        </w:rPr>
        <w:t>1．桥梁工程为</w:t>
      </w:r>
      <w:r>
        <w:rPr>
          <w:color w:val="auto"/>
          <w:highlight w:val="none"/>
          <w:u w:val="single"/>
        </w:rPr>
        <w:t xml:space="preserve">     </w:t>
      </w:r>
      <w:r>
        <w:rPr>
          <w:rFonts w:hint="eastAsia" w:ascii="宋体" w:hAnsi="宋体"/>
          <w:color w:val="auto"/>
          <w:highlight w:val="none"/>
        </w:rPr>
        <w:t>年（建议桥梁隧道主体结构工程为设计文件规定的合理使用年限）；</w:t>
      </w:r>
    </w:p>
    <w:p w14:paraId="0BDCFC2F">
      <w:pPr>
        <w:spacing w:line="360" w:lineRule="auto"/>
        <w:ind w:firstLine="426"/>
        <w:rPr>
          <w:color w:val="auto"/>
          <w:highlight w:val="none"/>
        </w:rPr>
      </w:pPr>
      <w:r>
        <w:rPr>
          <w:color w:val="auto"/>
          <w:highlight w:val="none"/>
        </w:rPr>
        <w:t>2</w:t>
      </w:r>
      <w:r>
        <w:rPr>
          <w:rFonts w:hint="eastAsia" w:ascii="宋体" w:hAnsi="宋体"/>
          <w:color w:val="auto"/>
          <w:highlight w:val="none"/>
        </w:rPr>
        <w:t>．道路工程为</w:t>
      </w:r>
      <w:r>
        <w:rPr>
          <w:color w:val="auto"/>
          <w:highlight w:val="none"/>
          <w:u w:val="single"/>
        </w:rPr>
        <w:t xml:space="preserve">     </w:t>
      </w:r>
      <w:r>
        <w:rPr>
          <w:rFonts w:hint="eastAsia" w:ascii="宋体" w:hAnsi="宋体"/>
          <w:color w:val="auto"/>
          <w:highlight w:val="none"/>
        </w:rPr>
        <w:t>年（建议路基、路面、桥面为</w:t>
      </w:r>
      <w:r>
        <w:rPr>
          <w:color w:val="auto"/>
          <w:highlight w:val="none"/>
        </w:rPr>
        <w:t>2</w:t>
      </w:r>
      <w:r>
        <w:rPr>
          <w:rFonts w:hint="eastAsia" w:ascii="宋体" w:hAnsi="宋体"/>
          <w:color w:val="auto"/>
          <w:highlight w:val="none"/>
        </w:rPr>
        <w:t>年）；</w:t>
      </w:r>
    </w:p>
    <w:p w14:paraId="78C39A98">
      <w:pPr>
        <w:spacing w:line="360" w:lineRule="auto"/>
        <w:ind w:firstLine="426"/>
        <w:rPr>
          <w:color w:val="auto"/>
          <w:highlight w:val="none"/>
        </w:rPr>
      </w:pPr>
      <w:r>
        <w:rPr>
          <w:color w:val="auto"/>
          <w:highlight w:val="none"/>
        </w:rPr>
        <w:t>3</w:t>
      </w:r>
      <w:r>
        <w:rPr>
          <w:rFonts w:hint="eastAsia" w:ascii="宋体" w:hAnsi="宋体"/>
          <w:color w:val="auto"/>
          <w:highlight w:val="none"/>
        </w:rPr>
        <w:t>．排水（雨水）工程为</w:t>
      </w:r>
      <w:r>
        <w:rPr>
          <w:color w:val="auto"/>
          <w:highlight w:val="none"/>
          <w:u w:val="single"/>
        </w:rPr>
        <w:t xml:space="preserve">     </w:t>
      </w:r>
      <w:r>
        <w:rPr>
          <w:rFonts w:hint="eastAsia" w:ascii="宋体" w:hAnsi="宋体"/>
          <w:color w:val="auto"/>
          <w:highlight w:val="none"/>
        </w:rPr>
        <w:t>年（建议道路工程中的排水工程为</w:t>
      </w:r>
      <w:r>
        <w:rPr>
          <w:color w:val="auto"/>
          <w:highlight w:val="none"/>
        </w:rPr>
        <w:t>3</w:t>
      </w:r>
      <w:r>
        <w:rPr>
          <w:rFonts w:hint="eastAsia" w:ascii="宋体" w:hAnsi="宋体"/>
          <w:color w:val="auto"/>
          <w:highlight w:val="none"/>
        </w:rPr>
        <w:t>年）；</w:t>
      </w:r>
    </w:p>
    <w:p w14:paraId="6E7024D3">
      <w:pPr>
        <w:spacing w:line="360" w:lineRule="auto"/>
        <w:ind w:firstLine="426"/>
        <w:rPr>
          <w:color w:val="auto"/>
          <w:highlight w:val="none"/>
        </w:rPr>
      </w:pPr>
      <w:r>
        <w:rPr>
          <w:color w:val="auto"/>
          <w:highlight w:val="none"/>
        </w:rPr>
        <w:t>4</w:t>
      </w:r>
      <w:r>
        <w:rPr>
          <w:rFonts w:hint="eastAsia" w:ascii="宋体" w:hAnsi="宋体"/>
          <w:color w:val="auto"/>
          <w:highlight w:val="none"/>
        </w:rPr>
        <w:t>．绿化工程为</w:t>
      </w:r>
      <w:r>
        <w:rPr>
          <w:color w:val="auto"/>
          <w:highlight w:val="none"/>
        </w:rPr>
        <w:t xml:space="preserve"> </w:t>
      </w:r>
      <w:r>
        <w:rPr>
          <w:rFonts w:hint="eastAsia" w:ascii="宋体" w:hAnsi="宋体"/>
          <w:color w:val="auto"/>
          <w:highlight w:val="none"/>
          <w:u w:val="single"/>
        </w:rPr>
        <w:t>单位工程竣工验收合格后</w:t>
      </w:r>
      <w:r>
        <w:rPr>
          <w:color w:val="auto"/>
          <w:highlight w:val="none"/>
          <w:u w:val="single"/>
        </w:rPr>
        <w:t xml:space="preserve">    </w:t>
      </w:r>
      <w:r>
        <w:rPr>
          <w:rFonts w:hint="eastAsia" w:ascii="宋体" w:hAnsi="宋体"/>
          <w:color w:val="auto"/>
          <w:highlight w:val="none"/>
          <w:u w:val="single"/>
        </w:rPr>
        <w:t>年</w:t>
      </w:r>
      <w:r>
        <w:rPr>
          <w:rFonts w:hint="eastAsia" w:ascii="宋体" w:hAnsi="宋体"/>
          <w:color w:val="auto"/>
          <w:highlight w:val="none"/>
        </w:rPr>
        <w:t>；</w:t>
      </w:r>
    </w:p>
    <w:p w14:paraId="78AE33D2">
      <w:pPr>
        <w:spacing w:line="360" w:lineRule="auto"/>
        <w:ind w:firstLine="426"/>
        <w:rPr>
          <w:color w:val="auto"/>
          <w:highlight w:val="none"/>
        </w:rPr>
      </w:pPr>
      <w:r>
        <w:rPr>
          <w:color w:val="auto"/>
          <w:highlight w:val="none"/>
        </w:rPr>
        <w:t xml:space="preserve">5.  </w:t>
      </w:r>
      <w:r>
        <w:rPr>
          <w:rFonts w:hint="eastAsia" w:ascii="宋体" w:hAnsi="宋体"/>
          <w:color w:val="auto"/>
          <w:highlight w:val="none"/>
        </w:rPr>
        <w:t>地下防水工程为</w:t>
      </w:r>
      <w:r>
        <w:rPr>
          <w:color w:val="auto"/>
          <w:highlight w:val="none"/>
          <w:u w:val="single"/>
        </w:rPr>
        <w:t xml:space="preserve">     </w:t>
      </w:r>
      <w:r>
        <w:rPr>
          <w:rFonts w:hint="eastAsia" w:ascii="宋体" w:hAnsi="宋体"/>
          <w:color w:val="auto"/>
          <w:highlight w:val="none"/>
        </w:rPr>
        <w:t>年（建议为</w:t>
      </w:r>
      <w:r>
        <w:rPr>
          <w:color w:val="auto"/>
          <w:highlight w:val="none"/>
        </w:rPr>
        <w:t>5</w:t>
      </w:r>
      <w:r>
        <w:rPr>
          <w:rFonts w:hint="eastAsia" w:ascii="宋体" w:hAnsi="宋体"/>
          <w:color w:val="auto"/>
          <w:highlight w:val="none"/>
        </w:rPr>
        <w:t>年）；</w:t>
      </w:r>
    </w:p>
    <w:p w14:paraId="4A1DE3D7">
      <w:pPr>
        <w:spacing w:line="360" w:lineRule="auto"/>
        <w:ind w:firstLine="426"/>
        <w:rPr>
          <w:color w:val="auto"/>
          <w:highlight w:val="none"/>
        </w:rPr>
      </w:pPr>
      <w:r>
        <w:rPr>
          <w:color w:val="auto"/>
          <w:highlight w:val="none"/>
        </w:rPr>
        <w:t>6</w:t>
      </w:r>
      <w:r>
        <w:rPr>
          <w:rFonts w:hint="eastAsia" w:ascii="宋体" w:hAnsi="宋体"/>
          <w:color w:val="auto"/>
          <w:highlight w:val="none"/>
        </w:rPr>
        <w:t>．其他附属工程为</w:t>
      </w:r>
      <w:r>
        <w:rPr>
          <w:color w:val="auto"/>
          <w:highlight w:val="none"/>
          <w:u w:val="single"/>
        </w:rPr>
        <w:t xml:space="preserve">      </w:t>
      </w:r>
      <w:r>
        <w:rPr>
          <w:rFonts w:hint="eastAsia" w:ascii="宋体" w:hAnsi="宋体"/>
          <w:color w:val="auto"/>
          <w:highlight w:val="none"/>
        </w:rPr>
        <w:t>年；</w:t>
      </w:r>
    </w:p>
    <w:p w14:paraId="35742252">
      <w:pPr>
        <w:spacing w:line="360" w:lineRule="auto"/>
        <w:ind w:firstLine="420" w:firstLineChars="200"/>
        <w:rPr>
          <w:rFonts w:ascii="宋体" w:hAnsi="宋体"/>
          <w:color w:val="auto"/>
          <w:highlight w:val="none"/>
        </w:rPr>
      </w:pPr>
      <w:r>
        <w:rPr>
          <w:rFonts w:hint="eastAsia" w:ascii="宋体" w:hAnsi="宋体"/>
          <w:color w:val="auto"/>
          <w:highlight w:val="none"/>
        </w:rPr>
        <w:t>7．其他项目保修期限约定如下：</w:t>
      </w:r>
    </w:p>
    <w:p w14:paraId="20AB61E9">
      <w:pPr>
        <w:spacing w:line="360" w:lineRule="auto"/>
        <w:ind w:firstLine="42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p w14:paraId="0FC73BEE">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质量保修期自工程竣工验收合格之日起计算。</w:t>
      </w:r>
    </w:p>
    <w:p w14:paraId="3B56439C">
      <w:pPr>
        <w:spacing w:line="360" w:lineRule="auto"/>
        <w:ind w:firstLine="420" w:firstLineChars="200"/>
        <w:rPr>
          <w:rFonts w:hint="eastAsia" w:ascii="黑体" w:hAnsi="宋体" w:eastAsia="黑体"/>
          <w:color w:val="auto"/>
          <w:highlight w:val="none"/>
        </w:rPr>
      </w:pPr>
      <w:r>
        <w:rPr>
          <w:rFonts w:hint="eastAsia" w:ascii="黑体" w:hAnsi="宋体" w:eastAsia="黑体"/>
          <w:color w:val="auto"/>
          <w:highlight w:val="none"/>
        </w:rPr>
        <w:t>三、缺陷责任期</w:t>
      </w:r>
    </w:p>
    <w:p w14:paraId="131C48EC">
      <w:pPr>
        <w:spacing w:line="360" w:lineRule="auto"/>
        <w:ind w:firstLine="420" w:firstLineChars="200"/>
        <w:rPr>
          <w:rFonts w:hint="eastAsia" w:ascii="宋体" w:hAns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12</w:t>
      </w:r>
      <w:r>
        <w:rPr>
          <w:rFonts w:hint="eastAsia" w:ascii="宋体" w:hAnsi="宋体"/>
          <w:color w:val="auto"/>
          <w:highlight w:val="none"/>
          <w:u w:val="single"/>
        </w:rPr>
        <w:t xml:space="preserve"> </w:t>
      </w:r>
      <w:r>
        <w:rPr>
          <w:rFonts w:hint="eastAsia" w:ascii="宋体" w:hAnsi="宋体"/>
          <w:color w:val="auto"/>
          <w:highlight w:val="none"/>
        </w:rPr>
        <w:t>个月（最长不超过</w:t>
      </w:r>
      <w:r>
        <w:rPr>
          <w:rFonts w:hAnsi="宋体"/>
          <w:color w:val="auto"/>
          <w:highlight w:val="none"/>
        </w:rPr>
        <w:t>24</w:t>
      </w:r>
      <w:r>
        <w:rPr>
          <w:rFonts w:hint="eastAsia" w:ascii="宋体" w:hAnsi="宋体"/>
          <w:color w:val="auto"/>
          <w:highlight w:val="none"/>
        </w:rPr>
        <w:t>个月），缺陷责任期自工程竣工验收合格之日起计算。单位工程先于全部工程进行验收，单位工程缺陷责任期自单位工程验收合格之日起算。</w:t>
      </w:r>
    </w:p>
    <w:p w14:paraId="74A42753">
      <w:pPr>
        <w:spacing w:line="360" w:lineRule="auto"/>
        <w:ind w:firstLine="420" w:firstLineChars="200"/>
        <w:rPr>
          <w:rFonts w:hint="eastAsia" w:ascii="宋体" w:hAnsi="宋体"/>
          <w:color w:val="auto"/>
          <w:highlight w:val="none"/>
        </w:rPr>
      </w:pPr>
      <w:r>
        <w:rPr>
          <w:rFonts w:hint="eastAsia" w:ascii="宋体" w:hAnsi="宋体"/>
          <w:color w:val="auto"/>
          <w:highlight w:val="none"/>
        </w:rPr>
        <w:t>缺陷责任期</w:t>
      </w:r>
      <w:r>
        <w:rPr>
          <w:rFonts w:hint="eastAsia" w:ascii="宋体" w:hAnsi="宋体"/>
          <w:color w:val="auto"/>
          <w:highlight w:val="none"/>
          <w:u w:val="single"/>
        </w:rPr>
        <w:t>满</w:t>
      </w:r>
      <w:r>
        <w:rPr>
          <w:rFonts w:hint="eastAsia" w:ascii="宋体" w:hAnsi="宋体"/>
          <w:color w:val="auto"/>
          <w:highlight w:val="none"/>
        </w:rPr>
        <w:t>之日起</w:t>
      </w:r>
      <w:r>
        <w:rPr>
          <w:rFonts w:hint="eastAsia" w:ascii="仿宋_GB2312" w:hAnsi="宋体"/>
          <w:color w:val="auto"/>
          <w:highlight w:val="none"/>
          <w:u w:val="single"/>
        </w:rPr>
        <w:t xml:space="preserve"> </w:t>
      </w:r>
      <w:r>
        <w:rPr>
          <w:rFonts w:hint="eastAsia" w:ascii="仿宋_GB2312" w:hAnsi="宋体" w:eastAsia="仿宋_GB2312"/>
          <w:color w:val="auto"/>
          <w:highlight w:val="none"/>
          <w:u w:val="single"/>
        </w:rPr>
        <w:t xml:space="preserve">  </w:t>
      </w:r>
      <w:r>
        <w:rPr>
          <w:rFonts w:hint="eastAsia" w:ascii="仿宋_GB2312" w:hAnsi="宋体"/>
          <w:color w:val="auto"/>
          <w:highlight w:val="none"/>
          <w:u w:val="single"/>
        </w:rPr>
        <w:t xml:space="preserve"> </w:t>
      </w:r>
      <w:r>
        <w:rPr>
          <w:rFonts w:hint="eastAsia" w:ascii="宋体" w:hAnsi="宋体"/>
          <w:color w:val="auto"/>
          <w:highlight w:val="none"/>
        </w:rPr>
        <w:t>天</w:t>
      </w:r>
      <w:r>
        <w:rPr>
          <w:rFonts w:hint="eastAsia" w:ascii="宋体" w:hAnsi="宋体"/>
          <w:color w:val="auto"/>
          <w:highlight w:val="none"/>
          <w:u w:val="single"/>
        </w:rPr>
        <w:t>（按</w:t>
      </w:r>
      <w:r>
        <w:rPr>
          <w:rFonts w:ascii="宋体" w:hAnsi="宋体" w:cs="宋体"/>
          <w:color w:val="auto"/>
          <w:highlight w:val="none"/>
          <w:u w:val="single"/>
        </w:rPr>
        <w:t>合同约定期限）</w:t>
      </w:r>
      <w:r>
        <w:rPr>
          <w:rFonts w:hint="eastAsia" w:ascii="宋体" w:hAnsi="宋体"/>
          <w:color w:val="auto"/>
          <w:highlight w:val="none"/>
          <w:u w:val="single"/>
        </w:rPr>
        <w:t>，</w:t>
      </w:r>
      <w:r>
        <w:rPr>
          <w:rFonts w:hint="eastAsia" w:ascii="宋体" w:hAnsi="宋体"/>
          <w:color w:val="auto"/>
          <w:highlight w:val="none"/>
        </w:rPr>
        <w:t>发包人应退还剩余的质量保证金。</w:t>
      </w:r>
    </w:p>
    <w:p w14:paraId="4C7CA3F4">
      <w:pPr>
        <w:spacing w:line="360" w:lineRule="auto"/>
        <w:ind w:firstLine="420" w:firstLineChars="200"/>
        <w:rPr>
          <w:rFonts w:hint="eastAsia" w:ascii="黑体" w:hAnsi="宋体" w:eastAsia="黑体"/>
          <w:color w:val="auto"/>
          <w:highlight w:val="none"/>
        </w:rPr>
      </w:pPr>
      <w:r>
        <w:rPr>
          <w:rFonts w:hint="eastAsia" w:ascii="黑体" w:hAnsi="宋体" w:eastAsia="黑体"/>
          <w:color w:val="auto"/>
          <w:highlight w:val="none"/>
        </w:rPr>
        <w:t>四、质量保修责任</w:t>
      </w:r>
    </w:p>
    <w:p w14:paraId="581A9F2D">
      <w:pPr>
        <w:spacing w:line="360" w:lineRule="auto"/>
        <w:ind w:firstLine="420" w:firstLineChars="200"/>
        <w:rPr>
          <w:rFonts w:hint="eastAsia" w:ascii="宋体" w:hAnsi="宋体"/>
          <w:color w:val="auto"/>
          <w:highlight w:val="none"/>
        </w:rPr>
      </w:pPr>
      <w:r>
        <w:rPr>
          <w:rFonts w:hint="eastAsia" w:ascii="宋体" w:hAnsi="宋体"/>
          <w:color w:val="auto"/>
          <w:highlight w:val="none"/>
        </w:rPr>
        <w:t>1．属于保修范围、内容的项目，承包人应当在接到保修通知之日起</w:t>
      </w:r>
      <w:r>
        <w:rPr>
          <w:rFonts w:hint="eastAsia" w:ascii="宋体" w:hAnsi="宋体"/>
          <w:color w:val="auto"/>
          <w:highlight w:val="none"/>
          <w:u w:val="single"/>
        </w:rPr>
        <w:t xml:space="preserve">      </w:t>
      </w:r>
      <w:r>
        <w:rPr>
          <w:rFonts w:hint="eastAsia" w:ascii="宋体" w:hAnsi="宋体"/>
          <w:color w:val="auto"/>
          <w:highlight w:val="none"/>
        </w:rPr>
        <w:t>天内派人保修。承包人不在约定期限内派人保修的，发包人可以委托他人修理，修理费用从质量保证金内扣除。</w:t>
      </w:r>
    </w:p>
    <w:p w14:paraId="767AC1BD">
      <w:pPr>
        <w:spacing w:line="360" w:lineRule="auto"/>
        <w:ind w:firstLine="420" w:firstLineChars="200"/>
        <w:rPr>
          <w:rFonts w:hint="eastAsia" w:ascii="宋体" w:hAnsi="宋体"/>
          <w:color w:val="auto"/>
          <w:highlight w:val="none"/>
        </w:rPr>
      </w:pPr>
      <w:r>
        <w:rPr>
          <w:rFonts w:hint="eastAsia" w:ascii="宋体" w:hAnsi="宋体"/>
          <w:color w:val="auto"/>
          <w:highlight w:val="none"/>
        </w:rPr>
        <w:t>2．发生紧急事故需抢修的，承包人在接到事故通知后，应当立即到达事故现场抢修。</w:t>
      </w:r>
    </w:p>
    <w:p w14:paraId="070C52AC">
      <w:pPr>
        <w:spacing w:line="360" w:lineRule="auto"/>
        <w:ind w:firstLine="420" w:firstLineChars="200"/>
        <w:rPr>
          <w:rFonts w:hint="eastAsia" w:ascii="宋体" w:hAnsi="宋体"/>
          <w:color w:val="auto"/>
          <w:highlight w:val="none"/>
        </w:rPr>
      </w:pPr>
      <w:r>
        <w:rPr>
          <w:rFonts w:hint="eastAsia" w:ascii="宋体" w:hAnsi="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5E6C1F9">
      <w:pPr>
        <w:spacing w:line="360" w:lineRule="auto"/>
        <w:ind w:firstLine="420" w:firstLineChars="200"/>
        <w:rPr>
          <w:rFonts w:hint="eastAsia" w:ascii="宋体" w:hAnsi="宋体"/>
          <w:color w:val="auto"/>
          <w:highlight w:val="none"/>
        </w:rPr>
      </w:pPr>
      <w:r>
        <w:rPr>
          <w:rFonts w:hint="eastAsia" w:ascii="宋体" w:hAnsi="宋体"/>
          <w:color w:val="auto"/>
          <w:highlight w:val="none"/>
        </w:rPr>
        <w:t>4．质量保修完成后，由发包人组织验收。</w:t>
      </w:r>
    </w:p>
    <w:p w14:paraId="10964ABB">
      <w:pPr>
        <w:spacing w:line="360" w:lineRule="auto"/>
        <w:ind w:firstLine="420" w:firstLineChars="200"/>
        <w:rPr>
          <w:rFonts w:hint="eastAsia" w:ascii="黑体" w:hAnsi="宋体" w:eastAsia="黑体"/>
          <w:color w:val="auto"/>
          <w:highlight w:val="none"/>
        </w:rPr>
      </w:pPr>
      <w:r>
        <w:rPr>
          <w:rFonts w:hint="eastAsia" w:ascii="黑体" w:hAnsi="宋体" w:eastAsia="黑体"/>
          <w:color w:val="auto"/>
          <w:highlight w:val="none"/>
        </w:rPr>
        <w:t>五、保修费用</w:t>
      </w:r>
    </w:p>
    <w:p w14:paraId="4B91C5B2">
      <w:pPr>
        <w:spacing w:line="360" w:lineRule="auto"/>
        <w:ind w:firstLine="420" w:firstLineChars="200"/>
        <w:rPr>
          <w:rFonts w:hint="eastAsia" w:ascii="宋体" w:hAnsi="宋体"/>
          <w:color w:val="auto"/>
          <w:highlight w:val="none"/>
        </w:rPr>
      </w:pPr>
      <w:r>
        <w:rPr>
          <w:rFonts w:hint="eastAsia" w:ascii="宋体" w:hAnsi="宋体"/>
          <w:color w:val="auto"/>
          <w:highlight w:val="none"/>
        </w:rPr>
        <w:t>保修费用由造成质量缺陷的责任方承担。</w:t>
      </w:r>
    </w:p>
    <w:p w14:paraId="01890AB9">
      <w:pPr>
        <w:spacing w:line="360" w:lineRule="auto"/>
        <w:ind w:firstLine="420" w:firstLineChars="200"/>
        <w:rPr>
          <w:rFonts w:hint="eastAsia" w:ascii="黑体" w:hAnsi="宋体" w:eastAsia="黑体"/>
          <w:color w:val="auto"/>
          <w:highlight w:val="none"/>
          <w:u w:val="single"/>
        </w:rPr>
      </w:pPr>
      <w:r>
        <w:rPr>
          <w:rFonts w:hint="eastAsia" w:ascii="黑体" w:hAnsi="宋体" w:eastAsia="黑体"/>
          <w:color w:val="auto"/>
          <w:highlight w:val="none"/>
        </w:rPr>
        <w:t>六、双方约定的其他工程质量保修事项：</w:t>
      </w:r>
      <w:r>
        <w:rPr>
          <w:rFonts w:hint="eastAsia" w:ascii="黑体" w:hAnsi="宋体" w:eastAsia="黑体"/>
          <w:color w:val="auto"/>
          <w:highlight w:val="none"/>
          <w:u w:val="single"/>
        </w:rPr>
        <w:t xml:space="preserve">                                          </w:t>
      </w:r>
    </w:p>
    <w:p w14:paraId="53207C6D">
      <w:pPr>
        <w:spacing w:line="360" w:lineRule="auto"/>
        <w:jc w:val="left"/>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p w14:paraId="39234F7F">
      <w:pPr>
        <w:spacing w:line="360" w:lineRule="auto"/>
        <w:ind w:firstLine="399" w:firstLineChars="190"/>
        <w:rPr>
          <w:rFonts w:hint="eastAsia" w:ascii="宋体" w:hAnsi="宋体"/>
          <w:color w:val="auto"/>
          <w:highlight w:val="none"/>
        </w:rPr>
      </w:pPr>
      <w:r>
        <w:rPr>
          <w:rFonts w:hint="eastAsia" w:ascii="宋体" w:hAnsi="宋体"/>
          <w:color w:val="auto"/>
          <w:highlight w:val="none"/>
        </w:rPr>
        <w:t>工程质量保修书由发包人、承包人在工程竣工验收前共同签署，作为施工合同附件，其有效期限至保修期满。</w:t>
      </w:r>
    </w:p>
    <w:p w14:paraId="405041EE">
      <w:pPr>
        <w:spacing w:line="360" w:lineRule="auto"/>
        <w:ind w:firstLine="420"/>
        <w:rPr>
          <w:rFonts w:hint="eastAsia" w:ascii="宋体" w:hAnsi="宋体"/>
          <w:color w:val="auto"/>
          <w:highlight w:val="none"/>
        </w:rPr>
      </w:pPr>
      <w:r>
        <w:rPr>
          <w:rFonts w:hint="eastAsia" w:ascii="宋体" w:hAnsi="宋体"/>
          <w:color w:val="auto"/>
          <w:highlight w:val="none"/>
        </w:rPr>
        <w:t xml:space="preserve"> </w:t>
      </w:r>
    </w:p>
    <w:p w14:paraId="25BEAAE4">
      <w:pPr>
        <w:spacing w:line="360" w:lineRule="auto"/>
        <w:ind w:firstLine="420"/>
        <w:rPr>
          <w:rFonts w:hint="eastAsia" w:ascii="宋体" w:hAnsi="宋体"/>
          <w:color w:val="auto"/>
          <w:highlight w:val="none"/>
        </w:rPr>
      </w:pPr>
      <w:r>
        <w:rPr>
          <w:rFonts w:hint="eastAsia" w:ascii="宋体" w:hAnsi="宋体"/>
          <w:color w:val="auto"/>
          <w:highlight w:val="none"/>
        </w:rPr>
        <w:t xml:space="preserve"> </w:t>
      </w:r>
    </w:p>
    <w:p w14:paraId="18B57F66">
      <w:pPr>
        <w:spacing w:line="360" w:lineRule="auto"/>
        <w:rPr>
          <w:rFonts w:hint="eastAsia" w:ascii="Times New Roman" w:hAnsi="Times New Roman"/>
          <w:color w:val="auto"/>
          <w:highlight w:val="none"/>
        </w:rPr>
      </w:pPr>
      <w:r>
        <w:rPr>
          <w:rFonts w:ascii="宋体" w:hAnsi="宋体"/>
          <w:color w:val="auto"/>
          <w:highlight w:val="none"/>
        </w:rPr>
        <w:t>发包人</w:t>
      </w:r>
      <w:r>
        <w:rPr>
          <w:rFonts w:hint="eastAsia" w:ascii="宋体" w:hAnsi="宋体"/>
          <w:color w:val="auto"/>
          <w:highlight w:val="none"/>
        </w:rPr>
        <w:t>（</w:t>
      </w:r>
      <w:r>
        <w:rPr>
          <w:rFonts w:ascii="宋体" w:hAnsi="宋体"/>
          <w:color w:val="auto"/>
          <w:highlight w:val="none"/>
        </w:rPr>
        <w:t>公章</w:t>
      </w:r>
      <w:r>
        <w:rPr>
          <w:rFonts w:hint="eastAsia" w:ascii="宋体" w:hAnsi="宋体"/>
          <w:color w:val="auto"/>
          <w:highlight w:val="none"/>
        </w:rPr>
        <w:t>）</w:t>
      </w:r>
      <w:r>
        <w:rPr>
          <w:rFonts w:ascii="宋体" w:hAnsi="宋体"/>
          <w:color w:val="auto"/>
          <w:highlight w:val="none"/>
        </w:rPr>
        <w:t>：</w:t>
      </w:r>
      <w:r>
        <w:rPr>
          <w:color w:val="auto"/>
          <w:highlight w:val="none"/>
          <w:u w:val="single"/>
        </w:rPr>
        <w:t xml:space="preserve"> </w:t>
      </w:r>
      <w:r>
        <w:rPr>
          <w:rFonts w:hint="eastAsia" w:ascii="宋体" w:hAnsi="宋体" w:cs="宋体"/>
          <w:color w:val="auto"/>
          <w:highlight w:val="none"/>
          <w:u w:val="single"/>
        </w:rPr>
        <w:t></w:t>
      </w:r>
      <w:r>
        <w:rPr>
          <w:color w:val="auto"/>
          <w:highlight w:val="none"/>
          <w:u w:val="single"/>
        </w:rPr>
        <w:t xml:space="preserve"> </w:t>
      </w:r>
      <w:r>
        <w:rPr>
          <w:rFonts w:hint="eastAsia" w:ascii="宋体" w:hAnsi="宋体" w:cs="宋体"/>
          <w:color w:val="auto"/>
          <w:highlight w:val="none"/>
          <w:u w:val="single"/>
        </w:rPr>
        <w:t></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ascii="宋体" w:hAnsi="宋体"/>
          <w:color w:val="auto"/>
          <w:highlight w:val="none"/>
        </w:rPr>
        <w:t xml:space="preserve">            </w:t>
      </w:r>
      <w:r>
        <w:rPr>
          <w:rFonts w:ascii="宋体" w:hAnsi="宋体"/>
          <w:color w:val="auto"/>
          <w:highlight w:val="none"/>
        </w:rPr>
        <w:t>承包人</w:t>
      </w:r>
      <w:r>
        <w:rPr>
          <w:rFonts w:hint="eastAsia" w:ascii="宋体" w:hAnsi="宋体"/>
          <w:color w:val="auto"/>
          <w:highlight w:val="none"/>
        </w:rPr>
        <w:t>（</w:t>
      </w:r>
      <w:r>
        <w:rPr>
          <w:rFonts w:ascii="宋体" w:hAnsi="宋体"/>
          <w:color w:val="auto"/>
          <w:highlight w:val="none"/>
        </w:rPr>
        <w:t>公章</w:t>
      </w:r>
      <w:r>
        <w:rPr>
          <w:rFonts w:hint="eastAsia" w:ascii="宋体" w:hAnsi="宋体"/>
          <w:color w:val="auto"/>
          <w:highlight w:val="none"/>
        </w:rPr>
        <w:t>）</w:t>
      </w:r>
      <w:r>
        <w:rPr>
          <w:rFonts w:ascii="宋体" w:hAnsi="宋体"/>
          <w:color w:val="auto"/>
          <w:highlight w:val="none"/>
        </w:rPr>
        <w:t>：</w:t>
      </w:r>
      <w:r>
        <w:rPr>
          <w:rFonts w:hint="eastAsia" w:ascii="宋体" w:hAnsi="宋体" w:cs="宋体"/>
          <w:color w:val="auto"/>
          <w:highlight w:val="none"/>
          <w:u w:val="single"/>
        </w:rPr>
        <w:t></w:t>
      </w:r>
      <w:r>
        <w:rPr>
          <w:color w:val="auto"/>
          <w:highlight w:val="none"/>
          <w:u w:val="single"/>
        </w:rPr>
        <w:t xml:space="preserve">          </w:t>
      </w:r>
      <w:r>
        <w:rPr>
          <w:rFonts w:hint="eastAsia" w:ascii="宋体" w:hAnsi="宋体" w:cs="宋体"/>
          <w:color w:val="auto"/>
          <w:highlight w:val="none"/>
          <w:u w:val="single"/>
        </w:rPr>
        <w:t></w:t>
      </w:r>
    </w:p>
    <w:p w14:paraId="55F2E5BC">
      <w:pPr>
        <w:spacing w:line="360" w:lineRule="auto"/>
        <w:rPr>
          <w:color w:val="auto"/>
          <w:highlight w:val="none"/>
        </w:rPr>
      </w:pPr>
      <w:r>
        <w:rPr>
          <w:rFonts w:ascii="宋体" w:hAnsi="宋体"/>
          <w:color w:val="auto"/>
          <w:highlight w:val="none"/>
        </w:rPr>
        <w:t>地</w:t>
      </w:r>
      <w:r>
        <w:rPr>
          <w:color w:val="auto"/>
          <w:highlight w:val="none"/>
        </w:rPr>
        <w:t xml:space="preserve">  </w:t>
      </w:r>
      <w:r>
        <w:rPr>
          <w:rFonts w:ascii="宋体" w:hAnsi="宋体"/>
          <w:color w:val="auto"/>
          <w:highlight w:val="none"/>
        </w:rPr>
        <w:t>址：</w:t>
      </w:r>
      <w:r>
        <w:rPr>
          <w:color w:val="auto"/>
          <w:highlight w:val="none"/>
          <w:u w:val="single"/>
        </w:rPr>
        <w:t xml:space="preserve"> </w:t>
      </w:r>
      <w:r>
        <w:rPr>
          <w:rFonts w:hint="eastAsia" w:ascii="宋体" w:hAnsi="宋体" w:cs="宋体"/>
          <w:color w:val="auto"/>
          <w:highlight w:val="none"/>
          <w:u w:val="single"/>
        </w:rPr>
        <w:t></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ascii="宋体" w:hAnsi="宋体"/>
          <w:color w:val="auto"/>
          <w:highlight w:val="none"/>
        </w:rPr>
        <w:t xml:space="preserve">             </w:t>
      </w:r>
      <w:r>
        <w:rPr>
          <w:rFonts w:ascii="宋体" w:hAnsi="宋体"/>
          <w:color w:val="auto"/>
          <w:highlight w:val="none"/>
        </w:rPr>
        <w:t>地</w:t>
      </w:r>
      <w:r>
        <w:rPr>
          <w:color w:val="auto"/>
          <w:highlight w:val="none"/>
        </w:rPr>
        <w:t xml:space="preserve">  </w:t>
      </w:r>
      <w:r>
        <w:rPr>
          <w:rFonts w:ascii="宋体" w:hAnsi="宋体"/>
          <w:color w:val="auto"/>
          <w:highlight w:val="none"/>
        </w:rPr>
        <w:t>址：</w:t>
      </w:r>
      <w:r>
        <w:rPr>
          <w:rFonts w:hint="eastAsia" w:ascii="宋体" w:hAnsi="宋体" w:cs="宋体"/>
          <w:color w:val="auto"/>
          <w:highlight w:val="none"/>
          <w:u w:val="single"/>
        </w:rPr>
        <w:t></w:t>
      </w:r>
      <w:r>
        <w:rPr>
          <w:color w:val="auto"/>
          <w:highlight w:val="none"/>
          <w:u w:val="single"/>
        </w:rPr>
        <w:t xml:space="preserve"> </w:t>
      </w:r>
      <w:r>
        <w:rPr>
          <w:rFonts w:hint="eastAsia" w:ascii="宋体" w:hAnsi="宋体"/>
          <w:color w:val="auto"/>
          <w:highlight w:val="none"/>
          <w:u w:val="single"/>
        </w:rPr>
        <w:t xml:space="preserve">     </w:t>
      </w:r>
      <w:r>
        <w:rPr>
          <w:rFonts w:hint="eastAsia" w:ascii="宋体" w:hAnsi="宋体" w:cs="宋体"/>
          <w:color w:val="auto"/>
          <w:highlight w:val="none"/>
          <w:u w:val="single"/>
        </w:rPr>
        <w:t></w:t>
      </w:r>
    </w:p>
    <w:p w14:paraId="155C881B">
      <w:pPr>
        <w:spacing w:line="360" w:lineRule="auto"/>
        <w:rPr>
          <w:color w:val="auto"/>
          <w:highlight w:val="none"/>
        </w:rPr>
      </w:pPr>
      <w:r>
        <w:rPr>
          <w:rFonts w:ascii="宋体" w:hAnsi="宋体"/>
          <w:color w:val="auto"/>
          <w:highlight w:val="none"/>
        </w:rPr>
        <w:t>法定代表人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hint="eastAsia" w:ascii="宋体" w:hAnsi="宋体" w:cs="宋体"/>
          <w:color w:val="auto"/>
          <w:highlight w:val="none"/>
          <w:u w:val="single"/>
        </w:rPr>
        <w:t></w:t>
      </w:r>
      <w:r>
        <w:rPr>
          <w:color w:val="auto"/>
          <w:highlight w:val="none"/>
          <w:u w:val="single"/>
        </w:rPr>
        <w:t xml:space="preserve">      </w:t>
      </w:r>
      <w:r>
        <w:rPr>
          <w:color w:val="auto"/>
          <w:highlight w:val="none"/>
        </w:rPr>
        <w:t xml:space="preserve"> </w:t>
      </w:r>
      <w:r>
        <w:rPr>
          <w:rFonts w:hint="eastAsia" w:ascii="宋体" w:hAnsi="宋体"/>
          <w:color w:val="auto"/>
          <w:highlight w:val="none"/>
        </w:rPr>
        <w:t xml:space="preserve">             </w:t>
      </w:r>
      <w:r>
        <w:rPr>
          <w:rFonts w:ascii="宋体" w:hAnsi="宋体"/>
          <w:color w:val="auto"/>
          <w:highlight w:val="none"/>
        </w:rPr>
        <w:t>法定代表人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p>
    <w:p w14:paraId="5C7C1F6E">
      <w:pPr>
        <w:spacing w:line="360" w:lineRule="auto"/>
        <w:rPr>
          <w:color w:val="auto"/>
          <w:highlight w:val="none"/>
        </w:rPr>
      </w:pPr>
      <w:r>
        <w:rPr>
          <w:rFonts w:ascii="宋体" w:hAnsi="宋体"/>
          <w:color w:val="auto"/>
          <w:highlight w:val="none"/>
        </w:rPr>
        <w:t>委托代理人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hint="eastAsia" w:ascii="宋体" w:hAnsi="宋体" w:cs="宋体"/>
          <w:color w:val="auto"/>
          <w:highlight w:val="none"/>
          <w:u w:val="single"/>
        </w:rPr>
        <w:t></w:t>
      </w:r>
      <w:r>
        <w:rPr>
          <w:color w:val="auto"/>
          <w:highlight w:val="none"/>
          <w:u w:val="single"/>
        </w:rPr>
        <w:t xml:space="preserve">      </w:t>
      </w:r>
      <w:r>
        <w:rPr>
          <w:color w:val="auto"/>
          <w:highlight w:val="none"/>
        </w:rPr>
        <w:t xml:space="preserve"> </w:t>
      </w:r>
      <w:r>
        <w:rPr>
          <w:rFonts w:hint="eastAsia" w:ascii="宋体" w:hAnsi="宋体"/>
          <w:color w:val="auto"/>
          <w:highlight w:val="none"/>
        </w:rPr>
        <w:t xml:space="preserve">             </w:t>
      </w:r>
      <w:r>
        <w:rPr>
          <w:rFonts w:ascii="宋体" w:hAnsi="宋体"/>
          <w:color w:val="auto"/>
          <w:highlight w:val="none"/>
        </w:rPr>
        <w:t>委托代理人</w:t>
      </w:r>
      <w:r>
        <w:rPr>
          <w:rFonts w:hint="eastAsia" w:ascii="宋体" w:hAnsi="宋体"/>
          <w:color w:val="auto"/>
          <w:highlight w:val="none"/>
        </w:rPr>
        <w:t>（</w:t>
      </w:r>
      <w:r>
        <w:rPr>
          <w:rFonts w:ascii="宋体" w:hAnsi="宋体"/>
          <w:color w:val="auto"/>
          <w:highlight w:val="none"/>
        </w:rPr>
        <w:t>签字</w:t>
      </w:r>
      <w:r>
        <w:rPr>
          <w:rFonts w:hint="eastAsia" w:ascii="宋体" w:hAnsi="宋体"/>
          <w:color w:val="auto"/>
          <w:highlight w:val="none"/>
        </w:rPr>
        <w:t>）</w:t>
      </w:r>
      <w:r>
        <w:rPr>
          <w:rFonts w:ascii="宋体" w:hAnsi="宋体"/>
          <w:color w:val="auto"/>
          <w:highlight w:val="none"/>
        </w:rPr>
        <w:t>：</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p>
    <w:p w14:paraId="676867D2">
      <w:pPr>
        <w:spacing w:line="360" w:lineRule="auto"/>
        <w:rPr>
          <w:color w:val="auto"/>
          <w:highlight w:val="none"/>
        </w:rPr>
      </w:pPr>
      <w:r>
        <w:rPr>
          <w:rFonts w:ascii="宋体" w:hAnsi="宋体"/>
          <w:color w:val="auto"/>
          <w:highlight w:val="none"/>
        </w:rPr>
        <w:t>电</w:t>
      </w:r>
      <w:r>
        <w:rPr>
          <w:color w:val="auto"/>
          <w:highlight w:val="none"/>
        </w:rPr>
        <w:t xml:space="preserve">  </w:t>
      </w:r>
      <w:r>
        <w:rPr>
          <w:rFonts w:ascii="宋体" w:hAnsi="宋体"/>
          <w:color w:val="auto"/>
          <w:highlight w:val="none"/>
        </w:rPr>
        <w:t>话：</w:t>
      </w:r>
      <w:r>
        <w:rPr>
          <w:rFonts w:hint="eastAsia" w:ascii="宋体" w:hAnsi="宋体" w:cs="宋体"/>
          <w:color w:val="auto"/>
          <w:highlight w:val="none"/>
          <w:u w:val="single"/>
        </w:rPr>
        <w:t></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ascii="宋体" w:hAnsi="宋体"/>
          <w:color w:val="auto"/>
          <w:highlight w:val="none"/>
        </w:rPr>
        <w:t xml:space="preserve">             </w:t>
      </w:r>
      <w:r>
        <w:rPr>
          <w:rFonts w:ascii="宋体" w:hAnsi="宋体"/>
          <w:color w:val="auto"/>
          <w:highlight w:val="none"/>
        </w:rPr>
        <w:t>电</w:t>
      </w:r>
      <w:r>
        <w:rPr>
          <w:color w:val="auto"/>
          <w:highlight w:val="none"/>
        </w:rPr>
        <w:t xml:space="preserve">  </w:t>
      </w:r>
      <w:r>
        <w:rPr>
          <w:rFonts w:ascii="宋体" w:hAnsi="宋体"/>
          <w:color w:val="auto"/>
          <w:highlight w:val="none"/>
        </w:rPr>
        <w:t>话：</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p>
    <w:p w14:paraId="5C432E8E">
      <w:pPr>
        <w:spacing w:line="360" w:lineRule="auto"/>
        <w:rPr>
          <w:color w:val="auto"/>
          <w:highlight w:val="none"/>
        </w:rPr>
      </w:pPr>
      <w:r>
        <w:rPr>
          <w:rFonts w:ascii="宋体" w:hAnsi="宋体"/>
          <w:color w:val="auto"/>
          <w:highlight w:val="none"/>
        </w:rPr>
        <w:t>传</w:t>
      </w:r>
      <w:r>
        <w:rPr>
          <w:color w:val="auto"/>
          <w:highlight w:val="none"/>
        </w:rPr>
        <w:t xml:space="preserve">  </w:t>
      </w:r>
      <w:r>
        <w:rPr>
          <w:rFonts w:ascii="宋体" w:hAnsi="宋体"/>
          <w:color w:val="auto"/>
          <w:highlight w:val="none"/>
        </w:rPr>
        <w:t>真：</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ascii="宋体" w:hAnsi="宋体"/>
          <w:color w:val="auto"/>
          <w:highlight w:val="none"/>
        </w:rPr>
        <w:t xml:space="preserve">             </w:t>
      </w:r>
      <w:r>
        <w:rPr>
          <w:rFonts w:ascii="宋体" w:hAnsi="宋体"/>
          <w:color w:val="auto"/>
          <w:highlight w:val="none"/>
        </w:rPr>
        <w:t>传</w:t>
      </w:r>
      <w:r>
        <w:rPr>
          <w:color w:val="auto"/>
          <w:highlight w:val="none"/>
        </w:rPr>
        <w:t xml:space="preserve">  </w:t>
      </w:r>
      <w:r>
        <w:rPr>
          <w:rFonts w:ascii="宋体" w:hAnsi="宋体"/>
          <w:color w:val="auto"/>
          <w:highlight w:val="none"/>
        </w:rPr>
        <w:t>真：</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s="宋体"/>
          <w:color w:val="auto"/>
          <w:highlight w:val="none"/>
          <w:u w:val="single"/>
        </w:rPr>
        <w:t></w:t>
      </w:r>
    </w:p>
    <w:p w14:paraId="29BF1AEA">
      <w:pPr>
        <w:spacing w:line="360" w:lineRule="auto"/>
        <w:rPr>
          <w:color w:val="auto"/>
          <w:highlight w:val="none"/>
        </w:rPr>
      </w:pPr>
      <w:r>
        <w:rPr>
          <w:rFonts w:ascii="宋体" w:hAnsi="宋体"/>
          <w:color w:val="auto"/>
          <w:highlight w:val="none"/>
        </w:rPr>
        <w:t>开户银行：</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ascii="宋体" w:hAnsi="宋体"/>
          <w:color w:val="auto"/>
          <w:highlight w:val="none"/>
        </w:rPr>
        <w:t xml:space="preserve">             </w:t>
      </w:r>
      <w:r>
        <w:rPr>
          <w:rFonts w:ascii="宋体" w:hAnsi="宋体"/>
          <w:color w:val="auto"/>
          <w:highlight w:val="none"/>
        </w:rPr>
        <w:t>开户银行：</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p>
    <w:p w14:paraId="18B5AB3E">
      <w:pPr>
        <w:spacing w:line="360" w:lineRule="auto"/>
        <w:rPr>
          <w:color w:val="auto"/>
          <w:highlight w:val="none"/>
        </w:rPr>
      </w:pPr>
      <w:r>
        <w:rPr>
          <w:rFonts w:ascii="宋体" w:hAnsi="宋体"/>
          <w:color w:val="auto"/>
          <w:highlight w:val="none"/>
        </w:rPr>
        <w:t>账</w:t>
      </w:r>
      <w:r>
        <w:rPr>
          <w:color w:val="auto"/>
          <w:highlight w:val="none"/>
        </w:rPr>
        <w:t xml:space="preserve">  </w:t>
      </w:r>
      <w:r>
        <w:rPr>
          <w:rFonts w:ascii="宋体" w:hAnsi="宋体"/>
          <w:color w:val="auto"/>
          <w:highlight w:val="none"/>
        </w:rPr>
        <w:t>号：</w:t>
      </w:r>
      <w:r>
        <w:rPr>
          <w:rFonts w:hint="eastAsia" w:ascii="宋体" w:hAnsi="宋体" w:cs="宋体"/>
          <w:color w:val="auto"/>
          <w:highlight w:val="none"/>
          <w:u w:val="single"/>
        </w:rPr>
        <w:t></w:t>
      </w:r>
      <w:r>
        <w:rPr>
          <w:color w:val="auto"/>
          <w:highlight w:val="none"/>
          <w:u w:val="single"/>
        </w:rPr>
        <w:t xml:space="preserve"> </w:t>
      </w:r>
      <w:r>
        <w:rPr>
          <w:rFonts w:hint="eastAsia" w:ascii="宋体" w:hAnsi="宋体" w:cs="宋体"/>
          <w:color w:val="auto"/>
          <w:highlight w:val="none"/>
          <w:u w:val="single"/>
        </w:rPr>
        <w:t></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ascii="宋体" w:hAnsi="宋体"/>
          <w:color w:val="auto"/>
          <w:highlight w:val="none"/>
        </w:rPr>
        <w:t xml:space="preserve">            </w:t>
      </w:r>
      <w:r>
        <w:rPr>
          <w:rFonts w:ascii="宋体" w:hAnsi="宋体"/>
          <w:color w:val="auto"/>
          <w:highlight w:val="none"/>
        </w:rPr>
        <w:t>账</w:t>
      </w:r>
      <w:r>
        <w:rPr>
          <w:color w:val="auto"/>
          <w:highlight w:val="none"/>
        </w:rPr>
        <w:t xml:space="preserve">  </w:t>
      </w:r>
      <w:r>
        <w:rPr>
          <w:rFonts w:ascii="宋体" w:hAnsi="宋体"/>
          <w:color w:val="auto"/>
          <w:highlight w:val="none"/>
        </w:rPr>
        <w:t>号：</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p>
    <w:p w14:paraId="29D211A4">
      <w:pPr>
        <w:spacing w:line="360" w:lineRule="auto"/>
        <w:rPr>
          <w:rFonts w:ascii="宋体" w:hAnsi="宋体"/>
          <w:color w:val="auto"/>
          <w:highlight w:val="none"/>
          <w:u w:val="single"/>
        </w:rPr>
      </w:pPr>
      <w:r>
        <w:rPr>
          <w:rFonts w:ascii="宋体" w:hAnsi="宋体"/>
          <w:color w:val="auto"/>
          <w:highlight w:val="none"/>
        </w:rPr>
        <w:t>邮政编码：</w:t>
      </w:r>
      <w:r>
        <w:rPr>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ascii="宋体" w:hAnsi="宋体"/>
          <w:color w:val="auto"/>
          <w:highlight w:val="none"/>
        </w:rPr>
        <w:t xml:space="preserve">             </w:t>
      </w:r>
      <w:r>
        <w:rPr>
          <w:rFonts w:ascii="宋体" w:hAnsi="宋体"/>
          <w:color w:val="auto"/>
          <w:highlight w:val="none"/>
        </w:rPr>
        <w:t>邮政编码：</w:t>
      </w:r>
      <w:r>
        <w:rPr>
          <w:rFonts w:hint="eastAsia" w:ascii="宋体" w:hAnsi="宋体" w:cs="宋体"/>
          <w:color w:val="auto"/>
          <w:highlight w:val="none"/>
          <w:u w:val="single"/>
        </w:rPr>
        <w:t></w:t>
      </w:r>
      <w:r>
        <w:rPr>
          <w:rFonts w:hint="eastAsia" w:ascii="宋体" w:hAnsi="宋体"/>
          <w:color w:val="auto"/>
          <w:highlight w:val="none"/>
          <w:u w:val="single"/>
        </w:rPr>
        <w:t xml:space="preserve">   </w:t>
      </w:r>
      <w:r>
        <w:rPr>
          <w:rFonts w:hint="eastAsia" w:ascii="宋体" w:hAnsi="宋体" w:cs="宋体"/>
          <w:color w:val="auto"/>
          <w:highlight w:val="none"/>
          <w:u w:val="single"/>
        </w:rPr>
        <w:t></w:t>
      </w:r>
      <w:r>
        <w:rPr>
          <w:rFonts w:hint="eastAsia" w:ascii="宋体" w:hAnsi="宋体"/>
          <w:color w:val="auto"/>
          <w:highlight w:val="none"/>
          <w:u w:val="single"/>
        </w:rPr>
        <w:t xml:space="preserve"> </w:t>
      </w:r>
    </w:p>
    <w:p w14:paraId="38AFD831"/>
    <w:bookmarkEnd w:id="135"/>
    <w:bookmarkEnd w:id="136"/>
    <w:bookmarkEnd w:id="137"/>
    <w:bookmarkEnd w:id="138"/>
    <w:bookmarkEnd w:id="139"/>
    <w:bookmarkEnd w:id="140"/>
    <w:bookmarkEnd w:id="141"/>
    <w:bookmarkEnd w:id="142"/>
    <w:p w14:paraId="38F5DC80">
      <w:pPr>
        <w:jc w:val="center"/>
        <w:outlineLvl w:val="9"/>
        <w:rPr>
          <w:rFonts w:hint="eastAsia" w:ascii="宋体" w:hAnsi="宋体" w:eastAsia="宋体" w:cs="宋体"/>
          <w:color w:val="auto"/>
          <w:highlight w:val="none"/>
        </w:rPr>
      </w:pPr>
    </w:p>
    <w:p w14:paraId="224CD795">
      <w:pPr>
        <w:jc w:val="center"/>
        <w:outlineLvl w:val="9"/>
        <w:rPr>
          <w:rFonts w:hint="eastAsia" w:ascii="宋体" w:hAnsi="宋体" w:eastAsia="宋体" w:cs="宋体"/>
          <w:color w:val="auto"/>
          <w:highlight w:val="none"/>
        </w:rPr>
      </w:pPr>
    </w:p>
    <w:p w14:paraId="6AE2DF58">
      <w:pPr>
        <w:jc w:val="center"/>
        <w:outlineLvl w:val="9"/>
        <w:rPr>
          <w:rFonts w:hint="eastAsia" w:ascii="宋体" w:hAnsi="宋体" w:eastAsia="宋体" w:cs="宋体"/>
          <w:color w:val="auto"/>
          <w:highlight w:val="none"/>
        </w:rPr>
      </w:pPr>
    </w:p>
    <w:p w14:paraId="48A8B453">
      <w:pPr>
        <w:jc w:val="center"/>
        <w:outlineLvl w:val="9"/>
        <w:rPr>
          <w:rFonts w:hint="eastAsia" w:ascii="宋体" w:hAnsi="宋体" w:eastAsia="宋体" w:cs="宋体"/>
          <w:color w:val="auto"/>
          <w:highlight w:val="none"/>
        </w:rPr>
      </w:pPr>
    </w:p>
    <w:p w14:paraId="3BB8E8D9">
      <w:pPr>
        <w:jc w:val="center"/>
        <w:outlineLvl w:val="9"/>
        <w:rPr>
          <w:rFonts w:hint="eastAsia" w:ascii="宋体" w:hAnsi="宋体" w:eastAsia="宋体" w:cs="宋体"/>
          <w:color w:val="auto"/>
          <w:highlight w:val="none"/>
        </w:rPr>
      </w:pPr>
    </w:p>
    <w:p w14:paraId="61916901">
      <w:pPr>
        <w:rPr>
          <w:rFonts w:hint="eastAsia" w:ascii="宋体" w:hAnsi="宋体" w:eastAsia="宋体" w:cs="宋体"/>
          <w:color w:val="auto"/>
          <w:highlight w:val="none"/>
        </w:rPr>
      </w:pPr>
    </w:p>
    <w:p w14:paraId="12805955">
      <w:pPr>
        <w:pStyle w:val="11"/>
        <w:rPr>
          <w:rFonts w:hint="eastAsia" w:ascii="宋体" w:hAnsi="宋体" w:eastAsia="宋体" w:cs="宋体"/>
          <w:color w:val="auto"/>
          <w:highlight w:val="none"/>
        </w:rPr>
      </w:pPr>
    </w:p>
    <w:p w14:paraId="5FD26682">
      <w:pPr>
        <w:pStyle w:val="12"/>
        <w:rPr>
          <w:rFonts w:hint="eastAsia" w:ascii="宋体" w:hAnsi="宋体" w:eastAsia="宋体" w:cs="宋体"/>
          <w:color w:val="auto"/>
          <w:highlight w:val="none"/>
        </w:rPr>
      </w:pPr>
    </w:p>
    <w:p w14:paraId="5D234FB7">
      <w:pPr>
        <w:pStyle w:val="12"/>
        <w:rPr>
          <w:rFonts w:hint="eastAsia" w:ascii="宋体" w:hAnsi="宋体" w:eastAsia="宋体" w:cs="宋体"/>
          <w:color w:val="auto"/>
          <w:highlight w:val="none"/>
        </w:rPr>
      </w:pPr>
    </w:p>
    <w:p w14:paraId="0176A9BA">
      <w:pPr>
        <w:pStyle w:val="12"/>
        <w:rPr>
          <w:rFonts w:hint="eastAsia" w:ascii="宋体" w:hAnsi="宋体" w:eastAsia="宋体" w:cs="宋体"/>
          <w:color w:val="auto"/>
          <w:highlight w:val="none"/>
        </w:rPr>
      </w:pPr>
    </w:p>
    <w:p w14:paraId="2C0B8049">
      <w:pPr>
        <w:pStyle w:val="12"/>
        <w:rPr>
          <w:rFonts w:hint="eastAsia" w:ascii="宋体" w:hAnsi="宋体" w:eastAsia="宋体" w:cs="宋体"/>
          <w:color w:val="auto"/>
          <w:highlight w:val="none"/>
        </w:rPr>
      </w:pPr>
    </w:p>
    <w:p w14:paraId="4D9BAABC">
      <w:pPr>
        <w:pStyle w:val="12"/>
        <w:rPr>
          <w:rFonts w:hint="eastAsia" w:ascii="宋体" w:hAnsi="宋体" w:eastAsia="宋体" w:cs="宋体"/>
          <w:color w:val="auto"/>
          <w:highlight w:val="none"/>
        </w:rPr>
      </w:pPr>
    </w:p>
    <w:p w14:paraId="7B279E93">
      <w:pPr>
        <w:pStyle w:val="12"/>
        <w:rPr>
          <w:rFonts w:hint="eastAsia" w:ascii="宋体" w:hAnsi="宋体" w:eastAsia="宋体" w:cs="宋体"/>
          <w:color w:val="auto"/>
          <w:highlight w:val="none"/>
        </w:rPr>
      </w:pPr>
    </w:p>
    <w:p w14:paraId="22A9D941">
      <w:pPr>
        <w:pStyle w:val="12"/>
        <w:rPr>
          <w:rFonts w:hint="eastAsia" w:ascii="宋体" w:hAnsi="宋体" w:eastAsia="宋体" w:cs="宋体"/>
          <w:color w:val="auto"/>
          <w:highlight w:val="none"/>
        </w:rPr>
      </w:pPr>
    </w:p>
    <w:p w14:paraId="299CFC23">
      <w:pPr>
        <w:pStyle w:val="12"/>
        <w:rPr>
          <w:rFonts w:hint="eastAsia" w:ascii="宋体" w:hAnsi="宋体" w:eastAsia="宋体" w:cs="宋体"/>
          <w:color w:val="auto"/>
          <w:highlight w:val="none"/>
        </w:rPr>
      </w:pPr>
    </w:p>
    <w:p w14:paraId="7CE88264">
      <w:pPr>
        <w:pStyle w:val="12"/>
        <w:rPr>
          <w:rFonts w:hint="eastAsia" w:ascii="宋体" w:hAnsi="宋体" w:eastAsia="宋体" w:cs="宋体"/>
          <w:color w:val="auto"/>
          <w:highlight w:val="none"/>
        </w:rPr>
      </w:pPr>
    </w:p>
    <w:p w14:paraId="2528F341">
      <w:pPr>
        <w:pStyle w:val="2"/>
        <w:jc w:val="center"/>
        <w:rPr>
          <w:rFonts w:hint="default" w:eastAsia="宋体"/>
          <w:color w:val="auto"/>
          <w:highlight w:val="none"/>
          <w:lang w:val="en-US" w:eastAsia="zh-CN"/>
        </w:rPr>
      </w:pP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31"/>
      <w:bookmarkEnd w:id="132"/>
    </w:p>
    <w:p w14:paraId="042C6F44">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4" w:type="default"/>
          <w:footerReference r:id="rId15"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46FAD9B">
      <w:pPr>
        <w:pStyle w:val="2"/>
        <w:jc w:val="center"/>
        <w:rPr>
          <w:rFonts w:hint="eastAsia"/>
          <w:color w:val="auto"/>
          <w:highlight w:val="none"/>
        </w:rPr>
      </w:pPr>
      <w:bookmarkStart w:id="612" w:name="_Toc6522"/>
      <w:bookmarkStart w:id="613" w:name="_Toc94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612"/>
      <w:bookmarkEnd w:id="613"/>
    </w:p>
    <w:p w14:paraId="3B3E2213">
      <w:pPr>
        <w:pStyle w:val="23"/>
        <w:rPr>
          <w:rFonts w:hint="eastAsia"/>
          <w:color w:val="auto"/>
          <w:highlight w:val="none"/>
        </w:rPr>
      </w:pPr>
    </w:p>
    <w:p w14:paraId="77B0D7D8">
      <w:pPr>
        <w:rPr>
          <w:rFonts w:hint="eastAsia"/>
          <w:color w:val="auto"/>
          <w:highlight w:val="none"/>
        </w:rPr>
      </w:pPr>
    </w:p>
    <w:p w14:paraId="19FA6EFD">
      <w:pPr>
        <w:pStyle w:val="23"/>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0017FA1">
      <w:pPr>
        <w:pStyle w:val="23"/>
        <w:rPr>
          <w:rFonts w:hint="eastAsia"/>
          <w:color w:val="auto"/>
          <w:highlight w:val="none"/>
        </w:rPr>
      </w:pPr>
    </w:p>
    <w:p w14:paraId="6CAC61DD">
      <w:pPr>
        <w:spacing w:line="360" w:lineRule="auto"/>
        <w:jc w:val="center"/>
        <w:rPr>
          <w:rFonts w:hint="eastAsia"/>
          <w:color w:val="auto"/>
          <w:highlight w:val="none"/>
        </w:rPr>
      </w:pPr>
    </w:p>
    <w:p w14:paraId="3677331E">
      <w:pPr>
        <w:spacing w:line="360" w:lineRule="auto"/>
        <w:jc w:val="center"/>
        <w:rPr>
          <w:rFonts w:hint="eastAsia"/>
          <w:color w:val="auto"/>
          <w:highlight w:val="none"/>
        </w:rPr>
      </w:pPr>
    </w:p>
    <w:p w14:paraId="0D5677C1">
      <w:pPr>
        <w:spacing w:line="360" w:lineRule="auto"/>
        <w:jc w:val="center"/>
        <w:rPr>
          <w:rFonts w:hint="eastAsia"/>
          <w:color w:val="auto"/>
          <w:highlight w:val="none"/>
        </w:rPr>
      </w:pPr>
    </w:p>
    <w:p w14:paraId="49E89B30">
      <w:pPr>
        <w:spacing w:line="360" w:lineRule="auto"/>
        <w:jc w:val="center"/>
        <w:rPr>
          <w:rFonts w:hint="eastAsia"/>
          <w:color w:val="auto"/>
          <w:highlight w:val="none"/>
        </w:rPr>
      </w:pPr>
    </w:p>
    <w:p w14:paraId="55D7EABC">
      <w:pPr>
        <w:pStyle w:val="11"/>
        <w:spacing w:line="360" w:lineRule="auto"/>
        <w:jc w:val="center"/>
        <w:rPr>
          <w:rFonts w:hint="eastAsia"/>
          <w:color w:val="auto"/>
          <w:highlight w:val="none"/>
        </w:rPr>
      </w:pPr>
    </w:p>
    <w:p w14:paraId="4CDC8C41">
      <w:pPr>
        <w:pStyle w:val="16"/>
        <w:spacing w:line="360" w:lineRule="auto"/>
        <w:jc w:val="center"/>
        <w:rPr>
          <w:rFonts w:hint="eastAsia"/>
          <w:color w:val="auto"/>
          <w:highlight w:val="none"/>
        </w:rPr>
      </w:pPr>
    </w:p>
    <w:p w14:paraId="2388677D">
      <w:pPr>
        <w:spacing w:line="360" w:lineRule="auto"/>
        <w:jc w:val="center"/>
        <w:rPr>
          <w:rFonts w:hint="eastAsia"/>
          <w:color w:val="auto"/>
          <w:highlight w:val="none"/>
        </w:rPr>
      </w:pPr>
    </w:p>
    <w:p w14:paraId="0773522C">
      <w:pPr>
        <w:pStyle w:val="11"/>
        <w:spacing w:line="360" w:lineRule="auto"/>
        <w:jc w:val="center"/>
        <w:rPr>
          <w:rFonts w:hint="eastAsia"/>
          <w:color w:val="auto"/>
          <w:highlight w:val="none"/>
        </w:rPr>
      </w:pPr>
    </w:p>
    <w:p w14:paraId="6A83F283">
      <w:pPr>
        <w:pStyle w:val="16"/>
        <w:spacing w:line="360" w:lineRule="auto"/>
        <w:jc w:val="center"/>
        <w:rPr>
          <w:rFonts w:hint="eastAsia"/>
          <w:color w:val="auto"/>
          <w:highlight w:val="none"/>
        </w:rPr>
      </w:pPr>
    </w:p>
    <w:p w14:paraId="327CE6AD">
      <w:pPr>
        <w:spacing w:line="360" w:lineRule="auto"/>
        <w:jc w:val="center"/>
        <w:rPr>
          <w:rFonts w:hint="eastAsia"/>
          <w:color w:val="auto"/>
          <w:highlight w:val="none"/>
        </w:rPr>
      </w:pPr>
    </w:p>
    <w:p w14:paraId="6CA39A39">
      <w:pPr>
        <w:pStyle w:val="11"/>
        <w:spacing w:line="360" w:lineRule="auto"/>
        <w:jc w:val="center"/>
        <w:rPr>
          <w:rFonts w:hint="eastAsia"/>
          <w:color w:val="auto"/>
          <w:highlight w:val="none"/>
        </w:rPr>
      </w:pPr>
    </w:p>
    <w:p w14:paraId="15F16590">
      <w:pPr>
        <w:pStyle w:val="16"/>
        <w:spacing w:line="360" w:lineRule="auto"/>
        <w:jc w:val="center"/>
        <w:rPr>
          <w:rFonts w:hint="eastAsia"/>
          <w:color w:val="auto"/>
          <w:highlight w:val="none"/>
        </w:rPr>
      </w:pPr>
    </w:p>
    <w:p w14:paraId="2CAC02BD">
      <w:pPr>
        <w:spacing w:line="360" w:lineRule="auto"/>
        <w:jc w:val="both"/>
        <w:rPr>
          <w:rFonts w:hint="eastAsia"/>
          <w:color w:val="auto"/>
          <w:highlight w:val="none"/>
        </w:rPr>
      </w:pPr>
    </w:p>
    <w:p w14:paraId="58CDF6FC">
      <w:pPr>
        <w:pStyle w:val="2"/>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614" w:name="_Toc5640"/>
      <w:bookmarkStart w:id="615" w:name="_Toc24083"/>
      <w:bookmarkStart w:id="616" w:name="_Toc11110"/>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614"/>
      <w:bookmarkEnd w:id="615"/>
      <w:bookmarkEnd w:id="616"/>
    </w:p>
    <w:p w14:paraId="0334B6C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14FE0B15">
      <w:pPr>
        <w:pStyle w:val="15"/>
        <w:spacing w:line="360" w:lineRule="auto"/>
        <w:ind w:firstLine="482" w:firstLineChars="200"/>
        <w:contextualSpacing/>
        <w:rPr>
          <w:rFonts w:hint="eastAsia" w:ascii="宋体" w:hAnsi="宋体" w:eastAsia="宋体" w:cs="宋体"/>
          <w:b/>
          <w:bCs/>
          <w:color w:val="auto"/>
          <w:sz w:val="24"/>
          <w:szCs w:val="24"/>
          <w:highlight w:val="none"/>
        </w:rPr>
      </w:pPr>
    </w:p>
    <w:p w14:paraId="21B0577D">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B5FB075">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470E530">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0A5AF2C">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4A681B4">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1D752BBB">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E2663D">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0D6E8A">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243344B1">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667F7E2E">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79E6AC1">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72F971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29A0FDD2">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3B3EC018">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3E1DEAB8">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77F37CB9">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18F5CA07">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EC23CCD">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406BFFA0">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3F1365B">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0B6C2079">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F7D8DC8">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7041D66">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1185DBCC">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314B9E15">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8B141D7">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3FF0FBC3">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2F67605">
      <w:pPr>
        <w:pStyle w:val="15"/>
        <w:spacing w:line="360" w:lineRule="auto"/>
        <w:contextualSpacing/>
        <w:rPr>
          <w:rFonts w:hint="eastAsia" w:ascii="宋体" w:hAnsi="宋体" w:eastAsia="宋体" w:cs="宋体"/>
          <w:b/>
          <w:color w:val="auto"/>
          <w:sz w:val="24"/>
          <w:szCs w:val="24"/>
          <w:highlight w:val="none"/>
          <w:lang w:eastAsia="zh-CN"/>
        </w:rPr>
      </w:pPr>
    </w:p>
    <w:p w14:paraId="455FFE00">
      <w:pPr>
        <w:pStyle w:val="15"/>
        <w:spacing w:line="360" w:lineRule="auto"/>
        <w:contextualSpacing/>
        <w:rPr>
          <w:rFonts w:hint="eastAsia" w:ascii="宋体" w:hAnsi="宋体" w:eastAsia="宋体" w:cs="宋体"/>
          <w:b/>
          <w:color w:val="auto"/>
          <w:sz w:val="24"/>
          <w:szCs w:val="24"/>
          <w:highlight w:val="none"/>
          <w:lang w:eastAsia="zh-CN"/>
        </w:rPr>
      </w:pPr>
    </w:p>
    <w:p w14:paraId="648AA46D">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E4082E8">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268EE38D">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16FE58">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4AF156F">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2D96BE3A">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8B10074">
      <w:pPr>
        <w:pStyle w:val="15"/>
        <w:snapToGrid w:val="0"/>
        <w:spacing w:line="360" w:lineRule="auto"/>
        <w:rPr>
          <w:rFonts w:hint="eastAsia" w:ascii="宋体" w:hAnsi="宋体" w:eastAsia="宋体" w:cs="宋体"/>
          <w:b/>
          <w:color w:val="auto"/>
          <w:sz w:val="24"/>
          <w:szCs w:val="24"/>
          <w:highlight w:val="none"/>
        </w:rPr>
      </w:pPr>
    </w:p>
    <w:p w14:paraId="267D8FE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686B4219">
      <w:pPr>
        <w:pStyle w:val="15"/>
        <w:snapToGrid w:val="0"/>
        <w:spacing w:line="360" w:lineRule="auto"/>
        <w:ind w:firstLine="482" w:firstLineChars="200"/>
        <w:rPr>
          <w:rFonts w:hint="eastAsia" w:ascii="宋体" w:hAnsi="宋体" w:eastAsia="宋体" w:cs="宋体"/>
          <w:b/>
          <w:bCs/>
          <w:color w:val="auto"/>
          <w:sz w:val="24"/>
          <w:szCs w:val="24"/>
          <w:highlight w:val="none"/>
        </w:rPr>
      </w:pPr>
    </w:p>
    <w:p w14:paraId="10A0AA65">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6A0384B3">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3234DB4">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EDB5234">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6AF41B9A">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6DE933C">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3F331E2">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3089A0D4">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6933A73">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50C7ECB">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746CBF1">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6F9D732">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5528932">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4BED2D11">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8CA42E2">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3C87DB05">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30F131F4">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44D3C90">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0853D12">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4D117078">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09CE0C05">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5A997F5">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4D950F62">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72BB8C75">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4376B90F">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1E490EB1">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5A7EA5A">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0B48411">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7725B2F">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7798A759">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712EDE0F">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72B888D">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81ECCDD">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2D48221C">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0EEAE8F">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547691E">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AA45F19">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4DFD97D">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3E9B1F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E4FBA82">
      <w:pPr>
        <w:pStyle w:val="15"/>
        <w:spacing w:line="360" w:lineRule="auto"/>
        <w:ind w:left="25" w:leftChars="12" w:firstLine="352" w:firstLineChars="147"/>
        <w:rPr>
          <w:rFonts w:hint="eastAsia" w:ascii="宋体" w:hAnsi="宋体" w:eastAsia="宋体" w:cs="宋体"/>
          <w:color w:val="auto"/>
          <w:sz w:val="24"/>
          <w:szCs w:val="24"/>
          <w:highlight w:val="none"/>
        </w:rPr>
      </w:pPr>
    </w:p>
    <w:p w14:paraId="705072B4">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0A27792">
      <w:pPr>
        <w:pStyle w:val="15"/>
        <w:spacing w:line="360" w:lineRule="auto"/>
        <w:ind w:left="25" w:leftChars="12" w:firstLine="352" w:firstLineChars="147"/>
        <w:rPr>
          <w:rFonts w:hint="eastAsia" w:ascii="宋体" w:hAnsi="宋体" w:eastAsia="宋体" w:cs="宋体"/>
          <w:color w:val="auto"/>
          <w:sz w:val="24"/>
          <w:szCs w:val="24"/>
          <w:highlight w:val="none"/>
        </w:rPr>
      </w:pPr>
    </w:p>
    <w:p w14:paraId="6D62E33F">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8EC8C8E">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0614279B">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BE0BADC">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059C279">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0FF43B">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088A81B9">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2EAE3C32">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3B4C4C5A">
      <w:pPr>
        <w:pStyle w:val="15"/>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0B2EBEE">
      <w:pPr>
        <w:rPr>
          <w:rFonts w:hint="eastAsia"/>
          <w:color w:val="auto"/>
          <w:highlight w:val="none"/>
        </w:rPr>
      </w:pPr>
    </w:p>
    <w:p w14:paraId="36F587AA">
      <w:pPr>
        <w:rPr>
          <w:rFonts w:hint="eastAsia"/>
          <w:color w:val="auto"/>
          <w:highlight w:val="none"/>
        </w:rPr>
      </w:pPr>
    </w:p>
    <w:p w14:paraId="1883643B">
      <w:pPr>
        <w:rPr>
          <w:color w:val="auto"/>
          <w:highlight w:val="none"/>
        </w:rPr>
      </w:pPr>
    </w:p>
    <w:sectPr>
      <w:footerReference r:id="rId18" w:type="first"/>
      <w:headerReference r:id="rId16" w:type="default"/>
      <w:footerReference r:id="rId17"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ADD1">
    <w:pPr>
      <w:pStyle w:val="19"/>
      <w:tabs>
        <w:tab w:val="center" w:pos="4439"/>
        <w:tab w:val="clear" w:pos="4153"/>
      </w:tabs>
      <w:jc w:val="both"/>
    </w:pPr>
  </w:p>
  <w:p w14:paraId="37DAFF1F">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48C3">
    <w:pPr>
      <w:pStyle w:val="1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4015D">
                          <w:pPr>
                            <w:pStyle w:val="19"/>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564015D">
                    <w:pPr>
                      <w:pStyle w:val="19"/>
                    </w:pPr>
                    <w:r>
                      <w:fldChar w:fldCharType="begin"/>
                    </w:r>
                    <w:r>
                      <w:instrText xml:space="preserve"> PAGE  \* MERGEFORMAT </w:instrText>
                    </w:r>
                    <w:r>
                      <w:fldChar w:fldCharType="separate"/>
                    </w:r>
                    <w:r>
                      <w:t>124</w:t>
                    </w:r>
                    <w:r>
                      <w:fldChar w:fldCharType="end"/>
                    </w:r>
                  </w:p>
                </w:txbxContent>
              </v:textbox>
            </v:shape>
          </w:pict>
        </mc:Fallback>
      </mc:AlternateContent>
    </w:r>
  </w:p>
  <w:p w14:paraId="04D77817">
    <w:pPr>
      <w:pStyle w:val="1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96306">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F1D115">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EF1D115">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8E2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AA2F2">
    <w:pPr>
      <w:pStyle w:val="19"/>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0E77D0"/>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520E77D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B6F1E">
    <w:pPr>
      <w:pStyle w:val="19"/>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D9F3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6D9F39">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09741704">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E22E">
    <w:pPr>
      <w:pStyle w:val="19"/>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96370">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396370">
                    <w:pPr>
                      <w:pStyle w:val="19"/>
                    </w:pPr>
                    <w:r>
                      <w:fldChar w:fldCharType="begin"/>
                    </w:r>
                    <w:r>
                      <w:instrText xml:space="preserve"> PAGE  \* MERGEFORMAT </w:instrText>
                    </w:r>
                    <w:r>
                      <w:fldChar w:fldCharType="separate"/>
                    </w:r>
                    <w:r>
                      <w:t>5</w:t>
                    </w:r>
                    <w:r>
                      <w:fldChar w:fldCharType="end"/>
                    </w:r>
                  </w:p>
                </w:txbxContent>
              </v:textbox>
            </v:shape>
          </w:pict>
        </mc:Fallback>
      </mc:AlternateContent>
    </w:r>
  </w:p>
  <w:p w14:paraId="342567D6">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7A5C">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48125">
                          <w:pPr>
                            <w:pStyle w:val="1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A48125">
                    <w:pPr>
                      <w:pStyle w:val="1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80DF">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5EC73">
                          <w:pPr>
                            <w:pStyle w:val="1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75EC73">
                    <w:pPr>
                      <w:pStyle w:val="19"/>
                    </w:pPr>
                    <w:r>
                      <w:fldChar w:fldCharType="begin"/>
                    </w:r>
                    <w:r>
                      <w:instrText xml:space="preserve"> PAGE  \* MERGEFORMAT </w:instrText>
                    </w:r>
                    <w:r>
                      <w:fldChar w:fldCharType="separate"/>
                    </w:r>
                    <w:r>
                      <w:t>12</w:t>
                    </w:r>
                    <w:r>
                      <w:fldChar w:fldCharType="end"/>
                    </w:r>
                  </w:p>
                </w:txbxContent>
              </v:textbox>
            </v:shape>
          </w:pict>
        </mc:Fallback>
      </mc:AlternateContent>
    </w:r>
  </w:p>
  <w:p w14:paraId="65A3B7F5">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C7A1">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09EB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509EBC">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08B00673">
    <w:pPr>
      <w:pStyle w:val="19"/>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8D72">
    <w:pPr>
      <w:spacing w:line="173"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5BF23">
                          <w:pPr>
                            <w:pStyle w:val="19"/>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15BF23">
                    <w:pPr>
                      <w:pStyle w:val="19"/>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D987C">
    <w:pPr>
      <w:pStyle w:val="20"/>
      <w:pBdr>
        <w:bottom w:val="single" w:color="auto" w:sz="4" w:space="1"/>
      </w:pBdr>
      <w:rPr>
        <w:color w:val="auto"/>
      </w:rPr>
    </w:pPr>
    <w:r>
      <w:rPr>
        <w:rFonts w:hint="eastAsia"/>
        <w:color w:val="auto"/>
      </w:rPr>
      <w:t>南宁市政府采购竞争性磋商采购文件（项目编号：NNZC2025-C2-230075-XMZX）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E0A5">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9725">
    <w:pPr>
      <w:pStyle w:val="20"/>
      <w:rPr>
        <w:color w:val="auto"/>
      </w:rPr>
    </w:pPr>
    <w:r>
      <w:rPr>
        <w:rFonts w:hint="eastAsia"/>
        <w:color w:val="auto"/>
      </w:rPr>
      <w:t>南宁市政府采购竞争性磋商采购文件（项目编号：NNZC2025-C2-230075-XMZX）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2BF6">
    <w:pPr>
      <w:pStyle w:val="20"/>
      <w:pBdr>
        <w:bottom w:val="single" w:color="auto" w:sz="4" w:space="1"/>
      </w:pBdr>
      <w:rPr>
        <w:color w:val="auto"/>
      </w:rPr>
    </w:pPr>
    <w:r>
      <w:rPr>
        <w:rFonts w:hint="eastAsia"/>
        <w:color w:val="auto"/>
      </w:rPr>
      <w:t>南宁市政府采购竞争性磋商采购文件（项目编号：NNZC2025-C2-230075-XMZX）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4E86">
    <w:pPr>
      <w:pStyle w:val="20"/>
    </w:pPr>
    <w:r>
      <w:rPr>
        <w:rFonts w:hint="eastAsia"/>
      </w:rPr>
      <w:t>南宁市政府采购竞争性磋商采购文件（项目编号：</w:t>
    </w:r>
    <w:bookmarkStart w:id="617" w:name="PO_3000001920_PM001"/>
    <w:r>
      <w:rPr>
        <w:rFonts w:hint="eastAsia"/>
        <w:lang w:eastAsia="zh-CN"/>
      </w:rPr>
      <w:t>NNZC2023-C2-990643-HYJS</w:t>
    </w:r>
    <w:bookmarkEnd w:id="617"/>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3B36A"/>
    <w:multiLevelType w:val="singleLevel"/>
    <w:tmpl w:val="B263B36A"/>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2A42B04"/>
    <w:multiLevelType w:val="singleLevel"/>
    <w:tmpl w:val="22A42B04"/>
    <w:lvl w:ilvl="0" w:tentative="0">
      <w:start w:val="1"/>
      <w:numFmt w:val="decimal"/>
      <w:pStyle w:val="7"/>
      <w:lvlText w:val="%1."/>
      <w:lvlJc w:val="left"/>
      <w:pPr>
        <w:tabs>
          <w:tab w:val="left" w:pos="360"/>
        </w:tabs>
        <w:ind w:left="360" w:hanging="360"/>
      </w:pPr>
    </w:lvl>
  </w:abstractNum>
  <w:abstractNum w:abstractNumId="4">
    <w:nsid w:val="6B4A8879"/>
    <w:multiLevelType w:val="singleLevel"/>
    <w:tmpl w:val="6B4A8879"/>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MmM5YTQxZjA3ZjE3ODM5NTNlNDU2ZTNhM2Y3MDYifQ=="/>
  </w:docVars>
  <w:rsids>
    <w:rsidRoot w:val="4A792BC1"/>
    <w:rsid w:val="003A6B66"/>
    <w:rsid w:val="00762E95"/>
    <w:rsid w:val="00A67D58"/>
    <w:rsid w:val="01041B66"/>
    <w:rsid w:val="018A58CB"/>
    <w:rsid w:val="01DE05FA"/>
    <w:rsid w:val="01E841EE"/>
    <w:rsid w:val="026D04D8"/>
    <w:rsid w:val="028E4F47"/>
    <w:rsid w:val="02A70874"/>
    <w:rsid w:val="02AF6689"/>
    <w:rsid w:val="02B80216"/>
    <w:rsid w:val="02E47204"/>
    <w:rsid w:val="02E5237A"/>
    <w:rsid w:val="02ED7EC0"/>
    <w:rsid w:val="031501B1"/>
    <w:rsid w:val="035F31F9"/>
    <w:rsid w:val="03782EB8"/>
    <w:rsid w:val="037D62CE"/>
    <w:rsid w:val="03832248"/>
    <w:rsid w:val="03A15E16"/>
    <w:rsid w:val="03B15391"/>
    <w:rsid w:val="03CF530C"/>
    <w:rsid w:val="03E02952"/>
    <w:rsid w:val="0442423B"/>
    <w:rsid w:val="047526A8"/>
    <w:rsid w:val="0508340E"/>
    <w:rsid w:val="05793607"/>
    <w:rsid w:val="057B5C57"/>
    <w:rsid w:val="06C453DB"/>
    <w:rsid w:val="06CF5297"/>
    <w:rsid w:val="06FE6CBA"/>
    <w:rsid w:val="0700796D"/>
    <w:rsid w:val="07050BAC"/>
    <w:rsid w:val="072738B7"/>
    <w:rsid w:val="07597F3A"/>
    <w:rsid w:val="078132CC"/>
    <w:rsid w:val="07A4682F"/>
    <w:rsid w:val="07CF043E"/>
    <w:rsid w:val="07E5385B"/>
    <w:rsid w:val="082500FC"/>
    <w:rsid w:val="082A3018"/>
    <w:rsid w:val="08EC3267"/>
    <w:rsid w:val="09137F54"/>
    <w:rsid w:val="0935611C"/>
    <w:rsid w:val="0A082DA0"/>
    <w:rsid w:val="0A0C3321"/>
    <w:rsid w:val="0A1F0906"/>
    <w:rsid w:val="0A232419"/>
    <w:rsid w:val="0A726EFC"/>
    <w:rsid w:val="0A9F5E32"/>
    <w:rsid w:val="0B00653F"/>
    <w:rsid w:val="0B195A81"/>
    <w:rsid w:val="0B4A7030"/>
    <w:rsid w:val="0B7F3FC7"/>
    <w:rsid w:val="0B8B471A"/>
    <w:rsid w:val="0C41127C"/>
    <w:rsid w:val="0CA32483"/>
    <w:rsid w:val="0CA35A93"/>
    <w:rsid w:val="0CFA1B57"/>
    <w:rsid w:val="0D3241E2"/>
    <w:rsid w:val="0D7D2E03"/>
    <w:rsid w:val="0DFA16E3"/>
    <w:rsid w:val="0E1C3D4F"/>
    <w:rsid w:val="0E372937"/>
    <w:rsid w:val="0E7B0A75"/>
    <w:rsid w:val="0EE505E5"/>
    <w:rsid w:val="0EE91E83"/>
    <w:rsid w:val="0F2955E4"/>
    <w:rsid w:val="0F4E5953"/>
    <w:rsid w:val="0F767EF8"/>
    <w:rsid w:val="0F8F00B0"/>
    <w:rsid w:val="0FD83CA6"/>
    <w:rsid w:val="0FE4264A"/>
    <w:rsid w:val="0FF22C76"/>
    <w:rsid w:val="0FFE370C"/>
    <w:rsid w:val="10487C63"/>
    <w:rsid w:val="10AE725F"/>
    <w:rsid w:val="10BA7FBF"/>
    <w:rsid w:val="110141D9"/>
    <w:rsid w:val="112847B9"/>
    <w:rsid w:val="115423BB"/>
    <w:rsid w:val="11AE74B8"/>
    <w:rsid w:val="11F254F3"/>
    <w:rsid w:val="12040D82"/>
    <w:rsid w:val="12064AFA"/>
    <w:rsid w:val="123122E5"/>
    <w:rsid w:val="125B7FDE"/>
    <w:rsid w:val="126132D0"/>
    <w:rsid w:val="12677C09"/>
    <w:rsid w:val="12A86200"/>
    <w:rsid w:val="12F928B1"/>
    <w:rsid w:val="13144FF5"/>
    <w:rsid w:val="13246B8B"/>
    <w:rsid w:val="13865A1E"/>
    <w:rsid w:val="13F55EB2"/>
    <w:rsid w:val="144579CF"/>
    <w:rsid w:val="14554682"/>
    <w:rsid w:val="146124BC"/>
    <w:rsid w:val="14960C80"/>
    <w:rsid w:val="15182D6F"/>
    <w:rsid w:val="15367B08"/>
    <w:rsid w:val="154D406E"/>
    <w:rsid w:val="15757273"/>
    <w:rsid w:val="15AD01AB"/>
    <w:rsid w:val="15C90318"/>
    <w:rsid w:val="164E59A4"/>
    <w:rsid w:val="16572932"/>
    <w:rsid w:val="168D3A3C"/>
    <w:rsid w:val="17A83AD3"/>
    <w:rsid w:val="17CA62D4"/>
    <w:rsid w:val="17FE0021"/>
    <w:rsid w:val="18324737"/>
    <w:rsid w:val="18826EA4"/>
    <w:rsid w:val="188B3EA1"/>
    <w:rsid w:val="196640D0"/>
    <w:rsid w:val="19840B48"/>
    <w:rsid w:val="19B412DF"/>
    <w:rsid w:val="19BF149C"/>
    <w:rsid w:val="1B1A48F6"/>
    <w:rsid w:val="1B506DE6"/>
    <w:rsid w:val="1B54323F"/>
    <w:rsid w:val="1B5A633F"/>
    <w:rsid w:val="1B8F2A79"/>
    <w:rsid w:val="1BEC6B0F"/>
    <w:rsid w:val="1CC513A6"/>
    <w:rsid w:val="1D867E58"/>
    <w:rsid w:val="1D8B2357"/>
    <w:rsid w:val="1D9613CA"/>
    <w:rsid w:val="1D990835"/>
    <w:rsid w:val="1DCA7323"/>
    <w:rsid w:val="1DE763F1"/>
    <w:rsid w:val="1DEA6F39"/>
    <w:rsid w:val="1E0A7720"/>
    <w:rsid w:val="1E0B01C1"/>
    <w:rsid w:val="1E0F0C19"/>
    <w:rsid w:val="1E2C7696"/>
    <w:rsid w:val="1E325779"/>
    <w:rsid w:val="1E584130"/>
    <w:rsid w:val="1E957931"/>
    <w:rsid w:val="1E961F6E"/>
    <w:rsid w:val="1F06438B"/>
    <w:rsid w:val="1F351526"/>
    <w:rsid w:val="1F62533A"/>
    <w:rsid w:val="1F901EA7"/>
    <w:rsid w:val="1FED3359"/>
    <w:rsid w:val="2020147D"/>
    <w:rsid w:val="206550E2"/>
    <w:rsid w:val="208512E0"/>
    <w:rsid w:val="20EE3329"/>
    <w:rsid w:val="2186530F"/>
    <w:rsid w:val="21E414DF"/>
    <w:rsid w:val="22603DB2"/>
    <w:rsid w:val="226B07A1"/>
    <w:rsid w:val="226F3FF6"/>
    <w:rsid w:val="22743D02"/>
    <w:rsid w:val="227569A3"/>
    <w:rsid w:val="227B299A"/>
    <w:rsid w:val="228201CD"/>
    <w:rsid w:val="2290533E"/>
    <w:rsid w:val="22C32593"/>
    <w:rsid w:val="23971A56"/>
    <w:rsid w:val="23996B76"/>
    <w:rsid w:val="2431093C"/>
    <w:rsid w:val="243948BB"/>
    <w:rsid w:val="24506E9A"/>
    <w:rsid w:val="246078C1"/>
    <w:rsid w:val="24961D0D"/>
    <w:rsid w:val="24A23F3D"/>
    <w:rsid w:val="24AF098E"/>
    <w:rsid w:val="24DC4B11"/>
    <w:rsid w:val="25201F1F"/>
    <w:rsid w:val="252D3645"/>
    <w:rsid w:val="252D5589"/>
    <w:rsid w:val="25380C80"/>
    <w:rsid w:val="25CC2EDF"/>
    <w:rsid w:val="25F3318F"/>
    <w:rsid w:val="266E5E96"/>
    <w:rsid w:val="26A7481C"/>
    <w:rsid w:val="270C369C"/>
    <w:rsid w:val="27AF30E6"/>
    <w:rsid w:val="27B54BA0"/>
    <w:rsid w:val="27D668C5"/>
    <w:rsid w:val="27EF6D2F"/>
    <w:rsid w:val="281270DF"/>
    <w:rsid w:val="289778A3"/>
    <w:rsid w:val="28AA7EF0"/>
    <w:rsid w:val="295B1778"/>
    <w:rsid w:val="296C52D4"/>
    <w:rsid w:val="29701552"/>
    <w:rsid w:val="29B36EBE"/>
    <w:rsid w:val="2A68414C"/>
    <w:rsid w:val="2A73664D"/>
    <w:rsid w:val="2A994515"/>
    <w:rsid w:val="2B931C00"/>
    <w:rsid w:val="2BA54F2C"/>
    <w:rsid w:val="2BC96E6C"/>
    <w:rsid w:val="2BF81F4C"/>
    <w:rsid w:val="2CB82A75"/>
    <w:rsid w:val="2CD2018C"/>
    <w:rsid w:val="2CD81465"/>
    <w:rsid w:val="2CE61358"/>
    <w:rsid w:val="2D656721"/>
    <w:rsid w:val="2D746964"/>
    <w:rsid w:val="2DD13DB6"/>
    <w:rsid w:val="2E0C1292"/>
    <w:rsid w:val="2E187C37"/>
    <w:rsid w:val="2E2E745B"/>
    <w:rsid w:val="2E422F06"/>
    <w:rsid w:val="2E556795"/>
    <w:rsid w:val="2ED2428A"/>
    <w:rsid w:val="2EED69CE"/>
    <w:rsid w:val="2F293DA0"/>
    <w:rsid w:val="301F34FF"/>
    <w:rsid w:val="304D4B66"/>
    <w:rsid w:val="30CF6D59"/>
    <w:rsid w:val="31F91ADC"/>
    <w:rsid w:val="321253A2"/>
    <w:rsid w:val="324B1D1F"/>
    <w:rsid w:val="3284606A"/>
    <w:rsid w:val="32BF0681"/>
    <w:rsid w:val="32CE66D5"/>
    <w:rsid w:val="32D85BE7"/>
    <w:rsid w:val="3345560D"/>
    <w:rsid w:val="338813BB"/>
    <w:rsid w:val="33884F17"/>
    <w:rsid w:val="3437253E"/>
    <w:rsid w:val="34A044E7"/>
    <w:rsid w:val="34A92C84"/>
    <w:rsid w:val="34C2779C"/>
    <w:rsid w:val="34C44675"/>
    <w:rsid w:val="34F14D3E"/>
    <w:rsid w:val="35FA7C22"/>
    <w:rsid w:val="36140CE4"/>
    <w:rsid w:val="361F02B5"/>
    <w:rsid w:val="3693032F"/>
    <w:rsid w:val="36956DC4"/>
    <w:rsid w:val="36D63769"/>
    <w:rsid w:val="36DF1C32"/>
    <w:rsid w:val="373B14E6"/>
    <w:rsid w:val="376E466E"/>
    <w:rsid w:val="377E075E"/>
    <w:rsid w:val="37ED732A"/>
    <w:rsid w:val="38806B05"/>
    <w:rsid w:val="3887443E"/>
    <w:rsid w:val="388769E5"/>
    <w:rsid w:val="38DE382B"/>
    <w:rsid w:val="39167469"/>
    <w:rsid w:val="39395969"/>
    <w:rsid w:val="39430B34"/>
    <w:rsid w:val="3A211C22"/>
    <w:rsid w:val="3A421D74"/>
    <w:rsid w:val="3AC21656"/>
    <w:rsid w:val="3AC56A51"/>
    <w:rsid w:val="3AC850D1"/>
    <w:rsid w:val="3B1B0D67"/>
    <w:rsid w:val="3B1F25AF"/>
    <w:rsid w:val="3B5E2A01"/>
    <w:rsid w:val="3B70021C"/>
    <w:rsid w:val="3BCB17C0"/>
    <w:rsid w:val="3BD66A3C"/>
    <w:rsid w:val="3C0F7E8A"/>
    <w:rsid w:val="3C541268"/>
    <w:rsid w:val="3D0A7CF9"/>
    <w:rsid w:val="3D211F38"/>
    <w:rsid w:val="3D94656A"/>
    <w:rsid w:val="3E2415F9"/>
    <w:rsid w:val="3E5C147A"/>
    <w:rsid w:val="3ED74FA5"/>
    <w:rsid w:val="3EF34A20"/>
    <w:rsid w:val="3EFF6AAC"/>
    <w:rsid w:val="3F984734"/>
    <w:rsid w:val="400B3176"/>
    <w:rsid w:val="404B5C4A"/>
    <w:rsid w:val="40BD280A"/>
    <w:rsid w:val="40F0234E"/>
    <w:rsid w:val="40FA3221"/>
    <w:rsid w:val="410C362B"/>
    <w:rsid w:val="413628BB"/>
    <w:rsid w:val="41590573"/>
    <w:rsid w:val="41B7356A"/>
    <w:rsid w:val="41EE2D31"/>
    <w:rsid w:val="421B71EB"/>
    <w:rsid w:val="42672AE3"/>
    <w:rsid w:val="426B6130"/>
    <w:rsid w:val="42A72EE0"/>
    <w:rsid w:val="432A1A6E"/>
    <w:rsid w:val="433C7ACC"/>
    <w:rsid w:val="43516F22"/>
    <w:rsid w:val="435E3EE6"/>
    <w:rsid w:val="43600DFA"/>
    <w:rsid w:val="443006B8"/>
    <w:rsid w:val="444E7AB7"/>
    <w:rsid w:val="44A158D2"/>
    <w:rsid w:val="45120AE5"/>
    <w:rsid w:val="45343151"/>
    <w:rsid w:val="45426E45"/>
    <w:rsid w:val="454A2974"/>
    <w:rsid w:val="45A63DAE"/>
    <w:rsid w:val="46120628"/>
    <w:rsid w:val="46153B29"/>
    <w:rsid w:val="466F6960"/>
    <w:rsid w:val="46733805"/>
    <w:rsid w:val="46792E2A"/>
    <w:rsid w:val="46A20FAA"/>
    <w:rsid w:val="46CA6BEB"/>
    <w:rsid w:val="472745EF"/>
    <w:rsid w:val="47307AD3"/>
    <w:rsid w:val="477C0DDF"/>
    <w:rsid w:val="47B57E4D"/>
    <w:rsid w:val="47B831CD"/>
    <w:rsid w:val="47CB7671"/>
    <w:rsid w:val="480D1AA5"/>
    <w:rsid w:val="48333E3B"/>
    <w:rsid w:val="48345216"/>
    <w:rsid w:val="487C0DC8"/>
    <w:rsid w:val="48B04D83"/>
    <w:rsid w:val="49051B72"/>
    <w:rsid w:val="4934311A"/>
    <w:rsid w:val="49656BC0"/>
    <w:rsid w:val="49921D9F"/>
    <w:rsid w:val="49964941"/>
    <w:rsid w:val="49AD702E"/>
    <w:rsid w:val="49EA64D4"/>
    <w:rsid w:val="4A050C18"/>
    <w:rsid w:val="4A503792"/>
    <w:rsid w:val="4A792BC1"/>
    <w:rsid w:val="4B614574"/>
    <w:rsid w:val="4B700C5B"/>
    <w:rsid w:val="4B9C6264"/>
    <w:rsid w:val="4BC44B03"/>
    <w:rsid w:val="4BE66665"/>
    <w:rsid w:val="4C1C66ED"/>
    <w:rsid w:val="4C3E48B5"/>
    <w:rsid w:val="4C5639AD"/>
    <w:rsid w:val="4CD137B4"/>
    <w:rsid w:val="4CE23492"/>
    <w:rsid w:val="4D6E11CA"/>
    <w:rsid w:val="4D783DF7"/>
    <w:rsid w:val="4DF41319"/>
    <w:rsid w:val="4E325316"/>
    <w:rsid w:val="4E5E123E"/>
    <w:rsid w:val="4E7322F5"/>
    <w:rsid w:val="4E7A156A"/>
    <w:rsid w:val="4E8631D2"/>
    <w:rsid w:val="4EB36894"/>
    <w:rsid w:val="4EC608C3"/>
    <w:rsid w:val="4EFD45B3"/>
    <w:rsid w:val="4F051F65"/>
    <w:rsid w:val="4F7479F9"/>
    <w:rsid w:val="4F820F5D"/>
    <w:rsid w:val="4FD5108C"/>
    <w:rsid w:val="502E69EF"/>
    <w:rsid w:val="50594145"/>
    <w:rsid w:val="50D94BAC"/>
    <w:rsid w:val="50E1340A"/>
    <w:rsid w:val="512C2F2E"/>
    <w:rsid w:val="51A17905"/>
    <w:rsid w:val="51BA49DE"/>
    <w:rsid w:val="51C13FBE"/>
    <w:rsid w:val="51CB2747"/>
    <w:rsid w:val="520B6FE7"/>
    <w:rsid w:val="533F35A2"/>
    <w:rsid w:val="537A08C9"/>
    <w:rsid w:val="53BA15A6"/>
    <w:rsid w:val="53E915AA"/>
    <w:rsid w:val="53F71F19"/>
    <w:rsid w:val="54120E10"/>
    <w:rsid w:val="54B35714"/>
    <w:rsid w:val="552D3719"/>
    <w:rsid w:val="5531145B"/>
    <w:rsid w:val="55371339"/>
    <w:rsid w:val="555F5C3D"/>
    <w:rsid w:val="57571E7E"/>
    <w:rsid w:val="57CD29AA"/>
    <w:rsid w:val="58005F43"/>
    <w:rsid w:val="582E57DE"/>
    <w:rsid w:val="586954AD"/>
    <w:rsid w:val="5890685B"/>
    <w:rsid w:val="59126E68"/>
    <w:rsid w:val="5928560F"/>
    <w:rsid w:val="594C6863"/>
    <w:rsid w:val="59561490"/>
    <w:rsid w:val="59722054"/>
    <w:rsid w:val="598633F7"/>
    <w:rsid w:val="59B63CDD"/>
    <w:rsid w:val="59ED3476"/>
    <w:rsid w:val="5A4C63EF"/>
    <w:rsid w:val="5A6060C7"/>
    <w:rsid w:val="5A851901"/>
    <w:rsid w:val="5AA12BDF"/>
    <w:rsid w:val="5B6854AA"/>
    <w:rsid w:val="5C06444B"/>
    <w:rsid w:val="5CAA5F47"/>
    <w:rsid w:val="5CB4475C"/>
    <w:rsid w:val="5CE72757"/>
    <w:rsid w:val="5CE868B8"/>
    <w:rsid w:val="5D081F0B"/>
    <w:rsid w:val="5D221689"/>
    <w:rsid w:val="5D5977A1"/>
    <w:rsid w:val="5DD02C46"/>
    <w:rsid w:val="5E0C243F"/>
    <w:rsid w:val="5E36363E"/>
    <w:rsid w:val="5EB21D20"/>
    <w:rsid w:val="5F831334"/>
    <w:rsid w:val="60285DDB"/>
    <w:rsid w:val="607532C7"/>
    <w:rsid w:val="60894824"/>
    <w:rsid w:val="60BF3DBF"/>
    <w:rsid w:val="60CE4002"/>
    <w:rsid w:val="60EF5D26"/>
    <w:rsid w:val="61357BDD"/>
    <w:rsid w:val="614632BC"/>
    <w:rsid w:val="615269E1"/>
    <w:rsid w:val="616109D2"/>
    <w:rsid w:val="62016A4E"/>
    <w:rsid w:val="62405219"/>
    <w:rsid w:val="62C531E2"/>
    <w:rsid w:val="62E51522"/>
    <w:rsid w:val="62E95123"/>
    <w:rsid w:val="63C31BE8"/>
    <w:rsid w:val="63F574BF"/>
    <w:rsid w:val="641C4149"/>
    <w:rsid w:val="642A59F3"/>
    <w:rsid w:val="64444E34"/>
    <w:rsid w:val="64596718"/>
    <w:rsid w:val="64990483"/>
    <w:rsid w:val="64F67CAE"/>
    <w:rsid w:val="65446801"/>
    <w:rsid w:val="657F4BA6"/>
    <w:rsid w:val="65B90E14"/>
    <w:rsid w:val="666F593F"/>
    <w:rsid w:val="66AD290B"/>
    <w:rsid w:val="66C8504F"/>
    <w:rsid w:val="66D25425"/>
    <w:rsid w:val="67375865"/>
    <w:rsid w:val="67582877"/>
    <w:rsid w:val="676236F6"/>
    <w:rsid w:val="676B3F3A"/>
    <w:rsid w:val="678A0557"/>
    <w:rsid w:val="67900263"/>
    <w:rsid w:val="67DB0DB2"/>
    <w:rsid w:val="67ED4082"/>
    <w:rsid w:val="67F60E85"/>
    <w:rsid w:val="6823097E"/>
    <w:rsid w:val="68294213"/>
    <w:rsid w:val="68BE670A"/>
    <w:rsid w:val="68DC4DE2"/>
    <w:rsid w:val="68E826EB"/>
    <w:rsid w:val="68E85E7D"/>
    <w:rsid w:val="69927DBA"/>
    <w:rsid w:val="699B2EEF"/>
    <w:rsid w:val="69EB2713"/>
    <w:rsid w:val="6A184540"/>
    <w:rsid w:val="6A3D7B02"/>
    <w:rsid w:val="6ACA583A"/>
    <w:rsid w:val="6AD5582B"/>
    <w:rsid w:val="6AE82164"/>
    <w:rsid w:val="6B68305E"/>
    <w:rsid w:val="6B83495C"/>
    <w:rsid w:val="6BC9041D"/>
    <w:rsid w:val="6C07661A"/>
    <w:rsid w:val="6C094140"/>
    <w:rsid w:val="6C783CDF"/>
    <w:rsid w:val="6C8F6696"/>
    <w:rsid w:val="6CC04577"/>
    <w:rsid w:val="6D0044FE"/>
    <w:rsid w:val="6D1E77DF"/>
    <w:rsid w:val="6D723464"/>
    <w:rsid w:val="6D8756CD"/>
    <w:rsid w:val="6DA175C7"/>
    <w:rsid w:val="6DB1468E"/>
    <w:rsid w:val="6DC81DD9"/>
    <w:rsid w:val="6DDB7D5E"/>
    <w:rsid w:val="6DFE11A4"/>
    <w:rsid w:val="6EB230B6"/>
    <w:rsid w:val="6EB722E8"/>
    <w:rsid w:val="6EE2680B"/>
    <w:rsid w:val="6EF32B32"/>
    <w:rsid w:val="6EFC7F8C"/>
    <w:rsid w:val="6F0F4163"/>
    <w:rsid w:val="6F571F4B"/>
    <w:rsid w:val="6F60051B"/>
    <w:rsid w:val="6F8B248C"/>
    <w:rsid w:val="6F8B3309"/>
    <w:rsid w:val="6FDB5DF3"/>
    <w:rsid w:val="701174C8"/>
    <w:rsid w:val="705904B0"/>
    <w:rsid w:val="712E5597"/>
    <w:rsid w:val="71414B42"/>
    <w:rsid w:val="71BA7C8A"/>
    <w:rsid w:val="71DD100E"/>
    <w:rsid w:val="721970A7"/>
    <w:rsid w:val="728F14BC"/>
    <w:rsid w:val="72A42E14"/>
    <w:rsid w:val="72B07B5A"/>
    <w:rsid w:val="72B6607D"/>
    <w:rsid w:val="72E871A5"/>
    <w:rsid w:val="732857F3"/>
    <w:rsid w:val="73B138F0"/>
    <w:rsid w:val="73B14A28"/>
    <w:rsid w:val="740B3630"/>
    <w:rsid w:val="744C5512"/>
    <w:rsid w:val="745B7AD8"/>
    <w:rsid w:val="749D4072"/>
    <w:rsid w:val="74AE1D28"/>
    <w:rsid w:val="74D6127F"/>
    <w:rsid w:val="751158C4"/>
    <w:rsid w:val="753E2D2B"/>
    <w:rsid w:val="75692365"/>
    <w:rsid w:val="759C0CCD"/>
    <w:rsid w:val="75C37A55"/>
    <w:rsid w:val="75FA4D6A"/>
    <w:rsid w:val="761F2D9D"/>
    <w:rsid w:val="762416C6"/>
    <w:rsid w:val="770F0FEE"/>
    <w:rsid w:val="77183DD1"/>
    <w:rsid w:val="77560455"/>
    <w:rsid w:val="77790A15"/>
    <w:rsid w:val="777F79AC"/>
    <w:rsid w:val="779D6084"/>
    <w:rsid w:val="77C81353"/>
    <w:rsid w:val="77CA269F"/>
    <w:rsid w:val="77DA4BE2"/>
    <w:rsid w:val="780C5654"/>
    <w:rsid w:val="78202F3D"/>
    <w:rsid w:val="784A599C"/>
    <w:rsid w:val="78774B27"/>
    <w:rsid w:val="78A11715"/>
    <w:rsid w:val="78A40809"/>
    <w:rsid w:val="78B46315"/>
    <w:rsid w:val="795804B5"/>
    <w:rsid w:val="799618A6"/>
    <w:rsid w:val="7A067F11"/>
    <w:rsid w:val="7A150154"/>
    <w:rsid w:val="7A3E58FC"/>
    <w:rsid w:val="7A4319BA"/>
    <w:rsid w:val="7A5213A8"/>
    <w:rsid w:val="7A593F26"/>
    <w:rsid w:val="7AC8619B"/>
    <w:rsid w:val="7BC04B6A"/>
    <w:rsid w:val="7C3A2467"/>
    <w:rsid w:val="7C7F31FF"/>
    <w:rsid w:val="7C8A2F72"/>
    <w:rsid w:val="7C9B5288"/>
    <w:rsid w:val="7CFB5D27"/>
    <w:rsid w:val="7D1F7C67"/>
    <w:rsid w:val="7D4F1BCF"/>
    <w:rsid w:val="7D7E4647"/>
    <w:rsid w:val="7D807FDA"/>
    <w:rsid w:val="7D822497"/>
    <w:rsid w:val="7DD66F00"/>
    <w:rsid w:val="7DE40569"/>
    <w:rsid w:val="7E132BFC"/>
    <w:rsid w:val="7E8D29AE"/>
    <w:rsid w:val="7EDA5700"/>
    <w:rsid w:val="7F0D4802"/>
    <w:rsid w:val="7F4339B5"/>
    <w:rsid w:val="7F590AE3"/>
    <w:rsid w:val="7F604567"/>
    <w:rsid w:val="7F927536"/>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tabs>
        <w:tab w:val="left" w:pos="540"/>
        <w:tab w:val="left" w:pos="900"/>
      </w:tabs>
      <w:jc w:val="center"/>
    </w:pPr>
    <w:rPr>
      <w:rFonts w:hAnsi="宋体" w:cs="宋体"/>
      <w:color w:val="000000"/>
      <w:sz w:val="32"/>
      <w:szCs w:val="32"/>
    </w:rPr>
  </w:style>
  <w:style w:type="paragraph" w:styleId="7">
    <w:name w:val="List Number"/>
    <w:basedOn w:val="1"/>
    <w:qFormat/>
    <w:uiPriority w:val="0"/>
    <w:pPr>
      <w:numPr>
        <w:ilvl w:val="0"/>
        <w:numId w:val="1"/>
      </w:numPr>
    </w:pPr>
  </w:style>
  <w:style w:type="paragraph" w:styleId="8">
    <w:name w:val="Normal Indent"/>
    <w:basedOn w:val="1"/>
    <w:unhideWhenUsed/>
    <w:qFormat/>
    <w:uiPriority w:val="99"/>
    <w:pPr>
      <w:ind w:firstLine="420"/>
    </w:pPr>
    <w:rPr>
      <w:szCs w:val="20"/>
    </w:rPr>
  </w:style>
  <w:style w:type="paragraph" w:styleId="9">
    <w:name w:val="annotation text"/>
    <w:basedOn w:val="1"/>
    <w:unhideWhenUsed/>
    <w:qFormat/>
    <w:uiPriority w:val="99"/>
    <w:pPr>
      <w:jc w:val="left"/>
    </w:pPr>
  </w:style>
  <w:style w:type="paragraph" w:styleId="10">
    <w:name w:val="Body Text 3"/>
    <w:basedOn w:val="1"/>
    <w:qFormat/>
    <w:uiPriority w:val="99"/>
    <w:pPr>
      <w:spacing w:after="120"/>
    </w:pPr>
    <w:rPr>
      <w:sz w:val="16"/>
      <w:szCs w:val="16"/>
    </w:rPr>
  </w:style>
  <w:style w:type="paragraph" w:styleId="11">
    <w:name w:val="Body Text"/>
    <w:basedOn w:val="1"/>
    <w:next w:val="12"/>
    <w:unhideWhenUsed/>
    <w:qFormat/>
    <w:uiPriority w:val="99"/>
    <w:pPr>
      <w:spacing w:after="120"/>
    </w:pPr>
  </w:style>
  <w:style w:type="paragraph" w:customStyle="1" w:styleId="1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3">
    <w:name w:val="Body Text Indent"/>
    <w:basedOn w:val="1"/>
    <w:unhideWhenUsed/>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unhideWhenUsed/>
    <w:qFormat/>
    <w:uiPriority w:val="99"/>
    <w:rPr>
      <w:rFonts w:ascii="宋体" w:hAnsi="Courier New"/>
      <w:kern w:val="0"/>
      <w:sz w:val="20"/>
      <w:szCs w:val="21"/>
    </w:rPr>
  </w:style>
  <w:style w:type="paragraph" w:styleId="16">
    <w:name w:val="Date"/>
    <w:basedOn w:val="1"/>
    <w:next w:val="1"/>
    <w:unhideWhenUsed/>
    <w:qFormat/>
    <w:uiPriority w:val="99"/>
    <w:pPr>
      <w:ind w:left="100" w:leftChars="2500"/>
    </w:pPr>
  </w:style>
  <w:style w:type="paragraph" w:styleId="17">
    <w:name w:val="Body Text Indent 2"/>
    <w:basedOn w:val="1"/>
    <w:next w:val="18"/>
    <w:qFormat/>
    <w:uiPriority w:val="0"/>
    <w:pPr>
      <w:spacing w:after="120" w:line="480" w:lineRule="auto"/>
      <w:ind w:left="420" w:leftChars="200"/>
    </w:pPr>
    <w:rPr>
      <w:rFonts w:ascii="Times New Roman" w:hAnsi="Times New Roman" w:eastAsia="宋体" w:cs="Times New Roman"/>
      <w:sz w:val="24"/>
    </w:rPr>
  </w:style>
  <w:style w:type="paragraph" w:customStyle="1" w:styleId="18">
    <w:name w:val="目录 71"/>
    <w:basedOn w:val="1"/>
    <w:next w:val="1"/>
    <w:qFormat/>
    <w:uiPriority w:val="0"/>
    <w:pPr>
      <w:ind w:left="2520"/>
    </w:pPr>
    <w:rPr>
      <w:rFonts w:ascii="Calibri" w:hAnsi="宋体" w:eastAsia="宋体" w:cs="宋体"/>
      <w:szCs w:val="20"/>
    </w:rPr>
  </w:style>
  <w:style w:type="paragraph" w:styleId="19">
    <w:name w:val="footer"/>
    <w:basedOn w:val="1"/>
    <w:unhideWhenUsed/>
    <w:qFormat/>
    <w:uiPriority w:val="0"/>
    <w:pPr>
      <w:tabs>
        <w:tab w:val="center" w:pos="4153"/>
        <w:tab w:val="right" w:pos="8306"/>
      </w:tabs>
      <w:snapToGrid w:val="0"/>
      <w:jc w:val="left"/>
    </w:pPr>
    <w:rPr>
      <w:kern w:val="0"/>
      <w:sz w:val="18"/>
      <w:szCs w:val="18"/>
    </w:rPr>
  </w:style>
  <w:style w:type="paragraph" w:styleId="20">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List"/>
    <w:basedOn w:val="1"/>
    <w:unhideWhenUsed/>
    <w:qFormat/>
    <w:uiPriority w:val="99"/>
    <w:pPr>
      <w:ind w:left="200" w:hanging="200" w:hangingChars="200"/>
      <w:contextualSpacing/>
    </w:pPr>
  </w:style>
  <w:style w:type="paragraph" w:styleId="23">
    <w:name w:val="toc 2"/>
    <w:basedOn w:val="1"/>
    <w:next w:val="1"/>
    <w:unhideWhenUsed/>
    <w:qFormat/>
    <w:uiPriority w:val="39"/>
    <w:pPr>
      <w:tabs>
        <w:tab w:val="right" w:leader="dot" w:pos="8296"/>
      </w:tabs>
      <w:ind w:left="420" w:leftChars="200"/>
    </w:p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paragraph" w:customStyle="1" w:styleId="29">
    <w:name w:val="正文2"/>
    <w:basedOn w:val="1"/>
    <w:qFormat/>
    <w:uiPriority w:val="0"/>
    <w:pPr>
      <w:adjustRightInd w:val="0"/>
      <w:spacing w:before="156" w:line="360" w:lineRule="auto"/>
      <w:ind w:firstLine="510" w:firstLineChars="200"/>
    </w:pPr>
    <w:rPr>
      <w:kern w:val="0"/>
      <w:sz w:val="24"/>
      <w:szCs w:val="20"/>
    </w:rPr>
  </w:style>
  <w:style w:type="paragraph" w:customStyle="1" w:styleId="30">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10"/>
    <w:qFormat/>
    <w:uiPriority w:val="0"/>
    <w:rPr>
      <w:rFonts w:hint="default" w:ascii="Times New Roman" w:hAnsi="Times New Roman" w:cs="Times New Roman"/>
    </w:rPr>
  </w:style>
  <w:style w:type="paragraph" w:customStyle="1" w:styleId="35">
    <w:name w:val="正文_2"/>
    <w:basedOn w:val="36"/>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3"/>
    <w:basedOn w:val="1"/>
    <w:qFormat/>
    <w:uiPriority w:val="0"/>
    <w:rPr>
      <w:szCs w:val="22"/>
    </w:rPr>
  </w:style>
  <w:style w:type="paragraph" w:customStyle="1" w:styleId="37">
    <w:name w:val="标题 2_1"/>
    <w:basedOn w:val="35"/>
    <w:next w:val="38"/>
    <w:qFormat/>
    <w:uiPriority w:val="99"/>
    <w:pPr>
      <w:keepNext/>
      <w:keepLines/>
      <w:spacing w:before="60" w:after="60" w:line="413" w:lineRule="auto"/>
      <w:outlineLvl w:val="1"/>
    </w:pPr>
    <w:rPr>
      <w:rFonts w:ascii="Arial" w:hAnsi="Arial" w:eastAsia="黑体"/>
      <w:b/>
      <w:bCs/>
      <w:szCs w:val="32"/>
    </w:rPr>
  </w:style>
  <w:style w:type="paragraph" w:customStyle="1" w:styleId="3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Text"/>
    <w:basedOn w:val="1"/>
    <w:semiHidden/>
    <w:qFormat/>
    <w:uiPriority w:val="0"/>
    <w:rPr>
      <w:rFonts w:ascii="宋体" w:hAnsi="宋体" w:eastAsia="宋体" w:cs="宋体"/>
      <w:sz w:val="20"/>
      <w:szCs w:val="20"/>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Body text|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42">
    <w:name w:val="Body text|2"/>
    <w:basedOn w:val="1"/>
    <w:qFormat/>
    <w:uiPriority w:val="0"/>
    <w:pPr>
      <w:spacing w:after="30"/>
      <w:ind w:firstLine="420"/>
    </w:pPr>
    <w:rPr>
      <w:rFonts w:ascii="Times New Roman" w:hAnsi="Times New Roman"/>
      <w:kern w:val="0"/>
      <w:sz w:val="20"/>
      <w:szCs w:val="20"/>
    </w:rPr>
  </w:style>
  <w:style w:type="paragraph" w:customStyle="1" w:styleId="43">
    <w:name w:val="Other|1"/>
    <w:basedOn w:val="1"/>
    <w:qFormat/>
    <w:uiPriority w:val="0"/>
    <w:pPr>
      <w:spacing w:line="263" w:lineRule="exact"/>
    </w:pPr>
    <w:rPr>
      <w:rFonts w:ascii="宋体" w:hAnsi="宋体" w:eastAsia="宋体" w:cs="宋体"/>
      <w:color w:val="auto"/>
      <w:kern w:val="2"/>
      <w:sz w:val="18"/>
      <w:szCs w:val="18"/>
      <w:lang w:val="zh-TW" w:eastAsia="zh-TW" w:bidi="zh-TW"/>
    </w:rPr>
  </w:style>
  <w:style w:type="character" w:customStyle="1" w:styleId="44">
    <w:name w:val="bookmark-item uuid-1595987359344 code-00004 addword single-line-text-input-box-cls"/>
    <w:qFormat/>
    <w:uiPriority w:val="0"/>
  </w:style>
  <w:style w:type="paragraph" w:customStyle="1" w:styleId="45">
    <w:name w:val="标题 2_2"/>
    <w:basedOn w:val="1"/>
    <w:next w:val="1"/>
    <w:qFormat/>
    <w:uiPriority w:val="0"/>
    <w:pPr>
      <w:keepNext/>
      <w:keepLines/>
      <w:spacing w:before="60" w:after="60" w:line="413" w:lineRule="auto"/>
      <w:outlineLvl w:val="1"/>
    </w:pPr>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5761</Words>
  <Characters>7011</Characters>
  <Lines>0</Lines>
  <Paragraphs>0</Paragraphs>
  <TotalTime>43</TotalTime>
  <ScaleCrop>false</ScaleCrop>
  <LinksUpToDate>false</LinksUpToDate>
  <CharactersWithSpaces>7096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2024-05-24T00:18:00Z</cp:lastPrinted>
  <dcterms:modified xsi:type="dcterms:W3CDTF">2025-08-25T01:01:27Z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A01F18F863D847ACB25D104FD4A636D9_13</vt:lpwstr>
  </property>
  <property fmtid="{D5CDD505-2E9C-101B-9397-08002B2CF9AE}" pid="4" name="KSOTemplateDocerSaveRecord">
    <vt:lpwstr>eyJoZGlkIjoiNmVlOWJlMWJmODRiNjZkZGQ2ZWJjOWQ0ZDgxOTZhOWQiLCJ1c2VySWQiOiI0MDA0NTk1NjQifQ==</vt:lpwstr>
  </property>
</Properties>
</file>