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6A10">
      <w:pPr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86" w:firstLineChars="200"/>
        <w:textAlignment w:val="baseline"/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1.中标供应商评审得分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:分标1(A分标):桂林三养胶麦生态食疗产业有限责任公司(总得分89.48)；分标2（B分标）:桂林市顺翔农业发展有限公司(总得分85.72)；分标3（C分标）桂林绿胜食品有限公司(总得分88.71)；分标4（D分标）广西家正明源餐饮有限公司(总得分83.46)</w:t>
      </w:r>
    </w:p>
    <w:p w14:paraId="4D627C7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86" w:firstLineChars="200"/>
        <w:textAlignment w:val="baseline"/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2.未中标供应商的评审得分情况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分标1(A分标):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桂林绿胜食品有限公司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(总得分87.72)；桂林市顺翔农业发展有限公司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(总得分85.73)；广西家正明源餐饮有限公司(总得分82.37)；广西博松食品配送有限公司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(总得分82.09)；深圳市绿色农产品有限公司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(总得分80.36)；广西力源餐饮管理有限公司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(总得分75.39)；广西万乡河餐饮集团有限公司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(总得分72.21)；桂林万禾农产品有限公司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(总得分72.10)；广西华琦乐成生物技术有限公司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(总得分68.03)；广西平惠农产品供应链有限公司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(总得分67.64)；当康食品科技（桂林市）有限公司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(总得分61.40)；桂林市源豪食品配送有限公司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(总得分57.58)；桂林日清食品有限公司</w:t>
      </w:r>
      <w:r>
        <w:rPr>
          <w:rFonts w:hint="eastAsia" w:ascii="宋体" w:hAnsi="宋体" w:eastAsia="宋体" w:cs="宋体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(总得分53.79)。</w:t>
      </w:r>
    </w:p>
    <w:p w14:paraId="4655A7A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86" w:firstLineChars="200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分标2(B分标):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桂林三养胶麦生态食疗产业有限责任公司(总得分89.47)；桂林市葛军生态农业科技发展有限公司(总得分82.87)；广西家正明源餐饮有限公司(总得分82.35)；广西博松食品配送有限公司(总得分81.67)；深圳市绿色农产品有限公司(总得分80.35)；广西力源餐饮管理有限公司(总得分75.38)；广西万乡河餐饮集团有限公司(总得分72.20)；桂林万禾农产品有限公司(总得分72.10)；广西家喻神马供应链管理有限公司(总得分71.64)；广西华琦乐成生物技术有限公司(总得分68.03)；广西平惠农产品供应链有限公司(总得分67.61)；当康食品科技（桂林市）有限公司(总得分61.60)；桂林日清食品有限公司(总得分53.79)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 xml:space="preserve">[桂林三养胶麦生态食疗产业有限责任公司总得分排名第一，已被推荐为A分标第一中标候选人, 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分标2(B分标)不再推荐]。</w:t>
      </w:r>
    </w:p>
    <w:p w14:paraId="6038A9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86" w:firstLineChars="200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分标3(C分标):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桂林三养胶麦生态食疗产业有限责任公司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(总得分90.46)；桂林市顺翔农业发展有限公司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(总得分86.70)；广西家正明源餐饮有限公司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(总得分83.35)；深圳市绿色农产品有限公司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(总得分81.35)；广西力源餐饮管理有限公司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(总得分76.35)；广西万乡河餐饮集团有限公司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(总得分73.19)；桂林万禾农产品有限公司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(总得分73.10)；广西华琦乐成生物技术有限公司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(总得分69.03)；广西平惠农产品供应链有限公司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(总得分68.61)；当康食品科技（桂林市）有限公司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(总得分62.60)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[桂林三养胶麦生态食疗产业有限责任公司总得分排名第一，已被推荐为A分标第一中标候选人；分标3(C分标)不再推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荐]。</w:t>
      </w:r>
    </w:p>
    <w:p w14:paraId="2AB11B0E"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20" w:lineRule="exact"/>
        <w:ind w:firstLine="586" w:firstLineChars="200"/>
        <w:textAlignment w:val="baseline"/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分标4(D分标)：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桂林三养胶麦生态食疗产业有限责任公司(总得分90.57)；桂林市顺翔农业发展有限公司,(总得分86.81)；深圳市绿色农产品有限公司(总得分81.46)；广西力源餐饮管理有限公司(总得分76.46)</w:t>
      </w:r>
      <w:bookmarkStart w:id="0" w:name="_GoBack"/>
      <w:bookmarkEnd w:id="0"/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；广西万乡河餐饮集团有限公司(总得分73.30)；广西家喻神马供应链管理有限公司(总得分72.75)；广西华琦乐成生物技术有限公司(总得分69.14)；广西平惠农产品供应链有限公司(总得分68.72)；当康食品科技（桂林市）有限公司(总得分62.71</w:t>
      </w:r>
      <w:r>
        <w:rPr>
          <w:rFonts w:hint="eastAsia" w:ascii="宋体" w:hAnsi="宋体" w:eastAsia="宋体" w:cs="宋体"/>
          <w:b w:val="0"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)</w:t>
      </w:r>
      <w:r>
        <w:rPr>
          <w:rFonts w:hint="eastAsia" w:ascii="宋体" w:hAnsi="宋体" w:eastAsia="宋体" w:cs="宋体"/>
          <w:b/>
          <w:bCs/>
          <w:snapToGrid w:val="0"/>
          <w:color w:val="auto"/>
          <w:spacing w:val="6"/>
          <w:kern w:val="0"/>
          <w:sz w:val="28"/>
          <w:szCs w:val="28"/>
          <w:u w:val="none"/>
          <w:lang w:val="en-US" w:eastAsia="zh-CN" w:bidi="ar"/>
        </w:rPr>
        <w:t>[桂林三养胶麦生态食疗产业有限责任公司总得分排名第一，已被推荐为A分标第一中标候选人；桂林市顺翔农业发展有限公司已被推荐为B分标第一中标候选人；故分标4(D分标)不再推荐]。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78238"/>
    <w:multiLevelType w:val="singleLevel"/>
    <w:tmpl w:val="9BA78238"/>
    <w:lvl w:ilvl="0" w:tentative="0">
      <w:start w:val="1"/>
      <w:numFmt w:val="decimal"/>
      <w:pStyle w:val="7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64056"/>
    <w:rsid w:val="02C31E14"/>
    <w:rsid w:val="06063E50"/>
    <w:rsid w:val="076A196A"/>
    <w:rsid w:val="0BE43E2A"/>
    <w:rsid w:val="14D16BDD"/>
    <w:rsid w:val="14D709D0"/>
    <w:rsid w:val="19622BC3"/>
    <w:rsid w:val="1C1D682F"/>
    <w:rsid w:val="204E7592"/>
    <w:rsid w:val="23691575"/>
    <w:rsid w:val="23A45402"/>
    <w:rsid w:val="2990258A"/>
    <w:rsid w:val="33764056"/>
    <w:rsid w:val="33C57F19"/>
    <w:rsid w:val="40E63BC5"/>
    <w:rsid w:val="41553F7A"/>
    <w:rsid w:val="41595743"/>
    <w:rsid w:val="43370708"/>
    <w:rsid w:val="459425B5"/>
    <w:rsid w:val="47E12057"/>
    <w:rsid w:val="4A1B5910"/>
    <w:rsid w:val="4EE6297B"/>
    <w:rsid w:val="53EC3BAC"/>
    <w:rsid w:val="56C9121F"/>
    <w:rsid w:val="64047BF6"/>
    <w:rsid w:val="684F3BD0"/>
    <w:rsid w:val="6B2262B4"/>
    <w:rsid w:val="6B39476E"/>
    <w:rsid w:val="70755BB4"/>
    <w:rsid w:val="73EC5F0C"/>
    <w:rsid w:val="73FC77D8"/>
    <w:rsid w:val="7ACA4480"/>
    <w:rsid w:val="7BD06A28"/>
    <w:rsid w:val="7E4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宋体"/>
      <w:snapToGrid w:val="0"/>
      <w:color w:val="000000"/>
      <w:spacing w:val="6"/>
      <w:kern w:val="0"/>
      <w:sz w:val="24"/>
      <w:szCs w:val="24"/>
      <w:u w:val="single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8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600" w:lineRule="exact"/>
      <w:jc w:val="left"/>
      <w:outlineLvl w:val="1"/>
    </w:pPr>
    <w:rPr>
      <w:rFonts w:ascii="Arial" w:hAnsi="Arial" w:cs="Times New Roman" w:eastAsiaTheme="majorEastAsia"/>
      <w:b/>
      <w:kern w:val="2"/>
      <w:sz w:val="36"/>
      <w:szCs w:val="21"/>
      <w:lang w:val="en-US" w:eastAsia="zh-CN" w:bidi="ar-SA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val="en-US" w:eastAsia="en-US" w:bidi="ar-SA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line="240" w:lineRule="auto"/>
      <w:ind w:leftChars="200"/>
      <w:jc w:val="left"/>
      <w:outlineLvl w:val="3"/>
    </w:pPr>
    <w:rPr>
      <w:rFonts w:ascii="Arial" w:hAnsi="Arial" w:eastAsia="宋体" w:cs="Times New Roman"/>
      <w:b/>
      <w:kern w:val="2"/>
      <w:sz w:val="30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toc 1"/>
    <w:basedOn w:val="1"/>
    <w:next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cs="Times New Roman" w:eastAsiaTheme="minorEastAsia"/>
      <w:kern w:val="2"/>
      <w:sz w:val="30"/>
      <w:lang w:val="en-US" w:eastAsia="zh-CN" w:bidi="ar-SA"/>
    </w:rPr>
  </w:style>
  <w:style w:type="paragraph" w:styleId="8">
    <w:name w:val="toc 4"/>
    <w:basedOn w:val="1"/>
    <w:next w:val="1"/>
    <w:qFormat/>
    <w:uiPriority w:val="0"/>
    <w:pPr>
      <w:spacing w:line="520" w:lineRule="exact"/>
      <w:ind w:left="1260" w:leftChars="600"/>
      <w:jc w:val="left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9">
    <w:name w:val="toc 2"/>
    <w:basedOn w:val="1"/>
    <w:next w:val="1"/>
    <w:qFormat/>
    <w:uiPriority w:val="0"/>
    <w:pPr>
      <w:ind w:left="0" w:leftChars="0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10">
    <w:name w:val="Body Text 2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kern w:val="0"/>
      <w:sz w:val="21"/>
      <w:lang w:val="en-US" w:eastAsia="zh-CN" w:bidi="ar-SA"/>
    </w:rPr>
  </w:style>
  <w:style w:type="character" w:customStyle="1" w:styleId="13">
    <w:name w:val="标题 2 Char"/>
    <w:link w:val="2"/>
    <w:qFormat/>
    <w:uiPriority w:val="0"/>
    <w:rPr>
      <w:rFonts w:ascii="Arial" w:hAnsi="Arial" w:cs="Times New Roman" w:eastAsiaTheme="majorEastAsia"/>
      <w:b/>
      <w:kern w:val="2"/>
      <w:sz w:val="36"/>
      <w:szCs w:val="21"/>
      <w:lang w:val="en-US" w:eastAsia="zh-CN" w:bidi="ar-SA"/>
    </w:rPr>
  </w:style>
  <w:style w:type="character" w:customStyle="1" w:styleId="14">
    <w:name w:val="标题 3 Char"/>
    <w:link w:val="4"/>
    <w:qFormat/>
    <w:uiPriority w:val="0"/>
    <w:rPr>
      <w:rFonts w:ascii="Arial" w:hAnsi="Arial" w:eastAsia="宋体" w:cs="宋体"/>
      <w:b/>
      <w:bCs/>
      <w:color w:val="auto"/>
      <w:kern w:val="2"/>
      <w:sz w:val="44"/>
      <w:szCs w:val="30"/>
      <w:lang w:val="en-US" w:eastAsia="zh-CN" w:bidi="ar-SA"/>
    </w:rPr>
  </w:style>
  <w:style w:type="character" w:customStyle="1" w:styleId="15">
    <w:name w:val="标题 4 Char"/>
    <w:link w:val="5"/>
    <w:qFormat/>
    <w:uiPriority w:val="0"/>
    <w:rPr>
      <w:rFonts w:ascii="Arial" w:hAnsi="Arial" w:eastAsia="宋体" w:cs="Times New Roman"/>
      <w:b/>
      <w:kern w:val="2"/>
      <w:sz w:val="3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2025-09-12T06:16:00Z</dcterms:created>
  <dc:creator>NTKO</dc:creator>
  <cp:lastModifiedBy>NTKO</cp:lastModifiedBy>
  <dcterms:modified xsi:type="dcterms:W3CDTF">2025-09-12T09:04:19Z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178195A04B744C318B391C5E58A21B06_11</vt:lpwstr>
  </property>
  <property fmtid="{D5CDD505-2E9C-101B-9397-08002B2CF9AE}" pid="4" name="KSOTemplateDocerSaveRecord">
    <vt:lpwstr>eyJoZGlkIjoiZWVhZTdkOWNjMWQwMTU2NDBkOGRkZWVlZWJiMmY1MDYiLCJ1c2VySWQiOiIzMjEyOTA0NTAifQ==</vt:lpwstr>
  </property>
</Properties>
</file>