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2C552">
      <w:pPr>
        <w:pStyle w:val="9"/>
        <w:spacing w:line="500" w:lineRule="exact"/>
        <w:jc w:val="center"/>
        <w:rPr>
          <w:rFonts w:hAnsi="宋体" w:cs="宋体"/>
          <w:b/>
          <w:sz w:val="36"/>
          <w:szCs w:val="36"/>
        </w:rPr>
      </w:pPr>
      <w:r>
        <w:rPr>
          <w:rFonts w:hint="eastAsia" w:hAnsi="宋体" w:cs="宋体"/>
          <w:b/>
          <w:sz w:val="36"/>
          <w:szCs w:val="36"/>
        </w:rPr>
        <w:t>云之龙咨询集团有限公司</w:t>
      </w:r>
    </w:p>
    <w:p w14:paraId="27989D11">
      <w:pPr>
        <w:pStyle w:val="6"/>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Pr>
          <w:rFonts w:hint="eastAsia" w:ascii="宋体" w:hAnsi="宋体" w:cs="宋体"/>
          <w:bCs w:val="0"/>
          <w:kern w:val="2"/>
          <w:sz w:val="36"/>
          <w:szCs w:val="36"/>
        </w:rPr>
        <w:t>广西壮族自治区疫苗等生物制品批签发能力建设项目</w:t>
      </w:r>
    </w:p>
    <w:p w14:paraId="24CE4ED6">
      <w:pPr>
        <w:pStyle w:val="6"/>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Pr>
          <w:rFonts w:hint="eastAsia" w:ascii="宋体" w:hAnsi="宋体" w:cs="宋体"/>
          <w:bCs w:val="0"/>
          <w:kern w:val="2"/>
          <w:sz w:val="36"/>
          <w:szCs w:val="36"/>
        </w:rPr>
        <w:t>仪器设备购置（2025年）GXZC2025-G1-003497-YZLZ</w:t>
      </w:r>
    </w:p>
    <w:p w14:paraId="19B325AC">
      <w:pPr>
        <w:pStyle w:val="6"/>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0" w:name="_Toc202457723"/>
      <w:r>
        <w:rPr>
          <w:rFonts w:hint="eastAsia" w:ascii="宋体" w:hAnsi="宋体" w:cs="宋体"/>
          <w:bCs w:val="0"/>
          <w:kern w:val="2"/>
          <w:sz w:val="36"/>
          <w:szCs w:val="36"/>
        </w:rPr>
        <w:t>招标公告</w:t>
      </w:r>
      <w:bookmarkEnd w:id="0"/>
    </w:p>
    <w:p w14:paraId="08B902FA">
      <w:pPr>
        <w:wordWrap w:val="0"/>
        <w:spacing w:line="360" w:lineRule="auto"/>
        <w:rPr>
          <w:rFonts w:ascii="宋体" w:hAnsi="宋体" w:cs="宋体"/>
          <w:sz w:val="24"/>
        </w:rPr>
      </w:pPr>
    </w:p>
    <w:p w14:paraId="3CB3F79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rPr>
      </w:pPr>
      <w:r>
        <w:rPr>
          <w:rFonts w:hint="eastAsia" w:ascii="宋体" w:hAnsi="宋体" w:cs="宋体"/>
          <w:sz w:val="24"/>
        </w:rPr>
        <w:t>项目概况</w:t>
      </w:r>
    </w:p>
    <w:p w14:paraId="5F2E37F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rPr>
      </w:pPr>
      <w:r>
        <w:rPr>
          <w:rFonts w:hint="eastAsia" w:ascii="宋体" w:hAnsi="宋体" w:cs="宋体"/>
          <w:sz w:val="24"/>
          <w:u w:val="single"/>
        </w:rPr>
        <w:t>广西壮族自治区疫苗等生物制品批签发能力建设项目仪器设备购置（2025年）</w:t>
      </w:r>
      <w:r>
        <w:rPr>
          <w:rFonts w:hint="eastAsia" w:ascii="宋体" w:hAnsi="宋体" w:cs="宋体"/>
          <w:sz w:val="24"/>
        </w:rPr>
        <w:t>招标项目的潜在投标人应在广西政府采购云平台（</w:t>
      </w:r>
      <w:r>
        <w:fldChar w:fldCharType="begin"/>
      </w:r>
      <w:r>
        <w:instrText xml:space="preserve"> HYPERLINK "%20https://www.gcy.zfcg.gxzf.gov.cn/）获取（下载）招标文件，并于2025年" </w:instrText>
      </w:r>
      <w:r>
        <w:fldChar w:fldCharType="separate"/>
      </w:r>
      <w:r>
        <w:rPr>
          <w:rStyle w:val="14"/>
          <w:rFonts w:hint="eastAsia" w:ascii="宋体" w:hAnsi="宋体" w:cs="宋体"/>
          <w:color w:val="auto"/>
          <w:sz w:val="24"/>
        </w:rPr>
        <w:t xml:space="preserve"> https://www.gcy.zfcg.gxzf.gov.cn/）获取（下载）招标文件，并于</w:t>
      </w:r>
      <w:r>
        <w:rPr>
          <w:rStyle w:val="14"/>
          <w:rFonts w:hint="eastAsia" w:ascii="宋体" w:hAnsi="宋体" w:cs="宋体"/>
          <w:bCs/>
          <w:color w:val="auto"/>
          <w:sz w:val="24"/>
        </w:rPr>
        <w:t>202</w:t>
      </w:r>
      <w:r>
        <w:rPr>
          <w:rStyle w:val="14"/>
          <w:rFonts w:ascii="宋体" w:hAnsi="宋体" w:cs="宋体"/>
          <w:bCs/>
          <w:color w:val="auto"/>
          <w:sz w:val="24"/>
        </w:rPr>
        <w:t>5</w:t>
      </w:r>
      <w:r>
        <w:rPr>
          <w:rStyle w:val="14"/>
          <w:rFonts w:hint="eastAsia" w:ascii="宋体" w:hAnsi="宋体" w:cs="宋体"/>
          <w:bCs/>
          <w:color w:val="auto"/>
          <w:sz w:val="24"/>
        </w:rPr>
        <w:t>年</w:t>
      </w:r>
      <w:r>
        <w:rPr>
          <w:rStyle w:val="14"/>
          <w:rFonts w:hint="eastAsia" w:ascii="宋体" w:hAnsi="宋体" w:cs="宋体"/>
          <w:bCs/>
          <w:color w:val="auto"/>
          <w:sz w:val="24"/>
        </w:rPr>
        <w:fldChar w:fldCharType="end"/>
      </w:r>
      <w:r>
        <w:rPr>
          <w:rStyle w:val="14"/>
          <w:rFonts w:hint="eastAsia" w:ascii="宋体" w:hAnsi="宋体" w:cs="宋体"/>
          <w:bCs/>
          <w:color w:val="auto"/>
          <w:sz w:val="24"/>
        </w:rPr>
        <w:t>1</w:t>
      </w:r>
      <w:r>
        <w:rPr>
          <w:rStyle w:val="14"/>
          <w:rFonts w:hint="eastAsia" w:ascii="宋体" w:hAnsi="宋体" w:cs="宋体"/>
          <w:bCs/>
          <w:color w:val="auto"/>
          <w:sz w:val="24"/>
          <w:lang w:val="en-US" w:eastAsia="zh-CN"/>
        </w:rPr>
        <w:t>2</w:t>
      </w:r>
      <w:r>
        <w:rPr>
          <w:rFonts w:hint="eastAsia" w:ascii="宋体" w:hAnsi="宋体" w:cs="宋体"/>
          <w:bCs/>
          <w:sz w:val="24"/>
        </w:rPr>
        <w:t>月</w:t>
      </w:r>
      <w:r>
        <w:rPr>
          <w:rFonts w:hint="eastAsia" w:ascii="宋体" w:hAnsi="宋体" w:cs="宋体"/>
          <w:bCs/>
          <w:sz w:val="24"/>
          <w:lang w:val="en-US" w:eastAsia="zh-CN"/>
        </w:rPr>
        <w:t>10</w:t>
      </w:r>
      <w:r>
        <w:rPr>
          <w:rFonts w:hint="eastAsia" w:ascii="宋体" w:hAnsi="宋体" w:cs="宋体"/>
          <w:bCs/>
          <w:sz w:val="24"/>
        </w:rPr>
        <w:t>日</w:t>
      </w:r>
      <w:r>
        <w:rPr>
          <w:rFonts w:ascii="宋体" w:hAnsi="宋体" w:cs="宋体"/>
          <w:bCs/>
          <w:sz w:val="24"/>
        </w:rPr>
        <w:t xml:space="preserve"> 9</w:t>
      </w:r>
      <w:r>
        <w:rPr>
          <w:rFonts w:hint="eastAsia" w:ascii="宋体" w:hAnsi="宋体" w:cs="宋体"/>
          <w:bCs/>
          <w:sz w:val="24"/>
        </w:rPr>
        <w:t>时</w:t>
      </w:r>
      <w:r>
        <w:rPr>
          <w:rFonts w:ascii="宋体" w:hAnsi="宋体" w:cs="宋体"/>
          <w:bCs/>
          <w:sz w:val="24"/>
        </w:rPr>
        <w:t xml:space="preserve"> 30</w:t>
      </w:r>
      <w:r>
        <w:rPr>
          <w:rFonts w:hint="eastAsia" w:ascii="宋体" w:hAnsi="宋体" w:cs="宋体"/>
          <w:bCs/>
          <w:sz w:val="24"/>
        </w:rPr>
        <w:t>分（北京时间）前递交投标文件</w:t>
      </w:r>
      <w:r>
        <w:rPr>
          <w:rFonts w:hint="eastAsia" w:ascii="宋体" w:hAnsi="宋体" w:cs="宋体"/>
          <w:sz w:val="24"/>
        </w:rPr>
        <w:t>。</w:t>
      </w:r>
    </w:p>
    <w:p w14:paraId="0B266B5C">
      <w:pPr>
        <w:spacing w:line="360" w:lineRule="auto"/>
        <w:rPr>
          <w:rFonts w:ascii="宋体" w:hAnsi="宋体" w:cs="宋体"/>
          <w:sz w:val="24"/>
        </w:rPr>
      </w:pPr>
    </w:p>
    <w:p w14:paraId="5BF14D5C">
      <w:pPr>
        <w:spacing w:line="360" w:lineRule="auto"/>
        <w:ind w:firstLine="482" w:firstLineChars="200"/>
        <w:rPr>
          <w:rFonts w:ascii="宋体" w:hAnsi="宋体" w:cs="宋体"/>
          <w:b/>
          <w:bCs/>
          <w:sz w:val="24"/>
        </w:rPr>
      </w:pPr>
      <w:bookmarkStart w:id="1" w:name="_Toc28359079"/>
      <w:bookmarkStart w:id="2" w:name="_Toc35393621"/>
      <w:bookmarkStart w:id="3" w:name="_Toc28359002"/>
      <w:bookmarkStart w:id="4" w:name="_Toc35393790"/>
      <w:bookmarkStart w:id="5" w:name="_Hlk24379207"/>
      <w:r>
        <w:rPr>
          <w:rFonts w:hint="eastAsia" w:ascii="宋体" w:hAnsi="宋体" w:cs="宋体"/>
          <w:b/>
          <w:bCs/>
          <w:sz w:val="24"/>
        </w:rPr>
        <w:t>一、项目基本情况</w:t>
      </w:r>
      <w:bookmarkEnd w:id="1"/>
      <w:bookmarkEnd w:id="2"/>
      <w:bookmarkEnd w:id="3"/>
      <w:bookmarkEnd w:id="4"/>
    </w:p>
    <w:p w14:paraId="5331B151">
      <w:pPr>
        <w:spacing w:line="360" w:lineRule="auto"/>
        <w:ind w:firstLine="480" w:firstLineChars="200"/>
        <w:rPr>
          <w:rFonts w:ascii="宋体" w:hAnsi="宋体" w:cs="宋体"/>
          <w:bCs/>
          <w:sz w:val="24"/>
        </w:rPr>
      </w:pPr>
      <w:r>
        <w:rPr>
          <w:rFonts w:hint="eastAsia" w:ascii="宋体" w:hAnsi="宋体" w:cs="宋体"/>
          <w:sz w:val="24"/>
        </w:rPr>
        <w:t>项目名称：广西壮族自治区疫苗等生物制品批签发能力建设项目仪器设备购置（2025年）</w:t>
      </w:r>
    </w:p>
    <w:p w14:paraId="346C43AC">
      <w:pPr>
        <w:spacing w:line="360" w:lineRule="auto"/>
        <w:ind w:firstLine="480" w:firstLineChars="200"/>
        <w:rPr>
          <w:rFonts w:ascii="宋体" w:hAnsi="宋体" w:cs="宋体"/>
          <w:sz w:val="24"/>
        </w:rPr>
      </w:pPr>
      <w:r>
        <w:rPr>
          <w:rFonts w:hint="eastAsia" w:ascii="宋体" w:hAnsi="宋体" w:cs="宋体"/>
          <w:sz w:val="24"/>
        </w:rPr>
        <w:t>项目编号：GXZC2025-G1-003497-YZLZ</w:t>
      </w:r>
    </w:p>
    <w:p w14:paraId="386CEFC2">
      <w:pPr>
        <w:spacing w:line="360" w:lineRule="auto"/>
        <w:ind w:firstLine="480" w:firstLineChars="200"/>
        <w:rPr>
          <w:rFonts w:ascii="宋体" w:hAnsi="宋体" w:cs="宋体"/>
          <w:sz w:val="24"/>
          <w:u w:val="single"/>
        </w:rPr>
      </w:pPr>
      <w:r>
        <w:rPr>
          <w:rFonts w:hint="eastAsia" w:ascii="宋体" w:hAnsi="宋体" w:cs="宋体"/>
          <w:sz w:val="24"/>
        </w:rPr>
        <w:t>采购计划编号：</w:t>
      </w:r>
      <w:bookmarkEnd w:id="5"/>
      <w:r>
        <w:rPr>
          <w:rFonts w:hint="eastAsia" w:ascii="宋体" w:hAnsi="宋体" w:cs="宋体"/>
          <w:sz w:val="24"/>
        </w:rPr>
        <w:t>广西政采[2025]21367号-002-001、广西政采[2025]21367号-001-001、广西政采[2025]21367号-002-002、广西政采[2025]21367号-001-002</w:t>
      </w:r>
    </w:p>
    <w:p w14:paraId="4636A9E3">
      <w:pPr>
        <w:spacing w:line="360" w:lineRule="auto"/>
        <w:ind w:firstLine="480" w:firstLineChars="200"/>
        <w:rPr>
          <w:rFonts w:ascii="宋体" w:hAnsi="宋体" w:cs="宋体"/>
          <w:bCs/>
          <w:sz w:val="24"/>
        </w:rPr>
      </w:pPr>
      <w:r>
        <w:rPr>
          <w:rFonts w:hint="eastAsia" w:ascii="宋体" w:hAnsi="宋体" w:cs="宋体"/>
          <w:bCs/>
          <w:sz w:val="24"/>
        </w:rPr>
        <w:t>预算金额（人民币）：总预算：壹仟壹佰贰拾壹万元整（</w:t>
      </w:r>
      <w:r>
        <w:rPr>
          <w:rFonts w:ascii="宋体" w:hAnsi="宋体" w:cs="宋体"/>
          <w:bCs/>
          <w:sz w:val="24"/>
        </w:rPr>
        <w:t>¥</w:t>
      </w:r>
      <w:r>
        <w:rPr>
          <w:rFonts w:hint="eastAsia" w:ascii="宋体" w:hAnsi="宋体" w:cs="宋体"/>
          <w:bCs/>
          <w:sz w:val="24"/>
        </w:rPr>
        <w:t>11210000.00）其中：</w:t>
      </w:r>
    </w:p>
    <w:p w14:paraId="3A203D16">
      <w:pPr>
        <w:spacing w:line="360" w:lineRule="auto"/>
        <w:ind w:firstLine="2880" w:firstLineChars="1200"/>
        <w:rPr>
          <w:rFonts w:ascii="宋体" w:hAnsi="宋体" w:cs="宋体"/>
          <w:bCs/>
          <w:sz w:val="24"/>
        </w:rPr>
      </w:pPr>
      <w:r>
        <w:rPr>
          <w:rFonts w:hint="eastAsia" w:ascii="宋体" w:hAnsi="宋体" w:cs="宋体"/>
          <w:bCs/>
          <w:sz w:val="24"/>
        </w:rPr>
        <w:t>01分标：叁佰柒拾捌万零肆佰元整（</w:t>
      </w:r>
      <w:r>
        <w:rPr>
          <w:rFonts w:ascii="宋体" w:hAnsi="宋体" w:cs="宋体"/>
          <w:bCs/>
          <w:sz w:val="24"/>
        </w:rPr>
        <w:t>¥</w:t>
      </w:r>
      <w:r>
        <w:rPr>
          <w:rFonts w:hint="eastAsia" w:ascii="宋体" w:hAnsi="宋体" w:cs="宋体"/>
          <w:bCs/>
          <w:sz w:val="24"/>
        </w:rPr>
        <w:t>3780400</w:t>
      </w:r>
      <w:r>
        <w:rPr>
          <w:rFonts w:ascii="宋体" w:hAnsi="宋体" w:cs="宋体"/>
          <w:bCs/>
          <w:sz w:val="24"/>
        </w:rPr>
        <w:t>.00</w:t>
      </w:r>
      <w:r>
        <w:rPr>
          <w:rFonts w:hint="eastAsia" w:ascii="宋体" w:hAnsi="宋体" w:cs="宋体"/>
          <w:bCs/>
          <w:sz w:val="24"/>
        </w:rPr>
        <w:t>）；</w:t>
      </w:r>
    </w:p>
    <w:p w14:paraId="01D443BF">
      <w:pPr>
        <w:spacing w:line="360" w:lineRule="auto"/>
        <w:ind w:firstLine="2880" w:firstLineChars="1200"/>
        <w:rPr>
          <w:rFonts w:ascii="宋体" w:hAnsi="宋体" w:cs="宋体"/>
          <w:bCs/>
          <w:sz w:val="24"/>
        </w:rPr>
      </w:pPr>
      <w:r>
        <w:rPr>
          <w:rFonts w:hint="eastAsia" w:ascii="宋体" w:hAnsi="宋体" w:cs="宋体"/>
          <w:bCs/>
          <w:sz w:val="24"/>
        </w:rPr>
        <w:t>02分标：叁佰陆拾叁万贰仟陆佰元整（</w:t>
      </w:r>
      <w:r>
        <w:rPr>
          <w:rFonts w:ascii="宋体" w:hAnsi="宋体" w:cs="宋体"/>
          <w:bCs/>
          <w:sz w:val="24"/>
        </w:rPr>
        <w:t>¥</w:t>
      </w:r>
      <w:r>
        <w:rPr>
          <w:rFonts w:hint="eastAsia" w:ascii="宋体" w:hAnsi="宋体" w:cs="宋体"/>
          <w:bCs/>
          <w:sz w:val="24"/>
        </w:rPr>
        <w:t>3632600</w:t>
      </w:r>
      <w:r>
        <w:rPr>
          <w:rFonts w:ascii="宋体" w:hAnsi="宋体" w:cs="宋体"/>
          <w:bCs/>
          <w:sz w:val="24"/>
        </w:rPr>
        <w:t>.00</w:t>
      </w:r>
      <w:r>
        <w:rPr>
          <w:rFonts w:hint="eastAsia" w:ascii="宋体" w:hAnsi="宋体" w:cs="宋体"/>
          <w:bCs/>
          <w:sz w:val="24"/>
        </w:rPr>
        <w:t>）；</w:t>
      </w:r>
    </w:p>
    <w:p w14:paraId="4737A631">
      <w:pPr>
        <w:spacing w:line="360" w:lineRule="auto"/>
        <w:ind w:firstLine="2880" w:firstLineChars="1200"/>
        <w:rPr>
          <w:rFonts w:ascii="宋体" w:hAnsi="宋体" w:cs="宋体"/>
          <w:bCs/>
          <w:sz w:val="24"/>
        </w:rPr>
      </w:pPr>
      <w:r>
        <w:rPr>
          <w:rFonts w:hint="eastAsia" w:ascii="宋体" w:hAnsi="宋体" w:cs="宋体"/>
          <w:bCs/>
          <w:sz w:val="24"/>
        </w:rPr>
        <w:t>03分标：叁佰柒拾玖万柒仟元整（</w:t>
      </w:r>
      <w:r>
        <w:rPr>
          <w:rFonts w:ascii="宋体" w:hAnsi="宋体" w:cs="宋体"/>
          <w:bCs/>
          <w:sz w:val="24"/>
        </w:rPr>
        <w:t>¥</w:t>
      </w:r>
      <w:r>
        <w:rPr>
          <w:rFonts w:hint="eastAsia" w:ascii="宋体" w:hAnsi="宋体" w:cs="宋体"/>
          <w:bCs/>
          <w:sz w:val="24"/>
        </w:rPr>
        <w:t>3797000.00）</w:t>
      </w:r>
    </w:p>
    <w:p w14:paraId="3CEF7B4C">
      <w:pPr>
        <w:spacing w:line="360" w:lineRule="auto"/>
        <w:ind w:firstLine="480" w:firstLineChars="200"/>
      </w:pPr>
      <w:r>
        <w:rPr>
          <w:rFonts w:hint="eastAsia" w:ascii="宋体" w:hAnsi="宋体" w:cs="宋体"/>
          <w:bCs/>
          <w:sz w:val="24"/>
        </w:rPr>
        <w:t>最高限价（人民币）：同预算金额</w:t>
      </w:r>
    </w:p>
    <w:p w14:paraId="75F65346">
      <w:pPr>
        <w:pStyle w:val="15"/>
        <w:jc w:val="both"/>
        <w:rPr>
          <w:rFonts w:ascii="宋体" w:hAnsi="宋体" w:eastAsia="宋体" w:cs="宋体"/>
          <w:b w:val="0"/>
          <w:bCs/>
          <w:sz w:val="24"/>
        </w:rPr>
      </w:pPr>
      <w:r>
        <w:rPr>
          <w:rFonts w:hint="eastAsia" w:ascii="宋体" w:hAnsi="宋体" w:eastAsia="宋体" w:cs="宋体"/>
          <w:b w:val="0"/>
          <w:bCs/>
          <w:sz w:val="24"/>
        </w:rPr>
        <w:t>01分标</w:t>
      </w:r>
    </w:p>
    <w:tbl>
      <w:tblPr>
        <w:tblStyle w:val="11"/>
        <w:tblW w:w="4996" w:type="pct"/>
        <w:jc w:val="center"/>
        <w:tblLayout w:type="autofit"/>
        <w:tblCellMar>
          <w:top w:w="0" w:type="dxa"/>
          <w:left w:w="108" w:type="dxa"/>
          <w:bottom w:w="0" w:type="dxa"/>
          <w:right w:w="108" w:type="dxa"/>
        </w:tblCellMar>
      </w:tblPr>
      <w:tblGrid>
        <w:gridCol w:w="626"/>
        <w:gridCol w:w="1894"/>
        <w:gridCol w:w="762"/>
        <w:gridCol w:w="1010"/>
        <w:gridCol w:w="5554"/>
      </w:tblGrid>
      <w:tr w14:paraId="72F0610C">
        <w:trPr>
          <w:trHeight w:val="348"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2571DD8D">
            <w:pPr>
              <w:widowControl/>
              <w:adjustRightInd w:val="0"/>
              <w:snapToGrid w:val="0"/>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序号</w:t>
            </w:r>
          </w:p>
        </w:tc>
        <w:tc>
          <w:tcPr>
            <w:tcW w:w="962" w:type="pct"/>
            <w:tcBorders>
              <w:top w:val="single" w:color="000000" w:sz="4" w:space="0"/>
              <w:left w:val="single" w:color="000000" w:sz="4" w:space="0"/>
              <w:bottom w:val="single" w:color="000000" w:sz="4" w:space="0"/>
              <w:right w:val="single" w:color="000000" w:sz="4" w:space="0"/>
            </w:tcBorders>
            <w:vAlign w:val="center"/>
          </w:tcPr>
          <w:p w14:paraId="56C9B948">
            <w:pPr>
              <w:widowControl/>
              <w:adjustRightInd w:val="0"/>
              <w:snapToGrid w:val="0"/>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val="en-US" w:eastAsia="zh-CN" w:bidi="ar"/>
              </w:rPr>
              <w:t>标的</w:t>
            </w:r>
            <w:r>
              <w:rPr>
                <w:rFonts w:hint="eastAsia" w:ascii="宋体" w:hAnsi="宋体" w:cs="宋体"/>
                <w:b w:val="0"/>
                <w:bCs w:val="0"/>
                <w:color w:val="000000"/>
                <w:kern w:val="0"/>
                <w:sz w:val="22"/>
                <w:szCs w:val="22"/>
                <w:lang w:bidi="ar"/>
              </w:rPr>
              <w:t>名称</w:t>
            </w:r>
          </w:p>
        </w:tc>
        <w:tc>
          <w:tcPr>
            <w:tcW w:w="387" w:type="pct"/>
            <w:tcBorders>
              <w:top w:val="single" w:color="000000" w:sz="4" w:space="0"/>
              <w:left w:val="single" w:color="000000" w:sz="4" w:space="0"/>
              <w:bottom w:val="single" w:color="000000" w:sz="4" w:space="0"/>
              <w:right w:val="single" w:color="000000" w:sz="4" w:space="0"/>
            </w:tcBorders>
            <w:vAlign w:val="center"/>
          </w:tcPr>
          <w:p w14:paraId="3CD42CF5">
            <w:pPr>
              <w:widowControl/>
              <w:adjustRightInd w:val="0"/>
              <w:snapToGrid w:val="0"/>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数量</w:t>
            </w:r>
          </w:p>
        </w:tc>
        <w:tc>
          <w:tcPr>
            <w:tcW w:w="513" w:type="pct"/>
            <w:tcBorders>
              <w:top w:val="single" w:color="000000" w:sz="4" w:space="0"/>
              <w:left w:val="single" w:color="000000" w:sz="4" w:space="0"/>
              <w:bottom w:val="single" w:color="000000" w:sz="4" w:space="0"/>
              <w:right w:val="single" w:color="000000" w:sz="4" w:space="0"/>
            </w:tcBorders>
            <w:vAlign w:val="center"/>
          </w:tcPr>
          <w:p w14:paraId="75DD1CEA">
            <w:pPr>
              <w:widowControl/>
              <w:adjustRightInd w:val="0"/>
              <w:snapToGrid w:val="0"/>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单位</w:t>
            </w:r>
          </w:p>
        </w:tc>
        <w:tc>
          <w:tcPr>
            <w:tcW w:w="2818" w:type="pct"/>
            <w:tcBorders>
              <w:top w:val="single" w:color="000000" w:sz="4" w:space="0"/>
              <w:left w:val="single" w:color="000000" w:sz="4" w:space="0"/>
              <w:bottom w:val="single" w:color="000000" w:sz="4" w:space="0"/>
              <w:right w:val="single" w:color="000000" w:sz="4" w:space="0"/>
            </w:tcBorders>
            <w:vAlign w:val="center"/>
          </w:tcPr>
          <w:p w14:paraId="003798CF">
            <w:pPr>
              <w:widowControl/>
              <w:adjustRightInd w:val="0"/>
              <w:snapToGrid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cs="宋体"/>
                <w:b w:val="0"/>
                <w:bCs w:val="0"/>
                <w:color w:val="000000"/>
                <w:kern w:val="0"/>
                <w:sz w:val="22"/>
                <w:szCs w:val="22"/>
                <w:lang w:val="en-US" w:eastAsia="zh-CN" w:bidi="ar"/>
              </w:rPr>
              <w:t>简要技术要求</w:t>
            </w:r>
          </w:p>
        </w:tc>
      </w:tr>
      <w:tr w14:paraId="3BA5C85B">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414B0F7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2" w:type="pct"/>
            <w:tcBorders>
              <w:top w:val="single" w:color="000000" w:sz="4" w:space="0"/>
              <w:left w:val="single" w:color="000000" w:sz="4" w:space="0"/>
              <w:bottom w:val="single" w:color="000000" w:sz="4" w:space="0"/>
              <w:right w:val="single" w:color="000000" w:sz="4" w:space="0"/>
            </w:tcBorders>
            <w:vAlign w:val="center"/>
          </w:tcPr>
          <w:p w14:paraId="55C7014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实时荧光定量PCR检测系统</w:t>
            </w:r>
          </w:p>
        </w:tc>
        <w:tc>
          <w:tcPr>
            <w:tcW w:w="387" w:type="pct"/>
            <w:tcBorders>
              <w:top w:val="single" w:color="000000" w:sz="4" w:space="0"/>
              <w:left w:val="single" w:color="000000" w:sz="4" w:space="0"/>
              <w:bottom w:val="single" w:color="000000" w:sz="4" w:space="0"/>
              <w:right w:val="single" w:color="000000" w:sz="4" w:space="0"/>
            </w:tcBorders>
            <w:vAlign w:val="center"/>
          </w:tcPr>
          <w:p w14:paraId="01979F3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3494441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499B553E">
            <w:pPr>
              <w:pStyle w:val="8"/>
              <w:widowControl/>
              <w:jc w:val="left"/>
              <w:textAlignment w:val="center"/>
              <w:rPr>
                <w:rFonts w:ascii="宋体" w:hAnsi="宋体" w:cs="宋体"/>
                <w:color w:val="000000"/>
                <w:sz w:val="24"/>
              </w:rPr>
            </w:pP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、功能</w:t>
            </w:r>
            <w:r>
              <w:rPr>
                <w:rFonts w:hint="eastAsia" w:ascii="宋体" w:hAnsi="宋体" w:cs="宋体"/>
                <w:color w:val="000000"/>
                <w:kern w:val="0"/>
                <w:sz w:val="24"/>
                <w:lang w:val="en-US" w:eastAsia="zh-CN" w:bidi="ar"/>
              </w:rPr>
              <w:t>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可用于核酸定量、基因表达水平分析、基因突变检测、GMO检测及产物特异性分析等多种研究领域。</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E687C23">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3BCC163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962" w:type="pct"/>
            <w:tcBorders>
              <w:top w:val="single" w:color="000000" w:sz="4" w:space="0"/>
              <w:left w:val="single" w:color="000000" w:sz="4" w:space="0"/>
              <w:bottom w:val="single" w:color="000000" w:sz="4" w:space="0"/>
              <w:right w:val="single" w:color="000000" w:sz="4" w:space="0"/>
            </w:tcBorders>
            <w:vAlign w:val="center"/>
          </w:tcPr>
          <w:p w14:paraId="2F168D87">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高压灭菌锅</w:t>
            </w:r>
          </w:p>
        </w:tc>
        <w:tc>
          <w:tcPr>
            <w:tcW w:w="387" w:type="pct"/>
            <w:tcBorders>
              <w:top w:val="single" w:color="000000" w:sz="4" w:space="0"/>
              <w:left w:val="single" w:color="000000" w:sz="4" w:space="0"/>
              <w:bottom w:val="single" w:color="000000" w:sz="4" w:space="0"/>
              <w:right w:val="single" w:color="000000" w:sz="4" w:space="0"/>
            </w:tcBorders>
            <w:vAlign w:val="center"/>
          </w:tcPr>
          <w:p w14:paraId="075B5D3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13" w:type="pct"/>
            <w:tcBorders>
              <w:top w:val="single" w:color="000000" w:sz="4" w:space="0"/>
              <w:left w:val="single" w:color="000000" w:sz="4" w:space="0"/>
              <w:bottom w:val="single" w:color="000000" w:sz="4" w:space="0"/>
              <w:right w:val="single" w:color="000000" w:sz="4" w:space="0"/>
            </w:tcBorders>
            <w:vAlign w:val="center"/>
          </w:tcPr>
          <w:p w14:paraId="3921DE9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003D9650">
            <w:pPr>
              <w:widowControl/>
              <w:jc w:val="left"/>
              <w:textAlignment w:val="center"/>
              <w:rPr>
                <w:rFonts w:ascii="宋体" w:hAnsi="宋体" w:cs="宋体"/>
                <w:color w:val="000000"/>
                <w:sz w:val="24"/>
              </w:rPr>
            </w:pPr>
            <w:r>
              <w:rPr>
                <w:rFonts w:hint="eastAsia" w:ascii="宋体" w:hAnsi="宋体" w:cs="宋体"/>
                <w:b w:val="0"/>
                <w:bCs w:val="0"/>
                <w:color w:val="000000"/>
                <w:kern w:val="0"/>
                <w:sz w:val="24"/>
                <w:lang w:bidi="ar"/>
              </w:rPr>
              <w:t>▲1、</w:t>
            </w:r>
            <w:r>
              <w:rPr>
                <w:rFonts w:hint="eastAsia" w:ascii="宋体" w:hAnsi="宋体" w:cs="宋体"/>
                <w:b w:val="0"/>
                <w:bCs w:val="0"/>
                <w:color w:val="000000"/>
                <w:kern w:val="0"/>
                <w:sz w:val="24"/>
                <w:lang w:val="en-US" w:eastAsia="zh-CN" w:bidi="ar"/>
              </w:rPr>
              <w:t>投标文件中提供</w:t>
            </w:r>
            <w:r>
              <w:rPr>
                <w:rFonts w:hint="eastAsia" w:ascii="宋体" w:hAnsi="宋体" w:cs="宋体"/>
                <w:b w:val="0"/>
                <w:bCs w:val="0"/>
                <w:color w:val="000000"/>
                <w:kern w:val="0"/>
                <w:sz w:val="24"/>
                <w:lang w:bidi="ar"/>
              </w:rPr>
              <w:t>罐体部分具有市场监督管理</w:t>
            </w:r>
            <w:r>
              <w:rPr>
                <w:rFonts w:hint="eastAsia" w:ascii="宋体" w:hAnsi="宋体" w:cs="宋体"/>
                <w:b w:val="0"/>
                <w:bCs w:val="0"/>
                <w:color w:val="000000"/>
                <w:kern w:val="0"/>
                <w:sz w:val="24"/>
                <w:lang w:val="en-US" w:eastAsia="zh-CN" w:bidi="ar"/>
              </w:rPr>
              <w:t>部门</w:t>
            </w:r>
            <w:r>
              <w:rPr>
                <w:rFonts w:hint="eastAsia" w:ascii="宋体" w:hAnsi="宋体" w:cs="宋体"/>
                <w:b w:val="0"/>
                <w:bCs w:val="0"/>
                <w:color w:val="000000"/>
                <w:kern w:val="0"/>
                <w:sz w:val="24"/>
                <w:lang w:bidi="ar"/>
              </w:rPr>
              <w:t>颁发的特种设备制造许可证</w:t>
            </w:r>
            <w:r>
              <w:rPr>
                <w:rFonts w:hint="eastAsia" w:ascii="宋体" w:hAnsi="宋体" w:cs="宋体"/>
                <w:b w:val="0"/>
                <w:bCs w:val="0"/>
                <w:color w:val="000000"/>
                <w:kern w:val="0"/>
                <w:sz w:val="24"/>
                <w:lang w:eastAsia="zh-CN"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▲2、随机附带压力容器质量证明书（包括压力容器产品合格证、特种设备制造监督检验证书、产品数据表、设计蓝图等）</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194DFB04">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4B92FAF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962" w:type="pct"/>
            <w:tcBorders>
              <w:top w:val="single" w:color="000000" w:sz="4" w:space="0"/>
              <w:left w:val="single" w:color="000000" w:sz="4" w:space="0"/>
              <w:bottom w:val="single" w:color="000000" w:sz="4" w:space="0"/>
              <w:right w:val="single" w:color="000000" w:sz="4" w:space="0"/>
            </w:tcBorders>
            <w:vAlign w:val="center"/>
          </w:tcPr>
          <w:p w14:paraId="57510BFF">
            <w:pPr>
              <w:widowControl/>
              <w:jc w:val="center"/>
              <w:textAlignment w:val="center"/>
              <w:rPr>
                <w:rFonts w:ascii="宋体" w:hAnsi="宋体" w:cs="宋体"/>
                <w:color w:val="000000"/>
                <w:sz w:val="24"/>
              </w:rPr>
            </w:pPr>
            <w:r>
              <w:rPr>
                <w:rFonts w:hint="eastAsia" w:ascii="宋体" w:hAnsi="宋体" w:cs="宋体"/>
                <w:color w:val="000000"/>
                <w:kern w:val="0"/>
                <w:sz w:val="24"/>
                <w:lang w:bidi="ar"/>
              </w:rPr>
              <w:t>紫外分光光度计</w:t>
            </w:r>
          </w:p>
        </w:tc>
        <w:tc>
          <w:tcPr>
            <w:tcW w:w="387" w:type="pct"/>
            <w:tcBorders>
              <w:top w:val="single" w:color="000000" w:sz="4" w:space="0"/>
              <w:left w:val="single" w:color="000000" w:sz="4" w:space="0"/>
              <w:bottom w:val="single" w:color="000000" w:sz="4" w:space="0"/>
              <w:right w:val="single" w:color="000000" w:sz="4" w:space="0"/>
            </w:tcBorders>
            <w:vAlign w:val="center"/>
          </w:tcPr>
          <w:p w14:paraId="05D1065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64577B9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3F9BA3AA">
            <w:pPr>
              <w:widowControl/>
              <w:jc w:val="left"/>
              <w:textAlignment w:val="center"/>
              <w:rPr>
                <w:rFonts w:ascii="宋体" w:hAnsi="宋体" w:cs="宋体"/>
                <w:color w:val="000000"/>
                <w:sz w:val="24"/>
              </w:rPr>
            </w:pPr>
            <w:r>
              <w:rPr>
                <w:rFonts w:hint="eastAsia" w:ascii="宋体" w:hAnsi="宋体" w:cs="宋体"/>
                <w:b/>
                <w:bCs/>
                <w:color w:val="000000"/>
                <w:kern w:val="0"/>
                <w:sz w:val="24"/>
                <w:lang w:bidi="ar"/>
              </w:rPr>
              <w:t>1 工作环境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1.1使用温度范围：15°C</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35°C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 使用湿度范围：30%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 仪器尺寸：</w:t>
            </w:r>
            <w:r>
              <w:rPr>
                <w:rFonts w:hint="eastAsia"/>
              </w:rPr>
              <w:t>≥</w:t>
            </w:r>
            <w:r>
              <w:rPr>
                <w:rFonts w:hint="eastAsia" w:ascii="宋体" w:hAnsi="宋体" w:cs="宋体"/>
                <w:color w:val="000000"/>
                <w:kern w:val="0"/>
                <w:sz w:val="24"/>
                <w:lang w:bidi="ar"/>
              </w:rPr>
              <w:t>450W×600D×250H mm</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499B20BE">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678FC03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962" w:type="pct"/>
            <w:tcBorders>
              <w:top w:val="single" w:color="000000" w:sz="4" w:space="0"/>
              <w:left w:val="single" w:color="000000" w:sz="4" w:space="0"/>
              <w:bottom w:val="single" w:color="000000" w:sz="4" w:space="0"/>
              <w:right w:val="single" w:color="000000" w:sz="4" w:space="0"/>
            </w:tcBorders>
            <w:vAlign w:val="center"/>
          </w:tcPr>
          <w:p w14:paraId="492179A9">
            <w:pPr>
              <w:widowControl/>
              <w:jc w:val="center"/>
              <w:textAlignment w:val="center"/>
              <w:rPr>
                <w:rFonts w:ascii="宋体" w:hAnsi="宋体" w:cs="宋体"/>
                <w:color w:val="000000"/>
                <w:sz w:val="24"/>
              </w:rPr>
            </w:pPr>
            <w:r>
              <w:rPr>
                <w:rFonts w:hint="eastAsia" w:ascii="宋体" w:hAnsi="宋体" w:cs="宋体"/>
                <w:color w:val="000000"/>
                <w:kern w:val="0"/>
                <w:sz w:val="24"/>
                <w:lang w:bidi="ar"/>
              </w:rPr>
              <w:t>气相色谱仪</w:t>
            </w:r>
          </w:p>
        </w:tc>
        <w:tc>
          <w:tcPr>
            <w:tcW w:w="387" w:type="pct"/>
            <w:tcBorders>
              <w:top w:val="single" w:color="000000" w:sz="4" w:space="0"/>
              <w:left w:val="single" w:color="000000" w:sz="4" w:space="0"/>
              <w:bottom w:val="single" w:color="000000" w:sz="4" w:space="0"/>
              <w:right w:val="single" w:color="000000" w:sz="4" w:space="0"/>
            </w:tcBorders>
            <w:vAlign w:val="center"/>
          </w:tcPr>
          <w:p w14:paraId="5662D2A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68E2C7E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354E6374">
            <w:pPr>
              <w:widowControl/>
              <w:jc w:val="left"/>
              <w:textAlignment w:val="center"/>
              <w:rPr>
                <w:rFonts w:ascii="宋体" w:hAnsi="宋体" w:cs="宋体"/>
                <w:color w:val="000000"/>
                <w:sz w:val="24"/>
              </w:rPr>
            </w:pPr>
            <w:r>
              <w:rPr>
                <w:rFonts w:hint="eastAsia" w:ascii="宋体" w:hAnsi="宋体" w:cs="宋体"/>
                <w:b/>
                <w:bCs/>
                <w:color w:val="000000"/>
                <w:kern w:val="0"/>
                <w:sz w:val="24"/>
                <w:lang w:bidi="ar"/>
              </w:rPr>
              <w:t>1 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 电源电压： 220 V±10%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 温度：18℃～28℃</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 湿度：40%～70%</w:t>
            </w:r>
            <w:r>
              <w:rPr>
                <w:rFonts w:hint="eastAsia" w:ascii="宋体" w:hAnsi="宋体" w:cs="宋体"/>
                <w:color w:val="000000"/>
                <w:kern w:val="0"/>
                <w:sz w:val="24"/>
                <w:lang w:bidi="ar"/>
              </w:rPr>
              <w:br w:type="textWrapping"/>
            </w:r>
            <w:r>
              <w:rPr>
                <w:rFonts w:hint="eastAsia" w:ascii="宋体" w:hAnsi="宋体" w:cs="宋体"/>
                <w:b/>
                <w:bCs/>
                <w:color w:val="000000"/>
                <w:kern w:val="0"/>
                <w:sz w:val="24"/>
                <w:lang w:bidi="ar"/>
              </w:rPr>
              <w:t>2 柱温箱</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 柱箱温度：室温以上2℃ ～ 450℃（使用液态CO2时可达-45℃）；</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330D34A5">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515425E5">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962" w:type="pct"/>
            <w:tcBorders>
              <w:top w:val="single" w:color="000000" w:sz="4" w:space="0"/>
              <w:left w:val="single" w:color="000000" w:sz="4" w:space="0"/>
              <w:bottom w:val="single" w:color="000000" w:sz="4" w:space="0"/>
              <w:right w:val="single" w:color="000000" w:sz="4" w:space="0"/>
            </w:tcBorders>
            <w:vAlign w:val="center"/>
          </w:tcPr>
          <w:p w14:paraId="7CA7F609">
            <w:pPr>
              <w:widowControl/>
              <w:jc w:val="center"/>
              <w:textAlignment w:val="center"/>
              <w:rPr>
                <w:rFonts w:ascii="宋体" w:hAnsi="宋体" w:cs="宋体"/>
                <w:color w:val="000000"/>
                <w:sz w:val="24"/>
              </w:rPr>
            </w:pPr>
            <w:r>
              <w:rPr>
                <w:rFonts w:hint="eastAsia" w:ascii="宋体" w:hAnsi="宋体" w:cs="宋体"/>
                <w:color w:val="000000"/>
                <w:kern w:val="0"/>
                <w:sz w:val="24"/>
                <w:lang w:bidi="ar"/>
              </w:rPr>
              <w:t>等电聚焦电泳仪</w:t>
            </w:r>
          </w:p>
        </w:tc>
        <w:tc>
          <w:tcPr>
            <w:tcW w:w="387" w:type="pct"/>
            <w:tcBorders>
              <w:top w:val="single" w:color="000000" w:sz="4" w:space="0"/>
              <w:left w:val="single" w:color="000000" w:sz="4" w:space="0"/>
              <w:bottom w:val="single" w:color="000000" w:sz="4" w:space="0"/>
              <w:right w:val="single" w:color="000000" w:sz="4" w:space="0"/>
            </w:tcBorders>
            <w:vAlign w:val="center"/>
          </w:tcPr>
          <w:p w14:paraId="7C10E32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2DB0F66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59406BAF">
            <w:pPr>
              <w:widowControl/>
              <w:jc w:val="left"/>
              <w:textAlignment w:val="center"/>
              <w:rPr>
                <w:rFonts w:ascii="宋体" w:hAnsi="宋体" w:cs="宋体"/>
                <w:color w:val="000000"/>
                <w:sz w:val="24"/>
              </w:rPr>
            </w:pPr>
            <w:r>
              <w:rPr>
                <w:rFonts w:hint="eastAsia" w:ascii="宋体" w:hAnsi="宋体" w:cs="宋体"/>
                <w:color w:val="000000"/>
                <w:kern w:val="0"/>
                <w:sz w:val="24"/>
                <w:lang w:bidi="ar"/>
              </w:rPr>
              <w:t>一、技术参数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1、工作电压</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电泳槽和电源一体化设计，工作电压：25-10000 V，最高电压需达10,000V。</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▲2、在同一次实验中可同时运行12个不同的实验程序。</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CDE327B">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74F7E95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962" w:type="pct"/>
            <w:tcBorders>
              <w:top w:val="single" w:color="000000" w:sz="4" w:space="0"/>
              <w:left w:val="single" w:color="000000" w:sz="4" w:space="0"/>
              <w:bottom w:val="single" w:color="000000" w:sz="4" w:space="0"/>
              <w:right w:val="single" w:color="000000" w:sz="4" w:space="0"/>
            </w:tcBorders>
            <w:vAlign w:val="center"/>
          </w:tcPr>
          <w:p w14:paraId="7A534991">
            <w:pPr>
              <w:widowControl/>
              <w:jc w:val="center"/>
              <w:textAlignment w:val="center"/>
              <w:rPr>
                <w:rFonts w:ascii="宋体" w:hAnsi="宋体" w:cs="宋体"/>
                <w:color w:val="000000"/>
                <w:sz w:val="24"/>
              </w:rPr>
            </w:pPr>
            <w:r>
              <w:rPr>
                <w:rFonts w:hint="eastAsia" w:ascii="宋体" w:hAnsi="宋体" w:cs="宋体"/>
                <w:color w:val="000000"/>
                <w:kern w:val="0"/>
                <w:sz w:val="24"/>
                <w:lang w:bidi="ar"/>
              </w:rPr>
              <w:t>马弗炉</w:t>
            </w:r>
          </w:p>
        </w:tc>
        <w:tc>
          <w:tcPr>
            <w:tcW w:w="387" w:type="pct"/>
            <w:tcBorders>
              <w:top w:val="single" w:color="000000" w:sz="4" w:space="0"/>
              <w:left w:val="single" w:color="000000" w:sz="4" w:space="0"/>
              <w:bottom w:val="single" w:color="000000" w:sz="4" w:space="0"/>
              <w:right w:val="single" w:color="000000" w:sz="4" w:space="0"/>
            </w:tcBorders>
            <w:vAlign w:val="center"/>
          </w:tcPr>
          <w:p w14:paraId="641C6EF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6AEFADE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65FA3314">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▲1、使用温度范围：100℃～1150℃；最高温度到达时间：约80分钟；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2、控温精度：1℃；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w:t>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6EBFF5DA">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2D6D6E3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962" w:type="pct"/>
            <w:tcBorders>
              <w:top w:val="single" w:color="000000" w:sz="4" w:space="0"/>
              <w:left w:val="single" w:color="000000" w:sz="4" w:space="0"/>
              <w:bottom w:val="single" w:color="000000" w:sz="4" w:space="0"/>
              <w:right w:val="single" w:color="000000" w:sz="4" w:space="0"/>
            </w:tcBorders>
            <w:vAlign w:val="center"/>
          </w:tcPr>
          <w:p w14:paraId="0D104E8F">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二氧化碳培养箱</w:t>
            </w:r>
          </w:p>
        </w:tc>
        <w:tc>
          <w:tcPr>
            <w:tcW w:w="387" w:type="pct"/>
            <w:tcBorders>
              <w:top w:val="single" w:color="000000" w:sz="4" w:space="0"/>
              <w:left w:val="single" w:color="000000" w:sz="4" w:space="0"/>
              <w:bottom w:val="single" w:color="000000" w:sz="4" w:space="0"/>
              <w:right w:val="single" w:color="000000" w:sz="4" w:space="0"/>
            </w:tcBorders>
            <w:vAlign w:val="center"/>
          </w:tcPr>
          <w:p w14:paraId="1FACFDF7">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13" w:type="pct"/>
            <w:tcBorders>
              <w:top w:val="single" w:color="000000" w:sz="4" w:space="0"/>
              <w:left w:val="single" w:color="000000" w:sz="4" w:space="0"/>
              <w:bottom w:val="single" w:color="000000" w:sz="4" w:space="0"/>
              <w:right w:val="single" w:color="000000" w:sz="4" w:space="0"/>
            </w:tcBorders>
            <w:vAlign w:val="center"/>
          </w:tcPr>
          <w:p w14:paraId="4CF13A3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02227695">
            <w:pPr>
              <w:widowControl/>
              <w:jc w:val="left"/>
              <w:textAlignment w:val="center"/>
              <w:rPr>
                <w:rFonts w:ascii="宋体" w:hAnsi="宋体" w:cs="宋体"/>
                <w:color w:val="000000"/>
                <w:sz w:val="24"/>
              </w:rPr>
            </w:pPr>
            <w:r>
              <w:rPr>
                <w:rFonts w:hint="eastAsia" w:ascii="宋体" w:hAnsi="宋体" w:cs="宋体"/>
                <w:color w:val="000000"/>
                <w:kern w:val="0"/>
                <w:sz w:val="24"/>
                <w:lang w:bidi="ar"/>
              </w:rPr>
              <w:t>1性能指标及要求：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1.1工作环境温度： 5-40℃；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1.2工作环境湿度： 20- 80%；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1.3电源:  220V±10% ，50 Hz±1；</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67AEC19F">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792F926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962" w:type="pct"/>
            <w:tcBorders>
              <w:top w:val="single" w:color="000000" w:sz="4" w:space="0"/>
              <w:left w:val="single" w:color="000000" w:sz="4" w:space="0"/>
              <w:bottom w:val="single" w:color="000000" w:sz="4" w:space="0"/>
              <w:right w:val="single" w:color="000000" w:sz="4" w:space="0"/>
            </w:tcBorders>
            <w:vAlign w:val="center"/>
          </w:tcPr>
          <w:p w14:paraId="2D6EE05D">
            <w:pPr>
              <w:widowControl/>
              <w:jc w:val="center"/>
              <w:textAlignment w:val="center"/>
              <w:rPr>
                <w:rFonts w:ascii="宋体" w:hAnsi="宋体" w:cs="宋体"/>
                <w:color w:val="000000"/>
                <w:sz w:val="24"/>
              </w:rPr>
            </w:pPr>
            <w:r>
              <w:rPr>
                <w:rFonts w:hint="eastAsia" w:ascii="宋体" w:hAnsi="宋体" w:cs="宋体"/>
                <w:color w:val="000000"/>
                <w:kern w:val="0"/>
                <w:sz w:val="24"/>
                <w:lang w:bidi="ar"/>
              </w:rPr>
              <w:t>振荡器</w:t>
            </w:r>
          </w:p>
        </w:tc>
        <w:tc>
          <w:tcPr>
            <w:tcW w:w="387" w:type="pct"/>
            <w:tcBorders>
              <w:top w:val="single" w:color="000000" w:sz="4" w:space="0"/>
              <w:left w:val="single" w:color="000000" w:sz="4" w:space="0"/>
              <w:bottom w:val="single" w:color="000000" w:sz="4" w:space="0"/>
              <w:right w:val="single" w:color="000000" w:sz="4" w:space="0"/>
            </w:tcBorders>
            <w:vAlign w:val="center"/>
          </w:tcPr>
          <w:p w14:paraId="23F99B6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23EAE70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7340E448">
            <w:pPr>
              <w:widowControl/>
              <w:jc w:val="left"/>
              <w:textAlignment w:val="center"/>
              <w:rPr>
                <w:rFonts w:ascii="宋体" w:hAnsi="宋体" w:cs="宋体"/>
                <w:color w:val="000000"/>
                <w:sz w:val="24"/>
              </w:rPr>
            </w:pPr>
            <w:r>
              <w:rPr>
                <w:rFonts w:hint="eastAsia" w:ascii="宋体" w:hAnsi="宋体" w:cs="宋体"/>
                <w:color w:val="000000"/>
                <w:kern w:val="0"/>
                <w:sz w:val="24"/>
                <w:lang w:bidi="ar"/>
              </w:rPr>
              <w:t>1.电机类型：无刷电机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2.水平回旋幅度：</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3mm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3.转速范围：50-1200rpm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A06B713">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6A7FB1E1">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01分标其余采购标的具体详见第二章《采购需求》</w:t>
            </w:r>
          </w:p>
          <w:p w14:paraId="43358663">
            <w:pPr>
              <w:pStyle w:val="2"/>
              <w:ind w:left="0" w:leftChars="0" w:firstLine="0" w:firstLineChars="0"/>
              <w:rPr>
                <w:rFonts w:hint="default"/>
                <w:lang w:val="en-US" w:eastAsia="zh-CN"/>
              </w:rPr>
            </w:pPr>
            <w:r>
              <w:rPr>
                <w:rFonts w:hint="eastAsia" w:ascii="宋体" w:hAnsi="宋体" w:cs="宋体"/>
                <w:sz w:val="24"/>
              </w:rPr>
              <w:t>合同履行期限：</w:t>
            </w:r>
            <w:r>
              <w:rPr>
                <w:rFonts w:hint="eastAsia" w:asciiTheme="minorEastAsia" w:hAnsiTheme="minorEastAsia" w:eastAsiaTheme="minorEastAsia" w:cstheme="minorEastAsia"/>
                <w:kern w:val="0"/>
                <w:sz w:val="24"/>
              </w:rPr>
              <w:t>自合同签订后60天内供货并安装调试完成</w:t>
            </w:r>
            <w:r>
              <w:rPr>
                <w:rFonts w:hint="eastAsia" w:ascii="宋体" w:hAnsi="宋体" w:cs="宋体"/>
                <w:bCs/>
                <w:sz w:val="24"/>
              </w:rPr>
              <w:t>。</w:t>
            </w:r>
          </w:p>
        </w:tc>
      </w:tr>
    </w:tbl>
    <w:p w14:paraId="7BA68144">
      <w:pPr>
        <w:pStyle w:val="15"/>
        <w:jc w:val="both"/>
        <w:rPr>
          <w:rFonts w:ascii="宋体" w:hAnsi="宋体" w:eastAsia="宋体" w:cs="宋体"/>
          <w:b w:val="0"/>
          <w:bCs/>
          <w:sz w:val="24"/>
        </w:rPr>
      </w:pPr>
    </w:p>
    <w:p w14:paraId="0798239C">
      <w:pPr>
        <w:pStyle w:val="15"/>
        <w:jc w:val="both"/>
        <w:rPr>
          <w:rFonts w:hint="eastAsia" w:ascii="宋体" w:hAnsi="宋体" w:eastAsia="宋体" w:cs="宋体"/>
          <w:b w:val="0"/>
          <w:bCs/>
          <w:sz w:val="24"/>
        </w:rPr>
        <w:sectPr>
          <w:footerReference r:id="rId3" w:type="default"/>
          <w:pgSz w:w="11906" w:h="16838"/>
          <w:pgMar w:top="1134" w:right="1134" w:bottom="1134" w:left="1134" w:header="720" w:footer="720" w:gutter="0"/>
          <w:pgNumType w:start="1"/>
          <w:cols w:space="720" w:num="1"/>
          <w:docGrid w:type="lines" w:linePitch="331" w:charSpace="0"/>
        </w:sectPr>
      </w:pPr>
    </w:p>
    <w:p w14:paraId="30638F15">
      <w:pPr>
        <w:pStyle w:val="15"/>
        <w:jc w:val="both"/>
        <w:rPr>
          <w:rFonts w:ascii="宋体" w:hAnsi="宋体" w:eastAsia="宋体" w:cs="宋体"/>
          <w:b w:val="0"/>
          <w:bCs/>
          <w:sz w:val="24"/>
        </w:rPr>
      </w:pPr>
      <w:r>
        <w:rPr>
          <w:rFonts w:hint="eastAsia" w:ascii="宋体" w:hAnsi="宋体" w:eastAsia="宋体" w:cs="宋体"/>
          <w:b w:val="0"/>
          <w:bCs/>
          <w:sz w:val="24"/>
        </w:rPr>
        <w:t>0</w:t>
      </w:r>
      <w:r>
        <w:rPr>
          <w:rFonts w:ascii="宋体" w:hAnsi="宋体" w:eastAsia="宋体" w:cs="宋体"/>
          <w:b w:val="0"/>
          <w:bCs/>
          <w:sz w:val="24"/>
        </w:rPr>
        <w:t>2</w:t>
      </w:r>
      <w:r>
        <w:rPr>
          <w:rFonts w:hint="eastAsia" w:ascii="宋体" w:hAnsi="宋体" w:eastAsia="宋体" w:cs="宋体"/>
          <w:b w:val="0"/>
          <w:bCs/>
          <w:sz w:val="24"/>
        </w:rPr>
        <w:t>分标</w:t>
      </w:r>
    </w:p>
    <w:tbl>
      <w:tblPr>
        <w:tblStyle w:val="12"/>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34"/>
        <w:gridCol w:w="719"/>
        <w:gridCol w:w="796"/>
        <w:gridCol w:w="6198"/>
      </w:tblGrid>
      <w:tr w14:paraId="4EEC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2" w:type="dxa"/>
            <w:vAlign w:val="center"/>
          </w:tcPr>
          <w:p w14:paraId="7674E49A">
            <w:pPr>
              <w:pStyle w:val="16"/>
              <w:jc w:val="center"/>
              <w:rPr>
                <w:rFonts w:ascii="宋体" w:hAnsi="宋体" w:cs="宋体"/>
                <w:sz w:val="24"/>
                <w:szCs w:val="24"/>
              </w:rPr>
            </w:pPr>
            <w:r>
              <w:rPr>
                <w:rFonts w:hint="eastAsia" w:ascii="宋体" w:hAnsi="宋体" w:cs="宋体"/>
                <w:sz w:val="24"/>
                <w:szCs w:val="24"/>
              </w:rPr>
              <w:t>序号</w:t>
            </w:r>
          </w:p>
        </w:tc>
        <w:tc>
          <w:tcPr>
            <w:tcW w:w="1334" w:type="dxa"/>
            <w:vAlign w:val="center"/>
          </w:tcPr>
          <w:p w14:paraId="7D72EF30">
            <w:pPr>
              <w:pStyle w:val="16"/>
              <w:jc w:val="center"/>
              <w:rPr>
                <w:rFonts w:ascii="宋体" w:hAnsi="宋体" w:cs="宋体"/>
                <w:sz w:val="24"/>
                <w:szCs w:val="24"/>
              </w:rPr>
            </w:pPr>
            <w:r>
              <w:rPr>
                <w:rFonts w:hint="eastAsia" w:ascii="宋体" w:hAnsi="宋体" w:cs="宋体"/>
                <w:sz w:val="24"/>
                <w:szCs w:val="24"/>
              </w:rPr>
              <w:t>标的名称</w:t>
            </w:r>
          </w:p>
        </w:tc>
        <w:tc>
          <w:tcPr>
            <w:tcW w:w="719" w:type="dxa"/>
            <w:vAlign w:val="center"/>
          </w:tcPr>
          <w:p w14:paraId="3D4EFF65">
            <w:pPr>
              <w:pStyle w:val="16"/>
              <w:jc w:val="center"/>
              <w:rPr>
                <w:rFonts w:ascii="宋体" w:hAnsi="宋体" w:cs="宋体"/>
                <w:sz w:val="24"/>
                <w:szCs w:val="24"/>
              </w:rPr>
            </w:pPr>
            <w:r>
              <w:rPr>
                <w:rFonts w:hint="eastAsia" w:ascii="宋体" w:hAnsi="宋体" w:cs="宋体"/>
                <w:sz w:val="24"/>
                <w:szCs w:val="24"/>
              </w:rPr>
              <w:t>数量</w:t>
            </w:r>
          </w:p>
        </w:tc>
        <w:tc>
          <w:tcPr>
            <w:tcW w:w="796" w:type="dxa"/>
            <w:vAlign w:val="center"/>
          </w:tcPr>
          <w:p w14:paraId="1AA8A261">
            <w:pPr>
              <w:pStyle w:val="16"/>
              <w:jc w:val="center"/>
              <w:rPr>
                <w:rFonts w:ascii="宋体" w:hAnsi="宋体" w:cs="宋体"/>
                <w:sz w:val="24"/>
                <w:szCs w:val="24"/>
              </w:rPr>
            </w:pPr>
            <w:r>
              <w:rPr>
                <w:rFonts w:hint="eastAsia" w:ascii="宋体" w:hAnsi="宋体" w:cs="宋体"/>
                <w:sz w:val="24"/>
                <w:szCs w:val="24"/>
              </w:rPr>
              <w:t>单位</w:t>
            </w:r>
          </w:p>
        </w:tc>
        <w:tc>
          <w:tcPr>
            <w:tcW w:w="6198" w:type="dxa"/>
            <w:vAlign w:val="center"/>
          </w:tcPr>
          <w:p w14:paraId="526A312A">
            <w:pPr>
              <w:pStyle w:val="16"/>
              <w:jc w:val="center"/>
              <w:rPr>
                <w:rFonts w:ascii="宋体" w:hAnsi="宋体" w:cs="宋体"/>
                <w:sz w:val="24"/>
                <w:szCs w:val="24"/>
              </w:rPr>
            </w:pPr>
            <w:r>
              <w:rPr>
                <w:rFonts w:hint="eastAsia" w:ascii="宋体" w:hAnsi="宋体" w:cs="宋体"/>
                <w:sz w:val="24"/>
                <w:szCs w:val="24"/>
              </w:rPr>
              <w:t>简要技术需求</w:t>
            </w:r>
          </w:p>
        </w:tc>
      </w:tr>
      <w:tr w14:paraId="7346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2" w:type="dxa"/>
            <w:vAlign w:val="center"/>
          </w:tcPr>
          <w:p w14:paraId="728680F5">
            <w:pPr>
              <w:pStyle w:val="16"/>
              <w:jc w:val="center"/>
              <w:rPr>
                <w:rFonts w:ascii="宋体" w:hAnsi="宋体" w:cs="宋体"/>
                <w:sz w:val="24"/>
                <w:szCs w:val="24"/>
              </w:rPr>
            </w:pPr>
            <w:r>
              <w:rPr>
                <w:rFonts w:hint="eastAsia" w:ascii="宋体" w:hAnsi="宋体" w:cs="宋体"/>
                <w:sz w:val="24"/>
                <w:szCs w:val="24"/>
              </w:rPr>
              <w:t>1</w:t>
            </w:r>
          </w:p>
        </w:tc>
        <w:tc>
          <w:tcPr>
            <w:tcW w:w="1334" w:type="dxa"/>
            <w:vAlign w:val="center"/>
          </w:tcPr>
          <w:p w14:paraId="2D0E3CC1">
            <w:pPr>
              <w:pStyle w:val="16"/>
              <w:jc w:val="center"/>
              <w:rPr>
                <w:rFonts w:ascii="宋体" w:hAnsi="宋体" w:cs="宋体"/>
                <w:sz w:val="24"/>
                <w:szCs w:val="24"/>
              </w:rPr>
            </w:pPr>
            <w:r>
              <w:rPr>
                <w:rFonts w:hint="eastAsia" w:ascii="宋体" w:hAnsi="宋体" w:cs="宋体"/>
                <w:color w:val="000000"/>
                <w:kern w:val="0"/>
                <w:sz w:val="24"/>
                <w:szCs w:val="24"/>
                <w:lang w:bidi="ar"/>
              </w:rPr>
              <w:t>不溶性微粒测定仪</w:t>
            </w:r>
          </w:p>
        </w:tc>
        <w:tc>
          <w:tcPr>
            <w:tcW w:w="719" w:type="dxa"/>
            <w:vAlign w:val="center"/>
          </w:tcPr>
          <w:p w14:paraId="163D746F">
            <w:pPr>
              <w:spacing w:line="360" w:lineRule="auto"/>
              <w:jc w:val="center"/>
              <w:rPr>
                <w:rFonts w:ascii="宋体" w:hAnsi="宋体" w:cs="宋体"/>
                <w:sz w:val="24"/>
              </w:rPr>
            </w:pPr>
            <w:r>
              <w:rPr>
                <w:rFonts w:hint="eastAsia" w:ascii="宋体" w:hAnsi="宋体" w:cs="宋体"/>
                <w:sz w:val="24"/>
              </w:rPr>
              <w:t>2</w:t>
            </w:r>
          </w:p>
        </w:tc>
        <w:tc>
          <w:tcPr>
            <w:tcW w:w="796" w:type="dxa"/>
            <w:vAlign w:val="center"/>
          </w:tcPr>
          <w:p w14:paraId="4EA88244">
            <w:pPr>
              <w:pStyle w:val="16"/>
              <w:jc w:val="center"/>
              <w:rPr>
                <w:rFonts w:ascii="宋体" w:hAnsi="宋体" w:cs="宋体"/>
                <w:sz w:val="24"/>
                <w:szCs w:val="24"/>
              </w:rPr>
            </w:pPr>
            <w:r>
              <w:rPr>
                <w:rFonts w:hint="eastAsia" w:ascii="宋体" w:hAnsi="宋体" w:cs="宋体"/>
                <w:sz w:val="24"/>
                <w:szCs w:val="24"/>
              </w:rPr>
              <w:t>台</w:t>
            </w:r>
          </w:p>
        </w:tc>
        <w:tc>
          <w:tcPr>
            <w:tcW w:w="6198" w:type="dxa"/>
            <w:vAlign w:val="center"/>
          </w:tcPr>
          <w:p w14:paraId="27E6183E">
            <w:pPr>
              <w:pStyle w:val="16"/>
              <w:rPr>
                <w:rFonts w:hint="eastAsia" w:ascii="宋体" w:hAnsi="宋体" w:cs="宋体"/>
                <w:color w:val="000000"/>
                <w:kern w:val="0"/>
                <w:sz w:val="24"/>
                <w:lang w:bidi="ar"/>
              </w:rPr>
            </w:pPr>
            <w:r>
              <w:rPr>
                <w:rFonts w:hint="eastAsia" w:ascii="宋体" w:hAnsi="宋体" w:cs="宋体"/>
                <w:color w:val="000000"/>
                <w:kern w:val="0"/>
                <w:sz w:val="24"/>
                <w:lang w:bidi="ar"/>
              </w:rPr>
              <w:t>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1.采用激光光源及光能量补偿电路，保证各种无色、有色澄明样品的测试精度。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2.采用注射泵取样系统，可根据测试的样品品种和样品粘度设定进样体积和进样速度，满足高粘度检品的检测要求，且不受位置等因素的影响。</w:t>
            </w:r>
          </w:p>
          <w:p w14:paraId="0810457B">
            <w:pPr>
              <w:pStyle w:val="16"/>
              <w:rPr>
                <w:rFonts w:ascii="宋体" w:hAnsi="宋体" w:cs="宋体"/>
                <w:color w:val="000000"/>
                <w:kern w:val="0"/>
                <w:sz w:val="24"/>
                <w:szCs w:val="24"/>
                <w:lang w:bidi="ar"/>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35B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2" w:type="dxa"/>
            <w:vAlign w:val="center"/>
          </w:tcPr>
          <w:p w14:paraId="66004AC1">
            <w:pPr>
              <w:pStyle w:val="16"/>
              <w:jc w:val="center"/>
              <w:rPr>
                <w:rFonts w:ascii="宋体" w:hAnsi="宋体" w:cs="宋体"/>
                <w:sz w:val="24"/>
                <w:szCs w:val="24"/>
              </w:rPr>
            </w:pPr>
            <w:r>
              <w:rPr>
                <w:rFonts w:hint="eastAsia" w:ascii="宋体" w:hAnsi="宋体" w:cs="宋体"/>
                <w:sz w:val="24"/>
                <w:szCs w:val="24"/>
              </w:rPr>
              <w:t>2</w:t>
            </w:r>
          </w:p>
        </w:tc>
        <w:tc>
          <w:tcPr>
            <w:tcW w:w="1334" w:type="dxa"/>
            <w:vAlign w:val="center"/>
          </w:tcPr>
          <w:p w14:paraId="3440CC38">
            <w:pPr>
              <w:pStyle w:val="16"/>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高效液相色谱仪</w:t>
            </w:r>
          </w:p>
        </w:tc>
        <w:tc>
          <w:tcPr>
            <w:tcW w:w="719" w:type="dxa"/>
            <w:vAlign w:val="center"/>
          </w:tcPr>
          <w:p w14:paraId="34E74EB8">
            <w:pPr>
              <w:spacing w:line="360" w:lineRule="auto"/>
              <w:jc w:val="center"/>
              <w:rPr>
                <w:rFonts w:ascii="宋体" w:hAnsi="宋体" w:cs="宋体"/>
                <w:sz w:val="24"/>
              </w:rPr>
            </w:pPr>
            <w:r>
              <w:rPr>
                <w:rFonts w:hint="eastAsia" w:ascii="宋体" w:hAnsi="宋体" w:cs="宋体"/>
                <w:sz w:val="24"/>
              </w:rPr>
              <w:t>1</w:t>
            </w:r>
          </w:p>
        </w:tc>
        <w:tc>
          <w:tcPr>
            <w:tcW w:w="796" w:type="dxa"/>
            <w:vAlign w:val="center"/>
          </w:tcPr>
          <w:p w14:paraId="28C3C289">
            <w:pPr>
              <w:pStyle w:val="16"/>
              <w:jc w:val="center"/>
              <w:rPr>
                <w:rFonts w:ascii="宋体" w:hAnsi="宋体" w:cs="宋体"/>
                <w:sz w:val="24"/>
                <w:szCs w:val="24"/>
              </w:rPr>
            </w:pPr>
            <w:r>
              <w:rPr>
                <w:rFonts w:hint="eastAsia" w:ascii="宋体" w:hAnsi="宋体" w:cs="宋体"/>
                <w:sz w:val="24"/>
                <w:szCs w:val="24"/>
              </w:rPr>
              <w:t>台</w:t>
            </w:r>
          </w:p>
        </w:tc>
        <w:tc>
          <w:tcPr>
            <w:tcW w:w="6198" w:type="dxa"/>
            <w:vAlign w:val="center"/>
          </w:tcPr>
          <w:p w14:paraId="4D2D496D">
            <w:pPr>
              <w:pStyle w:val="16"/>
              <w:numPr>
                <w:ilvl w:val="0"/>
                <w:numId w:val="0"/>
              </w:numPr>
              <w:rPr>
                <w:rFonts w:hint="eastAsia" w:ascii="宋体" w:hAnsi="宋体" w:cs="宋体"/>
                <w:color w:val="000000"/>
                <w:kern w:val="0"/>
                <w:sz w:val="24"/>
                <w:lang w:bidi="ar"/>
              </w:rPr>
            </w:pPr>
            <w:r>
              <w:rPr>
                <w:rFonts w:hint="eastAsia" w:ascii="宋体" w:hAnsi="宋体" w:eastAsia="宋体" w:cs="宋体"/>
                <w:color w:val="000000"/>
                <w:kern w:val="0"/>
                <w:sz w:val="24"/>
                <w:szCs w:val="22"/>
                <w:lang w:val="en-US" w:eastAsia="zh-CN" w:bidi="ar"/>
              </w:rPr>
              <w:t>1.</w:t>
            </w:r>
            <w:r>
              <w:rPr>
                <w:rFonts w:hint="eastAsia" w:ascii="宋体" w:hAnsi="宋体" w:cs="宋体"/>
                <w:color w:val="000000"/>
                <w:kern w:val="0"/>
                <w:sz w:val="24"/>
                <w:lang w:bidi="ar"/>
              </w:rPr>
              <w:t>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1.1工作电压：220V±10%，50Hz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1.2温度：4.0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40.0 °C （39.2</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104.0 °F）</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1.3湿度：20%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80%，无冷凝</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2.1四元溶剂管理系统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▲2.1.1色谱泵：一体式独立柱塞，非线性数控驱动色谱泵技术，双压力传感器反馈回路，无需阻尼器；</w:t>
            </w:r>
          </w:p>
          <w:p w14:paraId="2D47C77F">
            <w:pPr>
              <w:pStyle w:val="16"/>
              <w:numPr>
                <w:ilvl w:val="0"/>
                <w:numId w:val="0"/>
              </w:numPr>
              <w:rPr>
                <w:rFonts w:ascii="宋体" w:hAnsi="宋体" w:cs="宋体"/>
                <w:color w:val="000000"/>
                <w:kern w:val="0"/>
                <w:sz w:val="24"/>
                <w:szCs w:val="24"/>
                <w:lang w:bidi="ar"/>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773C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2" w:type="dxa"/>
            <w:vAlign w:val="center"/>
          </w:tcPr>
          <w:p w14:paraId="56043135">
            <w:pPr>
              <w:pStyle w:val="16"/>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334" w:type="dxa"/>
            <w:vAlign w:val="center"/>
          </w:tcPr>
          <w:p w14:paraId="734A64C5">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lang w:bidi="ar"/>
              </w:rPr>
              <w:t>自动凯氏定氮仪</w:t>
            </w:r>
          </w:p>
        </w:tc>
        <w:tc>
          <w:tcPr>
            <w:tcW w:w="719" w:type="dxa"/>
            <w:vAlign w:val="center"/>
          </w:tcPr>
          <w:p w14:paraId="4EAFC1B0">
            <w:pPr>
              <w:widowControl/>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796" w:type="dxa"/>
            <w:vAlign w:val="center"/>
          </w:tcPr>
          <w:p w14:paraId="5D37C057">
            <w:pPr>
              <w:widowControl/>
              <w:jc w:val="left"/>
              <w:textAlignment w:val="center"/>
              <w:rPr>
                <w:rFonts w:hint="eastAsia" w:ascii="宋体" w:hAnsi="宋体" w:cs="宋体"/>
                <w:sz w:val="24"/>
                <w:szCs w:val="24"/>
              </w:rPr>
            </w:pPr>
            <w:r>
              <w:rPr>
                <w:rFonts w:hint="eastAsia" w:ascii="宋体" w:hAnsi="宋体" w:cs="宋体"/>
                <w:color w:val="000000"/>
                <w:kern w:val="0"/>
                <w:sz w:val="24"/>
                <w:lang w:bidi="ar"/>
              </w:rPr>
              <w:t>台</w:t>
            </w:r>
          </w:p>
        </w:tc>
        <w:tc>
          <w:tcPr>
            <w:tcW w:w="6198" w:type="dxa"/>
            <w:vAlign w:val="center"/>
          </w:tcPr>
          <w:p w14:paraId="483B6F36">
            <w:pPr>
              <w:pStyle w:val="16"/>
              <w:rPr>
                <w:rFonts w:hint="eastAsia" w:ascii="宋体" w:hAnsi="宋体" w:cs="宋体"/>
                <w:color w:val="000000"/>
                <w:kern w:val="0"/>
                <w:sz w:val="24"/>
                <w:szCs w:val="24"/>
                <w:lang w:bidi="ar"/>
              </w:rPr>
            </w:pP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1、符合标准方法程度：完全符合氮和蛋白质检测标准要求：浓硫酸消化、碱性环境蒸汽蒸馏、硼酸吸收、指示剂滴定终点颜色判定法。</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7D2E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9" w:type="dxa"/>
            <w:gridSpan w:val="5"/>
            <w:vAlign w:val="center"/>
          </w:tcPr>
          <w:p w14:paraId="27E10F8F">
            <w:pPr>
              <w:pStyle w:val="16"/>
              <w:rPr>
                <w:rFonts w:hint="eastAsia" w:ascii="宋体" w:hAnsi="宋体" w:cs="宋体"/>
                <w:color w:val="000000"/>
                <w:kern w:val="0"/>
                <w:sz w:val="24"/>
                <w:lang w:val="en-US" w:eastAsia="zh-CN" w:bidi="ar"/>
              </w:rPr>
            </w:pPr>
            <w:r>
              <w:rPr>
                <w:rFonts w:hint="eastAsia" w:ascii="宋体" w:hAnsi="宋体" w:cs="宋体"/>
                <w:color w:val="000000"/>
                <w:kern w:val="0"/>
                <w:sz w:val="24"/>
                <w:szCs w:val="24"/>
                <w:lang w:val="en-US" w:eastAsia="zh-CN" w:bidi="ar"/>
              </w:rPr>
              <w:t>02分标其余采购</w:t>
            </w:r>
            <w:r>
              <w:rPr>
                <w:rFonts w:hint="eastAsia" w:ascii="宋体" w:hAnsi="宋体" w:cs="宋体"/>
                <w:color w:val="000000"/>
                <w:kern w:val="0"/>
                <w:sz w:val="24"/>
                <w:lang w:val="en-US" w:eastAsia="zh-CN" w:bidi="ar"/>
              </w:rPr>
              <w:t>具体详见第二章《采购需求》</w:t>
            </w:r>
          </w:p>
          <w:p w14:paraId="5965D796">
            <w:pPr>
              <w:pStyle w:val="16"/>
              <w:rPr>
                <w:rFonts w:hint="default" w:ascii="宋体" w:hAnsi="宋体" w:cs="宋体"/>
                <w:color w:val="000000"/>
                <w:kern w:val="0"/>
                <w:sz w:val="24"/>
                <w:lang w:val="en-US" w:eastAsia="zh-CN" w:bidi="ar"/>
              </w:rPr>
            </w:pPr>
            <w:r>
              <w:rPr>
                <w:rFonts w:hint="eastAsia" w:ascii="宋体" w:hAnsi="宋体" w:cs="宋体"/>
                <w:sz w:val="24"/>
              </w:rPr>
              <w:t>合同履行期限：</w:t>
            </w:r>
            <w:r>
              <w:rPr>
                <w:rFonts w:hint="eastAsia" w:asciiTheme="minorEastAsia" w:hAnsiTheme="minorEastAsia" w:eastAsiaTheme="minorEastAsia" w:cstheme="minorEastAsia"/>
                <w:kern w:val="0"/>
                <w:sz w:val="24"/>
              </w:rPr>
              <w:t>自合同签订后60天内供货并安装调试完成</w:t>
            </w:r>
            <w:r>
              <w:rPr>
                <w:rFonts w:hint="eastAsia" w:ascii="宋体" w:hAnsi="宋体" w:cs="宋体"/>
                <w:bCs/>
                <w:sz w:val="24"/>
              </w:rPr>
              <w:t>。</w:t>
            </w:r>
          </w:p>
        </w:tc>
      </w:tr>
    </w:tbl>
    <w:p w14:paraId="36529493">
      <w:pPr>
        <w:pStyle w:val="15"/>
        <w:jc w:val="both"/>
        <w:rPr>
          <w:rFonts w:ascii="宋体" w:hAnsi="宋体" w:eastAsia="宋体" w:cs="宋体"/>
          <w:b w:val="0"/>
          <w:bCs/>
          <w:sz w:val="24"/>
        </w:rPr>
      </w:pPr>
    </w:p>
    <w:p w14:paraId="7CFB9917">
      <w:pPr>
        <w:pStyle w:val="15"/>
        <w:jc w:val="both"/>
        <w:rPr>
          <w:rFonts w:ascii="宋体" w:hAnsi="宋体" w:eastAsia="宋体" w:cs="宋体"/>
          <w:b w:val="0"/>
          <w:bCs/>
          <w:sz w:val="24"/>
        </w:rPr>
      </w:pPr>
    </w:p>
    <w:p w14:paraId="5B2D0B3A">
      <w:pPr>
        <w:pStyle w:val="15"/>
        <w:jc w:val="both"/>
        <w:rPr>
          <w:rFonts w:ascii="宋体" w:hAnsi="宋体" w:eastAsia="宋体" w:cs="宋体"/>
          <w:b w:val="0"/>
          <w:bCs/>
          <w:sz w:val="24"/>
        </w:rPr>
      </w:pPr>
      <w:r>
        <w:rPr>
          <w:rFonts w:hint="eastAsia" w:ascii="宋体" w:hAnsi="宋体" w:eastAsia="宋体" w:cs="宋体"/>
          <w:b w:val="0"/>
          <w:bCs/>
          <w:sz w:val="24"/>
        </w:rPr>
        <w:t>0</w:t>
      </w:r>
      <w:r>
        <w:rPr>
          <w:rFonts w:ascii="宋体" w:hAnsi="宋体" w:eastAsia="宋体" w:cs="宋体"/>
          <w:b w:val="0"/>
          <w:bCs/>
          <w:sz w:val="24"/>
        </w:rPr>
        <w:t>3</w:t>
      </w:r>
      <w:r>
        <w:rPr>
          <w:rFonts w:hint="eastAsia" w:ascii="宋体" w:hAnsi="宋体" w:eastAsia="宋体" w:cs="宋体"/>
          <w:b w:val="0"/>
          <w:bCs/>
          <w:sz w:val="24"/>
        </w:rPr>
        <w:t>分标</w:t>
      </w:r>
    </w:p>
    <w:tbl>
      <w:tblPr>
        <w:tblStyle w:val="12"/>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34"/>
        <w:gridCol w:w="719"/>
        <w:gridCol w:w="796"/>
        <w:gridCol w:w="6198"/>
      </w:tblGrid>
      <w:tr w14:paraId="19A0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3" w:type="dxa"/>
            <w:vAlign w:val="center"/>
          </w:tcPr>
          <w:p w14:paraId="6A14A448">
            <w:pPr>
              <w:pStyle w:val="16"/>
              <w:jc w:val="center"/>
              <w:rPr>
                <w:rFonts w:ascii="宋体" w:hAnsi="宋体" w:cs="宋体"/>
                <w:sz w:val="24"/>
                <w:szCs w:val="24"/>
              </w:rPr>
            </w:pPr>
            <w:r>
              <w:rPr>
                <w:rFonts w:hint="eastAsia" w:ascii="宋体" w:hAnsi="宋体" w:cs="宋体"/>
                <w:sz w:val="24"/>
                <w:szCs w:val="24"/>
              </w:rPr>
              <w:t>序号</w:t>
            </w:r>
          </w:p>
        </w:tc>
        <w:tc>
          <w:tcPr>
            <w:tcW w:w="1334" w:type="dxa"/>
            <w:vAlign w:val="center"/>
          </w:tcPr>
          <w:p w14:paraId="34EF53CB">
            <w:pPr>
              <w:pStyle w:val="16"/>
              <w:jc w:val="center"/>
              <w:rPr>
                <w:rFonts w:ascii="宋体" w:hAnsi="宋体" w:cs="宋体"/>
                <w:sz w:val="24"/>
                <w:szCs w:val="24"/>
              </w:rPr>
            </w:pPr>
            <w:r>
              <w:rPr>
                <w:rFonts w:hint="eastAsia" w:ascii="宋体" w:hAnsi="宋体" w:cs="宋体"/>
                <w:sz w:val="24"/>
                <w:szCs w:val="24"/>
              </w:rPr>
              <w:t>标的名称</w:t>
            </w:r>
          </w:p>
        </w:tc>
        <w:tc>
          <w:tcPr>
            <w:tcW w:w="719" w:type="dxa"/>
            <w:vAlign w:val="center"/>
          </w:tcPr>
          <w:p w14:paraId="5C6E7354">
            <w:pPr>
              <w:pStyle w:val="16"/>
              <w:jc w:val="center"/>
              <w:rPr>
                <w:rFonts w:ascii="宋体" w:hAnsi="宋体" w:cs="宋体"/>
                <w:sz w:val="24"/>
                <w:szCs w:val="24"/>
              </w:rPr>
            </w:pPr>
            <w:r>
              <w:rPr>
                <w:rFonts w:hint="eastAsia" w:ascii="宋体" w:hAnsi="宋体" w:cs="宋体"/>
                <w:sz w:val="24"/>
                <w:szCs w:val="24"/>
              </w:rPr>
              <w:t>数量</w:t>
            </w:r>
          </w:p>
        </w:tc>
        <w:tc>
          <w:tcPr>
            <w:tcW w:w="796" w:type="dxa"/>
            <w:vAlign w:val="center"/>
          </w:tcPr>
          <w:p w14:paraId="144B3C87">
            <w:pPr>
              <w:pStyle w:val="16"/>
              <w:jc w:val="center"/>
              <w:rPr>
                <w:rFonts w:ascii="宋体" w:hAnsi="宋体" w:cs="宋体"/>
                <w:sz w:val="24"/>
                <w:szCs w:val="24"/>
              </w:rPr>
            </w:pPr>
            <w:r>
              <w:rPr>
                <w:rFonts w:hint="eastAsia" w:ascii="宋体" w:hAnsi="宋体" w:cs="宋体"/>
                <w:sz w:val="24"/>
                <w:szCs w:val="24"/>
              </w:rPr>
              <w:t>单位</w:t>
            </w:r>
          </w:p>
        </w:tc>
        <w:tc>
          <w:tcPr>
            <w:tcW w:w="6198" w:type="dxa"/>
            <w:vAlign w:val="center"/>
          </w:tcPr>
          <w:p w14:paraId="255DC6CF">
            <w:pPr>
              <w:pStyle w:val="16"/>
              <w:jc w:val="center"/>
              <w:rPr>
                <w:rFonts w:ascii="宋体" w:hAnsi="宋体" w:cs="宋体"/>
                <w:sz w:val="24"/>
                <w:szCs w:val="24"/>
              </w:rPr>
            </w:pPr>
            <w:r>
              <w:rPr>
                <w:rFonts w:hint="eastAsia" w:ascii="宋体" w:hAnsi="宋体" w:cs="宋体"/>
                <w:sz w:val="24"/>
                <w:szCs w:val="24"/>
              </w:rPr>
              <w:t>简要技术需求</w:t>
            </w:r>
          </w:p>
        </w:tc>
      </w:tr>
      <w:tr w14:paraId="121D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3" w:type="dxa"/>
            <w:vAlign w:val="center"/>
          </w:tcPr>
          <w:p w14:paraId="4677065E">
            <w:pPr>
              <w:pStyle w:val="16"/>
              <w:jc w:val="center"/>
              <w:rPr>
                <w:rFonts w:ascii="宋体" w:hAnsi="宋体" w:cs="宋体"/>
                <w:sz w:val="24"/>
                <w:szCs w:val="24"/>
              </w:rPr>
            </w:pPr>
            <w:r>
              <w:rPr>
                <w:rFonts w:hint="eastAsia" w:ascii="宋体" w:hAnsi="宋体" w:cs="宋体"/>
                <w:sz w:val="24"/>
                <w:szCs w:val="24"/>
              </w:rPr>
              <w:t>1</w:t>
            </w:r>
          </w:p>
        </w:tc>
        <w:tc>
          <w:tcPr>
            <w:tcW w:w="1334" w:type="dxa"/>
            <w:vAlign w:val="center"/>
          </w:tcPr>
          <w:p w14:paraId="5F3C2973">
            <w:pPr>
              <w:pStyle w:val="16"/>
              <w:jc w:val="center"/>
              <w:rPr>
                <w:rFonts w:ascii="宋体" w:hAnsi="宋体" w:cs="宋体"/>
                <w:sz w:val="24"/>
                <w:szCs w:val="24"/>
              </w:rPr>
            </w:pPr>
            <w:r>
              <w:rPr>
                <w:rFonts w:hint="eastAsia" w:ascii="宋体" w:hAnsi="宋体" w:cs="宋体"/>
                <w:color w:val="000000"/>
                <w:kern w:val="0"/>
                <w:sz w:val="24"/>
                <w:szCs w:val="24"/>
                <w:lang w:bidi="ar"/>
              </w:rPr>
              <w:t>生物惰性液相色谱仪</w:t>
            </w:r>
          </w:p>
        </w:tc>
        <w:tc>
          <w:tcPr>
            <w:tcW w:w="719" w:type="dxa"/>
            <w:vAlign w:val="center"/>
          </w:tcPr>
          <w:p w14:paraId="220F10CC">
            <w:pPr>
              <w:widowControl/>
              <w:jc w:val="center"/>
              <w:rPr>
                <w:rFonts w:ascii="宋体" w:hAnsi="宋体" w:cs="宋体"/>
                <w:sz w:val="24"/>
              </w:rPr>
            </w:pPr>
            <w:r>
              <w:rPr>
                <w:rFonts w:hint="eastAsia" w:ascii="宋体" w:hAnsi="宋体" w:cs="宋体"/>
                <w:sz w:val="24"/>
              </w:rPr>
              <w:t>1</w:t>
            </w:r>
          </w:p>
        </w:tc>
        <w:tc>
          <w:tcPr>
            <w:tcW w:w="796" w:type="dxa"/>
            <w:vAlign w:val="center"/>
          </w:tcPr>
          <w:p w14:paraId="37042ACA">
            <w:pPr>
              <w:widowControl/>
              <w:jc w:val="center"/>
              <w:rPr>
                <w:rFonts w:ascii="宋体" w:hAnsi="宋体" w:cs="宋体"/>
                <w:sz w:val="24"/>
              </w:rPr>
            </w:pPr>
            <w:r>
              <w:rPr>
                <w:rFonts w:hint="eastAsia" w:ascii="宋体" w:hAnsi="宋体" w:cs="宋体"/>
                <w:sz w:val="24"/>
              </w:rPr>
              <w:t>台</w:t>
            </w:r>
          </w:p>
        </w:tc>
        <w:tc>
          <w:tcPr>
            <w:tcW w:w="6198" w:type="dxa"/>
            <w:vAlign w:val="center"/>
          </w:tcPr>
          <w:p w14:paraId="7CBA4CB4">
            <w:pPr>
              <w:pStyle w:val="16"/>
              <w:rPr>
                <w:rFonts w:ascii="宋体" w:hAnsi="宋体" w:cs="宋体"/>
                <w:color w:val="000000"/>
                <w:kern w:val="0"/>
                <w:sz w:val="24"/>
                <w:szCs w:val="24"/>
                <w:lang w:bidi="ar"/>
              </w:rPr>
            </w:pPr>
            <w:r>
              <w:rPr>
                <w:rFonts w:hint="eastAsia" w:ascii="宋体" w:hAnsi="宋体" w:cs="宋体"/>
                <w:color w:val="000000"/>
                <w:kern w:val="0"/>
                <w:sz w:val="24"/>
                <w:lang w:bidi="ar"/>
              </w:rPr>
              <w:t>1.技术指标：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1.1四元溶剂管理系统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1.1.1色谱泵：一体式独立柱塞，数控直线驱动色谱泵技术，双压力传感器反馈回路，无需阻尼器；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1.1.2集成式漏液管理：漏液传感器与安全漏液处理；</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19B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3" w:type="dxa"/>
            <w:vAlign w:val="center"/>
          </w:tcPr>
          <w:p w14:paraId="10E75DAA">
            <w:pPr>
              <w:pStyle w:val="16"/>
              <w:jc w:val="center"/>
              <w:rPr>
                <w:rFonts w:ascii="宋体" w:hAnsi="宋体" w:cs="宋体"/>
                <w:sz w:val="24"/>
                <w:szCs w:val="24"/>
              </w:rPr>
            </w:pPr>
            <w:r>
              <w:rPr>
                <w:rFonts w:hint="eastAsia" w:ascii="宋体" w:hAnsi="宋体" w:cs="宋体"/>
                <w:sz w:val="24"/>
                <w:szCs w:val="24"/>
              </w:rPr>
              <w:t>2</w:t>
            </w:r>
          </w:p>
        </w:tc>
        <w:tc>
          <w:tcPr>
            <w:tcW w:w="1334" w:type="dxa"/>
            <w:vAlign w:val="center"/>
          </w:tcPr>
          <w:p w14:paraId="1700EF45">
            <w:pPr>
              <w:pStyle w:val="16"/>
              <w:jc w:val="center"/>
              <w:rPr>
                <w:rFonts w:ascii="宋体" w:hAnsi="宋体" w:cs="宋体"/>
                <w:sz w:val="24"/>
                <w:szCs w:val="24"/>
              </w:rPr>
            </w:pPr>
            <w:r>
              <w:rPr>
                <w:rFonts w:hint="eastAsia" w:ascii="宋体" w:hAnsi="宋体" w:cs="宋体"/>
                <w:color w:val="000000"/>
                <w:kern w:val="0"/>
                <w:sz w:val="24"/>
                <w:szCs w:val="24"/>
                <w:lang w:bidi="ar"/>
              </w:rPr>
              <w:t>B2型生物安全柜</w:t>
            </w:r>
          </w:p>
        </w:tc>
        <w:tc>
          <w:tcPr>
            <w:tcW w:w="719" w:type="dxa"/>
            <w:vAlign w:val="center"/>
          </w:tcPr>
          <w:p w14:paraId="1A4BC7EB">
            <w:pPr>
              <w:widowControl/>
              <w:jc w:val="center"/>
              <w:rPr>
                <w:rFonts w:ascii="宋体" w:hAnsi="宋体" w:cs="宋体"/>
                <w:sz w:val="24"/>
              </w:rPr>
            </w:pPr>
            <w:r>
              <w:rPr>
                <w:rFonts w:hint="eastAsia" w:ascii="宋体" w:hAnsi="宋体" w:cs="宋体"/>
                <w:sz w:val="24"/>
              </w:rPr>
              <w:t>2</w:t>
            </w:r>
          </w:p>
        </w:tc>
        <w:tc>
          <w:tcPr>
            <w:tcW w:w="796" w:type="dxa"/>
            <w:vAlign w:val="center"/>
          </w:tcPr>
          <w:p w14:paraId="68413C70">
            <w:pPr>
              <w:widowControl/>
              <w:jc w:val="center"/>
              <w:rPr>
                <w:rFonts w:ascii="宋体" w:hAnsi="宋体" w:cs="宋体"/>
                <w:sz w:val="24"/>
              </w:rPr>
            </w:pPr>
            <w:r>
              <w:rPr>
                <w:rFonts w:hint="eastAsia" w:ascii="宋体" w:hAnsi="宋体" w:cs="宋体"/>
                <w:sz w:val="24"/>
              </w:rPr>
              <w:t>台</w:t>
            </w:r>
          </w:p>
        </w:tc>
        <w:tc>
          <w:tcPr>
            <w:tcW w:w="6198" w:type="dxa"/>
            <w:vAlign w:val="center"/>
          </w:tcPr>
          <w:p w14:paraId="5599D4BC">
            <w:pPr>
              <w:pStyle w:val="16"/>
              <w:numPr>
                <w:ilvl w:val="0"/>
                <w:numId w:val="0"/>
              </w:numPr>
              <w:rPr>
                <w:rFonts w:hint="eastAsia" w:ascii="宋体" w:hAnsi="宋体" w:cs="宋体"/>
                <w:color w:val="000000"/>
                <w:kern w:val="0"/>
                <w:sz w:val="24"/>
                <w:lang w:bidi="ar"/>
              </w:rPr>
            </w:pPr>
            <w:r>
              <w:rPr>
                <w:rFonts w:hint="eastAsia" w:ascii="宋体" w:hAnsi="宋体" w:eastAsia="宋体" w:cs="宋体"/>
                <w:color w:val="000000"/>
                <w:kern w:val="0"/>
                <w:sz w:val="24"/>
                <w:szCs w:val="22"/>
                <w:lang w:val="en-US" w:eastAsia="zh-CN" w:bidi="ar"/>
              </w:rPr>
              <w:t>1、</w:t>
            </w:r>
            <w:r>
              <w:rPr>
                <w:rFonts w:hint="eastAsia" w:ascii="宋体" w:hAnsi="宋体" w:cs="宋体"/>
                <w:color w:val="000000"/>
                <w:kern w:val="0"/>
                <w:sz w:val="24"/>
                <w:lang w:bidi="ar"/>
              </w:rPr>
              <w:t>安全柜类别：B2型生物安全柜，气流模式： 100%外排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2、风机系统：风机系统属于核心部件，要求使用直流变频高效风机，可自动进行风量补偿，当出现进风通道受阻或过滤器年限增加导致堵塞阻力增加300%的情况，安全柜仍然能提供安全风速</w:t>
            </w:r>
          </w:p>
          <w:p w14:paraId="27E46FA2">
            <w:pPr>
              <w:pStyle w:val="16"/>
              <w:numPr>
                <w:ilvl w:val="0"/>
                <w:numId w:val="0"/>
              </w:numPr>
              <w:rPr>
                <w:rFonts w:ascii="宋体" w:hAnsi="宋体" w:cs="宋体"/>
                <w:sz w:val="24"/>
                <w:szCs w:val="24"/>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4AA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3" w:type="dxa"/>
            <w:vAlign w:val="center"/>
          </w:tcPr>
          <w:p w14:paraId="03B330F9">
            <w:pPr>
              <w:pStyle w:val="16"/>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334" w:type="dxa"/>
            <w:vAlign w:val="center"/>
          </w:tcPr>
          <w:p w14:paraId="15160DB1">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lang w:bidi="ar"/>
              </w:rPr>
              <w:t>核酸提取仪</w:t>
            </w:r>
          </w:p>
        </w:tc>
        <w:tc>
          <w:tcPr>
            <w:tcW w:w="719" w:type="dxa"/>
            <w:vAlign w:val="center"/>
          </w:tcPr>
          <w:p w14:paraId="4C8E304F">
            <w:pPr>
              <w:widowControl/>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796" w:type="dxa"/>
            <w:vAlign w:val="center"/>
          </w:tcPr>
          <w:p w14:paraId="61DF1B89">
            <w:pPr>
              <w:widowControl/>
              <w:jc w:val="left"/>
              <w:textAlignment w:val="center"/>
              <w:rPr>
                <w:rFonts w:hint="eastAsia" w:ascii="宋体" w:hAnsi="宋体" w:cs="宋体"/>
                <w:sz w:val="24"/>
              </w:rPr>
            </w:pPr>
            <w:r>
              <w:rPr>
                <w:rFonts w:hint="eastAsia" w:ascii="宋体" w:hAnsi="宋体" w:cs="宋体"/>
                <w:color w:val="000000"/>
                <w:kern w:val="0"/>
                <w:sz w:val="24"/>
                <w:lang w:bidi="ar"/>
              </w:rPr>
              <w:t>台</w:t>
            </w:r>
          </w:p>
        </w:tc>
        <w:tc>
          <w:tcPr>
            <w:tcW w:w="6198" w:type="dxa"/>
            <w:vAlign w:val="center"/>
          </w:tcPr>
          <w:p w14:paraId="5B0BE376">
            <w:pPr>
              <w:pStyle w:val="16"/>
              <w:numPr>
                <w:ilvl w:val="0"/>
                <w:numId w:val="0"/>
              </w:numPr>
              <w:rPr>
                <w:rFonts w:hint="eastAsia" w:ascii="宋体" w:hAnsi="宋体" w:cs="宋体"/>
                <w:color w:val="000000"/>
                <w:kern w:val="0"/>
                <w:sz w:val="24"/>
                <w:lang w:bidi="ar"/>
              </w:rPr>
            </w:pPr>
            <w:r>
              <w:rPr>
                <w:rFonts w:hint="eastAsia" w:ascii="宋体" w:hAnsi="宋体" w:eastAsia="宋体" w:cs="宋体"/>
                <w:color w:val="000000"/>
                <w:kern w:val="0"/>
                <w:sz w:val="24"/>
                <w:szCs w:val="22"/>
                <w:lang w:val="en-US" w:eastAsia="zh-CN" w:bidi="ar"/>
              </w:rPr>
              <w:t>1、</w:t>
            </w:r>
            <w:r>
              <w:rPr>
                <w:rFonts w:hint="eastAsia" w:ascii="宋体" w:hAnsi="宋体" w:cs="宋体"/>
                <w:color w:val="000000"/>
                <w:kern w:val="0"/>
                <w:sz w:val="24"/>
                <w:lang w:bidi="ar"/>
              </w:rPr>
              <w:t>适用于从哺乳动物组织、血液、培养的真核和原核细胞的基因组、细菌培养物等样品中提取纯化核酸。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2、工作原理：基于磁珠法，通过内置特制磁棒吸附、移动、释放，完成清洗、洗脱步骤，直接获得核酸等纯化产物，全过程无需吸液分液、离心及过滤等步骤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3、处理体积：30uL-1000uL；</w:t>
            </w:r>
          </w:p>
          <w:p w14:paraId="26243B8D">
            <w:pPr>
              <w:pStyle w:val="16"/>
              <w:numPr>
                <w:ilvl w:val="0"/>
                <w:numId w:val="0"/>
              </w:numPr>
              <w:rPr>
                <w:rFonts w:hint="eastAsia" w:ascii="宋体" w:hAnsi="宋体" w:cs="宋体"/>
                <w:color w:val="000000"/>
                <w:kern w:val="0"/>
                <w:sz w:val="24"/>
                <w:lang w:bidi="ar"/>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AFF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0" w:type="dxa"/>
            <w:gridSpan w:val="5"/>
            <w:vAlign w:val="center"/>
          </w:tcPr>
          <w:p w14:paraId="19CC0603">
            <w:pPr>
              <w:pStyle w:val="16"/>
              <w:numPr>
                <w:ilvl w:val="0"/>
                <w:numId w:val="0"/>
              </w:numPr>
              <w:rPr>
                <w:rFonts w:hint="eastAsia" w:ascii="宋体" w:hAnsi="宋体" w:cs="宋体"/>
                <w:color w:val="000000"/>
                <w:kern w:val="0"/>
                <w:sz w:val="24"/>
                <w:lang w:val="en-US" w:eastAsia="zh-CN" w:bidi="ar"/>
              </w:rPr>
            </w:pPr>
            <w:r>
              <w:rPr>
                <w:rFonts w:hint="eastAsia" w:ascii="宋体" w:hAnsi="宋体" w:cs="宋体"/>
                <w:color w:val="000000"/>
                <w:kern w:val="0"/>
                <w:sz w:val="24"/>
                <w:szCs w:val="24"/>
                <w:lang w:val="en-US" w:eastAsia="zh-CN" w:bidi="ar"/>
              </w:rPr>
              <w:t>03分标其余采购</w:t>
            </w:r>
            <w:r>
              <w:rPr>
                <w:rFonts w:hint="eastAsia" w:ascii="宋体" w:hAnsi="宋体" w:cs="宋体"/>
                <w:color w:val="000000"/>
                <w:kern w:val="0"/>
                <w:sz w:val="24"/>
                <w:lang w:val="en-US" w:eastAsia="zh-CN" w:bidi="ar"/>
              </w:rPr>
              <w:t>具体详见第二章《采购需求》</w:t>
            </w:r>
          </w:p>
          <w:p w14:paraId="34F2FE88">
            <w:pPr>
              <w:pStyle w:val="16"/>
              <w:numPr>
                <w:ilvl w:val="0"/>
                <w:numId w:val="0"/>
              </w:numPr>
              <w:rPr>
                <w:rFonts w:hint="eastAsia" w:ascii="宋体" w:hAnsi="宋体" w:cs="宋体"/>
                <w:color w:val="000000"/>
                <w:kern w:val="0"/>
                <w:sz w:val="24"/>
                <w:lang w:val="en-US" w:eastAsia="zh-CN" w:bidi="ar"/>
              </w:rPr>
            </w:pPr>
            <w:r>
              <w:rPr>
                <w:rFonts w:hint="eastAsia" w:ascii="宋体" w:hAnsi="宋体" w:cs="宋体"/>
                <w:sz w:val="24"/>
              </w:rPr>
              <w:t>合同履行期限：</w:t>
            </w:r>
            <w:r>
              <w:rPr>
                <w:rFonts w:hint="eastAsia" w:asciiTheme="minorEastAsia" w:hAnsiTheme="minorEastAsia" w:eastAsiaTheme="minorEastAsia" w:cstheme="minorEastAsia"/>
                <w:kern w:val="0"/>
                <w:sz w:val="24"/>
              </w:rPr>
              <w:t>自合同签订后60天内供货并安装调试完成</w:t>
            </w:r>
            <w:r>
              <w:rPr>
                <w:rFonts w:hint="eastAsia" w:ascii="宋体" w:hAnsi="宋体" w:cs="宋体"/>
                <w:bCs/>
                <w:sz w:val="24"/>
              </w:rPr>
              <w:t>。</w:t>
            </w:r>
          </w:p>
        </w:tc>
      </w:tr>
    </w:tbl>
    <w:p w14:paraId="5AEB2AAA">
      <w:pPr>
        <w:spacing w:line="460" w:lineRule="exact"/>
        <w:ind w:firstLine="480" w:firstLineChars="200"/>
        <w:rPr>
          <w:rFonts w:ascii="宋体" w:hAnsi="宋体" w:cs="宋体"/>
          <w:b w:val="0"/>
          <w:bCs/>
          <w:sz w:val="24"/>
        </w:rPr>
      </w:pPr>
      <w:r>
        <w:rPr>
          <w:rFonts w:hint="eastAsia" w:ascii="宋体" w:hAnsi="宋体" w:cs="宋体"/>
          <w:b w:val="0"/>
          <w:bCs/>
          <w:sz w:val="24"/>
        </w:rPr>
        <w:t>本项目是否接受联合体投标：否。</w:t>
      </w:r>
    </w:p>
    <w:p w14:paraId="2091DE6C">
      <w:pPr>
        <w:spacing w:line="460" w:lineRule="exact"/>
        <w:ind w:firstLine="480" w:firstLineChars="200"/>
        <w:rPr>
          <w:rFonts w:hint="eastAsia" w:ascii="宋体" w:hAnsi="宋体" w:eastAsia="宋体" w:cs="宋体"/>
          <w:b w:val="0"/>
          <w:bCs w:val="0"/>
          <w:sz w:val="24"/>
          <w:lang w:eastAsia="zh-CN"/>
        </w:rPr>
      </w:pPr>
      <w:bookmarkStart w:id="6" w:name="_Toc28359003"/>
      <w:bookmarkStart w:id="7" w:name="_Toc28359080"/>
      <w:bookmarkStart w:id="8" w:name="_Toc35393791"/>
      <w:bookmarkStart w:id="9" w:name="_Toc35393622"/>
      <w:r>
        <w:rPr>
          <w:rFonts w:hint="eastAsia" w:ascii="宋体" w:hAnsi="宋体" w:cs="宋体"/>
          <w:b w:val="0"/>
          <w:bCs w:val="0"/>
          <w:sz w:val="24"/>
        </w:rPr>
        <w:t>投标人可自行选择参与本项目1个或多个分标的投标,为保证供货速度及履约质量，同一投标人只能中其中的一个分标，不能同时中两个或以上分标（本项目分为3个分标，评标时按01、02、03分标的顺序进行评标，例如投标人甲在01、02分标综合得分同时排名第一，则甲为01分标第一中标候选人，02分标第二中标候选人上升为第一中标候选人，第三中标候选人上升为第二中标候选人，以此类推）。采购人应当按评标委员会推荐的排名顺序，按前述原则确定中标候选人作为中标人</w:t>
      </w:r>
      <w:r>
        <w:rPr>
          <w:rFonts w:hint="eastAsia" w:ascii="宋体" w:hAnsi="宋体" w:cs="宋体"/>
          <w:b w:val="0"/>
          <w:bCs w:val="0"/>
          <w:sz w:val="24"/>
          <w:lang w:eastAsia="zh-CN"/>
        </w:rPr>
        <w:t>。</w:t>
      </w:r>
    </w:p>
    <w:p w14:paraId="0AD0B37F">
      <w:pPr>
        <w:spacing w:line="460" w:lineRule="exact"/>
        <w:ind w:firstLine="482" w:firstLineChars="200"/>
        <w:rPr>
          <w:rFonts w:ascii="宋体" w:hAnsi="宋体" w:cs="宋体"/>
          <w:b/>
          <w:bCs/>
          <w:sz w:val="24"/>
        </w:rPr>
      </w:pPr>
      <w:r>
        <w:rPr>
          <w:rFonts w:hint="eastAsia" w:ascii="宋体" w:hAnsi="宋体" w:cs="宋体"/>
          <w:b/>
          <w:bCs/>
          <w:sz w:val="24"/>
        </w:rPr>
        <w:t>二、申请人的资格要求：</w:t>
      </w:r>
      <w:bookmarkEnd w:id="6"/>
      <w:bookmarkEnd w:id="7"/>
      <w:bookmarkEnd w:id="8"/>
      <w:bookmarkEnd w:id="9"/>
    </w:p>
    <w:p w14:paraId="0382CCA8">
      <w:pPr>
        <w:spacing w:line="460" w:lineRule="exact"/>
        <w:ind w:firstLine="480" w:firstLineChars="200"/>
        <w:rPr>
          <w:rFonts w:ascii="宋体" w:hAnsi="宋体" w:cs="宋体"/>
          <w:sz w:val="24"/>
        </w:rPr>
      </w:pPr>
      <w:bookmarkStart w:id="10" w:name="_Hlk51746371"/>
      <w:r>
        <w:rPr>
          <w:rFonts w:hint="eastAsia" w:ascii="宋体" w:hAnsi="宋体" w:cs="宋体"/>
          <w:sz w:val="24"/>
        </w:rPr>
        <w:t>1.满足《中华人民共和国政府采购法》第二十二条规定；</w:t>
      </w:r>
    </w:p>
    <w:p w14:paraId="4BF20160">
      <w:pPr>
        <w:spacing w:line="460" w:lineRule="exact"/>
        <w:ind w:firstLine="480" w:firstLineChars="200"/>
        <w:rPr>
          <w:rFonts w:ascii="宋体" w:hAnsi="宋体"/>
          <w:sz w:val="24"/>
        </w:rPr>
      </w:pPr>
      <w:bookmarkStart w:id="11" w:name="_Toc28359004"/>
      <w:bookmarkStart w:id="12" w:name="_Toc28359081"/>
      <w:r>
        <w:rPr>
          <w:rFonts w:hint="eastAsia" w:ascii="宋体" w:hAnsi="宋体" w:cs="宋体"/>
          <w:sz w:val="24"/>
        </w:rPr>
        <w:t>2.落实政府采购政策需满足的资格要求：无</w:t>
      </w:r>
      <w:r>
        <w:rPr>
          <w:rFonts w:hint="eastAsia" w:ascii="宋体" w:hAnsi="宋体"/>
          <w:sz w:val="24"/>
        </w:rPr>
        <w:t>；</w:t>
      </w:r>
    </w:p>
    <w:p w14:paraId="1E2BB07F">
      <w:pPr>
        <w:spacing w:line="460" w:lineRule="exact"/>
        <w:ind w:firstLine="480" w:firstLineChars="200"/>
        <w:rPr>
          <w:rFonts w:ascii="宋体" w:hAnsi="宋体" w:cs="宋体"/>
          <w:sz w:val="24"/>
        </w:rPr>
      </w:pPr>
      <w:r>
        <w:rPr>
          <w:rFonts w:hint="eastAsia" w:ascii="宋体" w:hAnsi="宋体" w:cs="宋体"/>
          <w:sz w:val="24"/>
        </w:rPr>
        <w:t>3.本项目的特定资格要求：</w:t>
      </w:r>
      <w:bookmarkEnd w:id="10"/>
      <w:r>
        <w:rPr>
          <w:rFonts w:hint="eastAsia" w:ascii="宋体" w:hAnsi="宋体" w:cs="宋体"/>
          <w:sz w:val="24"/>
        </w:rPr>
        <w:t>无。</w:t>
      </w:r>
    </w:p>
    <w:p w14:paraId="0D1EABD7">
      <w:pPr>
        <w:spacing w:line="460" w:lineRule="exact"/>
        <w:ind w:firstLine="482" w:firstLineChars="200"/>
        <w:rPr>
          <w:rFonts w:ascii="宋体" w:hAnsi="宋体" w:cs="宋体"/>
          <w:b/>
          <w:bCs/>
          <w:sz w:val="24"/>
        </w:rPr>
      </w:pPr>
      <w:bookmarkStart w:id="13" w:name="_Toc35393623"/>
      <w:bookmarkStart w:id="14" w:name="_Toc35393792"/>
      <w:r>
        <w:rPr>
          <w:rFonts w:hint="eastAsia" w:ascii="宋体" w:hAnsi="宋体" w:cs="宋体"/>
          <w:b/>
          <w:bCs/>
          <w:sz w:val="24"/>
        </w:rPr>
        <w:t>三、获取招标文件</w:t>
      </w:r>
      <w:bookmarkEnd w:id="11"/>
      <w:bookmarkEnd w:id="12"/>
      <w:bookmarkEnd w:id="13"/>
      <w:bookmarkEnd w:id="14"/>
    </w:p>
    <w:p w14:paraId="6CB31751">
      <w:pPr>
        <w:spacing w:line="460" w:lineRule="exact"/>
        <w:ind w:firstLine="480" w:firstLineChars="200"/>
        <w:rPr>
          <w:rFonts w:ascii="宋体" w:hAnsi="宋体" w:cs="宋体"/>
          <w:bCs/>
          <w:kern w:val="0"/>
          <w:sz w:val="24"/>
        </w:rPr>
      </w:pPr>
      <w:r>
        <w:rPr>
          <w:rFonts w:hint="eastAsia" w:ascii="宋体" w:hAnsi="宋体" w:cs="宋体"/>
          <w:bCs/>
          <w:kern w:val="0"/>
          <w:sz w:val="24"/>
        </w:rPr>
        <w:t>时间：202</w:t>
      </w:r>
      <w:r>
        <w:rPr>
          <w:rFonts w:ascii="宋体" w:hAnsi="宋体" w:cs="宋体"/>
          <w:bCs/>
          <w:kern w:val="0"/>
          <w:sz w:val="24"/>
        </w:rPr>
        <w:t>5</w:t>
      </w:r>
      <w:r>
        <w:rPr>
          <w:rFonts w:ascii="宋体" w:hAnsi="宋体" w:cs="宋体"/>
          <w:sz w:val="24"/>
        </w:rPr>
        <w:t>年</w:t>
      </w:r>
      <w:r>
        <w:rPr>
          <w:rFonts w:hint="eastAsia" w:ascii="宋体" w:hAnsi="宋体" w:cs="宋体"/>
          <w:sz w:val="24"/>
        </w:rPr>
        <w:t>11</w:t>
      </w:r>
      <w:r>
        <w:rPr>
          <w:rFonts w:ascii="宋体" w:hAnsi="宋体" w:cs="宋体"/>
          <w:sz w:val="24"/>
        </w:rPr>
        <w:t>月</w:t>
      </w:r>
      <w:r>
        <w:rPr>
          <w:rFonts w:hint="eastAsia" w:ascii="宋体" w:hAnsi="宋体" w:cs="宋体"/>
          <w:sz w:val="24"/>
          <w:lang w:val="en-US" w:eastAsia="zh-CN"/>
        </w:rPr>
        <w:t>19</w:t>
      </w:r>
      <w:r>
        <w:rPr>
          <w:rFonts w:ascii="宋体" w:hAnsi="宋体" w:cs="宋体"/>
          <w:sz w:val="24"/>
        </w:rPr>
        <w:t>日至</w:t>
      </w:r>
      <w:r>
        <w:rPr>
          <w:rFonts w:hint="eastAsia" w:ascii="宋体" w:hAnsi="宋体" w:cs="宋体"/>
          <w:sz w:val="24"/>
        </w:rPr>
        <w:t>202</w:t>
      </w:r>
      <w:r>
        <w:rPr>
          <w:rFonts w:ascii="宋体" w:hAnsi="宋体" w:cs="宋体"/>
          <w:sz w:val="24"/>
        </w:rPr>
        <w:t>5年</w:t>
      </w:r>
      <w:r>
        <w:rPr>
          <w:rFonts w:hint="eastAsia" w:ascii="宋体" w:hAnsi="宋体" w:cs="宋体"/>
          <w:sz w:val="24"/>
        </w:rPr>
        <w:t>11</w:t>
      </w:r>
      <w:r>
        <w:rPr>
          <w:rFonts w:ascii="宋体" w:hAnsi="宋体" w:cs="宋体"/>
          <w:sz w:val="24"/>
        </w:rPr>
        <w:t>月</w:t>
      </w:r>
      <w:r>
        <w:rPr>
          <w:rFonts w:hint="eastAsia" w:ascii="宋体" w:hAnsi="宋体" w:cs="宋体"/>
          <w:sz w:val="24"/>
          <w:lang w:val="en-US" w:eastAsia="zh-CN"/>
        </w:rPr>
        <w:t>26</w:t>
      </w:r>
      <w:r>
        <w:rPr>
          <w:rFonts w:ascii="宋体" w:hAnsi="宋体" w:cs="宋体"/>
          <w:sz w:val="24"/>
        </w:rPr>
        <w:t>日</w:t>
      </w:r>
      <w:r>
        <w:rPr>
          <w:rFonts w:hint="eastAsia" w:ascii="宋体" w:hAnsi="宋体" w:cs="宋体"/>
          <w:sz w:val="24"/>
        </w:rPr>
        <w:t>，</w:t>
      </w:r>
      <w:r>
        <w:rPr>
          <w:rFonts w:ascii="宋体" w:hAnsi="宋体" w:cs="宋体"/>
          <w:sz w:val="24"/>
        </w:rPr>
        <w:t>每天上午00</w:t>
      </w:r>
      <w:r>
        <w:rPr>
          <w:rFonts w:hint="eastAsia" w:ascii="宋体" w:hAnsi="宋体" w:cs="宋体"/>
          <w:sz w:val="24"/>
        </w:rPr>
        <w:t>:</w:t>
      </w:r>
      <w:r>
        <w:rPr>
          <w:rFonts w:ascii="宋体" w:hAnsi="宋体" w:cs="宋体"/>
          <w:sz w:val="24"/>
        </w:rPr>
        <w:t>00至12</w:t>
      </w:r>
      <w:r>
        <w:rPr>
          <w:rFonts w:hint="eastAsia" w:ascii="宋体" w:hAnsi="宋体" w:cs="宋体"/>
          <w:sz w:val="24"/>
        </w:rPr>
        <w:t>:</w:t>
      </w:r>
      <w:r>
        <w:rPr>
          <w:rFonts w:ascii="宋体" w:hAnsi="宋体" w:cs="宋体"/>
          <w:sz w:val="24"/>
        </w:rPr>
        <w:t>00 ，下午12</w:t>
      </w:r>
      <w:r>
        <w:rPr>
          <w:rFonts w:hint="eastAsia" w:ascii="宋体" w:hAnsi="宋体" w:cs="宋体"/>
          <w:sz w:val="24"/>
        </w:rPr>
        <w:t>:</w:t>
      </w:r>
      <w:r>
        <w:rPr>
          <w:rFonts w:ascii="宋体" w:hAnsi="宋体" w:cs="宋体"/>
          <w:sz w:val="24"/>
        </w:rPr>
        <w:t>00至23</w:t>
      </w:r>
      <w:r>
        <w:rPr>
          <w:rFonts w:hint="eastAsia" w:ascii="宋体" w:hAnsi="宋体" w:cs="宋体"/>
          <w:sz w:val="24"/>
        </w:rPr>
        <w:t>:</w:t>
      </w:r>
      <w:r>
        <w:rPr>
          <w:rFonts w:ascii="宋体" w:hAnsi="宋体" w:cs="宋体"/>
          <w:sz w:val="24"/>
        </w:rPr>
        <w:t>59</w:t>
      </w:r>
      <w:r>
        <w:rPr>
          <w:rFonts w:hint="eastAsia" w:ascii="宋体" w:hAnsi="宋体" w:cs="宋体"/>
          <w:sz w:val="24"/>
        </w:rPr>
        <w:t>（北京时间，法定节假日除外）</w:t>
      </w:r>
    </w:p>
    <w:p w14:paraId="2D9271D1">
      <w:pPr>
        <w:spacing w:line="460" w:lineRule="exact"/>
        <w:ind w:firstLine="480" w:firstLineChars="200"/>
        <w:rPr>
          <w:rFonts w:ascii="宋体" w:hAnsi="宋体" w:cs="宋体"/>
          <w:bCs/>
          <w:kern w:val="0"/>
          <w:sz w:val="24"/>
        </w:rPr>
      </w:pPr>
      <w:r>
        <w:rPr>
          <w:rFonts w:hint="eastAsia" w:ascii="宋体" w:hAnsi="宋体" w:cs="宋体"/>
          <w:bCs/>
          <w:kern w:val="0"/>
          <w:sz w:val="24"/>
        </w:rPr>
        <w:t>地点：</w:t>
      </w:r>
      <w:r>
        <w:rPr>
          <w:rFonts w:hint="eastAsia" w:ascii="宋体" w:hAnsi="宋体" w:cs="宋体"/>
          <w:sz w:val="24"/>
        </w:rPr>
        <w:t>广西政府采购云平台</w:t>
      </w:r>
      <w:r>
        <w:rPr>
          <w:rFonts w:hint="eastAsia" w:ascii="宋体" w:hAnsi="宋体" w:cs="宋体"/>
          <w:bCs/>
          <w:kern w:val="0"/>
          <w:sz w:val="24"/>
        </w:rPr>
        <w:t>（</w:t>
      </w:r>
      <w:r>
        <w:rPr>
          <w:rFonts w:hint="eastAsia" w:ascii="宋体" w:hAnsi="宋体" w:cs="宋体"/>
          <w:sz w:val="24"/>
        </w:rPr>
        <w:t>https://www.gcy.zfcg.gxzf.gov.cn/</w:t>
      </w:r>
      <w:r>
        <w:rPr>
          <w:rFonts w:hint="eastAsia" w:ascii="宋体" w:hAnsi="宋体" w:cs="宋体"/>
          <w:bCs/>
          <w:kern w:val="0"/>
          <w:sz w:val="24"/>
        </w:rPr>
        <w:t>）</w:t>
      </w:r>
    </w:p>
    <w:p w14:paraId="66252E46">
      <w:pPr>
        <w:spacing w:line="460" w:lineRule="exact"/>
        <w:ind w:firstLine="480" w:firstLineChars="200"/>
        <w:rPr>
          <w:rFonts w:ascii="宋体" w:hAnsi="宋体" w:cs="宋体"/>
          <w:bCs/>
          <w:kern w:val="0"/>
          <w:sz w:val="24"/>
        </w:rPr>
      </w:pPr>
      <w:r>
        <w:rPr>
          <w:rFonts w:hint="eastAsia" w:ascii="宋体" w:hAnsi="宋体" w:cs="宋体"/>
          <w:bCs/>
          <w:kern w:val="0"/>
          <w:sz w:val="24"/>
        </w:rPr>
        <w:t>方式：网上下载。本项目不发放纸质文件，供应商应自行在</w:t>
      </w:r>
      <w:r>
        <w:fldChar w:fldCharType="begin"/>
      </w:r>
      <w:r>
        <w:instrText xml:space="preserve"> HYPERLINK </w:instrText>
      </w:r>
      <w:r>
        <w:fldChar w:fldCharType="separate"/>
      </w:r>
      <w:r>
        <w:fldChar w:fldCharType="end"/>
      </w:r>
      <w:r>
        <w:rPr>
          <w:rFonts w:hint="eastAsia" w:ascii="宋体" w:hAnsi="宋体" w:cs="宋体"/>
          <w:sz w:val="24"/>
        </w:rPr>
        <w:t>广西政府采购云平台</w:t>
      </w:r>
      <w:r>
        <w:rPr>
          <w:rFonts w:hint="eastAsia" w:ascii="宋体" w:hAnsi="宋体" w:cs="宋体"/>
          <w:bCs/>
          <w:kern w:val="0"/>
          <w:sz w:val="24"/>
        </w:rPr>
        <w:t>（</w:t>
      </w:r>
      <w:r>
        <w:rPr>
          <w:rFonts w:hint="eastAsia" w:ascii="宋体" w:hAnsi="宋体" w:cs="宋体"/>
          <w:sz w:val="24"/>
        </w:rPr>
        <w:t>https://www.gcy.zfcg.gxzf.gov.cn/</w:t>
      </w:r>
      <w:r>
        <w:rPr>
          <w:rFonts w:hint="eastAsia" w:ascii="宋体" w:hAnsi="宋体" w:cs="宋体"/>
          <w:bCs/>
          <w:kern w:val="0"/>
          <w:sz w:val="24"/>
        </w:rPr>
        <w:t>）下载招标文件（操作路径：登录</w:t>
      </w:r>
      <w:r>
        <w:rPr>
          <w:rFonts w:hint="eastAsia" w:ascii="宋体" w:hAnsi="宋体" w:cs="宋体"/>
          <w:sz w:val="24"/>
        </w:rPr>
        <w:t>广西政府采购云平台</w:t>
      </w:r>
      <w:r>
        <w:rPr>
          <w:rFonts w:hint="eastAsia" w:ascii="宋体" w:hAnsi="宋体" w:cs="宋体"/>
          <w:bCs/>
          <w:kern w:val="0"/>
          <w:sz w:val="24"/>
        </w:rPr>
        <w:t>-项目采购-获取采购文件-找到本项目-点击“申请获取采购文件”），电子投标文件制作需要基于</w:t>
      </w:r>
      <w:r>
        <w:rPr>
          <w:rFonts w:hint="eastAsia" w:ascii="宋体" w:hAnsi="宋体" w:cs="宋体"/>
          <w:sz w:val="24"/>
        </w:rPr>
        <w:t>广西政府采购云平台</w:t>
      </w:r>
      <w:r>
        <w:rPr>
          <w:rFonts w:hint="eastAsia" w:ascii="宋体" w:hAnsi="宋体" w:cs="宋体"/>
          <w:bCs/>
          <w:kern w:val="0"/>
          <w:sz w:val="24"/>
        </w:rPr>
        <w:t>获取的招标文件编制，通过其他方式获取招标文件的，将有可能导致供应商无法在</w:t>
      </w:r>
      <w:r>
        <w:rPr>
          <w:rFonts w:hint="eastAsia" w:ascii="宋体" w:hAnsi="宋体" w:cs="宋体"/>
          <w:sz w:val="24"/>
        </w:rPr>
        <w:t>广西政府采购云平台</w:t>
      </w:r>
      <w:r>
        <w:rPr>
          <w:rFonts w:hint="eastAsia" w:ascii="宋体" w:hAnsi="宋体" w:cs="宋体"/>
          <w:bCs/>
          <w:kern w:val="0"/>
          <w:sz w:val="24"/>
        </w:rPr>
        <w:t>编制及上传投标文件。</w:t>
      </w:r>
    </w:p>
    <w:p w14:paraId="3B6D1AFB">
      <w:pPr>
        <w:spacing w:line="460" w:lineRule="exact"/>
        <w:ind w:firstLine="480" w:firstLineChars="200"/>
        <w:rPr>
          <w:rFonts w:ascii="宋体" w:hAnsi="宋体" w:cs="宋体"/>
          <w:sz w:val="24"/>
        </w:rPr>
      </w:pPr>
      <w:r>
        <w:rPr>
          <w:rFonts w:hint="eastAsia" w:ascii="宋体" w:hAnsi="宋体" w:cs="宋体"/>
          <w:bCs/>
          <w:kern w:val="0"/>
          <w:sz w:val="24"/>
        </w:rPr>
        <w:t>售价：0元。</w:t>
      </w:r>
    </w:p>
    <w:p w14:paraId="63B0EA12">
      <w:pPr>
        <w:spacing w:line="460" w:lineRule="exact"/>
        <w:ind w:firstLine="482" w:firstLineChars="200"/>
        <w:rPr>
          <w:rFonts w:ascii="宋体" w:hAnsi="宋体" w:cs="宋体"/>
          <w:b/>
          <w:bCs/>
          <w:sz w:val="24"/>
        </w:rPr>
      </w:pPr>
      <w:bookmarkStart w:id="15" w:name="_Toc28359005"/>
      <w:bookmarkStart w:id="16" w:name="_Toc28359082"/>
      <w:bookmarkStart w:id="17" w:name="_Toc35393793"/>
      <w:bookmarkStart w:id="18" w:name="_Toc35393624"/>
      <w:r>
        <w:rPr>
          <w:rFonts w:hint="eastAsia" w:ascii="宋体" w:hAnsi="宋体" w:cs="宋体"/>
          <w:b/>
          <w:bCs/>
          <w:sz w:val="24"/>
        </w:rPr>
        <w:t>四、提交投标文件</w:t>
      </w:r>
      <w:bookmarkEnd w:id="15"/>
      <w:bookmarkEnd w:id="16"/>
      <w:r>
        <w:rPr>
          <w:rFonts w:hint="eastAsia" w:ascii="宋体" w:hAnsi="宋体" w:cs="宋体"/>
          <w:b/>
          <w:bCs/>
          <w:sz w:val="24"/>
        </w:rPr>
        <w:t>截止时间、开标时间和地点</w:t>
      </w:r>
      <w:bookmarkEnd w:id="17"/>
      <w:bookmarkEnd w:id="18"/>
    </w:p>
    <w:p w14:paraId="15109B0B">
      <w:pPr>
        <w:spacing w:line="460" w:lineRule="exact"/>
        <w:ind w:firstLine="480" w:firstLineChars="200"/>
        <w:rPr>
          <w:rFonts w:ascii="宋体" w:hAnsi="宋体" w:cs="宋体"/>
          <w:sz w:val="24"/>
        </w:rPr>
      </w:pPr>
      <w:bookmarkStart w:id="19" w:name="_Toc35393794"/>
      <w:bookmarkStart w:id="20" w:name="_Toc35393625"/>
      <w:bookmarkStart w:id="21" w:name="_Toc28359007"/>
      <w:bookmarkStart w:id="22" w:name="_Toc28359084"/>
      <w:r>
        <w:rPr>
          <w:rFonts w:hint="eastAsia" w:ascii="宋体" w:hAnsi="宋体" w:cs="宋体"/>
          <w:sz w:val="24"/>
        </w:rPr>
        <w:t>1.提交投标文件截止时间：</w:t>
      </w:r>
      <w:r>
        <w:rPr>
          <w:rFonts w:hint="eastAsia" w:ascii="宋体" w:hAnsi="宋体" w:cs="宋体"/>
          <w:bCs/>
          <w:kern w:val="0"/>
          <w:sz w:val="24"/>
        </w:rPr>
        <w:t>202</w:t>
      </w:r>
      <w:r>
        <w:rPr>
          <w:rFonts w:ascii="宋体" w:hAnsi="宋体" w:cs="宋体"/>
          <w:bCs/>
          <w:kern w:val="0"/>
          <w:sz w:val="24"/>
        </w:rPr>
        <w:t>5</w:t>
      </w:r>
      <w:r>
        <w:rPr>
          <w:rFonts w:ascii="宋体" w:hAnsi="宋体" w:cs="宋体"/>
          <w:sz w:val="24"/>
        </w:rPr>
        <w:t>年</w:t>
      </w:r>
      <w:r>
        <w:rPr>
          <w:rFonts w:hint="eastAsia" w:ascii="宋体" w:hAnsi="宋体" w:cs="宋体"/>
          <w:sz w:val="24"/>
          <w:lang w:val="en-US" w:eastAsia="zh-CN"/>
        </w:rPr>
        <w:t>12</w:t>
      </w:r>
      <w:r>
        <w:rPr>
          <w:rFonts w:ascii="宋体" w:hAnsi="宋体" w:cs="宋体"/>
          <w:sz w:val="24"/>
        </w:rPr>
        <w:t>月</w:t>
      </w:r>
      <w:r>
        <w:rPr>
          <w:rFonts w:hint="eastAsia" w:ascii="宋体" w:hAnsi="宋体" w:cs="宋体"/>
          <w:sz w:val="24"/>
          <w:lang w:val="en-US" w:eastAsia="zh-CN"/>
        </w:rPr>
        <w:t>10</w:t>
      </w:r>
      <w:r>
        <w:rPr>
          <w:rFonts w:ascii="宋体" w:hAnsi="宋体" w:cs="宋体"/>
          <w:sz w:val="24"/>
        </w:rPr>
        <w:t>日9</w:t>
      </w:r>
      <w:r>
        <w:rPr>
          <w:rFonts w:hint="eastAsia" w:ascii="宋体" w:hAnsi="宋体" w:cs="宋体"/>
          <w:sz w:val="24"/>
        </w:rPr>
        <w:t>时</w:t>
      </w:r>
      <w:r>
        <w:rPr>
          <w:rFonts w:ascii="宋体" w:hAnsi="宋体" w:cs="宋体"/>
          <w:sz w:val="24"/>
        </w:rPr>
        <w:t>3</w:t>
      </w:r>
      <w:r>
        <w:rPr>
          <w:rFonts w:hint="eastAsia" w:ascii="宋体" w:hAnsi="宋体" w:cs="宋体"/>
          <w:sz w:val="24"/>
        </w:rPr>
        <w:t>0分（北京时间）</w:t>
      </w:r>
    </w:p>
    <w:p w14:paraId="3918BB0E">
      <w:pPr>
        <w:spacing w:line="460" w:lineRule="exact"/>
        <w:ind w:firstLine="480" w:firstLineChars="200"/>
        <w:rPr>
          <w:rFonts w:ascii="宋体" w:hAnsi="宋体" w:cs="宋体"/>
          <w:sz w:val="24"/>
          <w:highlight w:val="yellow"/>
        </w:rPr>
      </w:pPr>
      <w:r>
        <w:rPr>
          <w:rFonts w:hint="eastAsia" w:ascii="宋体" w:hAnsi="宋体" w:cs="宋体"/>
          <w:sz w:val="24"/>
        </w:rPr>
        <w:t>2.开标时间：</w:t>
      </w:r>
      <w:r>
        <w:rPr>
          <w:rFonts w:hint="eastAsia" w:ascii="宋体" w:hAnsi="宋体" w:cs="宋体"/>
          <w:bCs/>
          <w:kern w:val="0"/>
          <w:sz w:val="24"/>
        </w:rPr>
        <w:t>2025年</w:t>
      </w:r>
      <w:r>
        <w:rPr>
          <w:rFonts w:hint="eastAsia" w:ascii="宋体" w:hAnsi="宋体" w:cs="宋体"/>
          <w:bCs/>
          <w:kern w:val="0"/>
          <w:sz w:val="24"/>
          <w:lang w:val="en-US" w:eastAsia="zh-CN"/>
        </w:rPr>
        <w:t>12</w:t>
      </w:r>
      <w:r>
        <w:rPr>
          <w:rFonts w:hint="eastAsia" w:ascii="宋体" w:hAnsi="宋体" w:cs="宋体"/>
          <w:bCs/>
          <w:kern w:val="0"/>
          <w:sz w:val="24"/>
        </w:rPr>
        <w:t>月</w:t>
      </w:r>
      <w:r>
        <w:rPr>
          <w:rFonts w:hint="eastAsia" w:ascii="宋体" w:hAnsi="宋体" w:cs="宋体"/>
          <w:bCs/>
          <w:kern w:val="0"/>
          <w:sz w:val="24"/>
          <w:lang w:val="en-US" w:eastAsia="zh-CN"/>
        </w:rPr>
        <w:t>10</w:t>
      </w:r>
      <w:r>
        <w:rPr>
          <w:rFonts w:hint="eastAsia" w:ascii="宋体" w:hAnsi="宋体" w:cs="宋体"/>
          <w:bCs/>
          <w:kern w:val="0"/>
          <w:sz w:val="24"/>
        </w:rPr>
        <w:t>日9时30分</w:t>
      </w:r>
      <w:r>
        <w:rPr>
          <w:rFonts w:hint="eastAsia" w:ascii="宋体" w:hAnsi="宋体" w:cs="宋体"/>
          <w:sz w:val="24"/>
        </w:rPr>
        <w:t>（北京时间）</w:t>
      </w:r>
    </w:p>
    <w:p w14:paraId="04CCDB8F">
      <w:pPr>
        <w:spacing w:line="46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.地点：广西政府采购云平台电子开标大厅。</w:t>
      </w:r>
    </w:p>
    <w:p w14:paraId="420FBDC3">
      <w:pPr>
        <w:widowControl/>
        <w:spacing w:line="460" w:lineRule="exact"/>
        <w:ind w:firstLine="482" w:firstLineChars="200"/>
        <w:rPr>
          <w:rFonts w:ascii="宋体" w:hAnsi="宋体" w:cs="宋体"/>
          <w:b/>
          <w:sz w:val="24"/>
        </w:rPr>
      </w:pPr>
      <w:r>
        <w:rPr>
          <w:rFonts w:hint="eastAsia" w:ascii="宋体" w:hAnsi="宋体" w:cs="宋体"/>
          <w:b/>
          <w:sz w:val="24"/>
        </w:rPr>
        <w:t>五、开启</w:t>
      </w:r>
    </w:p>
    <w:p w14:paraId="70EFC03F">
      <w:pPr>
        <w:spacing w:line="460" w:lineRule="exact"/>
        <w:ind w:firstLine="480" w:firstLineChars="200"/>
        <w:rPr>
          <w:rFonts w:ascii="宋体" w:hAnsi="宋体" w:cs="宋体"/>
          <w:bCs/>
          <w:sz w:val="24"/>
          <w:u w:val="single"/>
        </w:rPr>
      </w:pPr>
      <w:r>
        <w:rPr>
          <w:rFonts w:hint="eastAsia" w:ascii="宋体" w:hAnsi="宋体" w:cs="宋体"/>
          <w:sz w:val="24"/>
        </w:rPr>
        <w:t>1</w:t>
      </w:r>
      <w:r>
        <w:rPr>
          <w:rFonts w:hint="eastAsia" w:ascii="宋体" w:hAnsi="宋体"/>
          <w:sz w:val="24"/>
        </w:rPr>
        <w:t>.投标</w:t>
      </w:r>
      <w:r>
        <w:rPr>
          <w:rFonts w:hint="eastAsia" w:ascii="宋体" w:hAnsi="宋体" w:cs="宋体"/>
          <w:sz w:val="24"/>
        </w:rPr>
        <w:t>文件开启时间：</w:t>
      </w:r>
      <w:r>
        <w:rPr>
          <w:rFonts w:hint="eastAsia" w:ascii="宋体" w:hAnsi="宋体" w:cs="宋体"/>
          <w:bCs/>
          <w:kern w:val="0"/>
          <w:sz w:val="24"/>
        </w:rPr>
        <w:t>202</w:t>
      </w:r>
      <w:r>
        <w:rPr>
          <w:rFonts w:ascii="宋体" w:hAnsi="宋体" w:cs="宋体"/>
          <w:bCs/>
          <w:kern w:val="0"/>
          <w:sz w:val="24"/>
        </w:rPr>
        <w:t>5</w:t>
      </w:r>
      <w:r>
        <w:rPr>
          <w:rFonts w:ascii="宋体" w:hAnsi="宋体" w:cs="宋体"/>
          <w:sz w:val="24"/>
        </w:rPr>
        <w:t>年</w:t>
      </w:r>
      <w:r>
        <w:rPr>
          <w:rFonts w:hint="eastAsia" w:ascii="宋体" w:hAnsi="宋体" w:cs="宋体"/>
          <w:sz w:val="24"/>
          <w:lang w:val="en-US" w:eastAsia="zh-CN"/>
        </w:rPr>
        <w:t>12</w:t>
      </w:r>
      <w:r>
        <w:rPr>
          <w:rFonts w:ascii="宋体" w:hAnsi="宋体" w:cs="宋体"/>
          <w:sz w:val="24"/>
        </w:rPr>
        <w:t>月</w:t>
      </w:r>
      <w:r>
        <w:rPr>
          <w:rFonts w:hint="eastAsia" w:ascii="宋体" w:hAnsi="宋体" w:cs="宋体"/>
          <w:sz w:val="24"/>
          <w:lang w:val="en-US" w:eastAsia="zh-CN"/>
        </w:rPr>
        <w:t>10</w:t>
      </w:r>
      <w:r>
        <w:rPr>
          <w:rFonts w:ascii="宋体" w:hAnsi="宋体" w:cs="宋体"/>
          <w:sz w:val="24"/>
        </w:rPr>
        <w:t>日</w:t>
      </w:r>
      <w:r>
        <w:rPr>
          <w:rFonts w:ascii="宋体" w:hAnsi="宋体" w:cs="宋体"/>
          <w:bCs/>
          <w:kern w:val="0"/>
          <w:sz w:val="24"/>
        </w:rPr>
        <w:t>9</w:t>
      </w:r>
      <w:r>
        <w:rPr>
          <w:rFonts w:hint="eastAsia" w:ascii="宋体" w:hAnsi="宋体" w:cs="宋体"/>
          <w:bCs/>
          <w:kern w:val="0"/>
          <w:sz w:val="24"/>
        </w:rPr>
        <w:t>时</w:t>
      </w:r>
      <w:r>
        <w:rPr>
          <w:rFonts w:ascii="宋体" w:hAnsi="宋体" w:cs="宋体"/>
          <w:bCs/>
          <w:kern w:val="0"/>
          <w:sz w:val="24"/>
        </w:rPr>
        <w:t>3</w:t>
      </w:r>
      <w:r>
        <w:rPr>
          <w:rFonts w:hint="eastAsia" w:ascii="宋体" w:hAnsi="宋体" w:cs="宋体"/>
          <w:bCs/>
          <w:kern w:val="0"/>
          <w:sz w:val="24"/>
        </w:rPr>
        <w:t>0分（北京时间）</w:t>
      </w:r>
    </w:p>
    <w:p w14:paraId="38AF2BFF">
      <w:pPr>
        <w:spacing w:line="460" w:lineRule="exact"/>
        <w:ind w:firstLine="480" w:firstLineChars="200"/>
      </w:pPr>
      <w:r>
        <w:rPr>
          <w:rFonts w:hint="eastAsia" w:ascii="宋体" w:hAnsi="宋体" w:cs="宋体"/>
          <w:sz w:val="24"/>
        </w:rPr>
        <w:t>2</w:t>
      </w:r>
      <w:r>
        <w:rPr>
          <w:rFonts w:hint="eastAsia" w:ascii="宋体" w:hAnsi="宋体"/>
          <w:sz w:val="24"/>
        </w:rPr>
        <w:t>.</w:t>
      </w:r>
      <w:r>
        <w:rPr>
          <w:rFonts w:hint="eastAsia" w:ascii="宋体" w:hAnsi="宋体" w:cs="宋体"/>
          <w:sz w:val="24"/>
        </w:rPr>
        <w:t>地点：本项目将在广西政府采购云平台电子开标大厅解密、开启。</w:t>
      </w:r>
    </w:p>
    <w:p w14:paraId="333799E6">
      <w:pPr>
        <w:spacing w:line="460" w:lineRule="exact"/>
        <w:ind w:firstLine="482" w:firstLineChars="200"/>
        <w:rPr>
          <w:rFonts w:ascii="宋体" w:hAnsi="宋体" w:cs="宋体"/>
          <w:b/>
          <w:bCs/>
          <w:sz w:val="24"/>
        </w:rPr>
      </w:pPr>
      <w:r>
        <w:rPr>
          <w:rFonts w:hint="eastAsia" w:ascii="宋体" w:hAnsi="宋体" w:cs="宋体"/>
          <w:b/>
          <w:bCs/>
          <w:sz w:val="24"/>
        </w:rPr>
        <w:t>六、公告期限</w:t>
      </w:r>
      <w:bookmarkEnd w:id="19"/>
      <w:bookmarkEnd w:id="20"/>
      <w:bookmarkEnd w:id="21"/>
      <w:bookmarkEnd w:id="22"/>
    </w:p>
    <w:p w14:paraId="7717D23C">
      <w:pPr>
        <w:spacing w:line="46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14:paraId="67E94526">
      <w:pPr>
        <w:spacing w:line="460" w:lineRule="exact"/>
        <w:ind w:firstLine="482" w:firstLineChars="200"/>
        <w:rPr>
          <w:rFonts w:ascii="宋体" w:hAnsi="宋体" w:cs="宋体"/>
          <w:b/>
          <w:bCs/>
          <w:sz w:val="24"/>
        </w:rPr>
      </w:pPr>
      <w:bookmarkStart w:id="23" w:name="_Hlk37429674"/>
      <w:r>
        <w:rPr>
          <w:rFonts w:hint="eastAsia" w:ascii="宋体" w:hAnsi="宋体" w:cs="宋体"/>
          <w:b/>
          <w:bCs/>
          <w:sz w:val="24"/>
        </w:rPr>
        <w:t>七、其他补充事宜：</w:t>
      </w:r>
    </w:p>
    <w:p w14:paraId="7B0EBEA8">
      <w:pPr>
        <w:spacing w:line="460" w:lineRule="exact"/>
        <w:ind w:firstLine="480" w:firstLineChars="200"/>
        <w:rPr>
          <w:rFonts w:ascii="宋体" w:hAnsi="宋体" w:cs="宋体"/>
          <w:kern w:val="0"/>
          <w:sz w:val="24"/>
        </w:rPr>
      </w:pPr>
      <w:r>
        <w:rPr>
          <w:rFonts w:hint="eastAsia" w:ascii="宋体" w:hAnsi="宋体" w:cs="宋体"/>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B53CE5">
      <w:pPr>
        <w:spacing w:line="460" w:lineRule="exact"/>
        <w:ind w:firstLine="480" w:firstLineChars="200"/>
        <w:rPr>
          <w:rFonts w:ascii="宋体" w:hAnsi="宋体" w:cs="宋体"/>
          <w:kern w:val="0"/>
          <w:sz w:val="24"/>
        </w:rPr>
      </w:pPr>
      <w:r>
        <w:rPr>
          <w:rFonts w:hint="eastAsia" w:ascii="宋体" w:hAnsi="宋体" w:cs="宋体"/>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EE25C9">
      <w:pPr>
        <w:spacing w:line="460" w:lineRule="exact"/>
        <w:ind w:firstLine="480" w:firstLineChars="200"/>
        <w:rPr>
          <w:rFonts w:ascii="宋体" w:hAnsi="宋体" w:cs="宋体"/>
          <w:kern w:val="0"/>
          <w:sz w:val="24"/>
        </w:rPr>
      </w:pPr>
      <w:r>
        <w:rPr>
          <w:rFonts w:hint="eastAsia" w:ascii="宋体" w:hAnsi="宋体" w:cs="宋体"/>
          <w:kern w:val="0"/>
          <w:sz w:val="24"/>
        </w:rPr>
        <w:t>3.网上查询地址：</w:t>
      </w:r>
    </w:p>
    <w:p w14:paraId="592C6EF4">
      <w:pPr>
        <w:spacing w:line="460" w:lineRule="exact"/>
        <w:ind w:firstLine="480" w:firstLineChars="200"/>
        <w:rPr>
          <w:rFonts w:ascii="宋体" w:hAnsi="宋体" w:cs="宋体"/>
          <w:kern w:val="0"/>
          <w:sz w:val="24"/>
        </w:rPr>
      </w:pPr>
      <w:r>
        <w:rPr>
          <w:rFonts w:hint="eastAsia" w:ascii="宋体" w:hAnsi="宋体" w:cs="宋体"/>
          <w:kern w:val="0"/>
          <w:sz w:val="24"/>
        </w:rPr>
        <w:t>中国政府采购网（ http://www.ccgp.gov.cn）</w:t>
      </w:r>
    </w:p>
    <w:p w14:paraId="18A965CD">
      <w:pPr>
        <w:spacing w:line="460" w:lineRule="exact"/>
        <w:ind w:firstLine="480" w:firstLineChars="200"/>
        <w:rPr>
          <w:rFonts w:ascii="宋体" w:hAnsi="宋体" w:cs="宋体"/>
          <w:kern w:val="0"/>
          <w:sz w:val="24"/>
        </w:rPr>
      </w:pPr>
      <w:r>
        <w:rPr>
          <w:rFonts w:hint="eastAsia" w:ascii="宋体" w:hAnsi="宋体" w:cs="宋体"/>
          <w:kern w:val="0"/>
          <w:sz w:val="24"/>
        </w:rPr>
        <w:t>广西壮族自治区政府采购网（ http://zfcg.gxzf.gov.cn）</w:t>
      </w:r>
    </w:p>
    <w:p w14:paraId="35B3372D">
      <w:pPr>
        <w:spacing w:line="460" w:lineRule="exact"/>
        <w:ind w:firstLine="480" w:firstLineChars="200"/>
        <w:rPr>
          <w:rFonts w:ascii="宋体" w:hAnsi="宋体" w:cs="宋体"/>
          <w:kern w:val="0"/>
          <w:sz w:val="24"/>
        </w:rPr>
      </w:pPr>
      <w:r>
        <w:rPr>
          <w:rFonts w:hint="eastAsia" w:ascii="宋体" w:hAnsi="宋体" w:cs="宋体"/>
          <w:kern w:val="0"/>
          <w:sz w:val="24"/>
        </w:rPr>
        <w:t>广西壮族自治区公共资源交易中心（ http://gxggzy.gxzf.gov.cn/）</w:t>
      </w:r>
    </w:p>
    <w:p w14:paraId="37587AB0">
      <w:pPr>
        <w:spacing w:line="460" w:lineRule="exact"/>
        <w:ind w:firstLine="480" w:firstLineChars="200"/>
        <w:rPr>
          <w:rFonts w:ascii="宋体" w:hAnsi="宋体" w:cs="宋体"/>
          <w:kern w:val="0"/>
          <w:sz w:val="24"/>
        </w:rPr>
      </w:pPr>
      <w:r>
        <w:rPr>
          <w:rFonts w:hint="eastAsia" w:ascii="宋体" w:hAnsi="宋体" w:cs="宋体"/>
          <w:kern w:val="0"/>
          <w:sz w:val="24"/>
        </w:rPr>
        <w:t>4.本项目需要落实的政府采购政策：</w:t>
      </w:r>
    </w:p>
    <w:p w14:paraId="58677466">
      <w:pPr>
        <w:spacing w:line="460" w:lineRule="exact"/>
        <w:ind w:firstLine="480" w:firstLineChars="200"/>
        <w:rPr>
          <w:rFonts w:ascii="宋体" w:hAnsi="宋体" w:cs="宋体"/>
          <w:kern w:val="0"/>
          <w:sz w:val="24"/>
        </w:rPr>
      </w:pPr>
      <w:r>
        <w:rPr>
          <w:rFonts w:hint="eastAsia" w:ascii="宋体" w:hAnsi="宋体" w:cs="宋体"/>
          <w:kern w:val="0"/>
          <w:sz w:val="24"/>
        </w:rPr>
        <w:t>（1）政府采购促进中小企业发展。</w:t>
      </w:r>
    </w:p>
    <w:p w14:paraId="13E94B51">
      <w:pPr>
        <w:spacing w:line="460" w:lineRule="exact"/>
        <w:ind w:firstLine="480" w:firstLineChars="200"/>
        <w:rPr>
          <w:rFonts w:ascii="宋体" w:hAnsi="宋体" w:cs="宋体"/>
          <w:kern w:val="0"/>
          <w:sz w:val="24"/>
        </w:rPr>
      </w:pPr>
      <w:r>
        <w:rPr>
          <w:rFonts w:hint="eastAsia" w:ascii="宋体" w:hAnsi="宋体" w:cs="宋体"/>
          <w:kern w:val="0"/>
          <w:sz w:val="24"/>
        </w:rPr>
        <w:t>（2）政府采购支持采用本国产品的政策。</w:t>
      </w:r>
    </w:p>
    <w:p w14:paraId="77FB293B">
      <w:pPr>
        <w:spacing w:line="460" w:lineRule="exact"/>
        <w:ind w:firstLine="480" w:firstLineChars="200"/>
        <w:rPr>
          <w:rFonts w:ascii="宋体" w:hAnsi="宋体" w:cs="宋体"/>
          <w:kern w:val="0"/>
          <w:sz w:val="24"/>
        </w:rPr>
      </w:pPr>
      <w:r>
        <w:rPr>
          <w:rFonts w:hint="eastAsia" w:ascii="宋体" w:hAnsi="宋体" w:cs="宋体"/>
          <w:kern w:val="0"/>
          <w:sz w:val="24"/>
        </w:rPr>
        <w:t>（3）强制采购节能产品；优先采购节能产品、环境标志产品。</w:t>
      </w:r>
    </w:p>
    <w:p w14:paraId="7969AF38">
      <w:pPr>
        <w:spacing w:line="460" w:lineRule="exact"/>
        <w:ind w:firstLine="480" w:firstLineChars="200"/>
        <w:rPr>
          <w:rFonts w:ascii="宋体" w:hAnsi="宋体" w:cs="宋体"/>
          <w:kern w:val="0"/>
          <w:sz w:val="24"/>
        </w:rPr>
      </w:pPr>
      <w:r>
        <w:rPr>
          <w:rFonts w:hint="eastAsia" w:ascii="宋体" w:hAnsi="宋体" w:cs="宋体"/>
          <w:kern w:val="0"/>
          <w:sz w:val="24"/>
        </w:rPr>
        <w:t>（4）政府采购促进残疾人就业政策。</w:t>
      </w:r>
    </w:p>
    <w:p w14:paraId="66740209">
      <w:pPr>
        <w:spacing w:line="460" w:lineRule="exact"/>
        <w:ind w:firstLine="480" w:firstLineChars="200"/>
        <w:rPr>
          <w:rFonts w:ascii="宋体" w:hAnsi="宋体" w:cs="宋体"/>
          <w:kern w:val="0"/>
          <w:sz w:val="24"/>
        </w:rPr>
      </w:pPr>
      <w:r>
        <w:rPr>
          <w:rFonts w:hint="eastAsia" w:ascii="宋体" w:hAnsi="宋体" w:cs="宋体"/>
          <w:kern w:val="0"/>
          <w:sz w:val="24"/>
        </w:rPr>
        <w:t>（5）政府采购支持监狱企业发展。</w:t>
      </w:r>
    </w:p>
    <w:p w14:paraId="0B7EF581">
      <w:pPr>
        <w:widowControl/>
        <w:spacing w:line="460" w:lineRule="exact"/>
        <w:ind w:firstLine="480" w:firstLineChars="200"/>
        <w:rPr>
          <w:rFonts w:ascii="宋体" w:hAnsi="宋体" w:cs="宋体"/>
          <w:sz w:val="24"/>
        </w:rPr>
      </w:pPr>
      <w:r>
        <w:rPr>
          <w:rFonts w:hint="eastAsia" w:ascii="宋体" w:hAnsi="宋体" w:cs="宋体"/>
          <w:sz w:val="24"/>
        </w:rPr>
        <w:t>5.投标注意事项：</w:t>
      </w:r>
    </w:p>
    <w:p w14:paraId="209D0E5D">
      <w:pPr>
        <w:widowControl/>
        <w:spacing w:line="460" w:lineRule="exact"/>
        <w:ind w:firstLine="480" w:firstLineChars="200"/>
        <w:rPr>
          <w:rFonts w:ascii="宋体" w:hAnsi="宋体" w:cs="宋体"/>
          <w:bCs/>
          <w:sz w:val="24"/>
        </w:rPr>
      </w:pPr>
      <w:r>
        <w:rPr>
          <w:rFonts w:hint="eastAsia" w:ascii="宋体" w:hAnsi="宋体" w:cs="宋体"/>
          <w:sz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sz w:val="24"/>
        </w:rPr>
        <w:t>供应商在广西政府采购云平台提交电子版投标文件时，请填写参加远程开标活动经办人联系方式。</w:t>
      </w:r>
    </w:p>
    <w:p w14:paraId="443CB79D">
      <w:pPr>
        <w:widowControl/>
        <w:spacing w:line="460" w:lineRule="exact"/>
        <w:ind w:firstLine="480" w:firstLineChars="200"/>
        <w:rPr>
          <w:rFonts w:ascii="宋体" w:hAnsi="宋体" w:cs="宋体"/>
          <w:sz w:val="24"/>
        </w:rPr>
      </w:pPr>
      <w:r>
        <w:rPr>
          <w:rFonts w:hint="eastAsia" w:ascii="宋体" w:hAnsi="宋体" w:cs="宋体"/>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685CD3DB">
      <w:pPr>
        <w:widowControl/>
        <w:spacing w:line="460" w:lineRule="exact"/>
        <w:ind w:firstLine="480" w:firstLineChars="200"/>
        <w:rPr>
          <w:rFonts w:ascii="宋体" w:hAnsi="宋体" w:cs="宋体"/>
          <w:sz w:val="24"/>
        </w:rPr>
      </w:pPr>
      <w:r>
        <w:rPr>
          <w:rFonts w:hint="eastAsia" w:ascii="宋体" w:hAnsi="宋体" w:cs="宋体"/>
          <w:sz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C385FE2">
      <w:pPr>
        <w:widowControl/>
        <w:spacing w:line="460" w:lineRule="exact"/>
        <w:ind w:firstLine="480" w:firstLineChars="200"/>
        <w:rPr>
          <w:rFonts w:ascii="宋体" w:hAnsi="宋体" w:cs="宋体"/>
          <w:sz w:val="24"/>
        </w:rPr>
      </w:pPr>
      <w:r>
        <w:rPr>
          <w:rFonts w:hint="eastAsia" w:ascii="宋体" w:hAnsi="宋体" w:cs="宋体"/>
          <w:sz w:val="24"/>
        </w:rPr>
        <w:t>（4）为确保网上操作合法、有效和安全，请投标人确保在电子投标过程中能够对相关数据电文进行加密和使用电子签章，妥善保管CA数字证书并使用有效的CA数字证书参与整个采购活动。</w:t>
      </w:r>
    </w:p>
    <w:p w14:paraId="29C34D73">
      <w:pPr>
        <w:widowControl/>
        <w:spacing w:line="460" w:lineRule="exact"/>
        <w:ind w:firstLine="482" w:firstLineChars="200"/>
        <w:rPr>
          <w:rFonts w:ascii="楷体" w:hAnsi="楷体" w:eastAsia="楷体" w:cs="宋体"/>
          <w:sz w:val="24"/>
        </w:rPr>
      </w:pPr>
      <w:r>
        <w:rPr>
          <w:rFonts w:hint="eastAsia" w:ascii="楷体" w:hAnsi="楷体" w:eastAsia="楷体" w:cs="宋体"/>
          <w:b/>
          <w:bCs/>
          <w:sz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7F0147">
      <w:pPr>
        <w:widowControl/>
        <w:spacing w:line="460" w:lineRule="exact"/>
        <w:ind w:firstLine="480" w:firstLineChars="200"/>
        <w:rPr>
          <w:rFonts w:ascii="宋体" w:hAnsi="宋体" w:cs="宋体"/>
          <w:kern w:val="0"/>
          <w:sz w:val="24"/>
        </w:rPr>
      </w:pPr>
      <w:r>
        <w:rPr>
          <w:rFonts w:hint="eastAsia" w:ascii="宋体" w:hAnsi="宋体" w:cs="宋体"/>
          <w:sz w:val="24"/>
        </w:rPr>
        <w:t>6.CA证书在线解密：供应商投标时，需携带制作投标文件时用来加</w:t>
      </w:r>
      <w:r>
        <w:rPr>
          <w:rFonts w:hint="eastAsia" w:ascii="宋体" w:hAnsi="宋体" w:cs="宋体"/>
          <w:kern w:val="0"/>
          <w:sz w:val="24"/>
        </w:rPr>
        <w:t>密的有效数字证书（CA认证）登录</w:t>
      </w:r>
      <w:r>
        <w:rPr>
          <w:rFonts w:hint="eastAsia" w:ascii="宋体" w:hAnsi="宋体" w:cs="宋体"/>
          <w:sz w:val="24"/>
        </w:rPr>
        <w:t>广西政府采购云平台</w:t>
      </w:r>
      <w:r>
        <w:rPr>
          <w:rFonts w:hint="eastAsia" w:ascii="宋体" w:hAnsi="宋体" w:cs="宋体"/>
          <w:kern w:val="0"/>
          <w:sz w:val="24"/>
        </w:rPr>
        <w:t>电子开标大厅现场按规定时间对加密的投标文件进行解密，否则后果自负。</w:t>
      </w:r>
    </w:p>
    <w:p w14:paraId="5760EC17">
      <w:pPr>
        <w:spacing w:line="460" w:lineRule="exact"/>
        <w:ind w:firstLine="480" w:firstLineChars="200"/>
        <w:rPr>
          <w:rFonts w:ascii="宋体" w:hAnsi="宋体" w:cs="宋体"/>
          <w:kern w:val="0"/>
          <w:sz w:val="24"/>
        </w:rPr>
      </w:pPr>
      <w:r>
        <w:rPr>
          <w:rFonts w:hint="eastAsia" w:ascii="宋体" w:hAnsi="宋体" w:cs="宋体"/>
          <w:kern w:val="0"/>
          <w:sz w:val="24"/>
        </w:rPr>
        <w:t>7.若对项目采购电子交易系统操作有疑问，可登录</w:t>
      </w:r>
      <w:r>
        <w:rPr>
          <w:rFonts w:hint="eastAsia" w:ascii="宋体" w:hAnsi="宋体" w:cs="宋体"/>
          <w:sz w:val="24"/>
        </w:rPr>
        <w:t>广西政府采购云平台</w:t>
      </w:r>
      <w:r>
        <w:rPr>
          <w:rFonts w:hint="eastAsia" w:ascii="宋体" w:hAnsi="宋体" w:cs="宋体"/>
          <w:kern w:val="0"/>
          <w:sz w:val="24"/>
        </w:rPr>
        <w:t>（</w:t>
      </w:r>
      <w:r>
        <w:rPr>
          <w:rFonts w:hint="eastAsia" w:ascii="宋体" w:hAnsi="宋体" w:cs="宋体"/>
          <w:sz w:val="24"/>
        </w:rPr>
        <w:t>https://www.gcy.zfcg.gxzf.gov.cn/</w:t>
      </w:r>
      <w:r>
        <w:rPr>
          <w:rFonts w:hint="eastAsia" w:ascii="宋体" w:hAnsi="宋体" w:cs="宋体"/>
          <w:kern w:val="0"/>
          <w:sz w:val="24"/>
        </w:rPr>
        <w:t>），点击右侧咨询小采，获取采小蜜智能服务管家帮助，或拨打</w:t>
      </w:r>
      <w:r>
        <w:rPr>
          <w:rFonts w:hint="eastAsia" w:ascii="宋体" w:hAnsi="宋体" w:cs="宋体"/>
          <w:sz w:val="24"/>
        </w:rPr>
        <w:t>广西政府采购云平台</w:t>
      </w:r>
      <w:r>
        <w:rPr>
          <w:rFonts w:hint="eastAsia" w:ascii="宋体" w:hAnsi="宋体" w:cs="宋体"/>
          <w:kern w:val="0"/>
          <w:sz w:val="24"/>
        </w:rPr>
        <w:t>服务热线</w:t>
      </w:r>
      <w:r>
        <w:rPr>
          <w:rFonts w:ascii="宋体" w:hAnsi="宋体" w:cs="宋体"/>
          <w:kern w:val="0"/>
          <w:sz w:val="24"/>
        </w:rPr>
        <w:t>95763</w:t>
      </w:r>
      <w:r>
        <w:rPr>
          <w:rFonts w:hint="eastAsia" w:ascii="宋体" w:hAnsi="宋体" w:cs="宋体"/>
          <w:kern w:val="0"/>
          <w:sz w:val="24"/>
        </w:rPr>
        <w:t>或0771-3381253获取热线服务帮助。</w:t>
      </w:r>
      <w:bookmarkEnd w:id="23"/>
    </w:p>
    <w:p w14:paraId="3C4E0C64">
      <w:pPr>
        <w:spacing w:line="460" w:lineRule="exact"/>
        <w:ind w:firstLine="482" w:firstLineChars="200"/>
        <w:rPr>
          <w:rFonts w:ascii="宋体" w:hAnsi="宋体" w:cs="宋体"/>
          <w:b/>
          <w:bCs/>
          <w:sz w:val="24"/>
        </w:rPr>
      </w:pPr>
      <w:bookmarkStart w:id="24" w:name="_Toc28359008"/>
      <w:bookmarkStart w:id="25" w:name="_Toc35393627"/>
      <w:bookmarkStart w:id="26" w:name="_Toc35393796"/>
      <w:bookmarkStart w:id="27" w:name="_Toc28359085"/>
      <w:r>
        <w:rPr>
          <w:rFonts w:hint="eastAsia" w:ascii="宋体" w:hAnsi="宋体" w:cs="宋体"/>
          <w:b/>
          <w:bCs/>
          <w:sz w:val="24"/>
        </w:rPr>
        <w:t>八、对本次招标提出询问，请按以下方式联系。</w:t>
      </w:r>
      <w:bookmarkEnd w:id="24"/>
      <w:bookmarkEnd w:id="25"/>
      <w:bookmarkEnd w:id="26"/>
      <w:bookmarkEnd w:id="27"/>
    </w:p>
    <w:p w14:paraId="193E3099">
      <w:pPr>
        <w:spacing w:line="460" w:lineRule="exact"/>
        <w:ind w:firstLine="648" w:firstLineChars="270"/>
        <w:jc w:val="left"/>
        <w:rPr>
          <w:rFonts w:ascii="宋体" w:hAnsi="宋体" w:cs="宋体"/>
          <w:sz w:val="24"/>
        </w:rPr>
      </w:pPr>
      <w:r>
        <w:rPr>
          <w:rFonts w:hint="eastAsia" w:ascii="宋体" w:hAnsi="宋体" w:cs="宋体"/>
          <w:sz w:val="24"/>
        </w:rPr>
        <w:t>1.采购人信息</w:t>
      </w:r>
    </w:p>
    <w:p w14:paraId="01DB1003">
      <w:pPr>
        <w:spacing w:line="460" w:lineRule="exact"/>
        <w:ind w:firstLine="648" w:firstLineChars="270"/>
        <w:jc w:val="left"/>
        <w:rPr>
          <w:rFonts w:ascii="宋体" w:hAnsi="宋体" w:cs="宋体"/>
          <w:sz w:val="24"/>
        </w:rPr>
      </w:pPr>
      <w:r>
        <w:rPr>
          <w:rFonts w:hint="eastAsia" w:ascii="宋体" w:hAnsi="宋体" w:cs="宋体"/>
          <w:sz w:val="24"/>
        </w:rPr>
        <w:t xml:space="preserve">名 称：广西壮族自治区药品检验研究院  </w:t>
      </w:r>
    </w:p>
    <w:p w14:paraId="4C01FFEE">
      <w:pPr>
        <w:spacing w:line="460" w:lineRule="exact"/>
        <w:ind w:firstLine="648" w:firstLineChars="270"/>
        <w:jc w:val="left"/>
        <w:rPr>
          <w:rFonts w:ascii="宋体" w:hAnsi="宋体" w:cs="宋体"/>
          <w:sz w:val="24"/>
        </w:rPr>
      </w:pPr>
      <w:r>
        <w:rPr>
          <w:rFonts w:hint="eastAsia" w:ascii="宋体" w:hAnsi="宋体" w:cs="宋体"/>
          <w:sz w:val="24"/>
        </w:rPr>
        <w:t xml:space="preserve">地址：南宁市青秀区青湖路9号 </w:t>
      </w:r>
    </w:p>
    <w:p w14:paraId="03C43A30">
      <w:pPr>
        <w:spacing w:line="460" w:lineRule="exact"/>
        <w:ind w:firstLine="648" w:firstLineChars="270"/>
        <w:jc w:val="left"/>
        <w:rPr>
          <w:rFonts w:ascii="宋体" w:hAnsi="宋体" w:cs="宋体"/>
          <w:sz w:val="24"/>
        </w:rPr>
      </w:pPr>
      <w:r>
        <w:rPr>
          <w:rFonts w:hint="eastAsia" w:ascii="宋体" w:hAnsi="宋体" w:cs="宋体"/>
          <w:sz w:val="24"/>
        </w:rPr>
        <w:t>联系人：周</w:t>
      </w:r>
      <w:r>
        <w:rPr>
          <w:rFonts w:hint="eastAsia" w:ascii="宋体" w:hAnsi="宋体" w:cs="宋体"/>
          <w:sz w:val="24"/>
          <w:lang w:val="en-US" w:eastAsia="zh-CN"/>
        </w:rPr>
        <w:t>丹娜</w:t>
      </w:r>
      <w:r>
        <w:rPr>
          <w:rFonts w:hint="eastAsia" w:ascii="宋体" w:hAnsi="宋体" w:cs="宋体"/>
          <w:sz w:val="24"/>
        </w:rPr>
        <w:t xml:space="preserve">  联系电话：0771-5828248　　　</w:t>
      </w:r>
    </w:p>
    <w:p w14:paraId="19F8FD0F">
      <w:pPr>
        <w:spacing w:line="460" w:lineRule="exact"/>
        <w:ind w:firstLine="648" w:firstLineChars="270"/>
        <w:jc w:val="left"/>
        <w:rPr>
          <w:rFonts w:ascii="宋体" w:hAnsi="宋体" w:cs="宋体"/>
          <w:sz w:val="24"/>
        </w:rPr>
      </w:pPr>
      <w:r>
        <w:rPr>
          <w:rFonts w:hint="eastAsia" w:ascii="宋体" w:hAnsi="宋体" w:cs="宋体"/>
          <w:sz w:val="24"/>
        </w:rPr>
        <w:t>2.采购代理机构信息</w:t>
      </w:r>
    </w:p>
    <w:p w14:paraId="0010F614">
      <w:pPr>
        <w:spacing w:line="460" w:lineRule="exact"/>
        <w:ind w:firstLine="648" w:firstLineChars="270"/>
        <w:jc w:val="left"/>
        <w:rPr>
          <w:rFonts w:ascii="宋体" w:hAnsi="宋体" w:cs="宋体"/>
          <w:sz w:val="24"/>
        </w:rPr>
      </w:pPr>
      <w:r>
        <w:rPr>
          <w:rFonts w:hint="eastAsia" w:ascii="宋体" w:hAnsi="宋体" w:cs="宋体"/>
          <w:sz w:val="24"/>
        </w:rPr>
        <w:t xml:space="preserve">名 称：云之龙咨询集团有限公司 </w:t>
      </w:r>
    </w:p>
    <w:p w14:paraId="25BD17A3">
      <w:pPr>
        <w:spacing w:line="460" w:lineRule="exact"/>
        <w:ind w:firstLine="648" w:firstLineChars="270"/>
        <w:jc w:val="left"/>
        <w:rPr>
          <w:rFonts w:ascii="宋体" w:hAnsi="宋体" w:cs="宋体"/>
          <w:sz w:val="24"/>
        </w:rPr>
      </w:pPr>
      <w:r>
        <w:rPr>
          <w:rFonts w:hint="eastAsia" w:ascii="宋体" w:hAnsi="宋体" w:cs="宋体"/>
          <w:sz w:val="24"/>
        </w:rPr>
        <w:t xml:space="preserve">地　址：广西壮族自治区南宁市良庆区云英路15号3号楼云之龙咨询集团大厦6楼/530201 </w:t>
      </w:r>
    </w:p>
    <w:p w14:paraId="62408ECC">
      <w:pPr>
        <w:spacing w:line="460" w:lineRule="exact"/>
        <w:ind w:firstLine="648" w:firstLineChars="270"/>
        <w:rPr>
          <w:rFonts w:ascii="宋体" w:hAnsi="宋体" w:cs="宋体"/>
          <w:sz w:val="24"/>
        </w:rPr>
      </w:pPr>
      <w:r>
        <w:rPr>
          <w:rFonts w:hint="eastAsia" w:ascii="宋体" w:hAnsi="宋体" w:cs="宋体"/>
          <w:sz w:val="24"/>
        </w:rPr>
        <w:t>联系人：黎翠莹、刘健、</w:t>
      </w:r>
      <w:r>
        <w:rPr>
          <w:rFonts w:hint="eastAsia" w:ascii="宋体" w:hAnsi="宋体" w:cs="宋体"/>
          <w:sz w:val="24"/>
          <w:lang w:val="en-US" w:eastAsia="zh-CN"/>
        </w:rPr>
        <w:t>梁俏英</w:t>
      </w:r>
      <w:r>
        <w:rPr>
          <w:rFonts w:hint="eastAsia" w:ascii="宋体" w:hAnsi="宋体" w:cs="宋体"/>
          <w:sz w:val="24"/>
        </w:rPr>
        <w:t xml:space="preserve">   联系电话：0771-2611898、2618118、2618199</w:t>
      </w:r>
      <w:bookmarkStart w:id="28" w:name="_Toc28359087"/>
      <w:bookmarkStart w:id="29" w:name="_Toc28359010"/>
      <w:r>
        <w:rPr>
          <w:rFonts w:hint="eastAsia" w:ascii="宋体" w:hAnsi="宋体" w:cs="宋体"/>
          <w:sz w:val="24"/>
        </w:rPr>
        <w:t xml:space="preserve"> </w:t>
      </w:r>
    </w:p>
    <w:p w14:paraId="61B313A1">
      <w:pPr>
        <w:spacing w:line="460" w:lineRule="exact"/>
        <w:ind w:firstLine="648" w:firstLineChars="270"/>
        <w:rPr>
          <w:rFonts w:ascii="宋体" w:hAnsi="宋体" w:cs="宋体"/>
          <w:sz w:val="24"/>
        </w:rPr>
      </w:pPr>
      <w:r>
        <w:rPr>
          <w:rFonts w:hint="eastAsia" w:ascii="宋体" w:hAnsi="宋体" w:cs="宋体"/>
          <w:sz w:val="24"/>
        </w:rPr>
        <w:t>3.项目联系方式</w:t>
      </w:r>
      <w:bookmarkEnd w:id="28"/>
      <w:bookmarkEnd w:id="29"/>
    </w:p>
    <w:p w14:paraId="2E04FA6E">
      <w:pPr>
        <w:spacing w:line="460" w:lineRule="exact"/>
        <w:ind w:left="420" w:leftChars="200" w:firstLine="218" w:firstLineChars="91"/>
        <w:rPr>
          <w:rFonts w:ascii="宋体" w:hAnsi="宋体" w:cs="宋体"/>
          <w:sz w:val="24"/>
        </w:rPr>
      </w:pPr>
      <w:r>
        <w:rPr>
          <w:rFonts w:hint="eastAsia" w:ascii="宋体" w:hAnsi="宋体" w:cs="宋体"/>
          <w:sz w:val="24"/>
        </w:rPr>
        <w:t>项目联系人：黎翠莹、刘健、</w:t>
      </w:r>
      <w:r>
        <w:rPr>
          <w:rFonts w:hint="eastAsia" w:ascii="宋体" w:hAnsi="宋体" w:cs="宋体"/>
          <w:sz w:val="24"/>
          <w:lang w:val="en-US" w:eastAsia="zh-CN"/>
        </w:rPr>
        <w:t>梁俏英</w:t>
      </w:r>
      <w:r>
        <w:rPr>
          <w:rFonts w:hint="eastAsia" w:ascii="宋体" w:hAnsi="宋体" w:cs="宋体"/>
          <w:sz w:val="24"/>
        </w:rPr>
        <w:t xml:space="preserve">   电　话：0771-2611898、2618118、2618199</w:t>
      </w:r>
      <w:r>
        <w:rPr>
          <w:rFonts w:ascii="宋体" w:hAnsi="宋体" w:cs="宋体"/>
          <w:sz w:val="24"/>
        </w:rPr>
        <w:t xml:space="preserve">  </w:t>
      </w:r>
    </w:p>
    <w:p w14:paraId="100819DE">
      <w:pPr>
        <w:spacing w:line="460" w:lineRule="exact"/>
        <w:jc w:val="right"/>
        <w:rPr>
          <w:rFonts w:ascii="宋体" w:hAnsi="宋体" w:cs="宋体"/>
          <w:sz w:val="24"/>
        </w:rPr>
      </w:pPr>
    </w:p>
    <w:p w14:paraId="21D50D34">
      <w:pPr>
        <w:spacing w:line="460" w:lineRule="exact"/>
        <w:ind w:right="849" w:firstLine="3120" w:firstLineChars="1300"/>
        <w:jc w:val="righ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云之龙咨询集团有限公司</w:t>
      </w:r>
    </w:p>
    <w:p w14:paraId="7974E6D8">
      <w:pPr>
        <w:jc w:val="center"/>
      </w:pPr>
      <w:r>
        <w:rPr>
          <w:rFonts w:hint="eastAsia" w:ascii="宋体" w:hAnsi="宋体" w:cs="宋体"/>
          <w:sz w:val="24"/>
          <w:lang w:val="en-US" w:eastAsia="zh-CN"/>
        </w:rPr>
        <w:t xml:space="preserve">                                </w:t>
      </w:r>
      <w:bookmarkStart w:id="30" w:name="_GoBack"/>
      <w:bookmarkEnd w:id="30"/>
      <w:r>
        <w:rPr>
          <w:rFonts w:ascii="宋体" w:hAnsi="宋体" w:cs="宋体"/>
          <w:sz w:val="24"/>
        </w:rPr>
        <w:t>2025</w:t>
      </w:r>
      <w:r>
        <w:rPr>
          <w:rFonts w:hint="eastAsia" w:ascii="宋体" w:hAnsi="宋体" w:cs="宋体"/>
          <w:sz w:val="24"/>
        </w:rPr>
        <w:t>年11月</w:t>
      </w:r>
      <w:r>
        <w:rPr>
          <w:rFonts w:hint="eastAsia" w:ascii="宋体" w:hAnsi="宋体" w:cs="宋体"/>
          <w:sz w:val="24"/>
          <w:lang w:val="en-US" w:eastAsia="zh-CN"/>
        </w:rPr>
        <w:t>19</w:t>
      </w:r>
      <w:r>
        <w:rPr>
          <w:rFonts w:hint="eastAsia" w:ascii="宋体" w:hAnsi="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2B3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14E03">
                          <w:pPr>
                            <w:pStyle w:val="10"/>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31C14E03">
                    <w:pPr>
                      <w:pStyle w:val="10"/>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50518"/>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4"/>
    <w:qFormat/>
    <w:uiPriority w:val="99"/>
    <w:pPr>
      <w:spacing w:line="380" w:lineRule="exact"/>
    </w:pPr>
    <w:rPr>
      <w:kern w:val="0"/>
      <w:sz w:val="24"/>
    </w:rPr>
  </w:style>
  <w:style w:type="paragraph" w:styleId="4">
    <w:name w:val="Body Text First Indent 2"/>
    <w:basedOn w:val="5"/>
    <w:qFormat/>
    <w:uiPriority w:val="0"/>
    <w:pPr>
      <w:spacing w:after="120"/>
      <w:ind w:left="420" w:leftChars="200" w:firstLine="420" w:firstLineChars="200"/>
    </w:pPr>
    <w:rPr>
      <w:szCs w:val="24"/>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8">
    <w:name w:val="annotation text"/>
    <w:basedOn w:val="1"/>
    <w:unhideWhenUsed/>
    <w:qFormat/>
    <w:uiPriority w:val="0"/>
    <w:pPr>
      <w:jc w:val="left"/>
    </w:pPr>
  </w:style>
  <w:style w:type="paragraph" w:styleId="9">
    <w:name w:val="Plain Text"/>
    <w:basedOn w:val="1"/>
    <w:next w:val="7"/>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99"/>
    <w:rPr>
      <w:color w:val="000000"/>
      <w:u w:val="none"/>
    </w:rPr>
  </w:style>
  <w:style w:type="paragraph" w:customStyle="1" w:styleId="15">
    <w:name w:val="Title1"/>
    <w:basedOn w:val="1"/>
    <w:next w:val="1"/>
    <w:qFormat/>
    <w:uiPriority w:val="0"/>
    <w:pPr>
      <w:jc w:val="center"/>
      <w:outlineLvl w:val="0"/>
    </w:pPr>
    <w:rPr>
      <w:rFonts w:ascii="Calibri Light" w:hAnsi="Calibri Light" w:eastAsia="Arial Unicode MS"/>
      <w:b/>
    </w:rPr>
  </w:style>
  <w:style w:type="paragraph" w:customStyle="1" w:styleId="16">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2025-11-19T08:54:39Z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